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00759" w14:textId="77777777" w:rsidR="00FD21A4" w:rsidRPr="00AF7D9D" w:rsidRDefault="00FD21A4" w:rsidP="00FD21A4">
      <w:pPr>
        <w:jc w:val="center"/>
        <w:rPr>
          <w:rFonts w:ascii="Times New Roman" w:hAnsi="Times New Roman" w:cs="Times New Roman"/>
          <w:sz w:val="24"/>
          <w:szCs w:val="24"/>
        </w:rPr>
      </w:pPr>
    </w:p>
    <w:p w14:paraId="1DD6AC6A" w14:textId="77777777" w:rsidR="00FD21A4" w:rsidRPr="00AF7D9D" w:rsidRDefault="00FD21A4" w:rsidP="00FD21A4">
      <w:pPr>
        <w:jc w:val="center"/>
        <w:rPr>
          <w:rFonts w:ascii="Times New Roman" w:hAnsi="Times New Roman" w:cs="Times New Roman"/>
          <w:sz w:val="24"/>
          <w:szCs w:val="24"/>
        </w:rPr>
      </w:pPr>
    </w:p>
    <w:p w14:paraId="4FA11222" w14:textId="77777777" w:rsidR="00FD21A4" w:rsidRPr="00AF7D9D" w:rsidRDefault="00FD21A4" w:rsidP="00FD21A4">
      <w:pPr>
        <w:jc w:val="center"/>
        <w:rPr>
          <w:rFonts w:ascii="Times New Roman" w:hAnsi="Times New Roman" w:cs="Times New Roman"/>
          <w:sz w:val="24"/>
          <w:szCs w:val="24"/>
        </w:rPr>
      </w:pPr>
    </w:p>
    <w:p w14:paraId="714181F5" w14:textId="77777777" w:rsidR="00FD21A4" w:rsidRPr="00AF7D9D" w:rsidRDefault="00FD21A4" w:rsidP="00FD21A4">
      <w:pPr>
        <w:jc w:val="center"/>
        <w:rPr>
          <w:rFonts w:ascii="Times New Roman" w:hAnsi="Times New Roman" w:cs="Times New Roman"/>
          <w:sz w:val="24"/>
          <w:szCs w:val="24"/>
        </w:rPr>
      </w:pPr>
    </w:p>
    <w:p w14:paraId="79238B83" w14:textId="77777777" w:rsidR="00FD21A4" w:rsidRPr="00AF7D9D" w:rsidRDefault="00FD21A4" w:rsidP="00FD21A4">
      <w:pPr>
        <w:jc w:val="center"/>
        <w:rPr>
          <w:rFonts w:ascii="Times New Roman" w:hAnsi="Times New Roman" w:cs="Times New Roman"/>
          <w:sz w:val="24"/>
          <w:szCs w:val="24"/>
        </w:rPr>
      </w:pPr>
    </w:p>
    <w:p w14:paraId="63AC1600" w14:textId="77777777" w:rsidR="00FD21A4" w:rsidRPr="00AF7D9D" w:rsidRDefault="00FD21A4" w:rsidP="00FD21A4">
      <w:pPr>
        <w:jc w:val="center"/>
        <w:rPr>
          <w:rFonts w:ascii="Times New Roman" w:hAnsi="Times New Roman" w:cs="Times New Roman"/>
          <w:sz w:val="24"/>
          <w:szCs w:val="24"/>
        </w:rPr>
      </w:pPr>
    </w:p>
    <w:p w14:paraId="5BD4F01D" w14:textId="77777777" w:rsidR="00FD21A4" w:rsidRPr="00AF7D9D" w:rsidRDefault="00FD21A4" w:rsidP="00FD21A4">
      <w:pPr>
        <w:jc w:val="center"/>
        <w:rPr>
          <w:rFonts w:ascii="Times New Roman" w:hAnsi="Times New Roman" w:cs="Times New Roman"/>
          <w:sz w:val="24"/>
          <w:szCs w:val="24"/>
        </w:rPr>
      </w:pPr>
    </w:p>
    <w:p w14:paraId="130C7AE1" w14:textId="77777777" w:rsidR="00FD21A4" w:rsidRPr="00AF7D9D" w:rsidRDefault="00FD21A4" w:rsidP="00FD21A4">
      <w:pPr>
        <w:jc w:val="center"/>
        <w:rPr>
          <w:rFonts w:ascii="Times New Roman" w:hAnsi="Times New Roman" w:cs="Times New Roman"/>
          <w:sz w:val="24"/>
          <w:szCs w:val="24"/>
        </w:rPr>
      </w:pPr>
    </w:p>
    <w:p w14:paraId="60D2C441" w14:textId="77777777" w:rsidR="00584473" w:rsidRPr="00AF7D9D" w:rsidRDefault="00584473" w:rsidP="00FD21A4">
      <w:pPr>
        <w:jc w:val="center"/>
        <w:rPr>
          <w:rFonts w:ascii="Times New Roman" w:hAnsi="Times New Roman" w:cs="Times New Roman"/>
          <w:sz w:val="24"/>
          <w:szCs w:val="24"/>
        </w:rPr>
      </w:pPr>
    </w:p>
    <w:p w14:paraId="10BFEC80" w14:textId="77777777" w:rsidR="00584473" w:rsidRPr="00AF7D9D" w:rsidRDefault="00584473" w:rsidP="00FD21A4">
      <w:pPr>
        <w:jc w:val="center"/>
        <w:rPr>
          <w:rFonts w:ascii="Times New Roman" w:hAnsi="Times New Roman" w:cs="Times New Roman"/>
          <w:sz w:val="24"/>
          <w:szCs w:val="24"/>
        </w:rPr>
      </w:pPr>
    </w:p>
    <w:p w14:paraId="2DE099C8" w14:textId="77777777" w:rsidR="00FD21A4" w:rsidRPr="00AF7D9D" w:rsidRDefault="00FD21A4" w:rsidP="00FD21A4">
      <w:pPr>
        <w:jc w:val="center"/>
        <w:rPr>
          <w:rFonts w:ascii="Times New Roman" w:hAnsi="Times New Roman" w:cs="Times New Roman"/>
          <w:sz w:val="24"/>
          <w:szCs w:val="24"/>
        </w:rPr>
      </w:pPr>
      <w:r w:rsidRPr="00AF7D9D">
        <w:rPr>
          <w:rFonts w:ascii="Times New Roman" w:hAnsi="Times New Roman" w:cs="Times New Roman"/>
          <w:sz w:val="24"/>
          <w:szCs w:val="24"/>
        </w:rPr>
        <w:t>Detecting Inconsistent Responding on the Youth Psychopath</w:t>
      </w:r>
      <w:r w:rsidR="00584473" w:rsidRPr="00AF7D9D">
        <w:rPr>
          <w:rFonts w:ascii="Times New Roman" w:hAnsi="Times New Roman" w:cs="Times New Roman"/>
          <w:sz w:val="24"/>
          <w:szCs w:val="24"/>
        </w:rPr>
        <w:t>ic</w:t>
      </w:r>
      <w:r w:rsidRPr="00AF7D9D">
        <w:rPr>
          <w:rFonts w:ascii="Times New Roman" w:hAnsi="Times New Roman" w:cs="Times New Roman"/>
          <w:sz w:val="24"/>
          <w:szCs w:val="24"/>
        </w:rPr>
        <w:t xml:space="preserve"> Traits Inventory – Short Form</w:t>
      </w:r>
    </w:p>
    <w:p w14:paraId="1C7858BD" w14:textId="77777777" w:rsidR="00584473" w:rsidRPr="00AF7D9D" w:rsidRDefault="00584473" w:rsidP="00FD21A4">
      <w:pPr>
        <w:jc w:val="center"/>
        <w:rPr>
          <w:rFonts w:ascii="Times New Roman" w:hAnsi="Times New Roman" w:cs="Times New Roman"/>
          <w:sz w:val="24"/>
          <w:szCs w:val="24"/>
        </w:rPr>
      </w:pPr>
    </w:p>
    <w:p w14:paraId="4FF0FE49" w14:textId="77777777" w:rsidR="00A32716" w:rsidRPr="00AF7D9D" w:rsidRDefault="00A32716">
      <w:pPr>
        <w:rPr>
          <w:rFonts w:ascii="Times New Roman" w:hAnsi="Times New Roman" w:cs="Times New Roman"/>
          <w:sz w:val="24"/>
          <w:szCs w:val="24"/>
        </w:rPr>
      </w:pPr>
      <w:r w:rsidRPr="00AF7D9D">
        <w:rPr>
          <w:rFonts w:ascii="Times New Roman" w:hAnsi="Times New Roman" w:cs="Times New Roman"/>
          <w:sz w:val="24"/>
          <w:szCs w:val="24"/>
        </w:rPr>
        <w:br w:type="page"/>
      </w:r>
    </w:p>
    <w:p w14:paraId="6B581620" w14:textId="77777777" w:rsidR="00FD21A4" w:rsidRPr="00AF7D9D" w:rsidRDefault="0045358E" w:rsidP="0045358E">
      <w:pPr>
        <w:jc w:val="center"/>
        <w:rPr>
          <w:rFonts w:ascii="Times New Roman" w:hAnsi="Times New Roman" w:cs="Times New Roman"/>
          <w:b/>
          <w:sz w:val="24"/>
          <w:szCs w:val="24"/>
        </w:rPr>
      </w:pPr>
      <w:r w:rsidRPr="00AF7D9D">
        <w:rPr>
          <w:rFonts w:ascii="Times New Roman" w:hAnsi="Times New Roman" w:cs="Times New Roman"/>
          <w:b/>
          <w:sz w:val="24"/>
          <w:szCs w:val="24"/>
        </w:rPr>
        <w:lastRenderedPageBreak/>
        <w:t>Abstract</w:t>
      </w:r>
    </w:p>
    <w:p w14:paraId="2D55C123" w14:textId="2713B2A5" w:rsidR="00096145" w:rsidRPr="00AF7D9D" w:rsidRDefault="0045358E" w:rsidP="006914E3">
      <w:pPr>
        <w:spacing w:line="480" w:lineRule="auto"/>
        <w:rPr>
          <w:rFonts w:ascii="Times New Roman" w:hAnsi="Times New Roman" w:cs="Times New Roman"/>
          <w:sz w:val="24"/>
          <w:szCs w:val="24"/>
        </w:rPr>
      </w:pPr>
      <w:r w:rsidRPr="00AF7D9D">
        <w:rPr>
          <w:rFonts w:ascii="Times New Roman" w:hAnsi="Times New Roman" w:cs="Times New Roman"/>
          <w:sz w:val="24"/>
          <w:szCs w:val="24"/>
        </w:rPr>
        <w:tab/>
        <w:t xml:space="preserve">The Youth </w:t>
      </w:r>
      <w:r w:rsidR="00584473" w:rsidRPr="00AF7D9D">
        <w:rPr>
          <w:rFonts w:ascii="Times New Roman" w:hAnsi="Times New Roman" w:cs="Times New Roman"/>
          <w:sz w:val="24"/>
          <w:szCs w:val="24"/>
        </w:rPr>
        <w:t xml:space="preserve">Psychopathic </w:t>
      </w:r>
      <w:r w:rsidRPr="00AF7D9D">
        <w:rPr>
          <w:rFonts w:ascii="Times New Roman" w:hAnsi="Times New Roman" w:cs="Times New Roman"/>
          <w:sz w:val="24"/>
          <w:szCs w:val="24"/>
        </w:rPr>
        <w:t xml:space="preserve">Traits Inventory – Short Form (YPI-S; </w:t>
      </w:r>
      <w:r w:rsidR="004815D7" w:rsidRPr="00AF7D9D">
        <w:rPr>
          <w:rFonts w:ascii="Times New Roman" w:hAnsi="Times New Roman" w:cs="Times New Roman"/>
          <w:sz w:val="24"/>
          <w:szCs w:val="24"/>
        </w:rPr>
        <w:t xml:space="preserve">van Baardewijk, 2010) </w:t>
      </w:r>
      <w:r w:rsidR="00096145" w:rsidRPr="00AF7D9D">
        <w:rPr>
          <w:rFonts w:ascii="Times New Roman" w:hAnsi="Times New Roman" w:cs="Times New Roman"/>
          <w:sz w:val="24"/>
          <w:szCs w:val="24"/>
        </w:rPr>
        <w:t>is a</w:t>
      </w:r>
      <w:r w:rsidR="0023154C" w:rsidRPr="00AF7D9D">
        <w:rPr>
          <w:rFonts w:ascii="Times New Roman" w:hAnsi="Times New Roman" w:cs="Times New Roman"/>
          <w:sz w:val="24"/>
          <w:szCs w:val="24"/>
        </w:rPr>
        <w:t xml:space="preserve"> convenient measure</w:t>
      </w:r>
      <w:r w:rsidR="00096145" w:rsidRPr="00AF7D9D">
        <w:rPr>
          <w:rFonts w:ascii="Times New Roman" w:hAnsi="Times New Roman" w:cs="Times New Roman"/>
          <w:sz w:val="24"/>
          <w:szCs w:val="24"/>
        </w:rPr>
        <w:t xml:space="preserve"> </w:t>
      </w:r>
      <w:r w:rsidR="0023154C" w:rsidRPr="00AF7D9D">
        <w:rPr>
          <w:rFonts w:ascii="Times New Roman" w:hAnsi="Times New Roman" w:cs="Times New Roman"/>
          <w:sz w:val="24"/>
          <w:szCs w:val="24"/>
        </w:rPr>
        <w:t xml:space="preserve">for assessing psychopathy in settings with constraints on resources. However, the YPI-S </w:t>
      </w:r>
      <w:r w:rsidR="00EB3666" w:rsidRPr="00AF7D9D">
        <w:rPr>
          <w:rFonts w:ascii="Times New Roman" w:hAnsi="Times New Roman" w:cs="Times New Roman"/>
          <w:sz w:val="24"/>
          <w:szCs w:val="24"/>
        </w:rPr>
        <w:t xml:space="preserve">does not contain a means of detecting careless or random response styles. The present study describes the development and </w:t>
      </w:r>
      <w:r w:rsidR="00584473" w:rsidRPr="00AF7D9D">
        <w:rPr>
          <w:rFonts w:ascii="Times New Roman" w:hAnsi="Times New Roman" w:cs="Times New Roman"/>
          <w:sz w:val="24"/>
          <w:szCs w:val="24"/>
        </w:rPr>
        <w:t xml:space="preserve">evaluation </w:t>
      </w:r>
      <w:r w:rsidR="00EB3666" w:rsidRPr="00AF7D9D">
        <w:rPr>
          <w:rFonts w:ascii="Times New Roman" w:hAnsi="Times New Roman" w:cs="Times New Roman"/>
          <w:sz w:val="24"/>
          <w:szCs w:val="24"/>
        </w:rPr>
        <w:t xml:space="preserve">of an inconsistent responding scale for the YPI-S using five archival samples that vary in language (English, </w:t>
      </w:r>
      <w:r w:rsidR="006A10CD" w:rsidRPr="00AF7D9D">
        <w:rPr>
          <w:rFonts w:ascii="Times New Roman" w:hAnsi="Times New Roman" w:cs="Times New Roman"/>
          <w:sz w:val="24"/>
          <w:szCs w:val="24"/>
        </w:rPr>
        <w:t xml:space="preserve">German, </w:t>
      </w:r>
      <w:r w:rsidR="00EB3666" w:rsidRPr="00AF7D9D">
        <w:rPr>
          <w:rFonts w:ascii="Times New Roman" w:hAnsi="Times New Roman" w:cs="Times New Roman"/>
          <w:sz w:val="24"/>
          <w:szCs w:val="24"/>
        </w:rPr>
        <w:t>Italian, Dutch) and other</w:t>
      </w:r>
      <w:r w:rsidR="00584473" w:rsidRPr="00AF7D9D">
        <w:rPr>
          <w:rFonts w:ascii="Times New Roman" w:hAnsi="Times New Roman" w:cs="Times New Roman"/>
          <w:sz w:val="24"/>
          <w:szCs w:val="24"/>
        </w:rPr>
        <w:t xml:space="preserve"> </w:t>
      </w:r>
      <w:r w:rsidR="00EB3666" w:rsidRPr="00AF7D9D">
        <w:rPr>
          <w:rFonts w:ascii="Times New Roman" w:hAnsi="Times New Roman" w:cs="Times New Roman"/>
          <w:sz w:val="24"/>
          <w:szCs w:val="24"/>
        </w:rPr>
        <w:t xml:space="preserve">participant characteristics (juvenile offenders, adolescent students). </w:t>
      </w:r>
      <w:r w:rsidR="0023154C" w:rsidRPr="00AF7D9D">
        <w:rPr>
          <w:rFonts w:ascii="Times New Roman" w:hAnsi="Times New Roman" w:cs="Times New Roman"/>
          <w:sz w:val="24"/>
          <w:szCs w:val="24"/>
        </w:rPr>
        <w:t xml:space="preserve">Inconsistency scores resulting from the new scale </w:t>
      </w:r>
      <w:r w:rsidR="00C30C04" w:rsidRPr="00AF7D9D">
        <w:rPr>
          <w:rFonts w:ascii="Times New Roman" w:hAnsi="Times New Roman" w:cs="Times New Roman"/>
          <w:sz w:val="24"/>
          <w:szCs w:val="24"/>
        </w:rPr>
        <w:t>effectively distinguished genuine part</w:t>
      </w:r>
      <w:r w:rsidR="008376BA" w:rsidRPr="00AF7D9D">
        <w:rPr>
          <w:rFonts w:ascii="Times New Roman" w:hAnsi="Times New Roman" w:cs="Times New Roman"/>
          <w:sz w:val="24"/>
          <w:szCs w:val="24"/>
        </w:rPr>
        <w:t xml:space="preserve">icipant responses from randomly </w:t>
      </w:r>
      <w:r w:rsidR="00C30C04" w:rsidRPr="00AF7D9D">
        <w:rPr>
          <w:rFonts w:ascii="Times New Roman" w:hAnsi="Times New Roman" w:cs="Times New Roman"/>
          <w:sz w:val="24"/>
          <w:szCs w:val="24"/>
        </w:rPr>
        <w:t>generated cases (AUCs = .85 - .90) and from cases in which 50% of original responses were replaced with random data (AUCs</w:t>
      </w:r>
      <w:r w:rsidR="0026614A" w:rsidRPr="00AF7D9D">
        <w:rPr>
          <w:rFonts w:ascii="Times New Roman" w:hAnsi="Times New Roman" w:cs="Times New Roman"/>
          <w:sz w:val="24"/>
          <w:szCs w:val="24"/>
        </w:rPr>
        <w:t xml:space="preserve"> </w:t>
      </w:r>
      <w:r w:rsidR="00C30C04" w:rsidRPr="00AF7D9D">
        <w:rPr>
          <w:rFonts w:ascii="Times New Roman" w:hAnsi="Times New Roman" w:cs="Times New Roman"/>
          <w:sz w:val="24"/>
          <w:szCs w:val="24"/>
        </w:rPr>
        <w:t xml:space="preserve">= .75 - .82). </w:t>
      </w:r>
      <w:r w:rsidR="0023154C" w:rsidRPr="00AF7D9D">
        <w:rPr>
          <w:rFonts w:ascii="Times New Roman" w:hAnsi="Times New Roman" w:cs="Times New Roman"/>
          <w:sz w:val="24"/>
          <w:szCs w:val="24"/>
        </w:rPr>
        <w:t xml:space="preserve">The </w:t>
      </w:r>
      <w:r w:rsidR="002045E7" w:rsidRPr="00AF7D9D">
        <w:rPr>
          <w:rFonts w:ascii="Times New Roman" w:hAnsi="Times New Roman" w:cs="Times New Roman"/>
          <w:sz w:val="24"/>
          <w:szCs w:val="24"/>
        </w:rPr>
        <w:t xml:space="preserve">associations </w:t>
      </w:r>
      <w:r w:rsidR="0023154C" w:rsidRPr="00AF7D9D">
        <w:rPr>
          <w:rFonts w:ascii="Times New Roman" w:hAnsi="Times New Roman" w:cs="Times New Roman"/>
          <w:sz w:val="24"/>
          <w:szCs w:val="24"/>
        </w:rPr>
        <w:t xml:space="preserve">between the YPI-S and theoretically relevant correlates </w:t>
      </w:r>
      <w:r w:rsidR="002045E7" w:rsidRPr="00AF7D9D">
        <w:rPr>
          <w:rFonts w:ascii="Times New Roman" w:hAnsi="Times New Roman" w:cs="Times New Roman"/>
          <w:sz w:val="24"/>
          <w:szCs w:val="24"/>
        </w:rPr>
        <w:t>were</w:t>
      </w:r>
      <w:r w:rsidR="0023154C" w:rsidRPr="00AF7D9D">
        <w:rPr>
          <w:rFonts w:ascii="Times New Roman" w:hAnsi="Times New Roman" w:cs="Times New Roman"/>
          <w:sz w:val="24"/>
          <w:szCs w:val="24"/>
        </w:rPr>
        <w:t xml:space="preserve"> reduced among participants exceeding proposed cut-off scores for profile validity compared with associations among more consistent respondents.</w:t>
      </w:r>
      <w:r w:rsidR="00C30C04" w:rsidRPr="00AF7D9D">
        <w:rPr>
          <w:rFonts w:ascii="Times New Roman" w:hAnsi="Times New Roman" w:cs="Times New Roman"/>
          <w:sz w:val="24"/>
          <w:szCs w:val="24"/>
        </w:rPr>
        <w:t xml:space="preserve"> </w:t>
      </w:r>
    </w:p>
    <w:p w14:paraId="4DDF2AC4" w14:textId="77777777" w:rsidR="00EB3666" w:rsidRPr="00AF7D9D" w:rsidRDefault="00EB3666" w:rsidP="006914E3">
      <w:pPr>
        <w:spacing w:line="480" w:lineRule="auto"/>
        <w:rPr>
          <w:rFonts w:ascii="Times New Roman" w:hAnsi="Times New Roman" w:cs="Times New Roman"/>
          <w:sz w:val="24"/>
          <w:szCs w:val="24"/>
        </w:rPr>
      </w:pPr>
      <w:r w:rsidRPr="00AF7D9D">
        <w:rPr>
          <w:rFonts w:ascii="Times New Roman" w:hAnsi="Times New Roman" w:cs="Times New Roman"/>
          <w:i/>
          <w:sz w:val="24"/>
          <w:szCs w:val="24"/>
        </w:rPr>
        <w:t>Keywords:</w:t>
      </w:r>
      <w:r w:rsidRPr="00AF7D9D">
        <w:rPr>
          <w:rFonts w:ascii="Times New Roman" w:hAnsi="Times New Roman" w:cs="Times New Roman"/>
          <w:sz w:val="24"/>
          <w:szCs w:val="24"/>
        </w:rPr>
        <w:t xml:space="preserve"> inconsistent responding, psychopathy assessment, Youth</w:t>
      </w:r>
      <w:r w:rsidRPr="00AF7D9D">
        <w:rPr>
          <w:rFonts w:ascii="Times New Roman" w:hAnsi="Times New Roman" w:cs="Times New Roman"/>
          <w:i/>
          <w:sz w:val="24"/>
          <w:szCs w:val="24"/>
        </w:rPr>
        <w:t xml:space="preserve"> </w:t>
      </w:r>
      <w:r w:rsidR="00CD44E1" w:rsidRPr="00AF7D9D">
        <w:rPr>
          <w:rFonts w:ascii="Times New Roman" w:hAnsi="Times New Roman" w:cs="Times New Roman"/>
          <w:sz w:val="24"/>
          <w:szCs w:val="24"/>
        </w:rPr>
        <w:t>Psychopathic</w:t>
      </w:r>
      <w:r w:rsidRPr="00AF7D9D">
        <w:rPr>
          <w:rFonts w:ascii="Times New Roman" w:hAnsi="Times New Roman" w:cs="Times New Roman"/>
          <w:sz w:val="24"/>
          <w:szCs w:val="24"/>
        </w:rPr>
        <w:t xml:space="preserve"> Traits Inventory, short form, validity scales</w:t>
      </w:r>
    </w:p>
    <w:p w14:paraId="05786CE2" w14:textId="77777777" w:rsidR="00FD21A4" w:rsidRPr="00AF7D9D" w:rsidRDefault="00FD21A4" w:rsidP="00CD44E1">
      <w:pPr>
        <w:spacing w:after="0" w:line="480" w:lineRule="auto"/>
        <w:jc w:val="center"/>
        <w:rPr>
          <w:rFonts w:ascii="Times New Roman" w:hAnsi="Times New Roman" w:cs="Times New Roman"/>
          <w:b/>
          <w:sz w:val="24"/>
          <w:szCs w:val="24"/>
        </w:rPr>
      </w:pPr>
      <w:r w:rsidRPr="00AF7D9D">
        <w:rPr>
          <w:rFonts w:ascii="Times New Roman" w:hAnsi="Times New Roman" w:cs="Times New Roman"/>
          <w:sz w:val="24"/>
          <w:szCs w:val="24"/>
        </w:rPr>
        <w:br w:type="page"/>
      </w:r>
      <w:r w:rsidRPr="00AF7D9D">
        <w:rPr>
          <w:rFonts w:ascii="Times New Roman" w:hAnsi="Times New Roman" w:cs="Times New Roman"/>
          <w:b/>
          <w:sz w:val="24"/>
          <w:szCs w:val="24"/>
        </w:rPr>
        <w:lastRenderedPageBreak/>
        <w:t xml:space="preserve">Detecting Inconsistent Responding on the Youth </w:t>
      </w:r>
      <w:r w:rsidR="00584473" w:rsidRPr="00AF7D9D">
        <w:rPr>
          <w:rFonts w:ascii="Times New Roman" w:hAnsi="Times New Roman" w:cs="Times New Roman"/>
          <w:b/>
          <w:sz w:val="24"/>
          <w:szCs w:val="24"/>
        </w:rPr>
        <w:t xml:space="preserve">Psychopathic </w:t>
      </w:r>
      <w:r w:rsidRPr="00AF7D9D">
        <w:rPr>
          <w:rFonts w:ascii="Times New Roman" w:hAnsi="Times New Roman" w:cs="Times New Roman"/>
          <w:b/>
          <w:sz w:val="24"/>
          <w:szCs w:val="24"/>
        </w:rPr>
        <w:t>Traits Inventory – Short Form</w:t>
      </w:r>
    </w:p>
    <w:p w14:paraId="77F5DF1C" w14:textId="7741B964" w:rsidR="00096297" w:rsidRPr="00AF7D9D" w:rsidRDefault="00816B57" w:rsidP="00CD44E1">
      <w:pPr>
        <w:spacing w:after="0" w:line="480" w:lineRule="auto"/>
        <w:ind w:firstLine="720"/>
        <w:rPr>
          <w:rFonts w:ascii="Times New Roman" w:hAnsi="Times New Roman" w:cs="Times New Roman"/>
          <w:sz w:val="24"/>
          <w:szCs w:val="24"/>
        </w:rPr>
      </w:pPr>
      <w:r w:rsidRPr="00AF7D9D">
        <w:rPr>
          <w:rFonts w:ascii="Times New Roman" w:hAnsi="Times New Roman" w:cs="Times New Roman"/>
          <w:sz w:val="24"/>
          <w:szCs w:val="24"/>
        </w:rPr>
        <w:t xml:space="preserve">Although there is a long history of assessing antisocial and psychopathic traits </w:t>
      </w:r>
      <w:r w:rsidR="007D2BFA" w:rsidRPr="00AF7D9D">
        <w:rPr>
          <w:rFonts w:ascii="Times New Roman" w:hAnsi="Times New Roman" w:cs="Times New Roman"/>
          <w:sz w:val="24"/>
          <w:szCs w:val="24"/>
        </w:rPr>
        <w:t xml:space="preserve">using structured </w:t>
      </w:r>
      <w:r w:rsidRPr="00AF7D9D">
        <w:rPr>
          <w:rFonts w:ascii="Times New Roman" w:hAnsi="Times New Roman" w:cs="Times New Roman"/>
          <w:sz w:val="24"/>
          <w:szCs w:val="24"/>
        </w:rPr>
        <w:t>interview</w:t>
      </w:r>
      <w:r w:rsidR="0012282E" w:rsidRPr="00AF7D9D">
        <w:rPr>
          <w:rFonts w:ascii="Times New Roman" w:hAnsi="Times New Roman" w:cs="Times New Roman"/>
          <w:sz w:val="24"/>
          <w:szCs w:val="24"/>
        </w:rPr>
        <w:t>s</w:t>
      </w:r>
      <w:r w:rsidRPr="00AF7D9D">
        <w:rPr>
          <w:rFonts w:ascii="Times New Roman" w:hAnsi="Times New Roman" w:cs="Times New Roman"/>
          <w:sz w:val="24"/>
          <w:szCs w:val="24"/>
        </w:rPr>
        <w:t xml:space="preserve"> and file review</w:t>
      </w:r>
      <w:r w:rsidR="0012282E" w:rsidRPr="00AF7D9D">
        <w:rPr>
          <w:rFonts w:ascii="Times New Roman" w:hAnsi="Times New Roman" w:cs="Times New Roman"/>
          <w:sz w:val="24"/>
          <w:szCs w:val="24"/>
        </w:rPr>
        <w:t>s</w:t>
      </w:r>
      <w:r w:rsidRPr="00AF7D9D">
        <w:rPr>
          <w:rFonts w:ascii="Times New Roman" w:hAnsi="Times New Roman" w:cs="Times New Roman"/>
          <w:sz w:val="24"/>
          <w:szCs w:val="24"/>
        </w:rPr>
        <w:t xml:space="preserve"> </w:t>
      </w:r>
      <w:r w:rsidR="00F27B4A" w:rsidRPr="00AF7D9D">
        <w:rPr>
          <w:rFonts w:ascii="Times New Roman" w:hAnsi="Times New Roman" w:cs="Times New Roman"/>
          <w:sz w:val="24"/>
          <w:szCs w:val="24"/>
        </w:rPr>
        <w:t xml:space="preserve">that rely on trained examiners </w:t>
      </w:r>
      <w:r w:rsidRPr="00AF7D9D">
        <w:rPr>
          <w:rFonts w:ascii="Times New Roman" w:hAnsi="Times New Roman" w:cs="Times New Roman"/>
          <w:sz w:val="24"/>
          <w:szCs w:val="24"/>
        </w:rPr>
        <w:t>(</w:t>
      </w:r>
      <w:r w:rsidR="007D2BFA" w:rsidRPr="00AF7D9D">
        <w:rPr>
          <w:rFonts w:ascii="Times New Roman" w:hAnsi="Times New Roman" w:cs="Times New Roman"/>
          <w:sz w:val="24"/>
          <w:szCs w:val="24"/>
        </w:rPr>
        <w:t>e.g., First, Spitzer, Gibbon, Williams, &amp; Benjamin, 1997; Hare, 2003</w:t>
      </w:r>
      <w:r w:rsidRPr="00AF7D9D">
        <w:rPr>
          <w:rFonts w:ascii="Times New Roman" w:hAnsi="Times New Roman" w:cs="Times New Roman"/>
          <w:sz w:val="24"/>
          <w:szCs w:val="24"/>
        </w:rPr>
        <w:t xml:space="preserve">), various self-report inventories have demonstrated considerable utility in quantifying </w:t>
      </w:r>
      <w:r w:rsidR="004F2F54" w:rsidRPr="00AF7D9D">
        <w:rPr>
          <w:rFonts w:ascii="Times New Roman" w:hAnsi="Times New Roman" w:cs="Times New Roman"/>
          <w:sz w:val="24"/>
          <w:szCs w:val="24"/>
        </w:rPr>
        <w:t xml:space="preserve">these </w:t>
      </w:r>
      <w:r w:rsidR="0012282E" w:rsidRPr="00AF7D9D">
        <w:rPr>
          <w:rFonts w:ascii="Times New Roman" w:hAnsi="Times New Roman" w:cs="Times New Roman"/>
          <w:sz w:val="24"/>
          <w:szCs w:val="24"/>
        </w:rPr>
        <w:t>attributes</w:t>
      </w:r>
      <w:r w:rsidRPr="00AF7D9D">
        <w:rPr>
          <w:rFonts w:ascii="Times New Roman" w:hAnsi="Times New Roman" w:cs="Times New Roman"/>
          <w:sz w:val="24"/>
          <w:szCs w:val="24"/>
        </w:rPr>
        <w:t xml:space="preserve">. Though not without some controversy, self-report </w:t>
      </w:r>
      <w:r w:rsidR="007D2BFA" w:rsidRPr="00AF7D9D">
        <w:rPr>
          <w:rFonts w:ascii="Times New Roman" w:hAnsi="Times New Roman" w:cs="Times New Roman"/>
          <w:sz w:val="24"/>
          <w:szCs w:val="24"/>
        </w:rPr>
        <w:t xml:space="preserve">measures </w:t>
      </w:r>
      <w:r w:rsidR="0012282E" w:rsidRPr="00AF7D9D">
        <w:rPr>
          <w:rFonts w:ascii="Times New Roman" w:hAnsi="Times New Roman" w:cs="Times New Roman"/>
          <w:sz w:val="24"/>
          <w:szCs w:val="24"/>
        </w:rPr>
        <w:t xml:space="preserve">have been designed to assess important </w:t>
      </w:r>
      <w:r w:rsidR="00F52525" w:rsidRPr="00AF7D9D">
        <w:rPr>
          <w:rFonts w:ascii="Times New Roman" w:hAnsi="Times New Roman" w:cs="Times New Roman"/>
          <w:sz w:val="24"/>
          <w:szCs w:val="24"/>
        </w:rPr>
        <w:t xml:space="preserve">features of psychopathy such as </w:t>
      </w:r>
      <w:r w:rsidRPr="00AF7D9D">
        <w:rPr>
          <w:rFonts w:ascii="Times New Roman" w:hAnsi="Times New Roman" w:cs="Times New Roman"/>
          <w:sz w:val="24"/>
          <w:szCs w:val="24"/>
        </w:rPr>
        <w:t xml:space="preserve">remorselessness, grandiosity, superficial charm, irresponsibility, </w:t>
      </w:r>
      <w:r w:rsidR="00DA72AE" w:rsidRPr="00AF7D9D">
        <w:rPr>
          <w:rFonts w:ascii="Times New Roman" w:hAnsi="Times New Roman" w:cs="Times New Roman"/>
          <w:sz w:val="24"/>
          <w:szCs w:val="24"/>
        </w:rPr>
        <w:t xml:space="preserve">and </w:t>
      </w:r>
      <w:r w:rsidRPr="00AF7D9D">
        <w:rPr>
          <w:rFonts w:ascii="Times New Roman" w:hAnsi="Times New Roman" w:cs="Times New Roman"/>
          <w:sz w:val="24"/>
          <w:szCs w:val="24"/>
        </w:rPr>
        <w:t>impulsivity</w:t>
      </w:r>
      <w:r w:rsidR="00304C13" w:rsidRPr="00AF7D9D">
        <w:rPr>
          <w:rFonts w:ascii="Times New Roman" w:hAnsi="Times New Roman" w:cs="Times New Roman"/>
          <w:sz w:val="24"/>
          <w:szCs w:val="24"/>
        </w:rPr>
        <w:t xml:space="preserve"> and have the advantage of being relatively easy to administer</w:t>
      </w:r>
      <w:r w:rsidR="0012282E" w:rsidRPr="00AF7D9D">
        <w:rPr>
          <w:rFonts w:ascii="Times New Roman" w:hAnsi="Times New Roman" w:cs="Times New Roman"/>
          <w:sz w:val="24"/>
          <w:szCs w:val="24"/>
        </w:rPr>
        <w:t xml:space="preserve"> </w:t>
      </w:r>
      <w:r w:rsidR="00DA72AE" w:rsidRPr="00AF7D9D">
        <w:rPr>
          <w:rFonts w:ascii="Times New Roman" w:hAnsi="Times New Roman" w:cs="Times New Roman"/>
          <w:sz w:val="24"/>
          <w:szCs w:val="24"/>
        </w:rPr>
        <w:t>(see S</w:t>
      </w:r>
      <w:r w:rsidR="007D2BFA" w:rsidRPr="00AF7D9D">
        <w:rPr>
          <w:rFonts w:ascii="Times New Roman" w:hAnsi="Times New Roman" w:cs="Times New Roman"/>
          <w:sz w:val="24"/>
          <w:szCs w:val="24"/>
        </w:rPr>
        <w:t>ellbom, Lilienfeld, Fowler, &amp; McCrary, in press</w:t>
      </w:r>
      <w:r w:rsidRPr="00AF7D9D">
        <w:rPr>
          <w:rFonts w:ascii="Times New Roman" w:hAnsi="Times New Roman" w:cs="Times New Roman"/>
          <w:sz w:val="24"/>
          <w:szCs w:val="24"/>
        </w:rPr>
        <w:t xml:space="preserve">).  </w:t>
      </w:r>
      <w:r w:rsidR="00DA72AE" w:rsidRPr="00AF7D9D">
        <w:rPr>
          <w:rFonts w:ascii="Times New Roman" w:hAnsi="Times New Roman" w:cs="Times New Roman"/>
          <w:sz w:val="24"/>
          <w:szCs w:val="24"/>
        </w:rPr>
        <w:t xml:space="preserve">One </w:t>
      </w:r>
      <w:r w:rsidR="00711730" w:rsidRPr="00AF7D9D">
        <w:rPr>
          <w:rFonts w:ascii="Times New Roman" w:hAnsi="Times New Roman" w:cs="Times New Roman"/>
          <w:sz w:val="24"/>
          <w:szCs w:val="24"/>
        </w:rPr>
        <w:t xml:space="preserve">potential </w:t>
      </w:r>
      <w:r w:rsidR="00DA72AE" w:rsidRPr="00AF7D9D">
        <w:rPr>
          <w:rFonts w:ascii="Times New Roman" w:hAnsi="Times New Roman" w:cs="Times New Roman"/>
          <w:sz w:val="24"/>
          <w:szCs w:val="24"/>
        </w:rPr>
        <w:t xml:space="preserve">vulnerability of this approach, however, concerns the </w:t>
      </w:r>
      <w:r w:rsidR="00AD236F" w:rsidRPr="00AF7D9D">
        <w:rPr>
          <w:rFonts w:ascii="Times New Roman" w:hAnsi="Times New Roman" w:cs="Times New Roman"/>
          <w:sz w:val="24"/>
          <w:szCs w:val="24"/>
        </w:rPr>
        <w:t xml:space="preserve">negative </w:t>
      </w:r>
      <w:r w:rsidR="00DA72AE" w:rsidRPr="00AF7D9D">
        <w:rPr>
          <w:rFonts w:ascii="Times New Roman" w:hAnsi="Times New Roman" w:cs="Times New Roman"/>
          <w:sz w:val="24"/>
          <w:szCs w:val="24"/>
        </w:rPr>
        <w:t xml:space="preserve">effect of </w:t>
      </w:r>
      <w:r w:rsidRPr="00AF7D9D">
        <w:rPr>
          <w:rFonts w:ascii="Times New Roman" w:hAnsi="Times New Roman" w:cs="Times New Roman"/>
          <w:sz w:val="24"/>
          <w:szCs w:val="24"/>
        </w:rPr>
        <w:t xml:space="preserve">random and careless responding </w:t>
      </w:r>
      <w:r w:rsidR="00DA72AE" w:rsidRPr="00AF7D9D">
        <w:rPr>
          <w:rFonts w:ascii="Times New Roman" w:hAnsi="Times New Roman" w:cs="Times New Roman"/>
          <w:sz w:val="24"/>
          <w:szCs w:val="24"/>
        </w:rPr>
        <w:t>on the</w:t>
      </w:r>
      <w:r w:rsidRPr="00AF7D9D">
        <w:rPr>
          <w:rFonts w:ascii="Times New Roman" w:hAnsi="Times New Roman" w:cs="Times New Roman"/>
          <w:sz w:val="24"/>
          <w:szCs w:val="24"/>
        </w:rPr>
        <w:t xml:space="preserve"> psychometric properties and </w:t>
      </w:r>
      <w:r w:rsidR="00DA72AE" w:rsidRPr="00AF7D9D">
        <w:rPr>
          <w:rFonts w:ascii="Times New Roman" w:hAnsi="Times New Roman" w:cs="Times New Roman"/>
          <w:sz w:val="24"/>
          <w:szCs w:val="24"/>
        </w:rPr>
        <w:t>ultimate validity</w:t>
      </w:r>
      <w:r w:rsidR="007D2BFA" w:rsidRPr="00AF7D9D">
        <w:rPr>
          <w:rFonts w:ascii="Times New Roman" w:hAnsi="Times New Roman" w:cs="Times New Roman"/>
          <w:sz w:val="24"/>
          <w:szCs w:val="24"/>
        </w:rPr>
        <w:t xml:space="preserve"> </w:t>
      </w:r>
      <w:r w:rsidRPr="00AF7D9D">
        <w:rPr>
          <w:rFonts w:ascii="Times New Roman" w:hAnsi="Times New Roman" w:cs="Times New Roman"/>
          <w:sz w:val="24"/>
          <w:szCs w:val="24"/>
        </w:rPr>
        <w:t>of self-report</w:t>
      </w:r>
      <w:r w:rsidR="00F52525" w:rsidRPr="00AF7D9D">
        <w:rPr>
          <w:rFonts w:ascii="Times New Roman" w:hAnsi="Times New Roman" w:cs="Times New Roman"/>
          <w:sz w:val="24"/>
          <w:szCs w:val="24"/>
        </w:rPr>
        <w:t xml:space="preserve"> measures</w:t>
      </w:r>
      <w:r w:rsidR="00DA72AE" w:rsidRPr="00AF7D9D">
        <w:rPr>
          <w:rFonts w:ascii="Times New Roman" w:hAnsi="Times New Roman" w:cs="Times New Roman"/>
          <w:sz w:val="24"/>
          <w:szCs w:val="24"/>
        </w:rPr>
        <w:t xml:space="preserve"> </w:t>
      </w:r>
      <w:r w:rsidRPr="00AF7D9D">
        <w:rPr>
          <w:rFonts w:ascii="Times New Roman" w:hAnsi="Times New Roman" w:cs="Times New Roman"/>
          <w:sz w:val="24"/>
          <w:szCs w:val="24"/>
        </w:rPr>
        <w:t>(e.g., Curran, 2016; Huang, Liu, &amp; Bowling, 2015; Meade &amp; Craig, 2012).</w:t>
      </w:r>
    </w:p>
    <w:p w14:paraId="2E7D1A2D" w14:textId="27BCE100" w:rsidR="0077118A" w:rsidRPr="00AF7D9D" w:rsidRDefault="00816B57" w:rsidP="00CD44E1">
      <w:pPr>
        <w:spacing w:after="0" w:line="480" w:lineRule="auto"/>
        <w:ind w:firstLine="720"/>
        <w:rPr>
          <w:rFonts w:ascii="Times New Roman" w:hAnsi="Times New Roman" w:cs="Times New Roman"/>
          <w:sz w:val="24"/>
          <w:szCs w:val="24"/>
        </w:rPr>
      </w:pPr>
      <w:r w:rsidRPr="00AF7D9D">
        <w:rPr>
          <w:rFonts w:ascii="Times New Roman" w:hAnsi="Times New Roman" w:cs="Times New Roman"/>
          <w:sz w:val="24"/>
          <w:szCs w:val="24"/>
        </w:rPr>
        <w:t>The Youth Psychopathic Traits Inventory (YPI; Andershed</w:t>
      </w:r>
      <w:r w:rsidR="00DA72AE" w:rsidRPr="00AF7D9D">
        <w:rPr>
          <w:rFonts w:ascii="Times New Roman" w:hAnsi="Times New Roman" w:cs="Times New Roman"/>
          <w:sz w:val="24"/>
          <w:szCs w:val="24"/>
        </w:rPr>
        <w:t>, Kerr, Stattin, &amp; Levander, 2002</w:t>
      </w:r>
      <w:r w:rsidRPr="00AF7D9D">
        <w:rPr>
          <w:rFonts w:ascii="Times New Roman" w:hAnsi="Times New Roman" w:cs="Times New Roman"/>
          <w:sz w:val="24"/>
          <w:szCs w:val="24"/>
        </w:rPr>
        <w:t xml:space="preserve">) </w:t>
      </w:r>
      <w:r w:rsidR="00065819" w:rsidRPr="00AF7D9D">
        <w:rPr>
          <w:rFonts w:ascii="Times New Roman" w:hAnsi="Times New Roman" w:cs="Times New Roman"/>
          <w:sz w:val="24"/>
          <w:szCs w:val="24"/>
        </w:rPr>
        <w:t>is a widely used self-report measure of psychopathy designed for adolescent populations</w:t>
      </w:r>
      <w:r w:rsidR="00D45603" w:rsidRPr="00AF7D9D">
        <w:rPr>
          <w:rFonts w:ascii="Times New Roman" w:hAnsi="Times New Roman" w:cs="Times New Roman"/>
          <w:sz w:val="24"/>
          <w:szCs w:val="24"/>
        </w:rPr>
        <w:t xml:space="preserve">, although studies </w:t>
      </w:r>
      <w:r w:rsidR="00F75F30" w:rsidRPr="00AF7D9D">
        <w:rPr>
          <w:rFonts w:ascii="Times New Roman" w:hAnsi="Times New Roman" w:cs="Times New Roman"/>
          <w:sz w:val="24"/>
          <w:szCs w:val="24"/>
        </w:rPr>
        <w:t>support the validity of the measure</w:t>
      </w:r>
      <w:r w:rsidR="00D45603" w:rsidRPr="00AF7D9D">
        <w:rPr>
          <w:rFonts w:ascii="Times New Roman" w:hAnsi="Times New Roman" w:cs="Times New Roman"/>
          <w:sz w:val="24"/>
          <w:szCs w:val="24"/>
        </w:rPr>
        <w:t xml:space="preserve"> </w:t>
      </w:r>
      <w:r w:rsidR="00F75F30" w:rsidRPr="00AF7D9D">
        <w:rPr>
          <w:rFonts w:ascii="Times New Roman" w:hAnsi="Times New Roman" w:cs="Times New Roman"/>
          <w:sz w:val="24"/>
          <w:szCs w:val="24"/>
        </w:rPr>
        <w:t>among young adults as well (e.g., Campbell, Doucette, &amp; French, 2009)</w:t>
      </w:r>
      <w:r w:rsidR="00065819" w:rsidRPr="00AF7D9D">
        <w:rPr>
          <w:rFonts w:ascii="Times New Roman" w:hAnsi="Times New Roman" w:cs="Times New Roman"/>
          <w:sz w:val="24"/>
          <w:szCs w:val="24"/>
        </w:rPr>
        <w:t xml:space="preserve">. This instrument </w:t>
      </w:r>
      <w:r w:rsidRPr="00AF7D9D">
        <w:rPr>
          <w:rFonts w:ascii="Times New Roman" w:hAnsi="Times New Roman" w:cs="Times New Roman"/>
          <w:sz w:val="24"/>
          <w:szCs w:val="24"/>
        </w:rPr>
        <w:t xml:space="preserve">has been extensively </w:t>
      </w:r>
      <w:r w:rsidR="00F52525" w:rsidRPr="00AF7D9D">
        <w:rPr>
          <w:rFonts w:ascii="Times New Roman" w:hAnsi="Times New Roman" w:cs="Times New Roman"/>
          <w:sz w:val="24"/>
          <w:szCs w:val="24"/>
        </w:rPr>
        <w:t>researched</w:t>
      </w:r>
      <w:r w:rsidRPr="00AF7D9D">
        <w:rPr>
          <w:rFonts w:ascii="Times New Roman" w:hAnsi="Times New Roman" w:cs="Times New Roman"/>
          <w:sz w:val="24"/>
          <w:szCs w:val="24"/>
        </w:rPr>
        <w:t xml:space="preserve"> across </w:t>
      </w:r>
      <w:r w:rsidR="00711730" w:rsidRPr="00AF7D9D">
        <w:rPr>
          <w:rFonts w:ascii="Times New Roman" w:hAnsi="Times New Roman" w:cs="Times New Roman"/>
          <w:sz w:val="24"/>
          <w:szCs w:val="24"/>
        </w:rPr>
        <w:t>various</w:t>
      </w:r>
      <w:r w:rsidRPr="00AF7D9D">
        <w:rPr>
          <w:rFonts w:ascii="Times New Roman" w:hAnsi="Times New Roman" w:cs="Times New Roman"/>
          <w:sz w:val="24"/>
          <w:szCs w:val="24"/>
        </w:rPr>
        <w:t xml:space="preserve"> languages and nationalities (e.g., </w:t>
      </w:r>
      <w:r w:rsidR="00430035" w:rsidRPr="00AF7D9D">
        <w:rPr>
          <w:rFonts w:ascii="Times New Roman" w:hAnsi="Times New Roman" w:cs="Times New Roman"/>
          <w:sz w:val="24"/>
          <w:szCs w:val="24"/>
        </w:rPr>
        <w:t>Fossati et al., 2016; Oshukova et al., 2015; Pechorro, Andershed, Ray, Maroco, &amp; Gonçalves, 2015</w:t>
      </w:r>
      <w:r w:rsidRPr="00AF7D9D">
        <w:rPr>
          <w:rFonts w:ascii="Times New Roman" w:hAnsi="Times New Roman" w:cs="Times New Roman"/>
          <w:sz w:val="24"/>
          <w:szCs w:val="24"/>
        </w:rPr>
        <w:t>)</w:t>
      </w:r>
      <w:r w:rsidR="00304C13" w:rsidRPr="00AF7D9D">
        <w:rPr>
          <w:rFonts w:ascii="Times New Roman" w:hAnsi="Times New Roman" w:cs="Times New Roman"/>
          <w:sz w:val="24"/>
          <w:szCs w:val="24"/>
        </w:rPr>
        <w:t>. Scores on the YPI</w:t>
      </w:r>
      <w:r w:rsidR="00430035" w:rsidRPr="00AF7D9D">
        <w:rPr>
          <w:rFonts w:ascii="Times New Roman" w:hAnsi="Times New Roman" w:cs="Times New Roman"/>
          <w:sz w:val="24"/>
          <w:szCs w:val="24"/>
        </w:rPr>
        <w:t xml:space="preserve"> are associated with a range of theoretically relevant criterion variables, including externalizing psychiatric disorders, </w:t>
      </w:r>
      <w:r w:rsidR="00F36ED1" w:rsidRPr="00AF7D9D">
        <w:rPr>
          <w:rFonts w:ascii="Times New Roman" w:hAnsi="Times New Roman" w:cs="Times New Roman"/>
          <w:sz w:val="24"/>
          <w:szCs w:val="24"/>
        </w:rPr>
        <w:t xml:space="preserve">aggression, </w:t>
      </w:r>
      <w:r w:rsidR="00430035" w:rsidRPr="00AF7D9D">
        <w:rPr>
          <w:rFonts w:ascii="Times New Roman" w:hAnsi="Times New Roman" w:cs="Times New Roman"/>
          <w:sz w:val="24"/>
          <w:szCs w:val="24"/>
        </w:rPr>
        <w:t>offending behaviors, and substance use (</w:t>
      </w:r>
      <w:r w:rsidR="00F36ED1" w:rsidRPr="00AF7D9D">
        <w:rPr>
          <w:rFonts w:ascii="Times New Roman" w:hAnsi="Times New Roman" w:cs="Times New Roman"/>
          <w:sz w:val="24"/>
          <w:szCs w:val="24"/>
        </w:rPr>
        <w:t xml:space="preserve">e.g., Colins, Bijttebier, Broekaert, &amp; Andershed, 2014; Dolan &amp; Rennie, 2007; </w:t>
      </w:r>
      <w:r w:rsidR="00430035" w:rsidRPr="00AF7D9D">
        <w:rPr>
          <w:rFonts w:ascii="Times New Roman" w:hAnsi="Times New Roman" w:cs="Times New Roman"/>
          <w:sz w:val="24"/>
          <w:szCs w:val="24"/>
        </w:rPr>
        <w:t>Hillege, Das, &amp; de Ruiter, 2010)</w:t>
      </w:r>
      <w:r w:rsidR="00E96E95" w:rsidRPr="00AF7D9D">
        <w:rPr>
          <w:rFonts w:ascii="Times New Roman" w:hAnsi="Times New Roman" w:cs="Times New Roman"/>
          <w:sz w:val="24"/>
          <w:szCs w:val="24"/>
        </w:rPr>
        <w:t xml:space="preserve">. </w:t>
      </w:r>
      <w:r w:rsidRPr="00AF7D9D">
        <w:rPr>
          <w:rFonts w:ascii="Times New Roman" w:hAnsi="Times New Roman" w:cs="Times New Roman"/>
          <w:sz w:val="24"/>
          <w:szCs w:val="24"/>
        </w:rPr>
        <w:t xml:space="preserve">Moreover, given the inclusion of “Limited Prosocial Emotions” as a new specifier for </w:t>
      </w:r>
      <w:r w:rsidR="00F52525" w:rsidRPr="00AF7D9D">
        <w:rPr>
          <w:rFonts w:ascii="Times New Roman" w:hAnsi="Times New Roman" w:cs="Times New Roman"/>
          <w:sz w:val="24"/>
          <w:szCs w:val="24"/>
        </w:rPr>
        <w:t>the</w:t>
      </w:r>
      <w:r w:rsidR="0077118A" w:rsidRPr="00AF7D9D">
        <w:rPr>
          <w:rFonts w:ascii="Times New Roman" w:hAnsi="Times New Roman" w:cs="Times New Roman"/>
          <w:sz w:val="24"/>
          <w:szCs w:val="24"/>
        </w:rPr>
        <w:t xml:space="preserve"> diagnosis of </w:t>
      </w:r>
      <w:r w:rsidRPr="00AF7D9D">
        <w:rPr>
          <w:rFonts w:ascii="Times New Roman" w:hAnsi="Times New Roman" w:cs="Times New Roman"/>
          <w:sz w:val="24"/>
          <w:szCs w:val="24"/>
        </w:rPr>
        <w:t xml:space="preserve">Conduct Disorder in the </w:t>
      </w:r>
      <w:r w:rsidR="00F27B4A" w:rsidRPr="00AF7D9D">
        <w:rPr>
          <w:rFonts w:ascii="Times New Roman" w:hAnsi="Times New Roman" w:cs="Times New Roman"/>
          <w:sz w:val="24"/>
          <w:szCs w:val="24"/>
        </w:rPr>
        <w:t xml:space="preserve">most recent </w:t>
      </w:r>
      <w:r w:rsidRPr="00AF7D9D">
        <w:rPr>
          <w:rFonts w:ascii="Times New Roman" w:hAnsi="Times New Roman" w:cs="Times New Roman"/>
          <w:i/>
          <w:sz w:val="24"/>
          <w:szCs w:val="24"/>
        </w:rPr>
        <w:t>Diagnostic and Statisti</w:t>
      </w:r>
      <w:r w:rsidR="00F52525" w:rsidRPr="00AF7D9D">
        <w:rPr>
          <w:rFonts w:ascii="Times New Roman" w:hAnsi="Times New Roman" w:cs="Times New Roman"/>
          <w:i/>
          <w:sz w:val="24"/>
          <w:szCs w:val="24"/>
        </w:rPr>
        <w:t>cal Manual of Mental Disorders</w:t>
      </w:r>
      <w:r w:rsidRPr="00AF7D9D">
        <w:rPr>
          <w:rFonts w:ascii="Times New Roman" w:hAnsi="Times New Roman" w:cs="Times New Roman"/>
          <w:sz w:val="24"/>
          <w:szCs w:val="24"/>
        </w:rPr>
        <w:t xml:space="preserve"> (</w:t>
      </w:r>
      <w:r w:rsidRPr="00AF7D9D">
        <w:rPr>
          <w:rFonts w:ascii="Times New Roman" w:hAnsi="Times New Roman" w:cs="Times New Roman"/>
          <w:i/>
          <w:sz w:val="24"/>
          <w:szCs w:val="24"/>
        </w:rPr>
        <w:t>DSM-5</w:t>
      </w:r>
      <w:r w:rsidRPr="00AF7D9D">
        <w:rPr>
          <w:rFonts w:ascii="Times New Roman" w:hAnsi="Times New Roman" w:cs="Times New Roman"/>
          <w:sz w:val="24"/>
          <w:szCs w:val="24"/>
        </w:rPr>
        <w:t xml:space="preserve">; </w:t>
      </w:r>
      <w:r w:rsidRPr="00AF7D9D">
        <w:rPr>
          <w:rFonts w:ascii="Times New Roman" w:hAnsi="Times New Roman" w:cs="Times New Roman"/>
          <w:sz w:val="24"/>
          <w:szCs w:val="24"/>
        </w:rPr>
        <w:lastRenderedPageBreak/>
        <w:t xml:space="preserve">American Psychiatric </w:t>
      </w:r>
      <w:r w:rsidR="0077118A" w:rsidRPr="00AF7D9D">
        <w:rPr>
          <w:rFonts w:ascii="Times New Roman" w:hAnsi="Times New Roman" w:cs="Times New Roman"/>
          <w:sz w:val="24"/>
          <w:szCs w:val="24"/>
        </w:rPr>
        <w:t>Association, 2013</w:t>
      </w:r>
      <w:r w:rsidRPr="00AF7D9D">
        <w:rPr>
          <w:rFonts w:ascii="Times New Roman" w:hAnsi="Times New Roman" w:cs="Times New Roman"/>
          <w:sz w:val="24"/>
          <w:szCs w:val="24"/>
        </w:rPr>
        <w:t xml:space="preserve">), </w:t>
      </w:r>
      <w:r w:rsidR="00B24955" w:rsidRPr="00AF7D9D">
        <w:rPr>
          <w:rFonts w:ascii="Times New Roman" w:hAnsi="Times New Roman" w:cs="Times New Roman"/>
          <w:sz w:val="24"/>
          <w:szCs w:val="24"/>
        </w:rPr>
        <w:t xml:space="preserve">callous-unemotional features of </w:t>
      </w:r>
      <w:r w:rsidR="0077118A" w:rsidRPr="00AF7D9D">
        <w:rPr>
          <w:rFonts w:ascii="Times New Roman" w:hAnsi="Times New Roman" w:cs="Times New Roman"/>
          <w:sz w:val="24"/>
          <w:szCs w:val="24"/>
        </w:rPr>
        <w:t>psychopath</w:t>
      </w:r>
      <w:r w:rsidR="00B24955" w:rsidRPr="00AF7D9D">
        <w:rPr>
          <w:rFonts w:ascii="Times New Roman" w:hAnsi="Times New Roman" w:cs="Times New Roman"/>
          <w:sz w:val="24"/>
          <w:szCs w:val="24"/>
        </w:rPr>
        <w:t>y</w:t>
      </w:r>
      <w:r w:rsidR="0077118A" w:rsidRPr="00AF7D9D">
        <w:rPr>
          <w:rFonts w:ascii="Times New Roman" w:hAnsi="Times New Roman" w:cs="Times New Roman"/>
          <w:sz w:val="24"/>
          <w:szCs w:val="24"/>
        </w:rPr>
        <w:t xml:space="preserve"> are increasingly likely to be emphasized in clinical and forensic assessments</w:t>
      </w:r>
      <w:r w:rsidR="00B24955" w:rsidRPr="00AF7D9D">
        <w:rPr>
          <w:rFonts w:ascii="Times New Roman" w:hAnsi="Times New Roman" w:cs="Times New Roman"/>
          <w:sz w:val="24"/>
          <w:szCs w:val="24"/>
        </w:rPr>
        <w:t xml:space="preserve"> of juveniles</w:t>
      </w:r>
      <w:r w:rsidR="0077118A" w:rsidRPr="00AF7D9D">
        <w:rPr>
          <w:rFonts w:ascii="Times New Roman" w:hAnsi="Times New Roman" w:cs="Times New Roman"/>
          <w:sz w:val="24"/>
          <w:szCs w:val="24"/>
        </w:rPr>
        <w:t>.</w:t>
      </w:r>
      <w:r w:rsidR="00B24955" w:rsidRPr="00AF7D9D">
        <w:rPr>
          <w:rFonts w:ascii="Times New Roman" w:hAnsi="Times New Roman" w:cs="Times New Roman"/>
          <w:sz w:val="24"/>
          <w:szCs w:val="24"/>
        </w:rPr>
        <w:t xml:space="preserve"> The YPI </w:t>
      </w:r>
      <w:r w:rsidR="00C529B5" w:rsidRPr="00AF7D9D">
        <w:rPr>
          <w:rFonts w:ascii="Times New Roman" w:hAnsi="Times New Roman" w:cs="Times New Roman"/>
          <w:sz w:val="24"/>
          <w:szCs w:val="24"/>
        </w:rPr>
        <w:t>provides</w:t>
      </w:r>
      <w:r w:rsidR="00D70DCF" w:rsidRPr="00AF7D9D">
        <w:rPr>
          <w:rFonts w:ascii="Times New Roman" w:hAnsi="Times New Roman" w:cs="Times New Roman"/>
          <w:sz w:val="24"/>
          <w:szCs w:val="24"/>
        </w:rPr>
        <w:t xml:space="preserve"> one means </w:t>
      </w:r>
      <w:r w:rsidR="00C529B5" w:rsidRPr="00AF7D9D">
        <w:rPr>
          <w:rFonts w:ascii="Times New Roman" w:hAnsi="Times New Roman" w:cs="Times New Roman"/>
          <w:sz w:val="24"/>
          <w:szCs w:val="24"/>
        </w:rPr>
        <w:t xml:space="preserve">of </w:t>
      </w:r>
      <w:r w:rsidR="00711730" w:rsidRPr="00AF7D9D">
        <w:rPr>
          <w:rFonts w:ascii="Times New Roman" w:hAnsi="Times New Roman" w:cs="Times New Roman"/>
          <w:sz w:val="24"/>
          <w:szCs w:val="24"/>
        </w:rPr>
        <w:t>informing</w:t>
      </w:r>
      <w:r w:rsidR="00D70DCF" w:rsidRPr="00AF7D9D">
        <w:rPr>
          <w:rFonts w:ascii="Times New Roman" w:hAnsi="Times New Roman" w:cs="Times New Roman"/>
          <w:sz w:val="24"/>
          <w:szCs w:val="24"/>
        </w:rPr>
        <w:t xml:space="preserve"> this diagnostic determination, as the measure </w:t>
      </w:r>
      <w:r w:rsidR="00AC4F13" w:rsidRPr="00AF7D9D">
        <w:rPr>
          <w:rFonts w:ascii="Times New Roman" w:hAnsi="Times New Roman" w:cs="Times New Roman"/>
          <w:sz w:val="24"/>
          <w:szCs w:val="24"/>
        </w:rPr>
        <w:t>contains item</w:t>
      </w:r>
      <w:r w:rsidR="00711730" w:rsidRPr="00AF7D9D">
        <w:rPr>
          <w:rFonts w:ascii="Times New Roman" w:hAnsi="Times New Roman" w:cs="Times New Roman"/>
          <w:sz w:val="24"/>
          <w:szCs w:val="24"/>
        </w:rPr>
        <w:t xml:space="preserve"> content</w:t>
      </w:r>
      <w:r w:rsidR="00AC4F13" w:rsidRPr="00AF7D9D">
        <w:rPr>
          <w:rFonts w:ascii="Times New Roman" w:hAnsi="Times New Roman" w:cs="Times New Roman"/>
          <w:sz w:val="24"/>
          <w:szCs w:val="24"/>
        </w:rPr>
        <w:t xml:space="preserve"> specifically referring to three of the four specifier criteria (remorselessness, callousness, and shallow affect), although</w:t>
      </w:r>
      <w:r w:rsidR="00D70DCF" w:rsidRPr="00AF7D9D">
        <w:rPr>
          <w:rFonts w:ascii="Times New Roman" w:hAnsi="Times New Roman" w:cs="Times New Roman"/>
          <w:sz w:val="24"/>
          <w:szCs w:val="24"/>
        </w:rPr>
        <w:t xml:space="preserve"> </w:t>
      </w:r>
      <w:r w:rsidR="00380232" w:rsidRPr="00AF7D9D">
        <w:rPr>
          <w:rFonts w:ascii="Times New Roman" w:hAnsi="Times New Roman" w:cs="Times New Roman"/>
          <w:sz w:val="24"/>
          <w:szCs w:val="24"/>
        </w:rPr>
        <w:t xml:space="preserve">it </w:t>
      </w:r>
      <w:r w:rsidR="00D70DCF" w:rsidRPr="00AF7D9D">
        <w:rPr>
          <w:rFonts w:ascii="Times New Roman" w:hAnsi="Times New Roman" w:cs="Times New Roman"/>
          <w:sz w:val="24"/>
          <w:szCs w:val="24"/>
        </w:rPr>
        <w:t>does not</w:t>
      </w:r>
      <w:r w:rsidR="00B24955" w:rsidRPr="00AF7D9D">
        <w:rPr>
          <w:rFonts w:ascii="Times New Roman" w:hAnsi="Times New Roman" w:cs="Times New Roman"/>
          <w:sz w:val="24"/>
          <w:szCs w:val="24"/>
        </w:rPr>
        <w:t xml:space="preserve"> directly assess concern about performance</w:t>
      </w:r>
      <w:r w:rsidR="00AC4F13" w:rsidRPr="00AF7D9D">
        <w:rPr>
          <w:rFonts w:ascii="Times New Roman" w:hAnsi="Times New Roman" w:cs="Times New Roman"/>
          <w:sz w:val="24"/>
          <w:szCs w:val="24"/>
        </w:rPr>
        <w:t xml:space="preserve"> (</w:t>
      </w:r>
      <w:r w:rsidR="00D70DCF" w:rsidRPr="00AF7D9D">
        <w:rPr>
          <w:rFonts w:ascii="Times New Roman" w:hAnsi="Times New Roman" w:cs="Times New Roman"/>
          <w:sz w:val="24"/>
          <w:szCs w:val="24"/>
        </w:rPr>
        <w:t xml:space="preserve">see </w:t>
      </w:r>
      <w:r w:rsidR="00E21FBC" w:rsidRPr="00AF7D9D">
        <w:rPr>
          <w:rFonts w:ascii="Times New Roman" w:hAnsi="Times New Roman" w:cs="Times New Roman"/>
          <w:sz w:val="24"/>
          <w:szCs w:val="24"/>
        </w:rPr>
        <w:t>Colins, 2016; Colins</w:t>
      </w:r>
      <w:r w:rsidR="00AC4F13" w:rsidRPr="00AF7D9D">
        <w:rPr>
          <w:rFonts w:ascii="Times New Roman" w:hAnsi="Times New Roman" w:cs="Times New Roman"/>
          <w:sz w:val="24"/>
          <w:szCs w:val="24"/>
        </w:rPr>
        <w:t xml:space="preserve"> &amp; Andershed, 2015)</w:t>
      </w:r>
      <w:r w:rsidR="00B24955" w:rsidRPr="00AF7D9D">
        <w:rPr>
          <w:rFonts w:ascii="Times New Roman" w:hAnsi="Times New Roman" w:cs="Times New Roman"/>
          <w:sz w:val="24"/>
          <w:szCs w:val="24"/>
        </w:rPr>
        <w:t>.</w:t>
      </w:r>
    </w:p>
    <w:p w14:paraId="1062047F" w14:textId="580A6D17" w:rsidR="00711730" w:rsidRPr="00AF7D9D" w:rsidRDefault="008B0AF1" w:rsidP="00CD44E1">
      <w:pPr>
        <w:spacing w:after="0" w:line="480" w:lineRule="auto"/>
        <w:ind w:firstLine="720"/>
        <w:rPr>
          <w:rFonts w:ascii="Times New Roman" w:hAnsi="Times New Roman" w:cs="Times New Roman"/>
          <w:sz w:val="24"/>
          <w:szCs w:val="24"/>
        </w:rPr>
      </w:pPr>
      <w:r w:rsidRPr="00AF7D9D">
        <w:rPr>
          <w:rFonts w:ascii="Times New Roman" w:hAnsi="Times New Roman" w:cs="Times New Roman"/>
          <w:sz w:val="24"/>
          <w:szCs w:val="24"/>
        </w:rPr>
        <w:t xml:space="preserve">When using self-report inventories, however, the validity of responses may be compromised by </w:t>
      </w:r>
      <w:r w:rsidR="00711730" w:rsidRPr="00AF7D9D">
        <w:rPr>
          <w:rFonts w:ascii="Times New Roman" w:hAnsi="Times New Roman" w:cs="Times New Roman"/>
          <w:sz w:val="24"/>
          <w:szCs w:val="24"/>
        </w:rPr>
        <w:t>confound</w:t>
      </w:r>
      <w:r w:rsidR="00E96E95" w:rsidRPr="00AF7D9D">
        <w:rPr>
          <w:rFonts w:ascii="Times New Roman" w:hAnsi="Times New Roman" w:cs="Times New Roman"/>
          <w:sz w:val="24"/>
          <w:szCs w:val="24"/>
        </w:rPr>
        <w:t>s</w:t>
      </w:r>
      <w:r w:rsidR="00AD236F" w:rsidRPr="00AF7D9D">
        <w:rPr>
          <w:rFonts w:ascii="Times New Roman" w:hAnsi="Times New Roman" w:cs="Times New Roman"/>
          <w:sz w:val="24"/>
          <w:szCs w:val="24"/>
        </w:rPr>
        <w:t xml:space="preserve"> such as</w:t>
      </w:r>
      <w:r w:rsidRPr="00AF7D9D">
        <w:rPr>
          <w:rFonts w:ascii="Times New Roman" w:hAnsi="Times New Roman" w:cs="Times New Roman"/>
          <w:sz w:val="24"/>
          <w:szCs w:val="24"/>
        </w:rPr>
        <w:t xml:space="preserve"> inattentive or random completion of the measure. Even conservative estimates suggest that careless responding occurs rather frequently among </w:t>
      </w:r>
      <w:r w:rsidR="00F27B4A" w:rsidRPr="00AF7D9D">
        <w:rPr>
          <w:rFonts w:ascii="Times New Roman" w:hAnsi="Times New Roman" w:cs="Times New Roman"/>
          <w:sz w:val="24"/>
          <w:szCs w:val="24"/>
        </w:rPr>
        <w:t xml:space="preserve">college </w:t>
      </w:r>
      <w:r w:rsidRPr="00AF7D9D">
        <w:rPr>
          <w:rFonts w:ascii="Times New Roman" w:hAnsi="Times New Roman" w:cs="Times New Roman"/>
          <w:sz w:val="24"/>
          <w:szCs w:val="24"/>
        </w:rPr>
        <w:t>student populations (10-20%</w:t>
      </w:r>
      <w:r w:rsidR="00B95FCD" w:rsidRPr="00AF7D9D">
        <w:rPr>
          <w:rFonts w:ascii="Times New Roman" w:hAnsi="Times New Roman" w:cs="Times New Roman"/>
          <w:sz w:val="24"/>
          <w:szCs w:val="24"/>
        </w:rPr>
        <w:t>; Curran, 2016</w:t>
      </w:r>
      <w:r w:rsidR="00110346" w:rsidRPr="00AF7D9D">
        <w:rPr>
          <w:rFonts w:ascii="Times New Roman" w:hAnsi="Times New Roman" w:cs="Times New Roman"/>
          <w:sz w:val="24"/>
          <w:szCs w:val="24"/>
        </w:rPr>
        <w:t>; Faust, Faust, Ba</w:t>
      </w:r>
      <w:r w:rsidRPr="00AF7D9D">
        <w:rPr>
          <w:rFonts w:ascii="Times New Roman" w:hAnsi="Times New Roman" w:cs="Times New Roman"/>
          <w:sz w:val="24"/>
          <w:szCs w:val="24"/>
        </w:rPr>
        <w:t>ke</w:t>
      </w:r>
      <w:r w:rsidR="00110346" w:rsidRPr="00AF7D9D">
        <w:rPr>
          <w:rFonts w:ascii="Times New Roman" w:hAnsi="Times New Roman" w:cs="Times New Roman"/>
          <w:sz w:val="24"/>
          <w:szCs w:val="24"/>
        </w:rPr>
        <w:t>r, &amp; Meyer, 2012</w:t>
      </w:r>
      <w:r w:rsidRPr="00AF7D9D">
        <w:rPr>
          <w:rFonts w:ascii="Times New Roman" w:hAnsi="Times New Roman" w:cs="Times New Roman"/>
          <w:sz w:val="24"/>
          <w:szCs w:val="24"/>
        </w:rPr>
        <w:t xml:space="preserve">) and juvenile offenders (5-10%; Cook, Faust, Meyer, &amp; Faust, 2016). These rates may be heightened when measures are administered anonymously, in the context of extensive survey batteries, or in distracting environments. Additionally, </w:t>
      </w:r>
      <w:r w:rsidR="00B95FCD" w:rsidRPr="00AF7D9D">
        <w:rPr>
          <w:rFonts w:ascii="Times New Roman" w:hAnsi="Times New Roman" w:cs="Times New Roman"/>
          <w:sz w:val="24"/>
          <w:szCs w:val="24"/>
        </w:rPr>
        <w:t xml:space="preserve">concerns about the influence of reading comprehension, attentiveness, and motivation on response validity may be especially applicable to juvenile populations. </w:t>
      </w:r>
    </w:p>
    <w:p w14:paraId="1B532EF1" w14:textId="47EBB4A5" w:rsidR="00B7610B" w:rsidRPr="00AF7D9D" w:rsidRDefault="004D19B9" w:rsidP="00CD44E1">
      <w:pPr>
        <w:spacing w:after="0" w:line="480" w:lineRule="auto"/>
        <w:ind w:firstLine="720"/>
        <w:rPr>
          <w:rFonts w:ascii="Times New Roman" w:hAnsi="Times New Roman" w:cs="Times New Roman"/>
          <w:sz w:val="24"/>
          <w:szCs w:val="24"/>
        </w:rPr>
      </w:pPr>
      <w:r w:rsidRPr="00AF7D9D">
        <w:rPr>
          <w:rFonts w:ascii="Times New Roman" w:hAnsi="Times New Roman" w:cs="Times New Roman"/>
          <w:sz w:val="24"/>
          <w:szCs w:val="24"/>
        </w:rPr>
        <w:t>Despite the</w:t>
      </w:r>
      <w:r w:rsidR="00711730" w:rsidRPr="00AF7D9D">
        <w:rPr>
          <w:rFonts w:ascii="Times New Roman" w:hAnsi="Times New Roman" w:cs="Times New Roman"/>
          <w:sz w:val="24"/>
          <w:szCs w:val="24"/>
        </w:rPr>
        <w:t xml:space="preserve"> ostensible need to identify </w:t>
      </w:r>
      <w:r w:rsidR="00E06071" w:rsidRPr="00AF7D9D">
        <w:rPr>
          <w:rFonts w:ascii="Times New Roman" w:hAnsi="Times New Roman" w:cs="Times New Roman"/>
          <w:sz w:val="24"/>
          <w:szCs w:val="24"/>
        </w:rPr>
        <w:t>“invalid”</w:t>
      </w:r>
      <w:r w:rsidR="00711730" w:rsidRPr="00AF7D9D">
        <w:rPr>
          <w:rFonts w:ascii="Times New Roman" w:hAnsi="Times New Roman" w:cs="Times New Roman"/>
          <w:sz w:val="24"/>
          <w:szCs w:val="24"/>
        </w:rPr>
        <w:t xml:space="preserve"> self-report data</w:t>
      </w:r>
      <w:r w:rsidRPr="00AF7D9D">
        <w:rPr>
          <w:rFonts w:ascii="Times New Roman" w:hAnsi="Times New Roman" w:cs="Times New Roman"/>
          <w:sz w:val="24"/>
          <w:szCs w:val="24"/>
        </w:rPr>
        <w:t>, the</w:t>
      </w:r>
      <w:r w:rsidR="005C2EB2" w:rsidRPr="00AF7D9D">
        <w:rPr>
          <w:rFonts w:ascii="Times New Roman" w:hAnsi="Times New Roman" w:cs="Times New Roman"/>
          <w:sz w:val="24"/>
          <w:szCs w:val="24"/>
        </w:rPr>
        <w:t xml:space="preserve"> utility of validity scales has been the focus of </w:t>
      </w:r>
      <w:r w:rsidRPr="00AF7D9D">
        <w:rPr>
          <w:rFonts w:ascii="Times New Roman" w:hAnsi="Times New Roman" w:cs="Times New Roman"/>
          <w:sz w:val="24"/>
          <w:szCs w:val="24"/>
        </w:rPr>
        <w:t xml:space="preserve">some </w:t>
      </w:r>
      <w:r w:rsidR="005C2EB2" w:rsidRPr="00AF7D9D">
        <w:rPr>
          <w:rFonts w:ascii="Times New Roman" w:hAnsi="Times New Roman" w:cs="Times New Roman"/>
          <w:sz w:val="24"/>
          <w:szCs w:val="24"/>
        </w:rPr>
        <w:t>controversy</w:t>
      </w:r>
      <w:r w:rsidRPr="00AF7D9D">
        <w:rPr>
          <w:rFonts w:ascii="Times New Roman" w:hAnsi="Times New Roman" w:cs="Times New Roman"/>
          <w:sz w:val="24"/>
          <w:szCs w:val="24"/>
        </w:rPr>
        <w:t xml:space="preserve"> and criticism</w:t>
      </w:r>
      <w:r w:rsidR="00711730" w:rsidRPr="00AF7D9D">
        <w:rPr>
          <w:rFonts w:ascii="Times New Roman" w:hAnsi="Times New Roman" w:cs="Times New Roman"/>
          <w:sz w:val="24"/>
          <w:szCs w:val="24"/>
        </w:rPr>
        <w:t>. F</w:t>
      </w:r>
      <w:r w:rsidRPr="00AF7D9D">
        <w:rPr>
          <w:rFonts w:ascii="Times New Roman" w:hAnsi="Times New Roman" w:cs="Times New Roman"/>
          <w:sz w:val="24"/>
          <w:szCs w:val="24"/>
        </w:rPr>
        <w:t xml:space="preserve">or example, </w:t>
      </w:r>
      <w:r w:rsidR="002045E7" w:rsidRPr="00AF7D9D">
        <w:rPr>
          <w:rFonts w:ascii="Times New Roman" w:hAnsi="Times New Roman" w:cs="Times New Roman"/>
          <w:sz w:val="24"/>
          <w:szCs w:val="24"/>
        </w:rPr>
        <w:t xml:space="preserve">measures </w:t>
      </w:r>
      <w:r w:rsidRPr="00AF7D9D">
        <w:rPr>
          <w:rFonts w:ascii="Times New Roman" w:hAnsi="Times New Roman" w:cs="Times New Roman"/>
          <w:sz w:val="24"/>
          <w:szCs w:val="24"/>
        </w:rPr>
        <w:t xml:space="preserve">of response style are open to different interpretations and </w:t>
      </w:r>
      <w:r w:rsidR="00826110" w:rsidRPr="00AF7D9D">
        <w:rPr>
          <w:rFonts w:ascii="Times New Roman" w:hAnsi="Times New Roman" w:cs="Times New Roman"/>
          <w:sz w:val="24"/>
          <w:szCs w:val="24"/>
        </w:rPr>
        <w:t xml:space="preserve">do not consistently moderate criterion-related validity </w:t>
      </w:r>
      <w:r w:rsidR="005C2EB2" w:rsidRPr="00AF7D9D">
        <w:rPr>
          <w:rFonts w:ascii="Times New Roman" w:hAnsi="Times New Roman" w:cs="Times New Roman"/>
          <w:sz w:val="24"/>
          <w:szCs w:val="24"/>
        </w:rPr>
        <w:t>(McGrath, Mitchell, Kim, &amp; Hough, 2010; Piedmont, McCrae, Riemann, &amp; Angleitner,</w:t>
      </w:r>
      <w:r w:rsidR="00826110" w:rsidRPr="00AF7D9D">
        <w:rPr>
          <w:rFonts w:ascii="Times New Roman" w:hAnsi="Times New Roman" w:cs="Times New Roman"/>
          <w:sz w:val="24"/>
          <w:szCs w:val="24"/>
        </w:rPr>
        <w:t xml:space="preserve"> 200</w:t>
      </w:r>
      <w:r w:rsidR="005C2EB2" w:rsidRPr="00AF7D9D">
        <w:rPr>
          <w:rFonts w:ascii="Times New Roman" w:hAnsi="Times New Roman" w:cs="Times New Roman"/>
          <w:sz w:val="24"/>
          <w:szCs w:val="24"/>
        </w:rPr>
        <w:t>0</w:t>
      </w:r>
      <w:r w:rsidR="00E040E9" w:rsidRPr="00AF7D9D">
        <w:rPr>
          <w:rFonts w:ascii="Times New Roman" w:hAnsi="Times New Roman" w:cs="Times New Roman"/>
          <w:sz w:val="24"/>
          <w:szCs w:val="24"/>
        </w:rPr>
        <w:t xml:space="preserve">; cf. </w:t>
      </w:r>
      <w:r w:rsidR="00780ABE" w:rsidRPr="00AF7D9D">
        <w:rPr>
          <w:rFonts w:ascii="Times New Roman" w:hAnsi="Times New Roman" w:cs="Times New Roman"/>
          <w:sz w:val="24"/>
          <w:szCs w:val="24"/>
        </w:rPr>
        <w:t xml:space="preserve">Anderson, Sellbom, Wygant, &amp; Edens, 2013; </w:t>
      </w:r>
      <w:r w:rsidR="00E040E9" w:rsidRPr="00AF7D9D">
        <w:rPr>
          <w:rFonts w:ascii="Times New Roman" w:hAnsi="Times New Roman" w:cs="Times New Roman"/>
          <w:sz w:val="24"/>
          <w:szCs w:val="24"/>
        </w:rPr>
        <w:t>Morey, 2012</w:t>
      </w:r>
      <w:r w:rsidR="005C2EB2" w:rsidRPr="00AF7D9D">
        <w:rPr>
          <w:rFonts w:ascii="Times New Roman" w:hAnsi="Times New Roman" w:cs="Times New Roman"/>
          <w:sz w:val="24"/>
          <w:szCs w:val="24"/>
        </w:rPr>
        <w:t>)</w:t>
      </w:r>
      <w:r w:rsidR="00826110" w:rsidRPr="00AF7D9D">
        <w:rPr>
          <w:rFonts w:ascii="Times New Roman" w:hAnsi="Times New Roman" w:cs="Times New Roman"/>
          <w:sz w:val="24"/>
          <w:szCs w:val="24"/>
        </w:rPr>
        <w:t>.</w:t>
      </w:r>
      <w:r w:rsidR="005C2EB2" w:rsidRPr="00AF7D9D">
        <w:rPr>
          <w:rFonts w:ascii="Times New Roman" w:hAnsi="Times New Roman" w:cs="Times New Roman"/>
          <w:sz w:val="24"/>
          <w:szCs w:val="24"/>
        </w:rPr>
        <w:t xml:space="preserve"> </w:t>
      </w:r>
      <w:r w:rsidR="00826110" w:rsidRPr="00AF7D9D">
        <w:rPr>
          <w:rFonts w:ascii="Times New Roman" w:hAnsi="Times New Roman" w:cs="Times New Roman"/>
          <w:sz w:val="24"/>
          <w:szCs w:val="24"/>
        </w:rPr>
        <w:t>However, more recent studies counter that</w:t>
      </w:r>
      <w:r w:rsidR="00B95FCD" w:rsidRPr="00AF7D9D">
        <w:rPr>
          <w:rFonts w:ascii="Times New Roman" w:hAnsi="Times New Roman" w:cs="Times New Roman"/>
          <w:sz w:val="24"/>
          <w:szCs w:val="24"/>
        </w:rPr>
        <w:t xml:space="preserve"> carele</w:t>
      </w:r>
      <w:r w:rsidR="00F52525" w:rsidRPr="00AF7D9D">
        <w:rPr>
          <w:rFonts w:ascii="Times New Roman" w:hAnsi="Times New Roman" w:cs="Times New Roman"/>
          <w:sz w:val="24"/>
          <w:szCs w:val="24"/>
        </w:rPr>
        <w:t>ss responding</w:t>
      </w:r>
      <w:r w:rsidR="00826110" w:rsidRPr="00AF7D9D">
        <w:rPr>
          <w:rFonts w:ascii="Times New Roman" w:hAnsi="Times New Roman" w:cs="Times New Roman"/>
          <w:sz w:val="24"/>
          <w:szCs w:val="24"/>
        </w:rPr>
        <w:t xml:space="preserve"> in particular</w:t>
      </w:r>
      <w:r w:rsidR="00F52525" w:rsidRPr="00AF7D9D">
        <w:rPr>
          <w:rFonts w:ascii="Times New Roman" w:hAnsi="Times New Roman" w:cs="Times New Roman"/>
          <w:sz w:val="24"/>
          <w:szCs w:val="24"/>
        </w:rPr>
        <w:t xml:space="preserve"> can</w:t>
      </w:r>
      <w:r w:rsidR="00B95FCD" w:rsidRPr="00AF7D9D">
        <w:rPr>
          <w:rFonts w:ascii="Times New Roman" w:hAnsi="Times New Roman" w:cs="Times New Roman"/>
          <w:sz w:val="24"/>
          <w:szCs w:val="24"/>
        </w:rPr>
        <w:t xml:space="preserve"> adversely impact factor structures (Benning &amp; Freeman, in press), produce spurious or attenuated validity coefficients (Kelley et al., 2017; Marcus, Churc</w:t>
      </w:r>
      <w:r w:rsidR="001708CA" w:rsidRPr="00AF7D9D">
        <w:rPr>
          <w:rFonts w:ascii="Times New Roman" w:hAnsi="Times New Roman" w:cs="Times New Roman"/>
          <w:sz w:val="24"/>
          <w:szCs w:val="24"/>
        </w:rPr>
        <w:t xml:space="preserve">h, O’Connell, &amp; Lilienfeld, </w:t>
      </w:r>
      <w:r w:rsidR="00372DF4" w:rsidRPr="00AF7D9D">
        <w:rPr>
          <w:rFonts w:ascii="Times New Roman" w:hAnsi="Times New Roman" w:cs="Times New Roman"/>
          <w:sz w:val="24"/>
          <w:szCs w:val="24"/>
        </w:rPr>
        <w:t>2016</w:t>
      </w:r>
      <w:r w:rsidR="00B95FCD" w:rsidRPr="00AF7D9D">
        <w:rPr>
          <w:rFonts w:ascii="Times New Roman" w:hAnsi="Times New Roman" w:cs="Times New Roman"/>
          <w:sz w:val="24"/>
          <w:szCs w:val="24"/>
        </w:rPr>
        <w:t xml:space="preserve">; Meade &amp; Craig, 2012), and otherwise </w:t>
      </w:r>
      <w:r w:rsidR="00B95FCD" w:rsidRPr="00AF7D9D">
        <w:rPr>
          <w:rFonts w:ascii="Times New Roman" w:hAnsi="Times New Roman" w:cs="Times New Roman"/>
          <w:sz w:val="24"/>
          <w:szCs w:val="24"/>
        </w:rPr>
        <w:lastRenderedPageBreak/>
        <w:t>alter</w:t>
      </w:r>
      <w:r w:rsidR="0012282E" w:rsidRPr="00AF7D9D">
        <w:rPr>
          <w:rFonts w:ascii="Times New Roman" w:hAnsi="Times New Roman" w:cs="Times New Roman"/>
          <w:sz w:val="24"/>
          <w:szCs w:val="24"/>
        </w:rPr>
        <w:t xml:space="preserve"> the</w:t>
      </w:r>
      <w:r w:rsidR="00B95FCD" w:rsidRPr="00AF7D9D">
        <w:rPr>
          <w:rFonts w:ascii="Times New Roman" w:hAnsi="Times New Roman" w:cs="Times New Roman"/>
          <w:sz w:val="24"/>
          <w:szCs w:val="24"/>
        </w:rPr>
        <w:t xml:space="preserve"> psychometric properties of measures (Cornell, Klein, Konold, &amp; Huang, 2012; Curran, 2016; Huang</w:t>
      </w:r>
      <w:r w:rsidR="00E96E95" w:rsidRPr="00AF7D9D">
        <w:rPr>
          <w:rFonts w:ascii="Times New Roman" w:hAnsi="Times New Roman" w:cs="Times New Roman"/>
          <w:sz w:val="24"/>
          <w:szCs w:val="24"/>
        </w:rPr>
        <w:t xml:space="preserve"> et al.</w:t>
      </w:r>
      <w:r w:rsidR="00B95FCD" w:rsidRPr="00AF7D9D">
        <w:rPr>
          <w:rFonts w:ascii="Times New Roman" w:hAnsi="Times New Roman" w:cs="Times New Roman"/>
          <w:sz w:val="24"/>
          <w:szCs w:val="24"/>
        </w:rPr>
        <w:t>, 2015</w:t>
      </w:r>
      <w:r w:rsidR="00E06071" w:rsidRPr="00AF7D9D">
        <w:rPr>
          <w:rFonts w:ascii="Times New Roman" w:hAnsi="Times New Roman" w:cs="Times New Roman"/>
          <w:sz w:val="24"/>
          <w:szCs w:val="24"/>
        </w:rPr>
        <w:t>; Wood, Harms, Lowman, &amp; DeSimone, 2017</w:t>
      </w:r>
      <w:r w:rsidR="00B95FCD" w:rsidRPr="00AF7D9D">
        <w:rPr>
          <w:rFonts w:ascii="Times New Roman" w:hAnsi="Times New Roman" w:cs="Times New Roman"/>
          <w:sz w:val="24"/>
          <w:szCs w:val="24"/>
        </w:rPr>
        <w:t xml:space="preserve">). Furthermore, random responding </w:t>
      </w:r>
      <w:r w:rsidR="00B7610B" w:rsidRPr="00AF7D9D">
        <w:rPr>
          <w:rFonts w:ascii="Times New Roman" w:hAnsi="Times New Roman" w:cs="Times New Roman"/>
          <w:sz w:val="24"/>
          <w:szCs w:val="24"/>
        </w:rPr>
        <w:t xml:space="preserve">on common </w:t>
      </w:r>
      <w:r w:rsidR="00E96E95" w:rsidRPr="00AF7D9D">
        <w:rPr>
          <w:rFonts w:ascii="Times New Roman" w:hAnsi="Times New Roman" w:cs="Times New Roman"/>
          <w:sz w:val="24"/>
          <w:szCs w:val="24"/>
        </w:rPr>
        <w:t>measures</w:t>
      </w:r>
      <w:r w:rsidR="00B7610B" w:rsidRPr="00AF7D9D">
        <w:rPr>
          <w:rFonts w:ascii="Times New Roman" w:hAnsi="Times New Roman" w:cs="Times New Roman"/>
          <w:sz w:val="24"/>
          <w:szCs w:val="24"/>
        </w:rPr>
        <w:t xml:space="preserve"> of psychol</w:t>
      </w:r>
      <w:r w:rsidR="00F52525" w:rsidRPr="00AF7D9D">
        <w:rPr>
          <w:rFonts w:ascii="Times New Roman" w:hAnsi="Times New Roman" w:cs="Times New Roman"/>
          <w:sz w:val="24"/>
          <w:szCs w:val="24"/>
        </w:rPr>
        <w:t>ogical functioning</w:t>
      </w:r>
      <w:r w:rsidR="005159C1" w:rsidRPr="00AF7D9D">
        <w:rPr>
          <w:rFonts w:ascii="Times New Roman" w:hAnsi="Times New Roman" w:cs="Times New Roman"/>
          <w:sz w:val="24"/>
          <w:szCs w:val="24"/>
        </w:rPr>
        <w:t xml:space="preserve"> creates </w:t>
      </w:r>
      <w:r w:rsidR="00B7610B" w:rsidRPr="00AF7D9D">
        <w:rPr>
          <w:rFonts w:ascii="Times New Roman" w:hAnsi="Times New Roman" w:cs="Times New Roman"/>
          <w:sz w:val="24"/>
          <w:szCs w:val="24"/>
        </w:rPr>
        <w:t>the appearance of greater maladjustment</w:t>
      </w:r>
      <w:r w:rsidR="005159C1" w:rsidRPr="00AF7D9D">
        <w:rPr>
          <w:rFonts w:ascii="Times New Roman" w:hAnsi="Times New Roman" w:cs="Times New Roman"/>
          <w:sz w:val="24"/>
          <w:szCs w:val="24"/>
        </w:rPr>
        <w:t xml:space="preserve"> in comparison to</w:t>
      </w:r>
      <w:r w:rsidR="003A1CCC" w:rsidRPr="00AF7D9D">
        <w:rPr>
          <w:rFonts w:ascii="Times New Roman" w:hAnsi="Times New Roman" w:cs="Times New Roman"/>
          <w:sz w:val="24"/>
          <w:szCs w:val="24"/>
        </w:rPr>
        <w:t xml:space="preserve"> typical scores from valid profiles</w:t>
      </w:r>
      <w:r w:rsidR="00B7610B" w:rsidRPr="00AF7D9D">
        <w:rPr>
          <w:rFonts w:ascii="Times New Roman" w:hAnsi="Times New Roman" w:cs="Times New Roman"/>
          <w:sz w:val="24"/>
          <w:szCs w:val="24"/>
        </w:rPr>
        <w:t xml:space="preserve"> (Benning &amp; Freeman, in press; Cook et al., 2016</w:t>
      </w:r>
      <w:r w:rsidR="004426FA" w:rsidRPr="00AF7D9D">
        <w:rPr>
          <w:rFonts w:ascii="Times New Roman" w:hAnsi="Times New Roman" w:cs="Times New Roman"/>
          <w:sz w:val="24"/>
          <w:szCs w:val="24"/>
        </w:rPr>
        <w:t>;</w:t>
      </w:r>
      <w:r w:rsidR="00B7610B" w:rsidRPr="00AF7D9D">
        <w:rPr>
          <w:rFonts w:ascii="Times New Roman" w:hAnsi="Times New Roman" w:cs="Times New Roman"/>
          <w:sz w:val="24"/>
          <w:szCs w:val="24"/>
        </w:rPr>
        <w:t xml:space="preserve"> Kelley et al., 2016</w:t>
      </w:r>
      <w:r w:rsidR="00FD21A4" w:rsidRPr="00AF7D9D">
        <w:rPr>
          <w:rFonts w:ascii="Times New Roman" w:hAnsi="Times New Roman" w:cs="Times New Roman"/>
          <w:sz w:val="24"/>
          <w:szCs w:val="24"/>
        </w:rPr>
        <w:t>; Keeley, Webb, Peterson, Roussin, &amp; Flanagan, 2016</w:t>
      </w:r>
      <w:r w:rsidR="00B7610B" w:rsidRPr="00AF7D9D">
        <w:rPr>
          <w:rFonts w:ascii="Times New Roman" w:hAnsi="Times New Roman" w:cs="Times New Roman"/>
          <w:sz w:val="24"/>
          <w:szCs w:val="24"/>
        </w:rPr>
        <w:t xml:space="preserve">). </w:t>
      </w:r>
    </w:p>
    <w:p w14:paraId="613C8CDF" w14:textId="797BA66A" w:rsidR="0077118A" w:rsidRPr="00AF7D9D" w:rsidRDefault="00B7610B" w:rsidP="00CD44E1">
      <w:pPr>
        <w:spacing w:after="0" w:line="480" w:lineRule="auto"/>
        <w:ind w:firstLine="720"/>
        <w:rPr>
          <w:rFonts w:ascii="Times New Roman" w:hAnsi="Times New Roman" w:cs="Times New Roman"/>
          <w:sz w:val="24"/>
          <w:szCs w:val="24"/>
        </w:rPr>
      </w:pPr>
      <w:r w:rsidRPr="00AF7D9D">
        <w:rPr>
          <w:rFonts w:ascii="Times New Roman" w:hAnsi="Times New Roman" w:cs="Times New Roman"/>
          <w:sz w:val="24"/>
          <w:szCs w:val="24"/>
        </w:rPr>
        <w:t>Likewise, inattentive and random responding has important implications for evaluations conducted in applied settings to inform clinical and forensic decision-making (Cook et al., 2016).</w:t>
      </w:r>
      <w:r w:rsidR="00553495" w:rsidRPr="00AF7D9D">
        <w:rPr>
          <w:rFonts w:ascii="Times New Roman" w:hAnsi="Times New Roman" w:cs="Times New Roman"/>
          <w:sz w:val="24"/>
          <w:szCs w:val="24"/>
        </w:rPr>
        <w:t xml:space="preserve"> </w:t>
      </w:r>
      <w:r w:rsidRPr="00AF7D9D">
        <w:rPr>
          <w:rFonts w:ascii="Times New Roman" w:hAnsi="Times New Roman" w:cs="Times New Roman"/>
          <w:sz w:val="24"/>
          <w:szCs w:val="24"/>
        </w:rPr>
        <w:t>For example, careless responding could</w:t>
      </w:r>
      <w:r w:rsidR="00096145" w:rsidRPr="00AF7D9D">
        <w:rPr>
          <w:rFonts w:ascii="Times New Roman" w:hAnsi="Times New Roman" w:cs="Times New Roman"/>
          <w:sz w:val="24"/>
          <w:szCs w:val="24"/>
        </w:rPr>
        <w:t xml:space="preserve"> </w:t>
      </w:r>
      <w:r w:rsidR="00F52525" w:rsidRPr="00AF7D9D">
        <w:rPr>
          <w:rFonts w:ascii="Times New Roman" w:hAnsi="Times New Roman" w:cs="Times New Roman"/>
          <w:sz w:val="24"/>
          <w:szCs w:val="24"/>
        </w:rPr>
        <w:t>contribute to</w:t>
      </w:r>
      <w:r w:rsidRPr="00AF7D9D">
        <w:rPr>
          <w:rFonts w:ascii="Times New Roman" w:hAnsi="Times New Roman" w:cs="Times New Roman"/>
          <w:sz w:val="24"/>
          <w:szCs w:val="24"/>
        </w:rPr>
        <w:t xml:space="preserve"> misleading impressions concerning the presence of psychopathic traits</w:t>
      </w:r>
      <w:r w:rsidR="00F52525" w:rsidRPr="00AF7D9D">
        <w:rPr>
          <w:rFonts w:ascii="Times New Roman" w:hAnsi="Times New Roman" w:cs="Times New Roman"/>
          <w:sz w:val="24"/>
          <w:szCs w:val="24"/>
        </w:rPr>
        <w:t>, which may in turn</w:t>
      </w:r>
      <w:r w:rsidRPr="00AF7D9D">
        <w:rPr>
          <w:rFonts w:ascii="Times New Roman" w:hAnsi="Times New Roman" w:cs="Times New Roman"/>
          <w:sz w:val="24"/>
          <w:szCs w:val="24"/>
        </w:rPr>
        <w:t xml:space="preserve"> </w:t>
      </w:r>
      <w:r w:rsidR="00F52525" w:rsidRPr="00AF7D9D">
        <w:rPr>
          <w:rFonts w:ascii="Times New Roman" w:hAnsi="Times New Roman" w:cs="Times New Roman"/>
          <w:sz w:val="24"/>
          <w:szCs w:val="24"/>
        </w:rPr>
        <w:t>have</w:t>
      </w:r>
      <w:r w:rsidRPr="00AF7D9D">
        <w:rPr>
          <w:rFonts w:ascii="Times New Roman" w:hAnsi="Times New Roman" w:cs="Times New Roman"/>
          <w:sz w:val="24"/>
          <w:szCs w:val="24"/>
        </w:rPr>
        <w:t xml:space="preserve"> negative consequences on case recommendations and the availability of intervention services for justice-involved youth (Edens, Mowle, Clark, &amp; Magyar</w:t>
      </w:r>
      <w:r w:rsidR="003D3DD7" w:rsidRPr="00AF7D9D">
        <w:rPr>
          <w:rFonts w:ascii="Times New Roman" w:hAnsi="Times New Roman" w:cs="Times New Roman"/>
          <w:sz w:val="24"/>
          <w:szCs w:val="24"/>
        </w:rPr>
        <w:t xml:space="preserve">, 2016; Vidal &amp; Skeem, 2007; Viljoen, McLachlan, &amp; Vincent, 2010). Including an assessment of </w:t>
      </w:r>
      <w:r w:rsidR="00F52525" w:rsidRPr="00AF7D9D">
        <w:rPr>
          <w:rFonts w:ascii="Times New Roman" w:hAnsi="Times New Roman" w:cs="Times New Roman"/>
          <w:sz w:val="24"/>
          <w:szCs w:val="24"/>
        </w:rPr>
        <w:t xml:space="preserve">this </w:t>
      </w:r>
      <w:r w:rsidR="003D3DD7" w:rsidRPr="00AF7D9D">
        <w:rPr>
          <w:rFonts w:ascii="Times New Roman" w:hAnsi="Times New Roman" w:cs="Times New Roman"/>
          <w:sz w:val="24"/>
          <w:szCs w:val="24"/>
        </w:rPr>
        <w:t xml:space="preserve">response style in </w:t>
      </w:r>
      <w:r w:rsidR="00F27B4A" w:rsidRPr="00AF7D9D">
        <w:rPr>
          <w:rFonts w:ascii="Times New Roman" w:hAnsi="Times New Roman" w:cs="Times New Roman"/>
          <w:sz w:val="24"/>
          <w:szCs w:val="24"/>
        </w:rPr>
        <w:t xml:space="preserve">real-world </w:t>
      </w:r>
      <w:r w:rsidR="003D3DD7" w:rsidRPr="00AF7D9D">
        <w:rPr>
          <w:rFonts w:ascii="Times New Roman" w:hAnsi="Times New Roman" w:cs="Times New Roman"/>
          <w:sz w:val="24"/>
          <w:szCs w:val="24"/>
        </w:rPr>
        <w:t xml:space="preserve">psychological evaluations is </w:t>
      </w:r>
      <w:r w:rsidR="00F27B4A" w:rsidRPr="00AF7D9D">
        <w:rPr>
          <w:rFonts w:ascii="Times New Roman" w:hAnsi="Times New Roman" w:cs="Times New Roman"/>
          <w:sz w:val="24"/>
          <w:szCs w:val="24"/>
        </w:rPr>
        <w:t xml:space="preserve">needed </w:t>
      </w:r>
      <w:r w:rsidR="003D3DD7" w:rsidRPr="00AF7D9D">
        <w:rPr>
          <w:rFonts w:ascii="Times New Roman" w:hAnsi="Times New Roman" w:cs="Times New Roman"/>
          <w:sz w:val="24"/>
          <w:szCs w:val="24"/>
        </w:rPr>
        <w:t>to avoid serious errors in interpretation, esp</w:t>
      </w:r>
      <w:r w:rsidR="006F7061" w:rsidRPr="00AF7D9D">
        <w:rPr>
          <w:rFonts w:ascii="Times New Roman" w:hAnsi="Times New Roman" w:cs="Times New Roman"/>
          <w:sz w:val="24"/>
          <w:szCs w:val="24"/>
        </w:rPr>
        <w:t xml:space="preserve">ecially as inattentiveness </w:t>
      </w:r>
      <w:r w:rsidR="00F52525" w:rsidRPr="00AF7D9D">
        <w:rPr>
          <w:rFonts w:ascii="Times New Roman" w:hAnsi="Times New Roman" w:cs="Times New Roman"/>
          <w:sz w:val="24"/>
          <w:szCs w:val="24"/>
        </w:rPr>
        <w:t>could</w:t>
      </w:r>
      <w:r w:rsidR="003D3DD7" w:rsidRPr="00AF7D9D">
        <w:rPr>
          <w:rFonts w:ascii="Times New Roman" w:hAnsi="Times New Roman" w:cs="Times New Roman"/>
          <w:sz w:val="24"/>
          <w:szCs w:val="24"/>
        </w:rPr>
        <w:t xml:space="preserve"> be difficult to visually detect from responses</w:t>
      </w:r>
      <w:r w:rsidR="00F52525" w:rsidRPr="00AF7D9D">
        <w:rPr>
          <w:rFonts w:ascii="Times New Roman" w:hAnsi="Times New Roman" w:cs="Times New Roman"/>
          <w:sz w:val="24"/>
          <w:szCs w:val="24"/>
        </w:rPr>
        <w:t xml:space="preserve"> and </w:t>
      </w:r>
      <w:r w:rsidR="003D3DD7" w:rsidRPr="00AF7D9D">
        <w:rPr>
          <w:rFonts w:ascii="Times New Roman" w:hAnsi="Times New Roman" w:cs="Times New Roman"/>
          <w:sz w:val="24"/>
          <w:szCs w:val="24"/>
        </w:rPr>
        <w:t>produce overall scores that are not obviously implausible</w:t>
      </w:r>
      <w:r w:rsidR="00AF12C3" w:rsidRPr="00AF7D9D">
        <w:rPr>
          <w:rFonts w:ascii="Times New Roman" w:hAnsi="Times New Roman" w:cs="Times New Roman"/>
          <w:sz w:val="24"/>
          <w:szCs w:val="24"/>
        </w:rPr>
        <w:t>, aside from extreme fixed responding</w:t>
      </w:r>
      <w:r w:rsidR="000429EE" w:rsidRPr="00AF7D9D">
        <w:rPr>
          <w:rFonts w:ascii="Times New Roman" w:hAnsi="Times New Roman" w:cs="Times New Roman"/>
          <w:sz w:val="24"/>
          <w:szCs w:val="24"/>
        </w:rPr>
        <w:t xml:space="preserve"> (e.g., </w:t>
      </w:r>
      <w:r w:rsidR="00E60DC9" w:rsidRPr="00AF7D9D">
        <w:rPr>
          <w:rFonts w:ascii="Times New Roman" w:hAnsi="Times New Roman" w:cs="Times New Roman"/>
          <w:sz w:val="24"/>
          <w:szCs w:val="24"/>
        </w:rPr>
        <w:t>‘</w:t>
      </w:r>
      <w:r w:rsidR="000429EE" w:rsidRPr="00AF7D9D">
        <w:rPr>
          <w:rFonts w:ascii="Times New Roman" w:hAnsi="Times New Roman" w:cs="Times New Roman"/>
          <w:sz w:val="24"/>
          <w:szCs w:val="24"/>
        </w:rPr>
        <w:t>all false’ or ‘all true’</w:t>
      </w:r>
      <w:r w:rsidR="00E60DC9" w:rsidRPr="00AF7D9D">
        <w:rPr>
          <w:rFonts w:ascii="Times New Roman" w:hAnsi="Times New Roman" w:cs="Times New Roman"/>
          <w:sz w:val="24"/>
          <w:szCs w:val="24"/>
        </w:rPr>
        <w:t xml:space="preserve"> responses)</w:t>
      </w:r>
      <w:r w:rsidR="003D3DD7" w:rsidRPr="00AF7D9D">
        <w:rPr>
          <w:rFonts w:ascii="Times New Roman" w:hAnsi="Times New Roman" w:cs="Times New Roman"/>
          <w:sz w:val="24"/>
          <w:szCs w:val="24"/>
        </w:rPr>
        <w:t xml:space="preserve">. </w:t>
      </w:r>
    </w:p>
    <w:p w14:paraId="6AF51F20" w14:textId="0E76D962" w:rsidR="0077118A" w:rsidRPr="00AF7D9D" w:rsidRDefault="006914E3" w:rsidP="00CD44E1">
      <w:pPr>
        <w:spacing w:after="0" w:line="480" w:lineRule="auto"/>
        <w:ind w:firstLine="720"/>
        <w:rPr>
          <w:rFonts w:ascii="Times New Roman" w:hAnsi="Times New Roman" w:cs="Times New Roman"/>
          <w:sz w:val="24"/>
          <w:szCs w:val="24"/>
        </w:rPr>
      </w:pPr>
      <w:r w:rsidRPr="00AF7D9D">
        <w:rPr>
          <w:rFonts w:ascii="Times New Roman" w:hAnsi="Times New Roman" w:cs="Times New Roman"/>
          <w:sz w:val="24"/>
          <w:szCs w:val="24"/>
        </w:rPr>
        <w:t>Because</w:t>
      </w:r>
      <w:r w:rsidR="0077118A" w:rsidRPr="00AF7D9D">
        <w:rPr>
          <w:rFonts w:ascii="Times New Roman" w:hAnsi="Times New Roman" w:cs="Times New Roman"/>
          <w:sz w:val="24"/>
          <w:szCs w:val="24"/>
        </w:rPr>
        <w:t xml:space="preserve"> no validity scales were originally included in the development of the full-length YPI, Penson </w:t>
      </w:r>
      <w:r w:rsidR="00F27B4A" w:rsidRPr="00AF7D9D">
        <w:rPr>
          <w:rFonts w:ascii="Times New Roman" w:hAnsi="Times New Roman" w:cs="Times New Roman"/>
          <w:sz w:val="24"/>
          <w:szCs w:val="24"/>
        </w:rPr>
        <w:t>et al.</w:t>
      </w:r>
      <w:r w:rsidR="0077118A" w:rsidRPr="00AF7D9D">
        <w:rPr>
          <w:rFonts w:ascii="Times New Roman" w:hAnsi="Times New Roman" w:cs="Times New Roman"/>
          <w:sz w:val="24"/>
          <w:szCs w:val="24"/>
        </w:rPr>
        <w:t xml:space="preserve"> (in press) recently constructed a measure of inconsistent responding for this instrument</w:t>
      </w:r>
      <w:r w:rsidR="00F52525" w:rsidRPr="00AF7D9D">
        <w:rPr>
          <w:rFonts w:ascii="Times New Roman" w:hAnsi="Times New Roman" w:cs="Times New Roman"/>
          <w:sz w:val="24"/>
          <w:szCs w:val="24"/>
        </w:rPr>
        <w:t>. The authors applied</w:t>
      </w:r>
      <w:r w:rsidR="0077118A" w:rsidRPr="00AF7D9D">
        <w:rPr>
          <w:rFonts w:ascii="Times New Roman" w:hAnsi="Times New Roman" w:cs="Times New Roman"/>
          <w:sz w:val="24"/>
          <w:szCs w:val="24"/>
        </w:rPr>
        <w:t xml:space="preserve"> procedures resembling </w:t>
      </w:r>
      <w:r w:rsidR="008B0AF1" w:rsidRPr="00AF7D9D">
        <w:rPr>
          <w:rFonts w:ascii="Times New Roman" w:hAnsi="Times New Roman" w:cs="Times New Roman"/>
          <w:sz w:val="24"/>
          <w:szCs w:val="24"/>
        </w:rPr>
        <w:t xml:space="preserve">those </w:t>
      </w:r>
      <w:r w:rsidR="00B95FCD" w:rsidRPr="00AF7D9D">
        <w:rPr>
          <w:rFonts w:ascii="Times New Roman" w:hAnsi="Times New Roman" w:cs="Times New Roman"/>
          <w:sz w:val="24"/>
          <w:szCs w:val="24"/>
        </w:rPr>
        <w:t xml:space="preserve">used to construct inconsistency scales for </w:t>
      </w:r>
      <w:r w:rsidR="00F054EF" w:rsidRPr="00AF7D9D">
        <w:rPr>
          <w:rFonts w:ascii="Times New Roman" w:hAnsi="Times New Roman" w:cs="Times New Roman"/>
          <w:sz w:val="24"/>
          <w:szCs w:val="24"/>
        </w:rPr>
        <w:t xml:space="preserve">more </w:t>
      </w:r>
      <w:r w:rsidR="00B95FCD" w:rsidRPr="00AF7D9D">
        <w:rPr>
          <w:rFonts w:ascii="Times New Roman" w:hAnsi="Times New Roman" w:cs="Times New Roman"/>
          <w:sz w:val="24"/>
          <w:szCs w:val="24"/>
        </w:rPr>
        <w:t>comprehensive personality inventories (e.g., MMPI-2</w:t>
      </w:r>
      <w:r w:rsidR="004426FA" w:rsidRPr="00AF7D9D">
        <w:rPr>
          <w:rFonts w:ascii="Times New Roman" w:hAnsi="Times New Roman" w:cs="Times New Roman"/>
          <w:sz w:val="24"/>
          <w:szCs w:val="24"/>
        </w:rPr>
        <w:t>;</w:t>
      </w:r>
      <w:r w:rsidR="00B95FCD" w:rsidRPr="00AF7D9D">
        <w:rPr>
          <w:rFonts w:ascii="Times New Roman" w:hAnsi="Times New Roman" w:cs="Times New Roman"/>
          <w:sz w:val="24"/>
          <w:szCs w:val="24"/>
        </w:rPr>
        <w:t xml:space="preserve"> Butcher, Dahlstrom, Graham, Tellegen, &amp; Kaemmer, 1989; Personality Assessment Inventory</w:t>
      </w:r>
      <w:r w:rsidR="004426FA" w:rsidRPr="00AF7D9D">
        <w:rPr>
          <w:rFonts w:ascii="Times New Roman" w:hAnsi="Times New Roman" w:cs="Times New Roman"/>
          <w:sz w:val="24"/>
          <w:szCs w:val="24"/>
        </w:rPr>
        <w:t>;</w:t>
      </w:r>
      <w:r w:rsidR="00B95FCD" w:rsidRPr="00AF7D9D">
        <w:rPr>
          <w:rFonts w:ascii="Times New Roman" w:hAnsi="Times New Roman" w:cs="Times New Roman"/>
          <w:sz w:val="24"/>
          <w:szCs w:val="24"/>
        </w:rPr>
        <w:t xml:space="preserve"> Morey, 2007), as well as</w:t>
      </w:r>
      <w:r w:rsidR="00F52525" w:rsidRPr="00AF7D9D">
        <w:rPr>
          <w:rFonts w:ascii="Times New Roman" w:hAnsi="Times New Roman" w:cs="Times New Roman"/>
          <w:sz w:val="24"/>
          <w:szCs w:val="24"/>
        </w:rPr>
        <w:t xml:space="preserve"> for</w:t>
      </w:r>
      <w:r w:rsidR="00B95FCD" w:rsidRPr="00AF7D9D">
        <w:rPr>
          <w:rFonts w:ascii="Times New Roman" w:hAnsi="Times New Roman" w:cs="Times New Roman"/>
          <w:sz w:val="24"/>
          <w:szCs w:val="24"/>
        </w:rPr>
        <w:t xml:space="preserve"> measures of psychopathy, including the Psychopathic Personality Inventory-Revised (PPI-R; Lilienfeld &amp; Widows, 2005), the abbreviated PPI-R-40 (Kelley et al., 2016), and the Triarchic Psychopathy Measure (Mowle et al., </w:t>
      </w:r>
      <w:r w:rsidR="00372DF4" w:rsidRPr="00AF7D9D">
        <w:rPr>
          <w:rFonts w:ascii="Times New Roman" w:hAnsi="Times New Roman" w:cs="Times New Roman"/>
          <w:sz w:val="24"/>
          <w:szCs w:val="24"/>
        </w:rPr>
        <w:t>2016</w:t>
      </w:r>
      <w:r w:rsidR="00B95FCD" w:rsidRPr="00AF7D9D">
        <w:rPr>
          <w:rFonts w:ascii="Times New Roman" w:hAnsi="Times New Roman" w:cs="Times New Roman"/>
          <w:sz w:val="24"/>
          <w:szCs w:val="24"/>
        </w:rPr>
        <w:t xml:space="preserve">). The resulting inconsistency scale, the Screening </w:t>
      </w:r>
      <w:r w:rsidR="00B95FCD" w:rsidRPr="00AF7D9D">
        <w:rPr>
          <w:rFonts w:ascii="Times New Roman" w:hAnsi="Times New Roman" w:cs="Times New Roman"/>
          <w:sz w:val="24"/>
          <w:szCs w:val="24"/>
        </w:rPr>
        <w:lastRenderedPageBreak/>
        <w:t xml:space="preserve">Procedure for Inconsistent or Careless Item Endorsement (SPICIE), </w:t>
      </w:r>
      <w:r w:rsidR="00F76D2D" w:rsidRPr="00AF7D9D">
        <w:rPr>
          <w:rFonts w:ascii="Times New Roman" w:hAnsi="Times New Roman" w:cs="Times New Roman"/>
          <w:sz w:val="24"/>
          <w:szCs w:val="24"/>
        </w:rPr>
        <w:t xml:space="preserve">appeared </w:t>
      </w:r>
      <w:r w:rsidR="00B95FCD" w:rsidRPr="00AF7D9D">
        <w:rPr>
          <w:rFonts w:ascii="Times New Roman" w:hAnsi="Times New Roman" w:cs="Times New Roman"/>
          <w:sz w:val="24"/>
          <w:szCs w:val="24"/>
        </w:rPr>
        <w:t xml:space="preserve">to satisfactorily distinguish between conscientious and random or partially random </w:t>
      </w:r>
      <w:r w:rsidR="00F27B4A" w:rsidRPr="00AF7D9D">
        <w:rPr>
          <w:rFonts w:ascii="Times New Roman" w:hAnsi="Times New Roman" w:cs="Times New Roman"/>
          <w:sz w:val="24"/>
          <w:szCs w:val="24"/>
        </w:rPr>
        <w:t>responding on</w:t>
      </w:r>
      <w:r w:rsidR="00B95FCD" w:rsidRPr="00AF7D9D">
        <w:rPr>
          <w:rFonts w:ascii="Times New Roman" w:hAnsi="Times New Roman" w:cs="Times New Roman"/>
          <w:sz w:val="24"/>
          <w:szCs w:val="24"/>
        </w:rPr>
        <w:t xml:space="preserve"> the YPI</w:t>
      </w:r>
      <w:r w:rsidR="004426FA" w:rsidRPr="00AF7D9D">
        <w:rPr>
          <w:rFonts w:ascii="Times New Roman" w:hAnsi="Times New Roman" w:cs="Times New Roman"/>
          <w:sz w:val="24"/>
          <w:szCs w:val="24"/>
        </w:rPr>
        <w:t xml:space="preserve"> </w:t>
      </w:r>
      <w:r w:rsidR="00D768F5" w:rsidRPr="00AF7D9D">
        <w:rPr>
          <w:rFonts w:ascii="Times New Roman" w:hAnsi="Times New Roman" w:cs="Times New Roman"/>
          <w:sz w:val="24"/>
          <w:szCs w:val="24"/>
        </w:rPr>
        <w:t>(Penson et al., in press)</w:t>
      </w:r>
      <w:r w:rsidR="00B95FCD" w:rsidRPr="00AF7D9D">
        <w:rPr>
          <w:rFonts w:ascii="Times New Roman" w:hAnsi="Times New Roman" w:cs="Times New Roman"/>
          <w:sz w:val="24"/>
          <w:szCs w:val="24"/>
        </w:rPr>
        <w:t xml:space="preserve">. </w:t>
      </w:r>
    </w:p>
    <w:p w14:paraId="58B7FFD7" w14:textId="09220811" w:rsidR="00E57EDC" w:rsidRPr="00AF7D9D" w:rsidRDefault="00DA72AE" w:rsidP="00D637D2">
      <w:pPr>
        <w:spacing w:after="0" w:line="480" w:lineRule="auto"/>
        <w:ind w:firstLine="720"/>
        <w:rPr>
          <w:rFonts w:ascii="Times New Roman" w:hAnsi="Times New Roman" w:cs="Times New Roman"/>
          <w:sz w:val="24"/>
          <w:szCs w:val="24"/>
        </w:rPr>
      </w:pPr>
      <w:r w:rsidRPr="00AF7D9D">
        <w:rPr>
          <w:rFonts w:ascii="Times New Roman" w:hAnsi="Times New Roman" w:cs="Times New Roman"/>
          <w:sz w:val="24"/>
          <w:szCs w:val="24"/>
        </w:rPr>
        <w:t>Although the length of the YPI (50 items) is</w:t>
      </w:r>
      <w:r w:rsidR="00F52525" w:rsidRPr="00AF7D9D">
        <w:rPr>
          <w:rFonts w:ascii="Times New Roman" w:hAnsi="Times New Roman" w:cs="Times New Roman"/>
          <w:sz w:val="24"/>
          <w:szCs w:val="24"/>
        </w:rPr>
        <w:t xml:space="preserve"> not particularly cumbersome, a</w:t>
      </w:r>
      <w:r w:rsidRPr="00AF7D9D">
        <w:rPr>
          <w:rFonts w:ascii="Times New Roman" w:hAnsi="Times New Roman" w:cs="Times New Roman"/>
          <w:sz w:val="24"/>
          <w:szCs w:val="24"/>
        </w:rPr>
        <w:t xml:space="preserve"> </w:t>
      </w:r>
      <w:r w:rsidR="00F52525" w:rsidRPr="00AF7D9D">
        <w:rPr>
          <w:rFonts w:ascii="Times New Roman" w:hAnsi="Times New Roman" w:cs="Times New Roman"/>
          <w:sz w:val="24"/>
          <w:szCs w:val="24"/>
        </w:rPr>
        <w:t xml:space="preserve">shortened </w:t>
      </w:r>
      <w:r w:rsidRPr="00AF7D9D">
        <w:rPr>
          <w:rFonts w:ascii="Times New Roman" w:hAnsi="Times New Roman" w:cs="Times New Roman"/>
          <w:sz w:val="24"/>
          <w:szCs w:val="24"/>
        </w:rPr>
        <w:t xml:space="preserve">version </w:t>
      </w:r>
      <w:r w:rsidR="00F52525" w:rsidRPr="00AF7D9D">
        <w:rPr>
          <w:rFonts w:ascii="Times New Roman" w:hAnsi="Times New Roman" w:cs="Times New Roman"/>
          <w:sz w:val="24"/>
          <w:szCs w:val="24"/>
        </w:rPr>
        <w:t xml:space="preserve">of </w:t>
      </w:r>
      <w:r w:rsidRPr="00AF7D9D">
        <w:rPr>
          <w:rFonts w:ascii="Times New Roman" w:hAnsi="Times New Roman" w:cs="Times New Roman"/>
          <w:sz w:val="24"/>
          <w:szCs w:val="24"/>
        </w:rPr>
        <w:t xml:space="preserve">the instrument </w:t>
      </w:r>
      <w:r w:rsidR="00065819" w:rsidRPr="00AF7D9D">
        <w:rPr>
          <w:rFonts w:ascii="Times New Roman" w:hAnsi="Times New Roman" w:cs="Times New Roman"/>
          <w:sz w:val="24"/>
          <w:szCs w:val="24"/>
        </w:rPr>
        <w:t xml:space="preserve">(YPI-S; van Baardewijk, 2010) </w:t>
      </w:r>
      <w:r w:rsidR="00816B57" w:rsidRPr="00AF7D9D">
        <w:rPr>
          <w:rFonts w:ascii="Times New Roman" w:hAnsi="Times New Roman" w:cs="Times New Roman"/>
          <w:sz w:val="24"/>
          <w:szCs w:val="24"/>
        </w:rPr>
        <w:t xml:space="preserve">has </w:t>
      </w:r>
      <w:r w:rsidRPr="00AF7D9D">
        <w:rPr>
          <w:rFonts w:ascii="Times New Roman" w:hAnsi="Times New Roman" w:cs="Times New Roman"/>
          <w:sz w:val="24"/>
          <w:szCs w:val="24"/>
        </w:rPr>
        <w:t xml:space="preserve">received </w:t>
      </w:r>
      <w:r w:rsidR="00F01488" w:rsidRPr="00AF7D9D">
        <w:rPr>
          <w:rFonts w:ascii="Times New Roman" w:hAnsi="Times New Roman" w:cs="Times New Roman"/>
          <w:sz w:val="24"/>
          <w:szCs w:val="24"/>
        </w:rPr>
        <w:t>attention</w:t>
      </w:r>
      <w:r w:rsidR="00AD236F" w:rsidRPr="00AF7D9D">
        <w:rPr>
          <w:rFonts w:ascii="Times New Roman" w:hAnsi="Times New Roman" w:cs="Times New Roman"/>
          <w:sz w:val="24"/>
          <w:szCs w:val="24"/>
        </w:rPr>
        <w:t xml:space="preserve"> in the literature</w:t>
      </w:r>
      <w:r w:rsidR="00F01488" w:rsidRPr="00AF7D9D">
        <w:rPr>
          <w:rFonts w:ascii="Times New Roman" w:hAnsi="Times New Roman" w:cs="Times New Roman"/>
          <w:sz w:val="24"/>
          <w:szCs w:val="24"/>
        </w:rPr>
        <w:t xml:space="preserve"> (e.g., Colins &amp; Andershed, 2016; Colins, Noom, &amp; Vanderplasschen, 2012; Fossati et al., 2016)</w:t>
      </w:r>
      <w:r w:rsidR="00816B57" w:rsidRPr="00AF7D9D">
        <w:rPr>
          <w:rFonts w:ascii="Times New Roman" w:hAnsi="Times New Roman" w:cs="Times New Roman"/>
          <w:sz w:val="24"/>
          <w:szCs w:val="24"/>
        </w:rPr>
        <w:t>. This 18-item short-form is strongly correlated with scores</w:t>
      </w:r>
      <w:r w:rsidR="00F01488" w:rsidRPr="00AF7D9D">
        <w:rPr>
          <w:rFonts w:ascii="Times New Roman" w:hAnsi="Times New Roman" w:cs="Times New Roman"/>
          <w:sz w:val="24"/>
          <w:szCs w:val="24"/>
        </w:rPr>
        <w:t xml:space="preserve"> on the full-length inventory</w:t>
      </w:r>
      <w:r w:rsidR="00816B57" w:rsidRPr="00AF7D9D">
        <w:rPr>
          <w:rFonts w:ascii="Times New Roman" w:hAnsi="Times New Roman" w:cs="Times New Roman"/>
          <w:sz w:val="24"/>
          <w:szCs w:val="24"/>
        </w:rPr>
        <w:t xml:space="preserve"> and </w:t>
      </w:r>
      <w:r w:rsidR="00F01488" w:rsidRPr="00AF7D9D">
        <w:rPr>
          <w:rFonts w:ascii="Times New Roman" w:hAnsi="Times New Roman" w:cs="Times New Roman"/>
          <w:sz w:val="24"/>
          <w:szCs w:val="24"/>
        </w:rPr>
        <w:t xml:space="preserve">possesses similar </w:t>
      </w:r>
      <w:r w:rsidR="00816B57" w:rsidRPr="00AF7D9D">
        <w:rPr>
          <w:rFonts w:ascii="Times New Roman" w:hAnsi="Times New Roman" w:cs="Times New Roman"/>
          <w:sz w:val="24"/>
          <w:szCs w:val="24"/>
        </w:rPr>
        <w:t>psychome</w:t>
      </w:r>
      <w:r w:rsidR="00E96E95" w:rsidRPr="00AF7D9D">
        <w:rPr>
          <w:rFonts w:ascii="Times New Roman" w:hAnsi="Times New Roman" w:cs="Times New Roman"/>
          <w:sz w:val="24"/>
          <w:szCs w:val="24"/>
        </w:rPr>
        <w:t xml:space="preserve">tric properties. </w:t>
      </w:r>
      <w:r w:rsidR="00F054EF" w:rsidRPr="00AF7D9D">
        <w:rPr>
          <w:rFonts w:ascii="Times New Roman" w:hAnsi="Times New Roman" w:cs="Times New Roman"/>
          <w:sz w:val="24"/>
          <w:szCs w:val="24"/>
        </w:rPr>
        <w:t>Although short-forms may suffer from some psychometric limitations (e.g., attenuated validity coefficients) rel</w:t>
      </w:r>
      <w:r w:rsidR="00E60DC9" w:rsidRPr="00AF7D9D">
        <w:rPr>
          <w:rFonts w:ascii="Times New Roman" w:hAnsi="Times New Roman" w:cs="Times New Roman"/>
          <w:sz w:val="24"/>
          <w:szCs w:val="24"/>
        </w:rPr>
        <w:t>ative to their parent scales</w:t>
      </w:r>
      <w:r w:rsidR="00F054EF" w:rsidRPr="00AF7D9D">
        <w:rPr>
          <w:rFonts w:ascii="Times New Roman" w:hAnsi="Times New Roman" w:cs="Times New Roman"/>
          <w:sz w:val="24"/>
          <w:szCs w:val="24"/>
        </w:rPr>
        <w:t xml:space="preserve"> (see </w:t>
      </w:r>
      <w:r w:rsidR="00E06071" w:rsidRPr="00AF7D9D">
        <w:rPr>
          <w:rFonts w:ascii="Times New Roman" w:hAnsi="Times New Roman" w:cs="Times New Roman"/>
          <w:sz w:val="24"/>
          <w:szCs w:val="24"/>
        </w:rPr>
        <w:t xml:space="preserve">Credé, Harms, Niehorster, &amp; Gaye-Valentine, 2012; </w:t>
      </w:r>
      <w:r w:rsidR="00F054EF" w:rsidRPr="00AF7D9D">
        <w:rPr>
          <w:rFonts w:ascii="Times New Roman" w:hAnsi="Times New Roman" w:cs="Times New Roman"/>
          <w:sz w:val="24"/>
          <w:szCs w:val="24"/>
        </w:rPr>
        <w:t xml:space="preserve">Smith, McCarthy, &amp; Anderson, 2000, for a review), </w:t>
      </w:r>
      <w:r w:rsidR="00E96E95" w:rsidRPr="00AF7D9D">
        <w:rPr>
          <w:rFonts w:ascii="Times New Roman" w:hAnsi="Times New Roman" w:cs="Times New Roman"/>
          <w:sz w:val="24"/>
          <w:szCs w:val="24"/>
        </w:rPr>
        <w:t>instrument</w:t>
      </w:r>
      <w:r w:rsidR="00F054EF" w:rsidRPr="00AF7D9D">
        <w:rPr>
          <w:rFonts w:ascii="Times New Roman" w:hAnsi="Times New Roman" w:cs="Times New Roman"/>
          <w:sz w:val="24"/>
          <w:szCs w:val="24"/>
        </w:rPr>
        <w:t>s such as the YPI-S</w:t>
      </w:r>
      <w:r w:rsidR="00E96E95" w:rsidRPr="00AF7D9D">
        <w:rPr>
          <w:rFonts w:ascii="Times New Roman" w:hAnsi="Times New Roman" w:cs="Times New Roman"/>
          <w:sz w:val="24"/>
          <w:szCs w:val="24"/>
        </w:rPr>
        <w:t xml:space="preserve"> may</w:t>
      </w:r>
      <w:r w:rsidR="00816B57" w:rsidRPr="00AF7D9D">
        <w:rPr>
          <w:rFonts w:ascii="Times New Roman" w:hAnsi="Times New Roman" w:cs="Times New Roman"/>
          <w:sz w:val="24"/>
          <w:szCs w:val="24"/>
        </w:rPr>
        <w:t xml:space="preserve"> </w:t>
      </w:r>
      <w:r w:rsidR="00F01488" w:rsidRPr="00AF7D9D">
        <w:rPr>
          <w:rFonts w:ascii="Times New Roman" w:hAnsi="Times New Roman" w:cs="Times New Roman"/>
          <w:sz w:val="24"/>
          <w:szCs w:val="24"/>
        </w:rPr>
        <w:t xml:space="preserve">be valuable for assessing </w:t>
      </w:r>
      <w:r w:rsidR="00816B57" w:rsidRPr="00AF7D9D">
        <w:rPr>
          <w:rFonts w:ascii="Times New Roman" w:hAnsi="Times New Roman" w:cs="Times New Roman"/>
          <w:sz w:val="24"/>
          <w:szCs w:val="24"/>
        </w:rPr>
        <w:t xml:space="preserve">psychopathic traits in contexts </w:t>
      </w:r>
      <w:r w:rsidR="00F01488" w:rsidRPr="00AF7D9D">
        <w:rPr>
          <w:rFonts w:ascii="Times New Roman" w:hAnsi="Times New Roman" w:cs="Times New Roman"/>
          <w:sz w:val="24"/>
          <w:szCs w:val="24"/>
        </w:rPr>
        <w:t>necessitating</w:t>
      </w:r>
      <w:r w:rsidR="00816B57" w:rsidRPr="00AF7D9D">
        <w:rPr>
          <w:rFonts w:ascii="Times New Roman" w:hAnsi="Times New Roman" w:cs="Times New Roman"/>
          <w:sz w:val="24"/>
          <w:szCs w:val="24"/>
        </w:rPr>
        <w:t xml:space="preserve"> brevity (e.g., large-scale screening for psychopathic traits in community surveys)</w:t>
      </w:r>
      <w:r w:rsidR="00F52525" w:rsidRPr="00AF7D9D">
        <w:rPr>
          <w:rFonts w:ascii="Times New Roman" w:hAnsi="Times New Roman" w:cs="Times New Roman"/>
          <w:sz w:val="24"/>
          <w:szCs w:val="24"/>
        </w:rPr>
        <w:t xml:space="preserve">, which are contexts that </w:t>
      </w:r>
      <w:r w:rsidR="00F35841" w:rsidRPr="00AF7D9D">
        <w:rPr>
          <w:rFonts w:ascii="Times New Roman" w:hAnsi="Times New Roman" w:cs="Times New Roman"/>
          <w:sz w:val="24"/>
          <w:szCs w:val="24"/>
        </w:rPr>
        <w:t xml:space="preserve">often </w:t>
      </w:r>
      <w:r w:rsidR="00F52525" w:rsidRPr="00AF7D9D">
        <w:rPr>
          <w:rFonts w:ascii="Times New Roman" w:hAnsi="Times New Roman" w:cs="Times New Roman"/>
          <w:sz w:val="24"/>
          <w:szCs w:val="24"/>
        </w:rPr>
        <w:t>raise concerns about inattentive responding</w:t>
      </w:r>
      <w:r w:rsidR="00816B57" w:rsidRPr="00AF7D9D">
        <w:rPr>
          <w:rFonts w:ascii="Times New Roman" w:hAnsi="Times New Roman" w:cs="Times New Roman"/>
          <w:sz w:val="24"/>
          <w:szCs w:val="24"/>
        </w:rPr>
        <w:t xml:space="preserve">. </w:t>
      </w:r>
      <w:r w:rsidR="00E96E95" w:rsidRPr="00AF7D9D">
        <w:rPr>
          <w:rFonts w:ascii="Times New Roman" w:hAnsi="Times New Roman" w:cs="Times New Roman"/>
          <w:sz w:val="24"/>
          <w:szCs w:val="24"/>
        </w:rPr>
        <w:t xml:space="preserve">Of note, </w:t>
      </w:r>
      <w:r w:rsidR="00D637D2" w:rsidRPr="00AF7D9D">
        <w:rPr>
          <w:rFonts w:ascii="Times New Roman" w:hAnsi="Times New Roman" w:cs="Times New Roman"/>
          <w:sz w:val="24"/>
          <w:szCs w:val="24"/>
        </w:rPr>
        <w:t xml:space="preserve">researchers have increasingly </w:t>
      </w:r>
      <w:r w:rsidR="00123B17" w:rsidRPr="00AF7D9D">
        <w:rPr>
          <w:rFonts w:ascii="Times New Roman" w:hAnsi="Times New Roman" w:cs="Times New Roman"/>
          <w:sz w:val="24"/>
          <w:szCs w:val="24"/>
        </w:rPr>
        <w:t>referenced</w:t>
      </w:r>
      <w:r w:rsidR="00A57425" w:rsidRPr="00AF7D9D">
        <w:rPr>
          <w:rFonts w:ascii="Times New Roman" w:hAnsi="Times New Roman" w:cs="Times New Roman"/>
          <w:sz w:val="24"/>
          <w:szCs w:val="24"/>
        </w:rPr>
        <w:t xml:space="preserve"> </w:t>
      </w:r>
      <w:r w:rsidR="00E96E95" w:rsidRPr="00AF7D9D">
        <w:rPr>
          <w:rFonts w:ascii="Times New Roman" w:hAnsi="Times New Roman" w:cs="Times New Roman"/>
          <w:sz w:val="24"/>
          <w:szCs w:val="24"/>
        </w:rPr>
        <w:t xml:space="preserve">the </w:t>
      </w:r>
      <w:r w:rsidR="008D074D" w:rsidRPr="00AF7D9D">
        <w:rPr>
          <w:rFonts w:ascii="Times New Roman" w:hAnsi="Times New Roman" w:cs="Times New Roman"/>
          <w:sz w:val="24"/>
          <w:szCs w:val="24"/>
        </w:rPr>
        <w:t xml:space="preserve">promising </w:t>
      </w:r>
      <w:r w:rsidR="00D637D2" w:rsidRPr="00AF7D9D">
        <w:rPr>
          <w:rFonts w:ascii="Times New Roman" w:hAnsi="Times New Roman" w:cs="Times New Roman"/>
          <w:sz w:val="24"/>
          <w:szCs w:val="24"/>
        </w:rPr>
        <w:t xml:space="preserve">clinical utility of the YPI and </w:t>
      </w:r>
      <w:r w:rsidR="00E96E95" w:rsidRPr="00AF7D9D">
        <w:rPr>
          <w:rFonts w:ascii="Times New Roman" w:hAnsi="Times New Roman" w:cs="Times New Roman"/>
          <w:sz w:val="24"/>
          <w:szCs w:val="24"/>
        </w:rPr>
        <w:t xml:space="preserve">YPI-S </w:t>
      </w:r>
      <w:r w:rsidR="00D637D2" w:rsidRPr="00AF7D9D">
        <w:rPr>
          <w:rFonts w:ascii="Times New Roman" w:hAnsi="Times New Roman" w:cs="Times New Roman"/>
          <w:sz w:val="24"/>
          <w:szCs w:val="24"/>
        </w:rPr>
        <w:t xml:space="preserve">and begun to investigate the performance of these instruments </w:t>
      </w:r>
      <w:r w:rsidR="00A57425" w:rsidRPr="00AF7D9D">
        <w:rPr>
          <w:rFonts w:ascii="Times New Roman" w:hAnsi="Times New Roman" w:cs="Times New Roman"/>
          <w:sz w:val="24"/>
          <w:szCs w:val="24"/>
        </w:rPr>
        <w:t xml:space="preserve">in </w:t>
      </w:r>
      <w:r w:rsidR="00F054EF" w:rsidRPr="00AF7D9D">
        <w:rPr>
          <w:rFonts w:ascii="Times New Roman" w:hAnsi="Times New Roman" w:cs="Times New Roman"/>
          <w:sz w:val="24"/>
          <w:szCs w:val="24"/>
        </w:rPr>
        <w:t xml:space="preserve">applied </w:t>
      </w:r>
      <w:r w:rsidR="00A57425" w:rsidRPr="00AF7D9D">
        <w:rPr>
          <w:rFonts w:ascii="Times New Roman" w:hAnsi="Times New Roman" w:cs="Times New Roman"/>
          <w:sz w:val="24"/>
          <w:szCs w:val="24"/>
        </w:rPr>
        <w:t>juvenile forensic contexts</w:t>
      </w:r>
      <w:r w:rsidR="00D637D2" w:rsidRPr="00AF7D9D">
        <w:rPr>
          <w:rFonts w:ascii="Times New Roman" w:hAnsi="Times New Roman" w:cs="Times New Roman"/>
          <w:sz w:val="24"/>
          <w:szCs w:val="24"/>
        </w:rPr>
        <w:t xml:space="preserve"> </w:t>
      </w:r>
      <w:r w:rsidR="00E21FBC" w:rsidRPr="00AF7D9D">
        <w:rPr>
          <w:rFonts w:ascii="Times New Roman" w:hAnsi="Times New Roman" w:cs="Times New Roman"/>
          <w:sz w:val="24"/>
          <w:szCs w:val="24"/>
        </w:rPr>
        <w:t>(</w:t>
      </w:r>
      <w:r w:rsidR="00D637D2" w:rsidRPr="00AF7D9D">
        <w:rPr>
          <w:rFonts w:ascii="Times New Roman" w:hAnsi="Times New Roman" w:cs="Times New Roman"/>
          <w:sz w:val="24"/>
          <w:szCs w:val="24"/>
        </w:rPr>
        <w:t xml:space="preserve">Colins, 2016; </w:t>
      </w:r>
      <w:r w:rsidR="008D074D" w:rsidRPr="00AF7D9D">
        <w:rPr>
          <w:rFonts w:ascii="Times New Roman" w:hAnsi="Times New Roman" w:cs="Times New Roman"/>
          <w:sz w:val="24"/>
          <w:szCs w:val="24"/>
        </w:rPr>
        <w:t xml:space="preserve">Colins et al., 2017; </w:t>
      </w:r>
      <w:r w:rsidR="00E21FBC" w:rsidRPr="00AF7D9D">
        <w:rPr>
          <w:rFonts w:ascii="Times New Roman" w:hAnsi="Times New Roman" w:cs="Times New Roman"/>
          <w:sz w:val="24"/>
          <w:szCs w:val="24"/>
        </w:rPr>
        <w:t>Gillen, MacDougall, Fo</w:t>
      </w:r>
      <w:r w:rsidR="00D637D2" w:rsidRPr="00AF7D9D">
        <w:rPr>
          <w:rFonts w:ascii="Times New Roman" w:hAnsi="Times New Roman" w:cs="Times New Roman"/>
          <w:sz w:val="24"/>
          <w:szCs w:val="24"/>
        </w:rPr>
        <w:t xml:space="preserve">rth, Barry, &amp; Salekin, 2017). </w:t>
      </w:r>
      <w:r w:rsidR="00A57425" w:rsidRPr="00AF7D9D">
        <w:rPr>
          <w:rFonts w:ascii="Times New Roman" w:hAnsi="Times New Roman" w:cs="Times New Roman"/>
          <w:sz w:val="24"/>
          <w:szCs w:val="24"/>
        </w:rPr>
        <w:t xml:space="preserve">Perhaps due to this accelerating </w:t>
      </w:r>
      <w:r w:rsidR="008D074D" w:rsidRPr="00AF7D9D">
        <w:rPr>
          <w:rFonts w:ascii="Times New Roman" w:hAnsi="Times New Roman" w:cs="Times New Roman"/>
          <w:sz w:val="24"/>
          <w:szCs w:val="24"/>
        </w:rPr>
        <w:t xml:space="preserve">interest and </w:t>
      </w:r>
      <w:r w:rsidR="00A57425" w:rsidRPr="00AF7D9D">
        <w:rPr>
          <w:rFonts w:ascii="Times New Roman" w:hAnsi="Times New Roman" w:cs="Times New Roman"/>
          <w:sz w:val="24"/>
          <w:szCs w:val="24"/>
        </w:rPr>
        <w:t xml:space="preserve">knowledge base, the </w:t>
      </w:r>
      <w:r w:rsidR="00D637D2" w:rsidRPr="00AF7D9D">
        <w:rPr>
          <w:rFonts w:ascii="Times New Roman" w:hAnsi="Times New Roman" w:cs="Times New Roman"/>
          <w:sz w:val="24"/>
          <w:szCs w:val="24"/>
        </w:rPr>
        <w:t>YPI-S has</w:t>
      </w:r>
      <w:r w:rsidR="00A57425" w:rsidRPr="00AF7D9D">
        <w:rPr>
          <w:rFonts w:ascii="Times New Roman" w:hAnsi="Times New Roman" w:cs="Times New Roman"/>
          <w:sz w:val="24"/>
          <w:szCs w:val="24"/>
        </w:rPr>
        <w:t xml:space="preserve"> been</w:t>
      </w:r>
      <w:r w:rsidR="00D637D2" w:rsidRPr="00AF7D9D">
        <w:rPr>
          <w:rFonts w:ascii="Times New Roman" w:hAnsi="Times New Roman" w:cs="Times New Roman"/>
          <w:sz w:val="24"/>
          <w:szCs w:val="24"/>
        </w:rPr>
        <w:t xml:space="preserve"> </w:t>
      </w:r>
      <w:r w:rsidR="00E96E95" w:rsidRPr="00AF7D9D">
        <w:rPr>
          <w:rFonts w:ascii="Times New Roman" w:hAnsi="Times New Roman" w:cs="Times New Roman"/>
          <w:sz w:val="24"/>
          <w:szCs w:val="24"/>
        </w:rPr>
        <w:t xml:space="preserve">incorporated into routine evaluations of juvenile offenders in applied settings (Vahl et al., 2014), suggesting the measure </w:t>
      </w:r>
      <w:r w:rsidR="00A57425" w:rsidRPr="00AF7D9D">
        <w:rPr>
          <w:rFonts w:ascii="Times New Roman" w:hAnsi="Times New Roman" w:cs="Times New Roman"/>
          <w:sz w:val="24"/>
          <w:szCs w:val="24"/>
        </w:rPr>
        <w:t xml:space="preserve">currently </w:t>
      </w:r>
      <w:r w:rsidR="00E96E95" w:rsidRPr="00AF7D9D">
        <w:rPr>
          <w:rFonts w:ascii="Times New Roman" w:hAnsi="Times New Roman" w:cs="Times New Roman"/>
          <w:sz w:val="24"/>
          <w:szCs w:val="24"/>
        </w:rPr>
        <w:t xml:space="preserve">influences clinical decision-making in real-world contexts. </w:t>
      </w:r>
      <w:r w:rsidR="00816B57" w:rsidRPr="00AF7D9D">
        <w:rPr>
          <w:rFonts w:ascii="Times New Roman" w:hAnsi="Times New Roman" w:cs="Times New Roman"/>
          <w:sz w:val="24"/>
          <w:szCs w:val="24"/>
        </w:rPr>
        <w:t xml:space="preserve">Unfortunately, most of the items contained in the </w:t>
      </w:r>
      <w:r w:rsidR="00F52525" w:rsidRPr="00AF7D9D">
        <w:rPr>
          <w:rFonts w:ascii="Times New Roman" w:hAnsi="Times New Roman" w:cs="Times New Roman"/>
          <w:sz w:val="24"/>
          <w:szCs w:val="24"/>
        </w:rPr>
        <w:t>full-length</w:t>
      </w:r>
      <w:r w:rsidR="00F01488" w:rsidRPr="00AF7D9D">
        <w:rPr>
          <w:rFonts w:ascii="Times New Roman" w:hAnsi="Times New Roman" w:cs="Times New Roman"/>
          <w:sz w:val="24"/>
          <w:szCs w:val="24"/>
        </w:rPr>
        <w:t xml:space="preserve"> </w:t>
      </w:r>
      <w:r w:rsidR="00816B57" w:rsidRPr="00AF7D9D">
        <w:rPr>
          <w:rFonts w:ascii="Times New Roman" w:hAnsi="Times New Roman" w:cs="Times New Roman"/>
          <w:sz w:val="24"/>
          <w:szCs w:val="24"/>
        </w:rPr>
        <w:t xml:space="preserve">YPI that were used </w:t>
      </w:r>
      <w:r w:rsidR="00F01488" w:rsidRPr="00AF7D9D">
        <w:rPr>
          <w:rFonts w:ascii="Times New Roman" w:hAnsi="Times New Roman" w:cs="Times New Roman"/>
          <w:sz w:val="24"/>
          <w:szCs w:val="24"/>
        </w:rPr>
        <w:t xml:space="preserve">in constructing the </w:t>
      </w:r>
      <w:r w:rsidR="00816B57" w:rsidRPr="00AF7D9D">
        <w:rPr>
          <w:rFonts w:ascii="Times New Roman" w:hAnsi="Times New Roman" w:cs="Times New Roman"/>
          <w:sz w:val="24"/>
          <w:szCs w:val="24"/>
        </w:rPr>
        <w:t>SPICIE were omitted</w:t>
      </w:r>
      <w:r w:rsidR="00F35841" w:rsidRPr="00AF7D9D">
        <w:rPr>
          <w:rFonts w:ascii="Times New Roman" w:hAnsi="Times New Roman" w:cs="Times New Roman"/>
          <w:sz w:val="24"/>
          <w:szCs w:val="24"/>
        </w:rPr>
        <w:t xml:space="preserve"> in the development of</w:t>
      </w:r>
      <w:r w:rsidR="00816B57" w:rsidRPr="00AF7D9D">
        <w:rPr>
          <w:rFonts w:ascii="Times New Roman" w:hAnsi="Times New Roman" w:cs="Times New Roman"/>
          <w:sz w:val="24"/>
          <w:szCs w:val="24"/>
        </w:rPr>
        <w:t xml:space="preserve"> the short-form</w:t>
      </w:r>
      <w:r w:rsidR="00096297" w:rsidRPr="00AF7D9D">
        <w:rPr>
          <w:rFonts w:ascii="Times New Roman" w:hAnsi="Times New Roman" w:cs="Times New Roman"/>
          <w:sz w:val="24"/>
          <w:szCs w:val="24"/>
        </w:rPr>
        <w:t>, making it im</w:t>
      </w:r>
      <w:r w:rsidR="00816B57" w:rsidRPr="00AF7D9D">
        <w:rPr>
          <w:rFonts w:ascii="Times New Roman" w:hAnsi="Times New Roman" w:cs="Times New Roman"/>
          <w:sz w:val="24"/>
          <w:szCs w:val="24"/>
        </w:rPr>
        <w:t xml:space="preserve">possible to </w:t>
      </w:r>
      <w:r w:rsidR="00096297" w:rsidRPr="00AF7D9D">
        <w:rPr>
          <w:rFonts w:ascii="Times New Roman" w:hAnsi="Times New Roman" w:cs="Times New Roman"/>
          <w:sz w:val="24"/>
          <w:szCs w:val="24"/>
        </w:rPr>
        <w:t>apply this inconsistency scale to the</w:t>
      </w:r>
      <w:r w:rsidR="00816B57" w:rsidRPr="00AF7D9D">
        <w:rPr>
          <w:rFonts w:ascii="Times New Roman" w:hAnsi="Times New Roman" w:cs="Times New Roman"/>
          <w:sz w:val="24"/>
          <w:szCs w:val="24"/>
        </w:rPr>
        <w:t xml:space="preserve"> </w:t>
      </w:r>
      <w:r w:rsidR="00096297" w:rsidRPr="00AF7D9D">
        <w:rPr>
          <w:rFonts w:ascii="Times New Roman" w:hAnsi="Times New Roman" w:cs="Times New Roman"/>
          <w:sz w:val="24"/>
          <w:szCs w:val="24"/>
        </w:rPr>
        <w:t>YPI-S</w:t>
      </w:r>
      <w:r w:rsidR="00816B57" w:rsidRPr="00AF7D9D">
        <w:rPr>
          <w:rFonts w:ascii="Times New Roman" w:hAnsi="Times New Roman" w:cs="Times New Roman"/>
          <w:sz w:val="24"/>
          <w:szCs w:val="24"/>
        </w:rPr>
        <w:t xml:space="preserve">. Therefore, the focus of the present research </w:t>
      </w:r>
      <w:r w:rsidR="00F35841" w:rsidRPr="00AF7D9D">
        <w:rPr>
          <w:rFonts w:ascii="Times New Roman" w:hAnsi="Times New Roman" w:cs="Times New Roman"/>
          <w:sz w:val="24"/>
          <w:szCs w:val="24"/>
        </w:rPr>
        <w:t>wa</w:t>
      </w:r>
      <w:r w:rsidR="00816B57" w:rsidRPr="00AF7D9D">
        <w:rPr>
          <w:rFonts w:ascii="Times New Roman" w:hAnsi="Times New Roman" w:cs="Times New Roman"/>
          <w:sz w:val="24"/>
          <w:szCs w:val="24"/>
        </w:rPr>
        <w:t>s to develop a</w:t>
      </w:r>
      <w:r w:rsidR="00065819" w:rsidRPr="00AF7D9D">
        <w:rPr>
          <w:rFonts w:ascii="Times New Roman" w:hAnsi="Times New Roman" w:cs="Times New Roman"/>
          <w:sz w:val="24"/>
          <w:szCs w:val="24"/>
        </w:rPr>
        <w:t>nd evaluate a</w:t>
      </w:r>
      <w:r w:rsidR="00816B57" w:rsidRPr="00AF7D9D">
        <w:rPr>
          <w:rFonts w:ascii="Times New Roman" w:hAnsi="Times New Roman" w:cs="Times New Roman"/>
          <w:sz w:val="24"/>
          <w:szCs w:val="24"/>
        </w:rPr>
        <w:t xml:space="preserve"> new scale from the </w:t>
      </w:r>
      <w:r w:rsidR="00F35841" w:rsidRPr="00AF7D9D">
        <w:rPr>
          <w:rFonts w:ascii="Times New Roman" w:hAnsi="Times New Roman" w:cs="Times New Roman"/>
          <w:sz w:val="24"/>
          <w:szCs w:val="24"/>
        </w:rPr>
        <w:t xml:space="preserve">18 </w:t>
      </w:r>
      <w:r w:rsidR="00816B57" w:rsidRPr="00AF7D9D">
        <w:rPr>
          <w:rFonts w:ascii="Times New Roman" w:hAnsi="Times New Roman" w:cs="Times New Roman"/>
          <w:sz w:val="24"/>
          <w:szCs w:val="24"/>
        </w:rPr>
        <w:t>existing YPI</w:t>
      </w:r>
      <w:r w:rsidR="00AD468B" w:rsidRPr="00AF7D9D">
        <w:rPr>
          <w:rFonts w:ascii="Times New Roman" w:hAnsi="Times New Roman" w:cs="Times New Roman"/>
          <w:sz w:val="24"/>
          <w:szCs w:val="24"/>
        </w:rPr>
        <w:t>-S</w:t>
      </w:r>
      <w:r w:rsidR="00816B57" w:rsidRPr="00AF7D9D">
        <w:rPr>
          <w:rFonts w:ascii="Times New Roman" w:hAnsi="Times New Roman" w:cs="Times New Roman"/>
          <w:sz w:val="24"/>
          <w:szCs w:val="24"/>
        </w:rPr>
        <w:t xml:space="preserve"> items </w:t>
      </w:r>
      <w:r w:rsidR="00AD468B" w:rsidRPr="00AF7D9D">
        <w:rPr>
          <w:rFonts w:ascii="Times New Roman" w:hAnsi="Times New Roman" w:cs="Times New Roman"/>
          <w:sz w:val="24"/>
          <w:szCs w:val="24"/>
        </w:rPr>
        <w:t xml:space="preserve">that effectively identifies protocols of </w:t>
      </w:r>
      <w:r w:rsidR="00816B57" w:rsidRPr="00AF7D9D">
        <w:rPr>
          <w:rFonts w:ascii="Times New Roman" w:hAnsi="Times New Roman" w:cs="Times New Roman"/>
          <w:sz w:val="24"/>
          <w:szCs w:val="24"/>
        </w:rPr>
        <w:lastRenderedPageBreak/>
        <w:t>questionable validity due to care</w:t>
      </w:r>
      <w:r w:rsidR="00AD468B" w:rsidRPr="00AF7D9D">
        <w:rPr>
          <w:rFonts w:ascii="Times New Roman" w:hAnsi="Times New Roman" w:cs="Times New Roman"/>
          <w:sz w:val="24"/>
          <w:szCs w:val="24"/>
        </w:rPr>
        <w:t xml:space="preserve">less or inconsistent responding. </w:t>
      </w:r>
      <w:r w:rsidR="00F35841" w:rsidRPr="00AF7D9D">
        <w:rPr>
          <w:rFonts w:ascii="Times New Roman" w:hAnsi="Times New Roman" w:cs="Times New Roman"/>
          <w:sz w:val="24"/>
          <w:szCs w:val="24"/>
        </w:rPr>
        <w:t>To accomplish this objective, w</w:t>
      </w:r>
      <w:r w:rsidR="00F52525" w:rsidRPr="00AF7D9D">
        <w:rPr>
          <w:rFonts w:ascii="Times New Roman" w:hAnsi="Times New Roman" w:cs="Times New Roman"/>
          <w:sz w:val="24"/>
          <w:szCs w:val="24"/>
        </w:rPr>
        <w:t xml:space="preserve">e </w:t>
      </w:r>
      <w:r w:rsidR="00F35841" w:rsidRPr="00AF7D9D">
        <w:rPr>
          <w:rFonts w:ascii="Times New Roman" w:hAnsi="Times New Roman" w:cs="Times New Roman"/>
          <w:sz w:val="24"/>
          <w:szCs w:val="24"/>
        </w:rPr>
        <w:t xml:space="preserve">examined </w:t>
      </w:r>
      <w:r w:rsidR="00F52525" w:rsidRPr="00AF7D9D">
        <w:rPr>
          <w:rFonts w:ascii="Times New Roman" w:hAnsi="Times New Roman" w:cs="Times New Roman"/>
          <w:sz w:val="24"/>
          <w:szCs w:val="24"/>
        </w:rPr>
        <w:t>five</w:t>
      </w:r>
      <w:r w:rsidR="00AD468B" w:rsidRPr="00AF7D9D">
        <w:rPr>
          <w:rFonts w:ascii="Times New Roman" w:hAnsi="Times New Roman" w:cs="Times New Roman"/>
          <w:sz w:val="24"/>
          <w:szCs w:val="24"/>
        </w:rPr>
        <w:t xml:space="preserve"> archival data sets </w:t>
      </w:r>
      <w:r w:rsidR="0065060F" w:rsidRPr="00AF7D9D">
        <w:rPr>
          <w:rFonts w:ascii="Times New Roman" w:hAnsi="Times New Roman" w:cs="Times New Roman"/>
          <w:sz w:val="24"/>
          <w:szCs w:val="24"/>
        </w:rPr>
        <w:t xml:space="preserve">where the </w:t>
      </w:r>
      <w:r w:rsidR="00F52525" w:rsidRPr="00AF7D9D">
        <w:rPr>
          <w:rFonts w:ascii="Times New Roman" w:hAnsi="Times New Roman" w:cs="Times New Roman"/>
          <w:sz w:val="24"/>
          <w:szCs w:val="24"/>
        </w:rPr>
        <w:t>YPI or YPI-S</w:t>
      </w:r>
      <w:r w:rsidR="00AD468B" w:rsidRPr="00AF7D9D">
        <w:rPr>
          <w:rFonts w:ascii="Times New Roman" w:hAnsi="Times New Roman" w:cs="Times New Roman"/>
          <w:sz w:val="24"/>
          <w:szCs w:val="24"/>
        </w:rPr>
        <w:t xml:space="preserve"> </w:t>
      </w:r>
      <w:r w:rsidR="0065060F" w:rsidRPr="00AF7D9D">
        <w:rPr>
          <w:rFonts w:ascii="Times New Roman" w:hAnsi="Times New Roman" w:cs="Times New Roman"/>
          <w:sz w:val="24"/>
          <w:szCs w:val="24"/>
        </w:rPr>
        <w:t xml:space="preserve">was </w:t>
      </w:r>
      <w:r w:rsidR="00AD468B" w:rsidRPr="00AF7D9D">
        <w:rPr>
          <w:rFonts w:ascii="Times New Roman" w:hAnsi="Times New Roman" w:cs="Times New Roman"/>
          <w:sz w:val="24"/>
          <w:szCs w:val="24"/>
        </w:rPr>
        <w:t>administered in English, Ge</w:t>
      </w:r>
      <w:r w:rsidRPr="00AF7D9D">
        <w:rPr>
          <w:rFonts w:ascii="Times New Roman" w:hAnsi="Times New Roman" w:cs="Times New Roman"/>
          <w:sz w:val="24"/>
          <w:szCs w:val="24"/>
        </w:rPr>
        <w:t>rman, Italian, and Dutch to culturally diverse samples</w:t>
      </w:r>
      <w:r w:rsidR="009131E0" w:rsidRPr="00AF7D9D">
        <w:rPr>
          <w:rFonts w:ascii="Times New Roman" w:hAnsi="Times New Roman" w:cs="Times New Roman"/>
          <w:sz w:val="24"/>
          <w:szCs w:val="24"/>
        </w:rPr>
        <w:t xml:space="preserve"> of juvenile offend</w:t>
      </w:r>
      <w:r w:rsidR="00F52525" w:rsidRPr="00AF7D9D">
        <w:rPr>
          <w:rFonts w:ascii="Times New Roman" w:hAnsi="Times New Roman" w:cs="Times New Roman"/>
          <w:sz w:val="24"/>
          <w:szCs w:val="24"/>
        </w:rPr>
        <w:t>ers and youth in the community.</w:t>
      </w:r>
      <w:r w:rsidR="00F35841" w:rsidRPr="00AF7D9D">
        <w:rPr>
          <w:rFonts w:ascii="Times New Roman" w:hAnsi="Times New Roman" w:cs="Times New Roman"/>
          <w:sz w:val="24"/>
          <w:szCs w:val="24"/>
        </w:rPr>
        <w:t xml:space="preserve"> </w:t>
      </w:r>
    </w:p>
    <w:p w14:paraId="25DEC6A1" w14:textId="77777777" w:rsidR="00B95FCD" w:rsidRPr="00AF7D9D" w:rsidRDefault="00B95FCD" w:rsidP="00CD44E1">
      <w:pPr>
        <w:spacing w:after="0" w:line="480" w:lineRule="auto"/>
        <w:rPr>
          <w:rFonts w:ascii="Times New Roman" w:hAnsi="Times New Roman" w:cs="Times New Roman"/>
          <w:b/>
          <w:sz w:val="24"/>
          <w:szCs w:val="24"/>
        </w:rPr>
      </w:pPr>
      <w:r w:rsidRPr="00AF7D9D">
        <w:rPr>
          <w:rFonts w:ascii="Times New Roman" w:hAnsi="Times New Roman" w:cs="Times New Roman"/>
          <w:b/>
          <w:sz w:val="24"/>
          <w:szCs w:val="24"/>
        </w:rPr>
        <w:t>Current Study</w:t>
      </w:r>
    </w:p>
    <w:p w14:paraId="6E76DB10" w14:textId="77777777" w:rsidR="00127A85" w:rsidRPr="00AF7D9D" w:rsidRDefault="002D192B" w:rsidP="00CD44E1">
      <w:pPr>
        <w:spacing w:after="0" w:line="480" w:lineRule="auto"/>
        <w:ind w:firstLine="720"/>
        <w:rPr>
          <w:rFonts w:ascii="Times New Roman" w:hAnsi="Times New Roman" w:cs="Times New Roman"/>
          <w:sz w:val="24"/>
          <w:szCs w:val="24"/>
        </w:rPr>
      </w:pPr>
      <w:r w:rsidRPr="00AF7D9D">
        <w:rPr>
          <w:rFonts w:ascii="Times New Roman" w:hAnsi="Times New Roman" w:cs="Times New Roman"/>
          <w:sz w:val="24"/>
          <w:szCs w:val="24"/>
        </w:rPr>
        <w:t xml:space="preserve">To develop a viable inconsistency scale for the YPI-S, we first identified pairs of items </w:t>
      </w:r>
      <w:r w:rsidR="00F52525" w:rsidRPr="00AF7D9D">
        <w:rPr>
          <w:rFonts w:ascii="Times New Roman" w:hAnsi="Times New Roman" w:cs="Times New Roman"/>
          <w:sz w:val="24"/>
          <w:szCs w:val="24"/>
        </w:rPr>
        <w:t>showing high correspondence</w:t>
      </w:r>
      <w:r w:rsidRPr="00AF7D9D">
        <w:rPr>
          <w:rFonts w:ascii="Times New Roman" w:hAnsi="Times New Roman" w:cs="Times New Roman"/>
          <w:sz w:val="24"/>
          <w:szCs w:val="24"/>
        </w:rPr>
        <w:t xml:space="preserve"> across our five samples. Next, we computed inconsistency scores for study participants by summing the absolute values of differences between paired items. For each of our samples, </w:t>
      </w:r>
      <w:r w:rsidR="006F7061" w:rsidRPr="00AF7D9D">
        <w:rPr>
          <w:rFonts w:ascii="Times New Roman" w:hAnsi="Times New Roman" w:cs="Times New Roman"/>
          <w:sz w:val="24"/>
          <w:szCs w:val="24"/>
        </w:rPr>
        <w:t>participant</w:t>
      </w:r>
      <w:r w:rsidRPr="00AF7D9D">
        <w:rPr>
          <w:rFonts w:ascii="Times New Roman" w:hAnsi="Times New Roman" w:cs="Times New Roman"/>
          <w:sz w:val="24"/>
          <w:szCs w:val="24"/>
        </w:rPr>
        <w:t xml:space="preserve"> inconsistency scores were evaluated </w:t>
      </w:r>
      <w:r w:rsidR="00127A85" w:rsidRPr="00AF7D9D">
        <w:rPr>
          <w:rFonts w:ascii="Times New Roman" w:hAnsi="Times New Roman" w:cs="Times New Roman"/>
          <w:sz w:val="24"/>
          <w:szCs w:val="24"/>
        </w:rPr>
        <w:t>against</w:t>
      </w:r>
      <w:r w:rsidRPr="00AF7D9D">
        <w:rPr>
          <w:rFonts w:ascii="Times New Roman" w:hAnsi="Times New Roman" w:cs="Times New Roman"/>
          <w:sz w:val="24"/>
          <w:szCs w:val="24"/>
        </w:rPr>
        <w:t xml:space="preserve"> those </w:t>
      </w:r>
      <w:r w:rsidR="00F52525" w:rsidRPr="00AF7D9D">
        <w:rPr>
          <w:rFonts w:ascii="Times New Roman" w:hAnsi="Times New Roman" w:cs="Times New Roman"/>
          <w:sz w:val="24"/>
          <w:szCs w:val="24"/>
        </w:rPr>
        <w:t>obtained</w:t>
      </w:r>
      <w:r w:rsidR="00127A85" w:rsidRPr="00AF7D9D">
        <w:rPr>
          <w:rFonts w:ascii="Times New Roman" w:hAnsi="Times New Roman" w:cs="Times New Roman"/>
          <w:sz w:val="24"/>
          <w:szCs w:val="24"/>
        </w:rPr>
        <w:t xml:space="preserve"> when YPI-S responses were generated completely at random </w:t>
      </w:r>
      <w:r w:rsidRPr="00AF7D9D">
        <w:rPr>
          <w:rFonts w:ascii="Times New Roman" w:hAnsi="Times New Roman" w:cs="Times New Roman"/>
          <w:sz w:val="24"/>
          <w:szCs w:val="24"/>
        </w:rPr>
        <w:t>(</w:t>
      </w:r>
      <w:r w:rsidRPr="00AF7D9D">
        <w:rPr>
          <w:rFonts w:ascii="Times New Roman" w:hAnsi="Times New Roman" w:cs="Times New Roman"/>
          <w:i/>
          <w:sz w:val="24"/>
          <w:szCs w:val="24"/>
        </w:rPr>
        <w:t>N</w:t>
      </w:r>
      <w:r w:rsidRPr="00AF7D9D">
        <w:rPr>
          <w:rFonts w:ascii="Times New Roman" w:hAnsi="Times New Roman" w:cs="Times New Roman"/>
          <w:sz w:val="24"/>
          <w:szCs w:val="24"/>
        </w:rPr>
        <w:t xml:space="preserve"> = 1,000). </w:t>
      </w:r>
      <w:r w:rsidR="00127A85" w:rsidRPr="00AF7D9D">
        <w:rPr>
          <w:rFonts w:ascii="Times New Roman" w:hAnsi="Times New Roman" w:cs="Times New Roman"/>
          <w:sz w:val="24"/>
          <w:szCs w:val="24"/>
        </w:rPr>
        <w:t xml:space="preserve">Because careless responding </w:t>
      </w:r>
      <w:r w:rsidR="00F35841" w:rsidRPr="00AF7D9D">
        <w:rPr>
          <w:rFonts w:ascii="Times New Roman" w:hAnsi="Times New Roman" w:cs="Times New Roman"/>
          <w:sz w:val="24"/>
          <w:szCs w:val="24"/>
        </w:rPr>
        <w:t xml:space="preserve">would </w:t>
      </w:r>
      <w:r w:rsidR="00127A85" w:rsidRPr="00AF7D9D">
        <w:rPr>
          <w:rFonts w:ascii="Times New Roman" w:hAnsi="Times New Roman" w:cs="Times New Roman"/>
          <w:sz w:val="24"/>
          <w:szCs w:val="24"/>
        </w:rPr>
        <w:t xml:space="preserve">not </w:t>
      </w:r>
      <w:r w:rsidR="00F35841" w:rsidRPr="00AF7D9D">
        <w:rPr>
          <w:rFonts w:ascii="Times New Roman" w:hAnsi="Times New Roman" w:cs="Times New Roman"/>
          <w:sz w:val="24"/>
          <w:szCs w:val="24"/>
        </w:rPr>
        <w:t xml:space="preserve">necessarily </w:t>
      </w:r>
      <w:r w:rsidR="00127A85" w:rsidRPr="00AF7D9D">
        <w:rPr>
          <w:rFonts w:ascii="Times New Roman" w:hAnsi="Times New Roman" w:cs="Times New Roman"/>
          <w:sz w:val="24"/>
          <w:szCs w:val="24"/>
        </w:rPr>
        <w:t>manifest as entirely random response s</w:t>
      </w:r>
      <w:r w:rsidR="00F52525" w:rsidRPr="00AF7D9D">
        <w:rPr>
          <w:rFonts w:ascii="Times New Roman" w:hAnsi="Times New Roman" w:cs="Times New Roman"/>
          <w:sz w:val="24"/>
          <w:szCs w:val="24"/>
        </w:rPr>
        <w:t>election</w:t>
      </w:r>
      <w:r w:rsidR="00F35841" w:rsidRPr="00AF7D9D">
        <w:rPr>
          <w:rFonts w:ascii="Times New Roman" w:hAnsi="Times New Roman" w:cs="Times New Roman"/>
          <w:sz w:val="24"/>
          <w:szCs w:val="24"/>
        </w:rPr>
        <w:t xml:space="preserve"> for many or most respondents</w:t>
      </w:r>
      <w:r w:rsidR="00F52525" w:rsidRPr="00AF7D9D">
        <w:rPr>
          <w:rFonts w:ascii="Times New Roman" w:hAnsi="Times New Roman" w:cs="Times New Roman"/>
          <w:sz w:val="24"/>
          <w:szCs w:val="24"/>
        </w:rPr>
        <w:t>, we</w:t>
      </w:r>
      <w:r w:rsidR="003B1F1C" w:rsidRPr="00AF7D9D">
        <w:rPr>
          <w:rFonts w:ascii="Times New Roman" w:hAnsi="Times New Roman" w:cs="Times New Roman"/>
          <w:sz w:val="24"/>
          <w:szCs w:val="24"/>
        </w:rPr>
        <w:t xml:space="preserve"> also</w:t>
      </w:r>
      <w:r w:rsidR="00F52525" w:rsidRPr="00AF7D9D">
        <w:rPr>
          <w:rFonts w:ascii="Times New Roman" w:hAnsi="Times New Roman" w:cs="Times New Roman"/>
          <w:sz w:val="24"/>
          <w:szCs w:val="24"/>
        </w:rPr>
        <w:t xml:space="preserve"> created comparison</w:t>
      </w:r>
      <w:r w:rsidR="00127A85" w:rsidRPr="00AF7D9D">
        <w:rPr>
          <w:rFonts w:ascii="Times New Roman" w:hAnsi="Times New Roman" w:cs="Times New Roman"/>
          <w:sz w:val="24"/>
          <w:szCs w:val="24"/>
        </w:rPr>
        <w:t xml:space="preserve"> samples from our data sets in which 50% of participant</w:t>
      </w:r>
      <w:r w:rsidR="00AE04E2" w:rsidRPr="00AF7D9D">
        <w:rPr>
          <w:rFonts w:ascii="Times New Roman" w:hAnsi="Times New Roman" w:cs="Times New Roman"/>
          <w:sz w:val="24"/>
          <w:szCs w:val="24"/>
        </w:rPr>
        <w:t>’s original</w:t>
      </w:r>
      <w:r w:rsidR="00127A85" w:rsidRPr="00AF7D9D">
        <w:rPr>
          <w:rFonts w:ascii="Times New Roman" w:hAnsi="Times New Roman" w:cs="Times New Roman"/>
          <w:sz w:val="24"/>
          <w:szCs w:val="24"/>
        </w:rPr>
        <w:t xml:space="preserve"> responses to YPI-S items were randomly selected and replaced using a procedure described by Handel </w:t>
      </w:r>
      <w:r w:rsidR="0033290D" w:rsidRPr="00AF7D9D">
        <w:rPr>
          <w:rFonts w:ascii="Times New Roman" w:hAnsi="Times New Roman" w:cs="Times New Roman"/>
          <w:sz w:val="24"/>
          <w:szCs w:val="24"/>
        </w:rPr>
        <w:t>et al.</w:t>
      </w:r>
      <w:r w:rsidR="00127A85" w:rsidRPr="00AF7D9D">
        <w:rPr>
          <w:rFonts w:ascii="Times New Roman" w:hAnsi="Times New Roman" w:cs="Times New Roman"/>
          <w:sz w:val="24"/>
          <w:szCs w:val="24"/>
        </w:rPr>
        <w:t xml:space="preserve"> (2010). We then examined the criterion validity of inconsistency scores with available indices of inattention and response style from other measures of psychological functioning. Finally, we </w:t>
      </w:r>
      <w:r w:rsidR="0026614A" w:rsidRPr="00AF7D9D">
        <w:rPr>
          <w:rFonts w:ascii="Times New Roman" w:hAnsi="Times New Roman" w:cs="Times New Roman"/>
          <w:sz w:val="24"/>
          <w:szCs w:val="24"/>
        </w:rPr>
        <w:t>used proposed cut-</w:t>
      </w:r>
      <w:r w:rsidR="004426FA" w:rsidRPr="00AF7D9D">
        <w:rPr>
          <w:rFonts w:ascii="Times New Roman" w:hAnsi="Times New Roman" w:cs="Times New Roman"/>
          <w:sz w:val="24"/>
          <w:szCs w:val="24"/>
        </w:rPr>
        <w:t xml:space="preserve">off </w:t>
      </w:r>
      <w:r w:rsidR="00F40A18" w:rsidRPr="00AF7D9D">
        <w:rPr>
          <w:rFonts w:ascii="Times New Roman" w:hAnsi="Times New Roman" w:cs="Times New Roman"/>
          <w:sz w:val="24"/>
          <w:szCs w:val="24"/>
        </w:rPr>
        <w:t xml:space="preserve">scores for profile invalidity to divide participants into two groups and, </w:t>
      </w:r>
      <w:r w:rsidR="00127A85" w:rsidRPr="00AF7D9D">
        <w:rPr>
          <w:rFonts w:ascii="Times New Roman" w:hAnsi="Times New Roman" w:cs="Times New Roman"/>
          <w:sz w:val="24"/>
          <w:szCs w:val="24"/>
        </w:rPr>
        <w:t>for a number of theoretically relevant</w:t>
      </w:r>
      <w:r w:rsidR="00F40A18" w:rsidRPr="00AF7D9D">
        <w:rPr>
          <w:rFonts w:ascii="Times New Roman" w:hAnsi="Times New Roman" w:cs="Times New Roman"/>
          <w:sz w:val="24"/>
          <w:szCs w:val="24"/>
        </w:rPr>
        <w:t xml:space="preserve"> correlates, examined </w:t>
      </w:r>
      <w:r w:rsidR="004426FA" w:rsidRPr="00AF7D9D">
        <w:rPr>
          <w:rFonts w:ascii="Times New Roman" w:hAnsi="Times New Roman" w:cs="Times New Roman"/>
          <w:sz w:val="24"/>
          <w:szCs w:val="24"/>
        </w:rPr>
        <w:t xml:space="preserve">if and </w:t>
      </w:r>
      <w:r w:rsidR="00F40A18" w:rsidRPr="00AF7D9D">
        <w:rPr>
          <w:rFonts w:ascii="Times New Roman" w:hAnsi="Times New Roman" w:cs="Times New Roman"/>
          <w:sz w:val="24"/>
          <w:szCs w:val="24"/>
        </w:rPr>
        <w:t>how associations with the YPI-S</w:t>
      </w:r>
      <w:r w:rsidR="00127A85" w:rsidRPr="00AF7D9D">
        <w:rPr>
          <w:rFonts w:ascii="Times New Roman" w:hAnsi="Times New Roman" w:cs="Times New Roman"/>
          <w:sz w:val="24"/>
          <w:szCs w:val="24"/>
        </w:rPr>
        <w:t xml:space="preserve"> </w:t>
      </w:r>
      <w:r w:rsidR="00F40A18" w:rsidRPr="00AF7D9D">
        <w:rPr>
          <w:rFonts w:ascii="Times New Roman" w:hAnsi="Times New Roman" w:cs="Times New Roman"/>
          <w:sz w:val="24"/>
          <w:szCs w:val="24"/>
        </w:rPr>
        <w:t xml:space="preserve">were </w:t>
      </w:r>
      <w:r w:rsidR="00F52525" w:rsidRPr="00AF7D9D">
        <w:rPr>
          <w:rFonts w:ascii="Times New Roman" w:hAnsi="Times New Roman" w:cs="Times New Roman"/>
          <w:sz w:val="24"/>
          <w:szCs w:val="24"/>
        </w:rPr>
        <w:t>affected</w:t>
      </w:r>
      <w:r w:rsidR="00F40A18" w:rsidRPr="00AF7D9D">
        <w:rPr>
          <w:rFonts w:ascii="Times New Roman" w:hAnsi="Times New Roman" w:cs="Times New Roman"/>
          <w:sz w:val="24"/>
          <w:szCs w:val="24"/>
        </w:rPr>
        <w:t xml:space="preserve"> by inconsistent responding. </w:t>
      </w:r>
    </w:p>
    <w:p w14:paraId="60BEE714" w14:textId="77777777" w:rsidR="009E1972" w:rsidRPr="00AF7D9D" w:rsidRDefault="009E1972" w:rsidP="00CD44E1">
      <w:pPr>
        <w:widowControl w:val="0"/>
        <w:spacing w:after="0" w:line="480" w:lineRule="auto"/>
        <w:jc w:val="center"/>
        <w:rPr>
          <w:rFonts w:ascii="Times New Roman" w:hAnsi="Times New Roman" w:cs="Times New Roman"/>
          <w:b/>
          <w:sz w:val="24"/>
          <w:szCs w:val="24"/>
        </w:rPr>
      </w:pPr>
      <w:r w:rsidRPr="00AF7D9D">
        <w:rPr>
          <w:rFonts w:ascii="Times New Roman" w:hAnsi="Times New Roman" w:cs="Times New Roman"/>
          <w:b/>
          <w:sz w:val="24"/>
          <w:szCs w:val="24"/>
        </w:rPr>
        <w:t>Method</w:t>
      </w:r>
    </w:p>
    <w:p w14:paraId="16B3C442" w14:textId="77777777" w:rsidR="009E1972" w:rsidRPr="00AF7D9D" w:rsidRDefault="009E1972" w:rsidP="00CD44E1">
      <w:pPr>
        <w:spacing w:after="0" w:line="480" w:lineRule="auto"/>
        <w:rPr>
          <w:rFonts w:ascii="Times New Roman" w:hAnsi="Times New Roman" w:cs="Times New Roman"/>
          <w:sz w:val="24"/>
          <w:szCs w:val="24"/>
        </w:rPr>
      </w:pPr>
      <w:r w:rsidRPr="00AF7D9D">
        <w:rPr>
          <w:rFonts w:ascii="Times New Roman" w:hAnsi="Times New Roman" w:cs="Times New Roman"/>
          <w:sz w:val="24"/>
          <w:szCs w:val="24"/>
        </w:rPr>
        <w:tab/>
        <w:t xml:space="preserve">This research relies on multiple archival samples to identify and cross-validate a new inconsistency scale for the YPI-S. Three of these samples were used in the initial construction of the aforementioned SPICIE (Penson et al., in press), which was developed for the full 50-item </w:t>
      </w:r>
      <w:r w:rsidRPr="00AF7D9D">
        <w:rPr>
          <w:rFonts w:ascii="Times New Roman" w:hAnsi="Times New Roman" w:cs="Times New Roman"/>
          <w:sz w:val="24"/>
          <w:szCs w:val="24"/>
        </w:rPr>
        <w:lastRenderedPageBreak/>
        <w:t xml:space="preserve">version of the instrument. </w:t>
      </w:r>
      <w:r w:rsidR="005B0ACA" w:rsidRPr="00AF7D9D">
        <w:rPr>
          <w:rFonts w:ascii="Times New Roman" w:hAnsi="Times New Roman" w:cs="Times New Roman"/>
          <w:sz w:val="24"/>
          <w:szCs w:val="24"/>
        </w:rPr>
        <w:t>W</w:t>
      </w:r>
      <w:r w:rsidRPr="00AF7D9D">
        <w:rPr>
          <w:rFonts w:ascii="Times New Roman" w:hAnsi="Times New Roman" w:cs="Times New Roman"/>
          <w:sz w:val="24"/>
          <w:szCs w:val="24"/>
        </w:rPr>
        <w:t xml:space="preserve">e restricted our analyses </w:t>
      </w:r>
      <w:r w:rsidR="008D357F" w:rsidRPr="00AF7D9D">
        <w:rPr>
          <w:rFonts w:ascii="Times New Roman" w:hAnsi="Times New Roman" w:cs="Times New Roman"/>
          <w:sz w:val="24"/>
          <w:szCs w:val="24"/>
        </w:rPr>
        <w:t>across</w:t>
      </w:r>
      <w:r w:rsidR="005B0ACA" w:rsidRPr="00AF7D9D">
        <w:rPr>
          <w:rFonts w:ascii="Times New Roman" w:hAnsi="Times New Roman" w:cs="Times New Roman"/>
          <w:sz w:val="24"/>
          <w:szCs w:val="24"/>
        </w:rPr>
        <w:t xml:space="preserve"> all samples </w:t>
      </w:r>
      <w:r w:rsidRPr="00AF7D9D">
        <w:rPr>
          <w:rFonts w:ascii="Times New Roman" w:hAnsi="Times New Roman" w:cs="Times New Roman"/>
          <w:sz w:val="24"/>
          <w:szCs w:val="24"/>
        </w:rPr>
        <w:t xml:space="preserve">to only those 18 items included </w:t>
      </w:r>
      <w:r w:rsidR="004426FA" w:rsidRPr="00AF7D9D">
        <w:rPr>
          <w:rFonts w:ascii="Times New Roman" w:hAnsi="Times New Roman" w:cs="Times New Roman"/>
          <w:sz w:val="24"/>
          <w:szCs w:val="24"/>
        </w:rPr>
        <w:t>i</w:t>
      </w:r>
      <w:r w:rsidRPr="00AF7D9D">
        <w:rPr>
          <w:rFonts w:ascii="Times New Roman" w:hAnsi="Times New Roman" w:cs="Times New Roman"/>
          <w:sz w:val="24"/>
          <w:szCs w:val="24"/>
        </w:rPr>
        <w:t xml:space="preserve">n the short-form. </w:t>
      </w:r>
    </w:p>
    <w:p w14:paraId="097CD13A" w14:textId="77777777" w:rsidR="009E1972" w:rsidRPr="00AF7D9D" w:rsidRDefault="009E1972" w:rsidP="00CD44E1">
      <w:pPr>
        <w:widowControl w:val="0"/>
        <w:spacing w:after="0" w:line="480" w:lineRule="auto"/>
        <w:rPr>
          <w:rFonts w:ascii="Times New Roman" w:hAnsi="Times New Roman" w:cs="Times New Roman"/>
          <w:b/>
          <w:sz w:val="24"/>
          <w:szCs w:val="24"/>
        </w:rPr>
      </w:pPr>
      <w:r w:rsidRPr="00AF7D9D">
        <w:rPr>
          <w:rFonts w:ascii="Times New Roman" w:hAnsi="Times New Roman" w:cs="Times New Roman"/>
          <w:b/>
          <w:sz w:val="24"/>
          <w:szCs w:val="24"/>
        </w:rPr>
        <w:t>Sample 1: U.S. Juvenile Justice</w:t>
      </w:r>
    </w:p>
    <w:p w14:paraId="147348DB" w14:textId="77777777" w:rsidR="009E1972" w:rsidRPr="00AF7D9D" w:rsidRDefault="009E1972" w:rsidP="00CD44E1">
      <w:pPr>
        <w:widowControl w:val="0"/>
        <w:spacing w:after="0" w:line="480" w:lineRule="auto"/>
        <w:ind w:firstLine="720"/>
        <w:rPr>
          <w:rFonts w:ascii="Times New Roman" w:hAnsi="Times New Roman" w:cs="Times New Roman"/>
          <w:sz w:val="24"/>
          <w:szCs w:val="24"/>
        </w:rPr>
      </w:pPr>
      <w:r w:rsidRPr="00AF7D9D">
        <w:rPr>
          <w:rFonts w:ascii="Times New Roman" w:hAnsi="Times New Roman" w:cs="Times New Roman"/>
          <w:sz w:val="24"/>
          <w:szCs w:val="24"/>
        </w:rPr>
        <w:t>The first sample (Shook, Vaughn, Goodkind, &amp; Johnson, 2011) consisted of juvenile offenders (</w:t>
      </w:r>
      <w:r w:rsidRPr="00AF7D9D">
        <w:rPr>
          <w:rFonts w:ascii="Times New Roman" w:hAnsi="Times New Roman" w:cs="Times New Roman"/>
          <w:i/>
          <w:sz w:val="24"/>
          <w:szCs w:val="24"/>
        </w:rPr>
        <w:t>N</w:t>
      </w:r>
      <w:r w:rsidRPr="00AF7D9D">
        <w:rPr>
          <w:rFonts w:ascii="Times New Roman" w:hAnsi="Times New Roman" w:cs="Times New Roman"/>
          <w:sz w:val="24"/>
          <w:szCs w:val="24"/>
        </w:rPr>
        <w:t xml:space="preserve"> = 253) from two gender-specific residential placement facilities in Western Pennsylvania operated by private nonprofit organizations. The majority of participants were male (60.1%) and African American (51.8%), with a mean age of 16.2 years old (</w:t>
      </w:r>
      <w:r w:rsidRPr="00AF7D9D">
        <w:rPr>
          <w:rFonts w:ascii="Times New Roman" w:hAnsi="Times New Roman" w:cs="Times New Roman"/>
          <w:i/>
          <w:sz w:val="24"/>
          <w:szCs w:val="24"/>
        </w:rPr>
        <w:t>SD</w:t>
      </w:r>
      <w:r w:rsidRPr="00AF7D9D">
        <w:rPr>
          <w:rFonts w:ascii="Times New Roman" w:hAnsi="Times New Roman" w:cs="Times New Roman"/>
          <w:sz w:val="24"/>
          <w:szCs w:val="24"/>
        </w:rPr>
        <w:t xml:space="preserve"> = 1.70). </w:t>
      </w:r>
      <w:r w:rsidR="0074645E" w:rsidRPr="00AF7D9D">
        <w:rPr>
          <w:rFonts w:ascii="Times New Roman" w:hAnsi="Times New Roman" w:cs="Times New Roman"/>
          <w:sz w:val="24"/>
          <w:szCs w:val="24"/>
        </w:rPr>
        <w:t xml:space="preserve">One participant was excluded from analyses due to missing data. </w:t>
      </w:r>
      <w:r w:rsidRPr="00AF7D9D">
        <w:rPr>
          <w:rFonts w:ascii="Times New Roman" w:hAnsi="Times New Roman" w:cs="Times New Roman"/>
          <w:sz w:val="24"/>
          <w:szCs w:val="24"/>
        </w:rPr>
        <w:t xml:space="preserve">Participants received an explanation of the </w:t>
      </w:r>
      <w:r w:rsidR="00A57425" w:rsidRPr="00AF7D9D">
        <w:rPr>
          <w:rFonts w:ascii="Times New Roman" w:hAnsi="Times New Roman" w:cs="Times New Roman"/>
          <w:sz w:val="24"/>
          <w:szCs w:val="24"/>
        </w:rPr>
        <w:t xml:space="preserve">original </w:t>
      </w:r>
      <w:r w:rsidRPr="00AF7D9D">
        <w:rPr>
          <w:rFonts w:ascii="Times New Roman" w:hAnsi="Times New Roman" w:cs="Times New Roman"/>
          <w:sz w:val="24"/>
          <w:szCs w:val="24"/>
        </w:rPr>
        <w:t xml:space="preserve">study </w:t>
      </w:r>
      <w:r w:rsidR="00A57425" w:rsidRPr="00AF7D9D">
        <w:rPr>
          <w:rFonts w:ascii="Times New Roman" w:hAnsi="Times New Roman" w:cs="Times New Roman"/>
          <w:sz w:val="24"/>
          <w:szCs w:val="24"/>
        </w:rPr>
        <w:t xml:space="preserve">purposes </w:t>
      </w:r>
      <w:r w:rsidRPr="00AF7D9D">
        <w:rPr>
          <w:rFonts w:ascii="Times New Roman" w:hAnsi="Times New Roman" w:cs="Times New Roman"/>
          <w:sz w:val="24"/>
          <w:szCs w:val="24"/>
        </w:rPr>
        <w:t xml:space="preserve">prior to assenting (or consenting for those 18-19 years old) to participate. Trained graduate research assistants conducted one-on-one interviews with participating youth using techniques from the Computer-Assisted Survey Interview (CASI). These procedures involved reading each question to the participant and providing supplementary response cards. Participants were administered the full-length YPI and were compensated with $10 credited to their institutional account. </w:t>
      </w:r>
    </w:p>
    <w:p w14:paraId="25BEC889" w14:textId="77777777" w:rsidR="009E1972" w:rsidRPr="00AF7D9D" w:rsidRDefault="009E1972" w:rsidP="00CD44E1">
      <w:pPr>
        <w:widowControl w:val="0"/>
        <w:spacing w:after="0" w:line="480" w:lineRule="auto"/>
        <w:rPr>
          <w:rFonts w:ascii="Times New Roman" w:hAnsi="Times New Roman" w:cs="Times New Roman"/>
          <w:b/>
          <w:sz w:val="24"/>
          <w:szCs w:val="24"/>
        </w:rPr>
      </w:pPr>
      <w:r w:rsidRPr="00AF7D9D">
        <w:rPr>
          <w:rFonts w:ascii="Times New Roman" w:hAnsi="Times New Roman" w:cs="Times New Roman"/>
          <w:b/>
          <w:sz w:val="24"/>
          <w:szCs w:val="24"/>
        </w:rPr>
        <w:t>Sample 2: U.S. Middle School</w:t>
      </w:r>
      <w:r w:rsidRPr="00AF7D9D">
        <w:rPr>
          <w:rFonts w:ascii="Times New Roman" w:hAnsi="Times New Roman" w:cs="Times New Roman"/>
          <w:sz w:val="24"/>
          <w:szCs w:val="24"/>
        </w:rPr>
        <w:t xml:space="preserve"> </w:t>
      </w:r>
    </w:p>
    <w:p w14:paraId="231FF47B" w14:textId="524CC79B" w:rsidR="009E1972" w:rsidRPr="00AF7D9D" w:rsidRDefault="009E1972" w:rsidP="00CD44E1">
      <w:pPr>
        <w:widowControl w:val="0"/>
        <w:spacing w:after="0" w:line="480" w:lineRule="auto"/>
        <w:ind w:firstLine="720"/>
        <w:rPr>
          <w:rFonts w:ascii="Times New Roman" w:hAnsi="Times New Roman" w:cs="Times New Roman"/>
          <w:sz w:val="24"/>
          <w:szCs w:val="24"/>
        </w:rPr>
      </w:pPr>
      <w:r w:rsidRPr="00AF7D9D">
        <w:rPr>
          <w:rFonts w:ascii="Times New Roman" w:hAnsi="Times New Roman" w:cs="Times New Roman"/>
          <w:sz w:val="24"/>
          <w:szCs w:val="24"/>
        </w:rPr>
        <w:t>The second sample (DeLisi et al., 2011; Vaughn et al., 2011) was comprised of seventh and eighth grade students (</w:t>
      </w:r>
      <w:r w:rsidRPr="00AF7D9D">
        <w:rPr>
          <w:rFonts w:ascii="Times New Roman" w:hAnsi="Times New Roman" w:cs="Times New Roman"/>
          <w:i/>
          <w:sz w:val="24"/>
          <w:szCs w:val="24"/>
        </w:rPr>
        <w:t>N</w:t>
      </w:r>
      <w:r w:rsidRPr="00AF7D9D">
        <w:rPr>
          <w:rFonts w:ascii="Times New Roman" w:hAnsi="Times New Roman" w:cs="Times New Roman"/>
          <w:sz w:val="24"/>
          <w:szCs w:val="24"/>
        </w:rPr>
        <w:t xml:space="preserve"> = 432; 43% female) from ethnically diverse backgrounds (43% Hispanic; 40% African American). The 50-item YPI was administered to groups of students with reading assistance. The administrator read each statement and participants provided a response from among four options. For th</w:t>
      </w:r>
      <w:r w:rsidR="00A57425" w:rsidRPr="00AF7D9D">
        <w:rPr>
          <w:rFonts w:ascii="Times New Roman" w:hAnsi="Times New Roman" w:cs="Times New Roman"/>
          <w:sz w:val="24"/>
          <w:szCs w:val="24"/>
        </w:rPr>
        <w:t>e present</w:t>
      </w:r>
      <w:r w:rsidRPr="00AF7D9D">
        <w:rPr>
          <w:rFonts w:ascii="Times New Roman" w:hAnsi="Times New Roman" w:cs="Times New Roman"/>
          <w:sz w:val="24"/>
          <w:szCs w:val="24"/>
        </w:rPr>
        <w:t xml:space="preserve"> study, participants with </w:t>
      </w:r>
      <w:r w:rsidR="008D357F" w:rsidRPr="00AF7D9D">
        <w:rPr>
          <w:rFonts w:ascii="Times New Roman" w:hAnsi="Times New Roman" w:cs="Times New Roman"/>
          <w:sz w:val="24"/>
          <w:szCs w:val="24"/>
        </w:rPr>
        <w:t xml:space="preserve">any </w:t>
      </w:r>
      <w:r w:rsidRPr="00AF7D9D">
        <w:rPr>
          <w:rFonts w:ascii="Times New Roman" w:hAnsi="Times New Roman" w:cs="Times New Roman"/>
          <w:sz w:val="24"/>
          <w:szCs w:val="24"/>
        </w:rPr>
        <w:t>missing responses (</w:t>
      </w:r>
      <w:r w:rsidRPr="00AF7D9D">
        <w:rPr>
          <w:rFonts w:ascii="Times New Roman" w:hAnsi="Times New Roman" w:cs="Times New Roman"/>
          <w:i/>
          <w:sz w:val="24"/>
          <w:szCs w:val="24"/>
        </w:rPr>
        <w:t>N</w:t>
      </w:r>
      <w:r w:rsidRPr="00AF7D9D">
        <w:rPr>
          <w:rFonts w:ascii="Times New Roman" w:hAnsi="Times New Roman" w:cs="Times New Roman"/>
          <w:sz w:val="24"/>
          <w:szCs w:val="24"/>
        </w:rPr>
        <w:t xml:space="preserve"> = 69) were excluded from further analyses, resulting in a final sample of 363 students. No compensation was provided for participation.</w:t>
      </w:r>
    </w:p>
    <w:p w14:paraId="1BF2DBD1" w14:textId="77777777" w:rsidR="009E1972" w:rsidRPr="00AF7D9D" w:rsidRDefault="009E1972" w:rsidP="00CD44E1">
      <w:pPr>
        <w:widowControl w:val="0"/>
        <w:autoSpaceDE w:val="0"/>
        <w:autoSpaceDN w:val="0"/>
        <w:adjustRightInd w:val="0"/>
        <w:spacing w:after="0" w:line="480" w:lineRule="auto"/>
        <w:rPr>
          <w:rFonts w:ascii="Times New Roman" w:hAnsi="Times New Roman" w:cs="Times New Roman"/>
          <w:sz w:val="24"/>
          <w:szCs w:val="24"/>
        </w:rPr>
      </w:pPr>
      <w:r w:rsidRPr="00AF7D9D">
        <w:rPr>
          <w:rFonts w:ascii="Times New Roman" w:hAnsi="Times New Roman" w:cs="Times New Roman"/>
          <w:b/>
          <w:sz w:val="24"/>
          <w:szCs w:val="24"/>
        </w:rPr>
        <w:t>Sample 3: German Vocational Training School</w:t>
      </w:r>
    </w:p>
    <w:p w14:paraId="4EE79F31" w14:textId="77777777" w:rsidR="009E1972" w:rsidRPr="00AF7D9D" w:rsidRDefault="009E1972" w:rsidP="00CD44E1">
      <w:pPr>
        <w:widowControl w:val="0"/>
        <w:autoSpaceDE w:val="0"/>
        <w:autoSpaceDN w:val="0"/>
        <w:adjustRightInd w:val="0"/>
        <w:spacing w:after="0" w:line="480" w:lineRule="auto"/>
        <w:rPr>
          <w:rFonts w:ascii="Times New Roman" w:hAnsi="Times New Roman" w:cs="Times New Roman"/>
          <w:sz w:val="24"/>
          <w:szCs w:val="24"/>
        </w:rPr>
      </w:pPr>
      <w:r w:rsidRPr="00AF7D9D">
        <w:rPr>
          <w:rFonts w:ascii="Times New Roman" w:hAnsi="Times New Roman" w:cs="Times New Roman"/>
          <w:sz w:val="24"/>
          <w:szCs w:val="24"/>
        </w:rPr>
        <w:lastRenderedPageBreak/>
        <w:tab/>
        <w:t>This sample included students (</w:t>
      </w:r>
      <w:r w:rsidRPr="00AF7D9D">
        <w:rPr>
          <w:rFonts w:ascii="Times New Roman" w:hAnsi="Times New Roman" w:cs="Times New Roman"/>
          <w:i/>
          <w:sz w:val="24"/>
          <w:szCs w:val="24"/>
        </w:rPr>
        <w:t>N</w:t>
      </w:r>
      <w:r w:rsidRPr="00AF7D9D">
        <w:rPr>
          <w:rFonts w:ascii="Times New Roman" w:hAnsi="Times New Roman" w:cs="Times New Roman"/>
          <w:sz w:val="24"/>
          <w:szCs w:val="24"/>
        </w:rPr>
        <w:t xml:space="preserve"> = 339) attending vocational training school in Germany who participated in a more extensive study investigating psychopathic traits in the community (Eisenbarth &amp; Centifanti, 2016). Thirty-eight participants were excluded from analyses due to missing data. The resulting sample (</w:t>
      </w:r>
      <w:r w:rsidRPr="00AF7D9D">
        <w:rPr>
          <w:rFonts w:ascii="Times New Roman" w:hAnsi="Times New Roman" w:cs="Times New Roman"/>
          <w:i/>
          <w:sz w:val="24"/>
          <w:szCs w:val="24"/>
        </w:rPr>
        <w:t>N</w:t>
      </w:r>
      <w:r w:rsidRPr="00AF7D9D">
        <w:rPr>
          <w:rFonts w:ascii="Times New Roman" w:hAnsi="Times New Roman" w:cs="Times New Roman"/>
          <w:sz w:val="24"/>
          <w:szCs w:val="24"/>
        </w:rPr>
        <w:t xml:space="preserve"> = 301) was 18.6 years of age, on average (</w:t>
      </w:r>
      <w:r w:rsidRPr="00AF7D9D">
        <w:rPr>
          <w:rFonts w:ascii="Times New Roman" w:hAnsi="Times New Roman" w:cs="Times New Roman"/>
          <w:i/>
          <w:sz w:val="24"/>
          <w:szCs w:val="24"/>
        </w:rPr>
        <w:t>SD</w:t>
      </w:r>
      <w:r w:rsidRPr="00AF7D9D">
        <w:rPr>
          <w:rFonts w:ascii="Times New Roman" w:hAnsi="Times New Roman" w:cs="Times New Roman"/>
          <w:sz w:val="24"/>
          <w:szCs w:val="24"/>
        </w:rPr>
        <w:t xml:space="preserve"> = 1.92) and the majority identified German as their primary language (86%). Those not primarily using German described themselves as sufficiently proficient in the language to complete vocational courses and follow instructions at outside placements. Prior to attending vocational training school, most participants (93.7%) had completed ten or more years of education. Data were collected in the classroom setting using paper-pencil questionnaires, including the German translation of the 50-item YPI. No compensation was provided for participating in this research.</w:t>
      </w:r>
    </w:p>
    <w:p w14:paraId="26D2F278" w14:textId="77777777" w:rsidR="009E1972" w:rsidRPr="00AF7D9D" w:rsidRDefault="009E1972" w:rsidP="00CD44E1">
      <w:pPr>
        <w:widowControl w:val="0"/>
        <w:spacing w:after="0" w:line="480" w:lineRule="auto"/>
        <w:rPr>
          <w:rFonts w:ascii="Times New Roman" w:hAnsi="Times New Roman" w:cs="Times New Roman"/>
          <w:b/>
          <w:sz w:val="24"/>
          <w:szCs w:val="24"/>
        </w:rPr>
      </w:pPr>
      <w:r w:rsidRPr="00AF7D9D">
        <w:rPr>
          <w:rFonts w:ascii="Times New Roman" w:hAnsi="Times New Roman" w:cs="Times New Roman"/>
          <w:b/>
          <w:sz w:val="24"/>
          <w:szCs w:val="24"/>
        </w:rPr>
        <w:t xml:space="preserve">Sample 4: Italian Public </w:t>
      </w:r>
      <w:r w:rsidR="00E4025E" w:rsidRPr="00AF7D9D">
        <w:rPr>
          <w:rFonts w:ascii="Times New Roman" w:hAnsi="Times New Roman" w:cs="Times New Roman"/>
          <w:b/>
          <w:sz w:val="24"/>
          <w:szCs w:val="24"/>
        </w:rPr>
        <w:t>High</w:t>
      </w:r>
      <w:r w:rsidRPr="00AF7D9D">
        <w:rPr>
          <w:rFonts w:ascii="Times New Roman" w:hAnsi="Times New Roman" w:cs="Times New Roman"/>
          <w:b/>
          <w:sz w:val="24"/>
          <w:szCs w:val="24"/>
        </w:rPr>
        <w:t xml:space="preserve"> School</w:t>
      </w:r>
    </w:p>
    <w:p w14:paraId="05ACAD01" w14:textId="77777777" w:rsidR="009E1972" w:rsidRPr="00AF7D9D" w:rsidRDefault="009E1972" w:rsidP="00CD44E1">
      <w:pPr>
        <w:widowControl w:val="0"/>
        <w:spacing w:after="0" w:line="480" w:lineRule="auto"/>
        <w:ind w:firstLine="720"/>
        <w:rPr>
          <w:rFonts w:ascii="Times New Roman" w:hAnsi="Times New Roman" w:cs="Times New Roman"/>
          <w:b/>
          <w:sz w:val="24"/>
          <w:szCs w:val="24"/>
        </w:rPr>
      </w:pPr>
      <w:r w:rsidRPr="00AF7D9D">
        <w:rPr>
          <w:rFonts w:ascii="Times New Roman" w:hAnsi="Times New Roman" w:cs="Times New Roman"/>
          <w:sz w:val="24"/>
          <w:szCs w:val="24"/>
        </w:rPr>
        <w:t>Participants in this sample were adolescents (</w:t>
      </w:r>
      <w:r w:rsidRPr="00AF7D9D">
        <w:rPr>
          <w:rFonts w:ascii="Times New Roman" w:hAnsi="Times New Roman" w:cs="Times New Roman"/>
          <w:i/>
          <w:sz w:val="24"/>
          <w:szCs w:val="24"/>
        </w:rPr>
        <w:t>N</w:t>
      </w:r>
      <w:r w:rsidRPr="00AF7D9D">
        <w:rPr>
          <w:rFonts w:ascii="Times New Roman" w:hAnsi="Times New Roman" w:cs="Times New Roman"/>
          <w:sz w:val="24"/>
          <w:szCs w:val="24"/>
        </w:rPr>
        <w:t xml:space="preserve"> = 1761) attending specialized and/or professional programs at </w:t>
      </w:r>
      <w:r w:rsidR="006F7061" w:rsidRPr="00AF7D9D">
        <w:rPr>
          <w:rFonts w:ascii="Times New Roman" w:hAnsi="Times New Roman" w:cs="Times New Roman"/>
          <w:sz w:val="24"/>
          <w:szCs w:val="24"/>
        </w:rPr>
        <w:t xml:space="preserve">public </w:t>
      </w:r>
      <w:r w:rsidRPr="00AF7D9D">
        <w:rPr>
          <w:rFonts w:ascii="Times New Roman" w:hAnsi="Times New Roman" w:cs="Times New Roman"/>
          <w:sz w:val="24"/>
          <w:szCs w:val="24"/>
        </w:rPr>
        <w:t>high schools in Italy (Fossati et al., 2016). The participants were primarily m</w:t>
      </w:r>
      <w:r w:rsidR="00E4025E" w:rsidRPr="00AF7D9D">
        <w:rPr>
          <w:rFonts w:ascii="Times New Roman" w:hAnsi="Times New Roman" w:cs="Times New Roman"/>
          <w:sz w:val="24"/>
          <w:szCs w:val="24"/>
        </w:rPr>
        <w:t>ale (51.6</w:t>
      </w:r>
      <w:r w:rsidRPr="00AF7D9D">
        <w:rPr>
          <w:rFonts w:ascii="Times New Roman" w:hAnsi="Times New Roman" w:cs="Times New Roman"/>
          <w:sz w:val="24"/>
          <w:szCs w:val="24"/>
        </w:rPr>
        <w:t xml:space="preserve">%) and were </w:t>
      </w:r>
      <w:r w:rsidR="00E4025E" w:rsidRPr="00AF7D9D">
        <w:rPr>
          <w:rFonts w:ascii="Times New Roman" w:hAnsi="Times New Roman" w:cs="Times New Roman"/>
          <w:sz w:val="24"/>
          <w:szCs w:val="24"/>
        </w:rPr>
        <w:t>16.0</w:t>
      </w:r>
      <w:r w:rsidRPr="00AF7D9D">
        <w:rPr>
          <w:rFonts w:ascii="Times New Roman" w:hAnsi="Times New Roman" w:cs="Times New Roman"/>
          <w:sz w:val="24"/>
          <w:szCs w:val="24"/>
        </w:rPr>
        <w:t xml:space="preserve"> years of age, on average (</w:t>
      </w:r>
      <w:r w:rsidRPr="00AF7D9D">
        <w:rPr>
          <w:rFonts w:ascii="Times New Roman" w:hAnsi="Times New Roman" w:cs="Times New Roman"/>
          <w:i/>
          <w:sz w:val="24"/>
          <w:szCs w:val="24"/>
        </w:rPr>
        <w:t>SD</w:t>
      </w:r>
      <w:r w:rsidR="00E4025E" w:rsidRPr="00AF7D9D">
        <w:rPr>
          <w:rFonts w:ascii="Times New Roman" w:hAnsi="Times New Roman" w:cs="Times New Roman"/>
          <w:sz w:val="24"/>
          <w:szCs w:val="24"/>
        </w:rPr>
        <w:t xml:space="preserve"> = 1.45</w:t>
      </w:r>
      <w:r w:rsidRPr="00AF7D9D">
        <w:rPr>
          <w:rFonts w:ascii="Times New Roman" w:hAnsi="Times New Roman" w:cs="Times New Roman"/>
          <w:sz w:val="24"/>
          <w:szCs w:val="24"/>
        </w:rPr>
        <w:t xml:space="preserve">). Twelve participants were excluded from analyses due to missing data. Following an explanation of the </w:t>
      </w:r>
      <w:r w:rsidR="00B10AF7" w:rsidRPr="00AF7D9D">
        <w:rPr>
          <w:rFonts w:ascii="Times New Roman" w:hAnsi="Times New Roman" w:cs="Times New Roman"/>
          <w:sz w:val="24"/>
          <w:szCs w:val="24"/>
        </w:rPr>
        <w:t xml:space="preserve">original </w:t>
      </w:r>
      <w:r w:rsidRPr="00AF7D9D">
        <w:rPr>
          <w:rFonts w:ascii="Times New Roman" w:hAnsi="Times New Roman" w:cs="Times New Roman"/>
          <w:sz w:val="24"/>
          <w:szCs w:val="24"/>
        </w:rPr>
        <w:t xml:space="preserve">study, participants gave written consent to participate, and parents of participants under the age of 18 additionally provided written informed consent to allow participation. Participants were administered the Italian versions of the YPI-S and other study questionnaires in a randomized order while attending class. The measures were administered by research assistants outside the presence of teachers and completed anonymously. </w:t>
      </w:r>
    </w:p>
    <w:p w14:paraId="4C75B6CF" w14:textId="77777777" w:rsidR="009E1972" w:rsidRPr="00AF7D9D" w:rsidRDefault="009E1972" w:rsidP="00CD44E1">
      <w:pPr>
        <w:widowControl w:val="0"/>
        <w:spacing w:after="0" w:line="480" w:lineRule="auto"/>
        <w:rPr>
          <w:rFonts w:ascii="Times New Roman" w:hAnsi="Times New Roman" w:cs="Times New Roman"/>
          <w:b/>
          <w:sz w:val="24"/>
          <w:szCs w:val="24"/>
        </w:rPr>
      </w:pPr>
      <w:r w:rsidRPr="00AF7D9D">
        <w:rPr>
          <w:rFonts w:ascii="Times New Roman" w:hAnsi="Times New Roman" w:cs="Times New Roman"/>
          <w:b/>
          <w:sz w:val="24"/>
          <w:szCs w:val="24"/>
        </w:rPr>
        <w:t>Sample 5: Dutch Secondary School</w:t>
      </w:r>
    </w:p>
    <w:p w14:paraId="5AF30CEC" w14:textId="77777777" w:rsidR="009E1972" w:rsidRPr="00AF7D9D" w:rsidRDefault="009E1972" w:rsidP="00CD44E1">
      <w:pPr>
        <w:widowControl w:val="0"/>
        <w:spacing w:after="0" w:line="480" w:lineRule="auto"/>
        <w:rPr>
          <w:rFonts w:ascii="Times New Roman" w:hAnsi="Times New Roman" w:cs="Times New Roman"/>
          <w:sz w:val="24"/>
          <w:szCs w:val="24"/>
        </w:rPr>
      </w:pPr>
      <w:r w:rsidRPr="00AF7D9D">
        <w:rPr>
          <w:rFonts w:ascii="Times New Roman" w:hAnsi="Times New Roman" w:cs="Times New Roman"/>
          <w:sz w:val="24"/>
          <w:szCs w:val="24"/>
        </w:rPr>
        <w:tab/>
        <w:t xml:space="preserve">This sample consisted of </w:t>
      </w:r>
      <w:r w:rsidR="00025B81" w:rsidRPr="00AF7D9D">
        <w:rPr>
          <w:rFonts w:ascii="Times New Roman" w:hAnsi="Times New Roman" w:cs="Times New Roman"/>
          <w:sz w:val="24"/>
          <w:szCs w:val="24"/>
        </w:rPr>
        <w:t xml:space="preserve">740 </w:t>
      </w:r>
      <w:r w:rsidRPr="00AF7D9D">
        <w:rPr>
          <w:rFonts w:ascii="Times New Roman" w:hAnsi="Times New Roman" w:cs="Times New Roman"/>
          <w:sz w:val="24"/>
          <w:szCs w:val="24"/>
        </w:rPr>
        <w:t>adolescents (</w:t>
      </w:r>
      <w:r w:rsidR="00025B81" w:rsidRPr="00AF7D9D">
        <w:rPr>
          <w:rFonts w:ascii="Times New Roman" w:hAnsi="Times New Roman" w:cs="Times New Roman"/>
          <w:sz w:val="24"/>
          <w:szCs w:val="24"/>
        </w:rPr>
        <w:t>53.2% female</w:t>
      </w:r>
      <w:r w:rsidRPr="00AF7D9D">
        <w:rPr>
          <w:rFonts w:ascii="Times New Roman" w:hAnsi="Times New Roman" w:cs="Times New Roman"/>
          <w:sz w:val="24"/>
          <w:szCs w:val="24"/>
        </w:rPr>
        <w:t>) from two secon</w:t>
      </w:r>
      <w:r w:rsidR="004E78B9" w:rsidRPr="00AF7D9D">
        <w:rPr>
          <w:rFonts w:ascii="Times New Roman" w:hAnsi="Times New Roman" w:cs="Times New Roman"/>
          <w:sz w:val="24"/>
          <w:szCs w:val="24"/>
        </w:rPr>
        <w:t>dary schools in rural areas of t</w:t>
      </w:r>
      <w:r w:rsidRPr="00AF7D9D">
        <w:rPr>
          <w:rFonts w:ascii="Times New Roman" w:hAnsi="Times New Roman" w:cs="Times New Roman"/>
          <w:sz w:val="24"/>
          <w:szCs w:val="24"/>
        </w:rPr>
        <w:t>he Netherlands (Hillege, Das, &amp; de Ruiter, 2010). Mo</w:t>
      </w:r>
      <w:r w:rsidR="00025B81" w:rsidRPr="00AF7D9D">
        <w:rPr>
          <w:rFonts w:ascii="Times New Roman" w:hAnsi="Times New Roman" w:cs="Times New Roman"/>
          <w:sz w:val="24"/>
          <w:szCs w:val="24"/>
        </w:rPr>
        <w:t xml:space="preserve">st participants were Dutch </w:t>
      </w:r>
      <w:r w:rsidR="00025B81" w:rsidRPr="00AF7D9D">
        <w:rPr>
          <w:rFonts w:ascii="Times New Roman" w:hAnsi="Times New Roman" w:cs="Times New Roman"/>
          <w:sz w:val="24"/>
          <w:szCs w:val="24"/>
        </w:rPr>
        <w:lastRenderedPageBreak/>
        <w:t>(88.4</w:t>
      </w:r>
      <w:r w:rsidRPr="00AF7D9D">
        <w:rPr>
          <w:rFonts w:ascii="Times New Roman" w:hAnsi="Times New Roman" w:cs="Times New Roman"/>
          <w:sz w:val="24"/>
          <w:szCs w:val="24"/>
        </w:rPr>
        <w:t>%) and the remaining represented diverse ethnic backgrounds (e.g., North African, Middle Eastern, East Asian). The mean age was 15.6 years (</w:t>
      </w:r>
      <w:r w:rsidRPr="00AF7D9D">
        <w:rPr>
          <w:rFonts w:ascii="Times New Roman" w:hAnsi="Times New Roman" w:cs="Times New Roman"/>
          <w:i/>
          <w:sz w:val="24"/>
          <w:szCs w:val="24"/>
        </w:rPr>
        <w:t>SD</w:t>
      </w:r>
      <w:r w:rsidR="00025B81" w:rsidRPr="00AF7D9D">
        <w:rPr>
          <w:rFonts w:ascii="Times New Roman" w:hAnsi="Times New Roman" w:cs="Times New Roman"/>
          <w:sz w:val="24"/>
          <w:szCs w:val="24"/>
        </w:rPr>
        <w:t xml:space="preserve"> = .94</w:t>
      </w:r>
      <w:r w:rsidRPr="00AF7D9D">
        <w:rPr>
          <w:rFonts w:ascii="Times New Roman" w:hAnsi="Times New Roman" w:cs="Times New Roman"/>
          <w:sz w:val="24"/>
          <w:szCs w:val="24"/>
        </w:rPr>
        <w:t xml:space="preserve">). </w:t>
      </w:r>
      <w:r w:rsidR="002141A9" w:rsidRPr="00AF7D9D">
        <w:rPr>
          <w:rFonts w:ascii="Times New Roman" w:hAnsi="Times New Roman" w:cs="Times New Roman"/>
          <w:sz w:val="24"/>
          <w:szCs w:val="24"/>
        </w:rPr>
        <w:t>Participants w</w:t>
      </w:r>
      <w:r w:rsidR="00F15265" w:rsidRPr="00AF7D9D">
        <w:rPr>
          <w:rFonts w:ascii="Times New Roman" w:hAnsi="Times New Roman" w:cs="Times New Roman"/>
          <w:sz w:val="24"/>
          <w:szCs w:val="24"/>
        </w:rPr>
        <w:t>ith missing data on the YPI-S (12.6</w:t>
      </w:r>
      <w:r w:rsidR="002141A9" w:rsidRPr="00AF7D9D">
        <w:rPr>
          <w:rFonts w:ascii="Times New Roman" w:hAnsi="Times New Roman" w:cs="Times New Roman"/>
          <w:sz w:val="24"/>
          <w:szCs w:val="24"/>
        </w:rPr>
        <w:t>%) were excluded from further analyses, resulti</w:t>
      </w:r>
      <w:r w:rsidR="00F15265" w:rsidRPr="00AF7D9D">
        <w:rPr>
          <w:rFonts w:ascii="Times New Roman" w:hAnsi="Times New Roman" w:cs="Times New Roman"/>
          <w:sz w:val="24"/>
          <w:szCs w:val="24"/>
        </w:rPr>
        <w:t>ng in a final sample size of 647</w:t>
      </w:r>
      <w:r w:rsidR="002141A9" w:rsidRPr="00AF7D9D">
        <w:rPr>
          <w:rFonts w:ascii="Times New Roman" w:hAnsi="Times New Roman" w:cs="Times New Roman"/>
          <w:sz w:val="24"/>
          <w:szCs w:val="24"/>
        </w:rPr>
        <w:t xml:space="preserve">. </w:t>
      </w:r>
      <w:r w:rsidRPr="00AF7D9D">
        <w:rPr>
          <w:rFonts w:ascii="Times New Roman" w:hAnsi="Times New Roman" w:cs="Times New Roman"/>
          <w:sz w:val="24"/>
          <w:szCs w:val="24"/>
        </w:rPr>
        <w:t xml:space="preserve">The </w:t>
      </w:r>
      <w:r w:rsidR="00B10AF7" w:rsidRPr="00AF7D9D">
        <w:rPr>
          <w:rFonts w:ascii="Times New Roman" w:hAnsi="Times New Roman" w:cs="Times New Roman"/>
          <w:sz w:val="24"/>
          <w:szCs w:val="24"/>
        </w:rPr>
        <w:t xml:space="preserve">original </w:t>
      </w:r>
      <w:r w:rsidRPr="00AF7D9D">
        <w:rPr>
          <w:rFonts w:ascii="Times New Roman" w:hAnsi="Times New Roman" w:cs="Times New Roman"/>
          <w:sz w:val="24"/>
          <w:szCs w:val="24"/>
        </w:rPr>
        <w:t xml:space="preserve">study purpose and procedures were explained to participants, who provided written informed consent, and to their parents, who were given the opportunity to decline participation. Participants anonymously completed </w:t>
      </w:r>
      <w:r w:rsidR="0051376E" w:rsidRPr="00AF7D9D">
        <w:rPr>
          <w:rFonts w:ascii="Times New Roman" w:hAnsi="Times New Roman" w:cs="Times New Roman"/>
          <w:sz w:val="24"/>
          <w:szCs w:val="24"/>
        </w:rPr>
        <w:t xml:space="preserve">the 50-item YPI and other </w:t>
      </w:r>
      <w:r w:rsidRPr="00AF7D9D">
        <w:rPr>
          <w:rFonts w:ascii="Times New Roman" w:hAnsi="Times New Roman" w:cs="Times New Roman"/>
          <w:sz w:val="24"/>
          <w:szCs w:val="24"/>
        </w:rPr>
        <w:t xml:space="preserve">study questionnaires during class under the supervision of a teacher, who was provided with standardized instructions and a glossary containing explanations of various terms referenced in the questionnaires.  </w:t>
      </w:r>
    </w:p>
    <w:p w14:paraId="39439EE3" w14:textId="77777777" w:rsidR="009E1972" w:rsidRPr="00AF7D9D" w:rsidRDefault="009E1972" w:rsidP="00CD44E1">
      <w:pPr>
        <w:widowControl w:val="0"/>
        <w:spacing w:after="0" w:line="480" w:lineRule="auto"/>
        <w:rPr>
          <w:rFonts w:ascii="Times New Roman" w:hAnsi="Times New Roman" w:cs="Times New Roman"/>
          <w:b/>
          <w:sz w:val="24"/>
          <w:szCs w:val="24"/>
        </w:rPr>
      </w:pPr>
      <w:r w:rsidRPr="00AF7D9D">
        <w:rPr>
          <w:rFonts w:ascii="Times New Roman" w:hAnsi="Times New Roman" w:cs="Times New Roman"/>
          <w:b/>
          <w:sz w:val="24"/>
          <w:szCs w:val="24"/>
        </w:rPr>
        <w:t>Measures</w:t>
      </w:r>
    </w:p>
    <w:p w14:paraId="72334C8B" w14:textId="77777777" w:rsidR="008D357F" w:rsidRPr="00AF7D9D" w:rsidRDefault="008D357F" w:rsidP="00CD44E1">
      <w:pPr>
        <w:widowControl w:val="0"/>
        <w:spacing w:after="0" w:line="480" w:lineRule="auto"/>
        <w:rPr>
          <w:rFonts w:ascii="Times New Roman" w:hAnsi="Times New Roman" w:cs="Times New Roman"/>
          <w:sz w:val="24"/>
          <w:szCs w:val="24"/>
        </w:rPr>
      </w:pPr>
      <w:r w:rsidRPr="00AF7D9D">
        <w:rPr>
          <w:rFonts w:ascii="Times New Roman" w:hAnsi="Times New Roman" w:cs="Times New Roman"/>
          <w:b/>
          <w:sz w:val="24"/>
          <w:szCs w:val="24"/>
        </w:rPr>
        <w:tab/>
      </w:r>
      <w:r w:rsidRPr="00AF7D9D">
        <w:rPr>
          <w:rFonts w:ascii="Times New Roman" w:hAnsi="Times New Roman" w:cs="Times New Roman"/>
          <w:sz w:val="24"/>
          <w:szCs w:val="24"/>
        </w:rPr>
        <w:t>In addition to the YPI/YPI-S, our archival samples contained various</w:t>
      </w:r>
      <w:r w:rsidR="003217CF" w:rsidRPr="00AF7D9D">
        <w:rPr>
          <w:rFonts w:ascii="Times New Roman" w:hAnsi="Times New Roman" w:cs="Times New Roman"/>
          <w:sz w:val="24"/>
          <w:szCs w:val="24"/>
        </w:rPr>
        <w:t xml:space="preserve"> </w:t>
      </w:r>
      <w:r w:rsidRPr="00AF7D9D">
        <w:rPr>
          <w:rFonts w:ascii="Times New Roman" w:hAnsi="Times New Roman" w:cs="Times New Roman"/>
          <w:sz w:val="24"/>
          <w:szCs w:val="24"/>
        </w:rPr>
        <w:t xml:space="preserve">criterion measures </w:t>
      </w:r>
      <w:r w:rsidR="003217CF" w:rsidRPr="00AF7D9D">
        <w:rPr>
          <w:rFonts w:ascii="Times New Roman" w:hAnsi="Times New Roman" w:cs="Times New Roman"/>
          <w:sz w:val="24"/>
          <w:szCs w:val="24"/>
        </w:rPr>
        <w:t xml:space="preserve">that were </w:t>
      </w:r>
      <w:r w:rsidRPr="00AF7D9D">
        <w:rPr>
          <w:rFonts w:ascii="Times New Roman" w:hAnsi="Times New Roman" w:cs="Times New Roman"/>
          <w:sz w:val="24"/>
          <w:szCs w:val="24"/>
        </w:rPr>
        <w:t xml:space="preserve">of theoretical interest </w:t>
      </w:r>
      <w:r w:rsidR="00AF58C2" w:rsidRPr="00AF7D9D">
        <w:rPr>
          <w:rFonts w:ascii="Times New Roman" w:hAnsi="Times New Roman" w:cs="Times New Roman"/>
          <w:sz w:val="24"/>
          <w:szCs w:val="24"/>
        </w:rPr>
        <w:t xml:space="preserve">in relation to examining either </w:t>
      </w:r>
      <w:r w:rsidR="003217CF" w:rsidRPr="00AF7D9D">
        <w:rPr>
          <w:rFonts w:ascii="Times New Roman" w:hAnsi="Times New Roman" w:cs="Times New Roman"/>
          <w:sz w:val="24"/>
          <w:szCs w:val="24"/>
        </w:rPr>
        <w:t xml:space="preserve">(a) </w:t>
      </w:r>
      <w:r w:rsidR="00AF58C2" w:rsidRPr="00AF7D9D">
        <w:rPr>
          <w:rFonts w:ascii="Times New Roman" w:hAnsi="Times New Roman" w:cs="Times New Roman"/>
          <w:sz w:val="24"/>
          <w:szCs w:val="24"/>
        </w:rPr>
        <w:t xml:space="preserve">the convergent validity of </w:t>
      </w:r>
      <w:r w:rsidR="00293288" w:rsidRPr="00AF7D9D">
        <w:rPr>
          <w:rFonts w:ascii="Times New Roman" w:hAnsi="Times New Roman" w:cs="Times New Roman"/>
          <w:sz w:val="24"/>
          <w:szCs w:val="24"/>
        </w:rPr>
        <w:t>our newly developed inconsistent responding scale</w:t>
      </w:r>
      <w:r w:rsidR="003217CF" w:rsidRPr="00AF7D9D">
        <w:rPr>
          <w:rFonts w:ascii="Times New Roman" w:hAnsi="Times New Roman" w:cs="Times New Roman"/>
          <w:sz w:val="24"/>
          <w:szCs w:val="24"/>
        </w:rPr>
        <w:t xml:space="preserve"> or (b)</w:t>
      </w:r>
      <w:r w:rsidR="00AF58C2" w:rsidRPr="00AF7D9D">
        <w:rPr>
          <w:rFonts w:ascii="Times New Roman" w:hAnsi="Times New Roman" w:cs="Times New Roman"/>
          <w:sz w:val="24"/>
          <w:szCs w:val="24"/>
        </w:rPr>
        <w:t xml:space="preserve"> </w:t>
      </w:r>
      <w:r w:rsidR="003217CF" w:rsidRPr="00AF7D9D">
        <w:rPr>
          <w:rFonts w:ascii="Times New Roman" w:hAnsi="Times New Roman" w:cs="Times New Roman"/>
          <w:sz w:val="24"/>
          <w:szCs w:val="24"/>
        </w:rPr>
        <w:t>the effects of purported inco</w:t>
      </w:r>
      <w:r w:rsidR="00AF58C2" w:rsidRPr="00AF7D9D">
        <w:rPr>
          <w:rFonts w:ascii="Times New Roman" w:hAnsi="Times New Roman" w:cs="Times New Roman"/>
          <w:sz w:val="24"/>
          <w:szCs w:val="24"/>
        </w:rPr>
        <w:t xml:space="preserve">nsistent responding on </w:t>
      </w:r>
      <w:r w:rsidR="00293288" w:rsidRPr="00AF7D9D">
        <w:rPr>
          <w:rFonts w:ascii="Times New Roman" w:hAnsi="Times New Roman" w:cs="Times New Roman"/>
          <w:sz w:val="24"/>
          <w:szCs w:val="24"/>
        </w:rPr>
        <w:t xml:space="preserve">criterion-related validity </w:t>
      </w:r>
      <w:r w:rsidR="00AF58C2" w:rsidRPr="00AF7D9D">
        <w:rPr>
          <w:rFonts w:ascii="Times New Roman" w:hAnsi="Times New Roman" w:cs="Times New Roman"/>
          <w:sz w:val="24"/>
          <w:szCs w:val="24"/>
        </w:rPr>
        <w:t>(e.g., the relationship between psychopat</w:t>
      </w:r>
      <w:r w:rsidR="008A46EE" w:rsidRPr="00AF7D9D">
        <w:rPr>
          <w:rFonts w:ascii="Times New Roman" w:hAnsi="Times New Roman" w:cs="Times New Roman"/>
          <w:sz w:val="24"/>
          <w:szCs w:val="24"/>
        </w:rPr>
        <w:t>hy and measures of externalizing behavior)</w:t>
      </w:r>
      <w:r w:rsidR="003217CF" w:rsidRPr="00AF7D9D">
        <w:rPr>
          <w:rFonts w:ascii="Times New Roman" w:hAnsi="Times New Roman" w:cs="Times New Roman"/>
          <w:sz w:val="24"/>
          <w:szCs w:val="24"/>
        </w:rPr>
        <w:t>.</w:t>
      </w:r>
      <w:r w:rsidRPr="00AF7D9D">
        <w:rPr>
          <w:rFonts w:ascii="Times New Roman" w:hAnsi="Times New Roman" w:cs="Times New Roman"/>
          <w:sz w:val="24"/>
          <w:szCs w:val="24"/>
        </w:rPr>
        <w:t xml:space="preserve"> </w:t>
      </w:r>
      <w:r w:rsidR="000261B2" w:rsidRPr="00AF7D9D">
        <w:rPr>
          <w:rFonts w:ascii="Times New Roman" w:hAnsi="Times New Roman" w:cs="Times New Roman"/>
          <w:sz w:val="24"/>
          <w:szCs w:val="24"/>
        </w:rPr>
        <w:t xml:space="preserve">Descriptive statistics for the following study measures are provided as online supplemental materials. </w:t>
      </w:r>
    </w:p>
    <w:p w14:paraId="3AFB6C26" w14:textId="77777777" w:rsidR="00134553" w:rsidRPr="00AF7D9D" w:rsidRDefault="009E1972" w:rsidP="00CD44E1">
      <w:pPr>
        <w:widowControl w:val="0"/>
        <w:spacing w:after="0" w:line="480" w:lineRule="auto"/>
        <w:rPr>
          <w:rFonts w:ascii="Times New Roman" w:hAnsi="Times New Roman" w:cs="Times New Roman"/>
          <w:sz w:val="24"/>
          <w:szCs w:val="24"/>
        </w:rPr>
      </w:pPr>
      <w:r w:rsidRPr="00AF7D9D">
        <w:rPr>
          <w:rFonts w:ascii="Times New Roman" w:hAnsi="Times New Roman" w:cs="Times New Roman"/>
          <w:b/>
          <w:sz w:val="24"/>
          <w:szCs w:val="24"/>
        </w:rPr>
        <w:tab/>
      </w:r>
      <w:r w:rsidRPr="00AF7D9D">
        <w:rPr>
          <w:rFonts w:ascii="Times New Roman" w:hAnsi="Times New Roman" w:cs="Times New Roman"/>
          <w:b/>
          <w:i/>
          <w:sz w:val="24"/>
          <w:szCs w:val="24"/>
          <w:lang w:val="nl-NL"/>
        </w:rPr>
        <w:t>Youth Psychopathic Traits Inventory – Short Version (YPI-S; van Baarde</w:t>
      </w:r>
      <w:r w:rsidR="00293288" w:rsidRPr="00AF7D9D">
        <w:rPr>
          <w:rFonts w:ascii="Times New Roman" w:hAnsi="Times New Roman" w:cs="Times New Roman"/>
          <w:b/>
          <w:i/>
          <w:sz w:val="24"/>
          <w:szCs w:val="24"/>
          <w:lang w:val="nl-NL"/>
        </w:rPr>
        <w:t>w</w:t>
      </w:r>
      <w:r w:rsidRPr="00AF7D9D">
        <w:rPr>
          <w:rFonts w:ascii="Times New Roman" w:hAnsi="Times New Roman" w:cs="Times New Roman"/>
          <w:b/>
          <w:i/>
          <w:sz w:val="24"/>
          <w:szCs w:val="24"/>
          <w:lang w:val="nl-NL"/>
        </w:rPr>
        <w:t>ijk et al., 2010).</w:t>
      </w:r>
      <w:r w:rsidRPr="00AF7D9D">
        <w:rPr>
          <w:rFonts w:ascii="Times New Roman" w:hAnsi="Times New Roman" w:cs="Times New Roman"/>
          <w:b/>
          <w:sz w:val="24"/>
          <w:szCs w:val="24"/>
          <w:lang w:val="nl-NL"/>
        </w:rPr>
        <w:t xml:space="preserve"> </w:t>
      </w:r>
      <w:r w:rsidRPr="00AF7D9D">
        <w:rPr>
          <w:rFonts w:ascii="Times New Roman" w:hAnsi="Times New Roman" w:cs="Times New Roman"/>
          <w:sz w:val="24"/>
          <w:szCs w:val="24"/>
        </w:rPr>
        <w:t>This abbreviated version of the YPI consists of 18 items measuring core psychopathic features in adolescence</w:t>
      </w:r>
      <w:r w:rsidR="00E4025E" w:rsidRPr="00AF7D9D">
        <w:rPr>
          <w:rFonts w:ascii="Times New Roman" w:hAnsi="Times New Roman" w:cs="Times New Roman"/>
          <w:sz w:val="24"/>
          <w:szCs w:val="24"/>
        </w:rPr>
        <w:t xml:space="preserve"> (see van Baardewijk et al. for </w:t>
      </w:r>
      <w:r w:rsidR="0033290D" w:rsidRPr="00AF7D9D">
        <w:rPr>
          <w:rFonts w:ascii="Times New Roman" w:hAnsi="Times New Roman" w:cs="Times New Roman"/>
          <w:sz w:val="24"/>
          <w:szCs w:val="24"/>
        </w:rPr>
        <w:t xml:space="preserve">a listing of </w:t>
      </w:r>
      <w:r w:rsidR="00E4025E" w:rsidRPr="00AF7D9D">
        <w:rPr>
          <w:rFonts w:ascii="Times New Roman" w:hAnsi="Times New Roman" w:cs="Times New Roman"/>
          <w:sz w:val="24"/>
          <w:szCs w:val="24"/>
        </w:rPr>
        <w:t>the specific items)</w:t>
      </w:r>
      <w:r w:rsidRPr="00AF7D9D">
        <w:rPr>
          <w:rFonts w:ascii="Times New Roman" w:hAnsi="Times New Roman" w:cs="Times New Roman"/>
          <w:sz w:val="24"/>
          <w:szCs w:val="24"/>
        </w:rPr>
        <w:t xml:space="preserve">. The structure of the YPI-S corresponds to the organization of the full-length inventory and is consistent with the three-factor model of psychopathy (Cooke </w:t>
      </w:r>
      <w:r w:rsidR="008D357F" w:rsidRPr="00AF7D9D">
        <w:rPr>
          <w:rFonts w:ascii="Times New Roman" w:hAnsi="Times New Roman" w:cs="Times New Roman"/>
          <w:sz w:val="24"/>
          <w:szCs w:val="24"/>
        </w:rPr>
        <w:t xml:space="preserve">&amp; </w:t>
      </w:r>
      <w:r w:rsidRPr="00AF7D9D">
        <w:rPr>
          <w:rFonts w:ascii="Times New Roman" w:hAnsi="Times New Roman" w:cs="Times New Roman"/>
          <w:sz w:val="24"/>
          <w:szCs w:val="24"/>
        </w:rPr>
        <w:t xml:space="preserve">Michie, 2001). In addition to general psychopathy, three dimensions, each comprised of six items, are assessed: Grandiose-Manipulative, Callous-Unemotional, and Impulsive-Irresponsible. Participants rated items on a 4-point scale from </w:t>
      </w:r>
      <w:r w:rsidRPr="00AF7D9D">
        <w:rPr>
          <w:rFonts w:ascii="Times New Roman" w:hAnsi="Times New Roman" w:cs="Times New Roman"/>
          <w:i/>
          <w:sz w:val="24"/>
          <w:szCs w:val="24"/>
        </w:rPr>
        <w:t>does not apply at all</w:t>
      </w:r>
      <w:r w:rsidR="002B2035" w:rsidRPr="00AF7D9D">
        <w:rPr>
          <w:rFonts w:ascii="Times New Roman" w:hAnsi="Times New Roman" w:cs="Times New Roman"/>
          <w:i/>
          <w:sz w:val="24"/>
          <w:szCs w:val="24"/>
        </w:rPr>
        <w:t xml:space="preserve"> (1)</w:t>
      </w:r>
      <w:r w:rsidRPr="00AF7D9D">
        <w:rPr>
          <w:rFonts w:ascii="Times New Roman" w:hAnsi="Times New Roman" w:cs="Times New Roman"/>
          <w:sz w:val="24"/>
          <w:szCs w:val="24"/>
        </w:rPr>
        <w:t xml:space="preserve"> to </w:t>
      </w:r>
      <w:r w:rsidRPr="00AF7D9D">
        <w:rPr>
          <w:rFonts w:ascii="Times New Roman" w:hAnsi="Times New Roman" w:cs="Times New Roman"/>
          <w:i/>
          <w:sz w:val="24"/>
          <w:szCs w:val="24"/>
        </w:rPr>
        <w:t>applies very well</w:t>
      </w:r>
      <w:r w:rsidR="002B2035" w:rsidRPr="00AF7D9D">
        <w:rPr>
          <w:rFonts w:ascii="Times New Roman" w:hAnsi="Times New Roman" w:cs="Times New Roman"/>
          <w:i/>
          <w:sz w:val="24"/>
          <w:szCs w:val="24"/>
        </w:rPr>
        <w:t xml:space="preserve"> (4)</w:t>
      </w:r>
      <w:r w:rsidRPr="00AF7D9D">
        <w:rPr>
          <w:rFonts w:ascii="Times New Roman" w:hAnsi="Times New Roman" w:cs="Times New Roman"/>
          <w:sz w:val="24"/>
          <w:szCs w:val="24"/>
        </w:rPr>
        <w:t xml:space="preserve">. </w:t>
      </w:r>
      <w:r w:rsidR="00D7473E" w:rsidRPr="00AF7D9D">
        <w:rPr>
          <w:rFonts w:ascii="Times New Roman" w:hAnsi="Times New Roman" w:cs="Times New Roman"/>
          <w:sz w:val="24"/>
          <w:szCs w:val="24"/>
        </w:rPr>
        <w:t xml:space="preserve">For each sample, internal </w:t>
      </w:r>
      <w:r w:rsidR="00D7473E" w:rsidRPr="00AF7D9D">
        <w:rPr>
          <w:rFonts w:ascii="Times New Roman" w:hAnsi="Times New Roman" w:cs="Times New Roman"/>
          <w:sz w:val="24"/>
          <w:szCs w:val="24"/>
        </w:rPr>
        <w:lastRenderedPageBreak/>
        <w:t xml:space="preserve">consistency </w:t>
      </w:r>
      <w:r w:rsidR="004E4BC2" w:rsidRPr="00AF7D9D">
        <w:rPr>
          <w:rFonts w:ascii="Times New Roman" w:hAnsi="Times New Roman" w:cs="Times New Roman"/>
          <w:sz w:val="24"/>
          <w:szCs w:val="24"/>
        </w:rPr>
        <w:t xml:space="preserve">estimates </w:t>
      </w:r>
      <w:r w:rsidR="00D7473E" w:rsidRPr="00AF7D9D">
        <w:rPr>
          <w:rFonts w:ascii="Times New Roman" w:hAnsi="Times New Roman" w:cs="Times New Roman"/>
          <w:sz w:val="24"/>
          <w:szCs w:val="24"/>
        </w:rPr>
        <w:t>for the total score (</w:t>
      </w:r>
      <w:r w:rsidR="00C772FB" w:rsidRPr="00AF7D9D">
        <w:rPr>
          <w:rFonts w:ascii="Times New Roman" w:hAnsi="Times New Roman" w:cs="Times New Roman"/>
          <w:sz w:val="24"/>
          <w:szCs w:val="24"/>
        </w:rPr>
        <w:t>α</w:t>
      </w:r>
      <w:r w:rsidR="00D7473E" w:rsidRPr="00AF7D9D">
        <w:rPr>
          <w:rFonts w:ascii="Times New Roman" w:hAnsi="Times New Roman" w:cs="Times New Roman"/>
          <w:sz w:val="24"/>
          <w:szCs w:val="24"/>
        </w:rPr>
        <w:t xml:space="preserve"> = .77 - .85) and subscale scores </w:t>
      </w:r>
      <w:r w:rsidR="00885C55" w:rsidRPr="00AF7D9D">
        <w:rPr>
          <w:rFonts w:ascii="Times New Roman" w:hAnsi="Times New Roman" w:cs="Times New Roman"/>
          <w:sz w:val="24"/>
          <w:szCs w:val="24"/>
        </w:rPr>
        <w:t>(G-M mean inter</w:t>
      </w:r>
      <w:r w:rsidR="0065060F" w:rsidRPr="00AF7D9D">
        <w:rPr>
          <w:rFonts w:ascii="Times New Roman" w:hAnsi="Times New Roman" w:cs="Times New Roman"/>
          <w:sz w:val="24"/>
          <w:szCs w:val="24"/>
        </w:rPr>
        <w:t>-</w:t>
      </w:r>
      <w:r w:rsidR="00885C55" w:rsidRPr="00AF7D9D">
        <w:rPr>
          <w:rFonts w:ascii="Times New Roman" w:hAnsi="Times New Roman" w:cs="Times New Roman"/>
          <w:sz w:val="24"/>
          <w:szCs w:val="24"/>
        </w:rPr>
        <w:t>item correlation [MIC] = .27 - .42; C-U MIC = .23 - .33; I-I MIC = .17 - .26)</w:t>
      </w:r>
      <w:r w:rsidR="00CE7800" w:rsidRPr="00AF7D9D">
        <w:rPr>
          <w:rFonts w:ascii="Times New Roman" w:hAnsi="Times New Roman" w:cs="Times New Roman"/>
          <w:sz w:val="24"/>
          <w:szCs w:val="24"/>
        </w:rPr>
        <w:t xml:space="preserve"> </w:t>
      </w:r>
      <w:r w:rsidR="00D7473E" w:rsidRPr="00AF7D9D">
        <w:rPr>
          <w:rFonts w:ascii="Times New Roman" w:hAnsi="Times New Roman" w:cs="Times New Roman"/>
          <w:sz w:val="24"/>
          <w:szCs w:val="24"/>
        </w:rPr>
        <w:t>w</w:t>
      </w:r>
      <w:r w:rsidR="004E4BC2" w:rsidRPr="00AF7D9D">
        <w:rPr>
          <w:rFonts w:ascii="Times New Roman" w:hAnsi="Times New Roman" w:cs="Times New Roman"/>
          <w:sz w:val="24"/>
          <w:szCs w:val="24"/>
        </w:rPr>
        <w:t>ere</w:t>
      </w:r>
      <w:r w:rsidR="00D7473E" w:rsidRPr="00AF7D9D">
        <w:rPr>
          <w:rFonts w:ascii="Times New Roman" w:hAnsi="Times New Roman" w:cs="Times New Roman"/>
          <w:sz w:val="24"/>
          <w:szCs w:val="24"/>
        </w:rPr>
        <w:t xml:space="preserve"> </w:t>
      </w:r>
      <w:r w:rsidR="00137085" w:rsidRPr="00AF7D9D">
        <w:rPr>
          <w:rFonts w:ascii="Times New Roman" w:hAnsi="Times New Roman" w:cs="Times New Roman"/>
          <w:sz w:val="24"/>
          <w:szCs w:val="24"/>
        </w:rPr>
        <w:t xml:space="preserve">generally </w:t>
      </w:r>
      <w:r w:rsidR="00885C55" w:rsidRPr="00AF7D9D">
        <w:rPr>
          <w:rFonts w:ascii="Times New Roman" w:hAnsi="Times New Roman" w:cs="Times New Roman"/>
          <w:sz w:val="24"/>
          <w:szCs w:val="24"/>
        </w:rPr>
        <w:t xml:space="preserve">in a range </w:t>
      </w:r>
      <w:r w:rsidR="004E4BC2" w:rsidRPr="00AF7D9D">
        <w:rPr>
          <w:rFonts w:ascii="Times New Roman" w:hAnsi="Times New Roman" w:cs="Times New Roman"/>
          <w:sz w:val="24"/>
          <w:szCs w:val="24"/>
        </w:rPr>
        <w:t xml:space="preserve">(α ≥ .80, MIC ≥ .15) </w:t>
      </w:r>
      <w:r w:rsidR="00885C55" w:rsidRPr="00AF7D9D">
        <w:rPr>
          <w:rFonts w:ascii="Times New Roman" w:hAnsi="Times New Roman" w:cs="Times New Roman"/>
          <w:sz w:val="24"/>
          <w:szCs w:val="24"/>
        </w:rPr>
        <w:t>that wo</w:t>
      </w:r>
      <w:r w:rsidR="004E4BC2" w:rsidRPr="00AF7D9D">
        <w:rPr>
          <w:rFonts w:ascii="Times New Roman" w:hAnsi="Times New Roman" w:cs="Times New Roman"/>
          <w:sz w:val="24"/>
          <w:szCs w:val="24"/>
        </w:rPr>
        <w:t>uld be considered acceptable</w:t>
      </w:r>
      <w:r w:rsidR="00885C55" w:rsidRPr="00AF7D9D">
        <w:rPr>
          <w:rFonts w:ascii="Times New Roman" w:hAnsi="Times New Roman" w:cs="Times New Roman"/>
          <w:sz w:val="24"/>
          <w:szCs w:val="24"/>
        </w:rPr>
        <w:t xml:space="preserve"> </w:t>
      </w:r>
      <w:r w:rsidR="00D7473E" w:rsidRPr="00AF7D9D">
        <w:rPr>
          <w:rFonts w:ascii="Times New Roman" w:hAnsi="Times New Roman" w:cs="Times New Roman"/>
          <w:sz w:val="24"/>
          <w:szCs w:val="24"/>
        </w:rPr>
        <w:t>(</w:t>
      </w:r>
      <w:r w:rsidR="00CE7800" w:rsidRPr="00AF7D9D">
        <w:rPr>
          <w:rFonts w:ascii="Times New Roman" w:hAnsi="Times New Roman" w:cs="Times New Roman"/>
          <w:sz w:val="24"/>
          <w:szCs w:val="24"/>
        </w:rPr>
        <w:t xml:space="preserve">see, </w:t>
      </w:r>
      <w:r w:rsidR="00D7473E" w:rsidRPr="00AF7D9D">
        <w:rPr>
          <w:rFonts w:ascii="Times New Roman" w:hAnsi="Times New Roman" w:cs="Times New Roman"/>
          <w:sz w:val="24"/>
          <w:szCs w:val="24"/>
        </w:rPr>
        <w:t>e.g., Clark &amp; Watson, 1995; Nunnally</w:t>
      </w:r>
      <w:r w:rsidR="00013D38" w:rsidRPr="00AF7D9D">
        <w:rPr>
          <w:rFonts w:ascii="Times New Roman" w:hAnsi="Times New Roman" w:cs="Times New Roman"/>
          <w:sz w:val="24"/>
          <w:szCs w:val="24"/>
        </w:rPr>
        <w:t xml:space="preserve"> &amp; Bernstein, 1994</w:t>
      </w:r>
      <w:r w:rsidR="004E4BC2" w:rsidRPr="00AF7D9D">
        <w:rPr>
          <w:rFonts w:ascii="Times New Roman" w:hAnsi="Times New Roman" w:cs="Times New Roman"/>
          <w:sz w:val="24"/>
          <w:szCs w:val="24"/>
        </w:rPr>
        <w:t>), although as noted by</w:t>
      </w:r>
      <w:r w:rsidR="00885C55" w:rsidRPr="00AF7D9D">
        <w:rPr>
          <w:rFonts w:ascii="Times New Roman" w:hAnsi="Times New Roman" w:cs="Times New Roman"/>
          <w:sz w:val="24"/>
          <w:szCs w:val="24"/>
        </w:rPr>
        <w:t xml:space="preserve"> Schmitt</w:t>
      </w:r>
      <w:r w:rsidR="004E4BC2" w:rsidRPr="00AF7D9D">
        <w:rPr>
          <w:rFonts w:ascii="Times New Roman" w:hAnsi="Times New Roman" w:cs="Times New Roman"/>
          <w:sz w:val="24"/>
          <w:szCs w:val="24"/>
        </w:rPr>
        <w:t xml:space="preserve"> (</w:t>
      </w:r>
      <w:r w:rsidR="00885C55" w:rsidRPr="00AF7D9D">
        <w:rPr>
          <w:rFonts w:ascii="Times New Roman" w:hAnsi="Times New Roman" w:cs="Times New Roman"/>
          <w:sz w:val="24"/>
          <w:szCs w:val="24"/>
        </w:rPr>
        <w:t>1996</w:t>
      </w:r>
      <w:r w:rsidR="004E4BC2" w:rsidRPr="00AF7D9D">
        <w:rPr>
          <w:rFonts w:ascii="Times New Roman" w:hAnsi="Times New Roman" w:cs="Times New Roman"/>
          <w:sz w:val="24"/>
          <w:szCs w:val="24"/>
        </w:rPr>
        <w:t xml:space="preserve">) there is no </w:t>
      </w:r>
      <w:r w:rsidR="00134553" w:rsidRPr="00AF7D9D">
        <w:rPr>
          <w:rFonts w:ascii="Times New Roman" w:hAnsi="Times New Roman" w:cs="Times New Roman"/>
          <w:sz w:val="24"/>
          <w:szCs w:val="24"/>
        </w:rPr>
        <w:t>“</w:t>
      </w:r>
      <w:r w:rsidR="004E4BC2" w:rsidRPr="00AF7D9D">
        <w:rPr>
          <w:rFonts w:ascii="Times New Roman" w:hAnsi="Times New Roman" w:cs="Times New Roman"/>
          <w:sz w:val="24"/>
          <w:szCs w:val="24"/>
        </w:rPr>
        <w:t>sacred</w:t>
      </w:r>
      <w:r w:rsidR="00134553" w:rsidRPr="00AF7D9D">
        <w:rPr>
          <w:rFonts w:ascii="Times New Roman" w:hAnsi="Times New Roman" w:cs="Times New Roman"/>
          <w:sz w:val="24"/>
          <w:szCs w:val="24"/>
        </w:rPr>
        <w:t>”</w:t>
      </w:r>
      <w:r w:rsidR="004E4BC2" w:rsidRPr="00AF7D9D">
        <w:rPr>
          <w:rFonts w:ascii="Times New Roman" w:hAnsi="Times New Roman" w:cs="Times New Roman"/>
          <w:sz w:val="24"/>
          <w:szCs w:val="24"/>
        </w:rPr>
        <w:t xml:space="preserve"> level of Cronbach’s alpha that is required for research purposes</w:t>
      </w:r>
      <w:r w:rsidR="00C772FB" w:rsidRPr="00AF7D9D">
        <w:rPr>
          <w:rFonts w:ascii="Times New Roman" w:hAnsi="Times New Roman" w:cs="Times New Roman"/>
          <w:sz w:val="24"/>
          <w:szCs w:val="24"/>
        </w:rPr>
        <w:t xml:space="preserve">. </w:t>
      </w:r>
      <w:r w:rsidR="00134553" w:rsidRPr="00AF7D9D">
        <w:rPr>
          <w:rFonts w:ascii="Times New Roman" w:hAnsi="Times New Roman" w:cs="Times New Roman"/>
          <w:sz w:val="24"/>
          <w:szCs w:val="24"/>
        </w:rPr>
        <w:t>Reliability estimates c</w:t>
      </w:r>
      <w:r w:rsidR="00C772FB" w:rsidRPr="00AF7D9D">
        <w:rPr>
          <w:rFonts w:ascii="Times New Roman" w:hAnsi="Times New Roman" w:cs="Times New Roman"/>
          <w:sz w:val="24"/>
          <w:szCs w:val="24"/>
        </w:rPr>
        <w:t>ombining across samples</w:t>
      </w:r>
      <w:r w:rsidR="00AC3CC0" w:rsidRPr="00AF7D9D">
        <w:rPr>
          <w:rFonts w:ascii="Times New Roman" w:hAnsi="Times New Roman" w:cs="Times New Roman"/>
          <w:sz w:val="24"/>
          <w:szCs w:val="24"/>
        </w:rPr>
        <w:t xml:space="preserve"> (</w:t>
      </w:r>
      <w:r w:rsidR="00AC3CC0" w:rsidRPr="00AF7D9D">
        <w:rPr>
          <w:rFonts w:ascii="Times New Roman" w:hAnsi="Times New Roman" w:cs="Times New Roman"/>
          <w:i/>
          <w:sz w:val="24"/>
          <w:szCs w:val="24"/>
        </w:rPr>
        <w:t>N</w:t>
      </w:r>
      <w:r w:rsidR="00AC3CC0" w:rsidRPr="00AF7D9D">
        <w:rPr>
          <w:rFonts w:ascii="Times New Roman" w:hAnsi="Times New Roman" w:cs="Times New Roman"/>
          <w:sz w:val="24"/>
          <w:szCs w:val="24"/>
        </w:rPr>
        <w:t xml:space="preserve"> = 3,312)</w:t>
      </w:r>
      <w:r w:rsidR="00C772FB" w:rsidRPr="00AF7D9D">
        <w:rPr>
          <w:rFonts w:ascii="Times New Roman" w:hAnsi="Times New Roman" w:cs="Times New Roman"/>
          <w:sz w:val="24"/>
          <w:szCs w:val="24"/>
        </w:rPr>
        <w:t xml:space="preserve">, </w:t>
      </w:r>
      <w:r w:rsidR="00AC3CC0" w:rsidRPr="00AF7D9D">
        <w:rPr>
          <w:rFonts w:ascii="Times New Roman" w:hAnsi="Times New Roman" w:cs="Times New Roman"/>
          <w:sz w:val="24"/>
          <w:szCs w:val="24"/>
        </w:rPr>
        <w:t xml:space="preserve">were </w:t>
      </w:r>
      <w:r w:rsidR="00134553" w:rsidRPr="00AF7D9D">
        <w:rPr>
          <w:rFonts w:ascii="Times New Roman" w:hAnsi="Times New Roman" w:cs="Times New Roman"/>
          <w:sz w:val="24"/>
          <w:szCs w:val="24"/>
        </w:rPr>
        <w:t xml:space="preserve">in </w:t>
      </w:r>
      <w:r w:rsidR="00AC3CC0" w:rsidRPr="00AF7D9D">
        <w:rPr>
          <w:rFonts w:ascii="Times New Roman" w:hAnsi="Times New Roman" w:cs="Times New Roman"/>
          <w:sz w:val="24"/>
          <w:szCs w:val="24"/>
        </w:rPr>
        <w:t>similar</w:t>
      </w:r>
      <w:r w:rsidR="00134553" w:rsidRPr="00AF7D9D">
        <w:rPr>
          <w:rFonts w:ascii="Times New Roman" w:hAnsi="Times New Roman" w:cs="Times New Roman"/>
          <w:sz w:val="24"/>
          <w:szCs w:val="24"/>
        </w:rPr>
        <w:t xml:space="preserve"> ranges </w:t>
      </w:r>
      <w:r w:rsidR="00C772FB" w:rsidRPr="00AF7D9D">
        <w:rPr>
          <w:rFonts w:ascii="Times New Roman" w:hAnsi="Times New Roman" w:cs="Times New Roman"/>
          <w:sz w:val="24"/>
          <w:szCs w:val="24"/>
        </w:rPr>
        <w:t xml:space="preserve">(Total α = </w:t>
      </w:r>
      <w:r w:rsidR="00AC3CC0" w:rsidRPr="00AF7D9D">
        <w:rPr>
          <w:rFonts w:ascii="Times New Roman" w:hAnsi="Times New Roman" w:cs="Times New Roman"/>
          <w:sz w:val="24"/>
          <w:szCs w:val="24"/>
        </w:rPr>
        <w:t>.83</w:t>
      </w:r>
      <w:r w:rsidR="00AF12C3" w:rsidRPr="00AF7D9D">
        <w:rPr>
          <w:rFonts w:ascii="Times New Roman" w:hAnsi="Times New Roman" w:cs="Times New Roman"/>
          <w:sz w:val="24"/>
          <w:szCs w:val="24"/>
        </w:rPr>
        <w:t>;</w:t>
      </w:r>
      <w:r w:rsidR="00C772FB" w:rsidRPr="00AF7D9D">
        <w:rPr>
          <w:rFonts w:ascii="Times New Roman" w:hAnsi="Times New Roman" w:cs="Times New Roman"/>
          <w:sz w:val="24"/>
          <w:szCs w:val="24"/>
        </w:rPr>
        <w:t xml:space="preserve"> G-M MIC = </w:t>
      </w:r>
      <w:r w:rsidR="00AC3CC0" w:rsidRPr="00AF7D9D">
        <w:rPr>
          <w:rFonts w:ascii="Times New Roman" w:hAnsi="Times New Roman" w:cs="Times New Roman"/>
          <w:sz w:val="24"/>
          <w:szCs w:val="24"/>
        </w:rPr>
        <w:t>.40</w:t>
      </w:r>
      <w:r w:rsidR="00AF12C3" w:rsidRPr="00AF7D9D">
        <w:rPr>
          <w:rFonts w:ascii="Times New Roman" w:hAnsi="Times New Roman" w:cs="Times New Roman"/>
          <w:sz w:val="24"/>
          <w:szCs w:val="24"/>
        </w:rPr>
        <w:t>;</w:t>
      </w:r>
      <w:r w:rsidR="00C772FB" w:rsidRPr="00AF7D9D">
        <w:rPr>
          <w:rFonts w:ascii="Times New Roman" w:hAnsi="Times New Roman" w:cs="Times New Roman"/>
          <w:sz w:val="24"/>
          <w:szCs w:val="24"/>
        </w:rPr>
        <w:t xml:space="preserve"> C-U MIC = </w:t>
      </w:r>
      <w:r w:rsidR="00AC3CC0" w:rsidRPr="00AF7D9D">
        <w:rPr>
          <w:rFonts w:ascii="Times New Roman" w:hAnsi="Times New Roman" w:cs="Times New Roman"/>
          <w:sz w:val="24"/>
          <w:szCs w:val="24"/>
        </w:rPr>
        <w:t>.31</w:t>
      </w:r>
      <w:r w:rsidR="00AF12C3" w:rsidRPr="00AF7D9D">
        <w:rPr>
          <w:rFonts w:ascii="Times New Roman" w:hAnsi="Times New Roman" w:cs="Times New Roman"/>
          <w:sz w:val="24"/>
          <w:szCs w:val="24"/>
        </w:rPr>
        <w:t>;</w:t>
      </w:r>
      <w:r w:rsidR="00C772FB" w:rsidRPr="00AF7D9D">
        <w:rPr>
          <w:rFonts w:ascii="Times New Roman" w:hAnsi="Times New Roman" w:cs="Times New Roman"/>
          <w:sz w:val="24"/>
          <w:szCs w:val="24"/>
        </w:rPr>
        <w:t xml:space="preserve"> I-I MIC = </w:t>
      </w:r>
      <w:r w:rsidR="00AC3CC0" w:rsidRPr="00AF7D9D">
        <w:rPr>
          <w:rFonts w:ascii="Times New Roman" w:hAnsi="Times New Roman" w:cs="Times New Roman"/>
          <w:sz w:val="24"/>
          <w:szCs w:val="24"/>
        </w:rPr>
        <w:t>.24</w:t>
      </w:r>
      <w:r w:rsidR="00C772FB" w:rsidRPr="00AF7D9D">
        <w:rPr>
          <w:rFonts w:ascii="Times New Roman" w:hAnsi="Times New Roman" w:cs="Times New Roman"/>
          <w:sz w:val="24"/>
          <w:szCs w:val="24"/>
        </w:rPr>
        <w:t xml:space="preserve">). </w:t>
      </w:r>
    </w:p>
    <w:p w14:paraId="37F64417" w14:textId="21BBC182" w:rsidR="009E1972" w:rsidRPr="00AF7D9D" w:rsidRDefault="009E1972" w:rsidP="00CD44E1">
      <w:pPr>
        <w:widowControl w:val="0"/>
        <w:spacing w:after="0" w:line="480" w:lineRule="auto"/>
        <w:rPr>
          <w:rFonts w:ascii="Times New Roman" w:hAnsi="Times New Roman" w:cs="Times New Roman"/>
          <w:b/>
          <w:sz w:val="24"/>
          <w:szCs w:val="24"/>
        </w:rPr>
      </w:pPr>
      <w:r w:rsidRPr="00AF7D9D">
        <w:rPr>
          <w:rFonts w:ascii="Times New Roman" w:hAnsi="Times New Roman" w:cs="Times New Roman"/>
          <w:b/>
          <w:sz w:val="24"/>
          <w:szCs w:val="24"/>
        </w:rPr>
        <w:t>Sample 1: U.S. Juvenile Justice</w:t>
      </w:r>
    </w:p>
    <w:p w14:paraId="7D9EF76D" w14:textId="360CCC47" w:rsidR="009E1972" w:rsidRPr="00AF7D9D" w:rsidRDefault="009E1972" w:rsidP="00CD44E1">
      <w:pPr>
        <w:widowControl w:val="0"/>
        <w:spacing w:after="0" w:line="480" w:lineRule="auto"/>
        <w:ind w:firstLine="720"/>
        <w:rPr>
          <w:rFonts w:ascii="Times New Roman" w:hAnsi="Times New Roman" w:cs="Times New Roman"/>
          <w:sz w:val="24"/>
          <w:szCs w:val="24"/>
        </w:rPr>
      </w:pPr>
      <w:r w:rsidRPr="00AF7D9D">
        <w:rPr>
          <w:rFonts w:ascii="Times New Roman" w:hAnsi="Times New Roman" w:cs="Times New Roman"/>
          <w:b/>
          <w:i/>
          <w:sz w:val="24"/>
          <w:szCs w:val="24"/>
        </w:rPr>
        <w:t>Massachuse</w:t>
      </w:r>
      <w:r w:rsidR="004E78B9" w:rsidRPr="00AF7D9D">
        <w:rPr>
          <w:rFonts w:ascii="Times New Roman" w:hAnsi="Times New Roman" w:cs="Times New Roman"/>
          <w:b/>
          <w:i/>
          <w:sz w:val="24"/>
          <w:szCs w:val="24"/>
        </w:rPr>
        <w:t>tts Youth Screening Instrument-</w:t>
      </w:r>
      <w:r w:rsidRPr="00AF7D9D">
        <w:rPr>
          <w:rFonts w:ascii="Times New Roman" w:hAnsi="Times New Roman" w:cs="Times New Roman"/>
          <w:b/>
          <w:i/>
          <w:sz w:val="24"/>
          <w:szCs w:val="24"/>
        </w:rPr>
        <w:t xml:space="preserve">2 (MAYSI-2; Grisso &amp; Barnum, 2000). </w:t>
      </w:r>
      <w:r w:rsidRPr="00AF7D9D">
        <w:rPr>
          <w:rFonts w:ascii="Times New Roman" w:hAnsi="Times New Roman" w:cs="Times New Roman"/>
          <w:sz w:val="24"/>
          <w:szCs w:val="24"/>
        </w:rPr>
        <w:t xml:space="preserve">The MAYSI-2 is a 52-item self-report questionnaire designed to broadly screen for psychopathology and behavioral dysfunction in juvenile justice settings. Participants endorsed items dichotomously as </w:t>
      </w:r>
      <w:r w:rsidRPr="00AF7D9D">
        <w:rPr>
          <w:rFonts w:ascii="Times New Roman" w:hAnsi="Times New Roman" w:cs="Times New Roman"/>
          <w:i/>
          <w:sz w:val="24"/>
          <w:szCs w:val="24"/>
        </w:rPr>
        <w:t>yes</w:t>
      </w:r>
      <w:r w:rsidR="008263FA" w:rsidRPr="00AF7D9D">
        <w:rPr>
          <w:rFonts w:ascii="Times New Roman" w:hAnsi="Times New Roman" w:cs="Times New Roman"/>
          <w:i/>
          <w:sz w:val="24"/>
          <w:szCs w:val="24"/>
        </w:rPr>
        <w:t xml:space="preserve"> (1)</w:t>
      </w:r>
      <w:r w:rsidRPr="00AF7D9D">
        <w:rPr>
          <w:rFonts w:ascii="Times New Roman" w:hAnsi="Times New Roman" w:cs="Times New Roman"/>
          <w:sz w:val="24"/>
          <w:szCs w:val="24"/>
        </w:rPr>
        <w:t xml:space="preserve"> or </w:t>
      </w:r>
      <w:r w:rsidRPr="00AF7D9D">
        <w:rPr>
          <w:rFonts w:ascii="Times New Roman" w:hAnsi="Times New Roman" w:cs="Times New Roman"/>
          <w:i/>
          <w:sz w:val="24"/>
          <w:szCs w:val="24"/>
        </w:rPr>
        <w:t>no</w:t>
      </w:r>
      <w:r w:rsidR="008263FA" w:rsidRPr="00AF7D9D">
        <w:rPr>
          <w:rFonts w:ascii="Times New Roman" w:hAnsi="Times New Roman" w:cs="Times New Roman"/>
          <w:i/>
          <w:sz w:val="24"/>
          <w:szCs w:val="24"/>
        </w:rPr>
        <w:t xml:space="preserve"> (0)</w:t>
      </w:r>
      <w:r w:rsidRPr="00AF7D9D">
        <w:rPr>
          <w:rFonts w:ascii="Times New Roman" w:hAnsi="Times New Roman" w:cs="Times New Roman"/>
          <w:sz w:val="24"/>
          <w:szCs w:val="24"/>
        </w:rPr>
        <w:t>. For analyses concerning the effect of response inconsistency on validity coefficients, we examined two scales of the MAYSI-2 that conceptually and empirically co-occur with psychopathic features</w:t>
      </w:r>
      <w:r w:rsidR="00845C4A" w:rsidRPr="00AF7D9D">
        <w:rPr>
          <w:rFonts w:ascii="Times New Roman" w:hAnsi="Times New Roman" w:cs="Times New Roman"/>
          <w:sz w:val="24"/>
          <w:szCs w:val="24"/>
        </w:rPr>
        <w:t xml:space="preserve"> (</w:t>
      </w:r>
      <w:r w:rsidR="008D3A75" w:rsidRPr="00AF7D9D">
        <w:rPr>
          <w:rFonts w:ascii="Times New Roman" w:hAnsi="Times New Roman" w:cs="Times New Roman"/>
          <w:sz w:val="24"/>
          <w:szCs w:val="24"/>
        </w:rPr>
        <w:t>Colins et al., 2017</w:t>
      </w:r>
      <w:r w:rsidR="00845C4A" w:rsidRPr="00AF7D9D">
        <w:rPr>
          <w:rFonts w:ascii="Times New Roman" w:hAnsi="Times New Roman" w:cs="Times New Roman"/>
          <w:sz w:val="24"/>
          <w:szCs w:val="24"/>
        </w:rPr>
        <w:t>;</w:t>
      </w:r>
      <w:r w:rsidR="00CD5F64" w:rsidRPr="00AF7D9D">
        <w:rPr>
          <w:rFonts w:ascii="Times New Roman" w:hAnsi="Times New Roman" w:cs="Times New Roman"/>
          <w:sz w:val="24"/>
          <w:szCs w:val="24"/>
        </w:rPr>
        <w:t xml:space="preserve"> Patrick, Fowles, &amp; Krueger, 2009;</w:t>
      </w:r>
      <w:r w:rsidR="00845C4A" w:rsidRPr="00AF7D9D">
        <w:rPr>
          <w:rFonts w:ascii="Times New Roman" w:hAnsi="Times New Roman" w:cs="Times New Roman"/>
          <w:sz w:val="24"/>
          <w:szCs w:val="24"/>
        </w:rPr>
        <w:t xml:space="preserve"> Vahl et al., 2014)</w:t>
      </w:r>
      <w:r w:rsidRPr="00AF7D9D">
        <w:rPr>
          <w:rFonts w:ascii="Times New Roman" w:hAnsi="Times New Roman" w:cs="Times New Roman"/>
          <w:sz w:val="24"/>
          <w:szCs w:val="24"/>
        </w:rPr>
        <w:t xml:space="preserve">. The Alcohol/Drug Use scale </w:t>
      </w:r>
      <w:r w:rsidR="00F1015F" w:rsidRPr="00AF7D9D">
        <w:rPr>
          <w:rFonts w:ascii="Times New Roman" w:hAnsi="Times New Roman" w:cs="Times New Roman"/>
          <w:sz w:val="24"/>
          <w:szCs w:val="24"/>
        </w:rPr>
        <w:t>(</w:t>
      </w:r>
      <w:r w:rsidR="00134553" w:rsidRPr="00AF7D9D">
        <w:rPr>
          <w:rFonts w:ascii="Times New Roman" w:hAnsi="Times New Roman" w:cs="Times New Roman"/>
          <w:sz w:val="24"/>
          <w:szCs w:val="24"/>
        </w:rPr>
        <w:t>MIC</w:t>
      </w:r>
      <w:r w:rsidR="00F1015F" w:rsidRPr="00AF7D9D">
        <w:rPr>
          <w:rFonts w:ascii="Times New Roman" w:hAnsi="Times New Roman" w:cs="Times New Roman"/>
          <w:sz w:val="24"/>
          <w:szCs w:val="24"/>
        </w:rPr>
        <w:t xml:space="preserve"> = .</w:t>
      </w:r>
      <w:r w:rsidR="00134553" w:rsidRPr="00AF7D9D">
        <w:rPr>
          <w:rFonts w:ascii="Times New Roman" w:hAnsi="Times New Roman" w:cs="Times New Roman"/>
          <w:sz w:val="24"/>
          <w:szCs w:val="24"/>
        </w:rPr>
        <w:t>33</w:t>
      </w:r>
      <w:r w:rsidR="00F1015F" w:rsidRPr="00AF7D9D">
        <w:rPr>
          <w:rFonts w:ascii="Times New Roman" w:hAnsi="Times New Roman" w:cs="Times New Roman"/>
          <w:sz w:val="24"/>
          <w:szCs w:val="24"/>
        </w:rPr>
        <w:t xml:space="preserve">) </w:t>
      </w:r>
      <w:r w:rsidR="00134553" w:rsidRPr="00AF7D9D">
        <w:rPr>
          <w:rFonts w:ascii="Times New Roman" w:hAnsi="Times New Roman" w:cs="Times New Roman"/>
          <w:sz w:val="24"/>
          <w:szCs w:val="24"/>
        </w:rPr>
        <w:t>contains eight items assessing</w:t>
      </w:r>
      <w:r w:rsidRPr="00AF7D9D">
        <w:rPr>
          <w:rFonts w:ascii="Times New Roman" w:hAnsi="Times New Roman" w:cs="Times New Roman"/>
          <w:sz w:val="24"/>
          <w:szCs w:val="24"/>
        </w:rPr>
        <w:t xml:space="preserve"> characteristics and consequences of substance use and the Angry-Irritable</w:t>
      </w:r>
      <w:r w:rsidR="0033290D" w:rsidRPr="00AF7D9D">
        <w:rPr>
          <w:rFonts w:ascii="Times New Roman" w:hAnsi="Times New Roman" w:cs="Times New Roman"/>
          <w:sz w:val="24"/>
          <w:szCs w:val="24"/>
        </w:rPr>
        <w:t xml:space="preserve"> </w:t>
      </w:r>
      <w:r w:rsidRPr="00AF7D9D">
        <w:rPr>
          <w:rFonts w:ascii="Times New Roman" w:hAnsi="Times New Roman" w:cs="Times New Roman"/>
          <w:sz w:val="24"/>
          <w:szCs w:val="24"/>
        </w:rPr>
        <w:t xml:space="preserve">scale </w:t>
      </w:r>
      <w:r w:rsidR="00F1015F" w:rsidRPr="00AF7D9D">
        <w:rPr>
          <w:rFonts w:ascii="Times New Roman" w:hAnsi="Times New Roman" w:cs="Times New Roman"/>
          <w:sz w:val="24"/>
          <w:szCs w:val="24"/>
        </w:rPr>
        <w:t>(</w:t>
      </w:r>
      <w:r w:rsidR="00134553" w:rsidRPr="00AF7D9D">
        <w:rPr>
          <w:rFonts w:ascii="Times New Roman" w:hAnsi="Times New Roman" w:cs="Times New Roman"/>
          <w:sz w:val="24"/>
          <w:szCs w:val="24"/>
        </w:rPr>
        <w:t>MIC = .24</w:t>
      </w:r>
      <w:r w:rsidR="00F1015F" w:rsidRPr="00AF7D9D">
        <w:rPr>
          <w:rFonts w:ascii="Times New Roman" w:hAnsi="Times New Roman" w:cs="Times New Roman"/>
          <w:sz w:val="24"/>
          <w:szCs w:val="24"/>
        </w:rPr>
        <w:t xml:space="preserve">) </w:t>
      </w:r>
      <w:r w:rsidR="00134553" w:rsidRPr="00AF7D9D">
        <w:rPr>
          <w:rFonts w:ascii="Times New Roman" w:hAnsi="Times New Roman" w:cs="Times New Roman"/>
          <w:sz w:val="24"/>
          <w:szCs w:val="24"/>
        </w:rPr>
        <w:t>consists of nine items capturing</w:t>
      </w:r>
      <w:r w:rsidRPr="00AF7D9D">
        <w:rPr>
          <w:rFonts w:ascii="Times New Roman" w:hAnsi="Times New Roman" w:cs="Times New Roman"/>
          <w:sz w:val="24"/>
          <w:szCs w:val="24"/>
        </w:rPr>
        <w:t xml:space="preserve"> the extent of cognitive, affective, and behavioral experiences of anger and frustration. Additionally, we examined a short index of distractibility and inattention </w:t>
      </w:r>
      <w:r w:rsidR="003217CF" w:rsidRPr="00AF7D9D">
        <w:rPr>
          <w:rFonts w:ascii="Times New Roman" w:hAnsi="Times New Roman" w:cs="Times New Roman"/>
          <w:sz w:val="24"/>
          <w:szCs w:val="24"/>
        </w:rPr>
        <w:t xml:space="preserve">developed by </w:t>
      </w:r>
      <w:r w:rsidRPr="00AF7D9D">
        <w:rPr>
          <w:rFonts w:ascii="Times New Roman" w:hAnsi="Times New Roman" w:cs="Times New Roman"/>
          <w:sz w:val="24"/>
          <w:szCs w:val="24"/>
        </w:rPr>
        <w:t xml:space="preserve">Penson et al. </w:t>
      </w:r>
      <w:r w:rsidR="003217CF" w:rsidRPr="00AF7D9D">
        <w:rPr>
          <w:rFonts w:ascii="Times New Roman" w:hAnsi="Times New Roman" w:cs="Times New Roman"/>
          <w:sz w:val="24"/>
          <w:szCs w:val="24"/>
        </w:rPr>
        <w:t>(</w:t>
      </w:r>
      <w:r w:rsidRPr="00AF7D9D">
        <w:rPr>
          <w:rFonts w:ascii="Times New Roman" w:hAnsi="Times New Roman" w:cs="Times New Roman"/>
          <w:sz w:val="24"/>
          <w:szCs w:val="24"/>
        </w:rPr>
        <w:t>in press) comprised of three items from the MAYSI-2</w:t>
      </w:r>
      <w:r w:rsidR="00F1015F" w:rsidRPr="00AF7D9D">
        <w:rPr>
          <w:rFonts w:ascii="Times New Roman" w:hAnsi="Times New Roman" w:cs="Times New Roman"/>
          <w:sz w:val="24"/>
          <w:szCs w:val="24"/>
        </w:rPr>
        <w:t xml:space="preserve"> (</w:t>
      </w:r>
      <w:r w:rsidR="00134553" w:rsidRPr="00AF7D9D">
        <w:rPr>
          <w:rFonts w:ascii="Times New Roman" w:hAnsi="Times New Roman" w:cs="Times New Roman"/>
          <w:sz w:val="24"/>
          <w:szCs w:val="24"/>
        </w:rPr>
        <w:t xml:space="preserve">MIC </w:t>
      </w:r>
      <w:r w:rsidR="00F1015F" w:rsidRPr="00AF7D9D">
        <w:rPr>
          <w:rFonts w:ascii="Times New Roman" w:hAnsi="Times New Roman" w:cs="Times New Roman"/>
          <w:sz w:val="24"/>
          <w:szCs w:val="24"/>
        </w:rPr>
        <w:t>= .</w:t>
      </w:r>
      <w:r w:rsidR="00134553" w:rsidRPr="00AF7D9D">
        <w:rPr>
          <w:rFonts w:ascii="Times New Roman" w:hAnsi="Times New Roman" w:cs="Times New Roman"/>
          <w:sz w:val="24"/>
          <w:szCs w:val="24"/>
        </w:rPr>
        <w:t>22</w:t>
      </w:r>
      <w:r w:rsidR="00F1015F" w:rsidRPr="00AF7D9D">
        <w:rPr>
          <w:rFonts w:ascii="Times New Roman" w:hAnsi="Times New Roman" w:cs="Times New Roman"/>
          <w:sz w:val="24"/>
          <w:szCs w:val="24"/>
        </w:rPr>
        <w:t>)</w:t>
      </w:r>
      <w:r w:rsidRPr="00AF7D9D">
        <w:rPr>
          <w:rFonts w:ascii="Times New Roman" w:hAnsi="Times New Roman" w:cs="Times New Roman"/>
          <w:sz w:val="24"/>
          <w:szCs w:val="24"/>
        </w:rPr>
        <w:t>. Findings from principal components analysis suggested these items were representative of a common dimension (i.e., d</w:t>
      </w:r>
      <w:r w:rsidR="00134553" w:rsidRPr="00AF7D9D">
        <w:rPr>
          <w:rFonts w:ascii="Times New Roman" w:hAnsi="Times New Roman" w:cs="Times New Roman"/>
          <w:sz w:val="24"/>
          <w:szCs w:val="24"/>
        </w:rPr>
        <w:t>ifficulties with concentration).</w:t>
      </w:r>
    </w:p>
    <w:p w14:paraId="5686FEF7" w14:textId="145FDD99" w:rsidR="009E1972" w:rsidRPr="00AF7D9D" w:rsidRDefault="009E1972" w:rsidP="00CD44E1">
      <w:pPr>
        <w:widowControl w:val="0"/>
        <w:spacing w:after="0" w:line="480" w:lineRule="auto"/>
        <w:ind w:firstLine="720"/>
        <w:rPr>
          <w:rFonts w:ascii="Times New Roman" w:hAnsi="Times New Roman" w:cs="Times New Roman"/>
          <w:sz w:val="24"/>
          <w:szCs w:val="24"/>
        </w:rPr>
      </w:pPr>
      <w:r w:rsidRPr="00AF7D9D">
        <w:rPr>
          <w:rFonts w:ascii="Times New Roman" w:hAnsi="Times New Roman" w:cs="Times New Roman"/>
          <w:b/>
          <w:i/>
          <w:sz w:val="24"/>
          <w:szCs w:val="24"/>
        </w:rPr>
        <w:t>Self-Report of Delinquency</w:t>
      </w:r>
      <w:r w:rsidRPr="00AF7D9D">
        <w:rPr>
          <w:rFonts w:ascii="Times New Roman" w:hAnsi="Times New Roman" w:cs="Times New Roman"/>
          <w:b/>
          <w:sz w:val="24"/>
          <w:szCs w:val="24"/>
        </w:rPr>
        <w:t xml:space="preserve"> </w:t>
      </w:r>
      <w:r w:rsidRPr="00AF7D9D">
        <w:rPr>
          <w:rFonts w:ascii="Times New Roman" w:hAnsi="Times New Roman" w:cs="Times New Roman"/>
          <w:b/>
          <w:i/>
          <w:sz w:val="24"/>
          <w:szCs w:val="24"/>
        </w:rPr>
        <w:t>(SRD).</w:t>
      </w:r>
      <w:r w:rsidRPr="00AF7D9D">
        <w:rPr>
          <w:rFonts w:ascii="Times New Roman" w:hAnsi="Times New Roman" w:cs="Times New Roman"/>
          <w:b/>
          <w:sz w:val="24"/>
          <w:szCs w:val="24"/>
        </w:rPr>
        <w:t xml:space="preserve"> </w:t>
      </w:r>
      <w:r w:rsidRPr="00AF7D9D">
        <w:rPr>
          <w:rFonts w:ascii="Times New Roman" w:hAnsi="Times New Roman" w:cs="Times New Roman"/>
          <w:sz w:val="24"/>
          <w:szCs w:val="24"/>
        </w:rPr>
        <w:t xml:space="preserve">The SRD is based on a similar measure used in the National Youth Survey (Elliott, Huizinga, &amp; Menard, 1989) and assesses a range of delinquent </w:t>
      </w:r>
      <w:r w:rsidRPr="00AF7D9D">
        <w:rPr>
          <w:rFonts w:ascii="Times New Roman" w:hAnsi="Times New Roman" w:cs="Times New Roman"/>
          <w:sz w:val="24"/>
          <w:szCs w:val="24"/>
        </w:rPr>
        <w:lastRenderedPageBreak/>
        <w:t>activities, including property, drug, and physically violent offenses. Participants responded to 14 items concerning the frequency of various offending behaviors in the 12 months preceding residential placement</w:t>
      </w:r>
      <w:r w:rsidR="000C2B0F" w:rsidRPr="00AF7D9D">
        <w:rPr>
          <w:rFonts w:ascii="Times New Roman" w:hAnsi="Times New Roman" w:cs="Times New Roman"/>
          <w:sz w:val="24"/>
          <w:szCs w:val="24"/>
        </w:rPr>
        <w:t xml:space="preserve"> (α = .77)</w:t>
      </w:r>
      <w:r w:rsidRPr="00AF7D9D">
        <w:rPr>
          <w:rFonts w:ascii="Times New Roman" w:hAnsi="Times New Roman" w:cs="Times New Roman"/>
          <w:sz w:val="24"/>
          <w:szCs w:val="24"/>
        </w:rPr>
        <w:t xml:space="preserve">. These items were rated on a 9-point scale from </w:t>
      </w:r>
      <w:r w:rsidRPr="00AF7D9D">
        <w:rPr>
          <w:rFonts w:ascii="Times New Roman" w:hAnsi="Times New Roman" w:cs="Times New Roman"/>
          <w:i/>
          <w:sz w:val="24"/>
          <w:szCs w:val="24"/>
        </w:rPr>
        <w:t>never</w:t>
      </w:r>
      <w:r w:rsidRPr="00AF7D9D">
        <w:rPr>
          <w:rFonts w:ascii="Times New Roman" w:hAnsi="Times New Roman" w:cs="Times New Roman"/>
          <w:sz w:val="24"/>
          <w:szCs w:val="24"/>
        </w:rPr>
        <w:t xml:space="preserve"> </w:t>
      </w:r>
      <w:r w:rsidR="00F20017" w:rsidRPr="00AF7D9D">
        <w:rPr>
          <w:rFonts w:ascii="Times New Roman" w:hAnsi="Times New Roman" w:cs="Times New Roman"/>
          <w:i/>
          <w:sz w:val="24"/>
          <w:szCs w:val="24"/>
        </w:rPr>
        <w:t>(0)</w:t>
      </w:r>
      <w:r w:rsidR="00F20017" w:rsidRPr="00AF7D9D">
        <w:rPr>
          <w:rFonts w:ascii="Times New Roman" w:hAnsi="Times New Roman" w:cs="Times New Roman"/>
          <w:sz w:val="24"/>
          <w:szCs w:val="24"/>
        </w:rPr>
        <w:t xml:space="preserve"> </w:t>
      </w:r>
      <w:r w:rsidRPr="00AF7D9D">
        <w:rPr>
          <w:rFonts w:ascii="Times New Roman" w:hAnsi="Times New Roman" w:cs="Times New Roman"/>
          <w:sz w:val="24"/>
          <w:szCs w:val="24"/>
        </w:rPr>
        <w:t xml:space="preserve">to </w:t>
      </w:r>
      <w:r w:rsidRPr="00AF7D9D">
        <w:rPr>
          <w:rFonts w:ascii="Times New Roman" w:hAnsi="Times New Roman" w:cs="Times New Roman"/>
          <w:i/>
          <w:sz w:val="24"/>
          <w:szCs w:val="24"/>
        </w:rPr>
        <w:t>2-3 times a day</w:t>
      </w:r>
      <w:r w:rsidR="00F20017" w:rsidRPr="00AF7D9D">
        <w:rPr>
          <w:rFonts w:ascii="Times New Roman" w:hAnsi="Times New Roman" w:cs="Times New Roman"/>
          <w:i/>
          <w:sz w:val="24"/>
          <w:szCs w:val="24"/>
        </w:rPr>
        <w:t xml:space="preserve"> (8)</w:t>
      </w:r>
      <w:r w:rsidR="00134553" w:rsidRPr="00AF7D9D">
        <w:rPr>
          <w:rFonts w:ascii="Times New Roman" w:hAnsi="Times New Roman" w:cs="Times New Roman"/>
          <w:sz w:val="24"/>
          <w:szCs w:val="24"/>
        </w:rPr>
        <w:t>.</w:t>
      </w:r>
    </w:p>
    <w:p w14:paraId="13F03901" w14:textId="1A2EF062" w:rsidR="009E1972" w:rsidRPr="00AF7D9D" w:rsidRDefault="009E1972" w:rsidP="00CD44E1">
      <w:pPr>
        <w:widowControl w:val="0"/>
        <w:spacing w:after="0" w:line="480" w:lineRule="auto"/>
        <w:ind w:firstLine="720"/>
        <w:rPr>
          <w:rFonts w:ascii="Times New Roman" w:hAnsi="Times New Roman" w:cs="Times New Roman"/>
          <w:sz w:val="24"/>
          <w:szCs w:val="24"/>
        </w:rPr>
      </w:pPr>
      <w:r w:rsidRPr="00AF7D9D">
        <w:rPr>
          <w:rFonts w:ascii="Times New Roman" w:hAnsi="Times New Roman" w:cs="Times New Roman"/>
          <w:b/>
          <w:i/>
          <w:sz w:val="24"/>
          <w:szCs w:val="24"/>
        </w:rPr>
        <w:t>Moral Disengagement Index</w:t>
      </w:r>
      <w:r w:rsidRPr="00AF7D9D">
        <w:rPr>
          <w:rFonts w:ascii="Times New Roman" w:hAnsi="Times New Roman" w:cs="Times New Roman"/>
          <w:b/>
          <w:sz w:val="24"/>
          <w:szCs w:val="24"/>
        </w:rPr>
        <w:t xml:space="preserve"> </w:t>
      </w:r>
      <w:r w:rsidRPr="00AF7D9D">
        <w:rPr>
          <w:rFonts w:ascii="Times New Roman" w:hAnsi="Times New Roman" w:cs="Times New Roman"/>
          <w:b/>
          <w:i/>
          <w:sz w:val="24"/>
          <w:szCs w:val="24"/>
        </w:rPr>
        <w:t>(MDI)</w:t>
      </w:r>
      <w:r w:rsidRPr="00AF7D9D">
        <w:rPr>
          <w:rFonts w:ascii="Times New Roman" w:hAnsi="Times New Roman" w:cs="Times New Roman"/>
          <w:b/>
          <w:sz w:val="24"/>
          <w:szCs w:val="24"/>
        </w:rPr>
        <w:t xml:space="preserve">. </w:t>
      </w:r>
      <w:r w:rsidRPr="00AF7D9D">
        <w:rPr>
          <w:rFonts w:ascii="Times New Roman" w:hAnsi="Times New Roman" w:cs="Times New Roman"/>
          <w:sz w:val="24"/>
          <w:szCs w:val="24"/>
        </w:rPr>
        <w:t xml:space="preserve">The MDI is a 15-item self-report questionnaire </w:t>
      </w:r>
      <w:r w:rsidR="00004CA1" w:rsidRPr="00AF7D9D">
        <w:rPr>
          <w:rFonts w:ascii="Times New Roman" w:hAnsi="Times New Roman" w:cs="Times New Roman"/>
          <w:sz w:val="24"/>
          <w:szCs w:val="24"/>
        </w:rPr>
        <w:t xml:space="preserve">(α = .77) </w:t>
      </w:r>
      <w:r w:rsidRPr="00AF7D9D">
        <w:rPr>
          <w:rFonts w:ascii="Times New Roman" w:hAnsi="Times New Roman" w:cs="Times New Roman"/>
          <w:sz w:val="24"/>
          <w:szCs w:val="24"/>
        </w:rPr>
        <w:t xml:space="preserve">that encompasses mechanisms of moral disengagement, including advantageous comparison, displacement and diffusion of responsibility, and moral justification (Bandura, Barbaranelli, Caprara, &amp; Pastorelli, 1996). Participants rated items on a 5-point scale from </w:t>
      </w:r>
      <w:r w:rsidRPr="00AF7D9D">
        <w:rPr>
          <w:rFonts w:ascii="Times New Roman" w:hAnsi="Times New Roman" w:cs="Times New Roman"/>
          <w:i/>
          <w:sz w:val="24"/>
          <w:szCs w:val="24"/>
        </w:rPr>
        <w:t>strongly agree</w:t>
      </w:r>
      <w:r w:rsidR="00792F99" w:rsidRPr="00AF7D9D">
        <w:rPr>
          <w:rFonts w:ascii="Times New Roman" w:hAnsi="Times New Roman" w:cs="Times New Roman"/>
          <w:i/>
          <w:sz w:val="24"/>
          <w:szCs w:val="24"/>
        </w:rPr>
        <w:t xml:space="preserve"> (1)</w:t>
      </w:r>
      <w:r w:rsidRPr="00AF7D9D">
        <w:rPr>
          <w:rFonts w:ascii="Times New Roman" w:hAnsi="Times New Roman" w:cs="Times New Roman"/>
          <w:i/>
          <w:sz w:val="24"/>
          <w:szCs w:val="24"/>
        </w:rPr>
        <w:t xml:space="preserve"> </w:t>
      </w:r>
      <w:r w:rsidRPr="00AF7D9D">
        <w:rPr>
          <w:rFonts w:ascii="Times New Roman" w:hAnsi="Times New Roman" w:cs="Times New Roman"/>
          <w:sz w:val="24"/>
          <w:szCs w:val="24"/>
        </w:rPr>
        <w:t xml:space="preserve">to </w:t>
      </w:r>
      <w:r w:rsidRPr="00AF7D9D">
        <w:rPr>
          <w:rFonts w:ascii="Times New Roman" w:hAnsi="Times New Roman" w:cs="Times New Roman"/>
          <w:i/>
          <w:sz w:val="24"/>
          <w:szCs w:val="24"/>
        </w:rPr>
        <w:t>strongly disagree</w:t>
      </w:r>
      <w:r w:rsidRPr="00AF7D9D">
        <w:rPr>
          <w:rFonts w:ascii="Times New Roman" w:hAnsi="Times New Roman" w:cs="Times New Roman"/>
          <w:sz w:val="24"/>
          <w:szCs w:val="24"/>
        </w:rPr>
        <w:t xml:space="preserve"> </w:t>
      </w:r>
      <w:r w:rsidR="00792F99" w:rsidRPr="00AF7D9D">
        <w:rPr>
          <w:rFonts w:ascii="Times New Roman" w:hAnsi="Times New Roman" w:cs="Times New Roman"/>
          <w:i/>
          <w:sz w:val="24"/>
          <w:szCs w:val="24"/>
        </w:rPr>
        <w:t xml:space="preserve">(5) </w:t>
      </w:r>
      <w:r w:rsidRPr="00AF7D9D">
        <w:rPr>
          <w:rFonts w:ascii="Times New Roman" w:hAnsi="Times New Roman" w:cs="Times New Roman"/>
          <w:sz w:val="24"/>
          <w:szCs w:val="24"/>
        </w:rPr>
        <w:t>with lower scores indicati</w:t>
      </w:r>
      <w:r w:rsidR="00004CA1" w:rsidRPr="00AF7D9D">
        <w:rPr>
          <w:rFonts w:ascii="Times New Roman" w:hAnsi="Times New Roman" w:cs="Times New Roman"/>
          <w:sz w:val="24"/>
          <w:szCs w:val="24"/>
        </w:rPr>
        <w:t>ng greater moral disengagement.</w:t>
      </w:r>
    </w:p>
    <w:p w14:paraId="01C784BA" w14:textId="0A7D3DE4" w:rsidR="009E1972" w:rsidRPr="00AF7D9D" w:rsidRDefault="009E1972" w:rsidP="00CD44E1">
      <w:pPr>
        <w:widowControl w:val="0"/>
        <w:spacing w:after="0" w:line="480" w:lineRule="auto"/>
        <w:ind w:firstLine="720"/>
        <w:rPr>
          <w:rFonts w:ascii="Times New Roman" w:hAnsi="Times New Roman" w:cs="Times New Roman"/>
          <w:sz w:val="24"/>
          <w:szCs w:val="24"/>
        </w:rPr>
      </w:pPr>
      <w:r w:rsidRPr="00AF7D9D">
        <w:rPr>
          <w:rFonts w:ascii="Times New Roman" w:hAnsi="Times New Roman" w:cs="Times New Roman"/>
          <w:b/>
          <w:i/>
          <w:sz w:val="24"/>
          <w:szCs w:val="24"/>
        </w:rPr>
        <w:t>Legal Cynicism (Sampson &amp; Bartusch, 1998</w:t>
      </w:r>
      <w:r w:rsidRPr="00AF7D9D">
        <w:rPr>
          <w:rFonts w:ascii="Times New Roman" w:hAnsi="Times New Roman" w:cs="Times New Roman"/>
          <w:b/>
          <w:sz w:val="24"/>
          <w:szCs w:val="24"/>
        </w:rPr>
        <w:t xml:space="preserve">). </w:t>
      </w:r>
      <w:r w:rsidR="001E3E3A" w:rsidRPr="00AF7D9D">
        <w:rPr>
          <w:rFonts w:ascii="Times New Roman" w:hAnsi="Times New Roman" w:cs="Times New Roman"/>
          <w:sz w:val="24"/>
          <w:szCs w:val="24"/>
        </w:rPr>
        <w:t>This scale contains five</w:t>
      </w:r>
      <w:r w:rsidRPr="00AF7D9D">
        <w:rPr>
          <w:rFonts w:ascii="Times New Roman" w:hAnsi="Times New Roman" w:cs="Times New Roman"/>
          <w:sz w:val="24"/>
          <w:szCs w:val="24"/>
        </w:rPr>
        <w:t xml:space="preserve"> items </w:t>
      </w:r>
      <w:r w:rsidR="00872754" w:rsidRPr="00AF7D9D">
        <w:rPr>
          <w:rFonts w:ascii="Times New Roman" w:hAnsi="Times New Roman" w:cs="Times New Roman"/>
          <w:sz w:val="24"/>
          <w:szCs w:val="24"/>
        </w:rPr>
        <w:t xml:space="preserve">(MIC = .24) </w:t>
      </w:r>
      <w:r w:rsidRPr="00AF7D9D">
        <w:rPr>
          <w:rFonts w:ascii="Times New Roman" w:hAnsi="Times New Roman" w:cs="Times New Roman"/>
          <w:sz w:val="24"/>
          <w:szCs w:val="24"/>
        </w:rPr>
        <w:t xml:space="preserve">assessing beliefs about the legitimacy of the legal system and compliance with societal norms (e.g., “It’s okay to do anything you want as long as you don’t hurt anyone”). Participants rated items on a 5-point scale from </w:t>
      </w:r>
      <w:r w:rsidRPr="00AF7D9D">
        <w:rPr>
          <w:rFonts w:ascii="Times New Roman" w:hAnsi="Times New Roman" w:cs="Times New Roman"/>
          <w:i/>
          <w:sz w:val="24"/>
          <w:szCs w:val="24"/>
        </w:rPr>
        <w:t>strongly agree</w:t>
      </w:r>
      <w:r w:rsidR="00792F99" w:rsidRPr="00AF7D9D">
        <w:rPr>
          <w:rFonts w:ascii="Times New Roman" w:hAnsi="Times New Roman" w:cs="Times New Roman"/>
          <w:i/>
          <w:sz w:val="24"/>
          <w:szCs w:val="24"/>
        </w:rPr>
        <w:t xml:space="preserve"> (1)</w:t>
      </w:r>
      <w:r w:rsidRPr="00AF7D9D">
        <w:rPr>
          <w:rFonts w:ascii="Times New Roman" w:hAnsi="Times New Roman" w:cs="Times New Roman"/>
          <w:sz w:val="24"/>
          <w:szCs w:val="24"/>
        </w:rPr>
        <w:t xml:space="preserve"> to </w:t>
      </w:r>
      <w:r w:rsidRPr="00AF7D9D">
        <w:rPr>
          <w:rFonts w:ascii="Times New Roman" w:hAnsi="Times New Roman" w:cs="Times New Roman"/>
          <w:i/>
          <w:sz w:val="24"/>
          <w:szCs w:val="24"/>
        </w:rPr>
        <w:t xml:space="preserve">strongly </w:t>
      </w:r>
      <w:r w:rsidR="00792F99" w:rsidRPr="00AF7D9D">
        <w:rPr>
          <w:rFonts w:ascii="Times New Roman" w:hAnsi="Times New Roman" w:cs="Times New Roman"/>
          <w:i/>
          <w:sz w:val="24"/>
          <w:szCs w:val="24"/>
        </w:rPr>
        <w:t>dis</w:t>
      </w:r>
      <w:r w:rsidRPr="00AF7D9D">
        <w:rPr>
          <w:rFonts w:ascii="Times New Roman" w:hAnsi="Times New Roman" w:cs="Times New Roman"/>
          <w:i/>
          <w:sz w:val="24"/>
          <w:szCs w:val="24"/>
        </w:rPr>
        <w:t>agree</w:t>
      </w:r>
      <w:r w:rsidR="00792F99" w:rsidRPr="00AF7D9D">
        <w:rPr>
          <w:rFonts w:ascii="Times New Roman" w:hAnsi="Times New Roman" w:cs="Times New Roman"/>
          <w:i/>
          <w:sz w:val="24"/>
          <w:szCs w:val="24"/>
        </w:rPr>
        <w:t xml:space="preserve"> (5) </w:t>
      </w:r>
      <w:r w:rsidR="00792F99" w:rsidRPr="00AF7D9D">
        <w:rPr>
          <w:rFonts w:ascii="Times New Roman" w:hAnsi="Times New Roman" w:cs="Times New Roman"/>
          <w:sz w:val="24"/>
          <w:szCs w:val="24"/>
        </w:rPr>
        <w:t>with lower scores indicating greater legal cynicism</w:t>
      </w:r>
      <w:r w:rsidR="00872754" w:rsidRPr="00AF7D9D">
        <w:rPr>
          <w:rFonts w:ascii="Times New Roman" w:hAnsi="Times New Roman" w:cs="Times New Roman"/>
          <w:sz w:val="24"/>
          <w:szCs w:val="24"/>
        </w:rPr>
        <w:t>.</w:t>
      </w:r>
    </w:p>
    <w:p w14:paraId="5E3B913C" w14:textId="0B8897B7" w:rsidR="009E1972" w:rsidRPr="00AF7D9D" w:rsidRDefault="009E1972" w:rsidP="00CD44E1">
      <w:pPr>
        <w:widowControl w:val="0"/>
        <w:spacing w:after="0" w:line="480" w:lineRule="auto"/>
        <w:ind w:firstLine="720"/>
        <w:rPr>
          <w:rFonts w:ascii="Times New Roman" w:hAnsi="Times New Roman" w:cs="Times New Roman"/>
          <w:sz w:val="24"/>
          <w:szCs w:val="24"/>
        </w:rPr>
      </w:pPr>
      <w:r w:rsidRPr="00AF7D9D">
        <w:rPr>
          <w:rFonts w:ascii="Times New Roman" w:hAnsi="Times New Roman" w:cs="Times New Roman"/>
          <w:b/>
          <w:i/>
          <w:sz w:val="24"/>
          <w:szCs w:val="24"/>
        </w:rPr>
        <w:t>Coping Strategies Inventory</w:t>
      </w:r>
      <w:r w:rsidRPr="00AF7D9D">
        <w:rPr>
          <w:rFonts w:ascii="Times New Roman" w:hAnsi="Times New Roman" w:cs="Times New Roman"/>
          <w:b/>
          <w:sz w:val="24"/>
          <w:szCs w:val="24"/>
        </w:rPr>
        <w:t xml:space="preserve">. </w:t>
      </w:r>
      <w:r w:rsidRPr="00AF7D9D">
        <w:rPr>
          <w:rFonts w:ascii="Times New Roman" w:hAnsi="Times New Roman" w:cs="Times New Roman"/>
          <w:sz w:val="24"/>
          <w:szCs w:val="24"/>
        </w:rPr>
        <w:t xml:space="preserve">This 35-item self-report inventory assesses the use of adaptive and maladaptive coping strategies in adolescent populations. Participants indicated the frequency of engagement in various coping strategies on a 5-point scale from </w:t>
      </w:r>
      <w:r w:rsidRPr="00AF7D9D">
        <w:rPr>
          <w:rFonts w:ascii="Times New Roman" w:hAnsi="Times New Roman" w:cs="Times New Roman"/>
          <w:i/>
          <w:sz w:val="24"/>
          <w:szCs w:val="24"/>
        </w:rPr>
        <w:t>never</w:t>
      </w:r>
      <w:r w:rsidRPr="00AF7D9D">
        <w:rPr>
          <w:rFonts w:ascii="Times New Roman" w:hAnsi="Times New Roman" w:cs="Times New Roman"/>
          <w:sz w:val="24"/>
          <w:szCs w:val="24"/>
        </w:rPr>
        <w:t xml:space="preserve"> </w:t>
      </w:r>
      <w:r w:rsidR="00792F99" w:rsidRPr="00AF7D9D">
        <w:rPr>
          <w:rFonts w:ascii="Times New Roman" w:hAnsi="Times New Roman" w:cs="Times New Roman"/>
          <w:i/>
          <w:sz w:val="24"/>
          <w:szCs w:val="24"/>
        </w:rPr>
        <w:t xml:space="preserve">(0) </w:t>
      </w:r>
      <w:r w:rsidRPr="00AF7D9D">
        <w:rPr>
          <w:rFonts w:ascii="Times New Roman" w:hAnsi="Times New Roman" w:cs="Times New Roman"/>
          <w:sz w:val="24"/>
          <w:szCs w:val="24"/>
        </w:rPr>
        <w:t xml:space="preserve">to </w:t>
      </w:r>
      <w:r w:rsidRPr="00AF7D9D">
        <w:rPr>
          <w:rFonts w:ascii="Times New Roman" w:hAnsi="Times New Roman" w:cs="Times New Roman"/>
          <w:i/>
          <w:sz w:val="24"/>
          <w:szCs w:val="24"/>
        </w:rPr>
        <w:t>most of the time</w:t>
      </w:r>
      <w:r w:rsidR="00792F99" w:rsidRPr="00AF7D9D">
        <w:rPr>
          <w:rFonts w:ascii="Times New Roman" w:hAnsi="Times New Roman" w:cs="Times New Roman"/>
          <w:i/>
          <w:sz w:val="24"/>
          <w:szCs w:val="24"/>
        </w:rPr>
        <w:t xml:space="preserve"> (4)</w:t>
      </w:r>
      <w:r w:rsidRPr="00AF7D9D">
        <w:rPr>
          <w:rFonts w:ascii="Times New Roman" w:hAnsi="Times New Roman" w:cs="Times New Roman"/>
          <w:sz w:val="24"/>
          <w:szCs w:val="24"/>
        </w:rPr>
        <w:t xml:space="preserve">. This measure is derived from the Adolescent Coping Orientation for Problem Experiences (A-COPE; Patterson &amp; McCubbin, 1987) and organizes patterns of coping into five domains. We focused on the </w:t>
      </w:r>
      <w:r w:rsidR="001E3E3A" w:rsidRPr="00AF7D9D">
        <w:rPr>
          <w:rFonts w:ascii="Times New Roman" w:hAnsi="Times New Roman" w:cs="Times New Roman"/>
          <w:sz w:val="24"/>
          <w:szCs w:val="24"/>
        </w:rPr>
        <w:t xml:space="preserve">five-item </w:t>
      </w:r>
      <w:r w:rsidRPr="00AF7D9D">
        <w:rPr>
          <w:rFonts w:ascii="Times New Roman" w:hAnsi="Times New Roman" w:cs="Times New Roman"/>
          <w:sz w:val="24"/>
          <w:szCs w:val="24"/>
        </w:rPr>
        <w:t>domain of ‘Acting Out’ for this study based on the conceptual association between acting out coping behaviors (e.g., picking a fight, saying mean things) and psychopathic traits in youth</w:t>
      </w:r>
      <w:r w:rsidR="00F1015F" w:rsidRPr="00AF7D9D">
        <w:rPr>
          <w:rFonts w:ascii="Times New Roman" w:hAnsi="Times New Roman" w:cs="Times New Roman"/>
          <w:sz w:val="24"/>
          <w:szCs w:val="24"/>
        </w:rPr>
        <w:t xml:space="preserve"> (</w:t>
      </w:r>
      <w:r w:rsidR="00872754" w:rsidRPr="00AF7D9D">
        <w:rPr>
          <w:rFonts w:ascii="Times New Roman" w:hAnsi="Times New Roman" w:cs="Times New Roman"/>
          <w:sz w:val="24"/>
          <w:szCs w:val="24"/>
        </w:rPr>
        <w:t>MIC = .48</w:t>
      </w:r>
      <w:r w:rsidR="00F1015F" w:rsidRPr="00AF7D9D">
        <w:rPr>
          <w:rFonts w:ascii="Times New Roman" w:hAnsi="Times New Roman" w:cs="Times New Roman"/>
          <w:sz w:val="24"/>
          <w:szCs w:val="24"/>
        </w:rPr>
        <w:t>)</w:t>
      </w:r>
      <w:r w:rsidR="00872754" w:rsidRPr="00AF7D9D">
        <w:rPr>
          <w:rFonts w:ascii="Times New Roman" w:hAnsi="Times New Roman" w:cs="Times New Roman"/>
          <w:sz w:val="24"/>
          <w:szCs w:val="24"/>
        </w:rPr>
        <w:t>.</w:t>
      </w:r>
    </w:p>
    <w:p w14:paraId="2E3F9772" w14:textId="77777777" w:rsidR="009E1972" w:rsidRPr="00AF7D9D" w:rsidRDefault="009E1972" w:rsidP="00CD44E1">
      <w:pPr>
        <w:widowControl w:val="0"/>
        <w:spacing w:after="0" w:line="480" w:lineRule="auto"/>
        <w:rPr>
          <w:rFonts w:ascii="Times New Roman" w:hAnsi="Times New Roman" w:cs="Times New Roman"/>
          <w:b/>
          <w:sz w:val="24"/>
          <w:szCs w:val="24"/>
        </w:rPr>
      </w:pPr>
      <w:r w:rsidRPr="00AF7D9D">
        <w:rPr>
          <w:rFonts w:ascii="Times New Roman" w:hAnsi="Times New Roman" w:cs="Times New Roman"/>
          <w:b/>
          <w:sz w:val="24"/>
          <w:szCs w:val="24"/>
        </w:rPr>
        <w:lastRenderedPageBreak/>
        <w:t>Sample 3: German Vocational Training School</w:t>
      </w:r>
    </w:p>
    <w:p w14:paraId="58A1C96D" w14:textId="77777777" w:rsidR="009E1972" w:rsidRPr="00AF7D9D" w:rsidRDefault="009E1972" w:rsidP="00CD44E1">
      <w:pPr>
        <w:widowControl w:val="0"/>
        <w:spacing w:after="0" w:line="480" w:lineRule="auto"/>
        <w:ind w:firstLine="720"/>
        <w:rPr>
          <w:rFonts w:ascii="Times New Roman" w:hAnsi="Times New Roman" w:cs="Times New Roman"/>
          <w:sz w:val="24"/>
          <w:szCs w:val="24"/>
        </w:rPr>
      </w:pPr>
      <w:r w:rsidRPr="00AF7D9D">
        <w:rPr>
          <w:rFonts w:ascii="Times New Roman" w:hAnsi="Times New Roman" w:cs="Times New Roman"/>
          <w:b/>
          <w:i/>
          <w:sz w:val="24"/>
          <w:szCs w:val="24"/>
        </w:rPr>
        <w:t>Psychopathic Personality Inventory – Revised (PPI-R; Lilienfeld &amp; Widows, 2005)</w:t>
      </w:r>
      <w:r w:rsidRPr="00AF7D9D">
        <w:rPr>
          <w:rFonts w:ascii="Times New Roman" w:hAnsi="Times New Roman" w:cs="Times New Roman"/>
          <w:b/>
          <w:sz w:val="24"/>
          <w:szCs w:val="24"/>
        </w:rPr>
        <w:t xml:space="preserve">. </w:t>
      </w:r>
      <w:r w:rsidRPr="00AF7D9D">
        <w:rPr>
          <w:rFonts w:ascii="Times New Roman" w:hAnsi="Times New Roman" w:cs="Times New Roman"/>
          <w:sz w:val="24"/>
          <w:szCs w:val="24"/>
        </w:rPr>
        <w:t xml:space="preserve">Students in vocational training completed the German translation of the PPI-R (Alpers &amp; Eisenbarth, 2008). The PPI-R is an extensively researched self-report measure of psychopathy appropriate for use in community and forensic settings. The questionnaire contains 154 items that are rated on a 4-point scale as </w:t>
      </w:r>
      <w:r w:rsidRPr="00AF7D9D">
        <w:rPr>
          <w:rFonts w:ascii="Times New Roman" w:hAnsi="Times New Roman" w:cs="Times New Roman"/>
          <w:i/>
          <w:sz w:val="24"/>
          <w:szCs w:val="24"/>
        </w:rPr>
        <w:t>false</w:t>
      </w:r>
      <w:r w:rsidR="00D75909" w:rsidRPr="00AF7D9D">
        <w:rPr>
          <w:rFonts w:ascii="Times New Roman" w:hAnsi="Times New Roman" w:cs="Times New Roman"/>
          <w:i/>
          <w:sz w:val="24"/>
          <w:szCs w:val="24"/>
        </w:rPr>
        <w:t xml:space="preserve"> (1)</w:t>
      </w:r>
      <w:r w:rsidRPr="00AF7D9D">
        <w:rPr>
          <w:rFonts w:ascii="Times New Roman" w:hAnsi="Times New Roman" w:cs="Times New Roman"/>
          <w:i/>
          <w:sz w:val="24"/>
          <w:szCs w:val="24"/>
        </w:rPr>
        <w:t>, mostly false</w:t>
      </w:r>
      <w:r w:rsidR="00D75909" w:rsidRPr="00AF7D9D">
        <w:rPr>
          <w:rFonts w:ascii="Times New Roman" w:hAnsi="Times New Roman" w:cs="Times New Roman"/>
          <w:i/>
          <w:sz w:val="24"/>
          <w:szCs w:val="24"/>
        </w:rPr>
        <w:t xml:space="preserve"> (2)</w:t>
      </w:r>
      <w:r w:rsidRPr="00AF7D9D">
        <w:rPr>
          <w:rFonts w:ascii="Times New Roman" w:hAnsi="Times New Roman" w:cs="Times New Roman"/>
          <w:i/>
          <w:sz w:val="24"/>
          <w:szCs w:val="24"/>
        </w:rPr>
        <w:t>, mostly true</w:t>
      </w:r>
      <w:r w:rsidR="00D75909" w:rsidRPr="00AF7D9D">
        <w:rPr>
          <w:rFonts w:ascii="Times New Roman" w:hAnsi="Times New Roman" w:cs="Times New Roman"/>
          <w:i/>
          <w:sz w:val="24"/>
          <w:szCs w:val="24"/>
        </w:rPr>
        <w:t xml:space="preserve"> (3)</w:t>
      </w:r>
      <w:r w:rsidRPr="00AF7D9D">
        <w:rPr>
          <w:rFonts w:ascii="Times New Roman" w:hAnsi="Times New Roman" w:cs="Times New Roman"/>
          <w:sz w:val="24"/>
          <w:szCs w:val="24"/>
        </w:rPr>
        <w:t xml:space="preserve">, or </w:t>
      </w:r>
      <w:r w:rsidRPr="00AF7D9D">
        <w:rPr>
          <w:rFonts w:ascii="Times New Roman" w:hAnsi="Times New Roman" w:cs="Times New Roman"/>
          <w:i/>
          <w:sz w:val="24"/>
          <w:szCs w:val="24"/>
        </w:rPr>
        <w:t>true</w:t>
      </w:r>
      <w:r w:rsidR="00D75909" w:rsidRPr="00AF7D9D">
        <w:rPr>
          <w:rFonts w:ascii="Times New Roman" w:hAnsi="Times New Roman" w:cs="Times New Roman"/>
          <w:i/>
          <w:sz w:val="24"/>
          <w:szCs w:val="24"/>
        </w:rPr>
        <w:t xml:space="preserve"> (4)</w:t>
      </w:r>
      <w:r w:rsidRPr="00AF7D9D">
        <w:rPr>
          <w:rFonts w:ascii="Times New Roman" w:hAnsi="Times New Roman" w:cs="Times New Roman"/>
          <w:sz w:val="24"/>
          <w:szCs w:val="24"/>
        </w:rPr>
        <w:t xml:space="preserve">. Two validity scales embedded in the PPI-R assess inconsistent responding using either 15 (IR-15) or 40 (IR-40) pairs of highly correlated items. Previous studies have demonstrated the utility of the IR-15 and IR-40 in capturing patterns of inattentive or random responding and identifying profile validity (e.g., Lilienfeld &amp; Widows, 2005; Kelley et al., 2016; Nikolova, Hendry, Douglas, Edens, &amp; Lilienfeld, 2012). </w:t>
      </w:r>
    </w:p>
    <w:p w14:paraId="51B952B5" w14:textId="77777777" w:rsidR="009E1972" w:rsidRPr="00AF7D9D" w:rsidRDefault="009E1972" w:rsidP="00CD44E1">
      <w:pPr>
        <w:widowControl w:val="0"/>
        <w:spacing w:after="0" w:line="480" w:lineRule="auto"/>
        <w:rPr>
          <w:rFonts w:ascii="Times New Roman" w:hAnsi="Times New Roman" w:cs="Times New Roman"/>
          <w:b/>
          <w:sz w:val="24"/>
          <w:szCs w:val="24"/>
        </w:rPr>
      </w:pPr>
      <w:r w:rsidRPr="00AF7D9D">
        <w:rPr>
          <w:rFonts w:ascii="Times New Roman" w:hAnsi="Times New Roman" w:cs="Times New Roman"/>
          <w:b/>
          <w:sz w:val="24"/>
          <w:szCs w:val="24"/>
        </w:rPr>
        <w:t xml:space="preserve">Sample 4: Italian Public </w:t>
      </w:r>
      <w:r w:rsidR="00E4025E" w:rsidRPr="00AF7D9D">
        <w:rPr>
          <w:rFonts w:ascii="Times New Roman" w:hAnsi="Times New Roman" w:cs="Times New Roman"/>
          <w:b/>
          <w:sz w:val="24"/>
          <w:szCs w:val="24"/>
        </w:rPr>
        <w:t>High</w:t>
      </w:r>
      <w:r w:rsidRPr="00AF7D9D">
        <w:rPr>
          <w:rFonts w:ascii="Times New Roman" w:hAnsi="Times New Roman" w:cs="Times New Roman"/>
          <w:b/>
          <w:sz w:val="24"/>
          <w:szCs w:val="24"/>
        </w:rPr>
        <w:t xml:space="preserve"> School</w:t>
      </w:r>
    </w:p>
    <w:p w14:paraId="4DA6CA1C" w14:textId="74305CD2" w:rsidR="009E1972" w:rsidRPr="00AF7D9D" w:rsidRDefault="009E1972" w:rsidP="00CD44E1">
      <w:pPr>
        <w:widowControl w:val="0"/>
        <w:spacing w:after="0" w:line="480" w:lineRule="auto"/>
        <w:ind w:firstLine="720"/>
        <w:rPr>
          <w:rFonts w:ascii="Times New Roman" w:hAnsi="Times New Roman" w:cs="Times New Roman"/>
          <w:sz w:val="24"/>
          <w:szCs w:val="24"/>
        </w:rPr>
      </w:pPr>
      <w:r w:rsidRPr="00AF7D9D">
        <w:rPr>
          <w:rFonts w:ascii="Times New Roman" w:hAnsi="Times New Roman" w:cs="Times New Roman"/>
          <w:b/>
          <w:i/>
          <w:sz w:val="24"/>
          <w:szCs w:val="24"/>
        </w:rPr>
        <w:t>Self-Report of Delinquency Scale</w:t>
      </w:r>
      <w:r w:rsidRPr="00AF7D9D">
        <w:rPr>
          <w:rFonts w:ascii="Times New Roman" w:hAnsi="Times New Roman" w:cs="Times New Roman"/>
          <w:b/>
          <w:sz w:val="24"/>
          <w:szCs w:val="24"/>
        </w:rPr>
        <w:t xml:space="preserve"> </w:t>
      </w:r>
      <w:r w:rsidRPr="00AF7D9D">
        <w:rPr>
          <w:rFonts w:ascii="Times New Roman" w:hAnsi="Times New Roman" w:cs="Times New Roman"/>
          <w:b/>
          <w:i/>
          <w:sz w:val="24"/>
          <w:szCs w:val="24"/>
        </w:rPr>
        <w:t>(SRDS; Elliott &amp; Ageston, 1980)</w:t>
      </w:r>
      <w:r w:rsidRPr="00AF7D9D">
        <w:rPr>
          <w:rFonts w:ascii="Times New Roman" w:hAnsi="Times New Roman" w:cs="Times New Roman"/>
          <w:b/>
          <w:sz w:val="24"/>
          <w:szCs w:val="24"/>
        </w:rPr>
        <w:t xml:space="preserve">. </w:t>
      </w:r>
      <w:r w:rsidRPr="00AF7D9D">
        <w:rPr>
          <w:rFonts w:ascii="Times New Roman" w:hAnsi="Times New Roman" w:cs="Times New Roman"/>
          <w:sz w:val="24"/>
          <w:szCs w:val="24"/>
        </w:rPr>
        <w:t>The SRDS is a 40-item self-report questionnaire concerning the frequency of delinquent behaviors during the past year. The Italian translation of this measure was administered to a subgroup of adolescents (</w:t>
      </w:r>
      <w:r w:rsidRPr="00AF7D9D">
        <w:rPr>
          <w:rFonts w:ascii="Times New Roman" w:hAnsi="Times New Roman" w:cs="Times New Roman"/>
          <w:i/>
          <w:sz w:val="24"/>
          <w:szCs w:val="24"/>
        </w:rPr>
        <w:t>n</w:t>
      </w:r>
      <w:r w:rsidRPr="00AF7D9D">
        <w:rPr>
          <w:rFonts w:ascii="Times New Roman" w:hAnsi="Times New Roman" w:cs="Times New Roman"/>
          <w:sz w:val="24"/>
          <w:szCs w:val="24"/>
        </w:rPr>
        <w:t xml:space="preserve"> = 868). Participants endorsed items on a 6-point scale from </w:t>
      </w:r>
      <w:r w:rsidRPr="00AF7D9D">
        <w:rPr>
          <w:rFonts w:ascii="Times New Roman" w:hAnsi="Times New Roman" w:cs="Times New Roman"/>
          <w:i/>
          <w:sz w:val="24"/>
          <w:szCs w:val="24"/>
        </w:rPr>
        <w:t>never</w:t>
      </w:r>
      <w:r w:rsidR="00AC3CC0" w:rsidRPr="00AF7D9D">
        <w:rPr>
          <w:rFonts w:ascii="Times New Roman" w:hAnsi="Times New Roman" w:cs="Times New Roman"/>
          <w:i/>
          <w:sz w:val="24"/>
          <w:szCs w:val="24"/>
        </w:rPr>
        <w:t xml:space="preserve"> (1)</w:t>
      </w:r>
      <w:r w:rsidRPr="00AF7D9D">
        <w:rPr>
          <w:rFonts w:ascii="Times New Roman" w:hAnsi="Times New Roman" w:cs="Times New Roman"/>
          <w:sz w:val="24"/>
          <w:szCs w:val="24"/>
        </w:rPr>
        <w:t xml:space="preserve"> to </w:t>
      </w:r>
      <w:r w:rsidRPr="00AF7D9D">
        <w:rPr>
          <w:rFonts w:ascii="Times New Roman" w:hAnsi="Times New Roman" w:cs="Times New Roman"/>
          <w:i/>
          <w:sz w:val="24"/>
          <w:szCs w:val="24"/>
        </w:rPr>
        <w:t>20 times or more</w:t>
      </w:r>
      <w:r w:rsidR="00AC3CC0" w:rsidRPr="00AF7D9D">
        <w:rPr>
          <w:rFonts w:ascii="Times New Roman" w:hAnsi="Times New Roman" w:cs="Times New Roman"/>
          <w:i/>
          <w:sz w:val="24"/>
          <w:szCs w:val="24"/>
        </w:rPr>
        <w:t xml:space="preserve"> (6)</w:t>
      </w:r>
      <w:r w:rsidRPr="00AF7D9D">
        <w:rPr>
          <w:rFonts w:ascii="Times New Roman" w:hAnsi="Times New Roman" w:cs="Times New Roman"/>
          <w:sz w:val="24"/>
          <w:szCs w:val="24"/>
        </w:rPr>
        <w:t xml:space="preserve">. Composite scores were created by summing responses (α = .92). </w:t>
      </w:r>
    </w:p>
    <w:p w14:paraId="12A484A4" w14:textId="6017CF00" w:rsidR="009E1972" w:rsidRPr="00AF7D9D" w:rsidRDefault="009E1972" w:rsidP="00CD44E1">
      <w:pPr>
        <w:widowControl w:val="0"/>
        <w:spacing w:after="0" w:line="480" w:lineRule="auto"/>
        <w:ind w:firstLine="720"/>
        <w:rPr>
          <w:rFonts w:ascii="Times New Roman" w:hAnsi="Times New Roman" w:cs="Times New Roman"/>
          <w:sz w:val="24"/>
          <w:szCs w:val="24"/>
        </w:rPr>
      </w:pPr>
      <w:r w:rsidRPr="00AF7D9D">
        <w:rPr>
          <w:rFonts w:ascii="Times New Roman" w:hAnsi="Times New Roman" w:cs="Times New Roman"/>
          <w:b/>
          <w:i/>
          <w:sz w:val="24"/>
          <w:szCs w:val="24"/>
        </w:rPr>
        <w:t>Reactive-Proactive Aggression Questionnaire (RPQ; Raine et al., 2006)</w:t>
      </w:r>
      <w:r w:rsidRPr="00AF7D9D">
        <w:rPr>
          <w:rFonts w:ascii="Times New Roman" w:hAnsi="Times New Roman" w:cs="Times New Roman"/>
          <w:b/>
          <w:sz w:val="24"/>
          <w:szCs w:val="24"/>
        </w:rPr>
        <w:t xml:space="preserve">. </w:t>
      </w:r>
      <w:r w:rsidRPr="00AF7D9D">
        <w:rPr>
          <w:rFonts w:ascii="Times New Roman" w:hAnsi="Times New Roman" w:cs="Times New Roman"/>
          <w:sz w:val="24"/>
          <w:szCs w:val="24"/>
        </w:rPr>
        <w:t>The RPQ is a 23-item self-report questionnaire of aggression in adolescents. Participants (</w:t>
      </w:r>
      <w:r w:rsidRPr="00AF7D9D">
        <w:rPr>
          <w:rFonts w:ascii="Times New Roman" w:hAnsi="Times New Roman" w:cs="Times New Roman"/>
          <w:i/>
          <w:sz w:val="24"/>
          <w:szCs w:val="24"/>
        </w:rPr>
        <w:t>n</w:t>
      </w:r>
      <w:r w:rsidRPr="00AF7D9D">
        <w:rPr>
          <w:rFonts w:ascii="Times New Roman" w:hAnsi="Times New Roman" w:cs="Times New Roman"/>
          <w:sz w:val="24"/>
          <w:szCs w:val="24"/>
        </w:rPr>
        <w:t xml:space="preserve"> = 868) were administered the Italian translation </w:t>
      </w:r>
      <w:r w:rsidR="000C2B0F" w:rsidRPr="00AF7D9D">
        <w:rPr>
          <w:rFonts w:ascii="Times New Roman" w:hAnsi="Times New Roman" w:cs="Times New Roman"/>
          <w:sz w:val="24"/>
          <w:szCs w:val="24"/>
        </w:rPr>
        <w:t>of the RPQ</w:t>
      </w:r>
      <w:r w:rsidRPr="00AF7D9D">
        <w:rPr>
          <w:rFonts w:ascii="Times New Roman" w:hAnsi="Times New Roman" w:cs="Times New Roman"/>
          <w:sz w:val="24"/>
          <w:szCs w:val="24"/>
        </w:rPr>
        <w:t xml:space="preserve"> and rated items on a 3-point scale as </w:t>
      </w:r>
      <w:r w:rsidRPr="00AF7D9D">
        <w:rPr>
          <w:rFonts w:ascii="Times New Roman" w:hAnsi="Times New Roman" w:cs="Times New Roman"/>
          <w:i/>
          <w:sz w:val="24"/>
          <w:szCs w:val="24"/>
        </w:rPr>
        <w:t>never</w:t>
      </w:r>
      <w:r w:rsidR="00AC3CC0" w:rsidRPr="00AF7D9D">
        <w:rPr>
          <w:rFonts w:ascii="Times New Roman" w:hAnsi="Times New Roman" w:cs="Times New Roman"/>
          <w:i/>
          <w:sz w:val="24"/>
          <w:szCs w:val="24"/>
        </w:rPr>
        <w:t xml:space="preserve"> (0)</w:t>
      </w:r>
      <w:r w:rsidRPr="00AF7D9D">
        <w:rPr>
          <w:rFonts w:ascii="Times New Roman" w:hAnsi="Times New Roman" w:cs="Times New Roman"/>
          <w:i/>
          <w:sz w:val="24"/>
          <w:szCs w:val="24"/>
        </w:rPr>
        <w:t>, sometimes</w:t>
      </w:r>
      <w:r w:rsidR="00AC3CC0" w:rsidRPr="00AF7D9D">
        <w:rPr>
          <w:rFonts w:ascii="Times New Roman" w:hAnsi="Times New Roman" w:cs="Times New Roman"/>
          <w:i/>
          <w:sz w:val="24"/>
          <w:szCs w:val="24"/>
        </w:rPr>
        <w:t xml:space="preserve"> (1)</w:t>
      </w:r>
      <w:r w:rsidRPr="00AF7D9D">
        <w:rPr>
          <w:rFonts w:ascii="Times New Roman" w:hAnsi="Times New Roman" w:cs="Times New Roman"/>
          <w:sz w:val="24"/>
          <w:szCs w:val="24"/>
        </w:rPr>
        <w:t xml:space="preserve">, or </w:t>
      </w:r>
      <w:r w:rsidRPr="00AF7D9D">
        <w:rPr>
          <w:rFonts w:ascii="Times New Roman" w:hAnsi="Times New Roman" w:cs="Times New Roman"/>
          <w:i/>
          <w:sz w:val="24"/>
          <w:szCs w:val="24"/>
        </w:rPr>
        <w:t>often</w:t>
      </w:r>
      <w:r w:rsidR="00AC3CC0" w:rsidRPr="00AF7D9D">
        <w:rPr>
          <w:rFonts w:ascii="Times New Roman" w:hAnsi="Times New Roman" w:cs="Times New Roman"/>
          <w:i/>
          <w:sz w:val="24"/>
          <w:szCs w:val="24"/>
        </w:rPr>
        <w:t xml:space="preserve"> (2)</w:t>
      </w:r>
      <w:r w:rsidRPr="00AF7D9D">
        <w:rPr>
          <w:rFonts w:ascii="Times New Roman" w:hAnsi="Times New Roman" w:cs="Times New Roman"/>
          <w:sz w:val="24"/>
          <w:szCs w:val="24"/>
        </w:rPr>
        <w:t>. The measure contains two separate but interrelated subscales</w:t>
      </w:r>
      <w:r w:rsidR="000C2B0F" w:rsidRPr="00AF7D9D">
        <w:rPr>
          <w:rFonts w:ascii="Times New Roman" w:hAnsi="Times New Roman" w:cs="Times New Roman"/>
          <w:sz w:val="24"/>
          <w:szCs w:val="24"/>
        </w:rPr>
        <w:t xml:space="preserve"> (</w:t>
      </w:r>
      <w:r w:rsidR="000C2B0F" w:rsidRPr="00AF7D9D">
        <w:rPr>
          <w:rFonts w:ascii="Times New Roman" w:hAnsi="Times New Roman" w:cs="Times New Roman"/>
          <w:i/>
          <w:sz w:val="24"/>
          <w:szCs w:val="24"/>
        </w:rPr>
        <w:t>r</w:t>
      </w:r>
      <w:r w:rsidR="000C2B0F" w:rsidRPr="00AF7D9D">
        <w:rPr>
          <w:rFonts w:ascii="Times New Roman" w:hAnsi="Times New Roman" w:cs="Times New Roman"/>
          <w:sz w:val="24"/>
          <w:szCs w:val="24"/>
        </w:rPr>
        <w:t xml:space="preserve"> = .56, </w:t>
      </w:r>
      <w:r w:rsidR="000C2B0F" w:rsidRPr="00AF7D9D">
        <w:rPr>
          <w:rFonts w:ascii="Times New Roman" w:hAnsi="Times New Roman" w:cs="Times New Roman"/>
          <w:i/>
          <w:sz w:val="24"/>
          <w:szCs w:val="24"/>
        </w:rPr>
        <w:t>p</w:t>
      </w:r>
      <w:r w:rsidR="000C2B0F" w:rsidRPr="00AF7D9D">
        <w:rPr>
          <w:rFonts w:ascii="Times New Roman" w:hAnsi="Times New Roman" w:cs="Times New Roman"/>
          <w:sz w:val="24"/>
          <w:szCs w:val="24"/>
        </w:rPr>
        <w:t xml:space="preserve"> &lt; .01): </w:t>
      </w:r>
      <w:r w:rsidRPr="00AF7D9D">
        <w:rPr>
          <w:rFonts w:ascii="Times New Roman" w:hAnsi="Times New Roman" w:cs="Times New Roman"/>
          <w:sz w:val="24"/>
          <w:szCs w:val="24"/>
        </w:rPr>
        <w:t>Reactive Aggression</w:t>
      </w:r>
      <w:r w:rsidR="000C2B0F" w:rsidRPr="00AF7D9D">
        <w:rPr>
          <w:rFonts w:ascii="Times New Roman" w:hAnsi="Times New Roman" w:cs="Times New Roman"/>
          <w:sz w:val="24"/>
          <w:szCs w:val="24"/>
        </w:rPr>
        <w:t xml:space="preserve"> (11 items; α = .81)</w:t>
      </w:r>
      <w:r w:rsidRPr="00AF7D9D">
        <w:rPr>
          <w:rFonts w:ascii="Times New Roman" w:hAnsi="Times New Roman" w:cs="Times New Roman"/>
          <w:sz w:val="24"/>
          <w:szCs w:val="24"/>
        </w:rPr>
        <w:t xml:space="preserve"> and Proactive Aggression (</w:t>
      </w:r>
      <w:r w:rsidR="000C2B0F" w:rsidRPr="00AF7D9D">
        <w:rPr>
          <w:rFonts w:ascii="Times New Roman" w:hAnsi="Times New Roman" w:cs="Times New Roman"/>
          <w:sz w:val="24"/>
          <w:szCs w:val="24"/>
        </w:rPr>
        <w:t>12 items, α = .83).</w:t>
      </w:r>
    </w:p>
    <w:p w14:paraId="4C8153B4" w14:textId="04353FB4" w:rsidR="009E1972" w:rsidRPr="00AF7D9D" w:rsidRDefault="009E1972" w:rsidP="00CD44E1">
      <w:pPr>
        <w:widowControl w:val="0"/>
        <w:spacing w:after="0" w:line="480" w:lineRule="auto"/>
        <w:ind w:firstLine="720"/>
        <w:rPr>
          <w:rFonts w:ascii="Times New Roman" w:hAnsi="Times New Roman" w:cs="Times New Roman"/>
          <w:sz w:val="24"/>
          <w:szCs w:val="24"/>
        </w:rPr>
      </w:pPr>
      <w:r w:rsidRPr="00AF7D9D">
        <w:rPr>
          <w:rFonts w:ascii="Times New Roman" w:hAnsi="Times New Roman" w:cs="Times New Roman"/>
          <w:b/>
          <w:i/>
          <w:sz w:val="24"/>
          <w:szCs w:val="24"/>
        </w:rPr>
        <w:t>Big Five Inventory (BFI; John &amp; Srivastava, 1999).</w:t>
      </w:r>
      <w:r w:rsidRPr="00AF7D9D">
        <w:rPr>
          <w:rFonts w:ascii="Times New Roman" w:hAnsi="Times New Roman" w:cs="Times New Roman"/>
          <w:b/>
          <w:sz w:val="24"/>
          <w:szCs w:val="24"/>
        </w:rPr>
        <w:t xml:space="preserve"> </w:t>
      </w:r>
      <w:r w:rsidRPr="00AF7D9D">
        <w:rPr>
          <w:rFonts w:ascii="Times New Roman" w:hAnsi="Times New Roman" w:cs="Times New Roman"/>
          <w:sz w:val="24"/>
          <w:szCs w:val="24"/>
        </w:rPr>
        <w:t xml:space="preserve">The BFI is a self-report </w:t>
      </w:r>
      <w:r w:rsidRPr="00AF7D9D">
        <w:rPr>
          <w:rFonts w:ascii="Times New Roman" w:hAnsi="Times New Roman" w:cs="Times New Roman"/>
          <w:sz w:val="24"/>
          <w:szCs w:val="24"/>
        </w:rPr>
        <w:lastRenderedPageBreak/>
        <w:t>questionnaire consisting of 44 items that represent the core personality traits of the Big Five domains: Extraversion, Agreeableness, Conscientiousness, Neuroticism, and Openness to Experience</w:t>
      </w:r>
      <w:r w:rsidR="001E3E3A" w:rsidRPr="00AF7D9D">
        <w:rPr>
          <w:rFonts w:ascii="Times New Roman" w:hAnsi="Times New Roman" w:cs="Times New Roman"/>
          <w:sz w:val="24"/>
          <w:szCs w:val="24"/>
        </w:rPr>
        <w:t xml:space="preserve"> (MICs = .21 - .36)</w:t>
      </w:r>
      <w:r w:rsidRPr="00AF7D9D">
        <w:rPr>
          <w:rFonts w:ascii="Times New Roman" w:hAnsi="Times New Roman" w:cs="Times New Roman"/>
          <w:sz w:val="24"/>
          <w:szCs w:val="24"/>
        </w:rPr>
        <w:t>. The Italian translation of this measure was administered to a second subgroup of adolescents (</w:t>
      </w:r>
      <w:r w:rsidRPr="00AF7D9D">
        <w:rPr>
          <w:rFonts w:ascii="Times New Roman" w:hAnsi="Times New Roman" w:cs="Times New Roman"/>
          <w:i/>
          <w:sz w:val="24"/>
          <w:szCs w:val="24"/>
        </w:rPr>
        <w:t>n</w:t>
      </w:r>
      <w:r w:rsidRPr="00AF7D9D">
        <w:rPr>
          <w:rFonts w:ascii="Times New Roman" w:hAnsi="Times New Roman" w:cs="Times New Roman"/>
          <w:sz w:val="24"/>
          <w:szCs w:val="24"/>
        </w:rPr>
        <w:t xml:space="preserve"> = 881). Participants rated items on a 5-point scale from </w:t>
      </w:r>
      <w:r w:rsidRPr="00AF7D9D">
        <w:rPr>
          <w:rFonts w:ascii="Times New Roman" w:hAnsi="Times New Roman" w:cs="Times New Roman"/>
          <w:i/>
          <w:sz w:val="24"/>
          <w:szCs w:val="24"/>
        </w:rPr>
        <w:t>disagree strongly</w:t>
      </w:r>
      <w:r w:rsidR="00AC3CC0" w:rsidRPr="00AF7D9D">
        <w:rPr>
          <w:rFonts w:ascii="Times New Roman" w:hAnsi="Times New Roman" w:cs="Times New Roman"/>
          <w:i/>
          <w:sz w:val="24"/>
          <w:szCs w:val="24"/>
        </w:rPr>
        <w:t xml:space="preserve"> (1)</w:t>
      </w:r>
      <w:r w:rsidRPr="00AF7D9D">
        <w:rPr>
          <w:rFonts w:ascii="Times New Roman" w:hAnsi="Times New Roman" w:cs="Times New Roman"/>
          <w:sz w:val="24"/>
          <w:szCs w:val="24"/>
        </w:rPr>
        <w:t xml:space="preserve"> to </w:t>
      </w:r>
      <w:r w:rsidRPr="00AF7D9D">
        <w:rPr>
          <w:rFonts w:ascii="Times New Roman" w:hAnsi="Times New Roman" w:cs="Times New Roman"/>
          <w:i/>
          <w:sz w:val="24"/>
          <w:szCs w:val="24"/>
        </w:rPr>
        <w:t>agree strongly</w:t>
      </w:r>
      <w:r w:rsidR="00AC3CC0" w:rsidRPr="00AF7D9D">
        <w:rPr>
          <w:rFonts w:ascii="Times New Roman" w:hAnsi="Times New Roman" w:cs="Times New Roman"/>
          <w:i/>
          <w:sz w:val="24"/>
          <w:szCs w:val="24"/>
        </w:rPr>
        <w:t xml:space="preserve"> (5)</w:t>
      </w:r>
      <w:r w:rsidRPr="00AF7D9D">
        <w:rPr>
          <w:rFonts w:ascii="Times New Roman" w:hAnsi="Times New Roman" w:cs="Times New Roman"/>
          <w:sz w:val="24"/>
          <w:szCs w:val="24"/>
        </w:rPr>
        <w:t>. Internal consistency in the present sample</w:t>
      </w:r>
      <w:r w:rsidR="001E3E3A" w:rsidRPr="00AF7D9D">
        <w:rPr>
          <w:rFonts w:ascii="Times New Roman" w:hAnsi="Times New Roman" w:cs="Times New Roman"/>
          <w:sz w:val="24"/>
          <w:szCs w:val="24"/>
        </w:rPr>
        <w:t xml:space="preserve"> was acceptable across domains</w:t>
      </w:r>
      <w:r w:rsidRPr="00AF7D9D">
        <w:rPr>
          <w:rFonts w:ascii="Times New Roman" w:hAnsi="Times New Roman" w:cs="Times New Roman"/>
          <w:sz w:val="24"/>
          <w:szCs w:val="24"/>
        </w:rPr>
        <w:t xml:space="preserve">. For study analyses we focused on Extraversion, Agreeableness, and Conscientiousness as these are the primary dimensions representative of psychopathy using the Five-Factor Model (Miller, Lynam, Widiger, &amp; Leukefeld, 2001). </w:t>
      </w:r>
    </w:p>
    <w:p w14:paraId="18750F36" w14:textId="77777777" w:rsidR="004B1684" w:rsidRPr="00AF7D9D" w:rsidRDefault="004B1684" w:rsidP="00CD44E1">
      <w:pPr>
        <w:widowControl w:val="0"/>
        <w:spacing w:after="0" w:line="480" w:lineRule="auto"/>
        <w:rPr>
          <w:rFonts w:ascii="Times New Roman" w:hAnsi="Times New Roman" w:cs="Times New Roman"/>
          <w:b/>
          <w:sz w:val="24"/>
          <w:szCs w:val="24"/>
        </w:rPr>
      </w:pPr>
      <w:r w:rsidRPr="00AF7D9D">
        <w:rPr>
          <w:rFonts w:ascii="Times New Roman" w:hAnsi="Times New Roman" w:cs="Times New Roman"/>
          <w:b/>
          <w:sz w:val="24"/>
          <w:szCs w:val="24"/>
        </w:rPr>
        <w:t>Sample 5: Dutch Secondary School</w:t>
      </w:r>
    </w:p>
    <w:p w14:paraId="5DD556E5" w14:textId="7824C037" w:rsidR="004B1684" w:rsidRPr="00AF7D9D" w:rsidRDefault="004B1684" w:rsidP="00CD44E1">
      <w:pPr>
        <w:spacing w:after="0" w:line="480" w:lineRule="auto"/>
        <w:ind w:firstLine="720"/>
        <w:rPr>
          <w:rFonts w:ascii="Times New Roman" w:eastAsia="Calibri" w:hAnsi="Times New Roman" w:cs="Times New Roman"/>
          <w:sz w:val="24"/>
          <w:szCs w:val="24"/>
        </w:rPr>
      </w:pPr>
      <w:r w:rsidRPr="00AF7D9D">
        <w:rPr>
          <w:rFonts w:ascii="Times New Roman" w:eastAsia="Calibri" w:hAnsi="Times New Roman" w:cs="Times New Roman"/>
          <w:b/>
          <w:i/>
          <w:sz w:val="24"/>
          <w:szCs w:val="24"/>
        </w:rPr>
        <w:t>Interpersonal Checklist-Revised (</w:t>
      </w:r>
      <w:r w:rsidR="0033290D" w:rsidRPr="00AF7D9D">
        <w:rPr>
          <w:rFonts w:ascii="Times New Roman" w:eastAsia="Calibri" w:hAnsi="Times New Roman" w:cs="Times New Roman"/>
          <w:b/>
          <w:i/>
          <w:sz w:val="24"/>
          <w:szCs w:val="24"/>
        </w:rPr>
        <w:t xml:space="preserve">ICL-R; </w:t>
      </w:r>
      <w:r w:rsidRPr="00AF7D9D">
        <w:rPr>
          <w:rFonts w:ascii="Times New Roman" w:eastAsia="Calibri" w:hAnsi="Times New Roman" w:cs="Times New Roman"/>
          <w:b/>
          <w:i/>
          <w:sz w:val="24"/>
          <w:szCs w:val="24"/>
        </w:rPr>
        <w:t>de Jong, van den Brink, &amp; Jansma, 2000</w:t>
      </w:r>
      <w:r w:rsidRPr="00AF7D9D">
        <w:rPr>
          <w:rFonts w:ascii="Times New Roman" w:eastAsia="Calibri" w:hAnsi="Times New Roman" w:cs="Times New Roman"/>
          <w:b/>
          <w:sz w:val="24"/>
          <w:szCs w:val="24"/>
        </w:rPr>
        <w:t xml:space="preserve">). </w:t>
      </w:r>
      <w:r w:rsidRPr="00AF7D9D">
        <w:rPr>
          <w:rFonts w:ascii="Times New Roman" w:eastAsia="Calibri" w:hAnsi="Times New Roman" w:cs="Times New Roman"/>
          <w:sz w:val="24"/>
          <w:szCs w:val="24"/>
        </w:rPr>
        <w:t>The Dutch version of the ICL-R is a 160-item self-report questionnaire based on the circumplex model of interpersonal functioning</w:t>
      </w:r>
      <w:r w:rsidR="000C2B0F" w:rsidRPr="00AF7D9D">
        <w:rPr>
          <w:rFonts w:ascii="Times New Roman" w:eastAsia="Calibri" w:hAnsi="Times New Roman" w:cs="Times New Roman"/>
          <w:sz w:val="24"/>
          <w:szCs w:val="24"/>
        </w:rPr>
        <w:t xml:space="preserve"> (α = .85)</w:t>
      </w:r>
      <w:r w:rsidRPr="00AF7D9D">
        <w:rPr>
          <w:rFonts w:ascii="Times New Roman" w:eastAsia="Calibri" w:hAnsi="Times New Roman" w:cs="Times New Roman"/>
          <w:sz w:val="24"/>
          <w:szCs w:val="24"/>
        </w:rPr>
        <w:t xml:space="preserve">. Items are rated dichotomously as </w:t>
      </w:r>
      <w:r w:rsidRPr="00AF7D9D">
        <w:rPr>
          <w:rFonts w:ascii="Times New Roman" w:eastAsia="Calibri" w:hAnsi="Times New Roman" w:cs="Times New Roman"/>
          <w:i/>
          <w:sz w:val="24"/>
          <w:szCs w:val="24"/>
        </w:rPr>
        <w:t>yes</w:t>
      </w:r>
      <w:r w:rsidRPr="00AF7D9D">
        <w:rPr>
          <w:rFonts w:ascii="Times New Roman" w:eastAsia="Calibri" w:hAnsi="Times New Roman" w:cs="Times New Roman"/>
          <w:sz w:val="24"/>
          <w:szCs w:val="24"/>
        </w:rPr>
        <w:t xml:space="preserve"> </w:t>
      </w:r>
      <w:r w:rsidR="00D97E72" w:rsidRPr="00AF7D9D">
        <w:rPr>
          <w:rFonts w:ascii="Times New Roman" w:eastAsia="Calibri" w:hAnsi="Times New Roman" w:cs="Times New Roman"/>
          <w:i/>
          <w:sz w:val="24"/>
          <w:szCs w:val="24"/>
        </w:rPr>
        <w:t xml:space="preserve">(1) </w:t>
      </w:r>
      <w:r w:rsidRPr="00AF7D9D">
        <w:rPr>
          <w:rFonts w:ascii="Times New Roman" w:eastAsia="Calibri" w:hAnsi="Times New Roman" w:cs="Times New Roman"/>
          <w:sz w:val="24"/>
          <w:szCs w:val="24"/>
        </w:rPr>
        <w:t xml:space="preserve">or </w:t>
      </w:r>
      <w:r w:rsidRPr="00AF7D9D">
        <w:rPr>
          <w:rFonts w:ascii="Times New Roman" w:eastAsia="Calibri" w:hAnsi="Times New Roman" w:cs="Times New Roman"/>
          <w:i/>
          <w:sz w:val="24"/>
          <w:szCs w:val="24"/>
        </w:rPr>
        <w:t>no</w:t>
      </w:r>
      <w:r w:rsidRPr="00AF7D9D">
        <w:rPr>
          <w:rFonts w:ascii="Times New Roman" w:eastAsia="Calibri" w:hAnsi="Times New Roman" w:cs="Times New Roman"/>
          <w:sz w:val="24"/>
          <w:szCs w:val="24"/>
        </w:rPr>
        <w:t xml:space="preserve"> </w:t>
      </w:r>
      <w:r w:rsidR="00D97E72" w:rsidRPr="00AF7D9D">
        <w:rPr>
          <w:rFonts w:ascii="Times New Roman" w:eastAsia="Calibri" w:hAnsi="Times New Roman" w:cs="Times New Roman"/>
          <w:i/>
          <w:sz w:val="24"/>
          <w:szCs w:val="24"/>
        </w:rPr>
        <w:t xml:space="preserve">(0) </w:t>
      </w:r>
      <w:r w:rsidRPr="00AF7D9D">
        <w:rPr>
          <w:rFonts w:ascii="Times New Roman" w:eastAsia="Calibri" w:hAnsi="Times New Roman" w:cs="Times New Roman"/>
          <w:sz w:val="24"/>
          <w:szCs w:val="24"/>
        </w:rPr>
        <w:t>and are broadly organized around two axes characterizing personality in terms of dominance versus submissiveness and affiliation versus hostility.</w:t>
      </w:r>
      <w:r w:rsidR="00F1015F" w:rsidRPr="00AF7D9D">
        <w:rPr>
          <w:rFonts w:ascii="Times New Roman" w:eastAsia="Calibri" w:hAnsi="Times New Roman" w:cs="Times New Roman"/>
          <w:sz w:val="24"/>
          <w:szCs w:val="24"/>
        </w:rPr>
        <w:t xml:space="preserve"> </w:t>
      </w:r>
    </w:p>
    <w:p w14:paraId="5C736595" w14:textId="326C6F7B" w:rsidR="004B1684" w:rsidRPr="00AF7D9D" w:rsidRDefault="004B1684" w:rsidP="00CD44E1">
      <w:pPr>
        <w:spacing w:after="0" w:line="480" w:lineRule="auto"/>
        <w:ind w:firstLine="720"/>
        <w:rPr>
          <w:rFonts w:ascii="Times New Roman" w:eastAsia="Calibri" w:hAnsi="Times New Roman" w:cs="Times New Roman"/>
          <w:sz w:val="24"/>
          <w:szCs w:val="24"/>
        </w:rPr>
      </w:pPr>
      <w:r w:rsidRPr="00AF7D9D">
        <w:rPr>
          <w:rFonts w:ascii="Times New Roman" w:eastAsia="Calibri" w:hAnsi="Times New Roman" w:cs="Times New Roman"/>
          <w:b/>
          <w:i/>
          <w:sz w:val="24"/>
          <w:szCs w:val="24"/>
        </w:rPr>
        <w:t>Drug Use Disorders Identification Test (DUDIT; Berman, Bergman, Palmstierna, &amp; Schlyter, 2002</w:t>
      </w:r>
      <w:r w:rsidRPr="00AF7D9D">
        <w:rPr>
          <w:rFonts w:ascii="Times New Roman" w:eastAsia="Calibri" w:hAnsi="Times New Roman" w:cs="Times New Roman"/>
          <w:b/>
          <w:sz w:val="24"/>
          <w:szCs w:val="24"/>
        </w:rPr>
        <w:t xml:space="preserve">). </w:t>
      </w:r>
      <w:r w:rsidRPr="00AF7D9D">
        <w:rPr>
          <w:rFonts w:ascii="Times New Roman" w:eastAsia="Calibri" w:hAnsi="Times New Roman" w:cs="Times New Roman"/>
          <w:sz w:val="24"/>
          <w:szCs w:val="24"/>
        </w:rPr>
        <w:t>The DUDIT consists of 11-items intended to screen for drug use and drug-related problems</w:t>
      </w:r>
      <w:r w:rsidR="00F1015F" w:rsidRPr="00AF7D9D">
        <w:rPr>
          <w:rFonts w:ascii="Times New Roman" w:eastAsia="Calibri" w:hAnsi="Times New Roman" w:cs="Times New Roman"/>
          <w:sz w:val="24"/>
          <w:szCs w:val="24"/>
        </w:rPr>
        <w:t xml:space="preserve"> (α = .92)</w:t>
      </w:r>
      <w:r w:rsidRPr="00AF7D9D">
        <w:rPr>
          <w:rFonts w:ascii="Times New Roman" w:eastAsia="Calibri" w:hAnsi="Times New Roman" w:cs="Times New Roman"/>
          <w:sz w:val="24"/>
          <w:szCs w:val="24"/>
        </w:rPr>
        <w:t>. Participants self-reported the frequency of various experiences concerning drug use on a 3- or 5-point scale</w:t>
      </w:r>
      <w:r w:rsidR="00D97E72" w:rsidRPr="00AF7D9D">
        <w:rPr>
          <w:rFonts w:ascii="Times New Roman" w:eastAsia="Calibri" w:hAnsi="Times New Roman" w:cs="Times New Roman"/>
          <w:sz w:val="24"/>
          <w:szCs w:val="24"/>
        </w:rPr>
        <w:t xml:space="preserve"> </w:t>
      </w:r>
      <w:r w:rsidRPr="00AF7D9D">
        <w:rPr>
          <w:rFonts w:ascii="Times New Roman" w:eastAsia="Calibri" w:hAnsi="Times New Roman" w:cs="Times New Roman"/>
          <w:sz w:val="24"/>
          <w:szCs w:val="24"/>
        </w:rPr>
        <w:t>on the Dutch version of the instrument.</w:t>
      </w:r>
    </w:p>
    <w:p w14:paraId="520CEF87" w14:textId="2DAD9B9E" w:rsidR="004B1684" w:rsidRPr="00AF7D9D" w:rsidRDefault="004B1684" w:rsidP="00CD44E1">
      <w:pPr>
        <w:spacing w:after="0" w:line="480" w:lineRule="auto"/>
        <w:ind w:firstLine="720"/>
        <w:rPr>
          <w:rFonts w:ascii="Times New Roman" w:eastAsia="Calibri" w:hAnsi="Times New Roman" w:cs="Times New Roman"/>
          <w:sz w:val="24"/>
          <w:szCs w:val="24"/>
        </w:rPr>
      </w:pPr>
      <w:r w:rsidRPr="00AF7D9D">
        <w:rPr>
          <w:rFonts w:ascii="Times New Roman" w:eastAsia="Calibri" w:hAnsi="Times New Roman" w:cs="Times New Roman"/>
          <w:b/>
          <w:i/>
          <w:sz w:val="24"/>
          <w:szCs w:val="24"/>
        </w:rPr>
        <w:t>Screening of Alcohol Use (SAU; Hillege, Das, &amp; de Ruiter, 2010).</w:t>
      </w:r>
      <w:r w:rsidRPr="00AF7D9D">
        <w:rPr>
          <w:rFonts w:ascii="Times New Roman" w:eastAsia="Calibri" w:hAnsi="Times New Roman" w:cs="Times New Roman"/>
          <w:b/>
          <w:sz w:val="24"/>
          <w:szCs w:val="24"/>
        </w:rPr>
        <w:t xml:space="preserve"> </w:t>
      </w:r>
      <w:r w:rsidRPr="00AF7D9D">
        <w:rPr>
          <w:rFonts w:ascii="Times New Roman" w:eastAsia="Calibri" w:hAnsi="Times New Roman" w:cs="Times New Roman"/>
          <w:sz w:val="24"/>
          <w:szCs w:val="24"/>
        </w:rPr>
        <w:t>The SAU is a screening instrument developed in the Dutch language to assess motivations for and frequency of alcohol use. The self-report questionnaire is comprised of 9 items rated on a 3- or 5-point scale</w:t>
      </w:r>
      <w:r w:rsidR="00F1015F" w:rsidRPr="00AF7D9D">
        <w:rPr>
          <w:rFonts w:ascii="Times New Roman" w:eastAsia="Calibri" w:hAnsi="Times New Roman" w:cs="Times New Roman"/>
          <w:sz w:val="24"/>
          <w:szCs w:val="24"/>
        </w:rPr>
        <w:t xml:space="preserve"> (</w:t>
      </w:r>
      <w:r w:rsidR="00CD6D09" w:rsidRPr="00AF7D9D">
        <w:rPr>
          <w:rFonts w:ascii="Times New Roman" w:eastAsia="Calibri" w:hAnsi="Times New Roman" w:cs="Times New Roman"/>
          <w:sz w:val="24"/>
          <w:szCs w:val="24"/>
        </w:rPr>
        <w:t>MIC = .08</w:t>
      </w:r>
      <w:r w:rsidR="00F1015F" w:rsidRPr="00AF7D9D">
        <w:rPr>
          <w:rFonts w:ascii="Times New Roman" w:eastAsia="Calibri" w:hAnsi="Times New Roman" w:cs="Times New Roman"/>
          <w:sz w:val="24"/>
          <w:szCs w:val="24"/>
        </w:rPr>
        <w:t>)</w:t>
      </w:r>
      <w:r w:rsidR="00CD6D09" w:rsidRPr="00AF7D9D">
        <w:rPr>
          <w:rFonts w:ascii="Times New Roman" w:eastAsia="Calibri" w:hAnsi="Times New Roman" w:cs="Times New Roman"/>
          <w:sz w:val="24"/>
          <w:szCs w:val="24"/>
        </w:rPr>
        <w:t>.</w:t>
      </w:r>
    </w:p>
    <w:p w14:paraId="554DE52F" w14:textId="77777777" w:rsidR="00E13834" w:rsidRPr="00AF7D9D" w:rsidRDefault="00E13834" w:rsidP="00CD44E1">
      <w:pPr>
        <w:spacing w:after="0" w:line="480" w:lineRule="auto"/>
        <w:jc w:val="center"/>
        <w:outlineLvl w:val="0"/>
        <w:rPr>
          <w:rFonts w:ascii="Times New Roman" w:hAnsi="Times New Roman" w:cs="Times New Roman"/>
          <w:b/>
          <w:sz w:val="24"/>
          <w:szCs w:val="24"/>
        </w:rPr>
      </w:pPr>
      <w:r w:rsidRPr="00AF7D9D">
        <w:rPr>
          <w:rFonts w:ascii="Times New Roman" w:hAnsi="Times New Roman" w:cs="Times New Roman"/>
          <w:b/>
          <w:sz w:val="24"/>
          <w:szCs w:val="24"/>
        </w:rPr>
        <w:t>Results</w:t>
      </w:r>
    </w:p>
    <w:p w14:paraId="285E1F6E" w14:textId="77777777" w:rsidR="00113237" w:rsidRPr="00AF7D9D" w:rsidRDefault="00E13834" w:rsidP="00CD44E1">
      <w:pPr>
        <w:spacing w:after="0" w:line="480" w:lineRule="auto"/>
        <w:rPr>
          <w:rFonts w:ascii="Times New Roman" w:hAnsi="Times New Roman" w:cs="Times New Roman"/>
          <w:b/>
          <w:sz w:val="24"/>
          <w:szCs w:val="24"/>
        </w:rPr>
      </w:pPr>
      <w:r w:rsidRPr="00AF7D9D">
        <w:rPr>
          <w:rFonts w:ascii="Times New Roman" w:hAnsi="Times New Roman" w:cs="Times New Roman"/>
          <w:b/>
          <w:sz w:val="24"/>
          <w:szCs w:val="24"/>
        </w:rPr>
        <w:lastRenderedPageBreak/>
        <w:t xml:space="preserve">Scale Derivation </w:t>
      </w:r>
    </w:p>
    <w:p w14:paraId="3DE89341" w14:textId="77777777" w:rsidR="00554B93" w:rsidRPr="00AF7D9D" w:rsidRDefault="00E13834" w:rsidP="00CD44E1">
      <w:pPr>
        <w:spacing w:after="0" w:line="480" w:lineRule="auto"/>
        <w:ind w:firstLine="720"/>
        <w:rPr>
          <w:rFonts w:ascii="Times New Roman" w:hAnsi="Times New Roman" w:cs="Times New Roman"/>
          <w:sz w:val="24"/>
          <w:szCs w:val="24"/>
        </w:rPr>
      </w:pPr>
      <w:r w:rsidRPr="00AF7D9D">
        <w:rPr>
          <w:rFonts w:ascii="Times New Roman" w:hAnsi="Times New Roman" w:cs="Times New Roman"/>
          <w:sz w:val="24"/>
          <w:szCs w:val="24"/>
        </w:rPr>
        <w:t xml:space="preserve">Given the limited number of </w:t>
      </w:r>
      <w:r w:rsidR="004B6DC6" w:rsidRPr="00AF7D9D">
        <w:rPr>
          <w:rFonts w:ascii="Times New Roman" w:hAnsi="Times New Roman" w:cs="Times New Roman"/>
          <w:sz w:val="24"/>
          <w:szCs w:val="24"/>
        </w:rPr>
        <w:t>non-redundant</w:t>
      </w:r>
      <w:r w:rsidRPr="00AF7D9D">
        <w:rPr>
          <w:rFonts w:ascii="Times New Roman" w:hAnsi="Times New Roman" w:cs="Times New Roman"/>
          <w:sz w:val="24"/>
          <w:szCs w:val="24"/>
        </w:rPr>
        <w:t xml:space="preserve"> </w:t>
      </w:r>
      <w:r w:rsidR="004B6DC6" w:rsidRPr="00AF7D9D">
        <w:rPr>
          <w:rFonts w:ascii="Times New Roman" w:hAnsi="Times New Roman" w:cs="Times New Roman"/>
          <w:sz w:val="24"/>
          <w:szCs w:val="24"/>
        </w:rPr>
        <w:t>pairings</w:t>
      </w:r>
      <w:r w:rsidRPr="00AF7D9D">
        <w:rPr>
          <w:rFonts w:ascii="Times New Roman" w:hAnsi="Times New Roman" w:cs="Times New Roman"/>
          <w:sz w:val="24"/>
          <w:szCs w:val="24"/>
        </w:rPr>
        <w:t xml:space="preserve"> </w:t>
      </w:r>
      <w:r w:rsidR="004B6DC6" w:rsidRPr="00AF7D9D">
        <w:rPr>
          <w:rFonts w:ascii="Times New Roman" w:hAnsi="Times New Roman" w:cs="Times New Roman"/>
          <w:sz w:val="24"/>
          <w:szCs w:val="24"/>
        </w:rPr>
        <w:t xml:space="preserve">available </w:t>
      </w:r>
      <w:r w:rsidRPr="00AF7D9D">
        <w:rPr>
          <w:rFonts w:ascii="Times New Roman" w:hAnsi="Times New Roman" w:cs="Times New Roman"/>
          <w:sz w:val="24"/>
          <w:szCs w:val="24"/>
        </w:rPr>
        <w:t>across the 18 YPI</w:t>
      </w:r>
      <w:r w:rsidR="004B6DC6" w:rsidRPr="00AF7D9D">
        <w:rPr>
          <w:rFonts w:ascii="Times New Roman" w:hAnsi="Times New Roman" w:cs="Times New Roman"/>
          <w:sz w:val="24"/>
          <w:szCs w:val="24"/>
        </w:rPr>
        <w:t>-S</w:t>
      </w:r>
      <w:r w:rsidRPr="00AF7D9D">
        <w:rPr>
          <w:rFonts w:ascii="Times New Roman" w:hAnsi="Times New Roman" w:cs="Times New Roman"/>
          <w:sz w:val="24"/>
          <w:szCs w:val="24"/>
        </w:rPr>
        <w:t xml:space="preserve"> items, we initially focused on identifying item pairs that demonstrated </w:t>
      </w:r>
      <w:r w:rsidR="003B1F1C" w:rsidRPr="00AF7D9D">
        <w:rPr>
          <w:rFonts w:ascii="Times New Roman" w:hAnsi="Times New Roman" w:cs="Times New Roman"/>
          <w:sz w:val="24"/>
          <w:szCs w:val="24"/>
        </w:rPr>
        <w:t xml:space="preserve">relatively high </w:t>
      </w:r>
      <w:r w:rsidR="004B6DC6" w:rsidRPr="00AF7D9D">
        <w:rPr>
          <w:rFonts w:ascii="Times New Roman" w:hAnsi="Times New Roman" w:cs="Times New Roman"/>
          <w:sz w:val="24"/>
          <w:szCs w:val="24"/>
        </w:rPr>
        <w:t>inter</w:t>
      </w:r>
      <w:r w:rsidR="00F71952" w:rsidRPr="00AF7D9D">
        <w:rPr>
          <w:rFonts w:ascii="Times New Roman" w:hAnsi="Times New Roman" w:cs="Times New Roman"/>
          <w:sz w:val="24"/>
          <w:szCs w:val="24"/>
        </w:rPr>
        <w:t xml:space="preserve">-item </w:t>
      </w:r>
      <w:r w:rsidRPr="00AF7D9D">
        <w:rPr>
          <w:rFonts w:ascii="Times New Roman" w:hAnsi="Times New Roman" w:cs="Times New Roman"/>
          <w:sz w:val="24"/>
          <w:szCs w:val="24"/>
        </w:rPr>
        <w:t xml:space="preserve">correlations across </w:t>
      </w:r>
      <w:r w:rsidR="008F6867" w:rsidRPr="00AF7D9D">
        <w:rPr>
          <w:rFonts w:ascii="Times New Roman" w:hAnsi="Times New Roman" w:cs="Times New Roman"/>
          <w:sz w:val="24"/>
          <w:szCs w:val="24"/>
        </w:rPr>
        <w:t>sample</w:t>
      </w:r>
      <w:r w:rsidR="008A46EE" w:rsidRPr="00AF7D9D">
        <w:rPr>
          <w:rFonts w:ascii="Times New Roman" w:hAnsi="Times New Roman" w:cs="Times New Roman"/>
          <w:sz w:val="24"/>
          <w:szCs w:val="24"/>
        </w:rPr>
        <w:t>s 1-3</w:t>
      </w:r>
      <w:r w:rsidRPr="00AF7D9D">
        <w:rPr>
          <w:rFonts w:ascii="Times New Roman" w:hAnsi="Times New Roman" w:cs="Times New Roman"/>
          <w:sz w:val="24"/>
          <w:szCs w:val="24"/>
        </w:rPr>
        <w:t>.</w:t>
      </w:r>
      <w:r w:rsidR="00F3702A" w:rsidRPr="00AF7D9D">
        <w:rPr>
          <w:rStyle w:val="FootnoteReference"/>
          <w:rFonts w:ascii="Times New Roman" w:hAnsi="Times New Roman" w:cs="Times New Roman"/>
          <w:sz w:val="24"/>
          <w:szCs w:val="24"/>
        </w:rPr>
        <w:footnoteReference w:id="1"/>
      </w:r>
      <w:r w:rsidRPr="00AF7D9D">
        <w:rPr>
          <w:rFonts w:ascii="Times New Roman" w:hAnsi="Times New Roman" w:cs="Times New Roman"/>
          <w:sz w:val="24"/>
          <w:szCs w:val="24"/>
        </w:rPr>
        <w:t xml:space="preserve"> </w:t>
      </w:r>
      <w:r w:rsidR="00B84A4D" w:rsidRPr="00AF7D9D">
        <w:rPr>
          <w:rFonts w:ascii="Times New Roman" w:hAnsi="Times New Roman" w:cs="Times New Roman"/>
          <w:sz w:val="24"/>
          <w:szCs w:val="24"/>
        </w:rPr>
        <w:t xml:space="preserve">To avoid redundancies, items could be included in only one </w:t>
      </w:r>
      <w:r w:rsidR="00E93595" w:rsidRPr="00AF7D9D">
        <w:rPr>
          <w:rFonts w:ascii="Times New Roman" w:hAnsi="Times New Roman" w:cs="Times New Roman"/>
          <w:sz w:val="24"/>
          <w:szCs w:val="24"/>
        </w:rPr>
        <w:t xml:space="preserve">pair, reducing the </w:t>
      </w:r>
      <w:r w:rsidR="004B6DC6" w:rsidRPr="00AF7D9D">
        <w:rPr>
          <w:rFonts w:ascii="Times New Roman" w:hAnsi="Times New Roman" w:cs="Times New Roman"/>
          <w:sz w:val="24"/>
          <w:szCs w:val="24"/>
        </w:rPr>
        <w:t>maximum</w:t>
      </w:r>
      <w:r w:rsidR="00E93595" w:rsidRPr="00AF7D9D">
        <w:rPr>
          <w:rFonts w:ascii="Times New Roman" w:hAnsi="Times New Roman" w:cs="Times New Roman"/>
          <w:sz w:val="24"/>
          <w:szCs w:val="24"/>
        </w:rPr>
        <w:t xml:space="preserve"> </w:t>
      </w:r>
      <w:r w:rsidR="00B84A4D" w:rsidRPr="00AF7D9D">
        <w:rPr>
          <w:rFonts w:ascii="Times New Roman" w:hAnsi="Times New Roman" w:cs="Times New Roman"/>
          <w:sz w:val="24"/>
          <w:szCs w:val="24"/>
        </w:rPr>
        <w:t xml:space="preserve">number of possible pairs to nine. </w:t>
      </w:r>
      <w:r w:rsidR="004B6DC6" w:rsidRPr="00AF7D9D">
        <w:rPr>
          <w:rFonts w:ascii="Times New Roman" w:hAnsi="Times New Roman" w:cs="Times New Roman"/>
          <w:sz w:val="24"/>
          <w:szCs w:val="24"/>
        </w:rPr>
        <w:t>T</w:t>
      </w:r>
      <w:r w:rsidRPr="00AF7D9D">
        <w:rPr>
          <w:rFonts w:ascii="Times New Roman" w:hAnsi="Times New Roman" w:cs="Times New Roman"/>
          <w:sz w:val="24"/>
          <w:szCs w:val="24"/>
        </w:rPr>
        <w:t>here is no definitive standard concerning what constitutes a ‘meaningful’ correlation</w:t>
      </w:r>
      <w:r w:rsidR="009657B1" w:rsidRPr="00AF7D9D">
        <w:rPr>
          <w:rFonts w:ascii="Times New Roman" w:hAnsi="Times New Roman" w:cs="Times New Roman"/>
          <w:sz w:val="24"/>
          <w:szCs w:val="24"/>
        </w:rPr>
        <w:t xml:space="preserve"> in the creation of a</w:t>
      </w:r>
      <w:r w:rsidR="00B84A4D" w:rsidRPr="00AF7D9D">
        <w:rPr>
          <w:rFonts w:ascii="Times New Roman" w:hAnsi="Times New Roman" w:cs="Times New Roman"/>
          <w:sz w:val="24"/>
          <w:szCs w:val="24"/>
        </w:rPr>
        <w:t>n inconsistency</w:t>
      </w:r>
      <w:r w:rsidR="009657B1" w:rsidRPr="00AF7D9D">
        <w:rPr>
          <w:rFonts w:ascii="Times New Roman" w:hAnsi="Times New Roman" w:cs="Times New Roman"/>
          <w:sz w:val="24"/>
          <w:szCs w:val="24"/>
        </w:rPr>
        <w:t xml:space="preserve"> scale</w:t>
      </w:r>
      <w:r w:rsidR="00E93595" w:rsidRPr="00AF7D9D">
        <w:rPr>
          <w:rFonts w:ascii="Times New Roman" w:hAnsi="Times New Roman" w:cs="Times New Roman"/>
          <w:sz w:val="24"/>
          <w:szCs w:val="24"/>
        </w:rPr>
        <w:t xml:space="preserve">, </w:t>
      </w:r>
      <w:r w:rsidR="004B6DC6" w:rsidRPr="00AF7D9D">
        <w:rPr>
          <w:rFonts w:ascii="Times New Roman" w:hAnsi="Times New Roman" w:cs="Times New Roman"/>
          <w:sz w:val="24"/>
          <w:szCs w:val="24"/>
        </w:rPr>
        <w:t xml:space="preserve">although </w:t>
      </w:r>
      <w:r w:rsidR="00E93595" w:rsidRPr="00AF7D9D">
        <w:rPr>
          <w:rFonts w:ascii="Times New Roman" w:hAnsi="Times New Roman" w:cs="Times New Roman"/>
          <w:sz w:val="24"/>
          <w:szCs w:val="24"/>
        </w:rPr>
        <w:t>several studies</w:t>
      </w:r>
      <w:r w:rsidR="009657B1" w:rsidRPr="00AF7D9D">
        <w:rPr>
          <w:rFonts w:ascii="Times New Roman" w:hAnsi="Times New Roman" w:cs="Times New Roman"/>
          <w:sz w:val="24"/>
          <w:szCs w:val="24"/>
        </w:rPr>
        <w:t xml:space="preserve"> (</w:t>
      </w:r>
      <w:r w:rsidR="00E93595" w:rsidRPr="00AF7D9D">
        <w:rPr>
          <w:rFonts w:ascii="Times New Roman" w:hAnsi="Times New Roman" w:cs="Times New Roman"/>
          <w:sz w:val="24"/>
          <w:szCs w:val="24"/>
        </w:rPr>
        <w:t xml:space="preserve">e.g., </w:t>
      </w:r>
      <w:r w:rsidR="009657B1" w:rsidRPr="00AF7D9D">
        <w:rPr>
          <w:rFonts w:ascii="Times New Roman" w:hAnsi="Times New Roman" w:cs="Times New Roman"/>
          <w:sz w:val="24"/>
          <w:szCs w:val="24"/>
        </w:rPr>
        <w:t xml:space="preserve">Mowle et al., </w:t>
      </w:r>
      <w:r w:rsidR="00372DF4" w:rsidRPr="00AF7D9D">
        <w:rPr>
          <w:rFonts w:ascii="Times New Roman" w:hAnsi="Times New Roman" w:cs="Times New Roman"/>
          <w:sz w:val="24"/>
          <w:szCs w:val="24"/>
        </w:rPr>
        <w:t>2016</w:t>
      </w:r>
      <w:r w:rsidR="009657B1" w:rsidRPr="00AF7D9D">
        <w:rPr>
          <w:rFonts w:ascii="Times New Roman" w:hAnsi="Times New Roman" w:cs="Times New Roman"/>
          <w:sz w:val="24"/>
          <w:szCs w:val="24"/>
        </w:rPr>
        <w:t>)</w:t>
      </w:r>
      <w:r w:rsidR="00E93595" w:rsidRPr="00AF7D9D">
        <w:rPr>
          <w:rFonts w:ascii="Times New Roman" w:hAnsi="Times New Roman" w:cs="Times New Roman"/>
          <w:sz w:val="24"/>
          <w:szCs w:val="24"/>
        </w:rPr>
        <w:t xml:space="preserve"> have</w:t>
      </w:r>
      <w:r w:rsidR="001F7721" w:rsidRPr="00AF7D9D">
        <w:rPr>
          <w:rFonts w:ascii="Times New Roman" w:hAnsi="Times New Roman" w:cs="Times New Roman"/>
          <w:sz w:val="24"/>
          <w:szCs w:val="24"/>
        </w:rPr>
        <w:t xml:space="preserve"> </w:t>
      </w:r>
      <w:r w:rsidRPr="00AF7D9D">
        <w:rPr>
          <w:rFonts w:ascii="Times New Roman" w:hAnsi="Times New Roman" w:cs="Times New Roman"/>
          <w:sz w:val="24"/>
          <w:szCs w:val="24"/>
        </w:rPr>
        <w:t xml:space="preserve">used a </w:t>
      </w:r>
      <w:r w:rsidR="00B84A4D" w:rsidRPr="00AF7D9D">
        <w:rPr>
          <w:rFonts w:ascii="Times New Roman" w:hAnsi="Times New Roman" w:cs="Times New Roman"/>
          <w:sz w:val="24"/>
          <w:szCs w:val="24"/>
        </w:rPr>
        <w:t xml:space="preserve">provisional </w:t>
      </w:r>
      <w:r w:rsidR="004B6DC6" w:rsidRPr="00AF7D9D">
        <w:rPr>
          <w:rFonts w:ascii="Times New Roman" w:hAnsi="Times New Roman" w:cs="Times New Roman"/>
          <w:sz w:val="24"/>
          <w:szCs w:val="24"/>
        </w:rPr>
        <w:t>criterion of ≥</w:t>
      </w:r>
      <w:r w:rsidR="009657B1" w:rsidRPr="00AF7D9D">
        <w:rPr>
          <w:rFonts w:ascii="Times New Roman" w:hAnsi="Times New Roman" w:cs="Times New Roman"/>
          <w:sz w:val="24"/>
          <w:szCs w:val="24"/>
        </w:rPr>
        <w:t xml:space="preserve"> .35 as a starting point for </w:t>
      </w:r>
      <w:r w:rsidR="00B84A4D" w:rsidRPr="00AF7D9D">
        <w:rPr>
          <w:rFonts w:ascii="Times New Roman" w:hAnsi="Times New Roman" w:cs="Times New Roman"/>
          <w:sz w:val="24"/>
          <w:szCs w:val="24"/>
        </w:rPr>
        <w:t>selecting</w:t>
      </w:r>
      <w:r w:rsidR="009657B1" w:rsidRPr="00AF7D9D">
        <w:rPr>
          <w:rFonts w:ascii="Times New Roman" w:hAnsi="Times New Roman" w:cs="Times New Roman"/>
          <w:sz w:val="24"/>
          <w:szCs w:val="24"/>
        </w:rPr>
        <w:t xml:space="preserve"> potential item pairs.</w:t>
      </w:r>
      <w:r w:rsidR="00B84A4D" w:rsidRPr="00AF7D9D">
        <w:rPr>
          <w:rFonts w:ascii="Times New Roman" w:hAnsi="Times New Roman" w:cs="Times New Roman"/>
          <w:sz w:val="24"/>
          <w:szCs w:val="24"/>
        </w:rPr>
        <w:t xml:space="preserve"> </w:t>
      </w:r>
      <w:r w:rsidR="004B6DC6" w:rsidRPr="00AF7D9D">
        <w:rPr>
          <w:rFonts w:ascii="Times New Roman" w:hAnsi="Times New Roman" w:cs="Times New Roman"/>
          <w:sz w:val="24"/>
          <w:szCs w:val="24"/>
        </w:rPr>
        <w:t xml:space="preserve">Because of the abbreviated length of the YPI-S, </w:t>
      </w:r>
      <w:r w:rsidR="00113237" w:rsidRPr="00AF7D9D">
        <w:rPr>
          <w:rFonts w:ascii="Times New Roman" w:hAnsi="Times New Roman" w:cs="Times New Roman"/>
          <w:sz w:val="24"/>
          <w:szCs w:val="24"/>
        </w:rPr>
        <w:t xml:space="preserve">we </w:t>
      </w:r>
      <w:r w:rsidR="004B6DC6" w:rsidRPr="00AF7D9D">
        <w:rPr>
          <w:rFonts w:ascii="Times New Roman" w:hAnsi="Times New Roman" w:cs="Times New Roman"/>
          <w:sz w:val="24"/>
          <w:szCs w:val="24"/>
        </w:rPr>
        <w:t>identified potentially useful item pairs by</w:t>
      </w:r>
      <w:r w:rsidR="008A46EE" w:rsidRPr="00AF7D9D">
        <w:rPr>
          <w:rFonts w:ascii="Times New Roman" w:hAnsi="Times New Roman" w:cs="Times New Roman"/>
          <w:sz w:val="24"/>
          <w:szCs w:val="24"/>
        </w:rPr>
        <w:t xml:space="preserve"> simply</w:t>
      </w:r>
      <w:r w:rsidR="004B6DC6" w:rsidRPr="00AF7D9D">
        <w:rPr>
          <w:rFonts w:ascii="Times New Roman" w:hAnsi="Times New Roman" w:cs="Times New Roman"/>
          <w:sz w:val="24"/>
          <w:szCs w:val="24"/>
        </w:rPr>
        <w:t xml:space="preserve"> </w:t>
      </w:r>
      <w:r w:rsidR="00113237" w:rsidRPr="00AF7D9D">
        <w:rPr>
          <w:rFonts w:ascii="Times New Roman" w:hAnsi="Times New Roman" w:cs="Times New Roman"/>
          <w:sz w:val="24"/>
          <w:szCs w:val="24"/>
        </w:rPr>
        <w:t>rank-order</w:t>
      </w:r>
      <w:r w:rsidR="004B6DC6" w:rsidRPr="00AF7D9D">
        <w:rPr>
          <w:rFonts w:ascii="Times New Roman" w:hAnsi="Times New Roman" w:cs="Times New Roman"/>
          <w:sz w:val="24"/>
          <w:szCs w:val="24"/>
        </w:rPr>
        <w:t>ing all inter</w:t>
      </w:r>
      <w:r w:rsidR="00F71952" w:rsidRPr="00AF7D9D">
        <w:rPr>
          <w:rFonts w:ascii="Times New Roman" w:hAnsi="Times New Roman" w:cs="Times New Roman"/>
          <w:sz w:val="24"/>
          <w:szCs w:val="24"/>
        </w:rPr>
        <w:t xml:space="preserve">-item </w:t>
      </w:r>
      <w:r w:rsidR="00113237" w:rsidRPr="00AF7D9D">
        <w:rPr>
          <w:rFonts w:ascii="Times New Roman" w:hAnsi="Times New Roman" w:cs="Times New Roman"/>
          <w:sz w:val="24"/>
          <w:szCs w:val="24"/>
        </w:rPr>
        <w:t>corr</w:t>
      </w:r>
      <w:r w:rsidR="004B6DC6" w:rsidRPr="00AF7D9D">
        <w:rPr>
          <w:rFonts w:ascii="Times New Roman" w:hAnsi="Times New Roman" w:cs="Times New Roman"/>
          <w:sz w:val="24"/>
          <w:szCs w:val="24"/>
        </w:rPr>
        <w:t>elations from highest to lowest, rather than by applying a specific cut-off.</w:t>
      </w:r>
    </w:p>
    <w:p w14:paraId="1E660BB8" w14:textId="77777777" w:rsidR="001F7721" w:rsidRPr="00AF7D9D" w:rsidRDefault="001F7721" w:rsidP="00CD44E1">
      <w:pPr>
        <w:spacing w:after="0" w:line="480" w:lineRule="auto"/>
        <w:rPr>
          <w:rFonts w:ascii="Times New Roman" w:hAnsi="Times New Roman" w:cs="Times New Roman"/>
          <w:sz w:val="24"/>
          <w:szCs w:val="24"/>
        </w:rPr>
      </w:pPr>
      <w:r w:rsidRPr="00AF7D9D">
        <w:rPr>
          <w:rFonts w:ascii="Times New Roman" w:hAnsi="Times New Roman" w:cs="Times New Roman"/>
          <w:sz w:val="24"/>
          <w:szCs w:val="24"/>
        </w:rPr>
        <w:tab/>
        <w:t xml:space="preserve">Table 1 lists the </w:t>
      </w:r>
      <w:r w:rsidR="004B6DC6" w:rsidRPr="00AF7D9D">
        <w:rPr>
          <w:rFonts w:ascii="Times New Roman" w:hAnsi="Times New Roman" w:cs="Times New Roman"/>
          <w:sz w:val="24"/>
          <w:szCs w:val="24"/>
        </w:rPr>
        <w:t>seven non-overlapping item pairs</w:t>
      </w:r>
      <w:r w:rsidRPr="00AF7D9D">
        <w:rPr>
          <w:rFonts w:ascii="Times New Roman" w:hAnsi="Times New Roman" w:cs="Times New Roman"/>
          <w:sz w:val="24"/>
          <w:szCs w:val="24"/>
        </w:rPr>
        <w:t xml:space="preserve"> that </w:t>
      </w:r>
      <w:r w:rsidR="004B6DC6" w:rsidRPr="00AF7D9D">
        <w:rPr>
          <w:rFonts w:ascii="Times New Roman" w:hAnsi="Times New Roman" w:cs="Times New Roman"/>
          <w:sz w:val="24"/>
          <w:szCs w:val="24"/>
        </w:rPr>
        <w:t xml:space="preserve">collectively demonstrated the </w:t>
      </w:r>
      <w:r w:rsidRPr="00AF7D9D">
        <w:rPr>
          <w:rFonts w:ascii="Times New Roman" w:hAnsi="Times New Roman" w:cs="Times New Roman"/>
          <w:sz w:val="24"/>
          <w:szCs w:val="24"/>
        </w:rPr>
        <w:t xml:space="preserve">highest </w:t>
      </w:r>
      <w:r w:rsidR="004B6DC6" w:rsidRPr="00AF7D9D">
        <w:rPr>
          <w:rFonts w:ascii="Times New Roman" w:hAnsi="Times New Roman" w:cs="Times New Roman"/>
          <w:sz w:val="24"/>
          <w:szCs w:val="24"/>
        </w:rPr>
        <w:t xml:space="preserve">inter-item </w:t>
      </w:r>
      <w:r w:rsidRPr="00AF7D9D">
        <w:rPr>
          <w:rFonts w:ascii="Times New Roman" w:hAnsi="Times New Roman" w:cs="Times New Roman"/>
          <w:sz w:val="24"/>
          <w:szCs w:val="24"/>
        </w:rPr>
        <w:t xml:space="preserve">correlations. As can be seen, </w:t>
      </w:r>
      <w:r w:rsidR="00F71952" w:rsidRPr="00AF7D9D">
        <w:rPr>
          <w:rFonts w:ascii="Times New Roman" w:hAnsi="Times New Roman" w:cs="Times New Roman"/>
          <w:sz w:val="24"/>
          <w:szCs w:val="24"/>
        </w:rPr>
        <w:t xml:space="preserve">multiple </w:t>
      </w:r>
      <w:r w:rsidRPr="00AF7D9D">
        <w:rPr>
          <w:rFonts w:ascii="Times New Roman" w:hAnsi="Times New Roman" w:cs="Times New Roman"/>
          <w:sz w:val="24"/>
          <w:szCs w:val="24"/>
        </w:rPr>
        <w:t>pairs demonstrated fairly</w:t>
      </w:r>
      <w:r w:rsidR="00CA79DF" w:rsidRPr="00AF7D9D">
        <w:rPr>
          <w:rFonts w:ascii="Times New Roman" w:hAnsi="Times New Roman" w:cs="Times New Roman"/>
          <w:sz w:val="24"/>
          <w:szCs w:val="24"/>
        </w:rPr>
        <w:t xml:space="preserve"> large </w:t>
      </w:r>
      <w:r w:rsidR="00F71952" w:rsidRPr="00AF7D9D">
        <w:rPr>
          <w:rFonts w:ascii="Times New Roman" w:hAnsi="Times New Roman" w:cs="Times New Roman"/>
          <w:sz w:val="24"/>
          <w:szCs w:val="24"/>
        </w:rPr>
        <w:t xml:space="preserve">inter-item </w:t>
      </w:r>
      <w:r w:rsidR="00CA79DF" w:rsidRPr="00AF7D9D">
        <w:rPr>
          <w:rFonts w:ascii="Times New Roman" w:hAnsi="Times New Roman" w:cs="Times New Roman"/>
          <w:sz w:val="24"/>
          <w:szCs w:val="24"/>
        </w:rPr>
        <w:t xml:space="preserve">correlations, </w:t>
      </w:r>
      <w:r w:rsidR="00F71952" w:rsidRPr="00AF7D9D">
        <w:rPr>
          <w:rFonts w:ascii="Times New Roman" w:hAnsi="Times New Roman" w:cs="Times New Roman"/>
          <w:sz w:val="24"/>
          <w:szCs w:val="24"/>
        </w:rPr>
        <w:t>often</w:t>
      </w:r>
      <w:r w:rsidR="00CA79DF" w:rsidRPr="00AF7D9D">
        <w:rPr>
          <w:rFonts w:ascii="Times New Roman" w:hAnsi="Times New Roman" w:cs="Times New Roman"/>
          <w:sz w:val="24"/>
          <w:szCs w:val="24"/>
        </w:rPr>
        <w:t xml:space="preserve"> approximating or exceeding .50</w:t>
      </w:r>
      <w:r w:rsidRPr="00AF7D9D">
        <w:rPr>
          <w:rFonts w:ascii="Times New Roman" w:hAnsi="Times New Roman" w:cs="Times New Roman"/>
          <w:sz w:val="24"/>
          <w:szCs w:val="24"/>
        </w:rPr>
        <w:t xml:space="preserve">. The four </w:t>
      </w:r>
      <w:r w:rsidR="00F71952" w:rsidRPr="00AF7D9D">
        <w:rPr>
          <w:rFonts w:ascii="Times New Roman" w:hAnsi="Times New Roman" w:cs="Times New Roman"/>
          <w:sz w:val="24"/>
          <w:szCs w:val="24"/>
        </w:rPr>
        <w:t>items on the YPI-S not represented in these pairings</w:t>
      </w:r>
      <w:r w:rsidRPr="00AF7D9D">
        <w:rPr>
          <w:rFonts w:ascii="Times New Roman" w:hAnsi="Times New Roman" w:cs="Times New Roman"/>
          <w:sz w:val="24"/>
          <w:szCs w:val="24"/>
        </w:rPr>
        <w:t xml:space="preserve"> </w:t>
      </w:r>
      <w:r w:rsidR="00CA79DF" w:rsidRPr="00AF7D9D">
        <w:rPr>
          <w:rFonts w:ascii="Times New Roman" w:hAnsi="Times New Roman" w:cs="Times New Roman"/>
          <w:sz w:val="24"/>
          <w:szCs w:val="24"/>
        </w:rPr>
        <w:t xml:space="preserve">generally demonstrated weak patterns of association with each other (e.g., </w:t>
      </w:r>
      <w:r w:rsidR="00F71952" w:rsidRPr="00AF7D9D">
        <w:rPr>
          <w:rFonts w:ascii="Times New Roman" w:hAnsi="Times New Roman" w:cs="Times New Roman"/>
          <w:i/>
          <w:sz w:val="24"/>
          <w:szCs w:val="24"/>
        </w:rPr>
        <w:t>r</w:t>
      </w:r>
      <w:r w:rsidR="00F71952" w:rsidRPr="00AF7D9D">
        <w:rPr>
          <w:rFonts w:ascii="Times New Roman" w:hAnsi="Times New Roman" w:cs="Times New Roman"/>
          <w:sz w:val="24"/>
          <w:szCs w:val="24"/>
        </w:rPr>
        <w:t>s</w:t>
      </w:r>
      <w:r w:rsidR="00CA79DF" w:rsidRPr="00AF7D9D">
        <w:rPr>
          <w:rFonts w:ascii="Times New Roman" w:hAnsi="Times New Roman" w:cs="Times New Roman"/>
          <w:sz w:val="24"/>
          <w:szCs w:val="24"/>
        </w:rPr>
        <w:t xml:space="preserve"> &lt; .20) and therefore could not contribute </w:t>
      </w:r>
      <w:r w:rsidR="00F71952" w:rsidRPr="00AF7D9D">
        <w:rPr>
          <w:rFonts w:ascii="Times New Roman" w:hAnsi="Times New Roman" w:cs="Times New Roman"/>
          <w:sz w:val="24"/>
          <w:szCs w:val="24"/>
        </w:rPr>
        <w:t xml:space="preserve">additional </w:t>
      </w:r>
      <w:r w:rsidR="00CA79DF" w:rsidRPr="00AF7D9D">
        <w:rPr>
          <w:rFonts w:ascii="Times New Roman" w:hAnsi="Times New Roman" w:cs="Times New Roman"/>
          <w:sz w:val="24"/>
          <w:szCs w:val="24"/>
        </w:rPr>
        <w:t>item pairs to the provisional inconsistency scale.</w:t>
      </w:r>
      <w:r w:rsidR="00CA79DF" w:rsidRPr="00AF7D9D">
        <w:rPr>
          <w:rStyle w:val="FootnoteReference"/>
          <w:rFonts w:ascii="Times New Roman" w:hAnsi="Times New Roman" w:cs="Times New Roman"/>
          <w:sz w:val="24"/>
          <w:szCs w:val="24"/>
        </w:rPr>
        <w:footnoteReference w:id="2"/>
      </w:r>
    </w:p>
    <w:p w14:paraId="4BDC42EC" w14:textId="77777777" w:rsidR="00554B93" w:rsidRPr="00AF7D9D" w:rsidRDefault="00F71952" w:rsidP="00CD44E1">
      <w:pPr>
        <w:spacing w:after="0" w:line="480" w:lineRule="auto"/>
        <w:ind w:firstLine="720"/>
        <w:rPr>
          <w:rFonts w:ascii="Times New Roman" w:hAnsi="Times New Roman" w:cs="Times New Roman"/>
          <w:sz w:val="24"/>
          <w:szCs w:val="24"/>
        </w:rPr>
      </w:pPr>
      <w:r w:rsidRPr="00AF7D9D">
        <w:rPr>
          <w:rFonts w:ascii="Times New Roman" w:hAnsi="Times New Roman" w:cs="Times New Roman"/>
          <w:sz w:val="24"/>
          <w:szCs w:val="24"/>
        </w:rPr>
        <w:t>Although inter</w:t>
      </w:r>
      <w:r w:rsidR="00CA79DF" w:rsidRPr="00AF7D9D">
        <w:rPr>
          <w:rFonts w:ascii="Times New Roman" w:hAnsi="Times New Roman" w:cs="Times New Roman"/>
          <w:sz w:val="24"/>
          <w:szCs w:val="24"/>
        </w:rPr>
        <w:t>-</w:t>
      </w:r>
      <w:r w:rsidRPr="00AF7D9D">
        <w:rPr>
          <w:rFonts w:ascii="Times New Roman" w:hAnsi="Times New Roman" w:cs="Times New Roman"/>
          <w:sz w:val="24"/>
          <w:szCs w:val="24"/>
        </w:rPr>
        <w:t>item</w:t>
      </w:r>
      <w:r w:rsidR="00CA79DF" w:rsidRPr="00AF7D9D">
        <w:rPr>
          <w:rFonts w:ascii="Times New Roman" w:hAnsi="Times New Roman" w:cs="Times New Roman"/>
          <w:sz w:val="24"/>
          <w:szCs w:val="24"/>
        </w:rPr>
        <w:t xml:space="preserve"> correlations are important to consider in the derivation of</w:t>
      </w:r>
      <w:r w:rsidR="00B84A4D" w:rsidRPr="00AF7D9D">
        <w:rPr>
          <w:rFonts w:ascii="Times New Roman" w:hAnsi="Times New Roman" w:cs="Times New Roman"/>
          <w:sz w:val="24"/>
          <w:szCs w:val="24"/>
        </w:rPr>
        <w:t xml:space="preserve"> an inconsistency scale</w:t>
      </w:r>
      <w:r w:rsidR="00CA79DF" w:rsidRPr="00AF7D9D">
        <w:rPr>
          <w:rFonts w:ascii="Times New Roman" w:hAnsi="Times New Roman" w:cs="Times New Roman"/>
          <w:sz w:val="24"/>
          <w:szCs w:val="24"/>
        </w:rPr>
        <w:t xml:space="preserve">, </w:t>
      </w:r>
      <w:r w:rsidRPr="00AF7D9D">
        <w:rPr>
          <w:rFonts w:ascii="Times New Roman" w:hAnsi="Times New Roman" w:cs="Times New Roman"/>
          <w:sz w:val="24"/>
          <w:szCs w:val="24"/>
        </w:rPr>
        <w:t xml:space="preserve">further attention must be given to the mean differences between </w:t>
      </w:r>
      <w:r w:rsidR="006F170C" w:rsidRPr="00AF7D9D">
        <w:rPr>
          <w:rFonts w:ascii="Times New Roman" w:hAnsi="Times New Roman" w:cs="Times New Roman"/>
          <w:sz w:val="24"/>
          <w:szCs w:val="24"/>
        </w:rPr>
        <w:t>paired items</w:t>
      </w:r>
      <w:r w:rsidR="00E93595" w:rsidRPr="00AF7D9D">
        <w:rPr>
          <w:rFonts w:ascii="Times New Roman" w:hAnsi="Times New Roman" w:cs="Times New Roman"/>
          <w:sz w:val="24"/>
          <w:szCs w:val="24"/>
        </w:rPr>
        <w:t xml:space="preserve"> in their rates of endorsement. </w:t>
      </w:r>
      <w:r w:rsidR="006F170C" w:rsidRPr="00AF7D9D">
        <w:rPr>
          <w:rFonts w:ascii="Times New Roman" w:hAnsi="Times New Roman" w:cs="Times New Roman"/>
          <w:sz w:val="24"/>
          <w:szCs w:val="24"/>
        </w:rPr>
        <w:t>I</w:t>
      </w:r>
      <w:r w:rsidRPr="00AF7D9D">
        <w:rPr>
          <w:rFonts w:ascii="Times New Roman" w:hAnsi="Times New Roman" w:cs="Times New Roman"/>
          <w:sz w:val="24"/>
          <w:szCs w:val="24"/>
        </w:rPr>
        <w:t>nconsistency</w:t>
      </w:r>
      <w:r w:rsidR="00E93595" w:rsidRPr="00AF7D9D">
        <w:rPr>
          <w:rFonts w:ascii="Times New Roman" w:hAnsi="Times New Roman" w:cs="Times New Roman"/>
          <w:sz w:val="24"/>
          <w:szCs w:val="24"/>
        </w:rPr>
        <w:t xml:space="preserve"> scales </w:t>
      </w:r>
      <w:r w:rsidR="00CA79DF" w:rsidRPr="00AF7D9D">
        <w:rPr>
          <w:rFonts w:ascii="Times New Roman" w:hAnsi="Times New Roman" w:cs="Times New Roman"/>
          <w:sz w:val="24"/>
          <w:szCs w:val="24"/>
        </w:rPr>
        <w:t xml:space="preserve">are </w:t>
      </w:r>
      <w:r w:rsidRPr="00AF7D9D">
        <w:rPr>
          <w:rFonts w:ascii="Times New Roman" w:hAnsi="Times New Roman" w:cs="Times New Roman"/>
          <w:sz w:val="24"/>
          <w:szCs w:val="24"/>
        </w:rPr>
        <w:t xml:space="preserve">typically </w:t>
      </w:r>
      <w:r w:rsidR="00CA79DF" w:rsidRPr="00AF7D9D">
        <w:rPr>
          <w:rFonts w:ascii="Times New Roman" w:hAnsi="Times New Roman" w:cs="Times New Roman"/>
          <w:sz w:val="24"/>
          <w:szCs w:val="24"/>
        </w:rPr>
        <w:t xml:space="preserve">scored by </w:t>
      </w:r>
      <w:r w:rsidR="00E93595" w:rsidRPr="00AF7D9D">
        <w:rPr>
          <w:rFonts w:ascii="Times New Roman" w:hAnsi="Times New Roman" w:cs="Times New Roman"/>
          <w:sz w:val="24"/>
          <w:szCs w:val="24"/>
        </w:rPr>
        <w:t>sum</w:t>
      </w:r>
      <w:r w:rsidR="00CA79DF" w:rsidRPr="00AF7D9D">
        <w:rPr>
          <w:rFonts w:ascii="Times New Roman" w:hAnsi="Times New Roman" w:cs="Times New Roman"/>
          <w:sz w:val="24"/>
          <w:szCs w:val="24"/>
        </w:rPr>
        <w:t>ming</w:t>
      </w:r>
      <w:r w:rsidR="00E93595" w:rsidRPr="00AF7D9D">
        <w:rPr>
          <w:rFonts w:ascii="Times New Roman" w:hAnsi="Times New Roman" w:cs="Times New Roman"/>
          <w:sz w:val="24"/>
          <w:szCs w:val="24"/>
        </w:rPr>
        <w:t xml:space="preserve"> the absolute </w:t>
      </w:r>
      <w:r w:rsidR="008601B0" w:rsidRPr="00AF7D9D">
        <w:rPr>
          <w:rFonts w:ascii="Times New Roman" w:hAnsi="Times New Roman" w:cs="Times New Roman"/>
          <w:sz w:val="24"/>
          <w:szCs w:val="24"/>
        </w:rPr>
        <w:t>value</w:t>
      </w:r>
      <w:r w:rsidR="008376BA" w:rsidRPr="00AF7D9D">
        <w:rPr>
          <w:rFonts w:ascii="Times New Roman" w:hAnsi="Times New Roman" w:cs="Times New Roman"/>
          <w:sz w:val="24"/>
          <w:szCs w:val="24"/>
        </w:rPr>
        <w:t>s</w:t>
      </w:r>
      <w:r w:rsidR="008601B0" w:rsidRPr="00AF7D9D">
        <w:rPr>
          <w:rFonts w:ascii="Times New Roman" w:hAnsi="Times New Roman" w:cs="Times New Roman"/>
          <w:sz w:val="24"/>
          <w:szCs w:val="24"/>
        </w:rPr>
        <w:t xml:space="preserve"> of the </w:t>
      </w:r>
      <w:r w:rsidR="006F170C" w:rsidRPr="00AF7D9D">
        <w:rPr>
          <w:rFonts w:ascii="Times New Roman" w:hAnsi="Times New Roman" w:cs="Times New Roman"/>
          <w:sz w:val="24"/>
          <w:szCs w:val="24"/>
        </w:rPr>
        <w:t xml:space="preserve">within-pair </w:t>
      </w:r>
      <w:r w:rsidR="00E93595" w:rsidRPr="00AF7D9D">
        <w:rPr>
          <w:rFonts w:ascii="Times New Roman" w:hAnsi="Times New Roman" w:cs="Times New Roman"/>
          <w:sz w:val="24"/>
          <w:szCs w:val="24"/>
        </w:rPr>
        <w:t xml:space="preserve">differences between </w:t>
      </w:r>
      <w:r w:rsidR="006F170C" w:rsidRPr="00AF7D9D">
        <w:rPr>
          <w:rFonts w:ascii="Times New Roman" w:hAnsi="Times New Roman" w:cs="Times New Roman"/>
          <w:sz w:val="24"/>
          <w:szCs w:val="24"/>
        </w:rPr>
        <w:t>item responses. Accordingly,</w:t>
      </w:r>
      <w:r w:rsidR="00E93595" w:rsidRPr="00AF7D9D">
        <w:rPr>
          <w:rFonts w:ascii="Times New Roman" w:hAnsi="Times New Roman" w:cs="Times New Roman"/>
          <w:sz w:val="24"/>
          <w:szCs w:val="24"/>
        </w:rPr>
        <w:t xml:space="preserve"> </w:t>
      </w:r>
      <w:r w:rsidR="006F170C" w:rsidRPr="00AF7D9D">
        <w:rPr>
          <w:rFonts w:ascii="Times New Roman" w:hAnsi="Times New Roman" w:cs="Times New Roman"/>
          <w:sz w:val="24"/>
          <w:szCs w:val="24"/>
        </w:rPr>
        <w:t xml:space="preserve">the two items forming each pair </w:t>
      </w:r>
      <w:r w:rsidR="003B1F1C" w:rsidRPr="00AF7D9D">
        <w:rPr>
          <w:rFonts w:ascii="Times New Roman" w:hAnsi="Times New Roman" w:cs="Times New Roman"/>
          <w:sz w:val="24"/>
          <w:szCs w:val="24"/>
        </w:rPr>
        <w:t xml:space="preserve">should also have overall </w:t>
      </w:r>
      <w:r w:rsidR="006F170C" w:rsidRPr="00AF7D9D">
        <w:rPr>
          <w:rFonts w:ascii="Times New Roman" w:hAnsi="Times New Roman" w:cs="Times New Roman"/>
          <w:sz w:val="24"/>
          <w:szCs w:val="24"/>
        </w:rPr>
        <w:t>mean differences approaching zero</w:t>
      </w:r>
      <w:r w:rsidR="008601B0" w:rsidRPr="00AF7D9D">
        <w:rPr>
          <w:rFonts w:ascii="Times New Roman" w:hAnsi="Times New Roman" w:cs="Times New Roman"/>
          <w:sz w:val="24"/>
          <w:szCs w:val="24"/>
        </w:rPr>
        <w:t>. If, hypothetically</w:t>
      </w:r>
      <w:r w:rsidR="00E93595" w:rsidRPr="00AF7D9D">
        <w:rPr>
          <w:rFonts w:ascii="Times New Roman" w:hAnsi="Times New Roman" w:cs="Times New Roman"/>
          <w:sz w:val="24"/>
          <w:szCs w:val="24"/>
        </w:rPr>
        <w:t xml:space="preserve">, </w:t>
      </w:r>
      <w:r w:rsidR="00E93595" w:rsidRPr="00AF7D9D">
        <w:rPr>
          <w:rFonts w:ascii="Times New Roman" w:hAnsi="Times New Roman" w:cs="Times New Roman"/>
          <w:sz w:val="24"/>
          <w:szCs w:val="24"/>
        </w:rPr>
        <w:lastRenderedPageBreak/>
        <w:t>two items correlated at .75</w:t>
      </w:r>
      <w:r w:rsidR="00CF5146" w:rsidRPr="00AF7D9D">
        <w:rPr>
          <w:rFonts w:ascii="Times New Roman" w:hAnsi="Times New Roman" w:cs="Times New Roman"/>
          <w:sz w:val="24"/>
          <w:szCs w:val="24"/>
        </w:rPr>
        <w:t>,</w:t>
      </w:r>
      <w:r w:rsidR="00E93595" w:rsidRPr="00AF7D9D">
        <w:rPr>
          <w:rFonts w:ascii="Times New Roman" w:hAnsi="Times New Roman" w:cs="Times New Roman"/>
          <w:sz w:val="24"/>
          <w:szCs w:val="24"/>
        </w:rPr>
        <w:t xml:space="preserve"> but </w:t>
      </w:r>
      <w:r w:rsidR="006F170C" w:rsidRPr="00AF7D9D">
        <w:rPr>
          <w:rFonts w:ascii="Times New Roman" w:hAnsi="Times New Roman" w:cs="Times New Roman"/>
          <w:sz w:val="24"/>
          <w:szCs w:val="24"/>
        </w:rPr>
        <w:t>had appreciably disparate mean scores of</w:t>
      </w:r>
      <w:r w:rsidR="00E93595" w:rsidRPr="00AF7D9D">
        <w:rPr>
          <w:rFonts w:ascii="Times New Roman" w:hAnsi="Times New Roman" w:cs="Times New Roman"/>
          <w:sz w:val="24"/>
          <w:szCs w:val="24"/>
        </w:rPr>
        <w:t xml:space="preserve"> .50 and 2.50, such a pair would contribute </w:t>
      </w:r>
      <w:r w:rsidR="003B1F1C" w:rsidRPr="00AF7D9D">
        <w:rPr>
          <w:rFonts w:ascii="Times New Roman" w:hAnsi="Times New Roman" w:cs="Times New Roman"/>
          <w:sz w:val="24"/>
          <w:szCs w:val="24"/>
        </w:rPr>
        <w:t>a considerable amount</w:t>
      </w:r>
      <w:r w:rsidR="00E93595" w:rsidRPr="00AF7D9D">
        <w:rPr>
          <w:rFonts w:ascii="Times New Roman" w:hAnsi="Times New Roman" w:cs="Times New Roman"/>
          <w:sz w:val="24"/>
          <w:szCs w:val="24"/>
        </w:rPr>
        <w:t xml:space="preserve"> </w:t>
      </w:r>
      <w:r w:rsidR="001D789C" w:rsidRPr="00AF7D9D">
        <w:rPr>
          <w:rFonts w:ascii="Times New Roman" w:hAnsi="Times New Roman" w:cs="Times New Roman"/>
          <w:sz w:val="24"/>
          <w:szCs w:val="24"/>
        </w:rPr>
        <w:t xml:space="preserve">(on average) </w:t>
      </w:r>
      <w:r w:rsidR="00E93595" w:rsidRPr="00AF7D9D">
        <w:rPr>
          <w:rFonts w:ascii="Times New Roman" w:hAnsi="Times New Roman" w:cs="Times New Roman"/>
          <w:sz w:val="24"/>
          <w:szCs w:val="24"/>
        </w:rPr>
        <w:t>to the summed total inconsistency scale score</w:t>
      </w:r>
      <w:r w:rsidR="003B1F1C" w:rsidRPr="00AF7D9D">
        <w:rPr>
          <w:rFonts w:ascii="Times New Roman" w:hAnsi="Times New Roman" w:cs="Times New Roman"/>
          <w:sz w:val="24"/>
          <w:szCs w:val="24"/>
        </w:rPr>
        <w:t>. The</w:t>
      </w:r>
      <w:r w:rsidR="00E93595" w:rsidRPr="00AF7D9D">
        <w:rPr>
          <w:rFonts w:ascii="Times New Roman" w:hAnsi="Times New Roman" w:cs="Times New Roman"/>
          <w:sz w:val="24"/>
          <w:szCs w:val="24"/>
        </w:rPr>
        <w:t xml:space="preserve"> variance tapped by this item pair would </w:t>
      </w:r>
      <w:r w:rsidR="008601B0" w:rsidRPr="00AF7D9D">
        <w:rPr>
          <w:rFonts w:ascii="Times New Roman" w:hAnsi="Times New Roman" w:cs="Times New Roman"/>
          <w:sz w:val="24"/>
          <w:szCs w:val="24"/>
        </w:rPr>
        <w:t xml:space="preserve">largely </w:t>
      </w:r>
      <w:r w:rsidR="00E93595" w:rsidRPr="00AF7D9D">
        <w:rPr>
          <w:rFonts w:ascii="Times New Roman" w:hAnsi="Times New Roman" w:cs="Times New Roman"/>
          <w:sz w:val="24"/>
          <w:szCs w:val="24"/>
        </w:rPr>
        <w:t xml:space="preserve">reflect genuine differences in </w:t>
      </w:r>
      <w:r w:rsidR="008601B0" w:rsidRPr="00AF7D9D">
        <w:rPr>
          <w:rFonts w:ascii="Times New Roman" w:hAnsi="Times New Roman" w:cs="Times New Roman"/>
          <w:sz w:val="24"/>
          <w:szCs w:val="24"/>
        </w:rPr>
        <w:t xml:space="preserve">the absolute magnitude of </w:t>
      </w:r>
      <w:r w:rsidR="00E93595" w:rsidRPr="00AF7D9D">
        <w:rPr>
          <w:rFonts w:ascii="Times New Roman" w:hAnsi="Times New Roman" w:cs="Times New Roman"/>
          <w:sz w:val="24"/>
          <w:szCs w:val="24"/>
        </w:rPr>
        <w:t xml:space="preserve">how individuals respond to the two items rather than </w:t>
      </w:r>
      <w:r w:rsidR="008376BA" w:rsidRPr="00AF7D9D">
        <w:rPr>
          <w:rFonts w:ascii="Times New Roman" w:hAnsi="Times New Roman" w:cs="Times New Roman"/>
          <w:sz w:val="24"/>
          <w:szCs w:val="24"/>
        </w:rPr>
        <w:t xml:space="preserve">indicate </w:t>
      </w:r>
      <w:r w:rsidR="00E93595" w:rsidRPr="00AF7D9D">
        <w:rPr>
          <w:rFonts w:ascii="Times New Roman" w:hAnsi="Times New Roman" w:cs="Times New Roman"/>
          <w:sz w:val="24"/>
          <w:szCs w:val="24"/>
        </w:rPr>
        <w:t xml:space="preserve">inconsistent responding </w:t>
      </w:r>
      <w:r w:rsidR="006F170C" w:rsidRPr="00AF7D9D">
        <w:rPr>
          <w:rFonts w:ascii="Times New Roman" w:hAnsi="Times New Roman" w:cs="Times New Roman"/>
          <w:sz w:val="24"/>
          <w:szCs w:val="24"/>
        </w:rPr>
        <w:t>across</w:t>
      </w:r>
      <w:r w:rsidR="00E93595" w:rsidRPr="00AF7D9D">
        <w:rPr>
          <w:rFonts w:ascii="Times New Roman" w:hAnsi="Times New Roman" w:cs="Times New Roman"/>
          <w:sz w:val="24"/>
          <w:szCs w:val="24"/>
        </w:rPr>
        <w:t xml:space="preserve"> the two items.</w:t>
      </w:r>
      <w:r w:rsidR="00CA79DF" w:rsidRPr="00AF7D9D">
        <w:rPr>
          <w:rFonts w:ascii="Times New Roman" w:hAnsi="Times New Roman" w:cs="Times New Roman"/>
          <w:sz w:val="24"/>
          <w:szCs w:val="24"/>
        </w:rPr>
        <w:t xml:space="preserve"> </w:t>
      </w:r>
    </w:p>
    <w:p w14:paraId="5C003099" w14:textId="77777777" w:rsidR="00554B93" w:rsidRPr="00AF7D9D" w:rsidRDefault="00CA79DF" w:rsidP="00CD44E1">
      <w:pPr>
        <w:spacing w:after="0" w:line="480" w:lineRule="auto"/>
        <w:ind w:firstLine="720"/>
        <w:rPr>
          <w:rFonts w:ascii="Times New Roman" w:hAnsi="Times New Roman" w:cs="Times New Roman"/>
          <w:sz w:val="24"/>
          <w:szCs w:val="24"/>
        </w:rPr>
      </w:pPr>
      <w:r w:rsidRPr="00AF7D9D">
        <w:rPr>
          <w:rFonts w:ascii="Times New Roman" w:hAnsi="Times New Roman" w:cs="Times New Roman"/>
          <w:sz w:val="24"/>
          <w:szCs w:val="24"/>
        </w:rPr>
        <w:t xml:space="preserve">Table 1 also includes columns </w:t>
      </w:r>
      <w:r w:rsidR="006F170C" w:rsidRPr="00AF7D9D">
        <w:rPr>
          <w:rFonts w:ascii="Times New Roman" w:hAnsi="Times New Roman" w:cs="Times New Roman"/>
          <w:sz w:val="24"/>
          <w:szCs w:val="24"/>
        </w:rPr>
        <w:t>reporting</w:t>
      </w:r>
      <w:r w:rsidRPr="00AF7D9D">
        <w:rPr>
          <w:rFonts w:ascii="Times New Roman" w:hAnsi="Times New Roman" w:cs="Times New Roman"/>
          <w:sz w:val="24"/>
          <w:szCs w:val="24"/>
        </w:rPr>
        <w:t xml:space="preserve"> the </w:t>
      </w:r>
      <w:r w:rsidR="006F170C" w:rsidRPr="00AF7D9D">
        <w:rPr>
          <w:rFonts w:ascii="Times New Roman" w:hAnsi="Times New Roman" w:cs="Times New Roman"/>
          <w:sz w:val="24"/>
          <w:szCs w:val="24"/>
        </w:rPr>
        <w:t xml:space="preserve">absolute </w:t>
      </w:r>
      <w:r w:rsidRPr="00AF7D9D">
        <w:rPr>
          <w:rFonts w:ascii="Times New Roman" w:hAnsi="Times New Roman" w:cs="Times New Roman"/>
          <w:sz w:val="24"/>
          <w:szCs w:val="24"/>
        </w:rPr>
        <w:t xml:space="preserve">mean difference between </w:t>
      </w:r>
      <w:r w:rsidR="006F170C" w:rsidRPr="00AF7D9D">
        <w:rPr>
          <w:rFonts w:ascii="Times New Roman" w:hAnsi="Times New Roman" w:cs="Times New Roman"/>
          <w:sz w:val="24"/>
          <w:szCs w:val="24"/>
        </w:rPr>
        <w:t>item responses for each</w:t>
      </w:r>
      <w:r w:rsidRPr="00AF7D9D">
        <w:rPr>
          <w:rFonts w:ascii="Times New Roman" w:hAnsi="Times New Roman" w:cs="Times New Roman"/>
          <w:sz w:val="24"/>
          <w:szCs w:val="24"/>
        </w:rPr>
        <w:t xml:space="preserve"> pair. </w:t>
      </w:r>
      <w:r w:rsidR="00756BCA" w:rsidRPr="00AF7D9D">
        <w:rPr>
          <w:rFonts w:ascii="Times New Roman" w:hAnsi="Times New Roman" w:cs="Times New Roman"/>
          <w:sz w:val="24"/>
          <w:szCs w:val="24"/>
        </w:rPr>
        <w:t xml:space="preserve">As can be seen, </w:t>
      </w:r>
      <w:r w:rsidRPr="00AF7D9D">
        <w:rPr>
          <w:rFonts w:ascii="Times New Roman" w:hAnsi="Times New Roman" w:cs="Times New Roman"/>
          <w:sz w:val="24"/>
          <w:szCs w:val="24"/>
        </w:rPr>
        <w:t xml:space="preserve">mean </w:t>
      </w:r>
      <w:r w:rsidR="006F170C" w:rsidRPr="00AF7D9D">
        <w:rPr>
          <w:rFonts w:ascii="Times New Roman" w:hAnsi="Times New Roman" w:cs="Times New Roman"/>
          <w:sz w:val="24"/>
          <w:szCs w:val="24"/>
        </w:rPr>
        <w:t>differences between responses for paired items</w:t>
      </w:r>
      <w:r w:rsidRPr="00AF7D9D">
        <w:rPr>
          <w:rFonts w:ascii="Times New Roman" w:hAnsi="Times New Roman" w:cs="Times New Roman"/>
          <w:sz w:val="24"/>
          <w:szCs w:val="24"/>
        </w:rPr>
        <w:t xml:space="preserve"> </w:t>
      </w:r>
      <w:r w:rsidR="00756BCA" w:rsidRPr="00AF7D9D">
        <w:rPr>
          <w:rFonts w:ascii="Times New Roman" w:hAnsi="Times New Roman" w:cs="Times New Roman"/>
          <w:sz w:val="24"/>
          <w:szCs w:val="24"/>
        </w:rPr>
        <w:t xml:space="preserve">were mostly ≤ .75, with </w:t>
      </w:r>
      <w:r w:rsidRPr="00AF7D9D">
        <w:rPr>
          <w:rFonts w:ascii="Times New Roman" w:hAnsi="Times New Roman" w:cs="Times New Roman"/>
          <w:sz w:val="24"/>
          <w:szCs w:val="24"/>
        </w:rPr>
        <w:t xml:space="preserve">almost </w:t>
      </w:r>
      <w:r w:rsidR="00756BCA" w:rsidRPr="00AF7D9D">
        <w:rPr>
          <w:rFonts w:ascii="Times New Roman" w:hAnsi="Times New Roman" w:cs="Times New Roman"/>
          <w:sz w:val="24"/>
          <w:szCs w:val="24"/>
        </w:rPr>
        <w:t xml:space="preserve">none exceeding </w:t>
      </w:r>
      <w:r w:rsidRPr="00AF7D9D">
        <w:rPr>
          <w:rFonts w:ascii="Times New Roman" w:hAnsi="Times New Roman" w:cs="Times New Roman"/>
          <w:sz w:val="24"/>
          <w:szCs w:val="24"/>
        </w:rPr>
        <w:t xml:space="preserve">1.00. (For comparison purposes, the mean absolute difference between </w:t>
      </w:r>
      <w:r w:rsidR="006F170C" w:rsidRPr="00AF7D9D">
        <w:rPr>
          <w:rFonts w:ascii="Times New Roman" w:hAnsi="Times New Roman" w:cs="Times New Roman"/>
          <w:sz w:val="24"/>
          <w:szCs w:val="24"/>
        </w:rPr>
        <w:t>r</w:t>
      </w:r>
      <w:r w:rsidRPr="00AF7D9D">
        <w:rPr>
          <w:rFonts w:ascii="Times New Roman" w:hAnsi="Times New Roman" w:cs="Times New Roman"/>
          <w:sz w:val="24"/>
          <w:szCs w:val="24"/>
        </w:rPr>
        <w:t xml:space="preserve">andomly generated </w:t>
      </w:r>
      <w:r w:rsidR="006F170C" w:rsidRPr="00AF7D9D">
        <w:rPr>
          <w:rFonts w:ascii="Times New Roman" w:hAnsi="Times New Roman" w:cs="Times New Roman"/>
          <w:sz w:val="24"/>
          <w:szCs w:val="24"/>
        </w:rPr>
        <w:t xml:space="preserve">responses for two </w:t>
      </w:r>
      <w:r w:rsidRPr="00AF7D9D">
        <w:rPr>
          <w:rFonts w:ascii="Times New Roman" w:hAnsi="Times New Roman" w:cs="Times New Roman"/>
          <w:sz w:val="24"/>
          <w:szCs w:val="24"/>
        </w:rPr>
        <w:t xml:space="preserve">items using </w:t>
      </w:r>
      <w:r w:rsidR="006F170C" w:rsidRPr="00AF7D9D">
        <w:rPr>
          <w:rFonts w:ascii="Times New Roman" w:hAnsi="Times New Roman" w:cs="Times New Roman"/>
          <w:sz w:val="24"/>
          <w:szCs w:val="24"/>
        </w:rPr>
        <w:t xml:space="preserve">a 4-point </w:t>
      </w:r>
      <w:r w:rsidRPr="00AF7D9D">
        <w:rPr>
          <w:rFonts w:ascii="Times New Roman" w:hAnsi="Times New Roman" w:cs="Times New Roman"/>
          <w:sz w:val="24"/>
          <w:szCs w:val="24"/>
        </w:rPr>
        <w:t xml:space="preserve">rating scale </w:t>
      </w:r>
      <w:r w:rsidR="00CC14F0" w:rsidRPr="00AF7D9D">
        <w:rPr>
          <w:rFonts w:ascii="Times New Roman" w:hAnsi="Times New Roman" w:cs="Times New Roman"/>
          <w:sz w:val="24"/>
          <w:szCs w:val="24"/>
        </w:rPr>
        <w:t>would be</w:t>
      </w:r>
      <w:r w:rsidRPr="00AF7D9D">
        <w:rPr>
          <w:rFonts w:ascii="Times New Roman" w:hAnsi="Times New Roman" w:cs="Times New Roman"/>
          <w:sz w:val="24"/>
          <w:szCs w:val="24"/>
        </w:rPr>
        <w:t xml:space="preserve"> approximately 1.25).</w:t>
      </w:r>
      <w:r w:rsidR="000F20D6" w:rsidRPr="00AF7D9D">
        <w:rPr>
          <w:rFonts w:ascii="Times New Roman" w:hAnsi="Times New Roman" w:cs="Times New Roman"/>
          <w:sz w:val="24"/>
          <w:szCs w:val="24"/>
        </w:rPr>
        <w:t xml:space="preserve"> </w:t>
      </w:r>
      <w:r w:rsidR="00756BCA" w:rsidRPr="00AF7D9D">
        <w:rPr>
          <w:rFonts w:ascii="Times New Roman" w:hAnsi="Times New Roman" w:cs="Times New Roman"/>
          <w:sz w:val="24"/>
          <w:szCs w:val="24"/>
        </w:rPr>
        <w:t>Based on these findings</w:t>
      </w:r>
      <w:r w:rsidR="008601B0" w:rsidRPr="00AF7D9D">
        <w:rPr>
          <w:rFonts w:ascii="Times New Roman" w:hAnsi="Times New Roman" w:cs="Times New Roman"/>
          <w:sz w:val="24"/>
          <w:szCs w:val="24"/>
        </w:rPr>
        <w:t>, summing the absolute value</w:t>
      </w:r>
      <w:r w:rsidR="008376BA" w:rsidRPr="00AF7D9D">
        <w:rPr>
          <w:rFonts w:ascii="Times New Roman" w:hAnsi="Times New Roman" w:cs="Times New Roman"/>
          <w:sz w:val="24"/>
          <w:szCs w:val="24"/>
        </w:rPr>
        <w:t>s</w:t>
      </w:r>
      <w:r w:rsidR="008601B0" w:rsidRPr="00AF7D9D">
        <w:rPr>
          <w:rFonts w:ascii="Times New Roman" w:hAnsi="Times New Roman" w:cs="Times New Roman"/>
          <w:sz w:val="24"/>
          <w:szCs w:val="24"/>
        </w:rPr>
        <w:t xml:space="preserve"> of the differences between </w:t>
      </w:r>
      <w:r w:rsidR="00756BCA" w:rsidRPr="00AF7D9D">
        <w:rPr>
          <w:rFonts w:ascii="Times New Roman" w:hAnsi="Times New Roman" w:cs="Times New Roman"/>
          <w:sz w:val="24"/>
          <w:szCs w:val="24"/>
        </w:rPr>
        <w:t xml:space="preserve">these </w:t>
      </w:r>
      <w:r w:rsidR="008601B0" w:rsidRPr="00AF7D9D">
        <w:rPr>
          <w:rFonts w:ascii="Times New Roman" w:hAnsi="Times New Roman" w:cs="Times New Roman"/>
          <w:sz w:val="24"/>
          <w:szCs w:val="24"/>
        </w:rPr>
        <w:t>pair</w:t>
      </w:r>
      <w:r w:rsidR="00756BCA" w:rsidRPr="00AF7D9D">
        <w:rPr>
          <w:rFonts w:ascii="Times New Roman" w:hAnsi="Times New Roman" w:cs="Times New Roman"/>
          <w:sz w:val="24"/>
          <w:szCs w:val="24"/>
        </w:rPr>
        <w:t>ed items</w:t>
      </w:r>
      <w:r w:rsidR="008601B0" w:rsidRPr="00AF7D9D">
        <w:rPr>
          <w:rFonts w:ascii="Times New Roman" w:hAnsi="Times New Roman" w:cs="Times New Roman"/>
          <w:sz w:val="24"/>
          <w:szCs w:val="24"/>
        </w:rPr>
        <w:t xml:space="preserve"> </w:t>
      </w:r>
      <w:r w:rsidR="00756BCA" w:rsidRPr="00AF7D9D">
        <w:rPr>
          <w:rFonts w:ascii="Times New Roman" w:hAnsi="Times New Roman" w:cs="Times New Roman"/>
          <w:sz w:val="24"/>
          <w:szCs w:val="24"/>
        </w:rPr>
        <w:t>produces scale scores that are</w:t>
      </w:r>
      <w:r w:rsidR="00A83813" w:rsidRPr="00AF7D9D">
        <w:rPr>
          <w:rFonts w:ascii="Times New Roman" w:hAnsi="Times New Roman" w:cs="Times New Roman"/>
          <w:sz w:val="24"/>
          <w:szCs w:val="24"/>
        </w:rPr>
        <w:t xml:space="preserve"> not strongly biased by large </w:t>
      </w:r>
      <w:r w:rsidR="00756BCA" w:rsidRPr="00AF7D9D">
        <w:rPr>
          <w:rFonts w:ascii="Times New Roman" w:hAnsi="Times New Roman" w:cs="Times New Roman"/>
          <w:sz w:val="24"/>
          <w:szCs w:val="24"/>
        </w:rPr>
        <w:t xml:space="preserve">within-pair </w:t>
      </w:r>
      <w:r w:rsidR="00A83813" w:rsidRPr="00AF7D9D">
        <w:rPr>
          <w:rFonts w:ascii="Times New Roman" w:hAnsi="Times New Roman" w:cs="Times New Roman"/>
          <w:sz w:val="24"/>
          <w:szCs w:val="24"/>
        </w:rPr>
        <w:t xml:space="preserve">differences in </w:t>
      </w:r>
      <w:r w:rsidR="00756BCA" w:rsidRPr="00AF7D9D">
        <w:rPr>
          <w:rFonts w:ascii="Times New Roman" w:hAnsi="Times New Roman" w:cs="Times New Roman"/>
          <w:sz w:val="24"/>
          <w:szCs w:val="24"/>
        </w:rPr>
        <w:t>the</w:t>
      </w:r>
      <w:r w:rsidR="00A83813" w:rsidRPr="00AF7D9D">
        <w:rPr>
          <w:rFonts w:ascii="Times New Roman" w:hAnsi="Times New Roman" w:cs="Times New Roman"/>
          <w:sz w:val="24"/>
          <w:szCs w:val="24"/>
        </w:rPr>
        <w:t xml:space="preserve"> mean rate</w:t>
      </w:r>
      <w:r w:rsidR="00756BCA" w:rsidRPr="00AF7D9D">
        <w:rPr>
          <w:rFonts w:ascii="Times New Roman" w:hAnsi="Times New Roman" w:cs="Times New Roman"/>
          <w:sz w:val="24"/>
          <w:szCs w:val="24"/>
        </w:rPr>
        <w:t>s</w:t>
      </w:r>
      <w:r w:rsidR="00A83813" w:rsidRPr="00AF7D9D">
        <w:rPr>
          <w:rFonts w:ascii="Times New Roman" w:hAnsi="Times New Roman" w:cs="Times New Roman"/>
          <w:sz w:val="24"/>
          <w:szCs w:val="24"/>
        </w:rPr>
        <w:t xml:space="preserve"> of item endorsement.</w:t>
      </w:r>
    </w:p>
    <w:p w14:paraId="0E5547C2" w14:textId="2B3947E5" w:rsidR="00135FCB" w:rsidRPr="00AF7D9D" w:rsidRDefault="00A83813" w:rsidP="00CD44E1">
      <w:pPr>
        <w:spacing w:after="0" w:line="480" w:lineRule="auto"/>
        <w:ind w:firstLine="720"/>
        <w:rPr>
          <w:rFonts w:ascii="Times New Roman" w:hAnsi="Times New Roman" w:cs="Times New Roman"/>
          <w:sz w:val="24"/>
          <w:szCs w:val="24"/>
        </w:rPr>
      </w:pPr>
      <w:r w:rsidRPr="00AF7D9D">
        <w:rPr>
          <w:rFonts w:ascii="Times New Roman" w:hAnsi="Times New Roman" w:cs="Times New Roman"/>
          <w:sz w:val="24"/>
          <w:szCs w:val="24"/>
        </w:rPr>
        <w:t xml:space="preserve">Next, </w:t>
      </w:r>
      <w:r w:rsidR="00945A33" w:rsidRPr="00AF7D9D">
        <w:rPr>
          <w:rFonts w:ascii="Times New Roman" w:hAnsi="Times New Roman" w:cs="Times New Roman"/>
          <w:sz w:val="24"/>
          <w:szCs w:val="24"/>
        </w:rPr>
        <w:t xml:space="preserve">within each sample </w:t>
      </w:r>
      <w:r w:rsidRPr="00AF7D9D">
        <w:rPr>
          <w:rFonts w:ascii="Times New Roman" w:hAnsi="Times New Roman" w:cs="Times New Roman"/>
          <w:sz w:val="24"/>
          <w:szCs w:val="24"/>
        </w:rPr>
        <w:t xml:space="preserve">we </w:t>
      </w:r>
      <w:r w:rsidR="00756BCA" w:rsidRPr="00AF7D9D">
        <w:rPr>
          <w:rFonts w:ascii="Times New Roman" w:hAnsi="Times New Roman" w:cs="Times New Roman"/>
          <w:sz w:val="24"/>
          <w:szCs w:val="24"/>
        </w:rPr>
        <w:t>calculated</w:t>
      </w:r>
      <w:r w:rsidRPr="00AF7D9D">
        <w:rPr>
          <w:rFonts w:ascii="Times New Roman" w:hAnsi="Times New Roman" w:cs="Times New Roman"/>
          <w:sz w:val="24"/>
          <w:szCs w:val="24"/>
        </w:rPr>
        <w:t xml:space="preserve"> total score</w:t>
      </w:r>
      <w:r w:rsidR="00756BCA" w:rsidRPr="00AF7D9D">
        <w:rPr>
          <w:rFonts w:ascii="Times New Roman" w:hAnsi="Times New Roman" w:cs="Times New Roman"/>
          <w:sz w:val="24"/>
          <w:szCs w:val="24"/>
        </w:rPr>
        <w:t>s as described</w:t>
      </w:r>
      <w:r w:rsidRPr="00AF7D9D">
        <w:rPr>
          <w:rFonts w:ascii="Times New Roman" w:hAnsi="Times New Roman" w:cs="Times New Roman"/>
          <w:sz w:val="24"/>
          <w:szCs w:val="24"/>
        </w:rPr>
        <w:t xml:space="preserve"> </w:t>
      </w:r>
      <w:r w:rsidR="00945A33" w:rsidRPr="00AF7D9D">
        <w:rPr>
          <w:rFonts w:ascii="Times New Roman" w:hAnsi="Times New Roman" w:cs="Times New Roman"/>
          <w:sz w:val="24"/>
          <w:szCs w:val="24"/>
        </w:rPr>
        <w:t xml:space="preserve">for this new scale, which we labeled the </w:t>
      </w:r>
      <w:r w:rsidR="00756BCA" w:rsidRPr="00AF7D9D">
        <w:rPr>
          <w:rFonts w:ascii="Times New Roman" w:hAnsi="Times New Roman" w:cs="Times New Roman"/>
          <w:sz w:val="24"/>
          <w:szCs w:val="24"/>
        </w:rPr>
        <w:t>D</w:t>
      </w:r>
      <w:r w:rsidR="003377FD" w:rsidRPr="00AF7D9D">
        <w:rPr>
          <w:rFonts w:ascii="Times New Roman" w:hAnsi="Times New Roman" w:cs="Times New Roman"/>
          <w:sz w:val="24"/>
          <w:szCs w:val="24"/>
        </w:rPr>
        <w:t xml:space="preserve">etection </w:t>
      </w:r>
      <w:r w:rsidR="00756BCA" w:rsidRPr="00AF7D9D">
        <w:rPr>
          <w:rFonts w:ascii="Times New Roman" w:hAnsi="Times New Roman" w:cs="Times New Roman"/>
          <w:sz w:val="24"/>
          <w:szCs w:val="24"/>
        </w:rPr>
        <w:t xml:space="preserve">of </w:t>
      </w:r>
      <w:r w:rsidR="003377FD" w:rsidRPr="00AF7D9D">
        <w:rPr>
          <w:rFonts w:ascii="Times New Roman" w:hAnsi="Times New Roman" w:cs="Times New Roman"/>
          <w:sz w:val="24"/>
          <w:szCs w:val="24"/>
        </w:rPr>
        <w:t xml:space="preserve">Inconsistent </w:t>
      </w:r>
      <w:r w:rsidR="00756BCA" w:rsidRPr="00AF7D9D">
        <w:rPr>
          <w:rFonts w:ascii="Times New Roman" w:hAnsi="Times New Roman" w:cs="Times New Roman"/>
          <w:sz w:val="24"/>
          <w:szCs w:val="24"/>
        </w:rPr>
        <w:t>Response Presentation</w:t>
      </w:r>
      <w:r w:rsidR="003377FD" w:rsidRPr="00AF7D9D">
        <w:rPr>
          <w:rFonts w:ascii="Times New Roman" w:hAnsi="Times New Roman" w:cs="Times New Roman"/>
          <w:sz w:val="24"/>
          <w:szCs w:val="24"/>
        </w:rPr>
        <w:t xml:space="preserve"> (DI</w:t>
      </w:r>
      <w:r w:rsidR="00945A33" w:rsidRPr="00AF7D9D">
        <w:rPr>
          <w:rFonts w:ascii="Times New Roman" w:hAnsi="Times New Roman" w:cs="Times New Roman"/>
          <w:sz w:val="24"/>
          <w:szCs w:val="24"/>
        </w:rPr>
        <w:t>RP)</w:t>
      </w:r>
      <w:r w:rsidR="00C1139C" w:rsidRPr="00AF7D9D">
        <w:rPr>
          <w:rFonts w:ascii="Times New Roman" w:hAnsi="Times New Roman" w:cs="Times New Roman"/>
          <w:sz w:val="24"/>
          <w:szCs w:val="24"/>
        </w:rPr>
        <w:t xml:space="preserve">. </w:t>
      </w:r>
      <w:r w:rsidR="00756BCA" w:rsidRPr="00AF7D9D">
        <w:rPr>
          <w:rFonts w:ascii="Times New Roman" w:hAnsi="Times New Roman" w:cs="Times New Roman"/>
          <w:sz w:val="24"/>
          <w:szCs w:val="24"/>
        </w:rPr>
        <w:t>Cons</w:t>
      </w:r>
      <w:r w:rsidR="00641C2C" w:rsidRPr="00AF7D9D">
        <w:rPr>
          <w:rFonts w:ascii="Times New Roman" w:hAnsi="Times New Roman" w:cs="Times New Roman"/>
          <w:sz w:val="24"/>
          <w:szCs w:val="24"/>
        </w:rPr>
        <w:t>idering the possible range of D</w:t>
      </w:r>
      <w:r w:rsidR="003377FD" w:rsidRPr="00AF7D9D">
        <w:rPr>
          <w:rFonts w:ascii="Times New Roman" w:hAnsi="Times New Roman" w:cs="Times New Roman"/>
          <w:sz w:val="24"/>
          <w:szCs w:val="24"/>
        </w:rPr>
        <w:t>I</w:t>
      </w:r>
      <w:r w:rsidR="00756BCA" w:rsidRPr="00AF7D9D">
        <w:rPr>
          <w:rFonts w:ascii="Times New Roman" w:hAnsi="Times New Roman" w:cs="Times New Roman"/>
          <w:sz w:val="24"/>
          <w:szCs w:val="24"/>
        </w:rPr>
        <w:t xml:space="preserve">RP scores (0 – 21), </w:t>
      </w:r>
      <w:r w:rsidR="00135FCB" w:rsidRPr="00AF7D9D">
        <w:rPr>
          <w:rFonts w:ascii="Times New Roman" w:hAnsi="Times New Roman" w:cs="Times New Roman"/>
          <w:sz w:val="24"/>
          <w:szCs w:val="24"/>
        </w:rPr>
        <w:t>the means for total scores</w:t>
      </w:r>
      <w:r w:rsidR="00756BCA" w:rsidRPr="00AF7D9D">
        <w:rPr>
          <w:rFonts w:ascii="Times New Roman" w:hAnsi="Times New Roman" w:cs="Times New Roman"/>
          <w:sz w:val="24"/>
          <w:szCs w:val="24"/>
        </w:rPr>
        <w:t xml:space="preserve"> were relatively low across our </w:t>
      </w:r>
      <w:r w:rsidR="00135FCB" w:rsidRPr="00AF7D9D">
        <w:rPr>
          <w:rFonts w:ascii="Times New Roman" w:hAnsi="Times New Roman" w:cs="Times New Roman"/>
          <w:sz w:val="24"/>
          <w:szCs w:val="24"/>
        </w:rPr>
        <w:t xml:space="preserve">five </w:t>
      </w:r>
      <w:r w:rsidR="00756BCA" w:rsidRPr="00AF7D9D">
        <w:rPr>
          <w:rFonts w:ascii="Times New Roman" w:hAnsi="Times New Roman" w:cs="Times New Roman"/>
          <w:sz w:val="24"/>
          <w:szCs w:val="24"/>
        </w:rPr>
        <w:t>samples (</w:t>
      </w:r>
      <w:r w:rsidR="00C1139C" w:rsidRPr="00AF7D9D">
        <w:rPr>
          <w:rFonts w:ascii="Times New Roman" w:hAnsi="Times New Roman" w:cs="Times New Roman"/>
          <w:sz w:val="24"/>
          <w:szCs w:val="24"/>
        </w:rPr>
        <w:t xml:space="preserve">U.S. Juvenile Justice </w:t>
      </w:r>
      <w:r w:rsidR="00756BCA" w:rsidRPr="00AF7D9D">
        <w:rPr>
          <w:rFonts w:ascii="Times New Roman" w:hAnsi="Times New Roman" w:cs="Times New Roman"/>
          <w:i/>
          <w:sz w:val="24"/>
          <w:szCs w:val="24"/>
        </w:rPr>
        <w:t>M</w:t>
      </w:r>
      <w:r w:rsidR="00756BCA" w:rsidRPr="00AF7D9D">
        <w:rPr>
          <w:rFonts w:ascii="Times New Roman" w:hAnsi="Times New Roman" w:cs="Times New Roman"/>
          <w:sz w:val="24"/>
          <w:szCs w:val="24"/>
        </w:rPr>
        <w:t xml:space="preserve"> = 5.09, </w:t>
      </w:r>
      <w:r w:rsidR="00756BCA" w:rsidRPr="00AF7D9D">
        <w:rPr>
          <w:rFonts w:ascii="Times New Roman" w:hAnsi="Times New Roman" w:cs="Times New Roman"/>
          <w:i/>
          <w:sz w:val="24"/>
          <w:szCs w:val="24"/>
        </w:rPr>
        <w:t xml:space="preserve">SD = </w:t>
      </w:r>
      <w:r w:rsidR="00756BCA" w:rsidRPr="00AF7D9D">
        <w:rPr>
          <w:rFonts w:ascii="Times New Roman" w:hAnsi="Times New Roman" w:cs="Times New Roman"/>
          <w:sz w:val="24"/>
          <w:szCs w:val="24"/>
        </w:rPr>
        <w:t>2.39</w:t>
      </w:r>
      <w:r w:rsidR="00C1139C" w:rsidRPr="00AF7D9D">
        <w:rPr>
          <w:rFonts w:ascii="Times New Roman" w:hAnsi="Times New Roman" w:cs="Times New Roman"/>
          <w:sz w:val="24"/>
          <w:szCs w:val="24"/>
        </w:rPr>
        <w:t xml:space="preserve">; U.S. Middle School </w:t>
      </w:r>
      <w:r w:rsidR="00756BCA" w:rsidRPr="00AF7D9D">
        <w:rPr>
          <w:rFonts w:ascii="Times New Roman" w:hAnsi="Times New Roman" w:cs="Times New Roman"/>
          <w:i/>
          <w:sz w:val="24"/>
          <w:szCs w:val="24"/>
        </w:rPr>
        <w:t>M</w:t>
      </w:r>
      <w:r w:rsidR="00756BCA" w:rsidRPr="00AF7D9D">
        <w:rPr>
          <w:rFonts w:ascii="Times New Roman" w:hAnsi="Times New Roman" w:cs="Times New Roman"/>
          <w:sz w:val="24"/>
          <w:szCs w:val="24"/>
        </w:rPr>
        <w:t xml:space="preserve"> = 4.</w:t>
      </w:r>
      <w:r w:rsidR="005C6782" w:rsidRPr="00AF7D9D">
        <w:rPr>
          <w:rFonts w:ascii="Times New Roman" w:hAnsi="Times New Roman" w:cs="Times New Roman"/>
          <w:sz w:val="24"/>
          <w:szCs w:val="24"/>
        </w:rPr>
        <w:t>52</w:t>
      </w:r>
      <w:r w:rsidR="00756BCA" w:rsidRPr="00AF7D9D">
        <w:rPr>
          <w:rFonts w:ascii="Times New Roman" w:hAnsi="Times New Roman" w:cs="Times New Roman"/>
          <w:sz w:val="24"/>
          <w:szCs w:val="24"/>
        </w:rPr>
        <w:t xml:space="preserve">, </w:t>
      </w:r>
      <w:r w:rsidR="00756BCA" w:rsidRPr="00AF7D9D">
        <w:rPr>
          <w:rFonts w:ascii="Times New Roman" w:hAnsi="Times New Roman" w:cs="Times New Roman"/>
          <w:i/>
          <w:sz w:val="24"/>
          <w:szCs w:val="24"/>
        </w:rPr>
        <w:t>SD</w:t>
      </w:r>
      <w:r w:rsidR="00756BCA" w:rsidRPr="00AF7D9D">
        <w:rPr>
          <w:rFonts w:ascii="Times New Roman" w:hAnsi="Times New Roman" w:cs="Times New Roman"/>
          <w:sz w:val="24"/>
          <w:szCs w:val="24"/>
        </w:rPr>
        <w:t xml:space="preserve"> = 2.4</w:t>
      </w:r>
      <w:r w:rsidR="005C6782" w:rsidRPr="00AF7D9D">
        <w:rPr>
          <w:rFonts w:ascii="Times New Roman" w:hAnsi="Times New Roman" w:cs="Times New Roman"/>
          <w:sz w:val="24"/>
          <w:szCs w:val="24"/>
        </w:rPr>
        <w:t>4</w:t>
      </w:r>
      <w:r w:rsidR="00C1139C" w:rsidRPr="00AF7D9D">
        <w:rPr>
          <w:rFonts w:ascii="Times New Roman" w:hAnsi="Times New Roman" w:cs="Times New Roman"/>
          <w:sz w:val="24"/>
          <w:szCs w:val="24"/>
        </w:rPr>
        <w:t xml:space="preserve">; German Vocational </w:t>
      </w:r>
      <w:r w:rsidR="00756BCA" w:rsidRPr="00AF7D9D">
        <w:rPr>
          <w:rFonts w:ascii="Times New Roman" w:hAnsi="Times New Roman" w:cs="Times New Roman"/>
          <w:i/>
          <w:sz w:val="24"/>
          <w:szCs w:val="24"/>
        </w:rPr>
        <w:t>M</w:t>
      </w:r>
      <w:r w:rsidR="00756BCA" w:rsidRPr="00AF7D9D">
        <w:rPr>
          <w:rFonts w:ascii="Times New Roman" w:hAnsi="Times New Roman" w:cs="Times New Roman"/>
          <w:sz w:val="24"/>
          <w:szCs w:val="24"/>
        </w:rPr>
        <w:t xml:space="preserve"> </w:t>
      </w:r>
      <w:r w:rsidR="00C1139C" w:rsidRPr="00AF7D9D">
        <w:rPr>
          <w:rFonts w:ascii="Times New Roman" w:hAnsi="Times New Roman" w:cs="Times New Roman"/>
          <w:sz w:val="24"/>
          <w:szCs w:val="24"/>
        </w:rPr>
        <w:t>= 4.50</w:t>
      </w:r>
      <w:r w:rsidR="00756BCA" w:rsidRPr="00AF7D9D">
        <w:rPr>
          <w:rFonts w:ascii="Times New Roman" w:hAnsi="Times New Roman" w:cs="Times New Roman"/>
          <w:sz w:val="24"/>
          <w:szCs w:val="24"/>
        </w:rPr>
        <w:t xml:space="preserve">, </w:t>
      </w:r>
      <w:r w:rsidR="00756BCA" w:rsidRPr="00AF7D9D">
        <w:rPr>
          <w:rFonts w:ascii="Times New Roman" w:hAnsi="Times New Roman" w:cs="Times New Roman"/>
          <w:i/>
          <w:sz w:val="24"/>
          <w:szCs w:val="24"/>
        </w:rPr>
        <w:t>SD</w:t>
      </w:r>
      <w:r w:rsidR="00756BCA" w:rsidRPr="00AF7D9D">
        <w:rPr>
          <w:rFonts w:ascii="Times New Roman" w:hAnsi="Times New Roman" w:cs="Times New Roman"/>
          <w:sz w:val="24"/>
          <w:szCs w:val="24"/>
        </w:rPr>
        <w:t xml:space="preserve"> = 2.27</w:t>
      </w:r>
      <w:r w:rsidR="00C1139C" w:rsidRPr="00AF7D9D">
        <w:rPr>
          <w:rFonts w:ascii="Times New Roman" w:hAnsi="Times New Roman" w:cs="Times New Roman"/>
          <w:sz w:val="24"/>
          <w:szCs w:val="24"/>
        </w:rPr>
        <w:t xml:space="preserve">; </w:t>
      </w:r>
      <w:r w:rsidR="00756BCA" w:rsidRPr="00AF7D9D">
        <w:rPr>
          <w:rFonts w:ascii="Times New Roman" w:hAnsi="Times New Roman" w:cs="Times New Roman"/>
          <w:sz w:val="24"/>
          <w:szCs w:val="24"/>
        </w:rPr>
        <w:t xml:space="preserve">Italian Youth </w:t>
      </w:r>
      <w:r w:rsidR="00756BCA" w:rsidRPr="00AF7D9D">
        <w:rPr>
          <w:rFonts w:ascii="Times New Roman" w:hAnsi="Times New Roman" w:cs="Times New Roman"/>
          <w:i/>
          <w:sz w:val="24"/>
          <w:szCs w:val="24"/>
        </w:rPr>
        <w:t>M</w:t>
      </w:r>
      <w:r w:rsidR="00756BCA" w:rsidRPr="00AF7D9D">
        <w:rPr>
          <w:rFonts w:ascii="Times New Roman" w:hAnsi="Times New Roman" w:cs="Times New Roman"/>
          <w:sz w:val="24"/>
          <w:szCs w:val="24"/>
        </w:rPr>
        <w:t xml:space="preserve"> = 4.05, </w:t>
      </w:r>
      <w:r w:rsidR="00756BCA" w:rsidRPr="00AF7D9D">
        <w:rPr>
          <w:rFonts w:ascii="Times New Roman" w:hAnsi="Times New Roman" w:cs="Times New Roman"/>
          <w:i/>
          <w:sz w:val="24"/>
          <w:szCs w:val="24"/>
        </w:rPr>
        <w:t>SD</w:t>
      </w:r>
      <w:r w:rsidR="00756BCA" w:rsidRPr="00AF7D9D">
        <w:rPr>
          <w:rFonts w:ascii="Times New Roman" w:hAnsi="Times New Roman" w:cs="Times New Roman"/>
          <w:sz w:val="24"/>
          <w:szCs w:val="24"/>
        </w:rPr>
        <w:t xml:space="preserve"> = 2.61</w:t>
      </w:r>
      <w:r w:rsidR="00A61318" w:rsidRPr="00AF7D9D">
        <w:rPr>
          <w:rFonts w:ascii="Times New Roman" w:hAnsi="Times New Roman" w:cs="Times New Roman"/>
          <w:sz w:val="24"/>
          <w:szCs w:val="24"/>
        </w:rPr>
        <w:t xml:space="preserve">; </w:t>
      </w:r>
      <w:r w:rsidR="00C1139C" w:rsidRPr="00AF7D9D">
        <w:rPr>
          <w:rFonts w:ascii="Times New Roman" w:hAnsi="Times New Roman" w:cs="Times New Roman"/>
          <w:sz w:val="24"/>
          <w:szCs w:val="24"/>
        </w:rPr>
        <w:t xml:space="preserve">Dutch Adolescent </w:t>
      </w:r>
      <w:r w:rsidR="00756BCA" w:rsidRPr="00AF7D9D">
        <w:rPr>
          <w:rFonts w:ascii="Times New Roman" w:hAnsi="Times New Roman" w:cs="Times New Roman"/>
          <w:i/>
          <w:sz w:val="24"/>
          <w:szCs w:val="24"/>
        </w:rPr>
        <w:t>M</w:t>
      </w:r>
      <w:r w:rsidR="00F15265" w:rsidRPr="00AF7D9D">
        <w:rPr>
          <w:rFonts w:ascii="Times New Roman" w:hAnsi="Times New Roman" w:cs="Times New Roman"/>
          <w:sz w:val="24"/>
          <w:szCs w:val="24"/>
        </w:rPr>
        <w:t xml:space="preserve"> = 4.13</w:t>
      </w:r>
      <w:r w:rsidR="00756BCA" w:rsidRPr="00AF7D9D">
        <w:rPr>
          <w:rFonts w:ascii="Times New Roman" w:hAnsi="Times New Roman" w:cs="Times New Roman"/>
          <w:sz w:val="24"/>
          <w:szCs w:val="24"/>
        </w:rPr>
        <w:t xml:space="preserve">, </w:t>
      </w:r>
      <w:r w:rsidR="00756BCA" w:rsidRPr="00AF7D9D">
        <w:rPr>
          <w:rFonts w:ascii="Times New Roman" w:hAnsi="Times New Roman" w:cs="Times New Roman"/>
          <w:i/>
          <w:sz w:val="24"/>
          <w:szCs w:val="24"/>
        </w:rPr>
        <w:t>SD</w:t>
      </w:r>
      <w:r w:rsidR="00F15265" w:rsidRPr="00AF7D9D">
        <w:rPr>
          <w:rFonts w:ascii="Times New Roman" w:hAnsi="Times New Roman" w:cs="Times New Roman"/>
          <w:sz w:val="24"/>
          <w:szCs w:val="24"/>
        </w:rPr>
        <w:t xml:space="preserve"> = 2.66</w:t>
      </w:r>
      <w:r w:rsidR="00D768F5" w:rsidRPr="00AF7D9D">
        <w:rPr>
          <w:rFonts w:ascii="Times New Roman" w:hAnsi="Times New Roman" w:cs="Times New Roman"/>
          <w:sz w:val="24"/>
          <w:szCs w:val="24"/>
        </w:rPr>
        <w:t>)</w:t>
      </w:r>
      <w:r w:rsidR="00C1139C" w:rsidRPr="00AF7D9D">
        <w:rPr>
          <w:rFonts w:ascii="Times New Roman" w:hAnsi="Times New Roman" w:cs="Times New Roman"/>
          <w:sz w:val="24"/>
          <w:szCs w:val="24"/>
        </w:rPr>
        <w:t xml:space="preserve">. </w:t>
      </w:r>
    </w:p>
    <w:p w14:paraId="78AE9FB6" w14:textId="243FD2D8" w:rsidR="00AD7D76" w:rsidRPr="00AF7D9D" w:rsidRDefault="00C1139C" w:rsidP="00CD44E1">
      <w:pPr>
        <w:spacing w:after="0" w:line="480" w:lineRule="auto"/>
        <w:ind w:firstLine="720"/>
        <w:rPr>
          <w:rFonts w:ascii="Times New Roman" w:hAnsi="Times New Roman" w:cs="Times New Roman"/>
          <w:sz w:val="24"/>
          <w:szCs w:val="24"/>
        </w:rPr>
      </w:pPr>
      <w:r w:rsidRPr="00AF7D9D">
        <w:rPr>
          <w:rFonts w:ascii="Times New Roman" w:hAnsi="Times New Roman" w:cs="Times New Roman"/>
          <w:sz w:val="24"/>
          <w:szCs w:val="24"/>
        </w:rPr>
        <w:t>F</w:t>
      </w:r>
      <w:r w:rsidR="00A83813" w:rsidRPr="00AF7D9D">
        <w:rPr>
          <w:rFonts w:ascii="Times New Roman" w:hAnsi="Times New Roman" w:cs="Times New Roman"/>
          <w:sz w:val="24"/>
          <w:szCs w:val="24"/>
        </w:rPr>
        <w:t>or comparison purposes</w:t>
      </w:r>
      <w:r w:rsidR="00756BCA" w:rsidRPr="00AF7D9D">
        <w:rPr>
          <w:rFonts w:ascii="Times New Roman" w:hAnsi="Times New Roman" w:cs="Times New Roman"/>
          <w:sz w:val="24"/>
          <w:szCs w:val="24"/>
        </w:rPr>
        <w:t>,</w:t>
      </w:r>
      <w:r w:rsidR="00A83813" w:rsidRPr="00AF7D9D">
        <w:rPr>
          <w:rFonts w:ascii="Times New Roman" w:hAnsi="Times New Roman" w:cs="Times New Roman"/>
          <w:sz w:val="24"/>
          <w:szCs w:val="24"/>
        </w:rPr>
        <w:t xml:space="preserve"> </w:t>
      </w:r>
      <w:r w:rsidRPr="00AF7D9D">
        <w:rPr>
          <w:rFonts w:ascii="Times New Roman" w:hAnsi="Times New Roman" w:cs="Times New Roman"/>
          <w:sz w:val="24"/>
          <w:szCs w:val="24"/>
        </w:rPr>
        <w:t xml:space="preserve">we </w:t>
      </w:r>
      <w:r w:rsidR="008376BA" w:rsidRPr="00AF7D9D">
        <w:rPr>
          <w:rFonts w:ascii="Times New Roman" w:hAnsi="Times New Roman" w:cs="Times New Roman"/>
          <w:sz w:val="24"/>
          <w:szCs w:val="24"/>
        </w:rPr>
        <w:t xml:space="preserve">randomly </w:t>
      </w:r>
      <w:r w:rsidR="00A83813" w:rsidRPr="00AF7D9D">
        <w:rPr>
          <w:rFonts w:ascii="Times New Roman" w:hAnsi="Times New Roman" w:cs="Times New Roman"/>
          <w:sz w:val="24"/>
          <w:szCs w:val="24"/>
        </w:rPr>
        <w:t xml:space="preserve">generated </w:t>
      </w:r>
      <w:r w:rsidR="00756BCA" w:rsidRPr="00AF7D9D">
        <w:rPr>
          <w:rFonts w:ascii="Times New Roman" w:hAnsi="Times New Roman" w:cs="Times New Roman"/>
          <w:sz w:val="24"/>
          <w:szCs w:val="24"/>
        </w:rPr>
        <w:t>YPI-S responses</w:t>
      </w:r>
      <w:r w:rsidR="00A83813" w:rsidRPr="00AF7D9D">
        <w:rPr>
          <w:rFonts w:ascii="Times New Roman" w:hAnsi="Times New Roman" w:cs="Times New Roman"/>
          <w:sz w:val="24"/>
          <w:szCs w:val="24"/>
        </w:rPr>
        <w:t xml:space="preserve"> for 1,000 cases</w:t>
      </w:r>
      <w:r w:rsidR="00B30385" w:rsidRPr="00AF7D9D">
        <w:rPr>
          <w:rFonts w:ascii="Times New Roman" w:hAnsi="Times New Roman" w:cs="Times New Roman"/>
          <w:sz w:val="24"/>
          <w:szCs w:val="24"/>
        </w:rPr>
        <w:t xml:space="preserve">, which </w:t>
      </w:r>
      <w:r w:rsidR="00756BCA" w:rsidRPr="00AF7D9D">
        <w:rPr>
          <w:rFonts w:ascii="Times New Roman" w:hAnsi="Times New Roman" w:cs="Times New Roman"/>
          <w:sz w:val="24"/>
          <w:szCs w:val="24"/>
        </w:rPr>
        <w:t>produced significantly elevated</w:t>
      </w:r>
      <w:r w:rsidR="00B30385" w:rsidRPr="00AF7D9D">
        <w:rPr>
          <w:rFonts w:ascii="Times New Roman" w:hAnsi="Times New Roman" w:cs="Times New Roman"/>
          <w:sz w:val="24"/>
          <w:szCs w:val="24"/>
        </w:rPr>
        <w:t xml:space="preserve"> score</w:t>
      </w:r>
      <w:r w:rsidR="00756BCA" w:rsidRPr="00AF7D9D">
        <w:rPr>
          <w:rFonts w:ascii="Times New Roman" w:hAnsi="Times New Roman" w:cs="Times New Roman"/>
          <w:sz w:val="24"/>
          <w:szCs w:val="24"/>
        </w:rPr>
        <w:t>s</w:t>
      </w:r>
      <w:r w:rsidR="00641C2C" w:rsidRPr="00AF7D9D">
        <w:rPr>
          <w:rFonts w:ascii="Times New Roman" w:hAnsi="Times New Roman" w:cs="Times New Roman"/>
          <w:sz w:val="24"/>
          <w:szCs w:val="24"/>
        </w:rPr>
        <w:t xml:space="preserve"> on the DI</w:t>
      </w:r>
      <w:r w:rsidR="00B30385" w:rsidRPr="00AF7D9D">
        <w:rPr>
          <w:rFonts w:ascii="Times New Roman" w:hAnsi="Times New Roman" w:cs="Times New Roman"/>
          <w:sz w:val="24"/>
          <w:szCs w:val="24"/>
        </w:rPr>
        <w:t xml:space="preserve">RP </w:t>
      </w:r>
      <w:r w:rsidR="00756BCA" w:rsidRPr="00AF7D9D">
        <w:rPr>
          <w:rFonts w:ascii="Times New Roman" w:hAnsi="Times New Roman" w:cs="Times New Roman"/>
          <w:sz w:val="24"/>
          <w:szCs w:val="24"/>
        </w:rPr>
        <w:t>(</w:t>
      </w:r>
      <w:r w:rsidR="00756BCA" w:rsidRPr="00AF7D9D">
        <w:rPr>
          <w:rFonts w:ascii="Times New Roman" w:hAnsi="Times New Roman" w:cs="Times New Roman"/>
          <w:i/>
          <w:sz w:val="24"/>
          <w:szCs w:val="24"/>
        </w:rPr>
        <w:t>M</w:t>
      </w:r>
      <w:r w:rsidR="00756BCA" w:rsidRPr="00AF7D9D">
        <w:rPr>
          <w:rFonts w:ascii="Times New Roman" w:hAnsi="Times New Roman" w:cs="Times New Roman"/>
          <w:sz w:val="24"/>
          <w:szCs w:val="24"/>
        </w:rPr>
        <w:t xml:space="preserve"> = 8.77; </w:t>
      </w:r>
      <w:r w:rsidR="00411734" w:rsidRPr="00AF7D9D">
        <w:rPr>
          <w:rFonts w:ascii="Times New Roman" w:hAnsi="Times New Roman" w:cs="Times New Roman"/>
          <w:i/>
          <w:sz w:val="24"/>
          <w:szCs w:val="24"/>
        </w:rPr>
        <w:t>SD</w:t>
      </w:r>
      <w:r w:rsidR="00411734" w:rsidRPr="00AF7D9D">
        <w:rPr>
          <w:rFonts w:ascii="Times New Roman" w:hAnsi="Times New Roman" w:cs="Times New Roman"/>
          <w:sz w:val="24"/>
          <w:szCs w:val="24"/>
        </w:rPr>
        <w:t xml:space="preserve"> = </w:t>
      </w:r>
      <w:r w:rsidR="00B30385" w:rsidRPr="00AF7D9D">
        <w:rPr>
          <w:rFonts w:ascii="Times New Roman" w:hAnsi="Times New Roman" w:cs="Times New Roman"/>
          <w:sz w:val="24"/>
          <w:szCs w:val="24"/>
        </w:rPr>
        <w:t>2.49</w:t>
      </w:r>
      <w:r w:rsidR="00AD7D76" w:rsidRPr="00AF7D9D">
        <w:rPr>
          <w:rFonts w:ascii="Times New Roman" w:hAnsi="Times New Roman" w:cs="Times New Roman"/>
          <w:sz w:val="24"/>
          <w:szCs w:val="24"/>
        </w:rPr>
        <w:t xml:space="preserve">; see Table 2 for </w:t>
      </w:r>
      <w:r w:rsidR="00AD7D76" w:rsidRPr="00AF7D9D">
        <w:rPr>
          <w:rFonts w:ascii="Times New Roman" w:hAnsi="Times New Roman" w:cs="Times New Roman"/>
          <w:i/>
          <w:sz w:val="24"/>
          <w:szCs w:val="24"/>
        </w:rPr>
        <w:t>t</w:t>
      </w:r>
      <w:r w:rsidR="00AD7D76" w:rsidRPr="00AF7D9D">
        <w:rPr>
          <w:rFonts w:ascii="Times New Roman" w:hAnsi="Times New Roman" w:cs="Times New Roman"/>
          <w:sz w:val="24"/>
          <w:szCs w:val="24"/>
        </w:rPr>
        <w:t>-values</w:t>
      </w:r>
      <w:r w:rsidR="00B30385" w:rsidRPr="00AF7D9D">
        <w:rPr>
          <w:rFonts w:ascii="Times New Roman" w:hAnsi="Times New Roman" w:cs="Times New Roman"/>
          <w:sz w:val="24"/>
          <w:szCs w:val="24"/>
        </w:rPr>
        <w:t>)</w:t>
      </w:r>
      <w:r w:rsidR="00A83813" w:rsidRPr="00AF7D9D">
        <w:rPr>
          <w:rFonts w:ascii="Times New Roman" w:hAnsi="Times New Roman" w:cs="Times New Roman"/>
          <w:sz w:val="24"/>
          <w:szCs w:val="24"/>
        </w:rPr>
        <w:t xml:space="preserve">. </w:t>
      </w:r>
      <w:r w:rsidR="00AD7D76" w:rsidRPr="00AF7D9D">
        <w:rPr>
          <w:rFonts w:ascii="Times New Roman" w:hAnsi="Times New Roman" w:cs="Times New Roman"/>
          <w:sz w:val="24"/>
          <w:szCs w:val="24"/>
        </w:rPr>
        <w:t xml:space="preserve">We next conducted </w:t>
      </w:r>
      <w:r w:rsidR="00A83813" w:rsidRPr="00AF7D9D">
        <w:rPr>
          <w:rFonts w:ascii="Times New Roman" w:hAnsi="Times New Roman" w:cs="Times New Roman"/>
          <w:sz w:val="24"/>
          <w:szCs w:val="24"/>
        </w:rPr>
        <w:t xml:space="preserve">Receiver Operating Characteristic (ROC) </w:t>
      </w:r>
      <w:r w:rsidR="00AD7D76" w:rsidRPr="00AF7D9D">
        <w:rPr>
          <w:rFonts w:ascii="Times New Roman" w:hAnsi="Times New Roman" w:cs="Times New Roman"/>
          <w:sz w:val="24"/>
          <w:szCs w:val="24"/>
        </w:rPr>
        <w:t>analyses to</w:t>
      </w:r>
      <w:r w:rsidR="00641C2C" w:rsidRPr="00AF7D9D">
        <w:rPr>
          <w:rFonts w:ascii="Times New Roman" w:hAnsi="Times New Roman" w:cs="Times New Roman"/>
          <w:sz w:val="24"/>
          <w:szCs w:val="24"/>
        </w:rPr>
        <w:t xml:space="preserve"> determine the utility of the DI</w:t>
      </w:r>
      <w:r w:rsidR="00AD7D76" w:rsidRPr="00AF7D9D">
        <w:rPr>
          <w:rFonts w:ascii="Times New Roman" w:hAnsi="Times New Roman" w:cs="Times New Roman"/>
          <w:sz w:val="24"/>
          <w:szCs w:val="24"/>
        </w:rPr>
        <w:t>RP in accurately classifying cases as genuine or randomly</w:t>
      </w:r>
      <w:r w:rsidR="00D24F74" w:rsidRPr="00AF7D9D">
        <w:rPr>
          <w:rFonts w:ascii="Times New Roman" w:hAnsi="Times New Roman" w:cs="Times New Roman"/>
          <w:sz w:val="24"/>
          <w:szCs w:val="24"/>
        </w:rPr>
        <w:t xml:space="preserve"> </w:t>
      </w:r>
      <w:r w:rsidR="00AD7D76" w:rsidRPr="00AF7D9D">
        <w:rPr>
          <w:rFonts w:ascii="Times New Roman" w:hAnsi="Times New Roman" w:cs="Times New Roman"/>
          <w:sz w:val="24"/>
          <w:szCs w:val="24"/>
        </w:rPr>
        <w:t>generated.</w:t>
      </w:r>
      <w:r w:rsidR="008D7FCD" w:rsidRPr="00AF7D9D">
        <w:rPr>
          <w:rFonts w:ascii="Times New Roman" w:hAnsi="Times New Roman" w:cs="Times New Roman"/>
          <w:sz w:val="24"/>
          <w:szCs w:val="24"/>
        </w:rPr>
        <w:t xml:space="preserve"> Here, the area under the ROC curve (AUC) value represents the probability that a case randomly selected </w:t>
      </w:r>
      <w:r w:rsidR="008D7FCD" w:rsidRPr="00AF7D9D">
        <w:rPr>
          <w:rFonts w:ascii="Times New Roman" w:hAnsi="Times New Roman" w:cs="Times New Roman"/>
          <w:sz w:val="24"/>
          <w:szCs w:val="24"/>
        </w:rPr>
        <w:lastRenderedPageBreak/>
        <w:t>from the set of computer-generated protocols would obtain a higher inconsistency score than a case randomly selected from the sample of actual participants</w:t>
      </w:r>
      <w:r w:rsidR="00971BC1" w:rsidRPr="00AF7D9D">
        <w:rPr>
          <w:rFonts w:ascii="Times New Roman" w:hAnsi="Times New Roman" w:cs="Times New Roman"/>
          <w:sz w:val="24"/>
          <w:szCs w:val="24"/>
        </w:rPr>
        <w:t xml:space="preserve">. </w:t>
      </w:r>
      <w:r w:rsidR="007647DA" w:rsidRPr="00AF7D9D">
        <w:rPr>
          <w:rFonts w:ascii="Times New Roman" w:hAnsi="Times New Roman" w:cs="Times New Roman"/>
          <w:sz w:val="24"/>
          <w:szCs w:val="24"/>
        </w:rPr>
        <w:t>Alth</w:t>
      </w:r>
      <w:r w:rsidR="00FC0FD1" w:rsidRPr="00AF7D9D">
        <w:rPr>
          <w:rFonts w:ascii="Times New Roman" w:hAnsi="Times New Roman" w:cs="Times New Roman"/>
          <w:sz w:val="24"/>
          <w:szCs w:val="24"/>
        </w:rPr>
        <w:t>ough</w:t>
      </w:r>
      <w:r w:rsidR="007647DA" w:rsidRPr="00AF7D9D">
        <w:rPr>
          <w:rFonts w:ascii="Times New Roman" w:hAnsi="Times New Roman" w:cs="Times New Roman"/>
          <w:sz w:val="24"/>
          <w:szCs w:val="24"/>
        </w:rPr>
        <w:t xml:space="preserve"> significant </w:t>
      </w:r>
      <w:r w:rsidR="008D7FCD" w:rsidRPr="00AF7D9D">
        <w:rPr>
          <w:rFonts w:ascii="Times New Roman" w:hAnsi="Times New Roman" w:cs="Times New Roman"/>
          <w:sz w:val="24"/>
          <w:szCs w:val="24"/>
        </w:rPr>
        <w:t>AUC</w:t>
      </w:r>
      <w:r w:rsidR="00FC0FD1" w:rsidRPr="00AF7D9D">
        <w:rPr>
          <w:rFonts w:ascii="Times New Roman" w:hAnsi="Times New Roman" w:cs="Times New Roman"/>
          <w:sz w:val="24"/>
          <w:szCs w:val="24"/>
        </w:rPr>
        <w:t>s &gt; .50 indicate</w:t>
      </w:r>
      <w:r w:rsidR="007647DA" w:rsidRPr="00AF7D9D">
        <w:rPr>
          <w:rFonts w:ascii="Times New Roman" w:hAnsi="Times New Roman" w:cs="Times New Roman"/>
          <w:sz w:val="24"/>
          <w:szCs w:val="24"/>
        </w:rPr>
        <w:t xml:space="preserve"> greater than chance classification accuracy, effects are generally </w:t>
      </w:r>
      <w:r w:rsidR="00FC0FD1" w:rsidRPr="00AF7D9D">
        <w:rPr>
          <w:rFonts w:ascii="Times New Roman" w:hAnsi="Times New Roman" w:cs="Times New Roman"/>
          <w:sz w:val="24"/>
          <w:szCs w:val="24"/>
        </w:rPr>
        <w:t xml:space="preserve">considered </w:t>
      </w:r>
      <w:r w:rsidR="00A72F83" w:rsidRPr="00AF7D9D">
        <w:rPr>
          <w:rFonts w:ascii="Times New Roman" w:hAnsi="Times New Roman" w:cs="Times New Roman"/>
          <w:sz w:val="24"/>
          <w:szCs w:val="24"/>
        </w:rPr>
        <w:t>“</w:t>
      </w:r>
      <w:r w:rsidR="00FC0FD1" w:rsidRPr="00AF7D9D">
        <w:rPr>
          <w:rFonts w:ascii="Times New Roman" w:hAnsi="Times New Roman" w:cs="Times New Roman"/>
          <w:sz w:val="24"/>
          <w:szCs w:val="24"/>
        </w:rPr>
        <w:t>strong</w:t>
      </w:r>
      <w:r w:rsidR="00A72F83" w:rsidRPr="00AF7D9D">
        <w:rPr>
          <w:rFonts w:ascii="Times New Roman" w:hAnsi="Times New Roman" w:cs="Times New Roman"/>
          <w:sz w:val="24"/>
          <w:szCs w:val="24"/>
        </w:rPr>
        <w:t>”</w:t>
      </w:r>
      <w:r w:rsidR="00FC0FD1" w:rsidRPr="00AF7D9D">
        <w:rPr>
          <w:rFonts w:ascii="Times New Roman" w:hAnsi="Times New Roman" w:cs="Times New Roman"/>
          <w:sz w:val="24"/>
          <w:szCs w:val="24"/>
        </w:rPr>
        <w:t xml:space="preserve"> at </w:t>
      </w:r>
      <w:r w:rsidR="007647DA" w:rsidRPr="00AF7D9D">
        <w:rPr>
          <w:rFonts w:ascii="Times New Roman" w:hAnsi="Times New Roman" w:cs="Times New Roman"/>
          <w:sz w:val="24"/>
          <w:szCs w:val="24"/>
        </w:rPr>
        <w:t>values &gt; .70 (Rice &amp; Harris, 2005).</w:t>
      </w:r>
      <w:r w:rsidR="008D7FCD" w:rsidRPr="00AF7D9D">
        <w:rPr>
          <w:rFonts w:ascii="Times New Roman" w:hAnsi="Times New Roman" w:cs="Times New Roman"/>
          <w:sz w:val="24"/>
          <w:szCs w:val="24"/>
        </w:rPr>
        <w:t xml:space="preserve"> </w:t>
      </w:r>
      <w:r w:rsidR="00AD7D76" w:rsidRPr="00AF7D9D">
        <w:rPr>
          <w:rFonts w:ascii="Times New Roman" w:hAnsi="Times New Roman" w:cs="Times New Roman"/>
          <w:sz w:val="24"/>
          <w:szCs w:val="24"/>
        </w:rPr>
        <w:t>Consistent with comparisons of mean differen</w:t>
      </w:r>
      <w:r w:rsidR="00641C2C" w:rsidRPr="00AF7D9D">
        <w:rPr>
          <w:rFonts w:ascii="Times New Roman" w:hAnsi="Times New Roman" w:cs="Times New Roman"/>
          <w:sz w:val="24"/>
          <w:szCs w:val="24"/>
        </w:rPr>
        <w:t>ces, the DI</w:t>
      </w:r>
      <w:r w:rsidR="00AD7D76" w:rsidRPr="00AF7D9D">
        <w:rPr>
          <w:rFonts w:ascii="Times New Roman" w:hAnsi="Times New Roman" w:cs="Times New Roman"/>
          <w:sz w:val="24"/>
          <w:szCs w:val="24"/>
        </w:rPr>
        <w:t xml:space="preserve">RP </w:t>
      </w:r>
      <w:r w:rsidR="00A72F83" w:rsidRPr="00AF7D9D">
        <w:rPr>
          <w:rFonts w:ascii="Times New Roman" w:hAnsi="Times New Roman" w:cs="Times New Roman"/>
          <w:sz w:val="24"/>
          <w:szCs w:val="24"/>
        </w:rPr>
        <w:t xml:space="preserve">strongly </w:t>
      </w:r>
      <w:r w:rsidR="00AD7D76" w:rsidRPr="00AF7D9D">
        <w:rPr>
          <w:rFonts w:ascii="Times New Roman" w:hAnsi="Times New Roman" w:cs="Times New Roman"/>
          <w:sz w:val="24"/>
          <w:szCs w:val="24"/>
        </w:rPr>
        <w:t>differentiated between the</w:t>
      </w:r>
      <w:r w:rsidR="00210424" w:rsidRPr="00AF7D9D">
        <w:rPr>
          <w:rFonts w:ascii="Times New Roman" w:hAnsi="Times New Roman" w:cs="Times New Roman"/>
          <w:sz w:val="24"/>
          <w:szCs w:val="24"/>
        </w:rPr>
        <w:t xml:space="preserve"> original and random</w:t>
      </w:r>
      <w:r w:rsidR="00AD7D76" w:rsidRPr="00AF7D9D">
        <w:rPr>
          <w:rFonts w:ascii="Times New Roman" w:hAnsi="Times New Roman" w:cs="Times New Roman"/>
          <w:sz w:val="24"/>
          <w:szCs w:val="24"/>
        </w:rPr>
        <w:t xml:space="preserve"> sources of data (AUCs = .85 - .90). </w:t>
      </w:r>
    </w:p>
    <w:p w14:paraId="5E31F8D5" w14:textId="54B5BDD0" w:rsidR="00135FCB" w:rsidRPr="00AF7D9D" w:rsidRDefault="00135FCB" w:rsidP="00CD44E1">
      <w:pPr>
        <w:spacing w:after="0" w:line="480" w:lineRule="auto"/>
        <w:ind w:firstLine="720"/>
        <w:rPr>
          <w:rFonts w:ascii="Times New Roman" w:hAnsi="Times New Roman" w:cs="Times New Roman"/>
          <w:sz w:val="24"/>
          <w:szCs w:val="24"/>
        </w:rPr>
      </w:pPr>
      <w:r w:rsidRPr="00AF7D9D">
        <w:rPr>
          <w:rFonts w:ascii="Times New Roman" w:hAnsi="Times New Roman" w:cs="Times New Roman"/>
          <w:sz w:val="24"/>
          <w:szCs w:val="24"/>
        </w:rPr>
        <w:t xml:space="preserve">To </w:t>
      </w:r>
      <w:r w:rsidR="003E03A8" w:rsidRPr="00AF7D9D">
        <w:rPr>
          <w:rFonts w:ascii="Times New Roman" w:hAnsi="Times New Roman" w:cs="Times New Roman"/>
          <w:sz w:val="24"/>
          <w:szCs w:val="24"/>
        </w:rPr>
        <w:t>further</w:t>
      </w:r>
      <w:r w:rsidRPr="00AF7D9D">
        <w:rPr>
          <w:rFonts w:ascii="Times New Roman" w:hAnsi="Times New Roman" w:cs="Times New Roman"/>
          <w:sz w:val="24"/>
          <w:szCs w:val="24"/>
        </w:rPr>
        <w:t xml:space="preserve"> assess </w:t>
      </w:r>
      <w:r w:rsidR="00293288" w:rsidRPr="00AF7D9D">
        <w:rPr>
          <w:rFonts w:ascii="Times New Roman" w:hAnsi="Times New Roman" w:cs="Times New Roman"/>
          <w:sz w:val="24"/>
          <w:szCs w:val="24"/>
        </w:rPr>
        <w:t>the</w:t>
      </w:r>
      <w:r w:rsidRPr="00AF7D9D">
        <w:rPr>
          <w:rFonts w:ascii="Times New Roman" w:hAnsi="Times New Roman" w:cs="Times New Roman"/>
          <w:sz w:val="24"/>
          <w:szCs w:val="24"/>
        </w:rPr>
        <w:t xml:space="preserve"> performance</w:t>
      </w:r>
      <w:r w:rsidR="00641C2C" w:rsidRPr="00AF7D9D">
        <w:rPr>
          <w:rFonts w:ascii="Times New Roman" w:hAnsi="Times New Roman" w:cs="Times New Roman"/>
          <w:sz w:val="24"/>
          <w:szCs w:val="24"/>
        </w:rPr>
        <w:t xml:space="preserve"> of the DI</w:t>
      </w:r>
      <w:r w:rsidR="00293288" w:rsidRPr="00AF7D9D">
        <w:rPr>
          <w:rFonts w:ascii="Times New Roman" w:hAnsi="Times New Roman" w:cs="Times New Roman"/>
          <w:sz w:val="24"/>
          <w:szCs w:val="24"/>
        </w:rPr>
        <w:t>RP</w:t>
      </w:r>
      <w:r w:rsidRPr="00AF7D9D">
        <w:rPr>
          <w:rFonts w:ascii="Times New Roman" w:hAnsi="Times New Roman" w:cs="Times New Roman"/>
          <w:sz w:val="24"/>
          <w:szCs w:val="24"/>
        </w:rPr>
        <w:t>, we randomly selected and replaced 50% of YPI-S item responses in the original datasets using a procedure described by Handel et al. (2010). This approach may better approximate participant inattentiveness and aligns with previous findings that when 40-50% of responses are randomly produced, scores on common inconsistency scales typically exceed the threshold for validity (Handel et al.</w:t>
      </w:r>
      <w:r w:rsidR="00CF5146" w:rsidRPr="00AF7D9D">
        <w:rPr>
          <w:rFonts w:ascii="Times New Roman" w:hAnsi="Times New Roman" w:cs="Times New Roman"/>
          <w:sz w:val="24"/>
          <w:szCs w:val="24"/>
        </w:rPr>
        <w:t>, 2010</w:t>
      </w:r>
      <w:r w:rsidR="00641C2C" w:rsidRPr="00AF7D9D">
        <w:rPr>
          <w:rFonts w:ascii="Times New Roman" w:hAnsi="Times New Roman" w:cs="Times New Roman"/>
          <w:sz w:val="24"/>
          <w:szCs w:val="24"/>
        </w:rPr>
        <w:t>). On average, DI</w:t>
      </w:r>
      <w:r w:rsidRPr="00AF7D9D">
        <w:rPr>
          <w:rFonts w:ascii="Times New Roman" w:hAnsi="Times New Roman" w:cs="Times New Roman"/>
          <w:sz w:val="24"/>
          <w:szCs w:val="24"/>
        </w:rPr>
        <w:t xml:space="preserve">RP scores were significantly higher for samples with 50% random data relative to their original counterparts (see Table 2 for </w:t>
      </w:r>
      <w:r w:rsidRPr="00AF7D9D">
        <w:rPr>
          <w:rFonts w:ascii="Times New Roman" w:hAnsi="Times New Roman" w:cs="Times New Roman"/>
          <w:i/>
          <w:sz w:val="24"/>
          <w:szCs w:val="24"/>
        </w:rPr>
        <w:t>t-</w:t>
      </w:r>
      <w:r w:rsidRPr="00AF7D9D">
        <w:rPr>
          <w:rFonts w:ascii="Times New Roman" w:hAnsi="Times New Roman" w:cs="Times New Roman"/>
          <w:sz w:val="24"/>
          <w:szCs w:val="24"/>
        </w:rPr>
        <w:t xml:space="preserve">values). </w:t>
      </w:r>
      <w:r w:rsidR="00161F9B" w:rsidRPr="00AF7D9D">
        <w:rPr>
          <w:rFonts w:ascii="Times New Roman" w:hAnsi="Times New Roman" w:cs="Times New Roman"/>
          <w:sz w:val="24"/>
          <w:szCs w:val="24"/>
        </w:rPr>
        <w:t>We again conducted ROC analyses comparing the original datasets to those with 50% random responding.</w:t>
      </w:r>
      <w:r w:rsidR="00AA540D" w:rsidRPr="00AF7D9D">
        <w:rPr>
          <w:rFonts w:ascii="Times New Roman" w:hAnsi="Times New Roman" w:cs="Times New Roman"/>
          <w:sz w:val="24"/>
          <w:szCs w:val="24"/>
        </w:rPr>
        <w:t xml:space="preserve"> The resulting AUC values expectedly decreased r</w:t>
      </w:r>
      <w:r w:rsidR="008376BA" w:rsidRPr="00AF7D9D">
        <w:rPr>
          <w:rFonts w:ascii="Times New Roman" w:hAnsi="Times New Roman" w:cs="Times New Roman"/>
          <w:sz w:val="24"/>
          <w:szCs w:val="24"/>
        </w:rPr>
        <w:t xml:space="preserve">elative to findings using fully </w:t>
      </w:r>
      <w:r w:rsidR="00AA540D" w:rsidRPr="00AF7D9D">
        <w:rPr>
          <w:rFonts w:ascii="Times New Roman" w:hAnsi="Times New Roman" w:cs="Times New Roman"/>
          <w:sz w:val="24"/>
          <w:szCs w:val="24"/>
        </w:rPr>
        <w:t xml:space="preserve">random data for comparison; however, the range of values obtained (.75 - .82) </w:t>
      </w:r>
      <w:r w:rsidR="003E03A8" w:rsidRPr="00AF7D9D">
        <w:rPr>
          <w:rFonts w:ascii="Times New Roman" w:hAnsi="Times New Roman" w:cs="Times New Roman"/>
          <w:sz w:val="24"/>
          <w:szCs w:val="24"/>
        </w:rPr>
        <w:t>continue</w:t>
      </w:r>
      <w:r w:rsidR="008376BA" w:rsidRPr="00AF7D9D">
        <w:rPr>
          <w:rFonts w:ascii="Times New Roman" w:hAnsi="Times New Roman" w:cs="Times New Roman"/>
          <w:sz w:val="24"/>
          <w:szCs w:val="24"/>
        </w:rPr>
        <w:t>d</w:t>
      </w:r>
      <w:r w:rsidR="003E03A8" w:rsidRPr="00AF7D9D">
        <w:rPr>
          <w:rFonts w:ascii="Times New Roman" w:hAnsi="Times New Roman" w:cs="Times New Roman"/>
          <w:sz w:val="24"/>
          <w:szCs w:val="24"/>
        </w:rPr>
        <w:t xml:space="preserve"> to </w:t>
      </w:r>
      <w:r w:rsidR="00AA540D" w:rsidRPr="00AF7D9D">
        <w:rPr>
          <w:rFonts w:ascii="Times New Roman" w:hAnsi="Times New Roman" w:cs="Times New Roman"/>
          <w:sz w:val="24"/>
          <w:szCs w:val="24"/>
        </w:rPr>
        <w:t>suggest</w:t>
      </w:r>
      <w:r w:rsidR="003E03A8" w:rsidRPr="00AF7D9D">
        <w:rPr>
          <w:rFonts w:ascii="Times New Roman" w:hAnsi="Times New Roman" w:cs="Times New Roman"/>
          <w:sz w:val="24"/>
          <w:szCs w:val="24"/>
        </w:rPr>
        <w:t xml:space="preserve"> </w:t>
      </w:r>
      <w:r w:rsidR="00AA540D" w:rsidRPr="00AF7D9D">
        <w:rPr>
          <w:rFonts w:ascii="Times New Roman" w:hAnsi="Times New Roman" w:cs="Times New Roman"/>
          <w:sz w:val="24"/>
          <w:szCs w:val="24"/>
        </w:rPr>
        <w:t xml:space="preserve">strong discrimination between genuine YPI-S responses and those </w:t>
      </w:r>
      <w:r w:rsidR="003E03A8" w:rsidRPr="00AF7D9D">
        <w:rPr>
          <w:rFonts w:ascii="Times New Roman" w:hAnsi="Times New Roman" w:cs="Times New Roman"/>
          <w:sz w:val="24"/>
          <w:szCs w:val="24"/>
        </w:rPr>
        <w:t xml:space="preserve">containing </w:t>
      </w:r>
      <w:r w:rsidR="00AA540D" w:rsidRPr="00AF7D9D">
        <w:rPr>
          <w:rFonts w:ascii="Times New Roman" w:hAnsi="Times New Roman" w:cs="Times New Roman"/>
          <w:sz w:val="24"/>
          <w:szCs w:val="24"/>
        </w:rPr>
        <w:t>partially random data.</w:t>
      </w:r>
    </w:p>
    <w:p w14:paraId="3E23FCFD" w14:textId="77777777" w:rsidR="00135FCB" w:rsidRPr="00AF7D9D" w:rsidRDefault="00135FCB" w:rsidP="00CD44E1">
      <w:pPr>
        <w:spacing w:after="0" w:line="480" w:lineRule="auto"/>
        <w:rPr>
          <w:rFonts w:ascii="Times New Roman" w:hAnsi="Times New Roman" w:cs="Times New Roman"/>
          <w:sz w:val="24"/>
          <w:szCs w:val="24"/>
        </w:rPr>
      </w:pPr>
      <w:r w:rsidRPr="00AF7D9D">
        <w:rPr>
          <w:rFonts w:ascii="Times New Roman" w:hAnsi="Times New Roman" w:cs="Times New Roman"/>
          <w:i/>
          <w:sz w:val="24"/>
          <w:szCs w:val="24"/>
        </w:rPr>
        <w:t>Classification Accuracy</w:t>
      </w:r>
    </w:p>
    <w:p w14:paraId="05AD482F" w14:textId="19478D71" w:rsidR="003E03A8" w:rsidRPr="00AF7D9D" w:rsidRDefault="00FD2EF0" w:rsidP="00CD44E1">
      <w:pPr>
        <w:spacing w:after="0" w:line="480" w:lineRule="auto"/>
        <w:ind w:firstLine="720"/>
        <w:rPr>
          <w:rFonts w:ascii="Times New Roman" w:hAnsi="Times New Roman" w:cs="Times New Roman"/>
          <w:sz w:val="24"/>
          <w:szCs w:val="24"/>
        </w:rPr>
      </w:pPr>
      <w:r w:rsidRPr="00AF7D9D">
        <w:rPr>
          <w:rFonts w:ascii="Times New Roman" w:hAnsi="Times New Roman" w:cs="Times New Roman"/>
          <w:sz w:val="24"/>
          <w:szCs w:val="24"/>
        </w:rPr>
        <w:t>Although g</w:t>
      </w:r>
      <w:r w:rsidR="001B1DCC" w:rsidRPr="00AF7D9D">
        <w:rPr>
          <w:rFonts w:ascii="Times New Roman" w:hAnsi="Times New Roman" w:cs="Times New Roman"/>
          <w:sz w:val="24"/>
          <w:szCs w:val="24"/>
        </w:rPr>
        <w:t xml:space="preserve">lobal indicators of performance </w:t>
      </w:r>
      <w:r w:rsidRPr="00AF7D9D">
        <w:rPr>
          <w:rFonts w:ascii="Times New Roman" w:hAnsi="Times New Roman" w:cs="Times New Roman"/>
          <w:sz w:val="24"/>
          <w:szCs w:val="24"/>
        </w:rPr>
        <w:t xml:space="preserve">(e.g., </w:t>
      </w:r>
      <w:r w:rsidRPr="00AF7D9D">
        <w:rPr>
          <w:rFonts w:ascii="Times New Roman" w:hAnsi="Times New Roman" w:cs="Times New Roman"/>
          <w:i/>
          <w:sz w:val="24"/>
          <w:szCs w:val="24"/>
        </w:rPr>
        <w:t>d</w:t>
      </w:r>
      <w:r w:rsidRPr="00AF7D9D">
        <w:rPr>
          <w:rFonts w:ascii="Times New Roman" w:hAnsi="Times New Roman" w:cs="Times New Roman"/>
          <w:sz w:val="24"/>
          <w:szCs w:val="24"/>
        </w:rPr>
        <w:t xml:space="preserve">, </w:t>
      </w:r>
      <w:r w:rsidR="001B1DCC" w:rsidRPr="00AF7D9D">
        <w:rPr>
          <w:rFonts w:ascii="Times New Roman" w:hAnsi="Times New Roman" w:cs="Times New Roman"/>
          <w:sz w:val="24"/>
          <w:szCs w:val="24"/>
        </w:rPr>
        <w:t>AUC</w:t>
      </w:r>
      <w:r w:rsidRPr="00AF7D9D">
        <w:rPr>
          <w:rFonts w:ascii="Times New Roman" w:hAnsi="Times New Roman" w:cs="Times New Roman"/>
          <w:sz w:val="24"/>
          <w:szCs w:val="24"/>
        </w:rPr>
        <w:t>)</w:t>
      </w:r>
      <w:r w:rsidR="001B1DCC" w:rsidRPr="00AF7D9D">
        <w:rPr>
          <w:rFonts w:ascii="Times New Roman" w:hAnsi="Times New Roman" w:cs="Times New Roman"/>
          <w:sz w:val="24"/>
          <w:szCs w:val="24"/>
        </w:rPr>
        <w:t xml:space="preserve"> are important when evaluating the utility of a scale such as the </w:t>
      </w:r>
      <w:r w:rsidR="00641C2C" w:rsidRPr="00AF7D9D">
        <w:rPr>
          <w:rFonts w:ascii="Times New Roman" w:hAnsi="Times New Roman" w:cs="Times New Roman"/>
          <w:sz w:val="24"/>
          <w:szCs w:val="24"/>
        </w:rPr>
        <w:t>DI</w:t>
      </w:r>
      <w:r w:rsidR="00945A33" w:rsidRPr="00AF7D9D">
        <w:rPr>
          <w:rFonts w:ascii="Times New Roman" w:hAnsi="Times New Roman" w:cs="Times New Roman"/>
          <w:sz w:val="24"/>
          <w:szCs w:val="24"/>
        </w:rPr>
        <w:t>RP</w:t>
      </w:r>
      <w:r w:rsidR="001B1DCC" w:rsidRPr="00AF7D9D">
        <w:rPr>
          <w:rFonts w:ascii="Times New Roman" w:hAnsi="Times New Roman" w:cs="Times New Roman"/>
          <w:sz w:val="24"/>
          <w:szCs w:val="24"/>
        </w:rPr>
        <w:t>, for practical applications it is necessary</w:t>
      </w:r>
      <w:r w:rsidRPr="00AF7D9D">
        <w:rPr>
          <w:rFonts w:ascii="Times New Roman" w:hAnsi="Times New Roman" w:cs="Times New Roman"/>
          <w:sz w:val="24"/>
          <w:szCs w:val="24"/>
        </w:rPr>
        <w:t xml:space="preserve"> to consider the effectiveness of specific</w:t>
      </w:r>
      <w:r w:rsidR="00F52525" w:rsidRPr="00AF7D9D">
        <w:rPr>
          <w:rFonts w:ascii="Times New Roman" w:hAnsi="Times New Roman" w:cs="Times New Roman"/>
          <w:sz w:val="24"/>
          <w:szCs w:val="24"/>
        </w:rPr>
        <w:t xml:space="preserve"> cut</w:t>
      </w:r>
      <w:r w:rsidR="00CF5146" w:rsidRPr="00AF7D9D">
        <w:rPr>
          <w:rFonts w:ascii="Times New Roman" w:hAnsi="Times New Roman" w:cs="Times New Roman"/>
          <w:sz w:val="24"/>
          <w:szCs w:val="24"/>
        </w:rPr>
        <w:t>-off</w:t>
      </w:r>
      <w:r w:rsidR="00F52525" w:rsidRPr="00AF7D9D">
        <w:rPr>
          <w:rFonts w:ascii="Times New Roman" w:hAnsi="Times New Roman" w:cs="Times New Roman"/>
          <w:sz w:val="24"/>
          <w:szCs w:val="24"/>
        </w:rPr>
        <w:t xml:space="preserve"> </w:t>
      </w:r>
      <w:r w:rsidRPr="00AF7D9D">
        <w:rPr>
          <w:rFonts w:ascii="Times New Roman" w:hAnsi="Times New Roman" w:cs="Times New Roman"/>
          <w:sz w:val="24"/>
          <w:szCs w:val="24"/>
        </w:rPr>
        <w:t>scores in identifying profile validity. Sensitivity and specificity rates</w:t>
      </w:r>
      <w:r w:rsidR="00641C2C" w:rsidRPr="00AF7D9D">
        <w:rPr>
          <w:rFonts w:ascii="Times New Roman" w:hAnsi="Times New Roman" w:cs="Times New Roman"/>
          <w:sz w:val="24"/>
          <w:szCs w:val="24"/>
        </w:rPr>
        <w:t xml:space="preserve"> for several potential DI</w:t>
      </w:r>
      <w:r w:rsidR="00F52525" w:rsidRPr="00AF7D9D">
        <w:rPr>
          <w:rFonts w:ascii="Times New Roman" w:hAnsi="Times New Roman" w:cs="Times New Roman"/>
          <w:sz w:val="24"/>
          <w:szCs w:val="24"/>
        </w:rPr>
        <w:t>RP cut</w:t>
      </w:r>
      <w:r w:rsidR="00CF5146" w:rsidRPr="00AF7D9D">
        <w:rPr>
          <w:rFonts w:ascii="Times New Roman" w:hAnsi="Times New Roman" w:cs="Times New Roman"/>
          <w:sz w:val="24"/>
          <w:szCs w:val="24"/>
        </w:rPr>
        <w:t>-off</w:t>
      </w:r>
      <w:r w:rsidR="00F52525" w:rsidRPr="00AF7D9D">
        <w:rPr>
          <w:rFonts w:ascii="Times New Roman" w:hAnsi="Times New Roman" w:cs="Times New Roman"/>
          <w:sz w:val="24"/>
          <w:szCs w:val="24"/>
        </w:rPr>
        <w:t xml:space="preserve"> </w:t>
      </w:r>
      <w:r w:rsidRPr="00AF7D9D">
        <w:rPr>
          <w:rFonts w:ascii="Times New Roman" w:hAnsi="Times New Roman" w:cs="Times New Roman"/>
          <w:sz w:val="24"/>
          <w:szCs w:val="24"/>
        </w:rPr>
        <w:t>scores are pre</w:t>
      </w:r>
      <w:r w:rsidR="00D24F74" w:rsidRPr="00AF7D9D">
        <w:rPr>
          <w:rFonts w:ascii="Times New Roman" w:hAnsi="Times New Roman" w:cs="Times New Roman"/>
          <w:sz w:val="24"/>
          <w:szCs w:val="24"/>
        </w:rPr>
        <w:t xml:space="preserve">sented in Table 3 for randomly </w:t>
      </w:r>
      <w:r w:rsidRPr="00AF7D9D">
        <w:rPr>
          <w:rFonts w:ascii="Times New Roman" w:hAnsi="Times New Roman" w:cs="Times New Roman"/>
          <w:sz w:val="24"/>
          <w:szCs w:val="24"/>
        </w:rPr>
        <w:t xml:space="preserve">generated data and archival samples, respectively. </w:t>
      </w:r>
      <w:r w:rsidR="000E4CB0" w:rsidRPr="00AF7D9D">
        <w:rPr>
          <w:rFonts w:ascii="Times New Roman" w:hAnsi="Times New Roman" w:cs="Times New Roman"/>
          <w:sz w:val="24"/>
          <w:szCs w:val="24"/>
        </w:rPr>
        <w:t>Notably, a cut</w:t>
      </w:r>
      <w:r w:rsidR="00CF5146" w:rsidRPr="00AF7D9D">
        <w:rPr>
          <w:rFonts w:ascii="Times New Roman" w:hAnsi="Times New Roman" w:cs="Times New Roman"/>
          <w:sz w:val="24"/>
          <w:szCs w:val="24"/>
        </w:rPr>
        <w:t>-off</w:t>
      </w:r>
      <w:r w:rsidR="000E4CB0" w:rsidRPr="00AF7D9D">
        <w:rPr>
          <w:rFonts w:ascii="Times New Roman" w:hAnsi="Times New Roman" w:cs="Times New Roman"/>
          <w:sz w:val="24"/>
          <w:szCs w:val="24"/>
        </w:rPr>
        <w:t xml:space="preserve"> score of ≥ 8 corresponds to specificity </w:t>
      </w:r>
      <w:r w:rsidR="000E4CB0" w:rsidRPr="00AF7D9D">
        <w:rPr>
          <w:rFonts w:ascii="Times New Roman" w:hAnsi="Times New Roman" w:cs="Times New Roman"/>
          <w:sz w:val="24"/>
          <w:szCs w:val="24"/>
        </w:rPr>
        <w:lastRenderedPageBreak/>
        <w:t>rates approximating 90% (</w:t>
      </w:r>
      <w:r w:rsidR="004B59E9" w:rsidRPr="00AF7D9D">
        <w:rPr>
          <w:rFonts w:ascii="Times New Roman" w:hAnsi="Times New Roman" w:cs="Times New Roman"/>
          <w:sz w:val="24"/>
          <w:szCs w:val="24"/>
        </w:rPr>
        <w:t>87</w:t>
      </w:r>
      <w:r w:rsidR="000E4CB0" w:rsidRPr="00AF7D9D">
        <w:rPr>
          <w:rFonts w:ascii="Times New Roman" w:hAnsi="Times New Roman" w:cs="Times New Roman"/>
          <w:sz w:val="24"/>
          <w:szCs w:val="24"/>
        </w:rPr>
        <w:t>% – 90%</w:t>
      </w:r>
      <w:r w:rsidR="00D24F74" w:rsidRPr="00AF7D9D">
        <w:rPr>
          <w:rFonts w:ascii="Times New Roman" w:hAnsi="Times New Roman" w:cs="Times New Roman"/>
          <w:sz w:val="24"/>
          <w:szCs w:val="24"/>
        </w:rPr>
        <w:t xml:space="preserve">), with 70% of randomly </w:t>
      </w:r>
      <w:r w:rsidR="000E4CB0" w:rsidRPr="00AF7D9D">
        <w:rPr>
          <w:rFonts w:ascii="Times New Roman" w:hAnsi="Times New Roman" w:cs="Times New Roman"/>
          <w:sz w:val="24"/>
          <w:szCs w:val="24"/>
        </w:rPr>
        <w:t>generate</w:t>
      </w:r>
      <w:r w:rsidR="00E94696" w:rsidRPr="00AF7D9D">
        <w:rPr>
          <w:rFonts w:ascii="Times New Roman" w:hAnsi="Times New Roman" w:cs="Times New Roman"/>
          <w:sz w:val="24"/>
          <w:szCs w:val="24"/>
        </w:rPr>
        <w:t xml:space="preserve">d YPI-S protocols correctly </w:t>
      </w:r>
      <w:r w:rsidR="000E4CB0" w:rsidRPr="00AF7D9D">
        <w:rPr>
          <w:rFonts w:ascii="Times New Roman" w:hAnsi="Times New Roman" w:cs="Times New Roman"/>
          <w:sz w:val="24"/>
          <w:szCs w:val="24"/>
        </w:rPr>
        <w:t xml:space="preserve">classified as problematically inconsistent. </w:t>
      </w:r>
    </w:p>
    <w:p w14:paraId="63B6F77B" w14:textId="77777777" w:rsidR="003A2DF6" w:rsidRPr="00AF7D9D" w:rsidRDefault="00F52525" w:rsidP="00CD44E1">
      <w:pPr>
        <w:spacing w:after="0" w:line="480" w:lineRule="auto"/>
        <w:ind w:firstLine="720"/>
        <w:rPr>
          <w:rFonts w:ascii="Times New Roman" w:hAnsi="Times New Roman" w:cs="Times New Roman"/>
          <w:sz w:val="24"/>
          <w:szCs w:val="24"/>
        </w:rPr>
      </w:pPr>
      <w:r w:rsidRPr="00AF7D9D">
        <w:rPr>
          <w:rFonts w:ascii="Times New Roman" w:hAnsi="Times New Roman" w:cs="Times New Roman"/>
          <w:sz w:val="24"/>
          <w:szCs w:val="24"/>
        </w:rPr>
        <w:t>This cut</w:t>
      </w:r>
      <w:r w:rsidR="00CF5146" w:rsidRPr="00AF7D9D">
        <w:rPr>
          <w:rFonts w:ascii="Times New Roman" w:hAnsi="Times New Roman" w:cs="Times New Roman"/>
          <w:sz w:val="24"/>
          <w:szCs w:val="24"/>
        </w:rPr>
        <w:t>-off</w:t>
      </w:r>
      <w:r w:rsidRPr="00AF7D9D">
        <w:rPr>
          <w:rFonts w:ascii="Times New Roman" w:hAnsi="Times New Roman" w:cs="Times New Roman"/>
          <w:sz w:val="24"/>
          <w:szCs w:val="24"/>
        </w:rPr>
        <w:t xml:space="preserve"> </w:t>
      </w:r>
      <w:r w:rsidR="00E94696" w:rsidRPr="00AF7D9D">
        <w:rPr>
          <w:rFonts w:ascii="Times New Roman" w:hAnsi="Times New Roman" w:cs="Times New Roman"/>
          <w:sz w:val="24"/>
          <w:szCs w:val="24"/>
        </w:rPr>
        <w:t xml:space="preserve">score may be advantageous when attempting to separate </w:t>
      </w:r>
      <w:r w:rsidR="00777937" w:rsidRPr="00AF7D9D">
        <w:rPr>
          <w:rFonts w:ascii="Times New Roman" w:hAnsi="Times New Roman" w:cs="Times New Roman"/>
          <w:sz w:val="24"/>
          <w:szCs w:val="24"/>
        </w:rPr>
        <w:t xml:space="preserve">attentive </w:t>
      </w:r>
      <w:r w:rsidR="00E94696" w:rsidRPr="00AF7D9D">
        <w:rPr>
          <w:rFonts w:ascii="Times New Roman" w:hAnsi="Times New Roman" w:cs="Times New Roman"/>
          <w:sz w:val="24"/>
          <w:szCs w:val="24"/>
        </w:rPr>
        <w:t xml:space="preserve">from inattentive respondents given previous estimates that 10-12% of research participants engage in careless responding. That is, the </w:t>
      </w:r>
      <w:r w:rsidR="004B59E9" w:rsidRPr="00AF7D9D">
        <w:rPr>
          <w:rFonts w:ascii="Times New Roman" w:hAnsi="Times New Roman" w:cs="Times New Roman"/>
          <w:sz w:val="24"/>
          <w:szCs w:val="24"/>
        </w:rPr>
        <w:t>10-13</w:t>
      </w:r>
      <w:r w:rsidR="00E94696" w:rsidRPr="00AF7D9D">
        <w:rPr>
          <w:rFonts w:ascii="Times New Roman" w:hAnsi="Times New Roman" w:cs="Times New Roman"/>
          <w:sz w:val="24"/>
          <w:szCs w:val="24"/>
        </w:rPr>
        <w:t xml:space="preserve">% of “genuine” </w:t>
      </w:r>
      <w:r w:rsidR="008376BA" w:rsidRPr="00AF7D9D">
        <w:rPr>
          <w:rFonts w:ascii="Times New Roman" w:hAnsi="Times New Roman" w:cs="Times New Roman"/>
          <w:sz w:val="24"/>
          <w:szCs w:val="24"/>
        </w:rPr>
        <w:t>participants</w:t>
      </w:r>
      <w:r w:rsidR="00E94696" w:rsidRPr="00AF7D9D">
        <w:rPr>
          <w:rFonts w:ascii="Times New Roman" w:hAnsi="Times New Roman" w:cs="Times New Roman"/>
          <w:sz w:val="24"/>
          <w:szCs w:val="24"/>
        </w:rPr>
        <w:t xml:space="preserve"> </w:t>
      </w:r>
      <w:r w:rsidR="0023154C" w:rsidRPr="00AF7D9D">
        <w:rPr>
          <w:rFonts w:ascii="Times New Roman" w:hAnsi="Times New Roman" w:cs="Times New Roman"/>
          <w:sz w:val="24"/>
          <w:szCs w:val="24"/>
        </w:rPr>
        <w:t xml:space="preserve">in our samples </w:t>
      </w:r>
      <w:r w:rsidR="00E94696" w:rsidRPr="00AF7D9D">
        <w:rPr>
          <w:rFonts w:ascii="Times New Roman" w:hAnsi="Times New Roman" w:cs="Times New Roman"/>
          <w:sz w:val="24"/>
          <w:szCs w:val="24"/>
        </w:rPr>
        <w:t>exceeding a cut</w:t>
      </w:r>
      <w:r w:rsidR="00CF5146" w:rsidRPr="00AF7D9D">
        <w:rPr>
          <w:rFonts w:ascii="Times New Roman" w:hAnsi="Times New Roman" w:cs="Times New Roman"/>
          <w:sz w:val="24"/>
          <w:szCs w:val="24"/>
        </w:rPr>
        <w:t>-off</w:t>
      </w:r>
      <w:r w:rsidR="00E94696" w:rsidRPr="00AF7D9D">
        <w:rPr>
          <w:rFonts w:ascii="Times New Roman" w:hAnsi="Times New Roman" w:cs="Times New Roman"/>
          <w:sz w:val="24"/>
          <w:szCs w:val="24"/>
        </w:rPr>
        <w:t xml:space="preserve"> score of ≥ 8 for profile validity may actually represent accurate detections of responding with neglect to item content.</w:t>
      </w:r>
      <w:r w:rsidR="003E1E43" w:rsidRPr="00AF7D9D">
        <w:rPr>
          <w:rFonts w:ascii="Times New Roman" w:hAnsi="Times New Roman" w:cs="Times New Roman"/>
          <w:sz w:val="24"/>
          <w:szCs w:val="24"/>
        </w:rPr>
        <w:t xml:space="preserve"> Of course, depending on the context of administration and consequences of certain misc</w:t>
      </w:r>
      <w:r w:rsidRPr="00AF7D9D">
        <w:rPr>
          <w:rFonts w:ascii="Times New Roman" w:hAnsi="Times New Roman" w:cs="Times New Roman"/>
          <w:sz w:val="24"/>
          <w:szCs w:val="24"/>
        </w:rPr>
        <w:t>lassifications, alternative cut</w:t>
      </w:r>
      <w:r w:rsidR="00CF5146" w:rsidRPr="00AF7D9D">
        <w:rPr>
          <w:rFonts w:ascii="Times New Roman" w:hAnsi="Times New Roman" w:cs="Times New Roman"/>
          <w:sz w:val="24"/>
          <w:szCs w:val="24"/>
        </w:rPr>
        <w:t>-off</w:t>
      </w:r>
      <w:r w:rsidRPr="00AF7D9D">
        <w:rPr>
          <w:rFonts w:ascii="Times New Roman" w:hAnsi="Times New Roman" w:cs="Times New Roman"/>
          <w:sz w:val="24"/>
          <w:szCs w:val="24"/>
        </w:rPr>
        <w:t xml:space="preserve"> </w:t>
      </w:r>
      <w:r w:rsidR="003E1E43" w:rsidRPr="00AF7D9D">
        <w:rPr>
          <w:rFonts w:ascii="Times New Roman" w:hAnsi="Times New Roman" w:cs="Times New Roman"/>
          <w:sz w:val="24"/>
          <w:szCs w:val="24"/>
        </w:rPr>
        <w:t>scores may be prefe</w:t>
      </w:r>
      <w:r w:rsidRPr="00AF7D9D">
        <w:rPr>
          <w:rFonts w:ascii="Times New Roman" w:hAnsi="Times New Roman" w:cs="Times New Roman"/>
          <w:sz w:val="24"/>
          <w:szCs w:val="24"/>
        </w:rPr>
        <w:t>rable. For example, using a cut</w:t>
      </w:r>
      <w:r w:rsidR="00CF5146" w:rsidRPr="00AF7D9D">
        <w:rPr>
          <w:rFonts w:ascii="Times New Roman" w:hAnsi="Times New Roman" w:cs="Times New Roman"/>
          <w:sz w:val="24"/>
          <w:szCs w:val="24"/>
        </w:rPr>
        <w:t>-off</w:t>
      </w:r>
      <w:r w:rsidRPr="00AF7D9D">
        <w:rPr>
          <w:rFonts w:ascii="Times New Roman" w:hAnsi="Times New Roman" w:cs="Times New Roman"/>
          <w:sz w:val="24"/>
          <w:szCs w:val="24"/>
        </w:rPr>
        <w:t xml:space="preserve"> </w:t>
      </w:r>
      <w:r w:rsidR="003E1E43" w:rsidRPr="00AF7D9D">
        <w:rPr>
          <w:rFonts w:ascii="Times New Roman" w:hAnsi="Times New Roman" w:cs="Times New Roman"/>
          <w:sz w:val="24"/>
          <w:szCs w:val="24"/>
        </w:rPr>
        <w:t xml:space="preserve">score of ≥ 6 would increase the percentage of random profiles accurately identified to 90%, although </w:t>
      </w:r>
      <w:r w:rsidR="00CF5146" w:rsidRPr="00AF7D9D">
        <w:rPr>
          <w:rFonts w:ascii="Times New Roman" w:hAnsi="Times New Roman" w:cs="Times New Roman"/>
          <w:sz w:val="24"/>
          <w:szCs w:val="24"/>
        </w:rPr>
        <w:t xml:space="preserve">with </w:t>
      </w:r>
      <w:r w:rsidR="003E1E43" w:rsidRPr="00AF7D9D">
        <w:rPr>
          <w:rFonts w:ascii="Times New Roman" w:hAnsi="Times New Roman" w:cs="Times New Roman"/>
          <w:sz w:val="24"/>
          <w:szCs w:val="24"/>
        </w:rPr>
        <w:t>considerably reduce</w:t>
      </w:r>
      <w:r w:rsidR="00D768F5" w:rsidRPr="00AF7D9D">
        <w:rPr>
          <w:rFonts w:ascii="Times New Roman" w:hAnsi="Times New Roman" w:cs="Times New Roman"/>
          <w:sz w:val="24"/>
          <w:szCs w:val="24"/>
        </w:rPr>
        <w:t>d</w:t>
      </w:r>
      <w:r w:rsidR="003E1E43" w:rsidRPr="00AF7D9D">
        <w:rPr>
          <w:rFonts w:ascii="Times New Roman" w:hAnsi="Times New Roman" w:cs="Times New Roman"/>
          <w:sz w:val="24"/>
          <w:szCs w:val="24"/>
        </w:rPr>
        <w:t xml:space="preserve"> specificity rates (58 – 73%). </w:t>
      </w:r>
    </w:p>
    <w:p w14:paraId="7D4123AA" w14:textId="77777777" w:rsidR="00AC5DBA" w:rsidRPr="00AF7D9D" w:rsidRDefault="00FD21A4" w:rsidP="00CD44E1">
      <w:pPr>
        <w:spacing w:after="0" w:line="480" w:lineRule="auto"/>
        <w:rPr>
          <w:rFonts w:ascii="Times New Roman" w:hAnsi="Times New Roman" w:cs="Times New Roman"/>
          <w:i/>
          <w:sz w:val="24"/>
          <w:szCs w:val="24"/>
        </w:rPr>
      </w:pPr>
      <w:r w:rsidRPr="00AF7D9D">
        <w:rPr>
          <w:rFonts w:ascii="Times New Roman" w:hAnsi="Times New Roman" w:cs="Times New Roman"/>
          <w:i/>
          <w:sz w:val="24"/>
          <w:szCs w:val="24"/>
        </w:rPr>
        <w:t>Criterion</w:t>
      </w:r>
      <w:r w:rsidR="00B61C10" w:rsidRPr="00AF7D9D">
        <w:rPr>
          <w:rFonts w:ascii="Times New Roman" w:hAnsi="Times New Roman" w:cs="Times New Roman"/>
          <w:i/>
          <w:sz w:val="24"/>
          <w:szCs w:val="24"/>
        </w:rPr>
        <w:t>-Related</w:t>
      </w:r>
      <w:r w:rsidRPr="00AF7D9D">
        <w:rPr>
          <w:rFonts w:ascii="Times New Roman" w:hAnsi="Times New Roman" w:cs="Times New Roman"/>
          <w:i/>
          <w:sz w:val="24"/>
          <w:szCs w:val="24"/>
        </w:rPr>
        <w:t xml:space="preserve"> </w:t>
      </w:r>
      <w:r w:rsidR="0032775A" w:rsidRPr="00AF7D9D">
        <w:rPr>
          <w:rFonts w:ascii="Times New Roman" w:hAnsi="Times New Roman" w:cs="Times New Roman"/>
          <w:i/>
          <w:sz w:val="24"/>
          <w:szCs w:val="24"/>
        </w:rPr>
        <w:t>Validity Coefficients for Inconsistent vs. Consistent Respondents</w:t>
      </w:r>
    </w:p>
    <w:p w14:paraId="470225DF" w14:textId="68A27614" w:rsidR="003E1E43" w:rsidRPr="00AF7D9D" w:rsidRDefault="006A10CD" w:rsidP="00CD44E1">
      <w:pPr>
        <w:spacing w:after="0" w:line="480" w:lineRule="auto"/>
        <w:ind w:firstLine="720"/>
        <w:rPr>
          <w:rFonts w:ascii="Times New Roman" w:hAnsi="Times New Roman" w:cs="Times New Roman"/>
          <w:sz w:val="24"/>
          <w:szCs w:val="24"/>
        </w:rPr>
      </w:pPr>
      <w:r w:rsidRPr="00AF7D9D">
        <w:rPr>
          <w:rFonts w:ascii="Times New Roman" w:hAnsi="Times New Roman" w:cs="Times New Roman"/>
          <w:sz w:val="24"/>
          <w:szCs w:val="24"/>
        </w:rPr>
        <w:t>W</w:t>
      </w:r>
      <w:r w:rsidR="003E1E43" w:rsidRPr="00AF7D9D">
        <w:rPr>
          <w:rFonts w:ascii="Times New Roman" w:hAnsi="Times New Roman" w:cs="Times New Roman"/>
          <w:sz w:val="24"/>
          <w:szCs w:val="24"/>
        </w:rPr>
        <w:t xml:space="preserve">e </w:t>
      </w:r>
      <w:r w:rsidRPr="00AF7D9D">
        <w:rPr>
          <w:rFonts w:ascii="Times New Roman" w:hAnsi="Times New Roman" w:cs="Times New Roman"/>
          <w:sz w:val="24"/>
          <w:szCs w:val="24"/>
        </w:rPr>
        <w:t xml:space="preserve">next </w:t>
      </w:r>
      <w:r w:rsidR="003E1E43" w:rsidRPr="00AF7D9D">
        <w:rPr>
          <w:rFonts w:ascii="Times New Roman" w:hAnsi="Times New Roman" w:cs="Times New Roman"/>
          <w:sz w:val="24"/>
          <w:szCs w:val="24"/>
        </w:rPr>
        <w:t>examined how the correlations between</w:t>
      </w:r>
      <w:r w:rsidR="004E78B9" w:rsidRPr="00AF7D9D">
        <w:rPr>
          <w:rFonts w:ascii="Times New Roman" w:hAnsi="Times New Roman" w:cs="Times New Roman"/>
          <w:sz w:val="24"/>
          <w:szCs w:val="24"/>
        </w:rPr>
        <w:t xml:space="preserve"> the three factors of the YPI-S </w:t>
      </w:r>
      <w:r w:rsidR="003E1E43" w:rsidRPr="00AF7D9D">
        <w:rPr>
          <w:rFonts w:ascii="Times New Roman" w:hAnsi="Times New Roman" w:cs="Times New Roman"/>
          <w:sz w:val="24"/>
          <w:szCs w:val="24"/>
        </w:rPr>
        <w:t>were affected by inconsistency in responding using a combined sample of study participants (</w:t>
      </w:r>
      <w:r w:rsidR="003E1E43" w:rsidRPr="00AF7D9D">
        <w:rPr>
          <w:rFonts w:ascii="Times New Roman" w:hAnsi="Times New Roman" w:cs="Times New Roman"/>
          <w:i/>
          <w:sz w:val="24"/>
          <w:szCs w:val="24"/>
        </w:rPr>
        <w:t xml:space="preserve">N = </w:t>
      </w:r>
      <w:r w:rsidR="002141A9" w:rsidRPr="00AF7D9D">
        <w:rPr>
          <w:rFonts w:ascii="Times New Roman" w:hAnsi="Times New Roman" w:cs="Times New Roman"/>
          <w:sz w:val="24"/>
          <w:szCs w:val="24"/>
        </w:rPr>
        <w:t>3</w:t>
      </w:r>
      <w:r w:rsidR="008376BA" w:rsidRPr="00AF7D9D">
        <w:rPr>
          <w:rFonts w:ascii="Times New Roman" w:hAnsi="Times New Roman" w:cs="Times New Roman"/>
          <w:sz w:val="24"/>
          <w:szCs w:val="24"/>
        </w:rPr>
        <w:t>,</w:t>
      </w:r>
      <w:r w:rsidR="00F936E5" w:rsidRPr="00AF7D9D">
        <w:rPr>
          <w:rFonts w:ascii="Times New Roman" w:hAnsi="Times New Roman" w:cs="Times New Roman"/>
          <w:sz w:val="24"/>
          <w:szCs w:val="24"/>
        </w:rPr>
        <w:t>297</w:t>
      </w:r>
      <w:r w:rsidR="003E1E43" w:rsidRPr="00AF7D9D">
        <w:rPr>
          <w:rFonts w:ascii="Times New Roman" w:hAnsi="Times New Roman" w:cs="Times New Roman"/>
          <w:sz w:val="24"/>
          <w:szCs w:val="24"/>
        </w:rPr>
        <w:t xml:space="preserve">). For this combined sample, the </w:t>
      </w:r>
      <w:r w:rsidR="00B863ED" w:rsidRPr="00AF7D9D">
        <w:rPr>
          <w:rFonts w:ascii="Times New Roman" w:hAnsi="Times New Roman" w:cs="Times New Roman"/>
          <w:sz w:val="24"/>
          <w:szCs w:val="24"/>
        </w:rPr>
        <w:t>Grandio</w:t>
      </w:r>
      <w:r w:rsidR="003E1E43" w:rsidRPr="00AF7D9D">
        <w:rPr>
          <w:rFonts w:ascii="Times New Roman" w:hAnsi="Times New Roman" w:cs="Times New Roman"/>
          <w:sz w:val="24"/>
          <w:szCs w:val="24"/>
        </w:rPr>
        <w:t xml:space="preserve">se-Manipulative (G-M) factor </w:t>
      </w:r>
      <w:r w:rsidR="00B863ED" w:rsidRPr="00AF7D9D">
        <w:rPr>
          <w:rFonts w:ascii="Times New Roman" w:hAnsi="Times New Roman" w:cs="Times New Roman"/>
          <w:sz w:val="24"/>
          <w:szCs w:val="24"/>
        </w:rPr>
        <w:t>moderately correlated with both the Callous-Unemotional</w:t>
      </w:r>
      <w:r w:rsidR="003E1E43" w:rsidRPr="00AF7D9D">
        <w:rPr>
          <w:rFonts w:ascii="Times New Roman" w:hAnsi="Times New Roman" w:cs="Times New Roman"/>
          <w:sz w:val="24"/>
          <w:szCs w:val="24"/>
        </w:rPr>
        <w:t xml:space="preserve"> </w:t>
      </w:r>
      <w:r w:rsidR="00B863ED" w:rsidRPr="00AF7D9D">
        <w:rPr>
          <w:rFonts w:ascii="Times New Roman" w:hAnsi="Times New Roman" w:cs="Times New Roman"/>
          <w:sz w:val="24"/>
          <w:szCs w:val="24"/>
        </w:rPr>
        <w:t>(</w:t>
      </w:r>
      <w:r w:rsidR="003E1E43" w:rsidRPr="00AF7D9D">
        <w:rPr>
          <w:rFonts w:ascii="Times New Roman" w:hAnsi="Times New Roman" w:cs="Times New Roman"/>
          <w:i/>
          <w:sz w:val="24"/>
          <w:szCs w:val="24"/>
        </w:rPr>
        <w:t>r</w:t>
      </w:r>
      <w:r w:rsidR="00C631D5" w:rsidRPr="00AF7D9D">
        <w:rPr>
          <w:rFonts w:ascii="Times New Roman" w:hAnsi="Times New Roman" w:cs="Times New Roman"/>
          <w:sz w:val="24"/>
          <w:szCs w:val="24"/>
        </w:rPr>
        <w:t xml:space="preserve"> = .47</w:t>
      </w:r>
      <w:r w:rsidR="003E1E43" w:rsidRPr="00AF7D9D">
        <w:rPr>
          <w:rFonts w:ascii="Times New Roman" w:hAnsi="Times New Roman" w:cs="Times New Roman"/>
          <w:sz w:val="24"/>
          <w:szCs w:val="24"/>
        </w:rPr>
        <w:t xml:space="preserve">, </w:t>
      </w:r>
      <w:r w:rsidR="003E1E43" w:rsidRPr="00AF7D9D">
        <w:rPr>
          <w:rFonts w:ascii="Times New Roman" w:hAnsi="Times New Roman" w:cs="Times New Roman"/>
          <w:i/>
          <w:sz w:val="24"/>
          <w:szCs w:val="24"/>
        </w:rPr>
        <w:t>p</w:t>
      </w:r>
      <w:r w:rsidR="003E1E43" w:rsidRPr="00AF7D9D">
        <w:rPr>
          <w:rFonts w:ascii="Times New Roman" w:hAnsi="Times New Roman" w:cs="Times New Roman"/>
          <w:sz w:val="24"/>
          <w:szCs w:val="24"/>
        </w:rPr>
        <w:t xml:space="preserve"> &lt; .01</w:t>
      </w:r>
      <w:r w:rsidR="00B863ED" w:rsidRPr="00AF7D9D">
        <w:rPr>
          <w:rFonts w:ascii="Times New Roman" w:hAnsi="Times New Roman" w:cs="Times New Roman"/>
          <w:sz w:val="24"/>
          <w:szCs w:val="24"/>
        </w:rPr>
        <w:t>) and Impulsive-Irresponsible (</w:t>
      </w:r>
      <w:r w:rsidR="00B863ED" w:rsidRPr="00AF7D9D">
        <w:rPr>
          <w:rFonts w:ascii="Times New Roman" w:hAnsi="Times New Roman" w:cs="Times New Roman"/>
          <w:i/>
          <w:sz w:val="24"/>
          <w:szCs w:val="24"/>
        </w:rPr>
        <w:t>r</w:t>
      </w:r>
      <w:r w:rsidR="00F936E5" w:rsidRPr="00AF7D9D">
        <w:rPr>
          <w:rFonts w:ascii="Times New Roman" w:hAnsi="Times New Roman" w:cs="Times New Roman"/>
          <w:sz w:val="24"/>
          <w:szCs w:val="24"/>
        </w:rPr>
        <w:t xml:space="preserve"> = .44</w:t>
      </w:r>
      <w:r w:rsidR="00B863ED" w:rsidRPr="00AF7D9D">
        <w:rPr>
          <w:rFonts w:ascii="Times New Roman" w:hAnsi="Times New Roman" w:cs="Times New Roman"/>
          <w:sz w:val="24"/>
          <w:szCs w:val="24"/>
        </w:rPr>
        <w:t xml:space="preserve">, </w:t>
      </w:r>
      <w:r w:rsidR="00B863ED" w:rsidRPr="00AF7D9D">
        <w:rPr>
          <w:rFonts w:ascii="Times New Roman" w:hAnsi="Times New Roman" w:cs="Times New Roman"/>
          <w:i/>
          <w:sz w:val="24"/>
          <w:szCs w:val="24"/>
        </w:rPr>
        <w:t>p</w:t>
      </w:r>
      <w:r w:rsidR="00B863ED" w:rsidRPr="00AF7D9D">
        <w:rPr>
          <w:rFonts w:ascii="Times New Roman" w:hAnsi="Times New Roman" w:cs="Times New Roman"/>
          <w:sz w:val="24"/>
          <w:szCs w:val="24"/>
        </w:rPr>
        <w:t xml:space="preserve"> &lt; .01) dimensions. </w:t>
      </w:r>
      <w:r w:rsidR="004C0D41" w:rsidRPr="00AF7D9D">
        <w:rPr>
          <w:rFonts w:ascii="Times New Roman" w:hAnsi="Times New Roman" w:cs="Times New Roman"/>
          <w:sz w:val="24"/>
          <w:szCs w:val="24"/>
        </w:rPr>
        <w:t xml:space="preserve">Similarly, </w:t>
      </w:r>
      <w:r w:rsidR="00B863ED" w:rsidRPr="00AF7D9D">
        <w:rPr>
          <w:rFonts w:ascii="Times New Roman" w:hAnsi="Times New Roman" w:cs="Times New Roman"/>
          <w:sz w:val="24"/>
          <w:szCs w:val="24"/>
        </w:rPr>
        <w:t xml:space="preserve">Callous-Unemotional </w:t>
      </w:r>
      <w:r w:rsidR="00C631D5" w:rsidRPr="00AF7D9D">
        <w:rPr>
          <w:rFonts w:ascii="Times New Roman" w:hAnsi="Times New Roman" w:cs="Times New Roman"/>
          <w:sz w:val="24"/>
          <w:szCs w:val="24"/>
        </w:rPr>
        <w:t xml:space="preserve">(C-U) </w:t>
      </w:r>
      <w:r w:rsidR="00B863ED" w:rsidRPr="00AF7D9D">
        <w:rPr>
          <w:rFonts w:ascii="Times New Roman" w:hAnsi="Times New Roman" w:cs="Times New Roman"/>
          <w:sz w:val="24"/>
          <w:szCs w:val="24"/>
        </w:rPr>
        <w:t xml:space="preserve">and Impulsive-Irresponsible </w:t>
      </w:r>
      <w:r w:rsidR="00C631D5" w:rsidRPr="00AF7D9D">
        <w:rPr>
          <w:rFonts w:ascii="Times New Roman" w:hAnsi="Times New Roman" w:cs="Times New Roman"/>
          <w:sz w:val="24"/>
          <w:szCs w:val="24"/>
        </w:rPr>
        <w:t xml:space="preserve">(I-I) </w:t>
      </w:r>
      <w:r w:rsidR="004C0D41" w:rsidRPr="00AF7D9D">
        <w:rPr>
          <w:rFonts w:ascii="Times New Roman" w:hAnsi="Times New Roman" w:cs="Times New Roman"/>
          <w:sz w:val="24"/>
          <w:szCs w:val="24"/>
        </w:rPr>
        <w:t xml:space="preserve">were correlated at </w:t>
      </w:r>
      <w:r w:rsidR="004C0D41" w:rsidRPr="00AF7D9D">
        <w:rPr>
          <w:rFonts w:ascii="Times New Roman" w:hAnsi="Times New Roman" w:cs="Times New Roman"/>
          <w:i/>
          <w:sz w:val="24"/>
          <w:szCs w:val="24"/>
        </w:rPr>
        <w:t>r</w:t>
      </w:r>
      <w:r w:rsidR="00C631D5" w:rsidRPr="00AF7D9D">
        <w:rPr>
          <w:rFonts w:ascii="Times New Roman" w:hAnsi="Times New Roman" w:cs="Times New Roman"/>
          <w:sz w:val="24"/>
          <w:szCs w:val="24"/>
        </w:rPr>
        <w:t xml:space="preserve"> = .34</w:t>
      </w:r>
      <w:r w:rsidR="004C0D41" w:rsidRPr="00AF7D9D">
        <w:rPr>
          <w:rFonts w:ascii="Times New Roman" w:hAnsi="Times New Roman" w:cs="Times New Roman"/>
          <w:sz w:val="24"/>
          <w:szCs w:val="24"/>
        </w:rPr>
        <w:t xml:space="preserve">, </w:t>
      </w:r>
      <w:r w:rsidR="004C0D41" w:rsidRPr="00AF7D9D">
        <w:rPr>
          <w:rFonts w:ascii="Times New Roman" w:hAnsi="Times New Roman" w:cs="Times New Roman"/>
          <w:i/>
          <w:sz w:val="24"/>
          <w:szCs w:val="24"/>
        </w:rPr>
        <w:t>p</w:t>
      </w:r>
      <w:r w:rsidR="004C0D41" w:rsidRPr="00AF7D9D">
        <w:rPr>
          <w:rFonts w:ascii="Times New Roman" w:hAnsi="Times New Roman" w:cs="Times New Roman"/>
          <w:sz w:val="24"/>
          <w:szCs w:val="24"/>
        </w:rPr>
        <w:t xml:space="preserve"> &lt; .01.</w:t>
      </w:r>
      <w:r w:rsidR="00641C2C" w:rsidRPr="00AF7D9D">
        <w:rPr>
          <w:rFonts w:ascii="Times New Roman" w:hAnsi="Times New Roman" w:cs="Times New Roman"/>
          <w:sz w:val="24"/>
          <w:szCs w:val="24"/>
        </w:rPr>
        <w:t xml:space="preserve"> When using DI</w:t>
      </w:r>
      <w:r w:rsidR="00F52525" w:rsidRPr="00AF7D9D">
        <w:rPr>
          <w:rFonts w:ascii="Times New Roman" w:hAnsi="Times New Roman" w:cs="Times New Roman"/>
          <w:sz w:val="24"/>
          <w:szCs w:val="24"/>
        </w:rPr>
        <w:t>RP cut</w:t>
      </w:r>
      <w:r w:rsidR="00CF5146" w:rsidRPr="00AF7D9D">
        <w:rPr>
          <w:rFonts w:ascii="Times New Roman" w:hAnsi="Times New Roman" w:cs="Times New Roman"/>
          <w:sz w:val="24"/>
          <w:szCs w:val="24"/>
        </w:rPr>
        <w:t>-off</w:t>
      </w:r>
      <w:r w:rsidR="00F52525" w:rsidRPr="00AF7D9D">
        <w:rPr>
          <w:rFonts w:ascii="Times New Roman" w:hAnsi="Times New Roman" w:cs="Times New Roman"/>
          <w:sz w:val="24"/>
          <w:szCs w:val="24"/>
        </w:rPr>
        <w:t xml:space="preserve"> </w:t>
      </w:r>
      <w:r w:rsidR="00025B81" w:rsidRPr="00AF7D9D">
        <w:rPr>
          <w:rFonts w:ascii="Times New Roman" w:hAnsi="Times New Roman" w:cs="Times New Roman"/>
          <w:sz w:val="24"/>
          <w:szCs w:val="24"/>
        </w:rPr>
        <w:t>scores of</w:t>
      </w:r>
      <w:r w:rsidR="009231C2" w:rsidRPr="00AF7D9D">
        <w:rPr>
          <w:rFonts w:ascii="Times New Roman" w:hAnsi="Times New Roman" w:cs="Times New Roman"/>
          <w:sz w:val="24"/>
          <w:szCs w:val="24"/>
        </w:rPr>
        <w:t xml:space="preserve"> </w:t>
      </w:r>
      <w:r w:rsidR="00C631D5" w:rsidRPr="00AF7D9D">
        <w:rPr>
          <w:rFonts w:ascii="Times New Roman" w:hAnsi="Times New Roman" w:cs="Times New Roman"/>
          <w:sz w:val="24"/>
          <w:szCs w:val="24"/>
        </w:rPr>
        <w:t>≥ 7 and ≥ 8 for classification purposes, the strength of these relationships among</w:t>
      </w:r>
      <w:r w:rsidR="008376BA" w:rsidRPr="00AF7D9D">
        <w:rPr>
          <w:rFonts w:ascii="Times New Roman" w:hAnsi="Times New Roman" w:cs="Times New Roman"/>
          <w:sz w:val="24"/>
          <w:szCs w:val="24"/>
        </w:rPr>
        <w:t xml:space="preserve"> the more consistent participants</w:t>
      </w:r>
      <w:r w:rsidR="00C631D5" w:rsidRPr="00AF7D9D">
        <w:rPr>
          <w:rFonts w:ascii="Times New Roman" w:hAnsi="Times New Roman" w:cs="Times New Roman"/>
          <w:sz w:val="24"/>
          <w:szCs w:val="24"/>
        </w:rPr>
        <w:t xml:space="preserve"> remained largely unchanged; however</w:t>
      </w:r>
      <w:r w:rsidR="00CF5146" w:rsidRPr="00AF7D9D">
        <w:rPr>
          <w:rFonts w:ascii="Times New Roman" w:hAnsi="Times New Roman" w:cs="Times New Roman"/>
          <w:sz w:val="24"/>
          <w:szCs w:val="24"/>
        </w:rPr>
        <w:t>,</w:t>
      </w:r>
      <w:r w:rsidR="00C631D5" w:rsidRPr="00AF7D9D">
        <w:rPr>
          <w:rFonts w:ascii="Times New Roman" w:hAnsi="Times New Roman" w:cs="Times New Roman"/>
          <w:sz w:val="24"/>
          <w:szCs w:val="24"/>
        </w:rPr>
        <w:t xml:space="preserve"> sizable reductions in correlation coefficients were observed among participants exceeding these thresholds. Specifically, correl</w:t>
      </w:r>
      <w:r w:rsidR="00641C2C" w:rsidRPr="00AF7D9D">
        <w:rPr>
          <w:rFonts w:ascii="Times New Roman" w:hAnsi="Times New Roman" w:cs="Times New Roman"/>
          <w:sz w:val="24"/>
          <w:szCs w:val="24"/>
        </w:rPr>
        <w:t>ations among respondents with DI</w:t>
      </w:r>
      <w:r w:rsidR="00C631D5" w:rsidRPr="00AF7D9D">
        <w:rPr>
          <w:rFonts w:ascii="Times New Roman" w:hAnsi="Times New Roman" w:cs="Times New Roman"/>
          <w:sz w:val="24"/>
          <w:szCs w:val="24"/>
        </w:rPr>
        <w:t xml:space="preserve">RP scores ≥ 8 </w:t>
      </w:r>
      <w:r w:rsidR="00410DD3" w:rsidRPr="00AF7D9D">
        <w:rPr>
          <w:rFonts w:ascii="Times New Roman" w:hAnsi="Times New Roman" w:cs="Times New Roman"/>
          <w:sz w:val="24"/>
          <w:szCs w:val="24"/>
        </w:rPr>
        <w:t>(</w:t>
      </w:r>
      <w:r w:rsidR="00410DD3" w:rsidRPr="00AF7D9D">
        <w:rPr>
          <w:rFonts w:ascii="Times New Roman" w:hAnsi="Times New Roman" w:cs="Times New Roman"/>
          <w:i/>
          <w:sz w:val="24"/>
          <w:szCs w:val="24"/>
        </w:rPr>
        <w:t>n</w:t>
      </w:r>
      <w:r w:rsidR="00410DD3" w:rsidRPr="00AF7D9D">
        <w:rPr>
          <w:rFonts w:ascii="Times New Roman" w:hAnsi="Times New Roman" w:cs="Times New Roman"/>
          <w:sz w:val="24"/>
          <w:szCs w:val="24"/>
        </w:rPr>
        <w:t xml:space="preserve"> = 3</w:t>
      </w:r>
      <w:r w:rsidR="00F936E5" w:rsidRPr="00AF7D9D">
        <w:rPr>
          <w:rFonts w:ascii="Times New Roman" w:hAnsi="Times New Roman" w:cs="Times New Roman"/>
          <w:sz w:val="24"/>
          <w:szCs w:val="24"/>
        </w:rPr>
        <w:t>54</w:t>
      </w:r>
      <w:r w:rsidR="00410DD3" w:rsidRPr="00AF7D9D">
        <w:rPr>
          <w:rFonts w:ascii="Times New Roman" w:hAnsi="Times New Roman" w:cs="Times New Roman"/>
          <w:sz w:val="24"/>
          <w:szCs w:val="24"/>
        </w:rPr>
        <w:t xml:space="preserve">) </w:t>
      </w:r>
      <w:r w:rsidR="00C631D5" w:rsidRPr="00AF7D9D">
        <w:rPr>
          <w:rFonts w:ascii="Times New Roman" w:hAnsi="Times New Roman" w:cs="Times New Roman"/>
          <w:sz w:val="24"/>
          <w:szCs w:val="24"/>
        </w:rPr>
        <w:t>were most attenuated for G-M and C-U (</w:t>
      </w:r>
      <w:r w:rsidR="00C631D5" w:rsidRPr="00AF7D9D">
        <w:rPr>
          <w:rFonts w:ascii="Times New Roman" w:hAnsi="Times New Roman" w:cs="Times New Roman"/>
          <w:i/>
          <w:sz w:val="24"/>
          <w:szCs w:val="24"/>
        </w:rPr>
        <w:t>r</w:t>
      </w:r>
      <w:r w:rsidR="00F936E5" w:rsidRPr="00AF7D9D">
        <w:rPr>
          <w:rFonts w:ascii="Times New Roman" w:hAnsi="Times New Roman" w:cs="Times New Roman"/>
          <w:sz w:val="24"/>
          <w:szCs w:val="24"/>
        </w:rPr>
        <w:t xml:space="preserve"> = .14</w:t>
      </w:r>
      <w:r w:rsidR="00C631D5" w:rsidRPr="00AF7D9D">
        <w:rPr>
          <w:rFonts w:ascii="Times New Roman" w:hAnsi="Times New Roman" w:cs="Times New Roman"/>
          <w:sz w:val="24"/>
          <w:szCs w:val="24"/>
        </w:rPr>
        <w:t xml:space="preserve">, </w:t>
      </w:r>
      <w:r w:rsidR="00C631D5" w:rsidRPr="00AF7D9D">
        <w:rPr>
          <w:rFonts w:ascii="Times New Roman" w:hAnsi="Times New Roman" w:cs="Times New Roman"/>
          <w:i/>
          <w:sz w:val="24"/>
          <w:szCs w:val="24"/>
        </w:rPr>
        <w:t>p</w:t>
      </w:r>
      <w:r w:rsidR="00F936E5" w:rsidRPr="00AF7D9D">
        <w:rPr>
          <w:rFonts w:ascii="Times New Roman" w:hAnsi="Times New Roman" w:cs="Times New Roman"/>
          <w:sz w:val="24"/>
          <w:szCs w:val="24"/>
        </w:rPr>
        <w:t xml:space="preserve"> &lt; .01</w:t>
      </w:r>
      <w:r w:rsidR="00C631D5" w:rsidRPr="00AF7D9D">
        <w:rPr>
          <w:rFonts w:ascii="Times New Roman" w:hAnsi="Times New Roman" w:cs="Times New Roman"/>
          <w:sz w:val="24"/>
          <w:szCs w:val="24"/>
        </w:rPr>
        <w:t>), followed by C-U and I-I (</w:t>
      </w:r>
      <w:r w:rsidR="00C631D5" w:rsidRPr="00AF7D9D">
        <w:rPr>
          <w:rFonts w:ascii="Times New Roman" w:hAnsi="Times New Roman" w:cs="Times New Roman"/>
          <w:i/>
          <w:sz w:val="24"/>
          <w:szCs w:val="24"/>
        </w:rPr>
        <w:t>r</w:t>
      </w:r>
      <w:r w:rsidR="00F936E5" w:rsidRPr="00AF7D9D">
        <w:rPr>
          <w:rFonts w:ascii="Times New Roman" w:hAnsi="Times New Roman" w:cs="Times New Roman"/>
          <w:sz w:val="24"/>
          <w:szCs w:val="24"/>
        </w:rPr>
        <w:t xml:space="preserve"> = .13</w:t>
      </w:r>
      <w:r w:rsidR="00C631D5" w:rsidRPr="00AF7D9D">
        <w:rPr>
          <w:rFonts w:ascii="Times New Roman" w:hAnsi="Times New Roman" w:cs="Times New Roman"/>
          <w:sz w:val="24"/>
          <w:szCs w:val="24"/>
        </w:rPr>
        <w:t xml:space="preserve">, </w:t>
      </w:r>
      <w:r w:rsidR="00C631D5" w:rsidRPr="00AF7D9D">
        <w:rPr>
          <w:rFonts w:ascii="Times New Roman" w:hAnsi="Times New Roman" w:cs="Times New Roman"/>
          <w:i/>
          <w:sz w:val="24"/>
          <w:szCs w:val="24"/>
        </w:rPr>
        <w:t xml:space="preserve">p </w:t>
      </w:r>
      <w:r w:rsidR="00C631D5" w:rsidRPr="00AF7D9D">
        <w:rPr>
          <w:rFonts w:ascii="Times New Roman" w:hAnsi="Times New Roman" w:cs="Times New Roman"/>
          <w:sz w:val="24"/>
          <w:szCs w:val="24"/>
        </w:rPr>
        <w:t>&lt; .05), and then G-M and I-I (</w:t>
      </w:r>
      <w:r w:rsidR="00C631D5" w:rsidRPr="00AF7D9D">
        <w:rPr>
          <w:rFonts w:ascii="Times New Roman" w:hAnsi="Times New Roman" w:cs="Times New Roman"/>
          <w:i/>
          <w:sz w:val="24"/>
          <w:szCs w:val="24"/>
        </w:rPr>
        <w:t>r</w:t>
      </w:r>
      <w:r w:rsidR="00F936E5" w:rsidRPr="00AF7D9D">
        <w:rPr>
          <w:rFonts w:ascii="Times New Roman" w:hAnsi="Times New Roman" w:cs="Times New Roman"/>
          <w:sz w:val="24"/>
          <w:szCs w:val="24"/>
        </w:rPr>
        <w:t xml:space="preserve"> = .26</w:t>
      </w:r>
      <w:r w:rsidR="00C631D5" w:rsidRPr="00AF7D9D">
        <w:rPr>
          <w:rFonts w:ascii="Times New Roman" w:hAnsi="Times New Roman" w:cs="Times New Roman"/>
          <w:sz w:val="24"/>
          <w:szCs w:val="24"/>
        </w:rPr>
        <w:t xml:space="preserve">, </w:t>
      </w:r>
      <w:r w:rsidR="00C631D5" w:rsidRPr="00AF7D9D">
        <w:rPr>
          <w:rFonts w:ascii="Times New Roman" w:hAnsi="Times New Roman" w:cs="Times New Roman"/>
          <w:i/>
          <w:sz w:val="24"/>
          <w:szCs w:val="24"/>
        </w:rPr>
        <w:t>p</w:t>
      </w:r>
      <w:r w:rsidR="00C631D5" w:rsidRPr="00AF7D9D">
        <w:rPr>
          <w:rFonts w:ascii="Times New Roman" w:hAnsi="Times New Roman" w:cs="Times New Roman"/>
          <w:sz w:val="24"/>
          <w:szCs w:val="24"/>
        </w:rPr>
        <w:t xml:space="preserve"> &lt; .01)</w:t>
      </w:r>
      <w:r w:rsidR="00410DD3" w:rsidRPr="00AF7D9D">
        <w:rPr>
          <w:rFonts w:ascii="Times New Roman" w:hAnsi="Times New Roman" w:cs="Times New Roman"/>
          <w:sz w:val="24"/>
          <w:szCs w:val="24"/>
        </w:rPr>
        <w:t xml:space="preserve">. </w:t>
      </w:r>
      <w:r w:rsidR="00AD468B" w:rsidRPr="00AF7D9D">
        <w:rPr>
          <w:rFonts w:ascii="Times New Roman" w:hAnsi="Times New Roman" w:cs="Times New Roman"/>
          <w:sz w:val="24"/>
          <w:szCs w:val="24"/>
        </w:rPr>
        <w:t xml:space="preserve">Based on comparisons using the Fisher </w:t>
      </w:r>
      <w:r w:rsidR="00AD468B" w:rsidRPr="00AF7D9D">
        <w:rPr>
          <w:rFonts w:ascii="Times New Roman" w:hAnsi="Times New Roman" w:cs="Times New Roman"/>
          <w:i/>
          <w:sz w:val="24"/>
          <w:szCs w:val="24"/>
        </w:rPr>
        <w:t>r</w:t>
      </w:r>
      <w:r w:rsidR="00AD468B" w:rsidRPr="00AF7D9D">
        <w:rPr>
          <w:rFonts w:ascii="Times New Roman" w:hAnsi="Times New Roman" w:cs="Times New Roman"/>
          <w:sz w:val="24"/>
          <w:szCs w:val="24"/>
        </w:rPr>
        <w:t xml:space="preserve">-to-Z transformation, these coefficients were significantly </w:t>
      </w:r>
      <w:r w:rsidR="00AD468B" w:rsidRPr="00AF7D9D">
        <w:rPr>
          <w:rFonts w:ascii="Times New Roman" w:hAnsi="Times New Roman" w:cs="Times New Roman"/>
          <w:sz w:val="24"/>
          <w:szCs w:val="24"/>
        </w:rPr>
        <w:lastRenderedPageBreak/>
        <w:t>different from the corresponding magnitudes found for more consistent respondents (</w:t>
      </w:r>
      <w:r w:rsidR="00AD468B" w:rsidRPr="00AF7D9D">
        <w:rPr>
          <w:rFonts w:ascii="Times New Roman" w:hAnsi="Times New Roman" w:cs="Times New Roman"/>
          <w:i/>
          <w:sz w:val="24"/>
          <w:szCs w:val="24"/>
        </w:rPr>
        <w:t>p</w:t>
      </w:r>
      <w:r w:rsidR="00AD468B" w:rsidRPr="00AF7D9D">
        <w:rPr>
          <w:rFonts w:ascii="Times New Roman" w:hAnsi="Times New Roman" w:cs="Times New Roman"/>
          <w:sz w:val="24"/>
          <w:szCs w:val="24"/>
        </w:rPr>
        <w:t>s &lt;</w:t>
      </w:r>
      <w:r w:rsidR="008376BA" w:rsidRPr="00AF7D9D">
        <w:rPr>
          <w:rFonts w:ascii="Times New Roman" w:hAnsi="Times New Roman" w:cs="Times New Roman"/>
          <w:sz w:val="24"/>
          <w:szCs w:val="24"/>
        </w:rPr>
        <w:t xml:space="preserve"> </w:t>
      </w:r>
      <w:r w:rsidR="00AD468B" w:rsidRPr="00AF7D9D">
        <w:rPr>
          <w:rFonts w:ascii="Times New Roman" w:hAnsi="Times New Roman" w:cs="Times New Roman"/>
          <w:sz w:val="24"/>
          <w:szCs w:val="24"/>
        </w:rPr>
        <w:t>.01). Equivalent p</w:t>
      </w:r>
      <w:r w:rsidR="00410DD3" w:rsidRPr="00AF7D9D">
        <w:rPr>
          <w:rFonts w:ascii="Times New Roman" w:hAnsi="Times New Roman" w:cs="Times New Roman"/>
          <w:sz w:val="24"/>
          <w:szCs w:val="24"/>
        </w:rPr>
        <w:t>atterns of significant differences (</w:t>
      </w:r>
      <w:r w:rsidR="00410DD3" w:rsidRPr="00AF7D9D">
        <w:rPr>
          <w:rFonts w:ascii="Times New Roman" w:hAnsi="Times New Roman" w:cs="Times New Roman"/>
          <w:i/>
          <w:sz w:val="24"/>
          <w:szCs w:val="24"/>
        </w:rPr>
        <w:t>p</w:t>
      </w:r>
      <w:r w:rsidR="00410DD3" w:rsidRPr="00AF7D9D">
        <w:rPr>
          <w:rFonts w:ascii="Times New Roman" w:hAnsi="Times New Roman" w:cs="Times New Roman"/>
          <w:sz w:val="24"/>
          <w:szCs w:val="24"/>
        </w:rPr>
        <w:t>s &lt; .01) were also observed whe</w:t>
      </w:r>
      <w:r w:rsidR="00F52525" w:rsidRPr="00AF7D9D">
        <w:rPr>
          <w:rFonts w:ascii="Times New Roman" w:hAnsi="Times New Roman" w:cs="Times New Roman"/>
          <w:sz w:val="24"/>
          <w:szCs w:val="24"/>
        </w:rPr>
        <w:t>n using a more conservative cut</w:t>
      </w:r>
      <w:r w:rsidR="00CF5146" w:rsidRPr="00AF7D9D">
        <w:rPr>
          <w:rFonts w:ascii="Times New Roman" w:hAnsi="Times New Roman" w:cs="Times New Roman"/>
          <w:sz w:val="24"/>
          <w:szCs w:val="24"/>
        </w:rPr>
        <w:t>-off</w:t>
      </w:r>
      <w:r w:rsidR="00F52525" w:rsidRPr="00AF7D9D">
        <w:rPr>
          <w:rFonts w:ascii="Times New Roman" w:hAnsi="Times New Roman" w:cs="Times New Roman"/>
          <w:sz w:val="24"/>
          <w:szCs w:val="24"/>
        </w:rPr>
        <w:t xml:space="preserve"> </w:t>
      </w:r>
      <w:r w:rsidR="00410DD3" w:rsidRPr="00AF7D9D">
        <w:rPr>
          <w:rFonts w:ascii="Times New Roman" w:hAnsi="Times New Roman" w:cs="Times New Roman"/>
          <w:sz w:val="24"/>
          <w:szCs w:val="24"/>
        </w:rPr>
        <w:t>score of ≥ 7 (</w:t>
      </w:r>
      <w:r w:rsidR="00410DD3" w:rsidRPr="00AF7D9D">
        <w:rPr>
          <w:rFonts w:ascii="Times New Roman" w:hAnsi="Times New Roman" w:cs="Times New Roman"/>
          <w:i/>
          <w:sz w:val="24"/>
          <w:szCs w:val="24"/>
        </w:rPr>
        <w:t>n</w:t>
      </w:r>
      <w:r w:rsidR="00F936E5" w:rsidRPr="00AF7D9D">
        <w:rPr>
          <w:rFonts w:ascii="Times New Roman" w:hAnsi="Times New Roman" w:cs="Times New Roman"/>
          <w:sz w:val="24"/>
          <w:szCs w:val="24"/>
        </w:rPr>
        <w:t xml:space="preserve"> = 613</w:t>
      </w:r>
      <w:r w:rsidR="00410DD3" w:rsidRPr="00AF7D9D">
        <w:rPr>
          <w:rFonts w:ascii="Times New Roman" w:hAnsi="Times New Roman" w:cs="Times New Roman"/>
          <w:sz w:val="24"/>
          <w:szCs w:val="24"/>
        </w:rPr>
        <w:t xml:space="preserve">; G-M and C-U </w:t>
      </w:r>
      <w:r w:rsidR="00410DD3" w:rsidRPr="00AF7D9D">
        <w:rPr>
          <w:rFonts w:ascii="Times New Roman" w:hAnsi="Times New Roman" w:cs="Times New Roman"/>
          <w:i/>
          <w:sz w:val="24"/>
          <w:szCs w:val="24"/>
        </w:rPr>
        <w:t>r</w:t>
      </w:r>
      <w:r w:rsidR="00F936E5" w:rsidRPr="00AF7D9D">
        <w:rPr>
          <w:rFonts w:ascii="Times New Roman" w:hAnsi="Times New Roman" w:cs="Times New Roman"/>
          <w:sz w:val="24"/>
          <w:szCs w:val="24"/>
        </w:rPr>
        <w:t xml:space="preserve"> = .21</w:t>
      </w:r>
      <w:r w:rsidR="00410DD3" w:rsidRPr="00AF7D9D">
        <w:rPr>
          <w:rFonts w:ascii="Times New Roman" w:hAnsi="Times New Roman" w:cs="Times New Roman"/>
          <w:sz w:val="24"/>
          <w:szCs w:val="24"/>
        </w:rPr>
        <w:t xml:space="preserve">, </w:t>
      </w:r>
      <w:r w:rsidR="00410DD3" w:rsidRPr="00AF7D9D">
        <w:rPr>
          <w:rFonts w:ascii="Times New Roman" w:hAnsi="Times New Roman" w:cs="Times New Roman"/>
          <w:i/>
          <w:sz w:val="24"/>
          <w:szCs w:val="24"/>
        </w:rPr>
        <w:t>p</w:t>
      </w:r>
      <w:r w:rsidR="00F936E5" w:rsidRPr="00AF7D9D">
        <w:rPr>
          <w:rFonts w:ascii="Times New Roman" w:hAnsi="Times New Roman" w:cs="Times New Roman"/>
          <w:sz w:val="24"/>
          <w:szCs w:val="24"/>
        </w:rPr>
        <w:t xml:space="preserve"> &lt; .01; C-U and I-I</w:t>
      </w:r>
      <w:r w:rsidR="00410DD3" w:rsidRPr="00AF7D9D">
        <w:rPr>
          <w:rFonts w:ascii="Times New Roman" w:hAnsi="Times New Roman" w:cs="Times New Roman"/>
          <w:sz w:val="24"/>
          <w:szCs w:val="24"/>
        </w:rPr>
        <w:t xml:space="preserve"> </w:t>
      </w:r>
      <w:r w:rsidR="00410DD3" w:rsidRPr="00AF7D9D">
        <w:rPr>
          <w:rFonts w:ascii="Times New Roman" w:hAnsi="Times New Roman" w:cs="Times New Roman"/>
          <w:i/>
          <w:sz w:val="24"/>
          <w:szCs w:val="24"/>
        </w:rPr>
        <w:t>r</w:t>
      </w:r>
      <w:r w:rsidR="00F936E5" w:rsidRPr="00AF7D9D">
        <w:rPr>
          <w:rFonts w:ascii="Times New Roman" w:hAnsi="Times New Roman" w:cs="Times New Roman"/>
          <w:sz w:val="24"/>
          <w:szCs w:val="24"/>
        </w:rPr>
        <w:t xml:space="preserve"> = .14</w:t>
      </w:r>
      <w:r w:rsidR="00410DD3" w:rsidRPr="00AF7D9D">
        <w:rPr>
          <w:rFonts w:ascii="Times New Roman" w:hAnsi="Times New Roman" w:cs="Times New Roman"/>
          <w:sz w:val="24"/>
          <w:szCs w:val="24"/>
        </w:rPr>
        <w:t xml:space="preserve">, </w:t>
      </w:r>
      <w:r w:rsidR="00410DD3" w:rsidRPr="00AF7D9D">
        <w:rPr>
          <w:rFonts w:ascii="Times New Roman" w:hAnsi="Times New Roman" w:cs="Times New Roman"/>
          <w:i/>
          <w:sz w:val="24"/>
          <w:szCs w:val="24"/>
        </w:rPr>
        <w:t>p</w:t>
      </w:r>
      <w:r w:rsidR="00F936E5" w:rsidRPr="00AF7D9D">
        <w:rPr>
          <w:rFonts w:ascii="Times New Roman" w:hAnsi="Times New Roman" w:cs="Times New Roman"/>
          <w:sz w:val="24"/>
          <w:szCs w:val="24"/>
        </w:rPr>
        <w:t xml:space="preserve"> &lt; .01</w:t>
      </w:r>
      <w:r w:rsidR="00410DD3" w:rsidRPr="00AF7D9D">
        <w:rPr>
          <w:rFonts w:ascii="Times New Roman" w:hAnsi="Times New Roman" w:cs="Times New Roman"/>
          <w:sz w:val="24"/>
          <w:szCs w:val="24"/>
        </w:rPr>
        <w:t xml:space="preserve">, G-M and I-I </w:t>
      </w:r>
      <w:r w:rsidR="00410DD3" w:rsidRPr="00AF7D9D">
        <w:rPr>
          <w:rFonts w:ascii="Times New Roman" w:hAnsi="Times New Roman" w:cs="Times New Roman"/>
          <w:i/>
          <w:sz w:val="24"/>
          <w:szCs w:val="24"/>
        </w:rPr>
        <w:t>r</w:t>
      </w:r>
      <w:r w:rsidR="00F936E5" w:rsidRPr="00AF7D9D">
        <w:rPr>
          <w:rFonts w:ascii="Times New Roman" w:hAnsi="Times New Roman" w:cs="Times New Roman"/>
          <w:sz w:val="24"/>
          <w:szCs w:val="24"/>
        </w:rPr>
        <w:t xml:space="preserve"> = .27</w:t>
      </w:r>
      <w:r w:rsidR="00410DD3" w:rsidRPr="00AF7D9D">
        <w:rPr>
          <w:rFonts w:ascii="Times New Roman" w:hAnsi="Times New Roman" w:cs="Times New Roman"/>
          <w:sz w:val="24"/>
          <w:szCs w:val="24"/>
        </w:rPr>
        <w:t xml:space="preserve">, </w:t>
      </w:r>
      <w:r w:rsidR="00410DD3" w:rsidRPr="00AF7D9D">
        <w:rPr>
          <w:rFonts w:ascii="Times New Roman" w:hAnsi="Times New Roman" w:cs="Times New Roman"/>
          <w:i/>
          <w:sz w:val="24"/>
          <w:szCs w:val="24"/>
        </w:rPr>
        <w:t>p</w:t>
      </w:r>
      <w:r w:rsidR="00F936E5" w:rsidRPr="00AF7D9D">
        <w:rPr>
          <w:rFonts w:ascii="Times New Roman" w:hAnsi="Times New Roman" w:cs="Times New Roman"/>
          <w:sz w:val="24"/>
          <w:szCs w:val="24"/>
        </w:rPr>
        <w:t xml:space="preserve"> &lt; .01</w:t>
      </w:r>
      <w:r w:rsidR="00410DD3" w:rsidRPr="00AF7D9D">
        <w:rPr>
          <w:rFonts w:ascii="Times New Roman" w:hAnsi="Times New Roman" w:cs="Times New Roman"/>
          <w:sz w:val="24"/>
          <w:szCs w:val="24"/>
        </w:rPr>
        <w:t>).</w:t>
      </w:r>
    </w:p>
    <w:p w14:paraId="3873B241" w14:textId="06012456" w:rsidR="006A10CD" w:rsidRPr="00AF7D9D" w:rsidRDefault="006A10CD" w:rsidP="00CD44E1">
      <w:pPr>
        <w:spacing w:after="0" w:line="480" w:lineRule="auto"/>
        <w:ind w:firstLine="720"/>
        <w:rPr>
          <w:rFonts w:ascii="Times New Roman" w:hAnsi="Times New Roman" w:cs="Times New Roman"/>
          <w:sz w:val="24"/>
          <w:szCs w:val="24"/>
        </w:rPr>
      </w:pPr>
      <w:r w:rsidRPr="00AF7D9D">
        <w:rPr>
          <w:rFonts w:ascii="Times New Roman" w:hAnsi="Times New Roman" w:cs="Times New Roman"/>
          <w:sz w:val="24"/>
          <w:szCs w:val="24"/>
        </w:rPr>
        <w:t xml:space="preserve">Additionally, we examined the effect of inconsistent responding on associations between the YPI-S and several theoretically relevant criterion measures available from our archival samples, including substance use, delinquent conduct, aggression, psychopathic traits, and </w:t>
      </w:r>
      <w:r w:rsidR="00C772FB" w:rsidRPr="00AF7D9D">
        <w:rPr>
          <w:rFonts w:ascii="Times New Roman" w:hAnsi="Times New Roman" w:cs="Times New Roman"/>
          <w:sz w:val="24"/>
          <w:szCs w:val="24"/>
        </w:rPr>
        <w:t>basic</w:t>
      </w:r>
      <w:r w:rsidRPr="00AF7D9D">
        <w:rPr>
          <w:rFonts w:ascii="Times New Roman" w:hAnsi="Times New Roman" w:cs="Times New Roman"/>
          <w:sz w:val="24"/>
          <w:szCs w:val="24"/>
        </w:rPr>
        <w:t xml:space="preserve"> dimensions of </w:t>
      </w:r>
      <w:r w:rsidR="00A72F83" w:rsidRPr="00AF7D9D">
        <w:rPr>
          <w:rFonts w:ascii="Times New Roman" w:hAnsi="Times New Roman" w:cs="Times New Roman"/>
          <w:sz w:val="24"/>
          <w:szCs w:val="24"/>
        </w:rPr>
        <w:t xml:space="preserve">general </w:t>
      </w:r>
      <w:r w:rsidRPr="00AF7D9D">
        <w:rPr>
          <w:rFonts w:ascii="Times New Roman" w:hAnsi="Times New Roman" w:cs="Times New Roman"/>
          <w:sz w:val="24"/>
          <w:szCs w:val="24"/>
        </w:rPr>
        <w:t xml:space="preserve">personality. Table 4 presents these correlations for total samples and for subgroups of </w:t>
      </w:r>
      <w:r w:rsidR="008376BA" w:rsidRPr="00AF7D9D">
        <w:rPr>
          <w:rFonts w:ascii="Times New Roman" w:hAnsi="Times New Roman" w:cs="Times New Roman"/>
          <w:sz w:val="24"/>
          <w:szCs w:val="24"/>
        </w:rPr>
        <w:t>participants</w:t>
      </w:r>
      <w:r w:rsidR="00D768F5" w:rsidRPr="00AF7D9D">
        <w:rPr>
          <w:rFonts w:ascii="Times New Roman" w:hAnsi="Times New Roman" w:cs="Times New Roman"/>
          <w:sz w:val="24"/>
          <w:szCs w:val="24"/>
        </w:rPr>
        <w:t xml:space="preserve"> </w:t>
      </w:r>
      <w:r w:rsidRPr="00AF7D9D">
        <w:rPr>
          <w:rFonts w:ascii="Times New Roman" w:hAnsi="Times New Roman" w:cs="Times New Roman"/>
          <w:sz w:val="24"/>
          <w:szCs w:val="24"/>
        </w:rPr>
        <w:t>separated</w:t>
      </w:r>
      <w:r w:rsidR="00641C2C" w:rsidRPr="00AF7D9D">
        <w:rPr>
          <w:rFonts w:ascii="Times New Roman" w:hAnsi="Times New Roman" w:cs="Times New Roman"/>
          <w:sz w:val="24"/>
          <w:szCs w:val="24"/>
        </w:rPr>
        <w:t xml:space="preserve"> by profile validity based on DI</w:t>
      </w:r>
      <w:r w:rsidRPr="00AF7D9D">
        <w:rPr>
          <w:rFonts w:ascii="Times New Roman" w:hAnsi="Times New Roman" w:cs="Times New Roman"/>
          <w:sz w:val="24"/>
          <w:szCs w:val="24"/>
        </w:rPr>
        <w:t>RP cut</w:t>
      </w:r>
      <w:r w:rsidR="008964BD" w:rsidRPr="00AF7D9D">
        <w:rPr>
          <w:rFonts w:ascii="Times New Roman" w:hAnsi="Times New Roman" w:cs="Times New Roman"/>
          <w:sz w:val="24"/>
          <w:szCs w:val="24"/>
        </w:rPr>
        <w:t>-off</w:t>
      </w:r>
      <w:r w:rsidRPr="00AF7D9D">
        <w:rPr>
          <w:rFonts w:ascii="Times New Roman" w:hAnsi="Times New Roman" w:cs="Times New Roman"/>
          <w:sz w:val="24"/>
          <w:szCs w:val="24"/>
        </w:rPr>
        <w:t xml:space="preserve"> scores we previously identified as demonstrating favorable sensitivity and specificity (i.e., ≥ 7 and ≥ 8). The Italian and Dutch samples were sufficiently large </w:t>
      </w:r>
      <w:r w:rsidR="0061704A" w:rsidRPr="00AF7D9D">
        <w:rPr>
          <w:rFonts w:ascii="Times New Roman" w:hAnsi="Times New Roman" w:cs="Times New Roman"/>
          <w:sz w:val="24"/>
          <w:szCs w:val="24"/>
        </w:rPr>
        <w:t xml:space="preserve">enough </w:t>
      </w:r>
      <w:r w:rsidRPr="00AF7D9D">
        <w:rPr>
          <w:rFonts w:ascii="Times New Roman" w:hAnsi="Times New Roman" w:cs="Times New Roman"/>
          <w:sz w:val="24"/>
          <w:szCs w:val="24"/>
        </w:rPr>
        <w:t xml:space="preserve">to report findings separately for male and female participants, given the potential for these relationships to vary by gender. Generally, associations among “consistent” </w:t>
      </w:r>
      <w:r w:rsidR="008376BA" w:rsidRPr="00AF7D9D">
        <w:rPr>
          <w:rFonts w:ascii="Times New Roman" w:hAnsi="Times New Roman" w:cs="Times New Roman"/>
          <w:sz w:val="24"/>
          <w:szCs w:val="24"/>
        </w:rPr>
        <w:t>participants</w:t>
      </w:r>
      <w:r w:rsidRPr="00AF7D9D">
        <w:rPr>
          <w:rFonts w:ascii="Times New Roman" w:hAnsi="Times New Roman" w:cs="Times New Roman"/>
          <w:sz w:val="24"/>
          <w:szCs w:val="24"/>
        </w:rPr>
        <w:t xml:space="preserve"> only slightly deviated from criterion-related validity coefficients observed for the total sample</w:t>
      </w:r>
      <w:r w:rsidR="00E5255B" w:rsidRPr="00AF7D9D">
        <w:rPr>
          <w:rFonts w:ascii="Times New Roman" w:hAnsi="Times New Roman" w:cs="Times New Roman"/>
          <w:sz w:val="24"/>
          <w:szCs w:val="24"/>
        </w:rPr>
        <w:t xml:space="preserve">, </w:t>
      </w:r>
      <w:r w:rsidR="009475FA" w:rsidRPr="00AF7D9D">
        <w:rPr>
          <w:rFonts w:ascii="Times New Roman" w:hAnsi="Times New Roman" w:cs="Times New Roman"/>
          <w:sz w:val="24"/>
          <w:szCs w:val="24"/>
        </w:rPr>
        <w:t xml:space="preserve">at most increasing the strength of the correlation by .08 </w:t>
      </w:r>
      <w:r w:rsidR="00E95135" w:rsidRPr="00AF7D9D">
        <w:rPr>
          <w:rFonts w:ascii="Times New Roman" w:hAnsi="Times New Roman" w:cs="Times New Roman"/>
          <w:sz w:val="24"/>
          <w:szCs w:val="24"/>
        </w:rPr>
        <w:t>when</w:t>
      </w:r>
      <w:r w:rsidR="009475FA" w:rsidRPr="00AF7D9D">
        <w:rPr>
          <w:rFonts w:ascii="Times New Roman" w:hAnsi="Times New Roman" w:cs="Times New Roman"/>
          <w:sz w:val="24"/>
          <w:szCs w:val="24"/>
        </w:rPr>
        <w:t xml:space="preserve"> </w:t>
      </w:r>
      <w:r w:rsidR="00641C2C" w:rsidRPr="00AF7D9D">
        <w:rPr>
          <w:rFonts w:ascii="Times New Roman" w:hAnsi="Times New Roman" w:cs="Times New Roman"/>
          <w:sz w:val="24"/>
          <w:szCs w:val="24"/>
        </w:rPr>
        <w:t>DI</w:t>
      </w:r>
      <w:r w:rsidR="00E5255B" w:rsidRPr="00AF7D9D">
        <w:rPr>
          <w:rFonts w:ascii="Times New Roman" w:hAnsi="Times New Roman" w:cs="Times New Roman"/>
          <w:sz w:val="24"/>
          <w:szCs w:val="24"/>
        </w:rPr>
        <w:t xml:space="preserve">RP </w:t>
      </w:r>
      <w:r w:rsidR="00E95135" w:rsidRPr="00AF7D9D">
        <w:rPr>
          <w:rFonts w:ascii="Times New Roman" w:hAnsi="Times New Roman" w:cs="Times New Roman"/>
          <w:sz w:val="24"/>
          <w:szCs w:val="24"/>
        </w:rPr>
        <w:t>&lt;</w:t>
      </w:r>
      <w:r w:rsidR="00E5255B" w:rsidRPr="00AF7D9D">
        <w:rPr>
          <w:rFonts w:ascii="Times New Roman" w:hAnsi="Times New Roman" w:cs="Times New Roman"/>
          <w:sz w:val="24"/>
          <w:szCs w:val="24"/>
        </w:rPr>
        <w:t xml:space="preserve"> 7 and </w:t>
      </w:r>
      <w:r w:rsidR="009475FA" w:rsidRPr="00AF7D9D">
        <w:rPr>
          <w:rFonts w:ascii="Times New Roman" w:hAnsi="Times New Roman" w:cs="Times New Roman"/>
          <w:sz w:val="24"/>
          <w:szCs w:val="24"/>
        </w:rPr>
        <w:t xml:space="preserve">.05 </w:t>
      </w:r>
      <w:r w:rsidR="00E95135" w:rsidRPr="00AF7D9D">
        <w:rPr>
          <w:rFonts w:ascii="Times New Roman" w:hAnsi="Times New Roman" w:cs="Times New Roman"/>
          <w:sz w:val="24"/>
          <w:szCs w:val="24"/>
        </w:rPr>
        <w:t>when</w:t>
      </w:r>
      <w:r w:rsidR="00641C2C" w:rsidRPr="00AF7D9D">
        <w:rPr>
          <w:rFonts w:ascii="Times New Roman" w:hAnsi="Times New Roman" w:cs="Times New Roman"/>
          <w:sz w:val="24"/>
          <w:szCs w:val="24"/>
        </w:rPr>
        <w:t xml:space="preserve"> DI</w:t>
      </w:r>
      <w:r w:rsidR="00E5255B" w:rsidRPr="00AF7D9D">
        <w:rPr>
          <w:rFonts w:ascii="Times New Roman" w:hAnsi="Times New Roman" w:cs="Times New Roman"/>
          <w:sz w:val="24"/>
          <w:szCs w:val="24"/>
        </w:rPr>
        <w:t xml:space="preserve">RP </w:t>
      </w:r>
      <w:r w:rsidR="00E95135" w:rsidRPr="00AF7D9D">
        <w:rPr>
          <w:rFonts w:ascii="Times New Roman" w:hAnsi="Times New Roman" w:cs="Times New Roman"/>
          <w:sz w:val="24"/>
          <w:szCs w:val="24"/>
        </w:rPr>
        <w:t>&lt;</w:t>
      </w:r>
      <w:r w:rsidR="00E5255B" w:rsidRPr="00AF7D9D">
        <w:rPr>
          <w:rFonts w:ascii="Times New Roman" w:hAnsi="Times New Roman" w:cs="Times New Roman"/>
          <w:sz w:val="24"/>
          <w:szCs w:val="24"/>
        </w:rPr>
        <w:t xml:space="preserve"> 8</w:t>
      </w:r>
      <w:r w:rsidR="009475FA" w:rsidRPr="00AF7D9D">
        <w:rPr>
          <w:rFonts w:ascii="Times New Roman" w:hAnsi="Times New Roman" w:cs="Times New Roman"/>
          <w:sz w:val="24"/>
          <w:szCs w:val="24"/>
        </w:rPr>
        <w:t xml:space="preserve"> (</w:t>
      </w:r>
      <w:r w:rsidR="009475FA" w:rsidRPr="00AF7D9D">
        <w:rPr>
          <w:rFonts w:ascii="Times New Roman" w:hAnsi="Times New Roman" w:cs="Times New Roman"/>
          <w:i/>
          <w:sz w:val="24"/>
          <w:szCs w:val="24"/>
        </w:rPr>
        <w:t>M</w:t>
      </w:r>
      <w:r w:rsidR="009475FA" w:rsidRPr="00AF7D9D">
        <w:rPr>
          <w:rFonts w:ascii="Times New Roman" w:hAnsi="Times New Roman" w:cs="Times New Roman"/>
          <w:sz w:val="24"/>
          <w:szCs w:val="24"/>
        </w:rPr>
        <w:t xml:space="preserve"> = -.01, </w:t>
      </w:r>
      <w:r w:rsidR="009475FA" w:rsidRPr="00AF7D9D">
        <w:rPr>
          <w:rFonts w:ascii="Times New Roman" w:hAnsi="Times New Roman" w:cs="Times New Roman"/>
          <w:i/>
          <w:sz w:val="24"/>
          <w:szCs w:val="24"/>
        </w:rPr>
        <w:t>SD</w:t>
      </w:r>
      <w:r w:rsidR="009475FA" w:rsidRPr="00AF7D9D">
        <w:rPr>
          <w:rFonts w:ascii="Times New Roman" w:hAnsi="Times New Roman" w:cs="Times New Roman"/>
          <w:sz w:val="24"/>
          <w:szCs w:val="24"/>
        </w:rPr>
        <w:t xml:space="preserve"> = .05; </w:t>
      </w:r>
      <w:r w:rsidR="009475FA" w:rsidRPr="00AF7D9D">
        <w:rPr>
          <w:rFonts w:ascii="Times New Roman" w:hAnsi="Times New Roman" w:cs="Times New Roman"/>
          <w:i/>
          <w:sz w:val="24"/>
          <w:szCs w:val="24"/>
        </w:rPr>
        <w:t>M</w:t>
      </w:r>
      <w:r w:rsidR="009475FA" w:rsidRPr="00AF7D9D">
        <w:rPr>
          <w:rFonts w:ascii="Times New Roman" w:hAnsi="Times New Roman" w:cs="Times New Roman"/>
          <w:sz w:val="24"/>
          <w:szCs w:val="24"/>
        </w:rPr>
        <w:t xml:space="preserve"> = -.02, </w:t>
      </w:r>
      <w:r w:rsidR="009475FA" w:rsidRPr="00AF7D9D">
        <w:rPr>
          <w:rFonts w:ascii="Times New Roman" w:hAnsi="Times New Roman" w:cs="Times New Roman"/>
          <w:i/>
          <w:sz w:val="24"/>
          <w:szCs w:val="24"/>
        </w:rPr>
        <w:t>SD</w:t>
      </w:r>
      <w:r w:rsidR="009475FA" w:rsidRPr="00AF7D9D">
        <w:rPr>
          <w:rFonts w:ascii="Times New Roman" w:hAnsi="Times New Roman" w:cs="Times New Roman"/>
          <w:sz w:val="24"/>
          <w:szCs w:val="24"/>
        </w:rPr>
        <w:t xml:space="preserve"> = .04, respectively)</w:t>
      </w:r>
      <w:r w:rsidRPr="00AF7D9D">
        <w:rPr>
          <w:rFonts w:ascii="Times New Roman" w:hAnsi="Times New Roman" w:cs="Times New Roman"/>
          <w:sz w:val="24"/>
          <w:szCs w:val="24"/>
        </w:rPr>
        <w:t>. In contrast, many of the associatio</w:t>
      </w:r>
      <w:r w:rsidR="008376BA" w:rsidRPr="00AF7D9D">
        <w:rPr>
          <w:rFonts w:ascii="Times New Roman" w:hAnsi="Times New Roman" w:cs="Times New Roman"/>
          <w:sz w:val="24"/>
          <w:szCs w:val="24"/>
        </w:rPr>
        <w:t>ns were weakened for participants</w:t>
      </w:r>
      <w:r w:rsidR="00641C2C" w:rsidRPr="00AF7D9D">
        <w:rPr>
          <w:rFonts w:ascii="Times New Roman" w:hAnsi="Times New Roman" w:cs="Times New Roman"/>
          <w:sz w:val="24"/>
          <w:szCs w:val="24"/>
        </w:rPr>
        <w:t xml:space="preserve"> exceeding DI</w:t>
      </w:r>
      <w:r w:rsidRPr="00AF7D9D">
        <w:rPr>
          <w:rFonts w:ascii="Times New Roman" w:hAnsi="Times New Roman" w:cs="Times New Roman"/>
          <w:sz w:val="24"/>
          <w:szCs w:val="24"/>
        </w:rPr>
        <w:t>RP cut</w:t>
      </w:r>
      <w:r w:rsidR="009231C2" w:rsidRPr="00AF7D9D">
        <w:rPr>
          <w:rFonts w:ascii="Times New Roman" w:hAnsi="Times New Roman" w:cs="Times New Roman"/>
          <w:sz w:val="24"/>
          <w:szCs w:val="24"/>
        </w:rPr>
        <w:t>-off</w:t>
      </w:r>
      <w:r w:rsidRPr="00AF7D9D">
        <w:rPr>
          <w:rFonts w:ascii="Times New Roman" w:hAnsi="Times New Roman" w:cs="Times New Roman"/>
          <w:sz w:val="24"/>
          <w:szCs w:val="24"/>
        </w:rPr>
        <w:t xml:space="preserve"> scores</w:t>
      </w:r>
      <w:r w:rsidR="00AB573A" w:rsidRPr="00AF7D9D">
        <w:rPr>
          <w:rFonts w:ascii="Times New Roman" w:hAnsi="Times New Roman" w:cs="Times New Roman"/>
          <w:sz w:val="24"/>
          <w:szCs w:val="24"/>
        </w:rPr>
        <w:t xml:space="preserve">. In some instances, inconsistent responding affected the significance and/or direction of association compared with correlation coefficients for consistent respondents; however, </w:t>
      </w:r>
      <w:r w:rsidR="00794B0E" w:rsidRPr="00AF7D9D">
        <w:rPr>
          <w:rFonts w:ascii="Times New Roman" w:hAnsi="Times New Roman" w:cs="Times New Roman"/>
          <w:sz w:val="24"/>
          <w:szCs w:val="24"/>
        </w:rPr>
        <w:t xml:space="preserve">differences in the magnitude of association between these two subgroups </w:t>
      </w:r>
      <w:r w:rsidR="00E93930" w:rsidRPr="00AF7D9D">
        <w:rPr>
          <w:rFonts w:ascii="Times New Roman" w:hAnsi="Times New Roman" w:cs="Times New Roman"/>
          <w:sz w:val="24"/>
          <w:szCs w:val="24"/>
        </w:rPr>
        <w:t>infrequently reached statistical significance</w:t>
      </w:r>
      <w:r w:rsidR="00AB573A" w:rsidRPr="00AF7D9D">
        <w:rPr>
          <w:rFonts w:ascii="Times New Roman" w:hAnsi="Times New Roman" w:cs="Times New Roman"/>
          <w:sz w:val="24"/>
          <w:szCs w:val="24"/>
        </w:rPr>
        <w:t xml:space="preserve"> </w:t>
      </w:r>
      <w:r w:rsidR="00584E76" w:rsidRPr="00AF7D9D">
        <w:rPr>
          <w:rFonts w:ascii="Times New Roman" w:hAnsi="Times New Roman" w:cs="Times New Roman"/>
          <w:sz w:val="24"/>
          <w:szCs w:val="24"/>
        </w:rPr>
        <w:t xml:space="preserve">using Fisher’s </w:t>
      </w:r>
      <w:r w:rsidR="00584E76" w:rsidRPr="00AF7D9D">
        <w:rPr>
          <w:rFonts w:ascii="Times New Roman" w:hAnsi="Times New Roman" w:cs="Times New Roman"/>
          <w:i/>
          <w:sz w:val="24"/>
          <w:szCs w:val="24"/>
        </w:rPr>
        <w:t>r</w:t>
      </w:r>
      <w:r w:rsidR="00584E76" w:rsidRPr="00AF7D9D">
        <w:rPr>
          <w:rFonts w:ascii="Times New Roman" w:hAnsi="Times New Roman" w:cs="Times New Roman"/>
          <w:sz w:val="24"/>
          <w:szCs w:val="24"/>
        </w:rPr>
        <w:t xml:space="preserve">-to-z transformation </w:t>
      </w:r>
      <w:r w:rsidR="00641C2C" w:rsidRPr="00AF7D9D">
        <w:rPr>
          <w:rFonts w:ascii="Times New Roman" w:hAnsi="Times New Roman" w:cs="Times New Roman"/>
          <w:sz w:val="24"/>
          <w:szCs w:val="24"/>
        </w:rPr>
        <w:t>(Table 4; DI</w:t>
      </w:r>
      <w:r w:rsidR="00AB573A" w:rsidRPr="00AF7D9D">
        <w:rPr>
          <w:rFonts w:ascii="Times New Roman" w:hAnsi="Times New Roman" w:cs="Times New Roman"/>
          <w:sz w:val="24"/>
          <w:szCs w:val="24"/>
        </w:rPr>
        <w:t>RP ≥ 7 = 21.9%</w:t>
      </w:r>
      <w:r w:rsidR="00794B0E" w:rsidRPr="00AF7D9D">
        <w:rPr>
          <w:rFonts w:ascii="Times New Roman" w:hAnsi="Times New Roman" w:cs="Times New Roman"/>
          <w:sz w:val="24"/>
          <w:szCs w:val="24"/>
        </w:rPr>
        <w:t xml:space="preserve"> of comparisons were significant at </w:t>
      </w:r>
      <w:r w:rsidR="00794B0E" w:rsidRPr="00AF7D9D">
        <w:rPr>
          <w:rFonts w:ascii="Times New Roman" w:hAnsi="Times New Roman" w:cs="Times New Roman"/>
          <w:i/>
          <w:sz w:val="24"/>
          <w:szCs w:val="24"/>
        </w:rPr>
        <w:t>p</w:t>
      </w:r>
      <w:r w:rsidR="00794B0E" w:rsidRPr="00AF7D9D">
        <w:rPr>
          <w:rFonts w:ascii="Times New Roman" w:hAnsi="Times New Roman" w:cs="Times New Roman"/>
          <w:sz w:val="24"/>
          <w:szCs w:val="24"/>
        </w:rPr>
        <w:t xml:space="preserve"> &lt; .05</w:t>
      </w:r>
      <w:r w:rsidR="00AB573A" w:rsidRPr="00AF7D9D">
        <w:rPr>
          <w:rFonts w:ascii="Times New Roman" w:hAnsi="Times New Roman" w:cs="Times New Roman"/>
          <w:sz w:val="24"/>
          <w:szCs w:val="24"/>
        </w:rPr>
        <w:t xml:space="preserve">; </w:t>
      </w:r>
      <w:r w:rsidR="00641C2C" w:rsidRPr="00AF7D9D">
        <w:rPr>
          <w:rFonts w:ascii="Times New Roman" w:hAnsi="Times New Roman" w:cs="Times New Roman"/>
          <w:sz w:val="24"/>
          <w:szCs w:val="24"/>
        </w:rPr>
        <w:t>DI</w:t>
      </w:r>
      <w:r w:rsidR="00794B0E" w:rsidRPr="00AF7D9D">
        <w:rPr>
          <w:rFonts w:ascii="Times New Roman" w:hAnsi="Times New Roman" w:cs="Times New Roman"/>
          <w:sz w:val="24"/>
          <w:szCs w:val="24"/>
        </w:rPr>
        <w:t xml:space="preserve">RP </w:t>
      </w:r>
      <w:r w:rsidR="00AB573A" w:rsidRPr="00AF7D9D">
        <w:rPr>
          <w:rFonts w:ascii="Times New Roman" w:hAnsi="Times New Roman" w:cs="Times New Roman"/>
          <w:sz w:val="24"/>
          <w:szCs w:val="24"/>
        </w:rPr>
        <w:t>≥ 8 = 6.3%)</w:t>
      </w:r>
      <w:r w:rsidRPr="00AF7D9D">
        <w:rPr>
          <w:rFonts w:ascii="Times New Roman" w:hAnsi="Times New Roman" w:cs="Times New Roman"/>
          <w:sz w:val="24"/>
          <w:szCs w:val="24"/>
        </w:rPr>
        <w:t xml:space="preserve">. The attenuation of criterion-related validity coefficients for “inconsistent” </w:t>
      </w:r>
      <w:r w:rsidR="008376BA" w:rsidRPr="00AF7D9D">
        <w:rPr>
          <w:rFonts w:ascii="Times New Roman" w:hAnsi="Times New Roman" w:cs="Times New Roman"/>
          <w:sz w:val="24"/>
          <w:szCs w:val="24"/>
        </w:rPr>
        <w:t>participants</w:t>
      </w:r>
      <w:r w:rsidRPr="00AF7D9D">
        <w:rPr>
          <w:rFonts w:ascii="Times New Roman" w:hAnsi="Times New Roman" w:cs="Times New Roman"/>
          <w:sz w:val="24"/>
          <w:szCs w:val="24"/>
        </w:rPr>
        <w:t xml:space="preserve"> was particularly </w:t>
      </w:r>
      <w:r w:rsidR="00E93930" w:rsidRPr="00AF7D9D">
        <w:rPr>
          <w:rFonts w:ascii="Times New Roman" w:hAnsi="Times New Roman" w:cs="Times New Roman"/>
          <w:sz w:val="24"/>
          <w:szCs w:val="24"/>
        </w:rPr>
        <w:t xml:space="preserve">consequential </w:t>
      </w:r>
      <w:r w:rsidRPr="00AF7D9D">
        <w:rPr>
          <w:rFonts w:ascii="Times New Roman" w:hAnsi="Times New Roman" w:cs="Times New Roman"/>
          <w:sz w:val="24"/>
          <w:szCs w:val="24"/>
        </w:rPr>
        <w:t xml:space="preserve">among juvenile offenders from the United States and youth from the Netherlands. </w:t>
      </w:r>
      <w:r w:rsidRPr="00AF7D9D">
        <w:rPr>
          <w:rFonts w:ascii="Times New Roman" w:hAnsi="Times New Roman" w:cs="Times New Roman"/>
          <w:sz w:val="24"/>
          <w:szCs w:val="24"/>
        </w:rPr>
        <w:lastRenderedPageBreak/>
        <w:t>For example, the moderate association between psychopathic traits self-reported on the YPI-S and endorsement of acting out coping strategies observed for the total sample of juvenile offenders  (</w:t>
      </w:r>
      <w:r w:rsidRPr="00AF7D9D">
        <w:rPr>
          <w:rFonts w:ascii="Times New Roman" w:hAnsi="Times New Roman" w:cs="Times New Roman"/>
          <w:i/>
          <w:sz w:val="24"/>
          <w:szCs w:val="24"/>
        </w:rPr>
        <w:t>r</w:t>
      </w:r>
      <w:r w:rsidRPr="00AF7D9D">
        <w:rPr>
          <w:rFonts w:ascii="Times New Roman" w:hAnsi="Times New Roman" w:cs="Times New Roman"/>
          <w:sz w:val="24"/>
          <w:szCs w:val="24"/>
        </w:rPr>
        <w:t xml:space="preserve"> = .4</w:t>
      </w:r>
      <w:r w:rsidR="00E93930" w:rsidRPr="00AF7D9D">
        <w:rPr>
          <w:rFonts w:ascii="Times New Roman" w:hAnsi="Times New Roman" w:cs="Times New Roman"/>
          <w:sz w:val="24"/>
          <w:szCs w:val="24"/>
        </w:rPr>
        <w:t>1</w:t>
      </w:r>
      <w:r w:rsidRPr="00AF7D9D">
        <w:rPr>
          <w:rFonts w:ascii="Times New Roman" w:hAnsi="Times New Roman" w:cs="Times New Roman"/>
          <w:sz w:val="24"/>
          <w:szCs w:val="24"/>
        </w:rPr>
        <w:t>) was non-existent among participants scoring ≥ 8 on t</w:t>
      </w:r>
      <w:r w:rsidR="00641C2C" w:rsidRPr="00AF7D9D">
        <w:rPr>
          <w:rFonts w:ascii="Times New Roman" w:hAnsi="Times New Roman" w:cs="Times New Roman"/>
          <w:sz w:val="24"/>
          <w:szCs w:val="24"/>
        </w:rPr>
        <w:t>he DI</w:t>
      </w:r>
      <w:r w:rsidRPr="00AF7D9D">
        <w:rPr>
          <w:rFonts w:ascii="Times New Roman" w:hAnsi="Times New Roman" w:cs="Times New Roman"/>
          <w:sz w:val="24"/>
          <w:szCs w:val="24"/>
        </w:rPr>
        <w:t>RP (</w:t>
      </w:r>
      <w:r w:rsidRPr="00AF7D9D">
        <w:rPr>
          <w:rFonts w:ascii="Times New Roman" w:hAnsi="Times New Roman" w:cs="Times New Roman"/>
          <w:i/>
          <w:sz w:val="24"/>
          <w:szCs w:val="24"/>
        </w:rPr>
        <w:t>r</w:t>
      </w:r>
      <w:r w:rsidRPr="00AF7D9D">
        <w:rPr>
          <w:rFonts w:ascii="Times New Roman" w:hAnsi="Times New Roman" w:cs="Times New Roman"/>
          <w:sz w:val="24"/>
          <w:szCs w:val="24"/>
        </w:rPr>
        <w:t xml:space="preserve"> = .03). For our samples of Italian adolescents, however, the impact of inconsistent responding on the predictive validity of the YPI-S was not as evident. </w:t>
      </w:r>
    </w:p>
    <w:p w14:paraId="498A4413" w14:textId="77777777" w:rsidR="00135FCB" w:rsidRPr="00AF7D9D" w:rsidRDefault="00135FCB" w:rsidP="00CD44E1">
      <w:pPr>
        <w:spacing w:after="0" w:line="480" w:lineRule="auto"/>
        <w:rPr>
          <w:rFonts w:ascii="Times New Roman" w:hAnsi="Times New Roman" w:cs="Times New Roman"/>
          <w:i/>
          <w:sz w:val="24"/>
          <w:szCs w:val="24"/>
        </w:rPr>
      </w:pPr>
      <w:r w:rsidRPr="00AF7D9D">
        <w:rPr>
          <w:rFonts w:ascii="Times New Roman" w:hAnsi="Times New Roman" w:cs="Times New Roman"/>
          <w:i/>
          <w:sz w:val="24"/>
          <w:szCs w:val="24"/>
        </w:rPr>
        <w:t>Convergent Validity</w:t>
      </w:r>
      <w:r w:rsidR="0032775A" w:rsidRPr="00AF7D9D">
        <w:rPr>
          <w:rFonts w:ascii="Times New Roman" w:hAnsi="Times New Roman" w:cs="Times New Roman"/>
          <w:i/>
          <w:sz w:val="24"/>
          <w:szCs w:val="24"/>
        </w:rPr>
        <w:t xml:space="preserve"> with External Measures of Inattention</w:t>
      </w:r>
    </w:p>
    <w:p w14:paraId="58626C49" w14:textId="4D63941A" w:rsidR="00554B93" w:rsidRPr="00AF7D9D" w:rsidRDefault="00135FCB" w:rsidP="00CD44E1">
      <w:pPr>
        <w:spacing w:after="0" w:line="480" w:lineRule="auto"/>
        <w:ind w:firstLine="720"/>
        <w:rPr>
          <w:rFonts w:ascii="Times New Roman" w:hAnsi="Times New Roman" w:cs="Times New Roman"/>
          <w:sz w:val="24"/>
          <w:szCs w:val="24"/>
        </w:rPr>
      </w:pPr>
      <w:r w:rsidRPr="00AF7D9D">
        <w:rPr>
          <w:rFonts w:ascii="Times New Roman" w:hAnsi="Times New Roman" w:cs="Times New Roman"/>
          <w:sz w:val="24"/>
          <w:szCs w:val="24"/>
        </w:rPr>
        <w:t xml:space="preserve">We </w:t>
      </w:r>
      <w:r w:rsidR="0046654C" w:rsidRPr="00AF7D9D">
        <w:rPr>
          <w:rFonts w:ascii="Times New Roman" w:hAnsi="Times New Roman" w:cs="Times New Roman"/>
          <w:sz w:val="24"/>
          <w:szCs w:val="24"/>
        </w:rPr>
        <w:t>further investigated the val</w:t>
      </w:r>
      <w:r w:rsidR="00641C2C" w:rsidRPr="00AF7D9D">
        <w:rPr>
          <w:rFonts w:ascii="Times New Roman" w:hAnsi="Times New Roman" w:cs="Times New Roman"/>
          <w:sz w:val="24"/>
          <w:szCs w:val="24"/>
        </w:rPr>
        <w:t>idity of the DI</w:t>
      </w:r>
      <w:r w:rsidR="0046654C" w:rsidRPr="00AF7D9D">
        <w:rPr>
          <w:rFonts w:ascii="Times New Roman" w:hAnsi="Times New Roman" w:cs="Times New Roman"/>
          <w:sz w:val="24"/>
          <w:szCs w:val="24"/>
        </w:rPr>
        <w:t xml:space="preserve">RP in relation to external measures of </w:t>
      </w:r>
      <w:r w:rsidR="00526DAE" w:rsidRPr="00AF7D9D">
        <w:rPr>
          <w:rFonts w:ascii="Times New Roman" w:hAnsi="Times New Roman" w:cs="Times New Roman"/>
          <w:sz w:val="24"/>
          <w:szCs w:val="24"/>
        </w:rPr>
        <w:t>attention</w:t>
      </w:r>
      <w:r w:rsidR="0046654C" w:rsidRPr="00AF7D9D">
        <w:rPr>
          <w:rFonts w:ascii="Times New Roman" w:hAnsi="Times New Roman" w:cs="Times New Roman"/>
          <w:sz w:val="24"/>
          <w:szCs w:val="24"/>
        </w:rPr>
        <w:t xml:space="preserve">. First, </w:t>
      </w:r>
      <w:r w:rsidR="00526DAE" w:rsidRPr="00AF7D9D">
        <w:rPr>
          <w:rFonts w:ascii="Times New Roman" w:hAnsi="Times New Roman" w:cs="Times New Roman"/>
          <w:sz w:val="24"/>
          <w:szCs w:val="24"/>
        </w:rPr>
        <w:t>we examine</w:t>
      </w:r>
      <w:r w:rsidR="00641C2C" w:rsidRPr="00AF7D9D">
        <w:rPr>
          <w:rFonts w:ascii="Times New Roman" w:hAnsi="Times New Roman" w:cs="Times New Roman"/>
          <w:sz w:val="24"/>
          <w:szCs w:val="24"/>
        </w:rPr>
        <w:t>d the association between the DI</w:t>
      </w:r>
      <w:r w:rsidR="00526DAE" w:rsidRPr="00AF7D9D">
        <w:rPr>
          <w:rFonts w:ascii="Times New Roman" w:hAnsi="Times New Roman" w:cs="Times New Roman"/>
          <w:sz w:val="24"/>
          <w:szCs w:val="24"/>
        </w:rPr>
        <w:t>RP and the brief measure of concentration difficulties developed from three items on the MAYSI-2</w:t>
      </w:r>
      <w:r w:rsidR="00F1432A" w:rsidRPr="00AF7D9D">
        <w:rPr>
          <w:rFonts w:ascii="Times New Roman" w:hAnsi="Times New Roman" w:cs="Times New Roman"/>
          <w:sz w:val="24"/>
          <w:szCs w:val="24"/>
        </w:rPr>
        <w:t xml:space="preserve"> (Penson et al., in press)</w:t>
      </w:r>
      <w:r w:rsidR="00526DAE" w:rsidRPr="00AF7D9D">
        <w:rPr>
          <w:rFonts w:ascii="Times New Roman" w:hAnsi="Times New Roman" w:cs="Times New Roman"/>
          <w:sz w:val="24"/>
          <w:szCs w:val="24"/>
        </w:rPr>
        <w:t>. Among juvenile off</w:t>
      </w:r>
      <w:r w:rsidR="00641C2C" w:rsidRPr="00AF7D9D">
        <w:rPr>
          <w:rFonts w:ascii="Times New Roman" w:hAnsi="Times New Roman" w:cs="Times New Roman"/>
          <w:sz w:val="24"/>
          <w:szCs w:val="24"/>
        </w:rPr>
        <w:t>enders, DI</w:t>
      </w:r>
      <w:r w:rsidR="00526DAE" w:rsidRPr="00AF7D9D">
        <w:rPr>
          <w:rFonts w:ascii="Times New Roman" w:hAnsi="Times New Roman" w:cs="Times New Roman"/>
          <w:sz w:val="24"/>
          <w:szCs w:val="24"/>
        </w:rPr>
        <w:t xml:space="preserve">RP scores were </w:t>
      </w:r>
      <w:r w:rsidR="00F631AB" w:rsidRPr="00AF7D9D">
        <w:rPr>
          <w:rFonts w:ascii="Times New Roman" w:hAnsi="Times New Roman" w:cs="Times New Roman"/>
          <w:sz w:val="24"/>
          <w:szCs w:val="24"/>
        </w:rPr>
        <w:t xml:space="preserve">not </w:t>
      </w:r>
      <w:r w:rsidR="00526DAE" w:rsidRPr="00AF7D9D">
        <w:rPr>
          <w:rFonts w:ascii="Times New Roman" w:hAnsi="Times New Roman" w:cs="Times New Roman"/>
          <w:sz w:val="24"/>
          <w:szCs w:val="24"/>
        </w:rPr>
        <w:t>significantly</w:t>
      </w:r>
      <w:r w:rsidR="00A72F83" w:rsidRPr="00AF7D9D">
        <w:rPr>
          <w:rFonts w:ascii="Times New Roman" w:hAnsi="Times New Roman" w:cs="Times New Roman"/>
          <w:sz w:val="24"/>
          <w:szCs w:val="24"/>
        </w:rPr>
        <w:t xml:space="preserve"> </w:t>
      </w:r>
      <w:r w:rsidR="00526DAE" w:rsidRPr="00AF7D9D">
        <w:rPr>
          <w:rFonts w:ascii="Times New Roman" w:hAnsi="Times New Roman" w:cs="Times New Roman"/>
          <w:sz w:val="24"/>
          <w:szCs w:val="24"/>
        </w:rPr>
        <w:t>correlated with this index of inattentiveness (</w:t>
      </w:r>
      <w:r w:rsidR="00526DAE" w:rsidRPr="00AF7D9D">
        <w:rPr>
          <w:rFonts w:ascii="Times New Roman" w:hAnsi="Times New Roman" w:cs="Times New Roman"/>
          <w:i/>
          <w:sz w:val="24"/>
          <w:szCs w:val="24"/>
        </w:rPr>
        <w:t>r</w:t>
      </w:r>
      <w:r w:rsidR="00526DAE" w:rsidRPr="00AF7D9D">
        <w:rPr>
          <w:rFonts w:ascii="Times New Roman" w:hAnsi="Times New Roman" w:cs="Times New Roman"/>
          <w:sz w:val="24"/>
          <w:szCs w:val="24"/>
        </w:rPr>
        <w:t xml:space="preserve"> = .</w:t>
      </w:r>
      <w:r w:rsidR="00E6001B" w:rsidRPr="00AF7D9D">
        <w:rPr>
          <w:rFonts w:ascii="Times New Roman" w:hAnsi="Times New Roman" w:cs="Times New Roman"/>
          <w:sz w:val="24"/>
          <w:szCs w:val="24"/>
        </w:rPr>
        <w:t>09</w:t>
      </w:r>
      <w:r w:rsidR="00210424" w:rsidRPr="00AF7D9D">
        <w:rPr>
          <w:rFonts w:ascii="Times New Roman" w:hAnsi="Times New Roman" w:cs="Times New Roman"/>
          <w:sz w:val="24"/>
          <w:szCs w:val="24"/>
        </w:rPr>
        <w:t xml:space="preserve">, </w:t>
      </w:r>
      <w:r w:rsidR="00526DAE" w:rsidRPr="00AF7D9D">
        <w:rPr>
          <w:rFonts w:ascii="Times New Roman" w:hAnsi="Times New Roman" w:cs="Times New Roman"/>
          <w:i/>
          <w:sz w:val="24"/>
          <w:szCs w:val="24"/>
        </w:rPr>
        <w:t>p</w:t>
      </w:r>
      <w:r w:rsidR="00D4480C" w:rsidRPr="00AF7D9D">
        <w:rPr>
          <w:rFonts w:ascii="Times New Roman" w:hAnsi="Times New Roman" w:cs="Times New Roman"/>
          <w:sz w:val="24"/>
          <w:szCs w:val="24"/>
        </w:rPr>
        <w:t xml:space="preserve"> </w:t>
      </w:r>
      <w:r w:rsidR="00F631AB" w:rsidRPr="00AF7D9D">
        <w:rPr>
          <w:rFonts w:ascii="Times New Roman" w:hAnsi="Times New Roman" w:cs="Times New Roman"/>
          <w:sz w:val="24"/>
          <w:szCs w:val="24"/>
        </w:rPr>
        <w:t>=</w:t>
      </w:r>
      <w:r w:rsidR="00D4480C" w:rsidRPr="00AF7D9D">
        <w:rPr>
          <w:rFonts w:ascii="Times New Roman" w:hAnsi="Times New Roman" w:cs="Times New Roman"/>
          <w:sz w:val="24"/>
          <w:szCs w:val="24"/>
        </w:rPr>
        <w:t xml:space="preserve"> .</w:t>
      </w:r>
      <w:r w:rsidR="00F631AB" w:rsidRPr="00AF7D9D">
        <w:rPr>
          <w:rFonts w:ascii="Times New Roman" w:hAnsi="Times New Roman" w:cs="Times New Roman"/>
          <w:sz w:val="24"/>
          <w:szCs w:val="24"/>
        </w:rPr>
        <w:t>17</w:t>
      </w:r>
      <w:r w:rsidR="00526DAE" w:rsidRPr="00AF7D9D">
        <w:rPr>
          <w:rFonts w:ascii="Times New Roman" w:hAnsi="Times New Roman" w:cs="Times New Roman"/>
          <w:sz w:val="24"/>
          <w:szCs w:val="24"/>
        </w:rPr>
        <w:t xml:space="preserve">). </w:t>
      </w:r>
      <w:r w:rsidR="0046654C" w:rsidRPr="00AF7D9D">
        <w:rPr>
          <w:rFonts w:ascii="Times New Roman" w:hAnsi="Times New Roman" w:cs="Times New Roman"/>
          <w:sz w:val="24"/>
          <w:szCs w:val="24"/>
        </w:rPr>
        <w:t xml:space="preserve">Second, we examined </w:t>
      </w:r>
      <w:r w:rsidR="00526DAE" w:rsidRPr="00AF7D9D">
        <w:rPr>
          <w:rFonts w:ascii="Times New Roman" w:hAnsi="Times New Roman" w:cs="Times New Roman"/>
          <w:sz w:val="24"/>
          <w:szCs w:val="24"/>
        </w:rPr>
        <w:t>the convergence of</w:t>
      </w:r>
      <w:r w:rsidR="00641C2C" w:rsidRPr="00AF7D9D">
        <w:rPr>
          <w:rFonts w:ascii="Times New Roman" w:hAnsi="Times New Roman" w:cs="Times New Roman"/>
          <w:sz w:val="24"/>
          <w:szCs w:val="24"/>
        </w:rPr>
        <w:t xml:space="preserve"> DI</w:t>
      </w:r>
      <w:r w:rsidR="0046654C" w:rsidRPr="00AF7D9D">
        <w:rPr>
          <w:rFonts w:ascii="Times New Roman" w:hAnsi="Times New Roman" w:cs="Times New Roman"/>
          <w:sz w:val="24"/>
          <w:szCs w:val="24"/>
        </w:rPr>
        <w:t xml:space="preserve">RP scores </w:t>
      </w:r>
      <w:r w:rsidR="00526DAE" w:rsidRPr="00AF7D9D">
        <w:rPr>
          <w:rFonts w:ascii="Times New Roman" w:hAnsi="Times New Roman" w:cs="Times New Roman"/>
          <w:sz w:val="24"/>
          <w:szCs w:val="24"/>
        </w:rPr>
        <w:t>with the</w:t>
      </w:r>
      <w:r w:rsidR="0046654C" w:rsidRPr="00AF7D9D">
        <w:rPr>
          <w:rFonts w:ascii="Times New Roman" w:hAnsi="Times New Roman" w:cs="Times New Roman"/>
          <w:sz w:val="24"/>
          <w:szCs w:val="24"/>
        </w:rPr>
        <w:t xml:space="preserve"> embedded</w:t>
      </w:r>
      <w:r w:rsidR="002D192B" w:rsidRPr="00AF7D9D">
        <w:rPr>
          <w:rFonts w:ascii="Times New Roman" w:hAnsi="Times New Roman" w:cs="Times New Roman"/>
          <w:sz w:val="24"/>
          <w:szCs w:val="24"/>
        </w:rPr>
        <w:t xml:space="preserve"> </w:t>
      </w:r>
      <w:r w:rsidR="0046654C" w:rsidRPr="00AF7D9D">
        <w:rPr>
          <w:rFonts w:ascii="Times New Roman" w:hAnsi="Times New Roman" w:cs="Times New Roman"/>
          <w:sz w:val="24"/>
          <w:szCs w:val="24"/>
        </w:rPr>
        <w:t>inconsistency scales of the PPI-R among German youth completing both measures (</w:t>
      </w:r>
      <w:r w:rsidR="0046654C" w:rsidRPr="00AF7D9D">
        <w:rPr>
          <w:rFonts w:ascii="Times New Roman" w:hAnsi="Times New Roman" w:cs="Times New Roman"/>
          <w:i/>
          <w:sz w:val="24"/>
          <w:szCs w:val="24"/>
        </w:rPr>
        <w:t>n</w:t>
      </w:r>
      <w:r w:rsidR="0046654C" w:rsidRPr="00AF7D9D">
        <w:rPr>
          <w:rFonts w:ascii="Times New Roman" w:hAnsi="Times New Roman" w:cs="Times New Roman"/>
          <w:sz w:val="24"/>
          <w:szCs w:val="24"/>
        </w:rPr>
        <w:t xml:space="preserve"> = 286). Consistent with prev</w:t>
      </w:r>
      <w:r w:rsidR="00641C2C" w:rsidRPr="00AF7D9D">
        <w:rPr>
          <w:rFonts w:ascii="Times New Roman" w:hAnsi="Times New Roman" w:cs="Times New Roman"/>
          <w:sz w:val="24"/>
          <w:szCs w:val="24"/>
        </w:rPr>
        <w:t>ious findings for the SPICIE, DI</w:t>
      </w:r>
      <w:r w:rsidR="0046654C" w:rsidRPr="00AF7D9D">
        <w:rPr>
          <w:rFonts w:ascii="Times New Roman" w:hAnsi="Times New Roman" w:cs="Times New Roman"/>
          <w:sz w:val="24"/>
          <w:szCs w:val="24"/>
        </w:rPr>
        <w:t>RP scores were modestly associated with the IR-15 (</w:t>
      </w:r>
      <w:r w:rsidR="0046654C" w:rsidRPr="00AF7D9D">
        <w:rPr>
          <w:rFonts w:ascii="Times New Roman" w:hAnsi="Times New Roman" w:cs="Times New Roman"/>
          <w:i/>
          <w:sz w:val="24"/>
          <w:szCs w:val="24"/>
        </w:rPr>
        <w:t>r</w:t>
      </w:r>
      <w:r w:rsidR="0046654C" w:rsidRPr="00AF7D9D">
        <w:rPr>
          <w:rFonts w:ascii="Times New Roman" w:hAnsi="Times New Roman" w:cs="Times New Roman"/>
          <w:sz w:val="24"/>
          <w:szCs w:val="24"/>
        </w:rPr>
        <w:t xml:space="preserve"> = .15, </w:t>
      </w:r>
      <w:r w:rsidR="0046654C" w:rsidRPr="00AF7D9D">
        <w:rPr>
          <w:rFonts w:ascii="Times New Roman" w:hAnsi="Times New Roman" w:cs="Times New Roman"/>
          <w:i/>
          <w:sz w:val="24"/>
          <w:szCs w:val="24"/>
        </w:rPr>
        <w:t>p</w:t>
      </w:r>
      <w:r w:rsidR="0046654C" w:rsidRPr="00AF7D9D">
        <w:rPr>
          <w:rFonts w:ascii="Times New Roman" w:hAnsi="Times New Roman" w:cs="Times New Roman"/>
          <w:sz w:val="24"/>
          <w:szCs w:val="24"/>
        </w:rPr>
        <w:t xml:space="preserve"> </w:t>
      </w:r>
      <w:r w:rsidR="00B4182B" w:rsidRPr="00AF7D9D">
        <w:rPr>
          <w:rFonts w:ascii="Times New Roman" w:hAnsi="Times New Roman" w:cs="Times New Roman"/>
          <w:sz w:val="24"/>
          <w:szCs w:val="24"/>
        </w:rPr>
        <w:t>=</w:t>
      </w:r>
      <w:r w:rsidR="0046654C" w:rsidRPr="00AF7D9D">
        <w:rPr>
          <w:rFonts w:ascii="Times New Roman" w:hAnsi="Times New Roman" w:cs="Times New Roman"/>
          <w:sz w:val="24"/>
          <w:szCs w:val="24"/>
        </w:rPr>
        <w:t xml:space="preserve"> .0</w:t>
      </w:r>
      <w:r w:rsidR="00B4182B" w:rsidRPr="00AF7D9D">
        <w:rPr>
          <w:rFonts w:ascii="Times New Roman" w:hAnsi="Times New Roman" w:cs="Times New Roman"/>
          <w:sz w:val="24"/>
          <w:szCs w:val="24"/>
        </w:rPr>
        <w:t>1</w:t>
      </w:r>
      <w:r w:rsidR="0046654C" w:rsidRPr="00AF7D9D">
        <w:rPr>
          <w:rFonts w:ascii="Times New Roman" w:hAnsi="Times New Roman" w:cs="Times New Roman"/>
          <w:sz w:val="24"/>
          <w:szCs w:val="24"/>
        </w:rPr>
        <w:t>) and the IR-40 (</w:t>
      </w:r>
      <w:r w:rsidR="0046654C" w:rsidRPr="00AF7D9D">
        <w:rPr>
          <w:rFonts w:ascii="Times New Roman" w:hAnsi="Times New Roman" w:cs="Times New Roman"/>
          <w:i/>
          <w:sz w:val="24"/>
          <w:szCs w:val="24"/>
        </w:rPr>
        <w:t>r</w:t>
      </w:r>
      <w:r w:rsidR="0046654C" w:rsidRPr="00AF7D9D">
        <w:rPr>
          <w:rFonts w:ascii="Times New Roman" w:hAnsi="Times New Roman" w:cs="Times New Roman"/>
          <w:sz w:val="24"/>
          <w:szCs w:val="24"/>
        </w:rPr>
        <w:t xml:space="preserve"> = .22, </w:t>
      </w:r>
      <w:r w:rsidR="0046654C" w:rsidRPr="00AF7D9D">
        <w:rPr>
          <w:rFonts w:ascii="Times New Roman" w:hAnsi="Times New Roman" w:cs="Times New Roman"/>
          <w:i/>
          <w:sz w:val="24"/>
          <w:szCs w:val="24"/>
        </w:rPr>
        <w:t>p</w:t>
      </w:r>
      <w:r w:rsidR="0046654C" w:rsidRPr="00AF7D9D">
        <w:rPr>
          <w:rFonts w:ascii="Times New Roman" w:hAnsi="Times New Roman" w:cs="Times New Roman"/>
          <w:sz w:val="24"/>
          <w:szCs w:val="24"/>
        </w:rPr>
        <w:t xml:space="preserve"> &lt; .01). </w:t>
      </w:r>
    </w:p>
    <w:p w14:paraId="52E10F20" w14:textId="70E8662D" w:rsidR="0025583E" w:rsidRPr="00AF7D9D" w:rsidRDefault="0025583E" w:rsidP="00CD44E1">
      <w:pPr>
        <w:spacing w:after="0" w:line="480" w:lineRule="auto"/>
        <w:rPr>
          <w:rFonts w:ascii="Times New Roman" w:hAnsi="Times New Roman" w:cs="Times New Roman"/>
          <w:sz w:val="24"/>
          <w:szCs w:val="24"/>
        </w:rPr>
      </w:pPr>
      <w:r w:rsidRPr="00AF7D9D">
        <w:rPr>
          <w:rFonts w:ascii="Times New Roman" w:hAnsi="Times New Roman" w:cs="Times New Roman"/>
          <w:sz w:val="24"/>
          <w:szCs w:val="24"/>
        </w:rPr>
        <w:tab/>
        <w:t xml:space="preserve">Embedded inconsistency scales developed for measures of psychopathy tend to demonstrate </w:t>
      </w:r>
      <w:r w:rsidR="006A10CD" w:rsidRPr="00AF7D9D">
        <w:rPr>
          <w:rFonts w:ascii="Times New Roman" w:hAnsi="Times New Roman" w:cs="Times New Roman"/>
          <w:sz w:val="24"/>
          <w:szCs w:val="24"/>
        </w:rPr>
        <w:t>small</w:t>
      </w:r>
      <w:r w:rsidR="00777937" w:rsidRPr="00AF7D9D">
        <w:rPr>
          <w:rFonts w:ascii="Times New Roman" w:hAnsi="Times New Roman" w:cs="Times New Roman"/>
          <w:sz w:val="24"/>
          <w:szCs w:val="24"/>
        </w:rPr>
        <w:t xml:space="preserve"> </w:t>
      </w:r>
      <w:r w:rsidRPr="00AF7D9D">
        <w:rPr>
          <w:rFonts w:ascii="Times New Roman" w:hAnsi="Times New Roman" w:cs="Times New Roman"/>
          <w:sz w:val="24"/>
          <w:szCs w:val="24"/>
        </w:rPr>
        <w:t xml:space="preserve">to moderate relationships with self-reported psychopathic traits (e.g., Mowle et al., </w:t>
      </w:r>
      <w:r w:rsidR="00372DF4" w:rsidRPr="00AF7D9D">
        <w:rPr>
          <w:rFonts w:ascii="Times New Roman" w:hAnsi="Times New Roman" w:cs="Times New Roman"/>
          <w:sz w:val="24"/>
          <w:szCs w:val="24"/>
        </w:rPr>
        <w:t>2016</w:t>
      </w:r>
      <w:r w:rsidRPr="00AF7D9D">
        <w:rPr>
          <w:rFonts w:ascii="Times New Roman" w:hAnsi="Times New Roman" w:cs="Times New Roman"/>
          <w:sz w:val="24"/>
          <w:szCs w:val="24"/>
        </w:rPr>
        <w:t xml:space="preserve">; Penson et al., in press). We similarly found </w:t>
      </w:r>
      <w:r w:rsidR="006C2AB7" w:rsidRPr="00AF7D9D">
        <w:rPr>
          <w:rFonts w:ascii="Times New Roman" w:hAnsi="Times New Roman" w:cs="Times New Roman"/>
          <w:sz w:val="24"/>
          <w:szCs w:val="24"/>
        </w:rPr>
        <w:t>a si</w:t>
      </w:r>
      <w:r w:rsidR="00641C2C" w:rsidRPr="00AF7D9D">
        <w:rPr>
          <w:rFonts w:ascii="Times New Roman" w:hAnsi="Times New Roman" w:cs="Times New Roman"/>
          <w:sz w:val="24"/>
          <w:szCs w:val="24"/>
        </w:rPr>
        <w:t>gnificant association between DI</w:t>
      </w:r>
      <w:r w:rsidR="006C2AB7" w:rsidRPr="00AF7D9D">
        <w:rPr>
          <w:rFonts w:ascii="Times New Roman" w:hAnsi="Times New Roman" w:cs="Times New Roman"/>
          <w:sz w:val="24"/>
          <w:szCs w:val="24"/>
        </w:rPr>
        <w:t>RP and YPI-S total scores, (</w:t>
      </w:r>
      <w:r w:rsidR="006C2AB7" w:rsidRPr="00AF7D9D">
        <w:rPr>
          <w:rFonts w:ascii="Times New Roman" w:hAnsi="Times New Roman" w:cs="Times New Roman"/>
          <w:i/>
          <w:sz w:val="24"/>
          <w:szCs w:val="24"/>
        </w:rPr>
        <w:t>r</w:t>
      </w:r>
      <w:r w:rsidR="006C2AB7" w:rsidRPr="00AF7D9D">
        <w:rPr>
          <w:rFonts w:ascii="Times New Roman" w:hAnsi="Times New Roman" w:cs="Times New Roman"/>
          <w:sz w:val="24"/>
          <w:szCs w:val="24"/>
        </w:rPr>
        <w:t xml:space="preserve"> = .47, </w:t>
      </w:r>
      <w:r w:rsidR="006C2AB7" w:rsidRPr="00AF7D9D">
        <w:rPr>
          <w:rFonts w:ascii="Times New Roman" w:hAnsi="Times New Roman" w:cs="Times New Roman"/>
          <w:i/>
          <w:sz w:val="24"/>
          <w:szCs w:val="24"/>
        </w:rPr>
        <w:t>p</w:t>
      </w:r>
      <w:r w:rsidR="006C2AB7" w:rsidRPr="00AF7D9D">
        <w:rPr>
          <w:rFonts w:ascii="Times New Roman" w:hAnsi="Times New Roman" w:cs="Times New Roman"/>
          <w:sz w:val="24"/>
          <w:szCs w:val="24"/>
        </w:rPr>
        <w:t xml:space="preserve"> &lt; .01) for </w:t>
      </w:r>
      <w:r w:rsidR="00867928" w:rsidRPr="00AF7D9D">
        <w:rPr>
          <w:rFonts w:ascii="Times New Roman" w:hAnsi="Times New Roman" w:cs="Times New Roman"/>
          <w:sz w:val="24"/>
          <w:szCs w:val="24"/>
        </w:rPr>
        <w:t>our</w:t>
      </w:r>
      <w:r w:rsidR="006C2AB7" w:rsidRPr="00AF7D9D">
        <w:rPr>
          <w:rFonts w:ascii="Times New Roman" w:hAnsi="Times New Roman" w:cs="Times New Roman"/>
          <w:sz w:val="24"/>
          <w:szCs w:val="24"/>
        </w:rPr>
        <w:t xml:space="preserve"> combined sample of study participants (</w:t>
      </w:r>
      <w:r w:rsidR="006C2AB7" w:rsidRPr="00AF7D9D">
        <w:rPr>
          <w:rFonts w:ascii="Times New Roman" w:hAnsi="Times New Roman" w:cs="Times New Roman"/>
          <w:i/>
          <w:sz w:val="24"/>
          <w:szCs w:val="24"/>
        </w:rPr>
        <w:t>n</w:t>
      </w:r>
      <w:r w:rsidR="006C2AB7" w:rsidRPr="00AF7D9D">
        <w:rPr>
          <w:rFonts w:ascii="Times New Roman" w:hAnsi="Times New Roman" w:cs="Times New Roman"/>
          <w:sz w:val="24"/>
          <w:szCs w:val="24"/>
        </w:rPr>
        <w:t xml:space="preserve"> = 3</w:t>
      </w:r>
      <w:r w:rsidR="00867928" w:rsidRPr="00AF7D9D">
        <w:rPr>
          <w:rFonts w:ascii="Times New Roman" w:hAnsi="Times New Roman" w:cs="Times New Roman"/>
          <w:sz w:val="24"/>
          <w:szCs w:val="24"/>
        </w:rPr>
        <w:t>,</w:t>
      </w:r>
      <w:r w:rsidR="006C2AB7" w:rsidRPr="00AF7D9D">
        <w:rPr>
          <w:rFonts w:ascii="Times New Roman" w:hAnsi="Times New Roman" w:cs="Times New Roman"/>
          <w:sz w:val="24"/>
          <w:szCs w:val="24"/>
        </w:rPr>
        <w:t>297). Notably, the magnitude of this association was substan</w:t>
      </w:r>
      <w:r w:rsidR="00641C2C" w:rsidRPr="00AF7D9D">
        <w:rPr>
          <w:rFonts w:ascii="Times New Roman" w:hAnsi="Times New Roman" w:cs="Times New Roman"/>
          <w:sz w:val="24"/>
          <w:szCs w:val="24"/>
        </w:rPr>
        <w:t>tially reduced for those with DI</w:t>
      </w:r>
      <w:r w:rsidR="006C2AB7" w:rsidRPr="00AF7D9D">
        <w:rPr>
          <w:rFonts w:ascii="Times New Roman" w:hAnsi="Times New Roman" w:cs="Times New Roman"/>
          <w:sz w:val="24"/>
          <w:szCs w:val="24"/>
        </w:rPr>
        <w:t>RP scores exceeding potential cut</w:t>
      </w:r>
      <w:r w:rsidR="008964BD" w:rsidRPr="00AF7D9D">
        <w:rPr>
          <w:rFonts w:ascii="Times New Roman" w:hAnsi="Times New Roman" w:cs="Times New Roman"/>
          <w:sz w:val="24"/>
          <w:szCs w:val="24"/>
        </w:rPr>
        <w:t>-off</w:t>
      </w:r>
      <w:r w:rsidR="00641C2C" w:rsidRPr="00AF7D9D">
        <w:rPr>
          <w:rFonts w:ascii="Times New Roman" w:hAnsi="Times New Roman" w:cs="Times New Roman"/>
          <w:sz w:val="24"/>
          <w:szCs w:val="24"/>
        </w:rPr>
        <w:t xml:space="preserve"> scores for profile validity (DI</w:t>
      </w:r>
      <w:r w:rsidR="006C2AB7" w:rsidRPr="00AF7D9D">
        <w:rPr>
          <w:rFonts w:ascii="Times New Roman" w:hAnsi="Times New Roman" w:cs="Times New Roman"/>
          <w:sz w:val="24"/>
          <w:szCs w:val="24"/>
        </w:rPr>
        <w:t xml:space="preserve">RP ≥ 7 </w:t>
      </w:r>
      <w:r w:rsidR="006C2AB7" w:rsidRPr="00AF7D9D">
        <w:rPr>
          <w:rFonts w:ascii="Times New Roman" w:hAnsi="Times New Roman" w:cs="Times New Roman"/>
          <w:i/>
          <w:sz w:val="24"/>
          <w:szCs w:val="24"/>
        </w:rPr>
        <w:t>r</w:t>
      </w:r>
      <w:r w:rsidR="008964BD" w:rsidRPr="00AF7D9D">
        <w:rPr>
          <w:rFonts w:ascii="Times New Roman" w:hAnsi="Times New Roman" w:cs="Times New Roman"/>
          <w:i/>
          <w:sz w:val="24"/>
          <w:szCs w:val="24"/>
        </w:rPr>
        <w:t xml:space="preserve"> </w:t>
      </w:r>
      <w:r w:rsidR="006C2AB7" w:rsidRPr="00AF7D9D">
        <w:rPr>
          <w:rFonts w:ascii="Times New Roman" w:hAnsi="Times New Roman" w:cs="Times New Roman"/>
          <w:sz w:val="24"/>
          <w:szCs w:val="24"/>
        </w:rPr>
        <w:t xml:space="preserve">(613) = .19, </w:t>
      </w:r>
      <w:r w:rsidR="006C2AB7" w:rsidRPr="00AF7D9D">
        <w:rPr>
          <w:rFonts w:ascii="Times New Roman" w:hAnsi="Times New Roman" w:cs="Times New Roman"/>
          <w:i/>
          <w:sz w:val="24"/>
          <w:szCs w:val="24"/>
        </w:rPr>
        <w:t>p</w:t>
      </w:r>
      <w:r w:rsidR="006C2AB7" w:rsidRPr="00AF7D9D">
        <w:rPr>
          <w:rFonts w:ascii="Times New Roman" w:hAnsi="Times New Roman" w:cs="Times New Roman"/>
          <w:sz w:val="24"/>
          <w:szCs w:val="24"/>
        </w:rPr>
        <w:t xml:space="preserve"> &lt; .05; ≥ 8 </w:t>
      </w:r>
      <w:r w:rsidR="006C2AB7" w:rsidRPr="00AF7D9D">
        <w:rPr>
          <w:rFonts w:ascii="Times New Roman" w:hAnsi="Times New Roman" w:cs="Times New Roman"/>
          <w:i/>
          <w:sz w:val="24"/>
          <w:szCs w:val="24"/>
        </w:rPr>
        <w:t>r</w:t>
      </w:r>
      <w:r w:rsidR="008964BD" w:rsidRPr="00AF7D9D">
        <w:rPr>
          <w:rFonts w:ascii="Times New Roman" w:hAnsi="Times New Roman" w:cs="Times New Roman"/>
          <w:i/>
          <w:sz w:val="24"/>
          <w:szCs w:val="24"/>
        </w:rPr>
        <w:t xml:space="preserve"> </w:t>
      </w:r>
      <w:r w:rsidR="006C2AB7" w:rsidRPr="00AF7D9D">
        <w:rPr>
          <w:rFonts w:ascii="Times New Roman" w:hAnsi="Times New Roman" w:cs="Times New Roman"/>
          <w:sz w:val="24"/>
          <w:szCs w:val="24"/>
        </w:rPr>
        <w:t xml:space="preserve">(354) = .11, </w:t>
      </w:r>
      <w:r w:rsidR="006C2AB7" w:rsidRPr="00AF7D9D">
        <w:rPr>
          <w:rFonts w:ascii="Times New Roman" w:hAnsi="Times New Roman" w:cs="Times New Roman"/>
          <w:i/>
          <w:sz w:val="24"/>
          <w:szCs w:val="24"/>
        </w:rPr>
        <w:t>p</w:t>
      </w:r>
      <w:r w:rsidR="006C2AB7" w:rsidRPr="00AF7D9D">
        <w:rPr>
          <w:rFonts w:ascii="Times New Roman" w:hAnsi="Times New Roman" w:cs="Times New Roman"/>
          <w:sz w:val="24"/>
          <w:szCs w:val="24"/>
        </w:rPr>
        <w:t xml:space="preserve"> &lt; .05). </w:t>
      </w:r>
      <w:r w:rsidR="00462692" w:rsidRPr="00AF7D9D">
        <w:rPr>
          <w:rFonts w:ascii="Times New Roman" w:hAnsi="Times New Roman" w:cs="Times New Roman"/>
          <w:sz w:val="24"/>
          <w:szCs w:val="24"/>
        </w:rPr>
        <w:t xml:space="preserve">The inconsistent responding scales of the PPI-R, however, did not significantly correlate with YPI-S scores, </w:t>
      </w:r>
      <w:r w:rsidR="00641C2C" w:rsidRPr="00AF7D9D">
        <w:rPr>
          <w:rFonts w:ascii="Times New Roman" w:hAnsi="Times New Roman" w:cs="Times New Roman"/>
          <w:sz w:val="24"/>
          <w:szCs w:val="24"/>
        </w:rPr>
        <w:t>regardless of standing on the DI</w:t>
      </w:r>
      <w:r w:rsidR="00462692" w:rsidRPr="00AF7D9D">
        <w:rPr>
          <w:rFonts w:ascii="Times New Roman" w:hAnsi="Times New Roman" w:cs="Times New Roman"/>
          <w:sz w:val="24"/>
          <w:szCs w:val="24"/>
        </w:rPr>
        <w:t>RP (Table 4).</w:t>
      </w:r>
    </w:p>
    <w:p w14:paraId="1F0E19F7" w14:textId="77777777" w:rsidR="004B1684" w:rsidRPr="00AF7D9D" w:rsidRDefault="004B1684" w:rsidP="00CD44E1">
      <w:pPr>
        <w:spacing w:after="0" w:line="480" w:lineRule="auto"/>
        <w:jc w:val="center"/>
        <w:rPr>
          <w:rFonts w:ascii="Times New Roman" w:hAnsi="Times New Roman" w:cs="Times New Roman"/>
          <w:b/>
          <w:sz w:val="24"/>
          <w:szCs w:val="24"/>
        </w:rPr>
      </w:pPr>
      <w:r w:rsidRPr="00AF7D9D">
        <w:rPr>
          <w:rFonts w:ascii="Times New Roman" w:hAnsi="Times New Roman" w:cs="Times New Roman"/>
          <w:b/>
          <w:sz w:val="24"/>
          <w:szCs w:val="24"/>
        </w:rPr>
        <w:t>Discussion</w:t>
      </w:r>
    </w:p>
    <w:p w14:paraId="7B06DC50" w14:textId="77777777" w:rsidR="0023154C" w:rsidRPr="00AF7D9D" w:rsidRDefault="004B1684" w:rsidP="0023154C">
      <w:pPr>
        <w:spacing w:after="0" w:line="480" w:lineRule="auto"/>
        <w:rPr>
          <w:rFonts w:ascii="Times New Roman" w:hAnsi="Times New Roman" w:cs="Times New Roman"/>
          <w:sz w:val="24"/>
          <w:szCs w:val="24"/>
        </w:rPr>
      </w:pPr>
      <w:r w:rsidRPr="00AF7D9D">
        <w:rPr>
          <w:rFonts w:ascii="Times New Roman" w:hAnsi="Times New Roman" w:cs="Times New Roman"/>
          <w:sz w:val="24"/>
          <w:szCs w:val="24"/>
        </w:rPr>
        <w:lastRenderedPageBreak/>
        <w:tab/>
      </w:r>
      <w:r w:rsidR="0094296A" w:rsidRPr="00AF7D9D">
        <w:rPr>
          <w:rFonts w:ascii="Times New Roman" w:hAnsi="Times New Roman" w:cs="Times New Roman"/>
          <w:sz w:val="24"/>
          <w:szCs w:val="24"/>
        </w:rPr>
        <w:t>The current study developed an embedded scale for detecting inconsistent responding on the YPI-S, an abbreviated self-report measure of psychopathy</w:t>
      </w:r>
      <w:r w:rsidR="008964BD" w:rsidRPr="00AF7D9D">
        <w:rPr>
          <w:rFonts w:ascii="Times New Roman" w:hAnsi="Times New Roman" w:cs="Times New Roman"/>
          <w:sz w:val="24"/>
          <w:szCs w:val="24"/>
        </w:rPr>
        <w:t xml:space="preserve"> in youth</w:t>
      </w:r>
      <w:r w:rsidR="0094296A" w:rsidRPr="00AF7D9D">
        <w:rPr>
          <w:rFonts w:ascii="Times New Roman" w:hAnsi="Times New Roman" w:cs="Times New Roman"/>
          <w:sz w:val="24"/>
          <w:szCs w:val="24"/>
        </w:rPr>
        <w:t xml:space="preserve">. </w:t>
      </w:r>
      <w:r w:rsidR="007073DE" w:rsidRPr="00AF7D9D">
        <w:rPr>
          <w:rFonts w:ascii="Times New Roman" w:hAnsi="Times New Roman" w:cs="Times New Roman"/>
          <w:sz w:val="24"/>
          <w:szCs w:val="24"/>
        </w:rPr>
        <w:t>The</w:t>
      </w:r>
      <w:r w:rsidR="0094296A" w:rsidRPr="00AF7D9D">
        <w:rPr>
          <w:rFonts w:ascii="Times New Roman" w:hAnsi="Times New Roman" w:cs="Times New Roman"/>
          <w:sz w:val="24"/>
          <w:szCs w:val="24"/>
        </w:rPr>
        <w:t xml:space="preserve"> YPI-S has increasingly been administered in </w:t>
      </w:r>
      <w:r w:rsidR="007073DE" w:rsidRPr="00AF7D9D">
        <w:rPr>
          <w:rFonts w:ascii="Times New Roman" w:hAnsi="Times New Roman" w:cs="Times New Roman"/>
          <w:sz w:val="24"/>
          <w:szCs w:val="24"/>
        </w:rPr>
        <w:t xml:space="preserve">a variety of contexts </w:t>
      </w:r>
      <w:r w:rsidR="00867928" w:rsidRPr="00AF7D9D">
        <w:rPr>
          <w:rFonts w:ascii="Times New Roman" w:hAnsi="Times New Roman" w:cs="Times New Roman"/>
          <w:sz w:val="24"/>
          <w:szCs w:val="24"/>
        </w:rPr>
        <w:t>in which there are likely to be</w:t>
      </w:r>
      <w:r w:rsidR="007073DE" w:rsidRPr="00AF7D9D">
        <w:rPr>
          <w:rFonts w:ascii="Times New Roman" w:hAnsi="Times New Roman" w:cs="Times New Roman"/>
          <w:sz w:val="24"/>
          <w:szCs w:val="24"/>
        </w:rPr>
        <w:t xml:space="preserve"> concerns about response validity, including applied juvenile jus</w:t>
      </w:r>
      <w:r w:rsidR="00E96E95" w:rsidRPr="00AF7D9D">
        <w:rPr>
          <w:rFonts w:ascii="Times New Roman" w:hAnsi="Times New Roman" w:cs="Times New Roman"/>
          <w:sz w:val="24"/>
          <w:szCs w:val="24"/>
        </w:rPr>
        <w:t>tice settings (Vahl et al., 2014</w:t>
      </w:r>
      <w:r w:rsidR="007073DE" w:rsidRPr="00AF7D9D">
        <w:rPr>
          <w:rFonts w:ascii="Times New Roman" w:hAnsi="Times New Roman" w:cs="Times New Roman"/>
          <w:sz w:val="24"/>
          <w:szCs w:val="24"/>
        </w:rPr>
        <w:t xml:space="preserve">). </w:t>
      </w:r>
      <w:r w:rsidR="00E5683C" w:rsidRPr="00AF7D9D">
        <w:rPr>
          <w:rFonts w:ascii="Times New Roman" w:hAnsi="Times New Roman" w:cs="Times New Roman"/>
          <w:sz w:val="24"/>
          <w:szCs w:val="24"/>
        </w:rPr>
        <w:t xml:space="preserve">Accordingly, the ability to identify </w:t>
      </w:r>
      <w:r w:rsidR="00FD21A4" w:rsidRPr="00AF7D9D">
        <w:rPr>
          <w:rFonts w:ascii="Times New Roman" w:hAnsi="Times New Roman" w:cs="Times New Roman"/>
          <w:sz w:val="24"/>
          <w:szCs w:val="24"/>
        </w:rPr>
        <w:t>problematic</w:t>
      </w:r>
      <w:r w:rsidR="00E5683C" w:rsidRPr="00AF7D9D">
        <w:rPr>
          <w:rFonts w:ascii="Times New Roman" w:hAnsi="Times New Roman" w:cs="Times New Roman"/>
          <w:sz w:val="24"/>
          <w:szCs w:val="24"/>
        </w:rPr>
        <w:t xml:space="preserve"> completion of the measure</w:t>
      </w:r>
      <w:r w:rsidR="00FD21A4" w:rsidRPr="00AF7D9D">
        <w:rPr>
          <w:rFonts w:ascii="Times New Roman" w:hAnsi="Times New Roman" w:cs="Times New Roman"/>
          <w:sz w:val="24"/>
          <w:szCs w:val="24"/>
        </w:rPr>
        <w:t xml:space="preserve"> due to poor motivation</w:t>
      </w:r>
      <w:r w:rsidR="00867928" w:rsidRPr="00AF7D9D">
        <w:rPr>
          <w:rFonts w:ascii="Times New Roman" w:hAnsi="Times New Roman" w:cs="Times New Roman"/>
          <w:sz w:val="24"/>
          <w:szCs w:val="24"/>
        </w:rPr>
        <w:t>, distraction,</w:t>
      </w:r>
      <w:r w:rsidR="00FD21A4" w:rsidRPr="00AF7D9D">
        <w:rPr>
          <w:rFonts w:ascii="Times New Roman" w:hAnsi="Times New Roman" w:cs="Times New Roman"/>
          <w:sz w:val="24"/>
          <w:szCs w:val="24"/>
        </w:rPr>
        <w:t xml:space="preserve"> or other cognitive</w:t>
      </w:r>
      <w:r w:rsidR="00E5683C" w:rsidRPr="00AF7D9D">
        <w:rPr>
          <w:rFonts w:ascii="Times New Roman" w:hAnsi="Times New Roman" w:cs="Times New Roman"/>
          <w:sz w:val="24"/>
          <w:szCs w:val="24"/>
        </w:rPr>
        <w:t xml:space="preserve"> </w:t>
      </w:r>
      <w:r w:rsidR="00FD21A4" w:rsidRPr="00AF7D9D">
        <w:rPr>
          <w:rFonts w:ascii="Times New Roman" w:hAnsi="Times New Roman" w:cs="Times New Roman"/>
          <w:sz w:val="24"/>
          <w:szCs w:val="24"/>
        </w:rPr>
        <w:t xml:space="preserve">factors </w:t>
      </w:r>
      <w:r w:rsidR="00E5683C" w:rsidRPr="00AF7D9D">
        <w:rPr>
          <w:rFonts w:ascii="Times New Roman" w:hAnsi="Times New Roman" w:cs="Times New Roman"/>
          <w:sz w:val="24"/>
          <w:szCs w:val="24"/>
        </w:rPr>
        <w:t xml:space="preserve">has important implications for the fidelity of research using the instrument as well as the utility of scores for individual evaluations. Using five archival datasets containing English, </w:t>
      </w:r>
      <w:r w:rsidR="00867928" w:rsidRPr="00AF7D9D">
        <w:rPr>
          <w:rFonts w:ascii="Times New Roman" w:hAnsi="Times New Roman" w:cs="Times New Roman"/>
          <w:sz w:val="24"/>
          <w:szCs w:val="24"/>
        </w:rPr>
        <w:t xml:space="preserve">German, </w:t>
      </w:r>
      <w:r w:rsidR="00E5683C" w:rsidRPr="00AF7D9D">
        <w:rPr>
          <w:rFonts w:ascii="Times New Roman" w:hAnsi="Times New Roman" w:cs="Times New Roman"/>
          <w:sz w:val="24"/>
          <w:szCs w:val="24"/>
        </w:rPr>
        <w:t>Italian, and Dutch versions of the YPI-S, we found supportive evidence that our newly constructed inconsistent responding scale is sensitive to such a response style on th</w:t>
      </w:r>
      <w:r w:rsidR="00000F3E" w:rsidRPr="00AF7D9D">
        <w:rPr>
          <w:rFonts w:ascii="Times New Roman" w:hAnsi="Times New Roman" w:cs="Times New Roman"/>
          <w:sz w:val="24"/>
          <w:szCs w:val="24"/>
        </w:rPr>
        <w:t>is measure</w:t>
      </w:r>
      <w:r w:rsidR="00E5683C" w:rsidRPr="00AF7D9D">
        <w:rPr>
          <w:rFonts w:ascii="Times New Roman" w:hAnsi="Times New Roman" w:cs="Times New Roman"/>
          <w:sz w:val="24"/>
          <w:szCs w:val="24"/>
        </w:rPr>
        <w:t xml:space="preserve">. </w:t>
      </w:r>
    </w:p>
    <w:p w14:paraId="513EE31F" w14:textId="59001445" w:rsidR="0045358E" w:rsidRPr="00AF7D9D" w:rsidRDefault="00641C2C" w:rsidP="0023154C">
      <w:pPr>
        <w:spacing w:after="0" w:line="480" w:lineRule="auto"/>
        <w:ind w:firstLine="720"/>
        <w:rPr>
          <w:rFonts w:ascii="Times New Roman" w:hAnsi="Times New Roman" w:cs="Times New Roman"/>
          <w:sz w:val="24"/>
          <w:szCs w:val="24"/>
        </w:rPr>
      </w:pPr>
      <w:r w:rsidRPr="00AF7D9D">
        <w:rPr>
          <w:rFonts w:ascii="Times New Roman" w:hAnsi="Times New Roman" w:cs="Times New Roman"/>
          <w:sz w:val="24"/>
          <w:szCs w:val="24"/>
        </w:rPr>
        <w:t>First, scores on the DI</w:t>
      </w:r>
      <w:r w:rsidR="00630BAA" w:rsidRPr="00AF7D9D">
        <w:rPr>
          <w:rFonts w:ascii="Times New Roman" w:hAnsi="Times New Roman" w:cs="Times New Roman"/>
          <w:sz w:val="24"/>
          <w:szCs w:val="24"/>
        </w:rPr>
        <w:t>RP effectively distinguished original part</w:t>
      </w:r>
      <w:r w:rsidR="00D24F74" w:rsidRPr="00AF7D9D">
        <w:rPr>
          <w:rFonts w:ascii="Times New Roman" w:hAnsi="Times New Roman" w:cs="Times New Roman"/>
          <w:sz w:val="24"/>
          <w:szCs w:val="24"/>
        </w:rPr>
        <w:t xml:space="preserve">icipant responses from randomly </w:t>
      </w:r>
      <w:r w:rsidR="00630BAA" w:rsidRPr="00AF7D9D">
        <w:rPr>
          <w:rFonts w:ascii="Times New Roman" w:hAnsi="Times New Roman" w:cs="Times New Roman"/>
          <w:sz w:val="24"/>
          <w:szCs w:val="24"/>
        </w:rPr>
        <w:t>generated cases and from cases in which 50% of participant responses were randomly selected and rep</w:t>
      </w:r>
      <w:r w:rsidR="000C1489" w:rsidRPr="00AF7D9D">
        <w:rPr>
          <w:rFonts w:ascii="Times New Roman" w:hAnsi="Times New Roman" w:cs="Times New Roman"/>
          <w:sz w:val="24"/>
          <w:szCs w:val="24"/>
        </w:rPr>
        <w:t>laced. Second, these</w:t>
      </w:r>
      <w:r w:rsidR="00630BAA" w:rsidRPr="00AF7D9D">
        <w:rPr>
          <w:rFonts w:ascii="Times New Roman" w:hAnsi="Times New Roman" w:cs="Times New Roman"/>
          <w:sz w:val="24"/>
          <w:szCs w:val="24"/>
        </w:rPr>
        <w:t xml:space="preserve"> scores </w:t>
      </w:r>
      <w:r w:rsidR="000C1489" w:rsidRPr="00AF7D9D">
        <w:rPr>
          <w:rFonts w:ascii="Times New Roman" w:hAnsi="Times New Roman" w:cs="Times New Roman"/>
          <w:sz w:val="24"/>
          <w:szCs w:val="24"/>
        </w:rPr>
        <w:t xml:space="preserve">demonstrated modest associations </w:t>
      </w:r>
      <w:r w:rsidR="000B6BC7" w:rsidRPr="00AF7D9D">
        <w:rPr>
          <w:rFonts w:ascii="Times New Roman" w:hAnsi="Times New Roman" w:cs="Times New Roman"/>
          <w:sz w:val="24"/>
          <w:szCs w:val="24"/>
        </w:rPr>
        <w:t xml:space="preserve">with </w:t>
      </w:r>
      <w:r w:rsidR="000C1489" w:rsidRPr="00AF7D9D">
        <w:rPr>
          <w:rFonts w:ascii="Times New Roman" w:hAnsi="Times New Roman" w:cs="Times New Roman"/>
          <w:sz w:val="24"/>
          <w:szCs w:val="24"/>
        </w:rPr>
        <w:t>the inconsistent responding scales of the PPI-R</w:t>
      </w:r>
      <w:r w:rsidR="00584E76" w:rsidRPr="00AF7D9D">
        <w:rPr>
          <w:rFonts w:ascii="Times New Roman" w:hAnsi="Times New Roman" w:cs="Times New Roman"/>
          <w:sz w:val="24"/>
          <w:szCs w:val="24"/>
        </w:rPr>
        <w:t>, although not with</w:t>
      </w:r>
      <w:r w:rsidR="000C1489" w:rsidRPr="00AF7D9D">
        <w:rPr>
          <w:rFonts w:ascii="Times New Roman" w:hAnsi="Times New Roman" w:cs="Times New Roman"/>
          <w:sz w:val="24"/>
          <w:szCs w:val="24"/>
        </w:rPr>
        <w:t xml:space="preserve"> a brief measure of concentration difficulties extracted from the MAYSI-2. Third, </w:t>
      </w:r>
      <w:r w:rsidR="0045358E" w:rsidRPr="00AF7D9D">
        <w:rPr>
          <w:rFonts w:ascii="Times New Roman" w:hAnsi="Times New Roman" w:cs="Times New Roman"/>
          <w:sz w:val="24"/>
          <w:szCs w:val="24"/>
        </w:rPr>
        <w:t>the magnitude of associations among the three YPI-S factors was reduced significantly for participants identified as excessively in</w:t>
      </w:r>
      <w:r w:rsidRPr="00AF7D9D">
        <w:rPr>
          <w:rFonts w:ascii="Times New Roman" w:hAnsi="Times New Roman" w:cs="Times New Roman"/>
          <w:sz w:val="24"/>
          <w:szCs w:val="24"/>
        </w:rPr>
        <w:t>consistent using two possible DI</w:t>
      </w:r>
      <w:r w:rsidR="0045358E" w:rsidRPr="00AF7D9D">
        <w:rPr>
          <w:rFonts w:ascii="Times New Roman" w:hAnsi="Times New Roman" w:cs="Times New Roman"/>
          <w:sz w:val="24"/>
          <w:szCs w:val="24"/>
        </w:rPr>
        <w:t>RP cut</w:t>
      </w:r>
      <w:r w:rsidR="008964BD" w:rsidRPr="00AF7D9D">
        <w:rPr>
          <w:rFonts w:ascii="Times New Roman" w:hAnsi="Times New Roman" w:cs="Times New Roman"/>
          <w:sz w:val="24"/>
          <w:szCs w:val="24"/>
        </w:rPr>
        <w:t>-off</w:t>
      </w:r>
      <w:r w:rsidR="0045358E" w:rsidRPr="00AF7D9D">
        <w:rPr>
          <w:rFonts w:ascii="Times New Roman" w:hAnsi="Times New Roman" w:cs="Times New Roman"/>
          <w:sz w:val="24"/>
          <w:szCs w:val="24"/>
        </w:rPr>
        <w:t xml:space="preserve"> scores. </w:t>
      </w:r>
      <w:r w:rsidR="0061704A" w:rsidRPr="00AF7D9D">
        <w:rPr>
          <w:rFonts w:ascii="Times New Roman" w:hAnsi="Times New Roman" w:cs="Times New Roman"/>
          <w:sz w:val="24"/>
          <w:szCs w:val="24"/>
        </w:rPr>
        <w:t>Last</w:t>
      </w:r>
      <w:r w:rsidR="0045358E" w:rsidRPr="00AF7D9D">
        <w:rPr>
          <w:rFonts w:ascii="Times New Roman" w:hAnsi="Times New Roman" w:cs="Times New Roman"/>
          <w:sz w:val="24"/>
          <w:szCs w:val="24"/>
        </w:rPr>
        <w:t xml:space="preserve">, </w:t>
      </w:r>
      <w:r w:rsidR="000C1489" w:rsidRPr="00AF7D9D">
        <w:rPr>
          <w:rFonts w:ascii="Times New Roman" w:hAnsi="Times New Roman" w:cs="Times New Roman"/>
          <w:sz w:val="24"/>
          <w:szCs w:val="24"/>
        </w:rPr>
        <w:t xml:space="preserve">the strength of </w:t>
      </w:r>
      <w:r w:rsidR="000B6BC7" w:rsidRPr="00AF7D9D">
        <w:rPr>
          <w:rFonts w:ascii="Times New Roman" w:hAnsi="Times New Roman" w:cs="Times New Roman"/>
          <w:sz w:val="24"/>
          <w:szCs w:val="24"/>
        </w:rPr>
        <w:t>associations</w:t>
      </w:r>
      <w:r w:rsidR="000C1489" w:rsidRPr="00AF7D9D">
        <w:rPr>
          <w:rFonts w:ascii="Times New Roman" w:hAnsi="Times New Roman" w:cs="Times New Roman"/>
          <w:sz w:val="24"/>
          <w:szCs w:val="24"/>
        </w:rPr>
        <w:t xml:space="preserve"> between the YPI-S and </w:t>
      </w:r>
      <w:r w:rsidR="002C309E" w:rsidRPr="00AF7D9D">
        <w:rPr>
          <w:rFonts w:ascii="Times New Roman" w:hAnsi="Times New Roman" w:cs="Times New Roman"/>
          <w:sz w:val="24"/>
          <w:szCs w:val="24"/>
        </w:rPr>
        <w:t xml:space="preserve">numerous theoretically relevant correlates was </w:t>
      </w:r>
      <w:r w:rsidR="00584E76" w:rsidRPr="00AF7D9D">
        <w:rPr>
          <w:rFonts w:ascii="Times New Roman" w:hAnsi="Times New Roman" w:cs="Times New Roman"/>
          <w:sz w:val="24"/>
          <w:szCs w:val="24"/>
        </w:rPr>
        <w:t xml:space="preserve">noticeably </w:t>
      </w:r>
      <w:r w:rsidR="002C309E" w:rsidRPr="00AF7D9D">
        <w:rPr>
          <w:rFonts w:ascii="Times New Roman" w:hAnsi="Times New Roman" w:cs="Times New Roman"/>
          <w:sz w:val="24"/>
          <w:szCs w:val="24"/>
        </w:rPr>
        <w:t>attenuated among participants exceeding proposed thresholds for profile validity.</w:t>
      </w:r>
      <w:r w:rsidR="00DE7D58" w:rsidRPr="00AF7D9D">
        <w:rPr>
          <w:rFonts w:ascii="Times New Roman" w:hAnsi="Times New Roman" w:cs="Times New Roman"/>
          <w:sz w:val="24"/>
          <w:szCs w:val="24"/>
        </w:rPr>
        <w:t xml:space="preserve"> The adverse effect of inconsistent responding on criterion-related validity coefficients was particularly apparent among juvenile offenders from the United States and youth from the Netherlands, yet was not readily discernible for Italian participants in predicting personality, delinquency, and aggression from the YPI-S. </w:t>
      </w:r>
      <w:r w:rsidR="00066CC7" w:rsidRPr="00AF7D9D">
        <w:rPr>
          <w:rFonts w:ascii="Times New Roman" w:hAnsi="Times New Roman" w:cs="Times New Roman"/>
          <w:sz w:val="24"/>
          <w:szCs w:val="24"/>
        </w:rPr>
        <w:t>The relative stability of associations among Italian participa</w:t>
      </w:r>
      <w:r w:rsidR="00000F3E" w:rsidRPr="00AF7D9D">
        <w:rPr>
          <w:rFonts w:ascii="Times New Roman" w:hAnsi="Times New Roman" w:cs="Times New Roman"/>
          <w:sz w:val="24"/>
          <w:szCs w:val="24"/>
        </w:rPr>
        <w:t>nts</w:t>
      </w:r>
      <w:r w:rsidR="00066CC7" w:rsidRPr="00AF7D9D">
        <w:rPr>
          <w:rFonts w:ascii="Times New Roman" w:hAnsi="Times New Roman" w:cs="Times New Roman"/>
          <w:sz w:val="24"/>
          <w:szCs w:val="24"/>
        </w:rPr>
        <w:t xml:space="preserve"> classified as inconsistent respondents may be </w:t>
      </w:r>
      <w:r w:rsidR="00066CC7" w:rsidRPr="00AF7D9D">
        <w:rPr>
          <w:rFonts w:ascii="Times New Roman" w:hAnsi="Times New Roman" w:cs="Times New Roman"/>
          <w:sz w:val="24"/>
          <w:szCs w:val="24"/>
        </w:rPr>
        <w:lastRenderedPageBreak/>
        <w:t xml:space="preserve">attributable to the tendency for erratic responding to create </w:t>
      </w:r>
      <w:r w:rsidR="0045358E" w:rsidRPr="00AF7D9D">
        <w:rPr>
          <w:rFonts w:ascii="Times New Roman" w:hAnsi="Times New Roman" w:cs="Times New Roman"/>
          <w:sz w:val="24"/>
          <w:szCs w:val="24"/>
        </w:rPr>
        <w:t>an</w:t>
      </w:r>
      <w:r w:rsidR="00066CC7" w:rsidRPr="00AF7D9D">
        <w:rPr>
          <w:rFonts w:ascii="Times New Roman" w:hAnsi="Times New Roman" w:cs="Times New Roman"/>
          <w:sz w:val="24"/>
          <w:szCs w:val="24"/>
        </w:rPr>
        <w:t xml:space="preserve"> appearance of </w:t>
      </w:r>
      <w:r w:rsidR="0045358E" w:rsidRPr="00AF7D9D">
        <w:rPr>
          <w:rFonts w:ascii="Times New Roman" w:hAnsi="Times New Roman" w:cs="Times New Roman"/>
          <w:sz w:val="24"/>
          <w:szCs w:val="24"/>
        </w:rPr>
        <w:t xml:space="preserve">greater pathology </w:t>
      </w:r>
      <w:r w:rsidR="00066CC7" w:rsidRPr="00AF7D9D">
        <w:rPr>
          <w:rFonts w:ascii="Times New Roman" w:hAnsi="Times New Roman" w:cs="Times New Roman"/>
          <w:sz w:val="24"/>
          <w:szCs w:val="24"/>
        </w:rPr>
        <w:t xml:space="preserve">on </w:t>
      </w:r>
      <w:r w:rsidR="0045358E" w:rsidRPr="00AF7D9D">
        <w:rPr>
          <w:rFonts w:ascii="Times New Roman" w:hAnsi="Times New Roman" w:cs="Times New Roman"/>
          <w:sz w:val="24"/>
          <w:szCs w:val="24"/>
        </w:rPr>
        <w:t>self-report questionnaires</w:t>
      </w:r>
      <w:r w:rsidR="00066CC7" w:rsidRPr="00AF7D9D">
        <w:rPr>
          <w:rFonts w:ascii="Times New Roman" w:hAnsi="Times New Roman" w:cs="Times New Roman"/>
          <w:sz w:val="24"/>
          <w:szCs w:val="24"/>
        </w:rPr>
        <w:t xml:space="preserve"> (e.g., Benning &amp; Freeman, in press; Keeley et al., 2016</w:t>
      </w:r>
      <w:r w:rsidR="0045358E" w:rsidRPr="00AF7D9D">
        <w:rPr>
          <w:rFonts w:ascii="Times New Roman" w:hAnsi="Times New Roman" w:cs="Times New Roman"/>
          <w:sz w:val="24"/>
          <w:szCs w:val="24"/>
        </w:rPr>
        <w:t xml:space="preserve">), elevating scores on the YPI-S and correspondingly on criterion measures. However, greater mean scores on outcomes of interest among inconsistent </w:t>
      </w:r>
      <w:r w:rsidR="00000F3E" w:rsidRPr="00AF7D9D">
        <w:rPr>
          <w:rFonts w:ascii="Times New Roman" w:hAnsi="Times New Roman" w:cs="Times New Roman"/>
          <w:sz w:val="24"/>
          <w:szCs w:val="24"/>
        </w:rPr>
        <w:t>participants</w:t>
      </w:r>
      <w:r w:rsidR="0045358E" w:rsidRPr="00AF7D9D">
        <w:rPr>
          <w:rFonts w:ascii="Times New Roman" w:hAnsi="Times New Roman" w:cs="Times New Roman"/>
          <w:sz w:val="24"/>
          <w:szCs w:val="24"/>
        </w:rPr>
        <w:t xml:space="preserve"> were not universally observed for every measure (e.g., BFI) and co-occurred with </w:t>
      </w:r>
      <w:r w:rsidR="00867928" w:rsidRPr="00AF7D9D">
        <w:rPr>
          <w:rFonts w:ascii="Times New Roman" w:hAnsi="Times New Roman" w:cs="Times New Roman"/>
          <w:sz w:val="24"/>
          <w:szCs w:val="24"/>
        </w:rPr>
        <w:t xml:space="preserve">effect size </w:t>
      </w:r>
      <w:r w:rsidR="0045358E" w:rsidRPr="00AF7D9D">
        <w:rPr>
          <w:rFonts w:ascii="Times New Roman" w:hAnsi="Times New Roman" w:cs="Times New Roman"/>
          <w:sz w:val="24"/>
          <w:szCs w:val="24"/>
        </w:rPr>
        <w:t xml:space="preserve">attenuation under </w:t>
      </w:r>
      <w:r w:rsidR="00170EC3" w:rsidRPr="00AF7D9D">
        <w:rPr>
          <w:rFonts w:ascii="Times New Roman" w:hAnsi="Times New Roman" w:cs="Times New Roman"/>
          <w:sz w:val="24"/>
          <w:szCs w:val="24"/>
        </w:rPr>
        <w:t xml:space="preserve">certain </w:t>
      </w:r>
      <w:r w:rsidR="0045358E" w:rsidRPr="00AF7D9D">
        <w:rPr>
          <w:rFonts w:ascii="Times New Roman" w:hAnsi="Times New Roman" w:cs="Times New Roman"/>
          <w:sz w:val="24"/>
          <w:szCs w:val="24"/>
        </w:rPr>
        <w:t xml:space="preserve">circumstances (e.g., SRDS for </w:t>
      </w:r>
      <w:r w:rsidR="00170EC3" w:rsidRPr="00AF7D9D">
        <w:rPr>
          <w:rFonts w:ascii="Times New Roman" w:hAnsi="Times New Roman" w:cs="Times New Roman"/>
          <w:sz w:val="24"/>
          <w:szCs w:val="24"/>
        </w:rPr>
        <w:t xml:space="preserve">Italian females and U.S. juvenile offenders). </w:t>
      </w:r>
      <w:r w:rsidR="00F641F6" w:rsidRPr="00AF7D9D">
        <w:rPr>
          <w:rFonts w:ascii="Times New Roman" w:hAnsi="Times New Roman" w:cs="Times New Roman"/>
          <w:sz w:val="24"/>
          <w:szCs w:val="24"/>
        </w:rPr>
        <w:t xml:space="preserve">Although we cannot explain these variations in findings with certainty, the importance of inconsistent responding for criterion-related validity was typically supported across different measures and participant characteristics. </w:t>
      </w:r>
    </w:p>
    <w:p w14:paraId="78723F64" w14:textId="2EF62B24" w:rsidR="001D594D" w:rsidRPr="00AF7D9D" w:rsidRDefault="007564FA" w:rsidP="00E6001B">
      <w:pPr>
        <w:spacing w:after="0" w:line="480" w:lineRule="auto"/>
        <w:ind w:firstLine="720"/>
        <w:rPr>
          <w:rFonts w:ascii="Times New Roman" w:hAnsi="Times New Roman" w:cs="Times New Roman"/>
          <w:sz w:val="24"/>
          <w:szCs w:val="24"/>
        </w:rPr>
      </w:pPr>
      <w:r w:rsidRPr="00AF7D9D">
        <w:rPr>
          <w:rFonts w:ascii="Times New Roman" w:hAnsi="Times New Roman" w:cs="Times New Roman"/>
          <w:sz w:val="24"/>
          <w:szCs w:val="24"/>
        </w:rPr>
        <w:t>T</w:t>
      </w:r>
      <w:r w:rsidR="00641C2C" w:rsidRPr="00AF7D9D">
        <w:rPr>
          <w:rFonts w:ascii="Times New Roman" w:hAnsi="Times New Roman" w:cs="Times New Roman"/>
          <w:sz w:val="24"/>
          <w:szCs w:val="24"/>
        </w:rPr>
        <w:t>he utility of the DI</w:t>
      </w:r>
      <w:r w:rsidR="00D07A3E" w:rsidRPr="00AF7D9D">
        <w:rPr>
          <w:rFonts w:ascii="Times New Roman" w:hAnsi="Times New Roman" w:cs="Times New Roman"/>
          <w:sz w:val="24"/>
          <w:szCs w:val="24"/>
        </w:rPr>
        <w:t>RP may not be readily discernible by solely examining the effect of removing inconsistent respondents on criterion-related validity, as this screening process did not significantly improve ass</w:t>
      </w:r>
      <w:r w:rsidR="0006771A" w:rsidRPr="00AF7D9D">
        <w:rPr>
          <w:rFonts w:ascii="Times New Roman" w:hAnsi="Times New Roman" w:cs="Times New Roman"/>
          <w:sz w:val="24"/>
          <w:szCs w:val="24"/>
        </w:rPr>
        <w:t>ociations with study variables.</w:t>
      </w:r>
      <w:r w:rsidR="009A6D97" w:rsidRPr="00AF7D9D">
        <w:rPr>
          <w:rFonts w:ascii="Times New Roman" w:hAnsi="Times New Roman" w:cs="Times New Roman"/>
          <w:sz w:val="24"/>
          <w:szCs w:val="24"/>
        </w:rPr>
        <w:t xml:space="preserve"> </w:t>
      </w:r>
      <w:r w:rsidR="000B224D" w:rsidRPr="00AF7D9D">
        <w:rPr>
          <w:rFonts w:ascii="Times New Roman" w:hAnsi="Times New Roman" w:cs="Times New Roman"/>
          <w:sz w:val="24"/>
          <w:szCs w:val="24"/>
        </w:rPr>
        <w:t xml:space="preserve">This may </w:t>
      </w:r>
      <w:r w:rsidR="0006771A" w:rsidRPr="00AF7D9D">
        <w:rPr>
          <w:rFonts w:ascii="Times New Roman" w:hAnsi="Times New Roman" w:cs="Times New Roman"/>
          <w:sz w:val="24"/>
          <w:szCs w:val="24"/>
        </w:rPr>
        <w:t xml:space="preserve">also </w:t>
      </w:r>
      <w:r w:rsidR="000B224D" w:rsidRPr="00AF7D9D">
        <w:rPr>
          <w:rFonts w:ascii="Times New Roman" w:hAnsi="Times New Roman" w:cs="Times New Roman"/>
          <w:sz w:val="24"/>
          <w:szCs w:val="24"/>
        </w:rPr>
        <w:t xml:space="preserve">be </w:t>
      </w:r>
      <w:r w:rsidR="00FF21EC" w:rsidRPr="00AF7D9D">
        <w:rPr>
          <w:rFonts w:ascii="Times New Roman" w:hAnsi="Times New Roman" w:cs="Times New Roman"/>
          <w:sz w:val="24"/>
          <w:szCs w:val="24"/>
        </w:rPr>
        <w:t>because the effect of careless responding is uncertain, sometimes strengthening validity coefficients, sometimes weakening them, and sometimes appearing negligible when these opposing effects counteract (</w:t>
      </w:r>
      <w:r w:rsidR="00210424" w:rsidRPr="00AF7D9D">
        <w:rPr>
          <w:rFonts w:ascii="Times New Roman" w:hAnsi="Times New Roman" w:cs="Times New Roman"/>
          <w:sz w:val="24"/>
          <w:szCs w:val="24"/>
        </w:rPr>
        <w:t xml:space="preserve">Credé, 2010; </w:t>
      </w:r>
      <w:r w:rsidR="00FF21EC" w:rsidRPr="00AF7D9D">
        <w:rPr>
          <w:rFonts w:ascii="Times New Roman" w:hAnsi="Times New Roman" w:cs="Times New Roman"/>
          <w:sz w:val="24"/>
          <w:szCs w:val="24"/>
        </w:rPr>
        <w:t xml:space="preserve">Curran, 2016). In fact, </w:t>
      </w:r>
      <w:r w:rsidR="00D07A3E" w:rsidRPr="00AF7D9D">
        <w:rPr>
          <w:rFonts w:ascii="Times New Roman" w:hAnsi="Times New Roman" w:cs="Times New Roman"/>
          <w:sz w:val="24"/>
          <w:szCs w:val="24"/>
        </w:rPr>
        <w:t xml:space="preserve">excluding problematic respondents commonly appears </w:t>
      </w:r>
      <w:r w:rsidR="00CA664F" w:rsidRPr="00AF7D9D">
        <w:rPr>
          <w:rFonts w:ascii="Times New Roman" w:hAnsi="Times New Roman" w:cs="Times New Roman"/>
          <w:sz w:val="24"/>
          <w:szCs w:val="24"/>
        </w:rPr>
        <w:t>to make no difference</w:t>
      </w:r>
      <w:r w:rsidR="00D07A3E" w:rsidRPr="00AF7D9D">
        <w:rPr>
          <w:rFonts w:ascii="Times New Roman" w:hAnsi="Times New Roman" w:cs="Times New Roman"/>
          <w:sz w:val="24"/>
          <w:szCs w:val="24"/>
        </w:rPr>
        <w:t xml:space="preserve">, </w:t>
      </w:r>
      <w:r w:rsidR="00CA664F" w:rsidRPr="00AF7D9D">
        <w:rPr>
          <w:rFonts w:ascii="Times New Roman" w:hAnsi="Times New Roman" w:cs="Times New Roman"/>
          <w:sz w:val="24"/>
          <w:szCs w:val="24"/>
        </w:rPr>
        <w:t>particularly for large effects</w:t>
      </w:r>
      <w:r w:rsidR="001B2588" w:rsidRPr="00AF7D9D">
        <w:rPr>
          <w:rFonts w:ascii="Times New Roman" w:hAnsi="Times New Roman" w:cs="Times New Roman"/>
          <w:sz w:val="24"/>
          <w:szCs w:val="24"/>
        </w:rPr>
        <w:t>; regardless, noise and error are reduced in important ways. For instance, detecting careless responding may be advantageous for research concentrating on mean scores or extreme groupings, as inconsistent participants appear to endorse more pathology, on averag</w:t>
      </w:r>
      <w:r w:rsidR="005159C1" w:rsidRPr="00AF7D9D">
        <w:rPr>
          <w:rFonts w:ascii="Times New Roman" w:hAnsi="Times New Roman" w:cs="Times New Roman"/>
          <w:sz w:val="24"/>
          <w:szCs w:val="24"/>
        </w:rPr>
        <w:t>e (e.g., Benning &amp; Freeman, in press</w:t>
      </w:r>
      <w:r w:rsidR="000B224D" w:rsidRPr="00AF7D9D">
        <w:rPr>
          <w:rFonts w:ascii="Times New Roman" w:hAnsi="Times New Roman" w:cs="Times New Roman"/>
          <w:sz w:val="24"/>
          <w:szCs w:val="24"/>
        </w:rPr>
        <w:t>; Keeley et al., 2016</w:t>
      </w:r>
      <w:r w:rsidR="001B2588" w:rsidRPr="00AF7D9D">
        <w:rPr>
          <w:rFonts w:ascii="Times New Roman" w:hAnsi="Times New Roman" w:cs="Times New Roman"/>
          <w:sz w:val="24"/>
          <w:szCs w:val="24"/>
        </w:rPr>
        <w:t>).</w:t>
      </w:r>
    </w:p>
    <w:p w14:paraId="1DA1DC1A" w14:textId="6995B9FD" w:rsidR="00B251F6" w:rsidRPr="00AF7D9D" w:rsidRDefault="00372DF4" w:rsidP="00E6001B">
      <w:pPr>
        <w:spacing w:after="0" w:line="480" w:lineRule="auto"/>
        <w:ind w:firstLine="720"/>
        <w:rPr>
          <w:rFonts w:ascii="Times New Roman" w:hAnsi="Times New Roman" w:cs="Times New Roman"/>
          <w:sz w:val="24"/>
          <w:szCs w:val="24"/>
        </w:rPr>
      </w:pPr>
      <w:r w:rsidRPr="00AF7D9D">
        <w:rPr>
          <w:rFonts w:ascii="Times New Roman" w:hAnsi="Times New Roman" w:cs="Times New Roman"/>
          <w:sz w:val="24"/>
          <w:szCs w:val="24"/>
        </w:rPr>
        <w:t>One additional finding meriting further consideration is the</w:t>
      </w:r>
      <w:r w:rsidR="00641C2C" w:rsidRPr="00AF7D9D">
        <w:rPr>
          <w:rFonts w:ascii="Times New Roman" w:hAnsi="Times New Roman" w:cs="Times New Roman"/>
          <w:sz w:val="24"/>
          <w:szCs w:val="24"/>
        </w:rPr>
        <w:t xml:space="preserve"> moderate correlation between DI</w:t>
      </w:r>
      <w:r w:rsidRPr="00AF7D9D">
        <w:rPr>
          <w:rFonts w:ascii="Times New Roman" w:hAnsi="Times New Roman" w:cs="Times New Roman"/>
          <w:sz w:val="24"/>
          <w:szCs w:val="24"/>
        </w:rPr>
        <w:t>RP and YPI-S total scores</w:t>
      </w:r>
      <w:r w:rsidR="008418EA" w:rsidRPr="00AF7D9D">
        <w:rPr>
          <w:rFonts w:ascii="Times New Roman" w:hAnsi="Times New Roman" w:cs="Times New Roman"/>
          <w:sz w:val="24"/>
          <w:szCs w:val="24"/>
        </w:rPr>
        <w:t xml:space="preserve">. This may suggest an association between psychopathic traits and tendencies toward responding carelessly; however, the covariation of scores </w:t>
      </w:r>
      <w:r w:rsidR="001B435B" w:rsidRPr="00AF7D9D">
        <w:rPr>
          <w:rFonts w:ascii="Times New Roman" w:hAnsi="Times New Roman" w:cs="Times New Roman"/>
          <w:sz w:val="24"/>
          <w:szCs w:val="24"/>
        </w:rPr>
        <w:t xml:space="preserve">might </w:t>
      </w:r>
      <w:r w:rsidR="0061704A" w:rsidRPr="00AF7D9D">
        <w:rPr>
          <w:rFonts w:ascii="Times New Roman" w:hAnsi="Times New Roman" w:cs="Times New Roman"/>
          <w:sz w:val="24"/>
          <w:szCs w:val="24"/>
        </w:rPr>
        <w:t>also be</w:t>
      </w:r>
      <w:r w:rsidR="008418EA" w:rsidRPr="00AF7D9D">
        <w:rPr>
          <w:rFonts w:ascii="Times New Roman" w:hAnsi="Times New Roman" w:cs="Times New Roman"/>
          <w:sz w:val="24"/>
          <w:szCs w:val="24"/>
        </w:rPr>
        <w:t xml:space="preserve"> explained </w:t>
      </w:r>
      <w:r w:rsidR="00641C2C" w:rsidRPr="00AF7D9D">
        <w:rPr>
          <w:rFonts w:ascii="Times New Roman" w:hAnsi="Times New Roman" w:cs="Times New Roman"/>
          <w:sz w:val="24"/>
          <w:szCs w:val="24"/>
        </w:rPr>
        <w:t>by the structure of the DI</w:t>
      </w:r>
      <w:r w:rsidR="00FB7057" w:rsidRPr="00AF7D9D">
        <w:rPr>
          <w:rFonts w:ascii="Times New Roman" w:hAnsi="Times New Roman" w:cs="Times New Roman"/>
          <w:sz w:val="24"/>
          <w:szCs w:val="24"/>
        </w:rPr>
        <w:t>RP and the distribution of psychopathy scores i</w:t>
      </w:r>
      <w:r w:rsidR="00641C2C" w:rsidRPr="00AF7D9D">
        <w:rPr>
          <w:rFonts w:ascii="Times New Roman" w:hAnsi="Times New Roman" w:cs="Times New Roman"/>
          <w:sz w:val="24"/>
          <w:szCs w:val="24"/>
        </w:rPr>
        <w:t>n our samples. Theoretically, DI</w:t>
      </w:r>
      <w:r w:rsidR="00FB7057" w:rsidRPr="00AF7D9D">
        <w:rPr>
          <w:rFonts w:ascii="Times New Roman" w:hAnsi="Times New Roman" w:cs="Times New Roman"/>
          <w:sz w:val="24"/>
          <w:szCs w:val="24"/>
        </w:rPr>
        <w:t xml:space="preserve">RP and YPI-S scores exhibit a curvilinear relationship, reflecting that </w:t>
      </w:r>
      <w:r w:rsidR="00FB7057" w:rsidRPr="00AF7D9D">
        <w:rPr>
          <w:rFonts w:ascii="Times New Roman" w:hAnsi="Times New Roman" w:cs="Times New Roman"/>
          <w:sz w:val="24"/>
          <w:szCs w:val="24"/>
        </w:rPr>
        <w:lastRenderedPageBreak/>
        <w:t>participants consistently denying or consistently endorsing psychopathic traits would general</w:t>
      </w:r>
      <w:r w:rsidR="00641C2C" w:rsidRPr="00AF7D9D">
        <w:rPr>
          <w:rFonts w:ascii="Times New Roman" w:hAnsi="Times New Roman" w:cs="Times New Roman"/>
          <w:sz w:val="24"/>
          <w:szCs w:val="24"/>
        </w:rPr>
        <w:t>ly obtain lower scores on the DI</w:t>
      </w:r>
      <w:r w:rsidR="00FB7057" w:rsidRPr="00AF7D9D">
        <w:rPr>
          <w:rFonts w:ascii="Times New Roman" w:hAnsi="Times New Roman" w:cs="Times New Roman"/>
          <w:sz w:val="24"/>
          <w:szCs w:val="24"/>
        </w:rPr>
        <w:t>RP. Contrastingly, participants self-reporting moderate levels of psychopathy are more li</w:t>
      </w:r>
      <w:r w:rsidR="00B720A4" w:rsidRPr="00AF7D9D">
        <w:rPr>
          <w:rFonts w:ascii="Times New Roman" w:hAnsi="Times New Roman" w:cs="Times New Roman"/>
          <w:sz w:val="24"/>
          <w:szCs w:val="24"/>
        </w:rPr>
        <w:t xml:space="preserve">kely to respond inconsistently by </w:t>
      </w:r>
      <w:r w:rsidR="00FB7057" w:rsidRPr="00AF7D9D">
        <w:rPr>
          <w:rFonts w:ascii="Times New Roman" w:hAnsi="Times New Roman" w:cs="Times New Roman"/>
          <w:sz w:val="24"/>
          <w:szCs w:val="24"/>
        </w:rPr>
        <w:t xml:space="preserve">endorsing some </w:t>
      </w:r>
      <w:r w:rsidR="00B720A4" w:rsidRPr="00AF7D9D">
        <w:rPr>
          <w:rFonts w:ascii="Times New Roman" w:hAnsi="Times New Roman" w:cs="Times New Roman"/>
          <w:sz w:val="24"/>
          <w:szCs w:val="24"/>
        </w:rPr>
        <w:t xml:space="preserve">statements </w:t>
      </w:r>
      <w:r w:rsidR="00FB7057" w:rsidRPr="00AF7D9D">
        <w:rPr>
          <w:rFonts w:ascii="Times New Roman" w:hAnsi="Times New Roman" w:cs="Times New Roman"/>
          <w:sz w:val="24"/>
          <w:szCs w:val="24"/>
        </w:rPr>
        <w:t>more s</w:t>
      </w:r>
      <w:r w:rsidR="00B720A4" w:rsidRPr="00AF7D9D">
        <w:rPr>
          <w:rFonts w:ascii="Times New Roman" w:hAnsi="Times New Roman" w:cs="Times New Roman"/>
          <w:sz w:val="24"/>
          <w:szCs w:val="24"/>
        </w:rPr>
        <w:t>trongly than others, as even highly correlated item pairs may contain important distinctions in severity and/or content. Because few participants from our samples presented as highly psychopathic, however, th</w:t>
      </w:r>
      <w:r w:rsidR="00DB3DDB" w:rsidRPr="00AF7D9D">
        <w:rPr>
          <w:rFonts w:ascii="Times New Roman" w:hAnsi="Times New Roman" w:cs="Times New Roman"/>
          <w:sz w:val="24"/>
          <w:szCs w:val="24"/>
        </w:rPr>
        <w:t>e</w:t>
      </w:r>
      <w:r w:rsidR="00B720A4" w:rsidRPr="00AF7D9D">
        <w:rPr>
          <w:rFonts w:ascii="Times New Roman" w:hAnsi="Times New Roman" w:cs="Times New Roman"/>
          <w:sz w:val="24"/>
          <w:szCs w:val="24"/>
        </w:rPr>
        <w:t xml:space="preserve"> restricted range of YPI-S scores </w:t>
      </w:r>
      <w:r w:rsidR="001B435B" w:rsidRPr="00AF7D9D">
        <w:rPr>
          <w:rFonts w:ascii="Times New Roman" w:hAnsi="Times New Roman" w:cs="Times New Roman"/>
          <w:sz w:val="24"/>
          <w:szCs w:val="24"/>
        </w:rPr>
        <w:t xml:space="preserve">may </w:t>
      </w:r>
      <w:r w:rsidR="00B720A4" w:rsidRPr="00AF7D9D">
        <w:rPr>
          <w:rFonts w:ascii="Times New Roman" w:hAnsi="Times New Roman" w:cs="Times New Roman"/>
          <w:sz w:val="24"/>
          <w:szCs w:val="24"/>
        </w:rPr>
        <w:t>create</w:t>
      </w:r>
      <w:r w:rsidR="001B435B" w:rsidRPr="00AF7D9D">
        <w:rPr>
          <w:rFonts w:ascii="Times New Roman" w:hAnsi="Times New Roman" w:cs="Times New Roman"/>
          <w:sz w:val="24"/>
          <w:szCs w:val="24"/>
        </w:rPr>
        <w:t xml:space="preserve"> a potentially misleading </w:t>
      </w:r>
      <w:r w:rsidR="00B720A4" w:rsidRPr="00AF7D9D">
        <w:rPr>
          <w:rFonts w:ascii="Times New Roman" w:hAnsi="Times New Roman" w:cs="Times New Roman"/>
          <w:sz w:val="24"/>
          <w:szCs w:val="24"/>
        </w:rPr>
        <w:t xml:space="preserve">appearance of a monotonic function. </w:t>
      </w:r>
      <w:r w:rsidR="00DB3DDB" w:rsidRPr="00AF7D9D">
        <w:rPr>
          <w:rFonts w:ascii="Times New Roman" w:hAnsi="Times New Roman" w:cs="Times New Roman"/>
          <w:sz w:val="24"/>
          <w:szCs w:val="24"/>
        </w:rPr>
        <w:t>Importantly, this association is significantly weakened</w:t>
      </w:r>
      <w:r w:rsidR="00641C2C" w:rsidRPr="00AF7D9D">
        <w:rPr>
          <w:rFonts w:ascii="Times New Roman" w:hAnsi="Times New Roman" w:cs="Times New Roman"/>
          <w:sz w:val="24"/>
          <w:szCs w:val="24"/>
        </w:rPr>
        <w:t xml:space="preserve"> among participants exceeding DI</w:t>
      </w:r>
      <w:r w:rsidR="00DB3DDB" w:rsidRPr="00AF7D9D">
        <w:rPr>
          <w:rFonts w:ascii="Times New Roman" w:hAnsi="Times New Roman" w:cs="Times New Roman"/>
          <w:sz w:val="24"/>
          <w:szCs w:val="24"/>
        </w:rPr>
        <w:t>RP cut</w:t>
      </w:r>
      <w:r w:rsidR="008964BD" w:rsidRPr="00AF7D9D">
        <w:rPr>
          <w:rFonts w:ascii="Times New Roman" w:hAnsi="Times New Roman" w:cs="Times New Roman"/>
          <w:sz w:val="24"/>
          <w:szCs w:val="24"/>
        </w:rPr>
        <w:t>-off</w:t>
      </w:r>
      <w:r w:rsidR="00DB3DDB" w:rsidRPr="00AF7D9D">
        <w:rPr>
          <w:rFonts w:ascii="Times New Roman" w:hAnsi="Times New Roman" w:cs="Times New Roman"/>
          <w:sz w:val="24"/>
          <w:szCs w:val="24"/>
        </w:rPr>
        <w:t xml:space="preserve"> scores for profile validity, indicating that a broad range of YPI-S scores can produce the same problematic degree of inconsistent respo</w:t>
      </w:r>
      <w:r w:rsidR="00641C2C" w:rsidRPr="00AF7D9D">
        <w:rPr>
          <w:rFonts w:ascii="Times New Roman" w:hAnsi="Times New Roman" w:cs="Times New Roman"/>
          <w:sz w:val="24"/>
          <w:szCs w:val="24"/>
        </w:rPr>
        <w:t>nding. In summary, use of the DI</w:t>
      </w:r>
      <w:r w:rsidR="00DB3DDB" w:rsidRPr="00AF7D9D">
        <w:rPr>
          <w:rFonts w:ascii="Times New Roman" w:hAnsi="Times New Roman" w:cs="Times New Roman"/>
          <w:sz w:val="24"/>
          <w:szCs w:val="24"/>
        </w:rPr>
        <w:t xml:space="preserve">RP </w:t>
      </w:r>
      <w:r w:rsidR="00867928" w:rsidRPr="00AF7D9D">
        <w:rPr>
          <w:rFonts w:ascii="Times New Roman" w:hAnsi="Times New Roman" w:cs="Times New Roman"/>
          <w:sz w:val="24"/>
          <w:szCs w:val="24"/>
        </w:rPr>
        <w:t xml:space="preserve">should </w:t>
      </w:r>
      <w:r w:rsidR="00DB3DDB" w:rsidRPr="00AF7D9D">
        <w:rPr>
          <w:rFonts w:ascii="Times New Roman" w:hAnsi="Times New Roman" w:cs="Times New Roman"/>
          <w:sz w:val="24"/>
          <w:szCs w:val="24"/>
        </w:rPr>
        <w:t xml:space="preserve">not </w:t>
      </w:r>
      <w:r w:rsidR="002225AD" w:rsidRPr="00AF7D9D">
        <w:rPr>
          <w:rFonts w:ascii="Times New Roman" w:hAnsi="Times New Roman" w:cs="Times New Roman"/>
          <w:sz w:val="24"/>
          <w:szCs w:val="24"/>
        </w:rPr>
        <w:t>automatically</w:t>
      </w:r>
      <w:r w:rsidR="00DB3DDB" w:rsidRPr="00AF7D9D">
        <w:rPr>
          <w:rFonts w:ascii="Times New Roman" w:hAnsi="Times New Roman" w:cs="Times New Roman"/>
          <w:sz w:val="24"/>
          <w:szCs w:val="24"/>
        </w:rPr>
        <w:t xml:space="preserve"> misclassify</w:t>
      </w:r>
      <w:r w:rsidR="002657E5" w:rsidRPr="00AF7D9D">
        <w:rPr>
          <w:rFonts w:ascii="Times New Roman" w:hAnsi="Times New Roman" w:cs="Times New Roman"/>
          <w:sz w:val="24"/>
          <w:szCs w:val="24"/>
        </w:rPr>
        <w:t xml:space="preserve"> genuinely psychopathic participants as inconsistent responders</w:t>
      </w:r>
      <w:r w:rsidR="00DB3DDB" w:rsidRPr="00AF7D9D">
        <w:rPr>
          <w:rFonts w:ascii="Times New Roman" w:hAnsi="Times New Roman" w:cs="Times New Roman"/>
          <w:sz w:val="24"/>
          <w:szCs w:val="24"/>
        </w:rPr>
        <w:t xml:space="preserve">. </w:t>
      </w:r>
    </w:p>
    <w:p w14:paraId="6585A331" w14:textId="10B8AF0B" w:rsidR="00372DF4" w:rsidRPr="00AF7D9D" w:rsidRDefault="00B251F6" w:rsidP="00B9020F">
      <w:pPr>
        <w:spacing w:after="0" w:line="480" w:lineRule="auto"/>
        <w:rPr>
          <w:rFonts w:ascii="Times New Roman" w:hAnsi="Times New Roman" w:cs="Times New Roman"/>
          <w:sz w:val="24"/>
          <w:szCs w:val="24"/>
        </w:rPr>
      </w:pPr>
      <w:r w:rsidRPr="00AF7D9D">
        <w:rPr>
          <w:rFonts w:ascii="Times New Roman" w:hAnsi="Times New Roman" w:cs="Times New Roman"/>
          <w:sz w:val="24"/>
          <w:szCs w:val="24"/>
        </w:rPr>
        <w:tab/>
      </w:r>
      <w:r w:rsidR="00FE69EA" w:rsidRPr="00AF7D9D">
        <w:rPr>
          <w:rFonts w:ascii="Times New Roman" w:hAnsi="Times New Roman" w:cs="Times New Roman"/>
          <w:sz w:val="24"/>
          <w:szCs w:val="24"/>
        </w:rPr>
        <w:t>This measure of response inconsistency represents one of many techniques for identifying inattentive respondents, and would optima</w:t>
      </w:r>
      <w:r w:rsidR="00E57CAF" w:rsidRPr="00AF7D9D">
        <w:rPr>
          <w:rFonts w:ascii="Times New Roman" w:hAnsi="Times New Roman" w:cs="Times New Roman"/>
          <w:sz w:val="24"/>
          <w:szCs w:val="24"/>
        </w:rPr>
        <w:t xml:space="preserve">lly be used </w:t>
      </w:r>
      <w:r w:rsidR="00FE69EA" w:rsidRPr="00AF7D9D">
        <w:rPr>
          <w:rFonts w:ascii="Times New Roman" w:hAnsi="Times New Roman" w:cs="Times New Roman"/>
          <w:sz w:val="24"/>
          <w:szCs w:val="24"/>
        </w:rPr>
        <w:t>as part of an iterative screening process (Curran, 2016</w:t>
      </w:r>
      <w:r w:rsidR="00E57CAF" w:rsidRPr="00AF7D9D">
        <w:rPr>
          <w:rFonts w:ascii="Times New Roman" w:hAnsi="Times New Roman" w:cs="Times New Roman"/>
          <w:sz w:val="24"/>
          <w:szCs w:val="24"/>
        </w:rPr>
        <w:t>; Wood et al., 2017</w:t>
      </w:r>
      <w:r w:rsidR="00FE69EA" w:rsidRPr="00AF7D9D">
        <w:rPr>
          <w:rFonts w:ascii="Times New Roman" w:hAnsi="Times New Roman" w:cs="Times New Roman"/>
          <w:sz w:val="24"/>
          <w:szCs w:val="24"/>
        </w:rPr>
        <w:t>).</w:t>
      </w:r>
      <w:r w:rsidR="00E57CAF" w:rsidRPr="00AF7D9D">
        <w:rPr>
          <w:rFonts w:ascii="Times New Roman" w:hAnsi="Times New Roman" w:cs="Times New Roman"/>
          <w:sz w:val="24"/>
          <w:szCs w:val="24"/>
        </w:rPr>
        <w:t xml:space="preserve"> For example, Wood and colleagues advocate for a two-step system that removes participants responding unrealistically rapidly and those demonstrating excessive inconsistency. </w:t>
      </w:r>
      <w:r w:rsidR="00E2228A" w:rsidRPr="00AF7D9D">
        <w:rPr>
          <w:rFonts w:ascii="Times New Roman" w:hAnsi="Times New Roman" w:cs="Times New Roman"/>
          <w:sz w:val="24"/>
          <w:szCs w:val="24"/>
        </w:rPr>
        <w:t>Despite the association between response speed and consistency, there are undoubtedly times when someone trying to complete the measure as quickly as possible appears consistent (e.g., fixed responding) and times when someone answering items carelessly does so rather slowly. The use of</w:t>
      </w:r>
      <w:r w:rsidR="00E57CAF" w:rsidRPr="00AF7D9D">
        <w:rPr>
          <w:rFonts w:ascii="Times New Roman" w:hAnsi="Times New Roman" w:cs="Times New Roman"/>
          <w:sz w:val="24"/>
          <w:szCs w:val="24"/>
        </w:rPr>
        <w:t xml:space="preserve"> </w:t>
      </w:r>
      <w:r w:rsidR="00E2228A" w:rsidRPr="00AF7D9D">
        <w:rPr>
          <w:rFonts w:ascii="Times New Roman" w:hAnsi="Times New Roman" w:cs="Times New Roman"/>
          <w:sz w:val="24"/>
          <w:szCs w:val="24"/>
        </w:rPr>
        <w:t>multiple</w:t>
      </w:r>
      <w:r w:rsidR="00E57CAF" w:rsidRPr="00AF7D9D">
        <w:rPr>
          <w:rFonts w:ascii="Times New Roman" w:hAnsi="Times New Roman" w:cs="Times New Roman"/>
          <w:sz w:val="24"/>
          <w:szCs w:val="24"/>
        </w:rPr>
        <w:t xml:space="preserve"> </w:t>
      </w:r>
      <w:r w:rsidR="00DE25F2" w:rsidRPr="00AF7D9D">
        <w:rPr>
          <w:rFonts w:ascii="Times New Roman" w:hAnsi="Times New Roman" w:cs="Times New Roman"/>
          <w:sz w:val="24"/>
          <w:szCs w:val="24"/>
        </w:rPr>
        <w:t xml:space="preserve">screening approaches </w:t>
      </w:r>
      <w:r w:rsidR="00E57CAF" w:rsidRPr="00AF7D9D">
        <w:rPr>
          <w:rFonts w:ascii="Times New Roman" w:hAnsi="Times New Roman" w:cs="Times New Roman"/>
          <w:sz w:val="24"/>
          <w:szCs w:val="24"/>
        </w:rPr>
        <w:t xml:space="preserve">with </w:t>
      </w:r>
      <w:r w:rsidR="00E2228A" w:rsidRPr="00AF7D9D">
        <w:rPr>
          <w:rFonts w:ascii="Times New Roman" w:hAnsi="Times New Roman" w:cs="Times New Roman"/>
          <w:sz w:val="24"/>
          <w:szCs w:val="24"/>
        </w:rPr>
        <w:t xml:space="preserve">more </w:t>
      </w:r>
      <w:r w:rsidR="00E57CAF" w:rsidRPr="00AF7D9D">
        <w:rPr>
          <w:rFonts w:ascii="Times New Roman" w:hAnsi="Times New Roman" w:cs="Times New Roman"/>
          <w:sz w:val="24"/>
          <w:szCs w:val="24"/>
        </w:rPr>
        <w:t>conservative cut</w:t>
      </w:r>
      <w:r w:rsidR="000B6BC7" w:rsidRPr="00AF7D9D">
        <w:rPr>
          <w:rFonts w:ascii="Times New Roman" w:hAnsi="Times New Roman" w:cs="Times New Roman"/>
          <w:sz w:val="24"/>
          <w:szCs w:val="24"/>
        </w:rPr>
        <w:t>-off</w:t>
      </w:r>
      <w:r w:rsidR="00E57CAF" w:rsidRPr="00AF7D9D">
        <w:rPr>
          <w:rFonts w:ascii="Times New Roman" w:hAnsi="Times New Roman" w:cs="Times New Roman"/>
          <w:sz w:val="24"/>
          <w:szCs w:val="24"/>
        </w:rPr>
        <w:t xml:space="preserve"> scores </w:t>
      </w:r>
      <w:r w:rsidR="00DE25F2" w:rsidRPr="00AF7D9D">
        <w:rPr>
          <w:rFonts w:ascii="Times New Roman" w:hAnsi="Times New Roman" w:cs="Times New Roman"/>
          <w:sz w:val="24"/>
          <w:szCs w:val="24"/>
        </w:rPr>
        <w:t xml:space="preserve">for invalidity </w:t>
      </w:r>
      <w:r w:rsidR="00E2228A" w:rsidRPr="00AF7D9D">
        <w:rPr>
          <w:rFonts w:ascii="Times New Roman" w:hAnsi="Times New Roman" w:cs="Times New Roman"/>
          <w:sz w:val="24"/>
          <w:szCs w:val="24"/>
        </w:rPr>
        <w:t>minimizes the</w:t>
      </w:r>
      <w:r w:rsidR="00DE25F2" w:rsidRPr="00AF7D9D">
        <w:rPr>
          <w:rFonts w:ascii="Times New Roman" w:hAnsi="Times New Roman" w:cs="Times New Roman"/>
          <w:sz w:val="24"/>
          <w:szCs w:val="24"/>
        </w:rPr>
        <w:t xml:space="preserve"> danger of excluding valid data while supporting greater detection of clearly problematic respon</w:t>
      </w:r>
      <w:r w:rsidR="000B6BC7" w:rsidRPr="00AF7D9D">
        <w:rPr>
          <w:rFonts w:ascii="Times New Roman" w:hAnsi="Times New Roman" w:cs="Times New Roman"/>
          <w:sz w:val="24"/>
          <w:szCs w:val="24"/>
        </w:rPr>
        <w:t>dents</w:t>
      </w:r>
      <w:r w:rsidR="00DE25F2" w:rsidRPr="00AF7D9D">
        <w:rPr>
          <w:rFonts w:ascii="Times New Roman" w:hAnsi="Times New Roman" w:cs="Times New Roman"/>
          <w:sz w:val="24"/>
          <w:szCs w:val="24"/>
        </w:rPr>
        <w:t>, and is not overly burdensome.</w:t>
      </w:r>
    </w:p>
    <w:p w14:paraId="52D26F28" w14:textId="0BCDDA36" w:rsidR="00A4558F" w:rsidRPr="00AF7D9D" w:rsidRDefault="00B9020F" w:rsidP="001D594D">
      <w:pPr>
        <w:spacing w:after="0" w:line="480" w:lineRule="auto"/>
        <w:ind w:firstLine="720"/>
        <w:rPr>
          <w:rFonts w:ascii="Times New Roman" w:hAnsi="Times New Roman" w:cs="Times New Roman"/>
          <w:sz w:val="24"/>
          <w:szCs w:val="24"/>
        </w:rPr>
      </w:pPr>
      <w:r w:rsidRPr="00AF7D9D">
        <w:rPr>
          <w:rFonts w:ascii="Times New Roman" w:hAnsi="Times New Roman" w:cs="Times New Roman"/>
          <w:sz w:val="24"/>
          <w:szCs w:val="24"/>
        </w:rPr>
        <w:lastRenderedPageBreak/>
        <w:t xml:space="preserve">What </w:t>
      </w:r>
      <w:r w:rsidR="00A740B1" w:rsidRPr="00AF7D9D">
        <w:rPr>
          <w:rFonts w:ascii="Times New Roman" w:hAnsi="Times New Roman" w:cs="Times New Roman"/>
          <w:sz w:val="24"/>
          <w:szCs w:val="24"/>
        </w:rPr>
        <w:t>actions follow identification of inconsistent responding</w:t>
      </w:r>
      <w:r w:rsidRPr="00AF7D9D">
        <w:rPr>
          <w:rFonts w:ascii="Times New Roman" w:hAnsi="Times New Roman" w:cs="Times New Roman"/>
          <w:sz w:val="24"/>
          <w:szCs w:val="24"/>
        </w:rPr>
        <w:t xml:space="preserve">? </w:t>
      </w:r>
      <w:r w:rsidR="00323BFE" w:rsidRPr="00AF7D9D">
        <w:rPr>
          <w:rFonts w:ascii="Times New Roman" w:hAnsi="Times New Roman" w:cs="Times New Roman"/>
          <w:sz w:val="24"/>
          <w:szCs w:val="24"/>
        </w:rPr>
        <w:t xml:space="preserve">Because careless responding threatens the fidelity of research in numerous ways, as previously described, </w:t>
      </w:r>
      <w:r w:rsidR="00843C80" w:rsidRPr="00AF7D9D">
        <w:rPr>
          <w:rFonts w:ascii="Times New Roman" w:hAnsi="Times New Roman" w:cs="Times New Roman"/>
          <w:sz w:val="24"/>
          <w:szCs w:val="24"/>
        </w:rPr>
        <w:t xml:space="preserve">we would argue that </w:t>
      </w:r>
      <w:r w:rsidR="00323BFE" w:rsidRPr="00AF7D9D">
        <w:rPr>
          <w:rFonts w:ascii="Times New Roman" w:hAnsi="Times New Roman" w:cs="Times New Roman"/>
          <w:sz w:val="24"/>
          <w:szCs w:val="24"/>
        </w:rPr>
        <w:t xml:space="preserve">these participants </w:t>
      </w:r>
      <w:r w:rsidR="000874D4" w:rsidRPr="00AF7D9D">
        <w:rPr>
          <w:rFonts w:ascii="Times New Roman" w:hAnsi="Times New Roman" w:cs="Times New Roman"/>
          <w:sz w:val="24"/>
          <w:szCs w:val="24"/>
        </w:rPr>
        <w:t xml:space="preserve">ultimately </w:t>
      </w:r>
      <w:r w:rsidR="00843C80" w:rsidRPr="00AF7D9D">
        <w:rPr>
          <w:rFonts w:ascii="Times New Roman" w:hAnsi="Times New Roman" w:cs="Times New Roman"/>
          <w:sz w:val="24"/>
          <w:szCs w:val="24"/>
        </w:rPr>
        <w:t xml:space="preserve">should </w:t>
      </w:r>
      <w:r w:rsidR="000874D4" w:rsidRPr="00AF7D9D">
        <w:rPr>
          <w:rFonts w:ascii="Times New Roman" w:hAnsi="Times New Roman" w:cs="Times New Roman"/>
          <w:sz w:val="24"/>
          <w:szCs w:val="24"/>
        </w:rPr>
        <w:t>be removed</w:t>
      </w:r>
      <w:r w:rsidR="00323BFE" w:rsidRPr="00AF7D9D">
        <w:rPr>
          <w:rFonts w:ascii="Times New Roman" w:hAnsi="Times New Roman" w:cs="Times New Roman"/>
          <w:sz w:val="24"/>
          <w:szCs w:val="24"/>
        </w:rPr>
        <w:t xml:space="preserve"> from the dataset. Current</w:t>
      </w:r>
      <w:r w:rsidRPr="00AF7D9D">
        <w:rPr>
          <w:rFonts w:ascii="Times New Roman" w:hAnsi="Times New Roman" w:cs="Times New Roman"/>
          <w:sz w:val="24"/>
          <w:szCs w:val="24"/>
        </w:rPr>
        <w:t xml:space="preserve"> recommendations urge </w:t>
      </w:r>
      <w:r w:rsidR="00A740B1" w:rsidRPr="00AF7D9D">
        <w:rPr>
          <w:rFonts w:ascii="Times New Roman" w:hAnsi="Times New Roman" w:cs="Times New Roman"/>
          <w:sz w:val="24"/>
          <w:szCs w:val="24"/>
        </w:rPr>
        <w:t>analysis of</w:t>
      </w:r>
      <w:r w:rsidRPr="00AF7D9D">
        <w:rPr>
          <w:rFonts w:ascii="Times New Roman" w:hAnsi="Times New Roman" w:cs="Times New Roman"/>
          <w:sz w:val="24"/>
          <w:szCs w:val="24"/>
        </w:rPr>
        <w:t xml:space="preserve"> the data before and after cleaning </w:t>
      </w:r>
      <w:r w:rsidR="00163528" w:rsidRPr="00AF7D9D">
        <w:rPr>
          <w:rFonts w:ascii="Times New Roman" w:hAnsi="Times New Roman" w:cs="Times New Roman"/>
          <w:sz w:val="24"/>
          <w:szCs w:val="24"/>
        </w:rPr>
        <w:t>to provide a</w:t>
      </w:r>
      <w:r w:rsidR="00A740B1" w:rsidRPr="00AF7D9D">
        <w:rPr>
          <w:rFonts w:ascii="Times New Roman" w:hAnsi="Times New Roman" w:cs="Times New Roman"/>
          <w:sz w:val="24"/>
          <w:szCs w:val="24"/>
        </w:rPr>
        <w:t xml:space="preserve"> </w:t>
      </w:r>
      <w:r w:rsidRPr="00AF7D9D">
        <w:rPr>
          <w:rFonts w:ascii="Times New Roman" w:hAnsi="Times New Roman" w:cs="Times New Roman"/>
          <w:sz w:val="24"/>
          <w:szCs w:val="24"/>
        </w:rPr>
        <w:t>comparis</w:t>
      </w:r>
      <w:r w:rsidR="00A740B1" w:rsidRPr="00AF7D9D">
        <w:rPr>
          <w:rFonts w:ascii="Times New Roman" w:hAnsi="Times New Roman" w:cs="Times New Roman"/>
          <w:sz w:val="24"/>
          <w:szCs w:val="24"/>
        </w:rPr>
        <w:t>on of</w:t>
      </w:r>
      <w:r w:rsidR="00163528" w:rsidRPr="00AF7D9D">
        <w:rPr>
          <w:rFonts w:ascii="Times New Roman" w:hAnsi="Times New Roman" w:cs="Times New Roman"/>
          <w:sz w:val="24"/>
          <w:szCs w:val="24"/>
        </w:rPr>
        <w:t xml:space="preserve"> findings </w:t>
      </w:r>
      <w:r w:rsidRPr="00AF7D9D">
        <w:rPr>
          <w:rFonts w:ascii="Times New Roman" w:hAnsi="Times New Roman" w:cs="Times New Roman"/>
          <w:sz w:val="24"/>
          <w:szCs w:val="24"/>
        </w:rPr>
        <w:t>(Curran, 2016; Wood e</w:t>
      </w:r>
      <w:r w:rsidR="000874D4" w:rsidRPr="00AF7D9D">
        <w:rPr>
          <w:rFonts w:ascii="Times New Roman" w:hAnsi="Times New Roman" w:cs="Times New Roman"/>
          <w:sz w:val="24"/>
          <w:szCs w:val="24"/>
        </w:rPr>
        <w:t xml:space="preserve">t al., 2017). </w:t>
      </w:r>
      <w:r w:rsidR="00724755" w:rsidRPr="00AF7D9D">
        <w:rPr>
          <w:rFonts w:ascii="Times New Roman" w:hAnsi="Times New Roman" w:cs="Times New Roman"/>
          <w:sz w:val="24"/>
          <w:szCs w:val="24"/>
        </w:rPr>
        <w:t xml:space="preserve">Researchers may also wish to pre-register their analytic plans and decisions rules for identifying and handling inconsistent responding to reduce the possibility of selecting procedures based on the results of different approaches. </w:t>
      </w:r>
      <w:r w:rsidR="000874D4" w:rsidRPr="00AF7D9D">
        <w:rPr>
          <w:rFonts w:ascii="Times New Roman" w:hAnsi="Times New Roman" w:cs="Times New Roman"/>
          <w:sz w:val="24"/>
          <w:szCs w:val="24"/>
        </w:rPr>
        <w:t>These preliminary investigations can contribute key knowledge about the effect of inconsistent respond</w:t>
      </w:r>
      <w:r w:rsidR="00724755" w:rsidRPr="00AF7D9D">
        <w:rPr>
          <w:rFonts w:ascii="Times New Roman" w:hAnsi="Times New Roman" w:cs="Times New Roman"/>
          <w:sz w:val="24"/>
          <w:szCs w:val="24"/>
        </w:rPr>
        <w:t>ing on analyses, as might re-examination of</w:t>
      </w:r>
      <w:r w:rsidR="004521F5" w:rsidRPr="00AF7D9D">
        <w:rPr>
          <w:rFonts w:ascii="Times New Roman" w:hAnsi="Times New Roman" w:cs="Times New Roman"/>
          <w:sz w:val="24"/>
          <w:szCs w:val="24"/>
        </w:rPr>
        <w:t xml:space="preserve"> archival </w:t>
      </w:r>
      <w:r w:rsidR="00724755" w:rsidRPr="00AF7D9D">
        <w:rPr>
          <w:rFonts w:ascii="Times New Roman" w:hAnsi="Times New Roman" w:cs="Times New Roman"/>
          <w:sz w:val="24"/>
          <w:szCs w:val="24"/>
        </w:rPr>
        <w:t xml:space="preserve">YPI-S </w:t>
      </w:r>
      <w:r w:rsidR="004521F5" w:rsidRPr="00AF7D9D">
        <w:rPr>
          <w:rFonts w:ascii="Times New Roman" w:hAnsi="Times New Roman" w:cs="Times New Roman"/>
          <w:sz w:val="24"/>
          <w:szCs w:val="24"/>
        </w:rPr>
        <w:t>dat</w:t>
      </w:r>
      <w:r w:rsidR="00641C2C" w:rsidRPr="00AF7D9D">
        <w:rPr>
          <w:rFonts w:ascii="Times New Roman" w:hAnsi="Times New Roman" w:cs="Times New Roman"/>
          <w:sz w:val="24"/>
          <w:szCs w:val="24"/>
        </w:rPr>
        <w:t>a sets using the DI</w:t>
      </w:r>
      <w:r w:rsidR="004521F5" w:rsidRPr="00AF7D9D">
        <w:rPr>
          <w:rFonts w:ascii="Times New Roman" w:hAnsi="Times New Roman" w:cs="Times New Roman"/>
          <w:sz w:val="24"/>
          <w:szCs w:val="24"/>
        </w:rPr>
        <w:t>RP</w:t>
      </w:r>
      <w:r w:rsidR="00724755" w:rsidRPr="00AF7D9D">
        <w:rPr>
          <w:rFonts w:ascii="Times New Roman" w:hAnsi="Times New Roman" w:cs="Times New Roman"/>
          <w:sz w:val="24"/>
          <w:szCs w:val="24"/>
        </w:rPr>
        <w:t>, particularly when previously reported findings</w:t>
      </w:r>
      <w:r w:rsidR="0006771A" w:rsidRPr="00AF7D9D">
        <w:rPr>
          <w:rFonts w:ascii="Times New Roman" w:hAnsi="Times New Roman" w:cs="Times New Roman"/>
          <w:sz w:val="24"/>
          <w:szCs w:val="24"/>
        </w:rPr>
        <w:t xml:space="preserve"> were contrary to expectations. </w:t>
      </w:r>
      <w:r w:rsidR="0081020F" w:rsidRPr="00AF7D9D">
        <w:rPr>
          <w:rFonts w:ascii="Times New Roman" w:hAnsi="Times New Roman" w:cs="Times New Roman"/>
          <w:sz w:val="24"/>
          <w:szCs w:val="24"/>
        </w:rPr>
        <w:t xml:space="preserve">For clinical purposes, </w:t>
      </w:r>
      <w:r w:rsidR="00DA6A8E" w:rsidRPr="00AF7D9D">
        <w:rPr>
          <w:rFonts w:ascii="Times New Roman" w:hAnsi="Times New Roman" w:cs="Times New Roman"/>
          <w:sz w:val="24"/>
          <w:szCs w:val="24"/>
        </w:rPr>
        <w:t>evaluators may address problematic response style by re-administering the measure, when appropriate, or by augmenting the battery with a</w:t>
      </w:r>
      <w:r w:rsidR="00843C80" w:rsidRPr="00AF7D9D">
        <w:rPr>
          <w:rFonts w:ascii="Times New Roman" w:hAnsi="Times New Roman" w:cs="Times New Roman"/>
          <w:sz w:val="24"/>
          <w:szCs w:val="24"/>
        </w:rPr>
        <w:t>nother</w:t>
      </w:r>
      <w:r w:rsidR="00DA6A8E" w:rsidRPr="00AF7D9D">
        <w:rPr>
          <w:rFonts w:ascii="Times New Roman" w:hAnsi="Times New Roman" w:cs="Times New Roman"/>
          <w:sz w:val="24"/>
          <w:szCs w:val="24"/>
        </w:rPr>
        <w:t xml:space="preserve"> measure that </w:t>
      </w:r>
      <w:r w:rsidR="000B6BC7" w:rsidRPr="00AF7D9D">
        <w:rPr>
          <w:rFonts w:ascii="Times New Roman" w:hAnsi="Times New Roman" w:cs="Times New Roman"/>
          <w:sz w:val="24"/>
          <w:szCs w:val="24"/>
        </w:rPr>
        <w:t xml:space="preserve">is expected to </w:t>
      </w:r>
      <w:r w:rsidR="00DA6A8E" w:rsidRPr="00AF7D9D">
        <w:rPr>
          <w:rFonts w:ascii="Times New Roman" w:hAnsi="Times New Roman" w:cs="Times New Roman"/>
          <w:sz w:val="24"/>
          <w:szCs w:val="24"/>
        </w:rPr>
        <w:t xml:space="preserve">provide generally convergent information. </w:t>
      </w:r>
    </w:p>
    <w:p w14:paraId="662836AE" w14:textId="3E10C8A7" w:rsidR="002225AD" w:rsidRPr="00AF7D9D" w:rsidRDefault="00DA6A8E" w:rsidP="00E6001B">
      <w:pPr>
        <w:spacing w:after="0" w:line="480" w:lineRule="auto"/>
        <w:ind w:firstLine="720"/>
        <w:rPr>
          <w:rFonts w:ascii="Times New Roman" w:hAnsi="Times New Roman" w:cs="Times New Roman"/>
          <w:sz w:val="24"/>
          <w:szCs w:val="24"/>
        </w:rPr>
      </w:pPr>
      <w:r w:rsidRPr="00AF7D9D">
        <w:rPr>
          <w:rFonts w:ascii="Times New Roman" w:hAnsi="Times New Roman" w:cs="Times New Roman"/>
          <w:sz w:val="24"/>
          <w:szCs w:val="24"/>
        </w:rPr>
        <w:t>Of note, inconsistency scores on the YPI-S provide no information outright concerning the source</w:t>
      </w:r>
      <w:r w:rsidR="00F15257" w:rsidRPr="00AF7D9D">
        <w:rPr>
          <w:rFonts w:ascii="Times New Roman" w:hAnsi="Times New Roman" w:cs="Times New Roman"/>
          <w:sz w:val="24"/>
          <w:szCs w:val="24"/>
        </w:rPr>
        <w:t xml:space="preserve"> </w:t>
      </w:r>
      <w:r w:rsidRPr="00AF7D9D">
        <w:rPr>
          <w:rFonts w:ascii="Times New Roman" w:hAnsi="Times New Roman" w:cs="Times New Roman"/>
          <w:sz w:val="24"/>
          <w:szCs w:val="24"/>
        </w:rPr>
        <w:t xml:space="preserve">or </w:t>
      </w:r>
      <w:r w:rsidR="00F15257" w:rsidRPr="00AF7D9D">
        <w:rPr>
          <w:rFonts w:ascii="Times New Roman" w:hAnsi="Times New Roman" w:cs="Times New Roman"/>
          <w:sz w:val="24"/>
          <w:szCs w:val="24"/>
        </w:rPr>
        <w:t xml:space="preserve">pervasiveness of inconsistent responding across different parts of a survey or assessment battery. </w:t>
      </w:r>
      <w:r w:rsidR="00641C2C" w:rsidRPr="00AF7D9D">
        <w:rPr>
          <w:rFonts w:ascii="Times New Roman" w:hAnsi="Times New Roman" w:cs="Times New Roman"/>
          <w:sz w:val="24"/>
          <w:szCs w:val="24"/>
        </w:rPr>
        <w:t>Elevations on the DI</w:t>
      </w:r>
      <w:r w:rsidRPr="00AF7D9D">
        <w:rPr>
          <w:rFonts w:ascii="Times New Roman" w:hAnsi="Times New Roman" w:cs="Times New Roman"/>
          <w:sz w:val="24"/>
          <w:szCs w:val="24"/>
        </w:rPr>
        <w:t xml:space="preserve">RP certainly raise concerns about the validity of other instruments from the same administration; however, these scores are not necessarily indicative of problematic responding beyond the YPI-S because respondent attention and motivation can varying throughout a </w:t>
      </w:r>
      <w:r w:rsidR="0085182A" w:rsidRPr="00AF7D9D">
        <w:rPr>
          <w:rFonts w:ascii="Times New Roman" w:hAnsi="Times New Roman" w:cs="Times New Roman"/>
          <w:sz w:val="24"/>
          <w:szCs w:val="24"/>
        </w:rPr>
        <w:t xml:space="preserve">testing </w:t>
      </w:r>
      <w:r w:rsidRPr="00AF7D9D">
        <w:rPr>
          <w:rFonts w:ascii="Times New Roman" w:hAnsi="Times New Roman" w:cs="Times New Roman"/>
          <w:sz w:val="24"/>
          <w:szCs w:val="24"/>
        </w:rPr>
        <w:t>session. When conducting an evaluation, closer inspection of examinee responses may uncover a specific source of inconsistency (e.g., poor reading or language comprehension, response sheet misalignment) from which to gauge the pervasiveness of inv</w:t>
      </w:r>
      <w:r w:rsidR="002225AD" w:rsidRPr="00AF7D9D">
        <w:rPr>
          <w:rFonts w:ascii="Times New Roman" w:hAnsi="Times New Roman" w:cs="Times New Roman"/>
          <w:sz w:val="24"/>
          <w:szCs w:val="24"/>
        </w:rPr>
        <w:t>alidity and guide</w:t>
      </w:r>
      <w:r w:rsidR="0085182A" w:rsidRPr="00AF7D9D">
        <w:rPr>
          <w:rFonts w:ascii="Times New Roman" w:hAnsi="Times New Roman" w:cs="Times New Roman"/>
          <w:sz w:val="24"/>
          <w:szCs w:val="24"/>
        </w:rPr>
        <w:t xml:space="preserve"> </w:t>
      </w:r>
      <w:r w:rsidRPr="00AF7D9D">
        <w:rPr>
          <w:rFonts w:ascii="Times New Roman" w:hAnsi="Times New Roman" w:cs="Times New Roman"/>
          <w:sz w:val="24"/>
          <w:szCs w:val="24"/>
        </w:rPr>
        <w:t xml:space="preserve">adjustments to further assessments. Decisions about interpreting other measures and continuing testing with or without modifications may also benefit from providing </w:t>
      </w:r>
      <w:r w:rsidRPr="00AF7D9D">
        <w:rPr>
          <w:rFonts w:ascii="Times New Roman" w:hAnsi="Times New Roman" w:cs="Times New Roman"/>
          <w:sz w:val="24"/>
          <w:szCs w:val="24"/>
        </w:rPr>
        <w:lastRenderedPageBreak/>
        <w:t xml:space="preserve">feedback to the examinee, inquiring about possible causes of inconsistency, and discussing </w:t>
      </w:r>
      <w:r w:rsidR="002225AD" w:rsidRPr="00AF7D9D">
        <w:rPr>
          <w:rFonts w:ascii="Times New Roman" w:hAnsi="Times New Roman" w:cs="Times New Roman"/>
          <w:sz w:val="24"/>
          <w:szCs w:val="24"/>
        </w:rPr>
        <w:t xml:space="preserve">with the examinee </w:t>
      </w:r>
      <w:r w:rsidRPr="00AF7D9D">
        <w:rPr>
          <w:rFonts w:ascii="Times New Roman" w:hAnsi="Times New Roman" w:cs="Times New Roman"/>
          <w:sz w:val="24"/>
          <w:szCs w:val="24"/>
        </w:rPr>
        <w:t xml:space="preserve">the importance of providing attentive and </w:t>
      </w:r>
      <w:r w:rsidR="00C211E1" w:rsidRPr="00AF7D9D">
        <w:rPr>
          <w:rFonts w:ascii="Times New Roman" w:hAnsi="Times New Roman" w:cs="Times New Roman"/>
          <w:sz w:val="24"/>
          <w:szCs w:val="24"/>
        </w:rPr>
        <w:t xml:space="preserve">honest </w:t>
      </w:r>
      <w:r w:rsidRPr="00AF7D9D">
        <w:rPr>
          <w:rFonts w:ascii="Times New Roman" w:hAnsi="Times New Roman" w:cs="Times New Roman"/>
          <w:sz w:val="24"/>
          <w:szCs w:val="24"/>
        </w:rPr>
        <w:t>responses</w:t>
      </w:r>
      <w:r w:rsidR="002225AD" w:rsidRPr="00AF7D9D">
        <w:rPr>
          <w:rFonts w:ascii="Times New Roman" w:hAnsi="Times New Roman" w:cs="Times New Roman"/>
          <w:sz w:val="24"/>
          <w:szCs w:val="24"/>
        </w:rPr>
        <w:t>.</w:t>
      </w:r>
    </w:p>
    <w:p w14:paraId="7493C620" w14:textId="13288C17" w:rsidR="0056526D" w:rsidRPr="00AF7D9D" w:rsidRDefault="001F0602" w:rsidP="00E6001B">
      <w:pPr>
        <w:spacing w:after="0" w:line="480" w:lineRule="auto"/>
        <w:ind w:firstLine="720"/>
        <w:rPr>
          <w:rFonts w:ascii="Times New Roman" w:hAnsi="Times New Roman" w:cs="Times New Roman"/>
          <w:sz w:val="24"/>
          <w:szCs w:val="24"/>
        </w:rPr>
      </w:pPr>
      <w:r w:rsidRPr="00AF7D9D">
        <w:rPr>
          <w:rFonts w:ascii="Times New Roman" w:hAnsi="Times New Roman" w:cs="Times New Roman"/>
          <w:sz w:val="24"/>
          <w:szCs w:val="24"/>
        </w:rPr>
        <w:t>Collectively,</w:t>
      </w:r>
      <w:r w:rsidR="00372DF4" w:rsidRPr="00AF7D9D">
        <w:rPr>
          <w:rFonts w:ascii="Times New Roman" w:hAnsi="Times New Roman" w:cs="Times New Roman"/>
          <w:sz w:val="24"/>
          <w:szCs w:val="24"/>
        </w:rPr>
        <w:t xml:space="preserve"> results</w:t>
      </w:r>
      <w:r w:rsidRPr="00AF7D9D">
        <w:rPr>
          <w:rFonts w:ascii="Times New Roman" w:hAnsi="Times New Roman" w:cs="Times New Roman"/>
          <w:sz w:val="24"/>
          <w:szCs w:val="24"/>
        </w:rPr>
        <w:t xml:space="preserve"> from our validation approaches support the utili</w:t>
      </w:r>
      <w:r w:rsidR="00641C2C" w:rsidRPr="00AF7D9D">
        <w:rPr>
          <w:rFonts w:ascii="Times New Roman" w:hAnsi="Times New Roman" w:cs="Times New Roman"/>
          <w:sz w:val="24"/>
          <w:szCs w:val="24"/>
        </w:rPr>
        <w:t>ty of the DI</w:t>
      </w:r>
      <w:r w:rsidRPr="00AF7D9D">
        <w:rPr>
          <w:rFonts w:ascii="Times New Roman" w:hAnsi="Times New Roman" w:cs="Times New Roman"/>
          <w:sz w:val="24"/>
          <w:szCs w:val="24"/>
        </w:rPr>
        <w:t xml:space="preserve">RP for detecting </w:t>
      </w:r>
      <w:r w:rsidR="00FD21A4" w:rsidRPr="00AF7D9D">
        <w:rPr>
          <w:rFonts w:ascii="Times New Roman" w:hAnsi="Times New Roman" w:cs="Times New Roman"/>
          <w:sz w:val="24"/>
          <w:szCs w:val="24"/>
        </w:rPr>
        <w:t xml:space="preserve">excessive </w:t>
      </w:r>
      <w:r w:rsidRPr="00AF7D9D">
        <w:rPr>
          <w:rFonts w:ascii="Times New Roman" w:hAnsi="Times New Roman" w:cs="Times New Roman"/>
          <w:sz w:val="24"/>
          <w:szCs w:val="24"/>
        </w:rPr>
        <w:t xml:space="preserve">inconsistent responding </w:t>
      </w:r>
      <w:r w:rsidR="00372DF4" w:rsidRPr="00AF7D9D">
        <w:rPr>
          <w:rFonts w:ascii="Times New Roman" w:hAnsi="Times New Roman" w:cs="Times New Roman"/>
          <w:sz w:val="24"/>
          <w:szCs w:val="24"/>
        </w:rPr>
        <w:t xml:space="preserve">across multiple translations of the YPI-S (English, </w:t>
      </w:r>
      <w:r w:rsidR="00B4766A" w:rsidRPr="00AF7D9D">
        <w:rPr>
          <w:rFonts w:ascii="Times New Roman" w:hAnsi="Times New Roman" w:cs="Times New Roman"/>
          <w:sz w:val="24"/>
          <w:szCs w:val="24"/>
        </w:rPr>
        <w:t xml:space="preserve">German, </w:t>
      </w:r>
      <w:r w:rsidR="00372DF4" w:rsidRPr="00AF7D9D">
        <w:rPr>
          <w:rFonts w:ascii="Times New Roman" w:hAnsi="Times New Roman" w:cs="Times New Roman"/>
          <w:sz w:val="24"/>
          <w:szCs w:val="24"/>
        </w:rPr>
        <w:t>Italian, and Dutch), differing participant characteristics (juvenile offenders, adolescent students), and varying administration procedures. In addition, the psychometri</w:t>
      </w:r>
      <w:r w:rsidR="00641C2C" w:rsidRPr="00AF7D9D">
        <w:rPr>
          <w:rFonts w:ascii="Times New Roman" w:hAnsi="Times New Roman" w:cs="Times New Roman"/>
          <w:sz w:val="24"/>
          <w:szCs w:val="24"/>
        </w:rPr>
        <w:t>c properties observed for the DI</w:t>
      </w:r>
      <w:r w:rsidR="00372DF4" w:rsidRPr="00AF7D9D">
        <w:rPr>
          <w:rFonts w:ascii="Times New Roman" w:hAnsi="Times New Roman" w:cs="Times New Roman"/>
          <w:sz w:val="24"/>
          <w:szCs w:val="24"/>
        </w:rPr>
        <w:t>RP parallel findings from accumulating research on the development of inconsistency scales for measures of psychopathic traits using comparable methods and criteria for item pair selection (e.g., Kelley et al., 2016; Mowle et al., 2016; Penson et al., in press). Despite these strengths, further study is needed to address</w:t>
      </w:r>
      <w:r w:rsidR="00641C2C" w:rsidRPr="00AF7D9D">
        <w:rPr>
          <w:rFonts w:ascii="Times New Roman" w:hAnsi="Times New Roman" w:cs="Times New Roman"/>
          <w:sz w:val="24"/>
          <w:szCs w:val="24"/>
        </w:rPr>
        <w:t xml:space="preserve"> the performance of the DI</w:t>
      </w:r>
      <w:r w:rsidR="008418EA" w:rsidRPr="00AF7D9D">
        <w:rPr>
          <w:rFonts w:ascii="Times New Roman" w:hAnsi="Times New Roman" w:cs="Times New Roman"/>
          <w:sz w:val="24"/>
          <w:szCs w:val="24"/>
        </w:rPr>
        <w:t xml:space="preserve">RP under more diverse conditions. This may include, for example, investigation of the generalizability of our results to </w:t>
      </w:r>
      <w:r w:rsidR="00372DF4" w:rsidRPr="00AF7D9D">
        <w:rPr>
          <w:rFonts w:ascii="Times New Roman" w:hAnsi="Times New Roman" w:cs="Times New Roman"/>
          <w:sz w:val="24"/>
          <w:szCs w:val="24"/>
        </w:rPr>
        <w:t xml:space="preserve">other languages and cultures, particularly those outside the United States and Western Europe. </w:t>
      </w:r>
      <w:r w:rsidR="00641C2C" w:rsidRPr="00AF7D9D">
        <w:rPr>
          <w:rFonts w:ascii="Times New Roman" w:hAnsi="Times New Roman" w:cs="Times New Roman"/>
          <w:sz w:val="24"/>
          <w:szCs w:val="24"/>
        </w:rPr>
        <w:t>The utility of the DI</w:t>
      </w:r>
      <w:r w:rsidR="008418EA" w:rsidRPr="00AF7D9D">
        <w:rPr>
          <w:rFonts w:ascii="Times New Roman" w:hAnsi="Times New Roman" w:cs="Times New Roman"/>
          <w:sz w:val="24"/>
          <w:szCs w:val="24"/>
        </w:rPr>
        <w:t>RP among psychiatric populations and not yet adjudicated juvenile offenders requires future examination, as does the replicability of findings using different administration procedures (e.g., computer-administered)</w:t>
      </w:r>
      <w:r w:rsidR="00D768F5" w:rsidRPr="00AF7D9D">
        <w:rPr>
          <w:rFonts w:ascii="Times New Roman" w:hAnsi="Times New Roman" w:cs="Times New Roman"/>
          <w:sz w:val="24"/>
          <w:szCs w:val="24"/>
        </w:rPr>
        <w:t xml:space="preserve">. </w:t>
      </w:r>
    </w:p>
    <w:p w14:paraId="6424A871" w14:textId="75F3E19E" w:rsidR="0082688D" w:rsidRPr="00AF7D9D" w:rsidRDefault="00D768F5" w:rsidP="00E6001B">
      <w:pPr>
        <w:spacing w:after="0" w:line="480" w:lineRule="auto"/>
        <w:ind w:firstLine="720"/>
        <w:rPr>
          <w:rFonts w:ascii="Times New Roman" w:hAnsi="Times New Roman" w:cs="Times New Roman"/>
          <w:sz w:val="24"/>
          <w:szCs w:val="24"/>
        </w:rPr>
      </w:pPr>
      <w:r w:rsidRPr="00AF7D9D">
        <w:rPr>
          <w:rFonts w:ascii="Times New Roman" w:hAnsi="Times New Roman" w:cs="Times New Roman"/>
          <w:sz w:val="24"/>
          <w:szCs w:val="24"/>
        </w:rPr>
        <w:t>In parti</w:t>
      </w:r>
      <w:r w:rsidR="00641C2C" w:rsidRPr="00AF7D9D">
        <w:rPr>
          <w:rFonts w:ascii="Times New Roman" w:hAnsi="Times New Roman" w:cs="Times New Roman"/>
          <w:sz w:val="24"/>
          <w:szCs w:val="24"/>
        </w:rPr>
        <w:t>cular, the performance of the DI</w:t>
      </w:r>
      <w:r w:rsidRPr="00AF7D9D">
        <w:rPr>
          <w:rFonts w:ascii="Times New Roman" w:hAnsi="Times New Roman" w:cs="Times New Roman"/>
          <w:sz w:val="24"/>
          <w:szCs w:val="24"/>
        </w:rPr>
        <w:t>RP should be more broadly examined</w:t>
      </w:r>
      <w:r w:rsidR="008418EA" w:rsidRPr="00AF7D9D">
        <w:rPr>
          <w:rFonts w:ascii="Times New Roman" w:hAnsi="Times New Roman" w:cs="Times New Roman"/>
          <w:sz w:val="24"/>
          <w:szCs w:val="24"/>
        </w:rPr>
        <w:t xml:space="preserve"> for </w:t>
      </w:r>
      <w:r w:rsidRPr="00AF7D9D">
        <w:rPr>
          <w:rFonts w:ascii="Times New Roman" w:hAnsi="Times New Roman" w:cs="Times New Roman"/>
          <w:sz w:val="24"/>
          <w:szCs w:val="24"/>
        </w:rPr>
        <w:t xml:space="preserve">administrations of </w:t>
      </w:r>
      <w:r w:rsidR="008418EA" w:rsidRPr="00AF7D9D">
        <w:rPr>
          <w:rFonts w:ascii="Times New Roman" w:hAnsi="Times New Roman" w:cs="Times New Roman"/>
          <w:sz w:val="24"/>
          <w:szCs w:val="24"/>
        </w:rPr>
        <w:t>the YPI-S specifically, as opposed to extracting</w:t>
      </w:r>
      <w:r w:rsidR="00000F3E" w:rsidRPr="00AF7D9D">
        <w:rPr>
          <w:rFonts w:ascii="Times New Roman" w:hAnsi="Times New Roman" w:cs="Times New Roman"/>
          <w:sz w:val="24"/>
          <w:szCs w:val="24"/>
        </w:rPr>
        <w:t xml:space="preserve"> these</w:t>
      </w:r>
      <w:r w:rsidR="008418EA" w:rsidRPr="00AF7D9D">
        <w:rPr>
          <w:rFonts w:ascii="Times New Roman" w:hAnsi="Times New Roman" w:cs="Times New Roman"/>
          <w:sz w:val="24"/>
          <w:szCs w:val="24"/>
        </w:rPr>
        <w:t xml:space="preserve"> items for analysis from the full-length measure. </w:t>
      </w:r>
      <w:r w:rsidR="0056526D" w:rsidRPr="00AF7D9D">
        <w:rPr>
          <w:rFonts w:ascii="Times New Roman" w:hAnsi="Times New Roman" w:cs="Times New Roman"/>
          <w:sz w:val="24"/>
          <w:szCs w:val="24"/>
        </w:rPr>
        <w:t>W</w:t>
      </w:r>
      <w:r w:rsidR="00B457EF" w:rsidRPr="00AF7D9D">
        <w:rPr>
          <w:rFonts w:ascii="Times New Roman" w:hAnsi="Times New Roman" w:cs="Times New Roman"/>
          <w:sz w:val="24"/>
          <w:szCs w:val="24"/>
        </w:rPr>
        <w:t xml:space="preserve">e did not identify </w:t>
      </w:r>
      <w:r w:rsidR="0056526D" w:rsidRPr="00AF7D9D">
        <w:rPr>
          <w:rFonts w:ascii="Times New Roman" w:hAnsi="Times New Roman" w:cs="Times New Roman"/>
          <w:sz w:val="24"/>
          <w:szCs w:val="24"/>
        </w:rPr>
        <w:t xml:space="preserve">differences </w:t>
      </w:r>
      <w:r w:rsidR="0082688D" w:rsidRPr="00AF7D9D">
        <w:rPr>
          <w:rFonts w:ascii="Times New Roman" w:hAnsi="Times New Roman" w:cs="Times New Roman"/>
          <w:sz w:val="24"/>
          <w:szCs w:val="24"/>
        </w:rPr>
        <w:t xml:space="preserve">unique to our sample of Italian adolescents </w:t>
      </w:r>
      <w:r w:rsidR="00B457EF" w:rsidRPr="00AF7D9D">
        <w:rPr>
          <w:rFonts w:ascii="Times New Roman" w:hAnsi="Times New Roman" w:cs="Times New Roman"/>
          <w:sz w:val="24"/>
          <w:szCs w:val="24"/>
        </w:rPr>
        <w:t>to suggest that administration versus extraction of the YPI-S affects</w:t>
      </w:r>
      <w:r w:rsidR="0056526D" w:rsidRPr="00AF7D9D">
        <w:rPr>
          <w:rFonts w:ascii="Times New Roman" w:hAnsi="Times New Roman" w:cs="Times New Roman"/>
          <w:sz w:val="24"/>
          <w:szCs w:val="24"/>
        </w:rPr>
        <w:t xml:space="preserve"> the rate of inconsistent responding or </w:t>
      </w:r>
      <w:r w:rsidR="00B457EF" w:rsidRPr="00AF7D9D">
        <w:rPr>
          <w:rFonts w:ascii="Times New Roman" w:hAnsi="Times New Roman" w:cs="Times New Roman"/>
          <w:sz w:val="24"/>
          <w:szCs w:val="24"/>
        </w:rPr>
        <w:t>the utility</w:t>
      </w:r>
      <w:r w:rsidR="00641C2C" w:rsidRPr="00AF7D9D">
        <w:rPr>
          <w:rFonts w:ascii="Times New Roman" w:hAnsi="Times New Roman" w:cs="Times New Roman"/>
          <w:sz w:val="24"/>
          <w:szCs w:val="24"/>
        </w:rPr>
        <w:t xml:space="preserve"> of the DI</w:t>
      </w:r>
      <w:r w:rsidR="0056526D" w:rsidRPr="00AF7D9D">
        <w:rPr>
          <w:rFonts w:ascii="Times New Roman" w:hAnsi="Times New Roman" w:cs="Times New Roman"/>
          <w:sz w:val="24"/>
          <w:szCs w:val="24"/>
        </w:rPr>
        <w:t>RP</w:t>
      </w:r>
      <w:r w:rsidR="00B457EF" w:rsidRPr="00AF7D9D">
        <w:rPr>
          <w:rFonts w:ascii="Times New Roman" w:hAnsi="Times New Roman" w:cs="Times New Roman"/>
          <w:sz w:val="24"/>
          <w:szCs w:val="24"/>
        </w:rPr>
        <w:t>, although these comparisons are</w:t>
      </w:r>
      <w:r w:rsidR="0056526D" w:rsidRPr="00AF7D9D">
        <w:rPr>
          <w:rFonts w:ascii="Times New Roman" w:hAnsi="Times New Roman" w:cs="Times New Roman"/>
          <w:sz w:val="24"/>
          <w:szCs w:val="24"/>
        </w:rPr>
        <w:t xml:space="preserve"> confounded by culture, language, and </w:t>
      </w:r>
      <w:r w:rsidR="00B457EF" w:rsidRPr="00AF7D9D">
        <w:rPr>
          <w:rFonts w:ascii="Times New Roman" w:hAnsi="Times New Roman" w:cs="Times New Roman"/>
          <w:sz w:val="24"/>
          <w:szCs w:val="24"/>
        </w:rPr>
        <w:t xml:space="preserve">other </w:t>
      </w:r>
      <w:r w:rsidR="0056526D" w:rsidRPr="00AF7D9D">
        <w:rPr>
          <w:rFonts w:ascii="Times New Roman" w:hAnsi="Times New Roman" w:cs="Times New Roman"/>
          <w:sz w:val="24"/>
          <w:szCs w:val="24"/>
        </w:rPr>
        <w:t xml:space="preserve">administration procedures. </w:t>
      </w:r>
      <w:r w:rsidR="00AE447E" w:rsidRPr="00AF7D9D">
        <w:rPr>
          <w:rFonts w:ascii="Times New Roman" w:hAnsi="Times New Roman" w:cs="Times New Roman"/>
          <w:sz w:val="24"/>
          <w:szCs w:val="24"/>
        </w:rPr>
        <w:t xml:space="preserve">To determine the </w:t>
      </w:r>
      <w:r w:rsidR="0082688D" w:rsidRPr="00AF7D9D">
        <w:rPr>
          <w:rFonts w:ascii="Times New Roman" w:hAnsi="Times New Roman" w:cs="Times New Roman"/>
          <w:sz w:val="24"/>
          <w:szCs w:val="24"/>
        </w:rPr>
        <w:t>potential for</w:t>
      </w:r>
      <w:r w:rsidR="00AE447E" w:rsidRPr="00AF7D9D">
        <w:rPr>
          <w:rFonts w:ascii="Times New Roman" w:hAnsi="Times New Roman" w:cs="Times New Roman"/>
          <w:sz w:val="24"/>
          <w:szCs w:val="24"/>
        </w:rPr>
        <w:t xml:space="preserve"> any differences with greater certainty, f</w:t>
      </w:r>
      <w:r w:rsidR="00B457EF" w:rsidRPr="00AF7D9D">
        <w:rPr>
          <w:rFonts w:ascii="Times New Roman" w:hAnsi="Times New Roman" w:cs="Times New Roman"/>
          <w:sz w:val="24"/>
          <w:szCs w:val="24"/>
        </w:rPr>
        <w:t xml:space="preserve">uture </w:t>
      </w:r>
      <w:r w:rsidR="009B4ADC" w:rsidRPr="00AF7D9D">
        <w:rPr>
          <w:rFonts w:ascii="Times New Roman" w:hAnsi="Times New Roman" w:cs="Times New Roman"/>
          <w:sz w:val="24"/>
          <w:szCs w:val="24"/>
        </w:rPr>
        <w:t>studies must</w:t>
      </w:r>
      <w:r w:rsidR="00AE447E" w:rsidRPr="00AF7D9D">
        <w:rPr>
          <w:rFonts w:ascii="Times New Roman" w:hAnsi="Times New Roman" w:cs="Times New Roman"/>
          <w:sz w:val="24"/>
          <w:szCs w:val="24"/>
        </w:rPr>
        <w:t xml:space="preserve"> </w:t>
      </w:r>
      <w:r w:rsidR="009B4ADC" w:rsidRPr="00AF7D9D">
        <w:rPr>
          <w:rFonts w:ascii="Times New Roman" w:hAnsi="Times New Roman" w:cs="Times New Roman"/>
          <w:sz w:val="24"/>
          <w:szCs w:val="24"/>
        </w:rPr>
        <w:t>directly compare</w:t>
      </w:r>
      <w:r w:rsidR="00B457EF" w:rsidRPr="00AF7D9D">
        <w:rPr>
          <w:rFonts w:ascii="Times New Roman" w:hAnsi="Times New Roman" w:cs="Times New Roman"/>
          <w:sz w:val="24"/>
          <w:szCs w:val="24"/>
        </w:rPr>
        <w:t xml:space="preserve"> </w:t>
      </w:r>
      <w:r w:rsidR="00AE447E" w:rsidRPr="00AF7D9D">
        <w:rPr>
          <w:rFonts w:ascii="Times New Roman" w:hAnsi="Times New Roman" w:cs="Times New Roman"/>
          <w:sz w:val="24"/>
          <w:szCs w:val="24"/>
        </w:rPr>
        <w:t xml:space="preserve">these two </w:t>
      </w:r>
      <w:r w:rsidR="00641C2C" w:rsidRPr="00AF7D9D">
        <w:rPr>
          <w:rFonts w:ascii="Times New Roman" w:hAnsi="Times New Roman" w:cs="Times New Roman"/>
          <w:sz w:val="24"/>
          <w:szCs w:val="24"/>
        </w:rPr>
        <w:t>possible sources of the YPI-S/DI</w:t>
      </w:r>
      <w:r w:rsidR="00AE447E" w:rsidRPr="00AF7D9D">
        <w:rPr>
          <w:rFonts w:ascii="Times New Roman" w:hAnsi="Times New Roman" w:cs="Times New Roman"/>
          <w:sz w:val="24"/>
          <w:szCs w:val="24"/>
        </w:rPr>
        <w:t xml:space="preserve">RP using more equivalent samples. Relatedly, </w:t>
      </w:r>
      <w:r w:rsidR="0082688D" w:rsidRPr="00AF7D9D">
        <w:rPr>
          <w:rFonts w:ascii="Times New Roman" w:hAnsi="Times New Roman" w:cs="Times New Roman"/>
          <w:sz w:val="24"/>
          <w:szCs w:val="24"/>
        </w:rPr>
        <w:t>side-by-si</w:t>
      </w:r>
      <w:r w:rsidR="00641C2C" w:rsidRPr="00AF7D9D">
        <w:rPr>
          <w:rFonts w:ascii="Times New Roman" w:hAnsi="Times New Roman" w:cs="Times New Roman"/>
          <w:sz w:val="24"/>
          <w:szCs w:val="24"/>
        </w:rPr>
        <w:t xml:space="preserve">de investigation </w:t>
      </w:r>
      <w:r w:rsidR="00641C2C" w:rsidRPr="00AF7D9D">
        <w:rPr>
          <w:rFonts w:ascii="Times New Roman" w:hAnsi="Times New Roman" w:cs="Times New Roman"/>
          <w:sz w:val="24"/>
          <w:szCs w:val="24"/>
        </w:rPr>
        <w:lastRenderedPageBreak/>
        <w:t>of the YPI-S/DI</w:t>
      </w:r>
      <w:r w:rsidR="0082688D" w:rsidRPr="00AF7D9D">
        <w:rPr>
          <w:rFonts w:ascii="Times New Roman" w:hAnsi="Times New Roman" w:cs="Times New Roman"/>
          <w:sz w:val="24"/>
          <w:szCs w:val="24"/>
        </w:rPr>
        <w:t xml:space="preserve">RP and YPI/SPICIE may provide important insights concerning the influence of survey length on </w:t>
      </w:r>
      <w:r w:rsidR="009B4ADC" w:rsidRPr="00AF7D9D">
        <w:rPr>
          <w:rFonts w:ascii="Times New Roman" w:hAnsi="Times New Roman" w:cs="Times New Roman"/>
          <w:sz w:val="24"/>
          <w:szCs w:val="24"/>
        </w:rPr>
        <w:t>the presence and detection of response inconsistency</w:t>
      </w:r>
      <w:r w:rsidR="0082688D" w:rsidRPr="00AF7D9D">
        <w:rPr>
          <w:rFonts w:ascii="Times New Roman" w:hAnsi="Times New Roman" w:cs="Times New Roman"/>
          <w:sz w:val="24"/>
          <w:szCs w:val="24"/>
        </w:rPr>
        <w:t xml:space="preserve">. </w:t>
      </w:r>
      <w:r w:rsidR="00DA6A8E" w:rsidRPr="00AF7D9D">
        <w:rPr>
          <w:rFonts w:ascii="Times New Roman" w:hAnsi="Times New Roman" w:cs="Times New Roman"/>
          <w:sz w:val="24"/>
          <w:szCs w:val="24"/>
        </w:rPr>
        <w:t>Although there is accumulating research on the prevalence and identification of inconsistent responding, few studies have investigated antecedents of this response style, for example, by counterbalancing lengthy survey batteries or comparing short- and long-form versions to assess the impact of fatigue and boredom</w:t>
      </w:r>
      <w:r w:rsidR="00843C80" w:rsidRPr="00AF7D9D">
        <w:rPr>
          <w:rFonts w:ascii="Times New Roman" w:hAnsi="Times New Roman" w:cs="Times New Roman"/>
          <w:sz w:val="24"/>
          <w:szCs w:val="24"/>
        </w:rPr>
        <w:t>, particularly among adolescent samples</w:t>
      </w:r>
      <w:r w:rsidR="00DA6A8E" w:rsidRPr="00AF7D9D">
        <w:rPr>
          <w:rFonts w:ascii="Times New Roman" w:hAnsi="Times New Roman" w:cs="Times New Roman"/>
          <w:sz w:val="24"/>
          <w:szCs w:val="24"/>
        </w:rPr>
        <w:t xml:space="preserve">. </w:t>
      </w:r>
    </w:p>
    <w:p w14:paraId="6D5EE9C3" w14:textId="60F7D71A" w:rsidR="00FD21A4" w:rsidRPr="00AF7D9D" w:rsidRDefault="001D594D" w:rsidP="00E6001B">
      <w:pPr>
        <w:spacing w:after="0" w:line="480" w:lineRule="auto"/>
        <w:ind w:firstLine="720"/>
        <w:rPr>
          <w:rFonts w:ascii="Times New Roman" w:hAnsi="Times New Roman" w:cs="Times New Roman"/>
          <w:sz w:val="24"/>
          <w:szCs w:val="24"/>
        </w:rPr>
      </w:pPr>
      <w:r w:rsidRPr="00AF7D9D">
        <w:rPr>
          <w:rFonts w:ascii="Times New Roman" w:hAnsi="Times New Roman" w:cs="Times New Roman"/>
          <w:sz w:val="24"/>
          <w:szCs w:val="24"/>
        </w:rPr>
        <w:t>Other</w:t>
      </w:r>
      <w:r w:rsidR="000B6569" w:rsidRPr="00AF7D9D">
        <w:rPr>
          <w:rFonts w:ascii="Times New Roman" w:hAnsi="Times New Roman" w:cs="Times New Roman"/>
          <w:sz w:val="24"/>
          <w:szCs w:val="24"/>
        </w:rPr>
        <w:t xml:space="preserve"> methodological </w:t>
      </w:r>
      <w:r w:rsidRPr="00AF7D9D">
        <w:rPr>
          <w:rFonts w:ascii="Times New Roman" w:hAnsi="Times New Roman" w:cs="Times New Roman"/>
          <w:sz w:val="24"/>
          <w:szCs w:val="24"/>
        </w:rPr>
        <w:t>issues to highlight include</w:t>
      </w:r>
      <w:r w:rsidR="00185C89" w:rsidRPr="00AF7D9D">
        <w:rPr>
          <w:rFonts w:ascii="Times New Roman" w:hAnsi="Times New Roman" w:cs="Times New Roman"/>
          <w:sz w:val="24"/>
          <w:szCs w:val="24"/>
        </w:rPr>
        <w:t xml:space="preserve"> </w:t>
      </w:r>
      <w:r w:rsidRPr="00AF7D9D">
        <w:rPr>
          <w:rFonts w:ascii="Times New Roman" w:hAnsi="Times New Roman" w:cs="Times New Roman"/>
          <w:sz w:val="24"/>
          <w:szCs w:val="24"/>
        </w:rPr>
        <w:t>our removal of</w:t>
      </w:r>
      <w:r w:rsidR="00185C89" w:rsidRPr="00AF7D9D">
        <w:rPr>
          <w:rFonts w:ascii="Times New Roman" w:hAnsi="Times New Roman" w:cs="Times New Roman"/>
          <w:sz w:val="24"/>
          <w:szCs w:val="24"/>
        </w:rPr>
        <w:t xml:space="preserve"> participants with missing responses on the YPI-S prior to analyses, which raises the </w:t>
      </w:r>
      <w:r w:rsidR="00040B4B" w:rsidRPr="00AF7D9D">
        <w:rPr>
          <w:rFonts w:ascii="Times New Roman" w:hAnsi="Times New Roman" w:cs="Times New Roman"/>
          <w:sz w:val="24"/>
          <w:szCs w:val="24"/>
        </w:rPr>
        <w:t xml:space="preserve">possibility that some inconsistent respondents were excluded in advance when inattentive completion of the measure contributed to missing data. </w:t>
      </w:r>
      <w:r w:rsidR="0091552E" w:rsidRPr="00AF7D9D">
        <w:rPr>
          <w:rFonts w:ascii="Times New Roman" w:hAnsi="Times New Roman" w:cs="Times New Roman"/>
          <w:sz w:val="24"/>
          <w:szCs w:val="24"/>
        </w:rPr>
        <w:t xml:space="preserve">Under circumstances of missing data, </w:t>
      </w:r>
      <w:r w:rsidR="00A93FB3" w:rsidRPr="00AF7D9D">
        <w:rPr>
          <w:rFonts w:ascii="Times New Roman" w:hAnsi="Times New Roman" w:cs="Times New Roman"/>
          <w:sz w:val="24"/>
          <w:szCs w:val="24"/>
        </w:rPr>
        <w:t>problematic responding</w:t>
      </w:r>
      <w:r w:rsidR="0091552E" w:rsidRPr="00AF7D9D">
        <w:rPr>
          <w:rFonts w:ascii="Times New Roman" w:hAnsi="Times New Roman" w:cs="Times New Roman"/>
          <w:sz w:val="24"/>
          <w:szCs w:val="24"/>
        </w:rPr>
        <w:t xml:space="preserve"> ma</w:t>
      </w:r>
      <w:r w:rsidR="00641C2C" w:rsidRPr="00AF7D9D">
        <w:rPr>
          <w:rFonts w:ascii="Times New Roman" w:hAnsi="Times New Roman" w:cs="Times New Roman"/>
          <w:sz w:val="24"/>
          <w:szCs w:val="24"/>
        </w:rPr>
        <w:t>y not be detectable using the DI</w:t>
      </w:r>
      <w:r w:rsidR="0091552E" w:rsidRPr="00AF7D9D">
        <w:rPr>
          <w:rFonts w:ascii="Times New Roman" w:hAnsi="Times New Roman" w:cs="Times New Roman"/>
          <w:sz w:val="24"/>
          <w:szCs w:val="24"/>
        </w:rPr>
        <w:t>RP, as this brief scale is not amenable to prorating</w:t>
      </w:r>
      <w:r w:rsidR="00A93FB3" w:rsidRPr="00AF7D9D">
        <w:rPr>
          <w:rFonts w:ascii="Times New Roman" w:hAnsi="Times New Roman" w:cs="Times New Roman"/>
          <w:sz w:val="24"/>
          <w:szCs w:val="24"/>
        </w:rPr>
        <w:t xml:space="preserve"> and the use of other </w:t>
      </w:r>
      <w:r w:rsidR="006416FE" w:rsidRPr="00AF7D9D">
        <w:rPr>
          <w:rFonts w:ascii="Times New Roman" w:hAnsi="Times New Roman" w:cs="Times New Roman"/>
          <w:sz w:val="24"/>
          <w:szCs w:val="24"/>
        </w:rPr>
        <w:t>techniques</w:t>
      </w:r>
      <w:r w:rsidR="00A93FB3" w:rsidRPr="00AF7D9D">
        <w:rPr>
          <w:rFonts w:ascii="Times New Roman" w:hAnsi="Times New Roman" w:cs="Times New Roman"/>
          <w:sz w:val="24"/>
          <w:szCs w:val="24"/>
        </w:rPr>
        <w:t xml:space="preserve"> (e.g., response speed) may be necessary to </w:t>
      </w:r>
      <w:r w:rsidR="006416FE" w:rsidRPr="00AF7D9D">
        <w:rPr>
          <w:rFonts w:ascii="Times New Roman" w:hAnsi="Times New Roman" w:cs="Times New Roman"/>
          <w:sz w:val="24"/>
          <w:szCs w:val="24"/>
        </w:rPr>
        <w:t>assess</w:t>
      </w:r>
      <w:r w:rsidR="00A93FB3" w:rsidRPr="00AF7D9D">
        <w:rPr>
          <w:rFonts w:ascii="Times New Roman" w:hAnsi="Times New Roman" w:cs="Times New Roman"/>
          <w:sz w:val="24"/>
          <w:szCs w:val="24"/>
        </w:rPr>
        <w:t xml:space="preserve"> the validi</w:t>
      </w:r>
      <w:r w:rsidR="006416FE" w:rsidRPr="00AF7D9D">
        <w:rPr>
          <w:rFonts w:ascii="Times New Roman" w:hAnsi="Times New Roman" w:cs="Times New Roman"/>
          <w:sz w:val="24"/>
          <w:szCs w:val="24"/>
        </w:rPr>
        <w:t>ty of scores.</w:t>
      </w:r>
      <w:r w:rsidR="00F8781D" w:rsidRPr="00AF7D9D">
        <w:rPr>
          <w:rFonts w:ascii="Times New Roman" w:hAnsi="Times New Roman" w:cs="Times New Roman"/>
          <w:sz w:val="24"/>
          <w:szCs w:val="24"/>
        </w:rPr>
        <w:t xml:space="preserve"> </w:t>
      </w:r>
      <w:r w:rsidR="000B6569" w:rsidRPr="00AF7D9D">
        <w:rPr>
          <w:rFonts w:ascii="Times New Roman" w:hAnsi="Times New Roman" w:cs="Times New Roman"/>
          <w:sz w:val="24"/>
          <w:szCs w:val="24"/>
        </w:rPr>
        <w:t xml:space="preserve">Also, because </w:t>
      </w:r>
      <w:r w:rsidR="00E4025E" w:rsidRPr="00AF7D9D">
        <w:rPr>
          <w:rFonts w:ascii="Times New Roman" w:hAnsi="Times New Roman" w:cs="Times New Roman"/>
          <w:sz w:val="24"/>
          <w:szCs w:val="24"/>
        </w:rPr>
        <w:t>we rel</w:t>
      </w:r>
      <w:r w:rsidR="000B6569" w:rsidRPr="00AF7D9D">
        <w:rPr>
          <w:rFonts w:ascii="Times New Roman" w:hAnsi="Times New Roman" w:cs="Times New Roman"/>
          <w:sz w:val="24"/>
          <w:szCs w:val="24"/>
        </w:rPr>
        <w:t>ied</w:t>
      </w:r>
      <w:r w:rsidR="00E4025E" w:rsidRPr="00AF7D9D">
        <w:rPr>
          <w:rFonts w:ascii="Times New Roman" w:hAnsi="Times New Roman" w:cs="Times New Roman"/>
          <w:sz w:val="24"/>
          <w:szCs w:val="24"/>
        </w:rPr>
        <w:t xml:space="preserve"> on cross-sectional data, our findings cannot comment on the stability of response style</w:t>
      </w:r>
      <w:r w:rsidR="00977AED" w:rsidRPr="00AF7D9D">
        <w:rPr>
          <w:rFonts w:ascii="Times New Roman" w:hAnsi="Times New Roman" w:cs="Times New Roman"/>
          <w:sz w:val="24"/>
          <w:szCs w:val="24"/>
        </w:rPr>
        <w:t xml:space="preserve"> and validity classification</w:t>
      </w:r>
      <w:r w:rsidR="00E4025E" w:rsidRPr="00AF7D9D">
        <w:rPr>
          <w:rFonts w:ascii="Times New Roman" w:hAnsi="Times New Roman" w:cs="Times New Roman"/>
          <w:sz w:val="24"/>
          <w:szCs w:val="24"/>
        </w:rPr>
        <w:t xml:space="preserve"> over time</w:t>
      </w:r>
      <w:r w:rsidR="00977AED" w:rsidRPr="00AF7D9D">
        <w:rPr>
          <w:rFonts w:ascii="Times New Roman" w:hAnsi="Times New Roman" w:cs="Times New Roman"/>
          <w:sz w:val="24"/>
          <w:szCs w:val="24"/>
        </w:rPr>
        <w:t xml:space="preserve">, or </w:t>
      </w:r>
      <w:r w:rsidR="0061704A" w:rsidRPr="00AF7D9D">
        <w:rPr>
          <w:rFonts w:ascii="Times New Roman" w:hAnsi="Times New Roman" w:cs="Times New Roman"/>
          <w:sz w:val="24"/>
          <w:szCs w:val="24"/>
        </w:rPr>
        <w:t>how well scores on the</w:t>
      </w:r>
      <w:r w:rsidR="00641C2C" w:rsidRPr="00AF7D9D">
        <w:rPr>
          <w:rFonts w:ascii="Times New Roman" w:hAnsi="Times New Roman" w:cs="Times New Roman"/>
          <w:sz w:val="24"/>
          <w:szCs w:val="24"/>
        </w:rPr>
        <w:t xml:space="preserve"> DI</w:t>
      </w:r>
      <w:r w:rsidR="00977AED" w:rsidRPr="00AF7D9D">
        <w:rPr>
          <w:rFonts w:ascii="Times New Roman" w:hAnsi="Times New Roman" w:cs="Times New Roman"/>
          <w:sz w:val="24"/>
          <w:szCs w:val="24"/>
        </w:rPr>
        <w:t xml:space="preserve">RP </w:t>
      </w:r>
      <w:r w:rsidR="0061704A" w:rsidRPr="00AF7D9D">
        <w:rPr>
          <w:rFonts w:ascii="Times New Roman" w:hAnsi="Times New Roman" w:cs="Times New Roman"/>
          <w:sz w:val="24"/>
          <w:szCs w:val="24"/>
        </w:rPr>
        <w:t xml:space="preserve">will correlate with </w:t>
      </w:r>
      <w:r w:rsidR="00977AED" w:rsidRPr="00AF7D9D">
        <w:rPr>
          <w:rFonts w:ascii="Times New Roman" w:hAnsi="Times New Roman" w:cs="Times New Roman"/>
          <w:sz w:val="24"/>
          <w:szCs w:val="24"/>
        </w:rPr>
        <w:t xml:space="preserve">criterion measures given during a separate administration. </w:t>
      </w:r>
      <w:r w:rsidR="00641C2C" w:rsidRPr="00AF7D9D">
        <w:rPr>
          <w:rFonts w:ascii="Times New Roman" w:hAnsi="Times New Roman" w:cs="Times New Roman"/>
          <w:sz w:val="24"/>
          <w:szCs w:val="24"/>
        </w:rPr>
        <w:t>Finally, the validity of the DI</w:t>
      </w:r>
      <w:r w:rsidR="008418EA" w:rsidRPr="00AF7D9D">
        <w:rPr>
          <w:rFonts w:ascii="Times New Roman" w:hAnsi="Times New Roman" w:cs="Times New Roman"/>
          <w:sz w:val="24"/>
          <w:szCs w:val="24"/>
        </w:rPr>
        <w:t xml:space="preserve">RP may be further substantiated by evaluating the extent to which these inconsistency scores relate to indicators of response distortion or inattentiveness using methods beyond self-report. </w:t>
      </w:r>
    </w:p>
    <w:p w14:paraId="6D3AE190" w14:textId="77777777" w:rsidR="00FD21A4" w:rsidRPr="00AF7D9D" w:rsidRDefault="00FD21A4" w:rsidP="00CD44E1">
      <w:pPr>
        <w:spacing w:after="0"/>
        <w:rPr>
          <w:rFonts w:ascii="Times New Roman" w:hAnsi="Times New Roman" w:cs="Times New Roman"/>
          <w:sz w:val="24"/>
          <w:szCs w:val="24"/>
        </w:rPr>
      </w:pPr>
      <w:r w:rsidRPr="00AF7D9D">
        <w:rPr>
          <w:rFonts w:ascii="Times New Roman" w:hAnsi="Times New Roman" w:cs="Times New Roman"/>
          <w:sz w:val="24"/>
          <w:szCs w:val="24"/>
        </w:rPr>
        <w:br w:type="page"/>
      </w:r>
    </w:p>
    <w:p w14:paraId="06EC37BE" w14:textId="77777777" w:rsidR="00FD21A4" w:rsidRPr="00AF7D9D" w:rsidRDefault="00FD21A4" w:rsidP="00FD21A4">
      <w:pPr>
        <w:spacing w:after="160" w:line="259" w:lineRule="auto"/>
        <w:jc w:val="center"/>
        <w:rPr>
          <w:rFonts w:ascii="Times New Roman" w:eastAsia="Calibri" w:hAnsi="Times New Roman" w:cs="Times New Roman"/>
          <w:b/>
          <w:sz w:val="24"/>
          <w:szCs w:val="24"/>
        </w:rPr>
      </w:pPr>
      <w:r w:rsidRPr="00AF7D9D">
        <w:rPr>
          <w:rFonts w:ascii="Times New Roman" w:eastAsia="Calibri" w:hAnsi="Times New Roman" w:cs="Times New Roman"/>
          <w:b/>
          <w:sz w:val="24"/>
          <w:szCs w:val="24"/>
        </w:rPr>
        <w:lastRenderedPageBreak/>
        <w:t>References</w:t>
      </w:r>
    </w:p>
    <w:p w14:paraId="2F233330"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Alpers, G. W., Eisenbarth, H. (2008). </w:t>
      </w:r>
      <w:r w:rsidRPr="00AF7D9D">
        <w:rPr>
          <w:rFonts w:ascii="Times New Roman" w:eastAsia="Calibri" w:hAnsi="Times New Roman" w:cs="Times New Roman"/>
          <w:i/>
          <w:sz w:val="24"/>
          <w:szCs w:val="24"/>
        </w:rPr>
        <w:t xml:space="preserve">Psychopathic </w:t>
      </w:r>
      <w:r w:rsidR="00843C80" w:rsidRPr="00AF7D9D">
        <w:rPr>
          <w:rFonts w:ascii="Times New Roman" w:eastAsia="Calibri" w:hAnsi="Times New Roman" w:cs="Times New Roman"/>
          <w:i/>
          <w:sz w:val="24"/>
          <w:szCs w:val="24"/>
        </w:rPr>
        <w:t>Personality I</w:t>
      </w:r>
      <w:r w:rsidRPr="00AF7D9D">
        <w:rPr>
          <w:rFonts w:ascii="Times New Roman" w:eastAsia="Calibri" w:hAnsi="Times New Roman" w:cs="Times New Roman"/>
          <w:i/>
          <w:sz w:val="24"/>
          <w:szCs w:val="24"/>
        </w:rPr>
        <w:t xml:space="preserve">nventory </w:t>
      </w:r>
      <w:r w:rsidR="00843C80" w:rsidRPr="00AF7D9D">
        <w:rPr>
          <w:rFonts w:ascii="Times New Roman" w:eastAsia="Calibri" w:hAnsi="Times New Roman" w:cs="Times New Roman"/>
          <w:i/>
          <w:sz w:val="24"/>
          <w:szCs w:val="24"/>
        </w:rPr>
        <w:t>R</w:t>
      </w:r>
      <w:r w:rsidRPr="00AF7D9D">
        <w:rPr>
          <w:rFonts w:ascii="Times New Roman" w:eastAsia="Calibri" w:hAnsi="Times New Roman" w:cs="Times New Roman"/>
          <w:i/>
          <w:sz w:val="24"/>
          <w:szCs w:val="24"/>
        </w:rPr>
        <w:t>evised –Deutschsprachige Version. Testhandbuch [German test manual]</w:t>
      </w:r>
      <w:r w:rsidRPr="00AF7D9D">
        <w:rPr>
          <w:rFonts w:ascii="Times New Roman" w:eastAsia="Calibri" w:hAnsi="Times New Roman" w:cs="Times New Roman"/>
          <w:sz w:val="24"/>
          <w:szCs w:val="24"/>
        </w:rPr>
        <w:t>. Göttingen: Hogrefe.</w:t>
      </w:r>
    </w:p>
    <w:p w14:paraId="746F96FE"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American Psychiatric Association (2013). </w:t>
      </w:r>
      <w:r w:rsidRPr="00AF7D9D">
        <w:rPr>
          <w:rFonts w:ascii="Times New Roman" w:eastAsia="Calibri" w:hAnsi="Times New Roman" w:cs="Times New Roman"/>
          <w:i/>
          <w:sz w:val="24"/>
          <w:szCs w:val="24"/>
        </w:rPr>
        <w:t>Diagnostic and Statistical Manual of Mental Disorders, Fifth Edition: DSM-5</w:t>
      </w:r>
      <w:r w:rsidRPr="00AF7D9D">
        <w:rPr>
          <w:rFonts w:ascii="Times New Roman" w:eastAsia="Calibri" w:hAnsi="Times New Roman" w:cs="Times New Roman"/>
          <w:sz w:val="24"/>
          <w:szCs w:val="24"/>
        </w:rPr>
        <w:t>. Washington, D.C.: American Psychiatric Association.</w:t>
      </w:r>
    </w:p>
    <w:p w14:paraId="78009750"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Andershed, H., Kerr, M., Stattin, H., &amp; Levander, S. (2002). Psychopathic traits in non-referred youths: Initial test of a new assessment tool. In E. Blaauw &amp; L. Sheridan (Eds.), </w:t>
      </w:r>
      <w:r w:rsidRPr="00AF7D9D">
        <w:rPr>
          <w:rFonts w:ascii="Times New Roman" w:eastAsia="Calibri" w:hAnsi="Times New Roman" w:cs="Times New Roman"/>
          <w:i/>
          <w:sz w:val="24"/>
          <w:szCs w:val="24"/>
        </w:rPr>
        <w:t>Psychopaths: Current international perspectives</w:t>
      </w:r>
      <w:r w:rsidRPr="00AF7D9D">
        <w:rPr>
          <w:rFonts w:ascii="Times New Roman" w:eastAsia="Calibri" w:hAnsi="Times New Roman" w:cs="Times New Roman"/>
          <w:sz w:val="24"/>
          <w:szCs w:val="24"/>
        </w:rPr>
        <w:t xml:space="preserve"> (pp. 131-158). The Hague, the Netherlands: Elsevier.</w:t>
      </w:r>
    </w:p>
    <w:p w14:paraId="49B9E0CE" w14:textId="77777777" w:rsidR="00780ABE" w:rsidRPr="00AF7D9D" w:rsidRDefault="00780ABE" w:rsidP="00780ABE">
      <w:pPr>
        <w:spacing w:after="0" w:line="480" w:lineRule="auto"/>
        <w:ind w:left="720" w:hanging="720"/>
        <w:rPr>
          <w:rFonts w:ascii="Times New Roman" w:eastAsia="Calibri" w:hAnsi="Times New Roman" w:cs="Times New Roman"/>
          <w:sz w:val="24"/>
          <w:szCs w:val="24"/>
          <w:lang w:val="en"/>
        </w:rPr>
      </w:pPr>
      <w:r w:rsidRPr="00AF7D9D">
        <w:rPr>
          <w:rFonts w:ascii="Times New Roman" w:eastAsia="Calibri" w:hAnsi="Times New Roman" w:cs="Times New Roman"/>
          <w:sz w:val="24"/>
          <w:szCs w:val="24"/>
          <w:lang w:val="en"/>
        </w:rPr>
        <w:t xml:space="preserve">Anderson, J. L., Sellbom, M., Wygant, D. B., &amp; Edens, J. F. (2013). Examining the necessity for and utility of the Psychopathic Personality Inventory—Revised (PPI–R) validity scales. </w:t>
      </w:r>
      <w:r w:rsidRPr="00AF7D9D">
        <w:rPr>
          <w:rFonts w:ascii="Times New Roman" w:eastAsia="Calibri" w:hAnsi="Times New Roman" w:cs="Times New Roman"/>
          <w:i/>
          <w:iCs/>
          <w:sz w:val="24"/>
          <w:szCs w:val="24"/>
          <w:lang w:val="en"/>
        </w:rPr>
        <w:t>Law and Human Behavior</w:t>
      </w:r>
      <w:r w:rsidRPr="00AF7D9D">
        <w:rPr>
          <w:rFonts w:ascii="Times New Roman" w:eastAsia="Calibri" w:hAnsi="Times New Roman" w:cs="Times New Roman"/>
          <w:sz w:val="24"/>
          <w:szCs w:val="24"/>
          <w:lang w:val="en"/>
        </w:rPr>
        <w:t xml:space="preserve">, </w:t>
      </w:r>
      <w:r w:rsidRPr="00AF7D9D">
        <w:rPr>
          <w:rFonts w:ascii="Times New Roman" w:eastAsia="Calibri" w:hAnsi="Times New Roman" w:cs="Times New Roman"/>
          <w:i/>
          <w:iCs/>
          <w:sz w:val="24"/>
          <w:szCs w:val="24"/>
          <w:lang w:val="en"/>
        </w:rPr>
        <w:t>37</w:t>
      </w:r>
      <w:r w:rsidRPr="00AF7D9D">
        <w:rPr>
          <w:rFonts w:ascii="Times New Roman" w:eastAsia="Calibri" w:hAnsi="Times New Roman" w:cs="Times New Roman"/>
          <w:sz w:val="24"/>
          <w:szCs w:val="24"/>
          <w:lang w:val="en"/>
        </w:rPr>
        <w:t>(5), 312-320. doi:10.1037/lhb0000018</w:t>
      </w:r>
    </w:p>
    <w:p w14:paraId="7AF22BB4"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Bandura, A., Barbaranelli, C., Caprara, G. V., &amp; Pastorelli, C. (1996). Mechanisms of moral disengagement in the exercise of moral agency. </w:t>
      </w:r>
      <w:r w:rsidRPr="00AF7D9D">
        <w:rPr>
          <w:rFonts w:ascii="Times New Roman" w:eastAsia="Calibri" w:hAnsi="Times New Roman" w:cs="Times New Roman"/>
          <w:i/>
          <w:sz w:val="24"/>
          <w:szCs w:val="24"/>
        </w:rPr>
        <w:t>Journal of Personality and Social Psychology, 71</w:t>
      </w:r>
      <w:r w:rsidRPr="00AF7D9D">
        <w:rPr>
          <w:rFonts w:ascii="Times New Roman" w:eastAsia="Calibri" w:hAnsi="Times New Roman" w:cs="Times New Roman"/>
          <w:sz w:val="24"/>
          <w:szCs w:val="24"/>
        </w:rPr>
        <w:t>, 364-374. doi:10.1037/0022-3514.71.2.364</w:t>
      </w:r>
    </w:p>
    <w:p w14:paraId="378395AC" w14:textId="77777777" w:rsidR="00FD21A4" w:rsidRPr="00AF7D9D" w:rsidRDefault="00FD21A4" w:rsidP="00FD21A4">
      <w:pPr>
        <w:spacing w:after="0" w:line="480" w:lineRule="auto"/>
        <w:ind w:left="720" w:hanging="720"/>
        <w:rPr>
          <w:rFonts w:ascii="Times New Roman" w:eastAsia="Calibri" w:hAnsi="Times New Roman" w:cs="Times New Roman"/>
          <w:i/>
          <w:sz w:val="24"/>
          <w:szCs w:val="24"/>
        </w:rPr>
      </w:pPr>
      <w:r w:rsidRPr="00AF7D9D">
        <w:rPr>
          <w:rFonts w:ascii="Times New Roman" w:eastAsia="Calibri" w:hAnsi="Times New Roman" w:cs="Times New Roman"/>
          <w:sz w:val="24"/>
          <w:szCs w:val="24"/>
        </w:rPr>
        <w:t xml:space="preserve">Benning, S. D., &amp; Freeman, A. J. (in press). The Multidimensional Personality Questionnaire’s inconsistency scales identify invalid profiles through internal statistics and external correlates. </w:t>
      </w:r>
      <w:r w:rsidRPr="00AF7D9D">
        <w:rPr>
          <w:rFonts w:ascii="Times New Roman" w:eastAsia="Calibri" w:hAnsi="Times New Roman" w:cs="Times New Roman"/>
          <w:i/>
          <w:sz w:val="24"/>
          <w:szCs w:val="24"/>
        </w:rPr>
        <w:t>Psychological Assessment.</w:t>
      </w:r>
    </w:p>
    <w:p w14:paraId="4E11B5EF"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Berman, A. H., Bergman, H., Palmstierna, T., &amp; Schlyter, F. (2002). Evaluation of the Drug Use Disorders Identification Test (DUDIT) in criminal justice and detoxification settings and in a Swedish population sample. </w:t>
      </w:r>
      <w:r w:rsidRPr="00AF7D9D">
        <w:rPr>
          <w:rFonts w:ascii="Times New Roman" w:eastAsia="Calibri" w:hAnsi="Times New Roman" w:cs="Times New Roman"/>
          <w:i/>
          <w:sz w:val="24"/>
          <w:szCs w:val="24"/>
        </w:rPr>
        <w:t>European Addict Research, 11</w:t>
      </w:r>
      <w:r w:rsidRPr="00AF7D9D">
        <w:rPr>
          <w:rFonts w:ascii="Times New Roman" w:eastAsia="Calibri" w:hAnsi="Times New Roman" w:cs="Times New Roman"/>
          <w:sz w:val="24"/>
          <w:szCs w:val="24"/>
        </w:rPr>
        <w:t>, 22-31. doi:10.1159/000081413</w:t>
      </w:r>
    </w:p>
    <w:p w14:paraId="187D727C"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lastRenderedPageBreak/>
        <w:t xml:space="preserve">Butcher, J. N., Dahlstrom, W. G., Graham, J. R., Tellegen, A., &amp; Kaemmer, B. (1989). </w:t>
      </w:r>
      <w:r w:rsidRPr="00AF7D9D">
        <w:rPr>
          <w:rFonts w:ascii="Times New Roman" w:eastAsia="Calibri" w:hAnsi="Times New Roman" w:cs="Times New Roman"/>
          <w:i/>
          <w:sz w:val="24"/>
          <w:szCs w:val="24"/>
        </w:rPr>
        <w:t>Minnesota Multiphasic Personality Inventory-2 (MMPI-2): Manual for administration and scoring.</w:t>
      </w:r>
      <w:r w:rsidRPr="00AF7D9D">
        <w:rPr>
          <w:rFonts w:ascii="Times New Roman" w:eastAsia="Calibri" w:hAnsi="Times New Roman" w:cs="Times New Roman"/>
          <w:sz w:val="24"/>
          <w:szCs w:val="24"/>
        </w:rPr>
        <w:t xml:space="preserve"> Minneapolis: University of Minnesota Press</w:t>
      </w:r>
    </w:p>
    <w:p w14:paraId="1F9DBEAA" w14:textId="77777777" w:rsidR="00F75F30" w:rsidRPr="00AF7D9D" w:rsidRDefault="00F75F30"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Campbell, M. A., Doucette, N. L., &amp; French, S. (2009). Validity and stability of the Youth Psychopathic Traits Inventory in a nonforensic sample of young adults. </w:t>
      </w:r>
      <w:r w:rsidRPr="00AF7D9D">
        <w:rPr>
          <w:rFonts w:ascii="Times New Roman" w:eastAsia="Calibri" w:hAnsi="Times New Roman" w:cs="Times New Roman"/>
          <w:i/>
          <w:sz w:val="24"/>
          <w:szCs w:val="24"/>
        </w:rPr>
        <w:t xml:space="preserve">Journal of Personality Assessment, 91, </w:t>
      </w:r>
      <w:r w:rsidRPr="00AF7D9D">
        <w:rPr>
          <w:rFonts w:ascii="Times New Roman" w:eastAsia="Calibri" w:hAnsi="Times New Roman" w:cs="Times New Roman"/>
          <w:sz w:val="24"/>
          <w:szCs w:val="24"/>
        </w:rPr>
        <w:t>584-592. doi:10.1080/00223890903228679</w:t>
      </w:r>
    </w:p>
    <w:p w14:paraId="01A83B68" w14:textId="77777777" w:rsidR="00D7473E" w:rsidRPr="00AF7D9D" w:rsidRDefault="00D7473E"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Clark, L. A., &amp; Watson, D. (1995). Constructing validity: Basic issues in objective scale development. </w:t>
      </w:r>
      <w:r w:rsidRPr="00AF7D9D">
        <w:rPr>
          <w:rFonts w:ascii="Times New Roman" w:eastAsia="Calibri" w:hAnsi="Times New Roman" w:cs="Times New Roman"/>
          <w:i/>
          <w:sz w:val="24"/>
          <w:szCs w:val="24"/>
        </w:rPr>
        <w:t xml:space="preserve">Psychological Assessment, 7, </w:t>
      </w:r>
      <w:r w:rsidRPr="00AF7D9D">
        <w:rPr>
          <w:rFonts w:ascii="Times New Roman" w:eastAsia="Calibri" w:hAnsi="Times New Roman" w:cs="Times New Roman"/>
          <w:sz w:val="24"/>
          <w:szCs w:val="24"/>
        </w:rPr>
        <w:t>309-319. doi:10.1037/1040-3590.7.3.309</w:t>
      </w:r>
    </w:p>
    <w:p w14:paraId="2DFBA860" w14:textId="77777777" w:rsidR="00595BF2" w:rsidRPr="00AF7D9D" w:rsidRDefault="00595BF2"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Colins, O. F. (2016). The clinical usefulness of the DSM-5 specifier for conduct disorder outside of a research context. </w:t>
      </w:r>
      <w:r w:rsidRPr="00AF7D9D">
        <w:rPr>
          <w:rFonts w:ascii="Times New Roman" w:eastAsia="Calibri" w:hAnsi="Times New Roman" w:cs="Times New Roman"/>
          <w:i/>
          <w:sz w:val="24"/>
          <w:szCs w:val="24"/>
        </w:rPr>
        <w:t>Law and Human Behavior, 40</w:t>
      </w:r>
      <w:r w:rsidRPr="00AF7D9D">
        <w:rPr>
          <w:rFonts w:ascii="Times New Roman" w:eastAsia="Calibri" w:hAnsi="Times New Roman" w:cs="Times New Roman"/>
          <w:sz w:val="24"/>
          <w:szCs w:val="24"/>
        </w:rPr>
        <w:t>, 310-318.</w:t>
      </w:r>
      <w:r w:rsidR="00CD5F64" w:rsidRPr="00AF7D9D">
        <w:rPr>
          <w:rFonts w:ascii="Times New Roman" w:eastAsia="Calibri" w:hAnsi="Times New Roman" w:cs="Times New Roman"/>
          <w:sz w:val="24"/>
          <w:szCs w:val="24"/>
        </w:rPr>
        <w:t xml:space="preserve"> doi:10.1037/lhb0000173</w:t>
      </w:r>
    </w:p>
    <w:p w14:paraId="2A772911" w14:textId="77777777" w:rsidR="00013D38" w:rsidRPr="00AF7D9D" w:rsidRDefault="00013D38" w:rsidP="00013D38">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Colins, O. F., &amp; Andershed, H. (2015). The </w:t>
      </w:r>
      <w:r w:rsidRPr="00AF7D9D">
        <w:rPr>
          <w:rFonts w:ascii="Times New Roman" w:eastAsia="Calibri" w:hAnsi="Times New Roman" w:cs="Times New Roman"/>
          <w:i/>
          <w:sz w:val="24"/>
          <w:szCs w:val="24"/>
        </w:rPr>
        <w:t>DSM-5</w:t>
      </w:r>
      <w:r w:rsidRPr="00AF7D9D">
        <w:rPr>
          <w:rFonts w:ascii="Times New Roman" w:eastAsia="Calibri" w:hAnsi="Times New Roman" w:cs="Times New Roman"/>
          <w:sz w:val="24"/>
          <w:szCs w:val="24"/>
        </w:rPr>
        <w:t xml:space="preserve"> with limited prosocial emotions specifier for conduct disorder among detained girls. </w:t>
      </w:r>
      <w:r w:rsidRPr="00AF7D9D">
        <w:rPr>
          <w:rFonts w:ascii="Times New Roman" w:eastAsia="Calibri" w:hAnsi="Times New Roman" w:cs="Times New Roman"/>
          <w:i/>
          <w:sz w:val="24"/>
          <w:szCs w:val="24"/>
        </w:rPr>
        <w:t>Law and Human Behavior, 39</w:t>
      </w:r>
      <w:r w:rsidRPr="00AF7D9D">
        <w:rPr>
          <w:rFonts w:ascii="Times New Roman" w:eastAsia="Calibri" w:hAnsi="Times New Roman" w:cs="Times New Roman"/>
          <w:sz w:val="24"/>
          <w:szCs w:val="24"/>
        </w:rPr>
        <w:t>, 198-207. doi:10.1037/lhb0000108</w:t>
      </w:r>
    </w:p>
    <w:p w14:paraId="386F4D60" w14:textId="77777777" w:rsidR="00013D38" w:rsidRPr="00AF7D9D" w:rsidRDefault="00013D38" w:rsidP="00013D38">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Colins, O. F., &amp; Andershed, H. (2016). The Youth Psychopathic Traits-Short Version in a general population sample of emerging adults. </w:t>
      </w:r>
      <w:r w:rsidRPr="00AF7D9D">
        <w:rPr>
          <w:rFonts w:ascii="Times New Roman" w:eastAsia="Calibri" w:hAnsi="Times New Roman" w:cs="Times New Roman"/>
          <w:i/>
          <w:sz w:val="24"/>
          <w:szCs w:val="24"/>
        </w:rPr>
        <w:t>Psychological Assessment, 28</w:t>
      </w:r>
      <w:r w:rsidRPr="00AF7D9D">
        <w:rPr>
          <w:rFonts w:ascii="Times New Roman" w:eastAsia="Calibri" w:hAnsi="Times New Roman" w:cs="Times New Roman"/>
          <w:sz w:val="24"/>
          <w:szCs w:val="24"/>
        </w:rPr>
        <w:t xml:space="preserve">, 449-457. </w:t>
      </w:r>
    </w:p>
    <w:p w14:paraId="20F8360E"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Colins, O. F., Bijttebier, P., Broekaert, E., &amp; Andershed, H. (2014). Psychopathic-like traits among detained female adolescents: Reliability and validity of the antisocial process screening device and the Youth Psychopathic Traits Inventory. </w:t>
      </w:r>
      <w:r w:rsidRPr="00AF7D9D">
        <w:rPr>
          <w:rFonts w:ascii="Times New Roman" w:eastAsia="Calibri" w:hAnsi="Times New Roman" w:cs="Times New Roman"/>
          <w:i/>
          <w:sz w:val="24"/>
          <w:szCs w:val="24"/>
        </w:rPr>
        <w:t>Assessment, 21</w:t>
      </w:r>
      <w:r w:rsidRPr="00AF7D9D">
        <w:rPr>
          <w:rFonts w:ascii="Times New Roman" w:eastAsia="Calibri" w:hAnsi="Times New Roman" w:cs="Times New Roman"/>
          <w:sz w:val="24"/>
          <w:szCs w:val="24"/>
        </w:rPr>
        <w:t>, 195-209. doi:10.1177/1073191113481997</w:t>
      </w:r>
    </w:p>
    <w:p w14:paraId="6D3E6E88" w14:textId="77777777" w:rsidR="001A0B86" w:rsidRPr="00AF7D9D" w:rsidRDefault="001A0B86" w:rsidP="00FD21A4">
      <w:pPr>
        <w:spacing w:after="0" w:line="480" w:lineRule="auto"/>
        <w:ind w:left="720" w:hanging="720"/>
        <w:rPr>
          <w:rFonts w:ascii="Times New Roman" w:eastAsia="Calibri" w:hAnsi="Times New Roman" w:cs="Times New Roman"/>
          <w:sz w:val="24"/>
          <w:szCs w:val="24"/>
          <w:lang w:val="nl-NL"/>
        </w:rPr>
      </w:pPr>
      <w:r w:rsidRPr="00AF7D9D">
        <w:rPr>
          <w:rFonts w:ascii="Times New Roman" w:eastAsia="Calibri" w:hAnsi="Times New Roman" w:cs="Times New Roman"/>
          <w:sz w:val="24"/>
          <w:szCs w:val="24"/>
        </w:rPr>
        <w:t xml:space="preserve">Colins, O. F., Fanti, K. A., Andershed, H., Mulder, E., Salekin, R. T., Blokland, A., &amp; Vermeiren, R. R. J. M. (2017). Psychometric properties and prognostic usefulness of the Youth Psychopathic Traits Inventory (YPI) as a component of a clinical protocol for </w:t>
      </w:r>
      <w:r w:rsidRPr="00AF7D9D">
        <w:rPr>
          <w:rFonts w:ascii="Times New Roman" w:eastAsia="Calibri" w:hAnsi="Times New Roman" w:cs="Times New Roman"/>
          <w:sz w:val="24"/>
          <w:szCs w:val="24"/>
        </w:rPr>
        <w:lastRenderedPageBreak/>
        <w:t xml:space="preserve">detained youth: A multiethnic examination. </w:t>
      </w:r>
      <w:r w:rsidRPr="00AF7D9D">
        <w:rPr>
          <w:rFonts w:ascii="Times New Roman" w:eastAsia="Calibri" w:hAnsi="Times New Roman" w:cs="Times New Roman"/>
          <w:i/>
          <w:sz w:val="24"/>
          <w:szCs w:val="24"/>
          <w:lang w:val="nl-NL"/>
        </w:rPr>
        <w:t>Psychological Assessment</w:t>
      </w:r>
      <w:r w:rsidRPr="00AF7D9D">
        <w:rPr>
          <w:rFonts w:ascii="Times New Roman" w:eastAsia="Calibri" w:hAnsi="Times New Roman" w:cs="Times New Roman"/>
          <w:sz w:val="24"/>
          <w:szCs w:val="24"/>
          <w:lang w:val="nl-NL"/>
        </w:rPr>
        <w:t xml:space="preserve">, </w:t>
      </w:r>
      <w:r w:rsidRPr="00AF7D9D">
        <w:rPr>
          <w:rFonts w:ascii="Times New Roman" w:eastAsia="Calibri" w:hAnsi="Times New Roman" w:cs="Times New Roman"/>
          <w:i/>
          <w:sz w:val="24"/>
          <w:szCs w:val="24"/>
          <w:lang w:val="nl-NL"/>
        </w:rPr>
        <w:t>29</w:t>
      </w:r>
      <w:r w:rsidRPr="00AF7D9D">
        <w:rPr>
          <w:rFonts w:ascii="Times New Roman" w:eastAsia="Calibri" w:hAnsi="Times New Roman" w:cs="Times New Roman"/>
          <w:sz w:val="24"/>
          <w:szCs w:val="24"/>
          <w:lang w:val="nl-NL"/>
        </w:rPr>
        <w:t>, 740-753. doi:10.1037/pas0000437</w:t>
      </w:r>
    </w:p>
    <w:p w14:paraId="0F234122"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lang w:val="nl-NL"/>
        </w:rPr>
        <w:t xml:space="preserve">Colins, O. F., Noom, M., &amp; Vanderplasschen, W. (2012). </w:t>
      </w:r>
      <w:r w:rsidRPr="00AF7D9D">
        <w:rPr>
          <w:rFonts w:ascii="Times New Roman" w:eastAsia="Calibri" w:hAnsi="Times New Roman" w:cs="Times New Roman"/>
          <w:sz w:val="24"/>
          <w:szCs w:val="24"/>
        </w:rPr>
        <w:t xml:space="preserve">Youth Psychopathic Traits Inventory-Short Version: A further test of the internal consistency and criterion validity. </w:t>
      </w:r>
      <w:r w:rsidRPr="00AF7D9D">
        <w:rPr>
          <w:rFonts w:ascii="Times New Roman" w:eastAsia="Calibri" w:hAnsi="Times New Roman" w:cs="Times New Roman"/>
          <w:i/>
          <w:sz w:val="24"/>
          <w:szCs w:val="24"/>
        </w:rPr>
        <w:t xml:space="preserve">Journal of Psychopathology and Behavioral Assessment, 34, </w:t>
      </w:r>
      <w:r w:rsidRPr="00AF7D9D">
        <w:rPr>
          <w:rFonts w:ascii="Times New Roman" w:eastAsia="Calibri" w:hAnsi="Times New Roman" w:cs="Times New Roman"/>
          <w:sz w:val="24"/>
          <w:szCs w:val="24"/>
        </w:rPr>
        <w:t>476-486. doi:10.1007/s10862-012-9299-0</w:t>
      </w:r>
    </w:p>
    <w:p w14:paraId="56867437"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Cook, N. E., Faust, D., Meyer, J. F., Faust, K. A. (2016). The impact of careless and random responding on juvenile forensic assessment: Susceptibility of commonly used measures and implications for research and practice. </w:t>
      </w:r>
      <w:r w:rsidRPr="00AF7D9D">
        <w:rPr>
          <w:rFonts w:ascii="Times New Roman" w:eastAsia="Calibri" w:hAnsi="Times New Roman" w:cs="Times New Roman"/>
          <w:i/>
          <w:sz w:val="24"/>
          <w:szCs w:val="24"/>
        </w:rPr>
        <w:t>Journal of Forensic Psychology Practice</w:t>
      </w:r>
      <w:r w:rsidRPr="00AF7D9D">
        <w:rPr>
          <w:rFonts w:ascii="Times New Roman" w:eastAsia="Calibri" w:hAnsi="Times New Roman" w:cs="Times New Roman"/>
          <w:sz w:val="24"/>
          <w:szCs w:val="24"/>
        </w:rPr>
        <w:t xml:space="preserve">, </w:t>
      </w:r>
      <w:r w:rsidRPr="00AF7D9D">
        <w:rPr>
          <w:rFonts w:ascii="Times New Roman" w:eastAsia="Calibri" w:hAnsi="Times New Roman" w:cs="Times New Roman"/>
          <w:i/>
          <w:sz w:val="24"/>
          <w:szCs w:val="24"/>
        </w:rPr>
        <w:t>5</w:t>
      </w:r>
      <w:r w:rsidRPr="00AF7D9D">
        <w:rPr>
          <w:rFonts w:ascii="Times New Roman" w:eastAsia="Calibri" w:hAnsi="Times New Roman" w:cs="Times New Roman"/>
          <w:sz w:val="24"/>
          <w:szCs w:val="24"/>
        </w:rPr>
        <w:t>, 425-447. doi:10.1080/15228932.2016.1234146</w:t>
      </w:r>
    </w:p>
    <w:p w14:paraId="7F254B07"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Cooke, D. J., &amp; Michie, C. (2001). Refining the construct of psychopathy: Towards a hierarchical model. </w:t>
      </w:r>
      <w:r w:rsidRPr="00AF7D9D">
        <w:rPr>
          <w:rFonts w:ascii="Times New Roman" w:eastAsia="Calibri" w:hAnsi="Times New Roman" w:cs="Times New Roman"/>
          <w:i/>
          <w:sz w:val="24"/>
          <w:szCs w:val="24"/>
        </w:rPr>
        <w:t xml:space="preserve">Psychological Assessment, 13, </w:t>
      </w:r>
      <w:r w:rsidRPr="00AF7D9D">
        <w:rPr>
          <w:rFonts w:ascii="Times New Roman" w:eastAsia="Calibri" w:hAnsi="Times New Roman" w:cs="Times New Roman"/>
          <w:sz w:val="24"/>
          <w:szCs w:val="24"/>
        </w:rPr>
        <w:t>171-188. doi:10.1037/1040-3590.13.2.171</w:t>
      </w:r>
    </w:p>
    <w:p w14:paraId="54BC3EB5" w14:textId="609AA8B8"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Cornell, D., Klein, J., Konold, T., &amp; Huang, F. (2012). Effects of validity screening items on adolescent survey data. </w:t>
      </w:r>
      <w:r w:rsidRPr="00AF7D9D">
        <w:rPr>
          <w:rFonts w:ascii="Times New Roman" w:eastAsia="Calibri" w:hAnsi="Times New Roman" w:cs="Times New Roman"/>
          <w:i/>
          <w:sz w:val="24"/>
          <w:szCs w:val="24"/>
        </w:rPr>
        <w:t>Psychological Assessment, 24</w:t>
      </w:r>
      <w:r w:rsidRPr="00AF7D9D">
        <w:rPr>
          <w:rFonts w:ascii="Times New Roman" w:eastAsia="Calibri" w:hAnsi="Times New Roman" w:cs="Times New Roman"/>
          <w:sz w:val="24"/>
          <w:szCs w:val="24"/>
        </w:rPr>
        <w:t>, 21-35. doi:10.1037/a0024824</w:t>
      </w:r>
    </w:p>
    <w:p w14:paraId="28478C4A" w14:textId="7385FA0A" w:rsidR="00210424" w:rsidRPr="00AF7D9D" w:rsidRDefault="0021042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Credé, M. (2010). Random responding as a threat to the validity of effect size estimates in correlational research. </w:t>
      </w:r>
      <w:r w:rsidRPr="00AF7D9D">
        <w:rPr>
          <w:rFonts w:ascii="Times New Roman" w:eastAsia="Calibri" w:hAnsi="Times New Roman" w:cs="Times New Roman"/>
          <w:i/>
          <w:iCs/>
          <w:sz w:val="24"/>
          <w:szCs w:val="24"/>
        </w:rPr>
        <w:t>Educational and Psychological Measurement</w:t>
      </w:r>
      <w:r w:rsidRPr="00AF7D9D">
        <w:rPr>
          <w:rFonts w:ascii="Times New Roman" w:eastAsia="Calibri" w:hAnsi="Times New Roman" w:cs="Times New Roman"/>
          <w:sz w:val="24"/>
          <w:szCs w:val="24"/>
        </w:rPr>
        <w:t>, </w:t>
      </w:r>
      <w:r w:rsidRPr="00AF7D9D">
        <w:rPr>
          <w:rFonts w:ascii="Times New Roman" w:eastAsia="Calibri" w:hAnsi="Times New Roman" w:cs="Times New Roman"/>
          <w:i/>
          <w:iCs/>
          <w:sz w:val="24"/>
          <w:szCs w:val="24"/>
        </w:rPr>
        <w:t>70</w:t>
      </w:r>
      <w:r w:rsidRPr="00AF7D9D">
        <w:rPr>
          <w:rFonts w:ascii="Times New Roman" w:eastAsia="Calibri" w:hAnsi="Times New Roman" w:cs="Times New Roman"/>
          <w:sz w:val="24"/>
          <w:szCs w:val="24"/>
        </w:rPr>
        <w:t>, 596-612. doi:10.1177/0013164410366686</w:t>
      </w:r>
    </w:p>
    <w:p w14:paraId="0305B98E" w14:textId="5C744B0B" w:rsidR="00E06071" w:rsidRPr="00AF7D9D" w:rsidRDefault="00E06071"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Credé, M., Harms, P., Niehorster, S., &amp; Gaye-Valentine, A. (2012). An evaluation of the consequences of using short measures of the Big Five personality traits. </w:t>
      </w:r>
      <w:r w:rsidRPr="00AF7D9D">
        <w:rPr>
          <w:rFonts w:ascii="Times New Roman" w:eastAsia="Calibri" w:hAnsi="Times New Roman" w:cs="Times New Roman"/>
          <w:i/>
          <w:sz w:val="24"/>
          <w:szCs w:val="24"/>
        </w:rPr>
        <w:t>Journal of Personality and Social Psychology, 102</w:t>
      </w:r>
      <w:r w:rsidRPr="00AF7D9D">
        <w:rPr>
          <w:rFonts w:ascii="Times New Roman" w:eastAsia="Calibri" w:hAnsi="Times New Roman" w:cs="Times New Roman"/>
          <w:sz w:val="24"/>
          <w:szCs w:val="24"/>
        </w:rPr>
        <w:t>, 874-888. doi:10.1037/a0027403</w:t>
      </w:r>
    </w:p>
    <w:p w14:paraId="54BE86A3"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Curran, P. G. (2016). Methods for the detection of carelessly invalid responses in survey data. </w:t>
      </w:r>
      <w:r w:rsidRPr="00AF7D9D">
        <w:rPr>
          <w:rFonts w:ascii="Times New Roman" w:eastAsia="Calibri" w:hAnsi="Times New Roman" w:cs="Times New Roman"/>
          <w:i/>
          <w:sz w:val="24"/>
          <w:szCs w:val="24"/>
        </w:rPr>
        <w:t>Journal of Experimental Social Psychology, 66</w:t>
      </w:r>
      <w:r w:rsidRPr="00AF7D9D">
        <w:rPr>
          <w:rFonts w:ascii="Times New Roman" w:eastAsia="Calibri" w:hAnsi="Times New Roman" w:cs="Times New Roman"/>
          <w:sz w:val="24"/>
          <w:szCs w:val="24"/>
        </w:rPr>
        <w:t>, 4-19. doi:10.1016/j/jesp.2015.07.006</w:t>
      </w:r>
    </w:p>
    <w:p w14:paraId="2C3FEFBC"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lastRenderedPageBreak/>
        <w:t xml:space="preserve">DeLisi, M., Peters, D. J., Dansby, T., Vaughn, M. G., Shook, J. J., &amp; Hochstetler, A. (2014). Dynamics of psychopathy and oral disengagement in the etiology of crime. </w:t>
      </w:r>
      <w:r w:rsidRPr="00AF7D9D">
        <w:rPr>
          <w:rFonts w:ascii="Times New Roman" w:eastAsia="Calibri" w:hAnsi="Times New Roman" w:cs="Times New Roman"/>
          <w:i/>
          <w:sz w:val="24"/>
          <w:szCs w:val="24"/>
        </w:rPr>
        <w:t>Youth Violence and Juvenile Justice</w:t>
      </w:r>
      <w:r w:rsidRPr="00AF7D9D">
        <w:rPr>
          <w:rFonts w:ascii="Times New Roman" w:eastAsia="Calibri" w:hAnsi="Times New Roman" w:cs="Times New Roman"/>
          <w:sz w:val="24"/>
          <w:szCs w:val="24"/>
        </w:rPr>
        <w:t>,</w:t>
      </w:r>
      <w:r w:rsidRPr="00AF7D9D">
        <w:rPr>
          <w:rFonts w:ascii="Times New Roman" w:eastAsia="Calibri" w:hAnsi="Times New Roman" w:cs="Times New Roman"/>
          <w:i/>
          <w:sz w:val="24"/>
          <w:szCs w:val="24"/>
        </w:rPr>
        <w:t xml:space="preserve"> 12</w:t>
      </w:r>
      <w:r w:rsidRPr="00AF7D9D">
        <w:rPr>
          <w:rFonts w:ascii="Times New Roman" w:eastAsia="Calibri" w:hAnsi="Times New Roman" w:cs="Times New Roman"/>
          <w:sz w:val="24"/>
          <w:szCs w:val="24"/>
        </w:rPr>
        <w:t>, 295-314. doi:10.1177/1541204013506919</w:t>
      </w:r>
    </w:p>
    <w:p w14:paraId="2BDCD4F1"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DeLisi, M., Vaughn, M. G., Beaver, K. M., Wexler, J., Barth, A. &amp; Fletcher, J. (2011). Fledgling psychopathy in the classroom: ADHD subtypes, psychopathy, and educational outcomes in a community sample of adolescents. </w:t>
      </w:r>
      <w:r w:rsidRPr="00AF7D9D">
        <w:rPr>
          <w:rFonts w:ascii="Times New Roman" w:eastAsia="Calibri" w:hAnsi="Times New Roman" w:cs="Times New Roman"/>
          <w:i/>
          <w:sz w:val="24"/>
          <w:szCs w:val="24"/>
        </w:rPr>
        <w:t>Youth Violence and Juvenile Justice, 9</w:t>
      </w:r>
      <w:r w:rsidRPr="00AF7D9D">
        <w:rPr>
          <w:rFonts w:ascii="Times New Roman" w:eastAsia="Calibri" w:hAnsi="Times New Roman" w:cs="Times New Roman"/>
          <w:sz w:val="24"/>
          <w:szCs w:val="24"/>
        </w:rPr>
        <w:t>, 43-58. doi:10.1177/1541204010371932</w:t>
      </w:r>
    </w:p>
    <w:p w14:paraId="51E1ECA1"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Dolan, M. C., &amp; Rennie, C. E. (2007). The relationship between psychopathic traits measured by the Youth Psychopathic Trait Inventory and psychopathology in a UK sample of conduct disordered boys. </w:t>
      </w:r>
      <w:r w:rsidRPr="00AF7D9D">
        <w:rPr>
          <w:rFonts w:ascii="Times New Roman" w:eastAsia="Calibri" w:hAnsi="Times New Roman" w:cs="Times New Roman"/>
          <w:i/>
          <w:sz w:val="24"/>
          <w:szCs w:val="24"/>
        </w:rPr>
        <w:t>Journal of Adolescence</w:t>
      </w:r>
      <w:r w:rsidRPr="00AF7D9D">
        <w:rPr>
          <w:rFonts w:ascii="Times New Roman" w:eastAsia="Calibri" w:hAnsi="Times New Roman" w:cs="Times New Roman"/>
          <w:sz w:val="24"/>
          <w:szCs w:val="24"/>
        </w:rPr>
        <w:t>,</w:t>
      </w:r>
      <w:r w:rsidRPr="00AF7D9D">
        <w:rPr>
          <w:rFonts w:ascii="Times New Roman" w:eastAsia="Calibri" w:hAnsi="Times New Roman" w:cs="Times New Roman"/>
          <w:i/>
          <w:sz w:val="24"/>
          <w:szCs w:val="24"/>
        </w:rPr>
        <w:t xml:space="preserve"> 30</w:t>
      </w:r>
      <w:r w:rsidRPr="00AF7D9D">
        <w:rPr>
          <w:rFonts w:ascii="Times New Roman" w:eastAsia="Calibri" w:hAnsi="Times New Roman" w:cs="Times New Roman"/>
          <w:sz w:val="24"/>
          <w:szCs w:val="24"/>
        </w:rPr>
        <w:t>, 601-611. doi: 10.1016/j.adolescence.2006.07.002</w:t>
      </w:r>
    </w:p>
    <w:p w14:paraId="633FB67A"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Edens, J. F., Mowle, E. N., Clark, J. W., &amp; Magyar, M. S. (2016). “A psychopath by any other name?”: Juror perceptions of the </w:t>
      </w:r>
      <w:r w:rsidRPr="00AF7D9D">
        <w:rPr>
          <w:rFonts w:ascii="Times New Roman" w:eastAsia="Calibri" w:hAnsi="Times New Roman" w:cs="Times New Roman"/>
          <w:i/>
          <w:sz w:val="24"/>
          <w:szCs w:val="24"/>
        </w:rPr>
        <w:t>DSM-5</w:t>
      </w:r>
      <w:r w:rsidRPr="00AF7D9D">
        <w:rPr>
          <w:rFonts w:ascii="Times New Roman" w:eastAsia="Calibri" w:hAnsi="Times New Roman" w:cs="Times New Roman"/>
          <w:sz w:val="24"/>
          <w:szCs w:val="24"/>
        </w:rPr>
        <w:t xml:space="preserve"> “Limited Prosocial Emotions” specifier. </w:t>
      </w:r>
      <w:r w:rsidRPr="00AF7D9D">
        <w:rPr>
          <w:rFonts w:ascii="Times New Roman" w:eastAsia="Calibri" w:hAnsi="Times New Roman" w:cs="Times New Roman"/>
          <w:i/>
          <w:sz w:val="24"/>
          <w:szCs w:val="24"/>
        </w:rPr>
        <w:t>Journal of Personality Disorders, 31</w:t>
      </w:r>
      <w:r w:rsidRPr="00AF7D9D">
        <w:rPr>
          <w:rFonts w:ascii="Times New Roman" w:eastAsia="Calibri" w:hAnsi="Times New Roman" w:cs="Times New Roman"/>
          <w:sz w:val="24"/>
          <w:szCs w:val="24"/>
        </w:rPr>
        <w:t>, 90-109. doi:10.1521/pedi_2016_30_239</w:t>
      </w:r>
    </w:p>
    <w:p w14:paraId="1E4845EE"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Elliott, D. S., &amp; Ageton, S. (1980). Reconciling race and class differences in self-reported and official estimates of delinquency. </w:t>
      </w:r>
      <w:r w:rsidRPr="00AF7D9D">
        <w:rPr>
          <w:rFonts w:ascii="Times New Roman" w:eastAsia="Calibri" w:hAnsi="Times New Roman" w:cs="Times New Roman"/>
          <w:i/>
          <w:sz w:val="24"/>
          <w:szCs w:val="24"/>
        </w:rPr>
        <w:t xml:space="preserve">American Sociological Review, 45, </w:t>
      </w:r>
      <w:r w:rsidRPr="00AF7D9D">
        <w:rPr>
          <w:rFonts w:ascii="Times New Roman" w:eastAsia="Calibri" w:hAnsi="Times New Roman" w:cs="Times New Roman"/>
          <w:sz w:val="24"/>
          <w:szCs w:val="24"/>
        </w:rPr>
        <w:t xml:space="preserve">95-110. </w:t>
      </w:r>
    </w:p>
    <w:p w14:paraId="55AF8C9B"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Elliott, D. S., Huizinga, D., &amp; Menard, S. (1989). </w:t>
      </w:r>
      <w:r w:rsidRPr="00AF7D9D">
        <w:rPr>
          <w:rFonts w:ascii="Times New Roman" w:eastAsia="Calibri" w:hAnsi="Times New Roman" w:cs="Times New Roman"/>
          <w:i/>
          <w:sz w:val="24"/>
          <w:szCs w:val="24"/>
        </w:rPr>
        <w:t>Multiple problem youth: Delinquency, substance use, and mental health problems.</w:t>
      </w:r>
      <w:r w:rsidRPr="00AF7D9D">
        <w:rPr>
          <w:rFonts w:ascii="Times New Roman" w:eastAsia="Calibri" w:hAnsi="Times New Roman" w:cs="Times New Roman"/>
          <w:sz w:val="24"/>
          <w:szCs w:val="24"/>
        </w:rPr>
        <w:t xml:space="preserve"> New York: Springer-Verlag.</w:t>
      </w:r>
    </w:p>
    <w:p w14:paraId="4AB20BA5"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Eisenbarth, H., &amp; Centifanti, L. M. (2016). </w:t>
      </w:r>
      <w:r w:rsidRPr="00AF7D9D">
        <w:rPr>
          <w:rFonts w:ascii="Times New Roman" w:eastAsia="Calibri" w:hAnsi="Times New Roman" w:cs="Times New Roman"/>
          <w:i/>
          <w:sz w:val="24"/>
          <w:szCs w:val="24"/>
        </w:rPr>
        <w:t>Dimensions of psychopathic traits in a community sample: Implications from different measures for impulsivity and delinquency</w:t>
      </w:r>
      <w:r w:rsidRPr="00AF7D9D">
        <w:rPr>
          <w:rFonts w:ascii="Times New Roman" w:eastAsia="Calibri" w:hAnsi="Times New Roman" w:cs="Times New Roman"/>
          <w:sz w:val="24"/>
          <w:szCs w:val="24"/>
        </w:rPr>
        <w:t>. Manuscript submitted for publication.</w:t>
      </w:r>
    </w:p>
    <w:p w14:paraId="2B75A404"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Faust, K. A., Faust, D., Baker, A. M., &amp; Meyer, J. F. (2012). Refining video game use questionnaires for research and clinical application: Detection of problematic response </w:t>
      </w:r>
      <w:r w:rsidRPr="00AF7D9D">
        <w:rPr>
          <w:rFonts w:ascii="Times New Roman" w:eastAsia="Calibri" w:hAnsi="Times New Roman" w:cs="Times New Roman"/>
          <w:sz w:val="24"/>
          <w:szCs w:val="24"/>
        </w:rPr>
        <w:lastRenderedPageBreak/>
        <w:t xml:space="preserve">sets. </w:t>
      </w:r>
      <w:r w:rsidRPr="00AF7D9D">
        <w:rPr>
          <w:rFonts w:ascii="Times New Roman" w:eastAsia="Calibri" w:hAnsi="Times New Roman" w:cs="Times New Roman"/>
          <w:i/>
          <w:sz w:val="24"/>
          <w:szCs w:val="24"/>
        </w:rPr>
        <w:t>International Journal of Mental Health and Addiction, 10</w:t>
      </w:r>
      <w:r w:rsidRPr="00AF7D9D">
        <w:rPr>
          <w:rFonts w:ascii="Times New Roman" w:eastAsia="Calibri" w:hAnsi="Times New Roman" w:cs="Times New Roman"/>
          <w:sz w:val="24"/>
          <w:szCs w:val="24"/>
        </w:rPr>
        <w:t>, 936-947. doi:10.1007/s11469-012-9390-5</w:t>
      </w:r>
    </w:p>
    <w:p w14:paraId="5B21F695"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First, M. B., Spitzer, R. L., Gibbon, M., Williams, G. B. W., &amp; Benjamin, L. (1997). </w:t>
      </w:r>
      <w:r w:rsidRPr="00AF7D9D">
        <w:rPr>
          <w:rFonts w:ascii="Times New Roman" w:eastAsia="Calibri" w:hAnsi="Times New Roman" w:cs="Times New Roman"/>
          <w:i/>
          <w:sz w:val="24"/>
          <w:szCs w:val="24"/>
        </w:rPr>
        <w:t>Structured Clinical Interview for DSM-IV Axis II Personality Disorders (SCID-II)</w:t>
      </w:r>
      <w:r w:rsidRPr="00AF7D9D">
        <w:rPr>
          <w:rFonts w:ascii="Times New Roman" w:eastAsia="Calibri" w:hAnsi="Times New Roman" w:cs="Times New Roman"/>
          <w:sz w:val="24"/>
          <w:szCs w:val="24"/>
        </w:rPr>
        <w:t>. Washington, DC: American Psychiatric Association.</w:t>
      </w:r>
    </w:p>
    <w:p w14:paraId="40FD96C2"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Fossati, A., Somma, A., Borroni, S., Frera, F., Maffei, C., &amp; Andershed, H. (2016). The factor structure of the short version of the Youth Psychopathic Traits Inventory in two independent samples of nonreferred adolescents. </w:t>
      </w:r>
      <w:r w:rsidRPr="00AF7D9D">
        <w:rPr>
          <w:rFonts w:ascii="Times New Roman" w:eastAsia="Calibri" w:hAnsi="Times New Roman" w:cs="Times New Roman"/>
          <w:i/>
          <w:sz w:val="24"/>
          <w:szCs w:val="24"/>
        </w:rPr>
        <w:t xml:space="preserve">Assessment, 23, </w:t>
      </w:r>
      <w:r w:rsidRPr="00AF7D9D">
        <w:rPr>
          <w:rFonts w:ascii="Times New Roman" w:eastAsia="Calibri" w:hAnsi="Times New Roman" w:cs="Times New Roman"/>
          <w:sz w:val="24"/>
          <w:szCs w:val="24"/>
        </w:rPr>
        <w:t>683-697. doi:10.1177/1073191115593628</w:t>
      </w:r>
    </w:p>
    <w:p w14:paraId="5B8D6824" w14:textId="77777777" w:rsidR="003D63E8" w:rsidRPr="00AF7D9D" w:rsidRDefault="003D63E8"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Gillen, C. T. A., MacDougall, E. A. M., Forth, A. E., Barry, C. T., &amp; Salekin, R. T. (2017). Validity of the Youth Psychopathic Traits Inventory–Short Version in justice-involved and at-risk adolescents. </w:t>
      </w:r>
      <w:r w:rsidRPr="00AF7D9D">
        <w:rPr>
          <w:rFonts w:ascii="Times New Roman" w:eastAsia="Calibri" w:hAnsi="Times New Roman" w:cs="Times New Roman"/>
          <w:i/>
          <w:sz w:val="24"/>
          <w:szCs w:val="24"/>
        </w:rPr>
        <w:t>Assessment</w:t>
      </w:r>
      <w:r w:rsidR="00595BF2" w:rsidRPr="00AF7D9D">
        <w:rPr>
          <w:rFonts w:ascii="Times New Roman" w:eastAsia="Calibri" w:hAnsi="Times New Roman" w:cs="Times New Roman"/>
          <w:i/>
          <w:sz w:val="24"/>
          <w:szCs w:val="24"/>
        </w:rPr>
        <w:t xml:space="preserve">. </w:t>
      </w:r>
      <w:r w:rsidR="00595BF2" w:rsidRPr="00AF7D9D">
        <w:rPr>
          <w:rFonts w:ascii="Times New Roman" w:eastAsia="Calibri" w:hAnsi="Times New Roman" w:cs="Times New Roman"/>
          <w:sz w:val="24"/>
          <w:szCs w:val="24"/>
        </w:rPr>
        <w:t>Advance online publication. doi:10.1177/1073191117700723</w:t>
      </w:r>
    </w:p>
    <w:p w14:paraId="5AE11AD9"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Grisso, T., &amp; Barnum, R. (2000). </w:t>
      </w:r>
      <w:r w:rsidRPr="00AF7D9D">
        <w:rPr>
          <w:rFonts w:ascii="Times New Roman" w:eastAsia="Calibri" w:hAnsi="Times New Roman" w:cs="Times New Roman"/>
          <w:i/>
          <w:sz w:val="24"/>
          <w:szCs w:val="24"/>
        </w:rPr>
        <w:t>Massachusetts Youth Screening Instrument-2 (MAYSI-2): User's manual and technical report.</w:t>
      </w:r>
      <w:r w:rsidRPr="00AF7D9D">
        <w:rPr>
          <w:rFonts w:ascii="Times New Roman" w:eastAsia="Calibri" w:hAnsi="Times New Roman" w:cs="Times New Roman"/>
          <w:sz w:val="24"/>
          <w:szCs w:val="24"/>
        </w:rPr>
        <w:t xml:space="preserve"> Worchester, MA: University of Massachusetts Medical School.</w:t>
      </w:r>
    </w:p>
    <w:p w14:paraId="08CFD4A5" w14:textId="77777777" w:rsidR="0074645E" w:rsidRPr="00AF7D9D" w:rsidRDefault="00FD21A4" w:rsidP="007647DA">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Handel, R., Ben-Porath, Y. S., Tellegen, A., &amp; Archer, R. P. (2010). Psychometric functioning of the MMPI-2-RF VRIN-r and TRIN-r scales with varying degrees of randomness, acquiescence, and counter-acquiescence. </w:t>
      </w:r>
      <w:r w:rsidRPr="00AF7D9D">
        <w:rPr>
          <w:rFonts w:ascii="Times New Roman" w:eastAsia="Calibri" w:hAnsi="Times New Roman" w:cs="Times New Roman"/>
          <w:i/>
          <w:sz w:val="24"/>
          <w:szCs w:val="24"/>
        </w:rPr>
        <w:t>Psychological Assessment, 22</w:t>
      </w:r>
      <w:r w:rsidRPr="00AF7D9D">
        <w:rPr>
          <w:rFonts w:ascii="Times New Roman" w:eastAsia="Calibri" w:hAnsi="Times New Roman" w:cs="Times New Roman"/>
          <w:sz w:val="24"/>
          <w:szCs w:val="24"/>
        </w:rPr>
        <w:t>, 87-95. doi:10.1037/a0017061</w:t>
      </w:r>
    </w:p>
    <w:p w14:paraId="281D814E"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Hare, R. D. (2003). </w:t>
      </w:r>
      <w:r w:rsidRPr="00AF7D9D">
        <w:rPr>
          <w:rFonts w:ascii="Times New Roman" w:eastAsia="Calibri" w:hAnsi="Times New Roman" w:cs="Times New Roman"/>
          <w:i/>
          <w:sz w:val="24"/>
          <w:szCs w:val="24"/>
        </w:rPr>
        <w:t>The Psychopathy Checklist – Revised manual and interview guide</w:t>
      </w:r>
      <w:r w:rsidRPr="00AF7D9D">
        <w:rPr>
          <w:rFonts w:ascii="Times New Roman" w:eastAsia="Calibri" w:hAnsi="Times New Roman" w:cs="Times New Roman"/>
          <w:sz w:val="24"/>
          <w:szCs w:val="24"/>
        </w:rPr>
        <w:t xml:space="preserve"> (2nd ed.). Toronto, Canada: Multi-Health Systems. </w:t>
      </w:r>
    </w:p>
    <w:p w14:paraId="0EF64C21"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lastRenderedPageBreak/>
        <w:t xml:space="preserve">Hillege, S., Das, J., &amp; de Ruiter, C. (2010). The Youth Psychopathic Traits Inventory: Psychometric properties and its relation to substance use and interpersonal style in a Dutch sample of non-referred adolescents. </w:t>
      </w:r>
      <w:r w:rsidRPr="00AF7D9D">
        <w:rPr>
          <w:rFonts w:ascii="Times New Roman" w:eastAsia="Calibri" w:hAnsi="Times New Roman" w:cs="Times New Roman"/>
          <w:i/>
          <w:sz w:val="24"/>
          <w:szCs w:val="24"/>
        </w:rPr>
        <w:t xml:space="preserve">Journal of Adolescence, 33, </w:t>
      </w:r>
      <w:r w:rsidRPr="00AF7D9D">
        <w:rPr>
          <w:rFonts w:ascii="Times New Roman" w:eastAsia="Calibri" w:hAnsi="Times New Roman" w:cs="Times New Roman"/>
          <w:sz w:val="24"/>
          <w:szCs w:val="24"/>
        </w:rPr>
        <w:t>83-91. doi:10.1016/j/adolescence.2009.05.006</w:t>
      </w:r>
    </w:p>
    <w:p w14:paraId="19D349B5"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Huang, J. L., Liu, M., &amp; Bowling, N. A. (2015). Insufficient effort responding: Examining an insidious confound in survey data. </w:t>
      </w:r>
      <w:r w:rsidRPr="00AF7D9D">
        <w:rPr>
          <w:rFonts w:ascii="Times New Roman" w:eastAsia="Calibri" w:hAnsi="Times New Roman" w:cs="Times New Roman"/>
          <w:i/>
          <w:sz w:val="24"/>
          <w:szCs w:val="24"/>
        </w:rPr>
        <w:t>Journal of Applied Psychology, 100</w:t>
      </w:r>
      <w:r w:rsidRPr="00AF7D9D">
        <w:rPr>
          <w:rFonts w:ascii="Times New Roman" w:eastAsia="Calibri" w:hAnsi="Times New Roman" w:cs="Times New Roman"/>
          <w:sz w:val="24"/>
          <w:szCs w:val="24"/>
        </w:rPr>
        <w:t>, 828–845. doi:10.1037/a0038510</w:t>
      </w:r>
    </w:p>
    <w:p w14:paraId="59BF75AD" w14:textId="77777777" w:rsidR="00FD21A4" w:rsidRPr="00AF7D9D" w:rsidRDefault="00FD21A4" w:rsidP="00FD21A4">
      <w:pPr>
        <w:spacing w:after="0" w:line="480" w:lineRule="auto"/>
        <w:ind w:left="720" w:hanging="720"/>
        <w:rPr>
          <w:rFonts w:ascii="Times New Roman" w:eastAsia="Calibri" w:hAnsi="Times New Roman" w:cs="Times New Roman"/>
          <w:sz w:val="24"/>
          <w:szCs w:val="24"/>
          <w:lang w:val="nl-NL"/>
        </w:rPr>
      </w:pPr>
      <w:r w:rsidRPr="00AF7D9D">
        <w:rPr>
          <w:rFonts w:ascii="Times New Roman" w:eastAsia="Calibri" w:hAnsi="Times New Roman" w:cs="Times New Roman"/>
          <w:sz w:val="24"/>
          <w:szCs w:val="24"/>
        </w:rPr>
        <w:t xml:space="preserve">John, O. P., &amp; Srivastava, S. (1999). The Big Five trait taxonomy: History, measurement and theoretical perspectives. In L. A. Pervin &amp; O. P. John (Eds.), </w:t>
      </w:r>
      <w:r w:rsidRPr="00AF7D9D">
        <w:rPr>
          <w:rFonts w:ascii="Times New Roman" w:eastAsia="Calibri" w:hAnsi="Times New Roman" w:cs="Times New Roman"/>
          <w:i/>
          <w:sz w:val="24"/>
          <w:szCs w:val="24"/>
        </w:rPr>
        <w:t>Handbook of personality: Theory and research</w:t>
      </w:r>
      <w:r w:rsidRPr="00AF7D9D">
        <w:rPr>
          <w:rFonts w:ascii="Times New Roman" w:eastAsia="Calibri" w:hAnsi="Times New Roman" w:cs="Times New Roman"/>
          <w:sz w:val="24"/>
          <w:szCs w:val="24"/>
        </w:rPr>
        <w:t xml:space="preserve"> (2nd ed., pp. 102-138). </w:t>
      </w:r>
      <w:r w:rsidRPr="00AF7D9D">
        <w:rPr>
          <w:rFonts w:ascii="Times New Roman" w:eastAsia="Calibri" w:hAnsi="Times New Roman" w:cs="Times New Roman"/>
          <w:sz w:val="24"/>
          <w:szCs w:val="24"/>
          <w:lang w:val="nl-NL"/>
        </w:rPr>
        <w:t>New York, NY: Guilford Press.</w:t>
      </w:r>
    </w:p>
    <w:p w14:paraId="21124E48"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lang w:val="nl-NL"/>
        </w:rPr>
        <w:t xml:space="preserve">de Jong, C. A. J., van den Brink, W., &amp; Jansma, A. (2000). </w:t>
      </w:r>
      <w:r w:rsidRPr="00AF7D9D">
        <w:rPr>
          <w:rFonts w:ascii="Times New Roman" w:eastAsia="Calibri" w:hAnsi="Times New Roman" w:cs="Times New Roman"/>
          <w:i/>
          <w:sz w:val="24"/>
          <w:szCs w:val="24"/>
          <w:lang w:val="nl-NL"/>
        </w:rPr>
        <w:t xml:space="preserve">ICL-R: Handleiding bij de vernieuwde versie van de Interpersonal Checklist (ICL). </w:t>
      </w:r>
      <w:r w:rsidRPr="00AF7D9D">
        <w:rPr>
          <w:rFonts w:ascii="Times New Roman" w:eastAsia="Calibri" w:hAnsi="Times New Roman" w:cs="Times New Roman"/>
          <w:i/>
          <w:sz w:val="24"/>
          <w:szCs w:val="24"/>
        </w:rPr>
        <w:t>[Manual of the revised Dutch version of the Interperonal Checklist (ICL)]</w:t>
      </w:r>
      <w:r w:rsidR="004E78B9" w:rsidRPr="00AF7D9D">
        <w:rPr>
          <w:rFonts w:ascii="Times New Roman" w:eastAsia="Calibri" w:hAnsi="Times New Roman" w:cs="Times New Roman"/>
          <w:sz w:val="24"/>
          <w:szCs w:val="24"/>
        </w:rPr>
        <w:t>. Sint Oedenrode, t</w:t>
      </w:r>
      <w:r w:rsidRPr="00AF7D9D">
        <w:rPr>
          <w:rFonts w:ascii="Times New Roman" w:eastAsia="Calibri" w:hAnsi="Times New Roman" w:cs="Times New Roman"/>
          <w:sz w:val="24"/>
          <w:szCs w:val="24"/>
        </w:rPr>
        <w:t>he Netherlands: Novadic.</w:t>
      </w:r>
    </w:p>
    <w:p w14:paraId="5651F13A"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Keeley, J. W., Webb, C., Peterson, D., Roussin, L., &amp; Flanagan, E. H. (2016). Development of a response inconsistency scale for the Personality Inventory for </w:t>
      </w:r>
      <w:r w:rsidRPr="00AF7D9D">
        <w:rPr>
          <w:rFonts w:ascii="Times New Roman" w:eastAsia="Calibri" w:hAnsi="Times New Roman" w:cs="Times New Roman"/>
          <w:i/>
          <w:sz w:val="24"/>
          <w:szCs w:val="24"/>
        </w:rPr>
        <w:t>DSM-5</w:t>
      </w:r>
      <w:r w:rsidRPr="00AF7D9D">
        <w:rPr>
          <w:rFonts w:ascii="Times New Roman" w:eastAsia="Calibri" w:hAnsi="Times New Roman" w:cs="Times New Roman"/>
          <w:sz w:val="24"/>
          <w:szCs w:val="24"/>
        </w:rPr>
        <w:t xml:space="preserve">. </w:t>
      </w:r>
      <w:r w:rsidRPr="00AF7D9D">
        <w:rPr>
          <w:rFonts w:ascii="Times New Roman" w:eastAsia="Calibri" w:hAnsi="Times New Roman" w:cs="Times New Roman"/>
          <w:i/>
          <w:sz w:val="24"/>
          <w:szCs w:val="24"/>
        </w:rPr>
        <w:t xml:space="preserve">Journal of Personality Assessment, 98, </w:t>
      </w:r>
      <w:r w:rsidRPr="00AF7D9D">
        <w:rPr>
          <w:rFonts w:ascii="Times New Roman" w:eastAsia="Calibri" w:hAnsi="Times New Roman" w:cs="Times New Roman"/>
          <w:sz w:val="24"/>
          <w:szCs w:val="24"/>
        </w:rPr>
        <w:t>351-359. doi:10.1080/00223891.2016.1158719</w:t>
      </w:r>
    </w:p>
    <w:p w14:paraId="20A02C71" w14:textId="77777777" w:rsidR="00FD21A4" w:rsidRPr="00AF7D9D" w:rsidRDefault="00FD21A4" w:rsidP="00FD21A4">
      <w:pPr>
        <w:spacing w:after="0" w:line="480" w:lineRule="auto"/>
        <w:ind w:left="720" w:hanging="720"/>
        <w:rPr>
          <w:rFonts w:ascii="Times New Roman" w:eastAsia="Calibri" w:hAnsi="Times New Roman" w:cs="Times New Roman"/>
          <w:i/>
          <w:sz w:val="24"/>
          <w:szCs w:val="24"/>
        </w:rPr>
      </w:pPr>
      <w:r w:rsidRPr="00AF7D9D">
        <w:rPr>
          <w:rFonts w:ascii="Times New Roman" w:eastAsia="Calibri" w:hAnsi="Times New Roman" w:cs="Times New Roman"/>
          <w:sz w:val="24"/>
          <w:szCs w:val="24"/>
        </w:rPr>
        <w:t>Kelley, S.</w:t>
      </w:r>
      <w:r w:rsidR="00D768F5" w:rsidRPr="00AF7D9D">
        <w:rPr>
          <w:rFonts w:ascii="Times New Roman" w:eastAsia="Calibri" w:hAnsi="Times New Roman" w:cs="Times New Roman"/>
          <w:sz w:val="24"/>
          <w:szCs w:val="24"/>
        </w:rPr>
        <w:t xml:space="preserve"> </w:t>
      </w:r>
      <w:r w:rsidRPr="00AF7D9D">
        <w:rPr>
          <w:rFonts w:ascii="Times New Roman" w:eastAsia="Calibri" w:hAnsi="Times New Roman" w:cs="Times New Roman"/>
          <w:sz w:val="24"/>
          <w:szCs w:val="24"/>
        </w:rPr>
        <w:t>E., van Dongen, J.</w:t>
      </w:r>
      <w:r w:rsidR="00D768F5" w:rsidRPr="00AF7D9D">
        <w:rPr>
          <w:rFonts w:ascii="Times New Roman" w:eastAsia="Calibri" w:hAnsi="Times New Roman" w:cs="Times New Roman"/>
          <w:sz w:val="24"/>
          <w:szCs w:val="24"/>
        </w:rPr>
        <w:t xml:space="preserve"> </w:t>
      </w:r>
      <w:r w:rsidRPr="00AF7D9D">
        <w:rPr>
          <w:rFonts w:ascii="Times New Roman" w:eastAsia="Calibri" w:hAnsi="Times New Roman" w:cs="Times New Roman"/>
          <w:sz w:val="24"/>
          <w:szCs w:val="24"/>
        </w:rPr>
        <w:t>M., Donnellan, M.</w:t>
      </w:r>
      <w:r w:rsidR="00D768F5" w:rsidRPr="00AF7D9D">
        <w:rPr>
          <w:rFonts w:ascii="Times New Roman" w:eastAsia="Calibri" w:hAnsi="Times New Roman" w:cs="Times New Roman"/>
          <w:sz w:val="24"/>
          <w:szCs w:val="24"/>
        </w:rPr>
        <w:t xml:space="preserve"> </w:t>
      </w:r>
      <w:r w:rsidRPr="00AF7D9D">
        <w:rPr>
          <w:rFonts w:ascii="Times New Roman" w:eastAsia="Calibri" w:hAnsi="Times New Roman" w:cs="Times New Roman"/>
          <w:sz w:val="24"/>
          <w:szCs w:val="24"/>
        </w:rPr>
        <w:t>B., Edens, J.</w:t>
      </w:r>
      <w:r w:rsidR="00D768F5" w:rsidRPr="00AF7D9D">
        <w:rPr>
          <w:rFonts w:ascii="Times New Roman" w:eastAsia="Calibri" w:hAnsi="Times New Roman" w:cs="Times New Roman"/>
          <w:sz w:val="24"/>
          <w:szCs w:val="24"/>
        </w:rPr>
        <w:t xml:space="preserve"> </w:t>
      </w:r>
      <w:r w:rsidRPr="00AF7D9D">
        <w:rPr>
          <w:rFonts w:ascii="Times New Roman" w:eastAsia="Calibri" w:hAnsi="Times New Roman" w:cs="Times New Roman"/>
          <w:sz w:val="24"/>
          <w:szCs w:val="24"/>
        </w:rPr>
        <w:t>F., Eisenbarth, H., Fossati, A.,…&amp; Sörman, K. (2017). Examination of the Triarchic Assessment Procedure for Inconsistent Responding in six non-English language samples.</w:t>
      </w:r>
      <w:r w:rsidRPr="00AF7D9D">
        <w:rPr>
          <w:rFonts w:ascii="Times New Roman" w:eastAsia="Calibri" w:hAnsi="Times New Roman" w:cs="Times New Roman"/>
          <w:i/>
          <w:sz w:val="24"/>
          <w:szCs w:val="24"/>
        </w:rPr>
        <w:t xml:space="preserve"> </w:t>
      </w:r>
      <w:r w:rsidR="00013D38" w:rsidRPr="00AF7D9D">
        <w:rPr>
          <w:rFonts w:ascii="Times New Roman" w:eastAsia="Calibri" w:hAnsi="Times New Roman" w:cs="Times New Roman"/>
          <w:i/>
          <w:iCs/>
          <w:sz w:val="24"/>
          <w:szCs w:val="24"/>
          <w:lang w:val="en"/>
        </w:rPr>
        <w:t>Psychological Assessment</w:t>
      </w:r>
      <w:r w:rsidR="00013D38" w:rsidRPr="00AF7D9D">
        <w:rPr>
          <w:rFonts w:ascii="Times New Roman" w:eastAsia="Calibri" w:hAnsi="Times New Roman" w:cs="Times New Roman"/>
          <w:sz w:val="24"/>
          <w:szCs w:val="24"/>
          <w:lang w:val="en"/>
        </w:rPr>
        <w:t xml:space="preserve">. </w:t>
      </w:r>
      <w:r w:rsidR="00013D38" w:rsidRPr="00AF7D9D">
        <w:rPr>
          <w:rFonts w:ascii="Times New Roman" w:eastAsia="Calibri" w:hAnsi="Times New Roman" w:cs="Times New Roman"/>
          <w:sz w:val="24"/>
          <w:szCs w:val="24"/>
        </w:rPr>
        <w:t xml:space="preserve">Advance online publication. </w:t>
      </w:r>
      <w:r w:rsidR="00013D38" w:rsidRPr="00AF7D9D">
        <w:rPr>
          <w:rFonts w:ascii="Times New Roman" w:eastAsia="Calibri" w:hAnsi="Times New Roman" w:cs="Times New Roman"/>
          <w:sz w:val="24"/>
          <w:szCs w:val="24"/>
          <w:lang w:val="en"/>
        </w:rPr>
        <w:t>doi:10.1037/pas0000485</w:t>
      </w:r>
    </w:p>
    <w:p w14:paraId="3BD5B3E2"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Kelley, S. E., Edens, J. F., Donnellan, M. B., Ruchensky, J. R., Witt, E. A., &amp; McDermott, B. E. (2016). Development and validation of an inconsistent responding scale for an </w:t>
      </w:r>
      <w:r w:rsidRPr="00AF7D9D">
        <w:rPr>
          <w:rFonts w:ascii="Times New Roman" w:eastAsia="Calibri" w:hAnsi="Times New Roman" w:cs="Times New Roman"/>
          <w:sz w:val="24"/>
          <w:szCs w:val="24"/>
        </w:rPr>
        <w:lastRenderedPageBreak/>
        <w:t xml:space="preserve">abbreviated version of the Psychopathic Personality Inventory - Revised. </w:t>
      </w:r>
      <w:r w:rsidRPr="00AF7D9D">
        <w:rPr>
          <w:rFonts w:ascii="Times New Roman" w:eastAsia="Calibri" w:hAnsi="Times New Roman" w:cs="Times New Roman"/>
          <w:i/>
          <w:sz w:val="24"/>
          <w:szCs w:val="24"/>
        </w:rPr>
        <w:t>Personality and Individual Differences</w:t>
      </w:r>
      <w:r w:rsidRPr="00AF7D9D">
        <w:rPr>
          <w:rFonts w:ascii="Times New Roman" w:eastAsia="Calibri" w:hAnsi="Times New Roman" w:cs="Times New Roman"/>
          <w:sz w:val="24"/>
          <w:szCs w:val="24"/>
        </w:rPr>
        <w:t>, 91, 58-62. doi:10.1016/j.paid.2015.11.033</w:t>
      </w:r>
    </w:p>
    <w:p w14:paraId="1062ADDC"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Lilienfeld, S. O., &amp; Widows, M. R. (2005). </w:t>
      </w:r>
      <w:r w:rsidRPr="00AF7D9D">
        <w:rPr>
          <w:rFonts w:ascii="Times New Roman" w:eastAsia="Calibri" w:hAnsi="Times New Roman" w:cs="Times New Roman"/>
          <w:i/>
          <w:sz w:val="24"/>
          <w:szCs w:val="24"/>
        </w:rPr>
        <w:t>Psychopathic Personality Inventory–Revised professional manual</w:t>
      </w:r>
      <w:r w:rsidRPr="00AF7D9D">
        <w:rPr>
          <w:rFonts w:ascii="Times New Roman" w:eastAsia="Calibri" w:hAnsi="Times New Roman" w:cs="Times New Roman"/>
          <w:sz w:val="24"/>
          <w:szCs w:val="24"/>
        </w:rPr>
        <w:t>. Lutz, FL: PAR, Inc.</w:t>
      </w:r>
    </w:p>
    <w:p w14:paraId="34B492B6"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Marcus, D. K., Church, A. S., O’Connell, D., &amp; Lilienfeld, S. O. (in press). Identifying careless responding with the Psychopathic Personality Inventory – Revised validity scales. </w:t>
      </w:r>
      <w:r w:rsidRPr="00AF7D9D">
        <w:rPr>
          <w:rFonts w:ascii="Times New Roman" w:eastAsia="Calibri" w:hAnsi="Times New Roman" w:cs="Times New Roman"/>
          <w:i/>
          <w:sz w:val="24"/>
          <w:szCs w:val="24"/>
        </w:rPr>
        <w:t>Assessment</w:t>
      </w:r>
      <w:r w:rsidR="00D768F5" w:rsidRPr="00AF7D9D">
        <w:rPr>
          <w:rFonts w:ascii="Times New Roman" w:eastAsia="Calibri" w:hAnsi="Times New Roman" w:cs="Times New Roman"/>
          <w:sz w:val="24"/>
          <w:szCs w:val="24"/>
        </w:rPr>
        <w:t>.</w:t>
      </w:r>
      <w:r w:rsidR="003B5772" w:rsidRPr="00AF7D9D">
        <w:rPr>
          <w:rFonts w:ascii="Times New Roman" w:eastAsia="Calibri" w:hAnsi="Times New Roman" w:cs="Times New Roman"/>
          <w:sz w:val="24"/>
          <w:szCs w:val="24"/>
        </w:rPr>
        <w:t xml:space="preserve"> </w:t>
      </w:r>
      <w:r w:rsidRPr="00AF7D9D">
        <w:rPr>
          <w:rFonts w:ascii="Times New Roman" w:eastAsia="Calibri" w:hAnsi="Times New Roman" w:cs="Times New Roman"/>
          <w:sz w:val="24"/>
          <w:szCs w:val="24"/>
        </w:rPr>
        <w:t>Advance online publication. doi:10.1177/1073191116641507</w:t>
      </w:r>
    </w:p>
    <w:p w14:paraId="0E6D1607"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Meade, A. W., &amp; Craig, S. B. (2012). Identifying careless responses in survey data. </w:t>
      </w:r>
      <w:r w:rsidRPr="00AF7D9D">
        <w:rPr>
          <w:rFonts w:ascii="Times New Roman" w:eastAsia="Calibri" w:hAnsi="Times New Roman" w:cs="Times New Roman"/>
          <w:i/>
          <w:sz w:val="24"/>
          <w:szCs w:val="24"/>
        </w:rPr>
        <w:t>Psychological Methods, 17</w:t>
      </w:r>
      <w:r w:rsidRPr="00AF7D9D">
        <w:rPr>
          <w:rFonts w:ascii="Times New Roman" w:eastAsia="Calibri" w:hAnsi="Times New Roman" w:cs="Times New Roman"/>
          <w:sz w:val="24"/>
          <w:szCs w:val="24"/>
        </w:rPr>
        <w:t>, 437-455. doi:10.1037/a0028085</w:t>
      </w:r>
    </w:p>
    <w:p w14:paraId="09F2D014" w14:textId="7F558A31" w:rsidR="002B3108" w:rsidRPr="00AF7D9D" w:rsidRDefault="002B3108"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McGrath, R. E., Mitchell, M., Kim, B. H., &amp; Hough, L. </w:t>
      </w:r>
      <w:r w:rsidR="0085182A" w:rsidRPr="00AF7D9D">
        <w:rPr>
          <w:rFonts w:ascii="Times New Roman" w:eastAsia="Calibri" w:hAnsi="Times New Roman" w:cs="Times New Roman"/>
          <w:sz w:val="24"/>
          <w:szCs w:val="24"/>
        </w:rPr>
        <w:t>(</w:t>
      </w:r>
      <w:r w:rsidR="002225AD" w:rsidRPr="00AF7D9D">
        <w:rPr>
          <w:rFonts w:ascii="Times New Roman" w:eastAsia="Calibri" w:hAnsi="Times New Roman" w:cs="Times New Roman"/>
          <w:sz w:val="24"/>
          <w:szCs w:val="24"/>
        </w:rPr>
        <w:t>2010</w:t>
      </w:r>
      <w:r w:rsidR="0085182A" w:rsidRPr="00AF7D9D">
        <w:rPr>
          <w:rFonts w:ascii="Times New Roman" w:eastAsia="Calibri" w:hAnsi="Times New Roman" w:cs="Times New Roman"/>
          <w:sz w:val="24"/>
          <w:szCs w:val="24"/>
        </w:rPr>
        <w:t xml:space="preserve">) </w:t>
      </w:r>
      <w:r w:rsidRPr="00AF7D9D">
        <w:rPr>
          <w:rFonts w:ascii="Times New Roman" w:eastAsia="Calibri" w:hAnsi="Times New Roman" w:cs="Times New Roman"/>
          <w:sz w:val="24"/>
          <w:szCs w:val="24"/>
        </w:rPr>
        <w:t xml:space="preserve">Evidence for response bias as a source of error variance in applied assessment. </w:t>
      </w:r>
      <w:r w:rsidRPr="00AF7D9D">
        <w:rPr>
          <w:rFonts w:ascii="Times New Roman" w:eastAsia="Calibri" w:hAnsi="Times New Roman" w:cs="Times New Roman"/>
          <w:i/>
          <w:sz w:val="24"/>
          <w:szCs w:val="24"/>
        </w:rPr>
        <w:t>Psychological Bulletin, 136</w:t>
      </w:r>
      <w:r w:rsidRPr="00AF7D9D">
        <w:rPr>
          <w:rFonts w:ascii="Times New Roman" w:eastAsia="Calibri" w:hAnsi="Times New Roman" w:cs="Times New Roman"/>
          <w:sz w:val="24"/>
          <w:szCs w:val="24"/>
        </w:rPr>
        <w:t>, 450-470. doi:10.1037/a0019216</w:t>
      </w:r>
    </w:p>
    <w:p w14:paraId="43255852"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Miller, J. D., Lynam, D. R., Widiger, T. A., &amp; Leukefeld, C. (2001). Personality disorders as extreme variants of common personality dimensions: Can the Five-Factor Model adequately represent psychopathy? </w:t>
      </w:r>
      <w:r w:rsidRPr="00AF7D9D">
        <w:rPr>
          <w:rFonts w:ascii="Times New Roman" w:eastAsia="Calibri" w:hAnsi="Times New Roman" w:cs="Times New Roman"/>
          <w:i/>
          <w:sz w:val="24"/>
          <w:szCs w:val="24"/>
        </w:rPr>
        <w:t>Journal of Personality, 69</w:t>
      </w:r>
      <w:r w:rsidRPr="00AF7D9D">
        <w:rPr>
          <w:rFonts w:ascii="Times New Roman" w:eastAsia="Calibri" w:hAnsi="Times New Roman" w:cs="Times New Roman"/>
          <w:sz w:val="24"/>
          <w:szCs w:val="24"/>
        </w:rPr>
        <w:t>, 253-276. doi:10.1111/1467-6494.00144</w:t>
      </w:r>
    </w:p>
    <w:p w14:paraId="0ABA1F74"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Morey, L. C. (2007). </w:t>
      </w:r>
      <w:r w:rsidRPr="00AF7D9D">
        <w:rPr>
          <w:rFonts w:ascii="Times New Roman" w:eastAsia="Calibri" w:hAnsi="Times New Roman" w:cs="Times New Roman"/>
          <w:i/>
          <w:sz w:val="24"/>
          <w:szCs w:val="24"/>
        </w:rPr>
        <w:t>The Personality Assessment Inventory professional manual</w:t>
      </w:r>
      <w:r w:rsidRPr="00AF7D9D">
        <w:rPr>
          <w:rFonts w:ascii="Times New Roman" w:eastAsia="Calibri" w:hAnsi="Times New Roman" w:cs="Times New Roman"/>
          <w:sz w:val="24"/>
          <w:szCs w:val="24"/>
        </w:rPr>
        <w:t xml:space="preserve"> (2nd ed.). Lutz, FL: Psychological Assessment Resources.  </w:t>
      </w:r>
    </w:p>
    <w:p w14:paraId="21555A91" w14:textId="77777777" w:rsidR="00E040E9" w:rsidRPr="00AF7D9D" w:rsidRDefault="00E040E9" w:rsidP="00E040E9">
      <w:pPr>
        <w:spacing w:after="0" w:line="480" w:lineRule="auto"/>
        <w:ind w:left="720" w:hanging="720"/>
        <w:rPr>
          <w:rFonts w:ascii="Times New Roman" w:eastAsia="Calibri" w:hAnsi="Times New Roman" w:cs="Times New Roman"/>
          <w:sz w:val="24"/>
          <w:szCs w:val="24"/>
          <w:lang w:val="en"/>
        </w:rPr>
      </w:pPr>
      <w:r w:rsidRPr="00AF7D9D">
        <w:rPr>
          <w:rFonts w:ascii="Times New Roman" w:eastAsia="Calibri" w:hAnsi="Times New Roman" w:cs="Times New Roman"/>
          <w:sz w:val="24"/>
          <w:szCs w:val="24"/>
          <w:lang w:val="en"/>
        </w:rPr>
        <w:t xml:space="preserve">Morey, L. C. (2012). Detection of response bias in applied assessment: Comment on McGrath et al. (2010). </w:t>
      </w:r>
      <w:r w:rsidRPr="00AF7D9D">
        <w:rPr>
          <w:rFonts w:ascii="Times New Roman" w:eastAsia="Calibri" w:hAnsi="Times New Roman" w:cs="Times New Roman"/>
          <w:i/>
          <w:iCs/>
          <w:sz w:val="24"/>
          <w:szCs w:val="24"/>
          <w:lang w:val="en"/>
        </w:rPr>
        <w:t>Psychological Injury and Law</w:t>
      </w:r>
      <w:r w:rsidRPr="00AF7D9D">
        <w:rPr>
          <w:rFonts w:ascii="Times New Roman" w:eastAsia="Calibri" w:hAnsi="Times New Roman" w:cs="Times New Roman"/>
          <w:sz w:val="24"/>
          <w:szCs w:val="24"/>
          <w:lang w:val="en"/>
        </w:rPr>
        <w:t xml:space="preserve">, </w:t>
      </w:r>
      <w:r w:rsidRPr="00AF7D9D">
        <w:rPr>
          <w:rFonts w:ascii="Times New Roman" w:eastAsia="Calibri" w:hAnsi="Times New Roman" w:cs="Times New Roman"/>
          <w:i/>
          <w:iCs/>
          <w:sz w:val="24"/>
          <w:szCs w:val="24"/>
          <w:lang w:val="en"/>
        </w:rPr>
        <w:t>5</w:t>
      </w:r>
      <w:r w:rsidRPr="00AF7D9D">
        <w:rPr>
          <w:rFonts w:ascii="Times New Roman" w:eastAsia="Calibri" w:hAnsi="Times New Roman" w:cs="Times New Roman"/>
          <w:sz w:val="24"/>
          <w:szCs w:val="24"/>
          <w:lang w:val="en"/>
        </w:rPr>
        <w:t>(3-4), 153-161. doi:10.1007/s12207-012-9131-x</w:t>
      </w:r>
    </w:p>
    <w:p w14:paraId="628033B5" w14:textId="1C39B758"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Mowle, E. N., Kelley, S. E., Edens, J. F., Donnellan, M. B., Smith, S. T., Wygant, D. B., &amp; Sellbom, M. (</w:t>
      </w:r>
      <w:r w:rsidR="00013D38" w:rsidRPr="00AF7D9D">
        <w:rPr>
          <w:rFonts w:ascii="Times New Roman" w:eastAsia="Calibri" w:hAnsi="Times New Roman" w:cs="Times New Roman"/>
          <w:sz w:val="24"/>
          <w:szCs w:val="24"/>
        </w:rPr>
        <w:t>2016</w:t>
      </w:r>
      <w:r w:rsidRPr="00AF7D9D">
        <w:rPr>
          <w:rFonts w:ascii="Times New Roman" w:eastAsia="Calibri" w:hAnsi="Times New Roman" w:cs="Times New Roman"/>
          <w:sz w:val="24"/>
          <w:szCs w:val="24"/>
        </w:rPr>
        <w:t xml:space="preserve">). Development of an inconsistent responding scale for the Triarchic </w:t>
      </w:r>
      <w:r w:rsidRPr="00AF7D9D">
        <w:rPr>
          <w:rFonts w:ascii="Times New Roman" w:eastAsia="Calibri" w:hAnsi="Times New Roman" w:cs="Times New Roman"/>
          <w:sz w:val="24"/>
          <w:szCs w:val="24"/>
        </w:rPr>
        <w:lastRenderedPageBreak/>
        <w:t xml:space="preserve">Psychopathy Measure. </w:t>
      </w:r>
      <w:r w:rsidRPr="00AF7D9D">
        <w:rPr>
          <w:rFonts w:ascii="Times New Roman" w:eastAsia="Calibri" w:hAnsi="Times New Roman" w:cs="Times New Roman"/>
          <w:i/>
          <w:sz w:val="24"/>
          <w:szCs w:val="24"/>
        </w:rPr>
        <w:t>Psychological Assessment</w:t>
      </w:r>
      <w:r w:rsidRPr="00AF7D9D">
        <w:rPr>
          <w:rFonts w:ascii="Times New Roman" w:eastAsia="Calibri" w:hAnsi="Times New Roman" w:cs="Times New Roman"/>
          <w:sz w:val="24"/>
          <w:szCs w:val="24"/>
        </w:rPr>
        <w:t>. Advance online publication. doi:10.1037/pas0000395</w:t>
      </w:r>
    </w:p>
    <w:p w14:paraId="6B4C8815"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Nikolova, N. L., Hendry, M. C., Douglas, K. S., Edens, J. F., &amp; Lilienfeld, S. O. (2012). The inconsistency of inconsistency scales: A comparison of two widely used measures. </w:t>
      </w:r>
      <w:r w:rsidRPr="00AF7D9D">
        <w:rPr>
          <w:rFonts w:ascii="Times New Roman" w:eastAsia="Calibri" w:hAnsi="Times New Roman" w:cs="Times New Roman"/>
          <w:i/>
          <w:sz w:val="24"/>
          <w:szCs w:val="24"/>
        </w:rPr>
        <w:t>Behavioral Sciences &amp; the Law</w:t>
      </w:r>
      <w:r w:rsidRPr="00AF7D9D">
        <w:rPr>
          <w:rFonts w:ascii="Times New Roman" w:eastAsia="Calibri" w:hAnsi="Times New Roman" w:cs="Times New Roman"/>
          <w:sz w:val="24"/>
          <w:szCs w:val="24"/>
        </w:rPr>
        <w:t xml:space="preserve">, </w:t>
      </w:r>
      <w:r w:rsidRPr="00AF7D9D">
        <w:rPr>
          <w:rFonts w:ascii="Times New Roman" w:eastAsia="Calibri" w:hAnsi="Times New Roman" w:cs="Times New Roman"/>
          <w:i/>
          <w:sz w:val="24"/>
          <w:szCs w:val="24"/>
        </w:rPr>
        <w:t>30</w:t>
      </w:r>
      <w:r w:rsidRPr="00AF7D9D">
        <w:rPr>
          <w:rFonts w:ascii="Times New Roman" w:eastAsia="Calibri" w:hAnsi="Times New Roman" w:cs="Times New Roman"/>
          <w:sz w:val="24"/>
          <w:szCs w:val="24"/>
        </w:rPr>
        <w:t>, 16-27. doi:10.1002/bsl.1996</w:t>
      </w:r>
    </w:p>
    <w:p w14:paraId="720D8BF5" w14:textId="77777777" w:rsidR="00E040E9" w:rsidRPr="00AF7D9D" w:rsidRDefault="00E040E9" w:rsidP="00E040E9">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Nunnally, J., &amp; Bernstein, I. (1994). </w:t>
      </w:r>
      <w:r w:rsidRPr="00AF7D9D">
        <w:rPr>
          <w:rFonts w:ascii="Times New Roman" w:eastAsia="Calibri" w:hAnsi="Times New Roman" w:cs="Times New Roman"/>
          <w:i/>
          <w:iCs/>
          <w:sz w:val="24"/>
          <w:szCs w:val="24"/>
        </w:rPr>
        <w:t xml:space="preserve">Psychometric theory </w:t>
      </w:r>
      <w:r w:rsidRPr="00AF7D9D">
        <w:rPr>
          <w:rFonts w:ascii="Times New Roman" w:eastAsia="Calibri" w:hAnsi="Times New Roman" w:cs="Times New Roman"/>
          <w:sz w:val="24"/>
          <w:szCs w:val="24"/>
        </w:rPr>
        <w:t>(3rd ed.). New York, NY: McGraw-Hill.</w:t>
      </w:r>
    </w:p>
    <w:p w14:paraId="0CBF1970" w14:textId="77777777" w:rsidR="00FD21A4" w:rsidRPr="00AF7D9D" w:rsidRDefault="00FD21A4" w:rsidP="00E040E9">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Oshukova, S., Kaltiala-Heino, R., Miettunen, J., Marttila, R., Tani, P., Aronen, E. T., …&amp; Lindberg, N. (2015). Self-reported psychopathic traits among non-referred Finnish adolescents: psychometric properties of the Youth Psychopathic Traits Inventory and the Antisocial Process Screening Device. </w:t>
      </w:r>
      <w:r w:rsidRPr="00AF7D9D">
        <w:rPr>
          <w:rFonts w:ascii="Times New Roman" w:eastAsia="Calibri" w:hAnsi="Times New Roman" w:cs="Times New Roman"/>
          <w:i/>
          <w:sz w:val="24"/>
          <w:szCs w:val="24"/>
        </w:rPr>
        <w:t xml:space="preserve">Child and Adolescent Psychiatry and Mental Health, 9, </w:t>
      </w:r>
      <w:r w:rsidRPr="00AF7D9D">
        <w:rPr>
          <w:rFonts w:ascii="Times New Roman" w:eastAsia="Calibri" w:hAnsi="Times New Roman" w:cs="Times New Roman"/>
          <w:sz w:val="24"/>
          <w:szCs w:val="24"/>
        </w:rPr>
        <w:t>1-11. doi: 10.1186/s13034-015-0047-6</w:t>
      </w:r>
    </w:p>
    <w:p w14:paraId="1A3F92AA" w14:textId="77777777" w:rsidR="00CD5F64" w:rsidRPr="00AF7D9D" w:rsidRDefault="00CD5F6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Patrick, C. J., Fowles, D. C., &amp; Krueger, R. F. (2009). Triarchic conceptualization of psychopathy: Developmental origins of disinhibition, boldness, and meanness. </w:t>
      </w:r>
      <w:r w:rsidRPr="00AF7D9D">
        <w:rPr>
          <w:rFonts w:ascii="Times New Roman" w:eastAsia="Calibri" w:hAnsi="Times New Roman" w:cs="Times New Roman"/>
          <w:i/>
          <w:sz w:val="24"/>
          <w:szCs w:val="24"/>
        </w:rPr>
        <w:t>Development and Psychopathology, 21</w:t>
      </w:r>
      <w:r w:rsidRPr="00AF7D9D">
        <w:rPr>
          <w:rFonts w:ascii="Times New Roman" w:eastAsia="Calibri" w:hAnsi="Times New Roman" w:cs="Times New Roman"/>
          <w:sz w:val="24"/>
          <w:szCs w:val="24"/>
        </w:rPr>
        <w:t>, 913-938. doi:10.1017/S0954579409000492</w:t>
      </w:r>
    </w:p>
    <w:p w14:paraId="13EA4759"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Patterson, J. M., &amp; McCubbin, H. I. (1987). Adolescent coping style and behaviors: conceptualization and measurement. </w:t>
      </w:r>
      <w:r w:rsidRPr="00AF7D9D">
        <w:rPr>
          <w:rFonts w:ascii="Times New Roman" w:eastAsia="Calibri" w:hAnsi="Times New Roman" w:cs="Times New Roman"/>
          <w:i/>
          <w:sz w:val="24"/>
          <w:szCs w:val="24"/>
        </w:rPr>
        <w:t>Journal of Adolescen</w:t>
      </w:r>
      <w:r w:rsidR="000C2958" w:rsidRPr="00AF7D9D">
        <w:rPr>
          <w:rFonts w:ascii="Times New Roman" w:eastAsia="Calibri" w:hAnsi="Times New Roman" w:cs="Times New Roman"/>
          <w:i/>
          <w:sz w:val="24"/>
          <w:szCs w:val="24"/>
        </w:rPr>
        <w:t>ce</w:t>
      </w:r>
      <w:r w:rsidRPr="00AF7D9D">
        <w:rPr>
          <w:rFonts w:ascii="Times New Roman" w:eastAsia="Calibri" w:hAnsi="Times New Roman" w:cs="Times New Roman"/>
          <w:i/>
          <w:sz w:val="24"/>
          <w:szCs w:val="24"/>
        </w:rPr>
        <w:t>, 10</w:t>
      </w:r>
      <w:r w:rsidRPr="00AF7D9D">
        <w:rPr>
          <w:rFonts w:ascii="Times New Roman" w:eastAsia="Calibri" w:hAnsi="Times New Roman" w:cs="Times New Roman"/>
          <w:sz w:val="24"/>
          <w:szCs w:val="24"/>
        </w:rPr>
        <w:t>, 163-186. doi: 10.1016/S0140-1971(87)80086-6</w:t>
      </w:r>
    </w:p>
    <w:p w14:paraId="1DBFCEAB"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Pechorro, P., Andershed, H., Ray, J.V., Maroco, J., &amp; Gonçalves, R. A. (2015). Validation of the Youth Psychopathic Traits Inventory and Youth Psychopathic Traits Inventory – Short Version among incarcerated juvenile delinquents. </w:t>
      </w:r>
      <w:r w:rsidRPr="00AF7D9D">
        <w:rPr>
          <w:rFonts w:ascii="Times New Roman" w:eastAsia="Calibri" w:hAnsi="Times New Roman" w:cs="Times New Roman"/>
          <w:i/>
          <w:sz w:val="24"/>
          <w:szCs w:val="24"/>
        </w:rPr>
        <w:t>Journal of Psychopathology and Behavioral Assessment, 37</w:t>
      </w:r>
      <w:r w:rsidRPr="00AF7D9D">
        <w:rPr>
          <w:rFonts w:ascii="Times New Roman" w:eastAsia="Calibri" w:hAnsi="Times New Roman" w:cs="Times New Roman"/>
          <w:sz w:val="24"/>
          <w:szCs w:val="24"/>
        </w:rPr>
        <w:t>, 576-586. doi:10.1007/s10862-015-9490-1</w:t>
      </w:r>
    </w:p>
    <w:p w14:paraId="62682579" w14:textId="77777777" w:rsidR="00FD21A4" w:rsidRPr="00AF7D9D" w:rsidRDefault="00FD21A4" w:rsidP="00FD21A4">
      <w:pPr>
        <w:spacing w:after="0" w:line="480" w:lineRule="auto"/>
        <w:ind w:left="720" w:hanging="720"/>
        <w:rPr>
          <w:rFonts w:ascii="Times New Roman" w:eastAsia="Calibri" w:hAnsi="Times New Roman" w:cs="Times New Roman"/>
          <w:i/>
          <w:sz w:val="24"/>
          <w:szCs w:val="24"/>
        </w:rPr>
      </w:pPr>
      <w:r w:rsidRPr="00AF7D9D">
        <w:rPr>
          <w:rFonts w:ascii="Times New Roman" w:eastAsia="Calibri" w:hAnsi="Times New Roman" w:cs="Times New Roman"/>
          <w:sz w:val="24"/>
          <w:szCs w:val="24"/>
        </w:rPr>
        <w:lastRenderedPageBreak/>
        <w:t>Penson, B. N.</w:t>
      </w:r>
      <w:r w:rsidR="00CC14F0" w:rsidRPr="00AF7D9D">
        <w:rPr>
          <w:rFonts w:ascii="Times New Roman" w:eastAsia="Calibri" w:hAnsi="Times New Roman" w:cs="Times New Roman"/>
          <w:sz w:val="24"/>
          <w:szCs w:val="24"/>
        </w:rPr>
        <w:t xml:space="preserve">, Ruchensky, J. R., Edens, J. F., Donnellan, M. B., Eisenbarth, H., &amp; Vaughn, M. (in press). Development and initial validation of an inconsistent responding scale for the Youth Psychopathic Traits Inventory. </w:t>
      </w:r>
      <w:r w:rsidR="00CC14F0" w:rsidRPr="00AF7D9D">
        <w:rPr>
          <w:rFonts w:ascii="Times New Roman" w:eastAsia="Calibri" w:hAnsi="Times New Roman" w:cs="Times New Roman"/>
          <w:i/>
          <w:sz w:val="24"/>
          <w:szCs w:val="24"/>
        </w:rPr>
        <w:t>Journal of Personality Disorders.</w:t>
      </w:r>
    </w:p>
    <w:p w14:paraId="50728B5E" w14:textId="77777777" w:rsidR="0061145D" w:rsidRPr="00AF7D9D" w:rsidRDefault="0061145D"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Piedmont, R. L., McCrae, R. R., Riemann, R., &amp; Angleitner, A. (2000). On the invalidity of validity scales: Evidence from self-reports and observer ratings in volunteer samples. </w:t>
      </w:r>
      <w:r w:rsidRPr="00AF7D9D">
        <w:rPr>
          <w:rFonts w:ascii="Times New Roman" w:eastAsia="Calibri" w:hAnsi="Times New Roman" w:cs="Times New Roman"/>
          <w:i/>
          <w:sz w:val="24"/>
          <w:szCs w:val="24"/>
        </w:rPr>
        <w:t xml:space="preserve">Journal of Personality and Social Psychology, 78, </w:t>
      </w:r>
      <w:r w:rsidRPr="00AF7D9D">
        <w:rPr>
          <w:rFonts w:ascii="Times New Roman" w:eastAsia="Calibri" w:hAnsi="Times New Roman" w:cs="Times New Roman"/>
          <w:sz w:val="24"/>
          <w:szCs w:val="24"/>
        </w:rPr>
        <w:t>582-593. doi:</w:t>
      </w:r>
      <w:r w:rsidR="00402771" w:rsidRPr="00AF7D9D">
        <w:rPr>
          <w:rFonts w:ascii="Times New Roman" w:eastAsia="Calibri" w:hAnsi="Times New Roman" w:cs="Times New Roman"/>
          <w:sz w:val="24"/>
          <w:szCs w:val="24"/>
        </w:rPr>
        <w:t>10.1037/</w:t>
      </w:r>
      <w:r w:rsidRPr="00AF7D9D">
        <w:rPr>
          <w:rFonts w:ascii="Times New Roman" w:eastAsia="Calibri" w:hAnsi="Times New Roman" w:cs="Times New Roman"/>
          <w:sz w:val="24"/>
          <w:szCs w:val="24"/>
        </w:rPr>
        <w:t xml:space="preserve">0022-3514.78.3.582 </w:t>
      </w:r>
    </w:p>
    <w:p w14:paraId="55596B04"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Raine, A., Dodge, K., Loeber, R., Gatzke-Kopp, L., Lynam, D., Reynolds, C., . . . Liu, J. (2006). The Reactive-Proactive Aggression Questionnaire: Differential correlates of reactive and proactive aggression in adolescent boys. </w:t>
      </w:r>
      <w:r w:rsidRPr="00AF7D9D">
        <w:rPr>
          <w:rFonts w:ascii="Times New Roman" w:eastAsia="Calibri" w:hAnsi="Times New Roman" w:cs="Times New Roman"/>
          <w:i/>
          <w:sz w:val="24"/>
          <w:szCs w:val="24"/>
        </w:rPr>
        <w:t>Aggressive Behavior, 32</w:t>
      </w:r>
      <w:r w:rsidRPr="00AF7D9D">
        <w:rPr>
          <w:rFonts w:ascii="Times New Roman" w:eastAsia="Calibri" w:hAnsi="Times New Roman" w:cs="Times New Roman"/>
          <w:sz w:val="24"/>
          <w:szCs w:val="24"/>
        </w:rPr>
        <w:t>, 159-171. doi:10.1002/ab.20115</w:t>
      </w:r>
    </w:p>
    <w:p w14:paraId="626B586F" w14:textId="77777777" w:rsidR="00134896" w:rsidRPr="00AF7D9D" w:rsidRDefault="00134896"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Rice, M. E., &amp; Harris, G. T. (2005). Comparing effect sizes in follow-up studies: ROC Area, Cohen’s </w:t>
      </w:r>
      <w:r w:rsidRPr="00AF7D9D">
        <w:rPr>
          <w:rFonts w:ascii="Times New Roman" w:eastAsia="Calibri" w:hAnsi="Times New Roman" w:cs="Times New Roman"/>
          <w:i/>
          <w:sz w:val="24"/>
          <w:szCs w:val="24"/>
        </w:rPr>
        <w:t>d</w:t>
      </w:r>
      <w:r w:rsidRPr="00AF7D9D">
        <w:rPr>
          <w:rFonts w:ascii="Times New Roman" w:eastAsia="Calibri" w:hAnsi="Times New Roman" w:cs="Times New Roman"/>
          <w:sz w:val="24"/>
          <w:szCs w:val="24"/>
        </w:rPr>
        <w:t xml:space="preserve">, and </w:t>
      </w:r>
      <w:r w:rsidRPr="00AF7D9D">
        <w:rPr>
          <w:rFonts w:ascii="Times New Roman" w:eastAsia="Calibri" w:hAnsi="Times New Roman" w:cs="Times New Roman"/>
          <w:i/>
          <w:sz w:val="24"/>
          <w:szCs w:val="24"/>
        </w:rPr>
        <w:t>r</w:t>
      </w:r>
      <w:r w:rsidRPr="00AF7D9D">
        <w:rPr>
          <w:rFonts w:ascii="Times New Roman" w:eastAsia="Calibri" w:hAnsi="Times New Roman" w:cs="Times New Roman"/>
          <w:sz w:val="24"/>
          <w:szCs w:val="24"/>
        </w:rPr>
        <w:t xml:space="preserve">. </w:t>
      </w:r>
      <w:r w:rsidRPr="00AF7D9D">
        <w:rPr>
          <w:rFonts w:ascii="Times New Roman" w:eastAsia="Calibri" w:hAnsi="Times New Roman" w:cs="Times New Roman"/>
          <w:i/>
          <w:sz w:val="24"/>
          <w:szCs w:val="24"/>
        </w:rPr>
        <w:t>Law and Human Behavior, 29</w:t>
      </w:r>
      <w:r w:rsidRPr="00AF7D9D">
        <w:rPr>
          <w:rFonts w:ascii="Times New Roman" w:eastAsia="Calibri" w:hAnsi="Times New Roman" w:cs="Times New Roman"/>
          <w:sz w:val="24"/>
          <w:szCs w:val="24"/>
        </w:rPr>
        <w:t>, 615-620. doi:10.1007/s10979-005-6832-7</w:t>
      </w:r>
    </w:p>
    <w:p w14:paraId="4B2C8E50"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Sampson, R. J., &amp; Bartusch, D. J. (1998). Legal cynicism and (subcultural?) tolerance of deviance: The neighborhood context of racial differences. </w:t>
      </w:r>
      <w:r w:rsidRPr="00AF7D9D">
        <w:rPr>
          <w:rFonts w:ascii="Times New Roman" w:eastAsia="Calibri" w:hAnsi="Times New Roman" w:cs="Times New Roman"/>
          <w:i/>
          <w:sz w:val="24"/>
          <w:szCs w:val="24"/>
        </w:rPr>
        <w:t>Law &amp; Society Review, 32</w:t>
      </w:r>
      <w:r w:rsidRPr="00AF7D9D">
        <w:rPr>
          <w:rFonts w:ascii="Times New Roman" w:eastAsia="Calibri" w:hAnsi="Times New Roman" w:cs="Times New Roman"/>
          <w:sz w:val="24"/>
          <w:szCs w:val="24"/>
        </w:rPr>
        <w:t>, 777-804.</w:t>
      </w:r>
    </w:p>
    <w:p w14:paraId="075C73CC"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Sellbom, M., Lilienfeld, S. O., Fowler, K., McCrary, K. L. (in press). The self-report assessment of psychopathy: Challenges, pitfalls, and promises. In C. J. Patrick (Ed.), </w:t>
      </w:r>
      <w:r w:rsidRPr="00AF7D9D">
        <w:rPr>
          <w:rFonts w:ascii="Times New Roman" w:eastAsia="Calibri" w:hAnsi="Times New Roman" w:cs="Times New Roman"/>
          <w:i/>
          <w:sz w:val="24"/>
          <w:szCs w:val="24"/>
        </w:rPr>
        <w:t>Handbook of psychopathy</w:t>
      </w:r>
      <w:r w:rsidRPr="00AF7D9D">
        <w:rPr>
          <w:rFonts w:ascii="Times New Roman" w:eastAsia="Calibri" w:hAnsi="Times New Roman" w:cs="Times New Roman"/>
          <w:sz w:val="24"/>
          <w:szCs w:val="24"/>
        </w:rPr>
        <w:t xml:space="preserve"> (2nd ed.). New York, NY: Guilford.</w:t>
      </w:r>
    </w:p>
    <w:p w14:paraId="5DBE3442" w14:textId="77777777" w:rsidR="006C0068"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Shook, J. J., Vaughn, M., Goodkind, S., &amp; Johnson, H. (2011). An empirical portrait of youthful offenders who sell drug. </w:t>
      </w:r>
      <w:r w:rsidRPr="00AF7D9D">
        <w:rPr>
          <w:rFonts w:ascii="Times New Roman" w:eastAsia="Calibri" w:hAnsi="Times New Roman" w:cs="Times New Roman"/>
          <w:i/>
          <w:sz w:val="24"/>
          <w:szCs w:val="24"/>
        </w:rPr>
        <w:t>Journal of Criminal Justice, 39</w:t>
      </w:r>
      <w:r w:rsidRPr="00AF7D9D">
        <w:rPr>
          <w:rFonts w:ascii="Times New Roman" w:eastAsia="Calibri" w:hAnsi="Times New Roman" w:cs="Times New Roman"/>
          <w:sz w:val="24"/>
          <w:szCs w:val="24"/>
        </w:rPr>
        <w:t>, 224-231. doi:10.1016/j.jcrimjus.2011.02.014</w:t>
      </w:r>
    </w:p>
    <w:p w14:paraId="3E73A730" w14:textId="2B2C4E22" w:rsidR="00FD21A4" w:rsidRPr="00AF7D9D" w:rsidRDefault="00FD21A4" w:rsidP="00FD21A4">
      <w:pPr>
        <w:spacing w:after="0" w:line="480" w:lineRule="auto"/>
        <w:ind w:left="720" w:hanging="720"/>
        <w:rPr>
          <w:rFonts w:ascii="Times New Roman" w:eastAsia="Calibri" w:hAnsi="Times New Roman" w:cs="Times New Roman"/>
          <w:sz w:val="24"/>
          <w:szCs w:val="24"/>
          <w:lang w:val="nl-NL"/>
        </w:rPr>
      </w:pPr>
      <w:r w:rsidRPr="00AF7D9D">
        <w:rPr>
          <w:rFonts w:ascii="Times New Roman" w:eastAsia="Calibri" w:hAnsi="Times New Roman" w:cs="Times New Roman"/>
          <w:sz w:val="24"/>
          <w:szCs w:val="24"/>
        </w:rPr>
        <w:lastRenderedPageBreak/>
        <w:t xml:space="preserve">Vahl, P., Colins, O. F., Lodewijks, H. P. B., Markus, M. T., Doreleijers, T. A. H., &amp; Vermeiren, R. R. J. M. (2014). Psychopathic-like traits in detained adolescents: Clinical usefulness of self-report. </w:t>
      </w:r>
      <w:r w:rsidRPr="00AF7D9D">
        <w:rPr>
          <w:rFonts w:ascii="Times New Roman" w:eastAsia="Calibri" w:hAnsi="Times New Roman" w:cs="Times New Roman"/>
          <w:i/>
          <w:sz w:val="24"/>
          <w:szCs w:val="24"/>
          <w:lang w:val="nl-NL"/>
        </w:rPr>
        <w:t xml:space="preserve">European Child &amp; Adolescent Psychiatry, 23, </w:t>
      </w:r>
      <w:r w:rsidRPr="00AF7D9D">
        <w:rPr>
          <w:rFonts w:ascii="Times New Roman" w:eastAsia="Calibri" w:hAnsi="Times New Roman" w:cs="Times New Roman"/>
          <w:sz w:val="24"/>
          <w:szCs w:val="24"/>
          <w:lang w:val="nl-NL"/>
        </w:rPr>
        <w:t>691-699. doi:10.1007/s00787-013-0497-4</w:t>
      </w:r>
    </w:p>
    <w:p w14:paraId="75E1A6C4"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lang w:val="nl-NL"/>
        </w:rPr>
        <w:t xml:space="preserve">van Baardewijk, Y., Andershed, H., Stegge, H., Nilsson, K. W., Scholte, E., &amp; Vermeiren, R. (2010). </w:t>
      </w:r>
      <w:r w:rsidRPr="00AF7D9D">
        <w:rPr>
          <w:rFonts w:ascii="Times New Roman" w:eastAsia="Calibri" w:hAnsi="Times New Roman" w:cs="Times New Roman"/>
          <w:sz w:val="24"/>
          <w:szCs w:val="24"/>
        </w:rPr>
        <w:t xml:space="preserve">Development and tests of short versions of the Youth Psychopathic Traits Inventory and the Youth Psychopathic Traits Inventory-Child Version. </w:t>
      </w:r>
      <w:r w:rsidRPr="00AF7D9D">
        <w:rPr>
          <w:rFonts w:ascii="Times New Roman" w:eastAsia="Calibri" w:hAnsi="Times New Roman" w:cs="Times New Roman"/>
          <w:i/>
          <w:sz w:val="24"/>
          <w:szCs w:val="24"/>
        </w:rPr>
        <w:t xml:space="preserve">European Journal of Psychological Assessment, 26, </w:t>
      </w:r>
      <w:r w:rsidRPr="00AF7D9D">
        <w:rPr>
          <w:rFonts w:ascii="Times New Roman" w:eastAsia="Calibri" w:hAnsi="Times New Roman" w:cs="Times New Roman"/>
          <w:sz w:val="24"/>
          <w:szCs w:val="24"/>
        </w:rPr>
        <w:t>122-128. doi:10.1027/1015-5759/a000017.</w:t>
      </w:r>
    </w:p>
    <w:p w14:paraId="6CC799B2"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Vaughn, M. G., DeLisi, M., Beaver, K. M., Wexler, J., Barth, A. &amp; Fletcher, J. (2011). Juvenile psychopathic features are associated with poor reading achievement. </w:t>
      </w:r>
      <w:r w:rsidRPr="00AF7D9D">
        <w:rPr>
          <w:rFonts w:ascii="Times New Roman" w:eastAsia="Calibri" w:hAnsi="Times New Roman" w:cs="Times New Roman"/>
          <w:i/>
          <w:sz w:val="24"/>
          <w:szCs w:val="24"/>
        </w:rPr>
        <w:t>Psychiatric Quarterly, 82</w:t>
      </w:r>
      <w:r w:rsidRPr="00AF7D9D">
        <w:rPr>
          <w:rFonts w:ascii="Times New Roman" w:eastAsia="Calibri" w:hAnsi="Times New Roman" w:cs="Times New Roman"/>
          <w:sz w:val="24"/>
          <w:szCs w:val="24"/>
        </w:rPr>
        <w:t>, 177-190. doi:10.1007/s11126-010-9162-y</w:t>
      </w:r>
    </w:p>
    <w:p w14:paraId="40604277" w14:textId="77777777"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lang w:val="nl-NL"/>
        </w:rPr>
        <w:t xml:space="preserve">Vidal, S., &amp; Skeem, J. L. (2007). </w:t>
      </w:r>
      <w:r w:rsidRPr="00AF7D9D">
        <w:rPr>
          <w:rFonts w:ascii="Times New Roman" w:eastAsia="Calibri" w:hAnsi="Times New Roman" w:cs="Times New Roman"/>
          <w:sz w:val="24"/>
          <w:szCs w:val="24"/>
        </w:rPr>
        <w:t xml:space="preserve">Effect of psychopathy, abuse, and ethnicity on juvenile probation officers’ decision-making and supervision strategies. </w:t>
      </w:r>
      <w:r w:rsidRPr="00AF7D9D">
        <w:rPr>
          <w:rFonts w:ascii="Times New Roman" w:eastAsia="Calibri" w:hAnsi="Times New Roman" w:cs="Times New Roman"/>
          <w:i/>
          <w:sz w:val="24"/>
          <w:szCs w:val="24"/>
        </w:rPr>
        <w:t xml:space="preserve">Law and Human Behavior, 31, </w:t>
      </w:r>
      <w:r w:rsidRPr="00AF7D9D">
        <w:rPr>
          <w:rFonts w:ascii="Times New Roman" w:eastAsia="Calibri" w:hAnsi="Times New Roman" w:cs="Times New Roman"/>
          <w:sz w:val="24"/>
          <w:szCs w:val="24"/>
        </w:rPr>
        <w:t>479-498. doi:10.1007/s10979-006-9077-1</w:t>
      </w:r>
    </w:p>
    <w:p w14:paraId="47E2B25C" w14:textId="58CF1FD4" w:rsidR="00FD21A4" w:rsidRPr="00AF7D9D" w:rsidRDefault="00FD21A4"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Viljoen, J. L., McLachlan, K., &amp; Vincent, G. (2010). Assessing violence risk and psychopathy in juvenile and adult offenders: A survey of clinical practices. </w:t>
      </w:r>
      <w:r w:rsidRPr="00AF7D9D">
        <w:rPr>
          <w:rFonts w:ascii="Times New Roman" w:eastAsia="Calibri" w:hAnsi="Times New Roman" w:cs="Times New Roman"/>
          <w:i/>
          <w:sz w:val="24"/>
          <w:szCs w:val="24"/>
        </w:rPr>
        <w:t>Assessment</w:t>
      </w:r>
      <w:r w:rsidRPr="00AF7D9D">
        <w:rPr>
          <w:rFonts w:ascii="Times New Roman" w:eastAsia="Calibri" w:hAnsi="Times New Roman" w:cs="Times New Roman"/>
          <w:sz w:val="24"/>
          <w:szCs w:val="24"/>
        </w:rPr>
        <w:t xml:space="preserve">, </w:t>
      </w:r>
      <w:r w:rsidRPr="00AF7D9D">
        <w:rPr>
          <w:rFonts w:ascii="Times New Roman" w:eastAsia="Calibri" w:hAnsi="Times New Roman" w:cs="Times New Roman"/>
          <w:i/>
          <w:sz w:val="24"/>
          <w:szCs w:val="24"/>
        </w:rPr>
        <w:t>17</w:t>
      </w:r>
      <w:r w:rsidRPr="00AF7D9D">
        <w:rPr>
          <w:rFonts w:ascii="Times New Roman" w:eastAsia="Calibri" w:hAnsi="Times New Roman" w:cs="Times New Roman"/>
          <w:sz w:val="24"/>
          <w:szCs w:val="24"/>
        </w:rPr>
        <w:t>, 377-395. doi:10.1177/1073191109359587</w:t>
      </w:r>
    </w:p>
    <w:p w14:paraId="1D04DE7C" w14:textId="614F3A8E" w:rsidR="00E06071" w:rsidRPr="00AF7D9D" w:rsidRDefault="00E06071" w:rsidP="00FD21A4">
      <w:pPr>
        <w:spacing w:after="0" w:line="480" w:lineRule="auto"/>
        <w:ind w:left="720" w:hanging="720"/>
        <w:rPr>
          <w:rFonts w:ascii="Times New Roman" w:eastAsia="Calibri" w:hAnsi="Times New Roman" w:cs="Times New Roman"/>
          <w:sz w:val="24"/>
          <w:szCs w:val="24"/>
        </w:rPr>
      </w:pPr>
      <w:r w:rsidRPr="00AF7D9D">
        <w:rPr>
          <w:rFonts w:ascii="Times New Roman" w:eastAsia="Calibri" w:hAnsi="Times New Roman" w:cs="Times New Roman"/>
          <w:sz w:val="24"/>
          <w:szCs w:val="24"/>
        </w:rPr>
        <w:t xml:space="preserve">Wood, D., Harms, P. D., Lowman, G. H., &amp; DeSimone, J. A. (2017). Response speed and response consistency as mutually validating indicators of data quality in online samples. </w:t>
      </w:r>
      <w:r w:rsidRPr="00AF7D9D">
        <w:rPr>
          <w:rFonts w:ascii="Times New Roman" w:eastAsia="Calibri" w:hAnsi="Times New Roman" w:cs="Times New Roman"/>
          <w:i/>
          <w:sz w:val="24"/>
          <w:szCs w:val="24"/>
        </w:rPr>
        <w:t>Social Psychological and Personality Science</w:t>
      </w:r>
      <w:r w:rsidRPr="00AF7D9D">
        <w:rPr>
          <w:rFonts w:ascii="Times New Roman" w:eastAsia="Calibri" w:hAnsi="Times New Roman" w:cs="Times New Roman"/>
          <w:sz w:val="24"/>
          <w:szCs w:val="24"/>
        </w:rPr>
        <w:t>. Advance online publication. doi:10.1177/1948550617703168</w:t>
      </w:r>
    </w:p>
    <w:p w14:paraId="138EE627" w14:textId="3AE2F659" w:rsidR="0025583E" w:rsidRPr="00AF7D9D" w:rsidRDefault="00630BAA" w:rsidP="00630BAA">
      <w:pPr>
        <w:spacing w:line="480" w:lineRule="auto"/>
        <w:rPr>
          <w:rFonts w:ascii="Times New Roman" w:hAnsi="Times New Roman" w:cs="Times New Roman"/>
          <w:sz w:val="24"/>
          <w:szCs w:val="24"/>
        </w:rPr>
      </w:pPr>
      <w:r w:rsidRPr="00AF7D9D">
        <w:rPr>
          <w:rFonts w:ascii="Times New Roman" w:hAnsi="Times New Roman" w:cs="Times New Roman"/>
          <w:sz w:val="24"/>
          <w:szCs w:val="24"/>
        </w:rPr>
        <w:br w:type="page"/>
      </w:r>
    </w:p>
    <w:p w14:paraId="6C201B11" w14:textId="77777777" w:rsidR="00292C81" w:rsidRPr="00AF7D9D" w:rsidRDefault="00292C81" w:rsidP="009E1972">
      <w:pPr>
        <w:spacing w:after="0" w:line="360" w:lineRule="auto"/>
        <w:outlineLvl w:val="0"/>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lastRenderedPageBreak/>
        <w:t>Table 1</w:t>
      </w:r>
    </w:p>
    <w:p w14:paraId="26BB3E28" w14:textId="77777777" w:rsidR="00292C81" w:rsidRPr="00AF7D9D" w:rsidRDefault="00000F3E" w:rsidP="009E1972">
      <w:pPr>
        <w:spacing w:after="0" w:line="360" w:lineRule="auto"/>
        <w:rPr>
          <w:rFonts w:ascii="Times New Roman" w:eastAsia="Times New Roman" w:hAnsi="Times New Roman" w:cs="Times New Roman"/>
          <w:sz w:val="24"/>
          <w:szCs w:val="24"/>
        </w:rPr>
      </w:pPr>
      <w:r w:rsidRPr="00AF7D9D">
        <w:rPr>
          <w:rFonts w:ascii="Times New Roman" w:eastAsia="Times New Roman" w:hAnsi="Times New Roman" w:cs="Times New Roman"/>
          <w:i/>
          <w:iCs/>
          <w:sz w:val="24"/>
          <w:szCs w:val="24"/>
        </w:rPr>
        <w:t>YPI-S</w:t>
      </w:r>
      <w:r w:rsidR="00292C81" w:rsidRPr="00AF7D9D">
        <w:rPr>
          <w:rFonts w:ascii="Times New Roman" w:eastAsia="Times New Roman" w:hAnsi="Times New Roman" w:cs="Times New Roman"/>
          <w:i/>
          <w:iCs/>
          <w:sz w:val="24"/>
          <w:szCs w:val="24"/>
        </w:rPr>
        <w:t xml:space="preserve"> Item Pair Correlations and Mean Absolute Value of Differences between Items</w:t>
      </w:r>
    </w:p>
    <w:tbl>
      <w:tblPr>
        <w:tblW w:w="0" w:type="auto"/>
        <w:tblCellMar>
          <w:left w:w="0" w:type="dxa"/>
          <w:right w:w="0" w:type="dxa"/>
        </w:tblCellMar>
        <w:tblLook w:val="04A0" w:firstRow="1" w:lastRow="0" w:firstColumn="1" w:lastColumn="0" w:noHBand="0" w:noVBand="1"/>
      </w:tblPr>
      <w:tblGrid>
        <w:gridCol w:w="1818"/>
        <w:gridCol w:w="747"/>
        <w:gridCol w:w="747"/>
        <w:gridCol w:w="747"/>
        <w:gridCol w:w="585"/>
        <w:gridCol w:w="162"/>
        <w:gridCol w:w="747"/>
        <w:gridCol w:w="747"/>
        <w:gridCol w:w="747"/>
        <w:gridCol w:w="747"/>
        <w:gridCol w:w="747"/>
        <w:gridCol w:w="747"/>
      </w:tblGrid>
      <w:tr w:rsidR="009E1972" w:rsidRPr="00AF7D9D" w14:paraId="3C31074F" w14:textId="77777777" w:rsidTr="009E1972">
        <w:trPr>
          <w:trHeight w:val="502"/>
        </w:trPr>
        <w:tc>
          <w:tcPr>
            <w:tcW w:w="4644" w:type="dxa"/>
            <w:gridSpan w:val="5"/>
            <w:tcBorders>
              <w:top w:val="single" w:sz="8" w:space="0" w:color="auto"/>
              <w:left w:val="nil"/>
              <w:bottom w:val="single" w:sz="8" w:space="0" w:color="auto"/>
              <w:right w:val="nil"/>
            </w:tcBorders>
            <w:tcMar>
              <w:top w:w="0" w:type="dxa"/>
              <w:left w:w="108" w:type="dxa"/>
              <w:bottom w:w="0" w:type="dxa"/>
              <w:right w:w="108" w:type="dxa"/>
            </w:tcMar>
          </w:tcPr>
          <w:p w14:paraId="784C5C6B" w14:textId="77777777" w:rsidR="009E1972" w:rsidRPr="00AF7D9D" w:rsidRDefault="009E1972" w:rsidP="009E1972">
            <w:pPr>
              <w:spacing w:after="0" w:line="240" w:lineRule="auto"/>
              <w:ind w:right="2718"/>
              <w:rPr>
                <w:rFonts w:ascii="Times New Roman" w:eastAsia="Times New Roman" w:hAnsi="Times New Roman" w:cs="Times New Roman"/>
                <w:sz w:val="24"/>
                <w:szCs w:val="24"/>
              </w:rPr>
            </w:pPr>
          </w:p>
        </w:tc>
        <w:tc>
          <w:tcPr>
            <w:tcW w:w="4644" w:type="dxa"/>
            <w:gridSpan w:val="7"/>
            <w:tcBorders>
              <w:top w:val="single" w:sz="8" w:space="0" w:color="auto"/>
              <w:left w:val="nil"/>
              <w:bottom w:val="single" w:sz="8" w:space="0" w:color="auto"/>
              <w:right w:val="nil"/>
            </w:tcBorders>
            <w:vAlign w:val="center"/>
          </w:tcPr>
          <w:p w14:paraId="2482778C" w14:textId="77777777" w:rsidR="009E1972" w:rsidRPr="00AF7D9D" w:rsidRDefault="009E1972" w:rsidP="009E1972">
            <w:pPr>
              <w:spacing w:after="0" w:line="240" w:lineRule="auto"/>
              <w:ind w:right="2718"/>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Sample</w:t>
            </w:r>
          </w:p>
        </w:tc>
      </w:tr>
      <w:tr w:rsidR="00292C81" w:rsidRPr="00AF7D9D" w14:paraId="1B730CB4" w14:textId="77777777" w:rsidTr="0023154C">
        <w:tc>
          <w:tcPr>
            <w:tcW w:w="1818" w:type="dxa"/>
            <w:tcBorders>
              <w:top w:val="nil"/>
              <w:left w:val="nil"/>
              <w:bottom w:val="single" w:sz="8" w:space="0" w:color="auto"/>
              <w:right w:val="nil"/>
            </w:tcBorders>
            <w:tcMar>
              <w:top w:w="0" w:type="dxa"/>
              <w:left w:w="108" w:type="dxa"/>
              <w:bottom w:w="0" w:type="dxa"/>
              <w:right w:w="108" w:type="dxa"/>
            </w:tcMar>
            <w:hideMark/>
          </w:tcPr>
          <w:p w14:paraId="3FF2262F" w14:textId="77777777" w:rsidR="00292C81" w:rsidRPr="00AF7D9D" w:rsidRDefault="00292C81" w:rsidP="009E1972">
            <w:pPr>
              <w:spacing w:after="0" w:line="360" w:lineRule="auto"/>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 </w:t>
            </w:r>
          </w:p>
        </w:tc>
        <w:tc>
          <w:tcPr>
            <w:tcW w:w="1494" w:type="dxa"/>
            <w:gridSpan w:val="2"/>
            <w:tcBorders>
              <w:top w:val="nil"/>
              <w:left w:val="nil"/>
              <w:bottom w:val="single" w:sz="8" w:space="0" w:color="auto"/>
              <w:right w:val="nil"/>
            </w:tcBorders>
            <w:tcMar>
              <w:top w:w="0" w:type="dxa"/>
              <w:left w:w="108" w:type="dxa"/>
              <w:bottom w:w="0" w:type="dxa"/>
              <w:right w:w="108" w:type="dxa"/>
            </w:tcMar>
            <w:vAlign w:val="center"/>
            <w:hideMark/>
          </w:tcPr>
          <w:p w14:paraId="47AFB3AA" w14:textId="77777777" w:rsidR="00292C81" w:rsidRPr="00AF7D9D" w:rsidRDefault="00A6662F" w:rsidP="009E1972">
            <w:pPr>
              <w:spacing w:after="0"/>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 xml:space="preserve">1. </w:t>
            </w:r>
            <w:r w:rsidR="00292C81" w:rsidRPr="00AF7D9D">
              <w:rPr>
                <w:rFonts w:ascii="Times New Roman" w:eastAsia="Times New Roman" w:hAnsi="Times New Roman" w:cs="Times New Roman"/>
                <w:sz w:val="24"/>
                <w:szCs w:val="24"/>
              </w:rPr>
              <w:t>U.S. Juvenile Justice</w:t>
            </w:r>
          </w:p>
        </w:tc>
        <w:tc>
          <w:tcPr>
            <w:tcW w:w="1494" w:type="dxa"/>
            <w:gridSpan w:val="3"/>
            <w:tcBorders>
              <w:top w:val="nil"/>
              <w:left w:val="nil"/>
              <w:bottom w:val="single" w:sz="8" w:space="0" w:color="auto"/>
              <w:right w:val="nil"/>
            </w:tcBorders>
            <w:tcMar>
              <w:top w:w="0" w:type="dxa"/>
              <w:left w:w="108" w:type="dxa"/>
              <w:bottom w:w="0" w:type="dxa"/>
              <w:right w:w="108" w:type="dxa"/>
            </w:tcMar>
            <w:vAlign w:val="center"/>
            <w:hideMark/>
          </w:tcPr>
          <w:p w14:paraId="3A8C4B63" w14:textId="77777777" w:rsidR="00292C81" w:rsidRPr="00AF7D9D" w:rsidRDefault="00A6662F" w:rsidP="009E1972">
            <w:pPr>
              <w:spacing w:after="0"/>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 xml:space="preserve">2. </w:t>
            </w:r>
            <w:r w:rsidR="00292C81" w:rsidRPr="00AF7D9D">
              <w:rPr>
                <w:rFonts w:ascii="Times New Roman" w:eastAsia="Times New Roman" w:hAnsi="Times New Roman" w:cs="Times New Roman"/>
                <w:sz w:val="24"/>
                <w:szCs w:val="24"/>
              </w:rPr>
              <w:t>U.S. Middle School</w:t>
            </w:r>
          </w:p>
        </w:tc>
        <w:tc>
          <w:tcPr>
            <w:tcW w:w="1494" w:type="dxa"/>
            <w:gridSpan w:val="2"/>
            <w:tcBorders>
              <w:top w:val="nil"/>
              <w:left w:val="nil"/>
              <w:bottom w:val="single" w:sz="8" w:space="0" w:color="auto"/>
              <w:right w:val="nil"/>
            </w:tcBorders>
            <w:tcMar>
              <w:top w:w="0" w:type="dxa"/>
              <w:left w:w="108" w:type="dxa"/>
              <w:bottom w:w="0" w:type="dxa"/>
              <w:right w:w="108" w:type="dxa"/>
            </w:tcMar>
            <w:vAlign w:val="center"/>
            <w:hideMark/>
          </w:tcPr>
          <w:p w14:paraId="3334EB82" w14:textId="77777777" w:rsidR="00292C81" w:rsidRPr="00AF7D9D" w:rsidRDefault="00A6662F" w:rsidP="009E1972">
            <w:pPr>
              <w:spacing w:after="0"/>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3.</w:t>
            </w:r>
            <w:r w:rsidR="00292C81" w:rsidRPr="00AF7D9D">
              <w:rPr>
                <w:rFonts w:ascii="Times New Roman" w:eastAsia="Times New Roman" w:hAnsi="Times New Roman" w:cs="Times New Roman"/>
                <w:sz w:val="24"/>
                <w:szCs w:val="24"/>
              </w:rPr>
              <w:t>German Vocational</w:t>
            </w:r>
          </w:p>
        </w:tc>
        <w:tc>
          <w:tcPr>
            <w:tcW w:w="1494" w:type="dxa"/>
            <w:gridSpan w:val="2"/>
            <w:tcBorders>
              <w:top w:val="nil"/>
              <w:left w:val="nil"/>
              <w:bottom w:val="single" w:sz="8" w:space="0" w:color="auto"/>
              <w:right w:val="nil"/>
            </w:tcBorders>
            <w:vAlign w:val="center"/>
          </w:tcPr>
          <w:p w14:paraId="103BAC34" w14:textId="77777777" w:rsidR="00292C81" w:rsidRPr="00AF7D9D" w:rsidRDefault="00A6662F" w:rsidP="009E1972">
            <w:pPr>
              <w:spacing w:after="0"/>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 xml:space="preserve">4. </w:t>
            </w:r>
            <w:r w:rsidR="00292C81" w:rsidRPr="00AF7D9D">
              <w:rPr>
                <w:rFonts w:ascii="Times New Roman" w:eastAsia="Times New Roman" w:hAnsi="Times New Roman" w:cs="Times New Roman"/>
                <w:sz w:val="24"/>
                <w:szCs w:val="24"/>
              </w:rPr>
              <w:t>Italian Youth</w:t>
            </w:r>
          </w:p>
        </w:tc>
        <w:tc>
          <w:tcPr>
            <w:tcW w:w="1494" w:type="dxa"/>
            <w:gridSpan w:val="2"/>
            <w:tcBorders>
              <w:top w:val="nil"/>
              <w:left w:val="nil"/>
              <w:bottom w:val="single" w:sz="8" w:space="0" w:color="auto"/>
              <w:right w:val="nil"/>
            </w:tcBorders>
            <w:vAlign w:val="center"/>
          </w:tcPr>
          <w:p w14:paraId="5C49EF6D" w14:textId="77777777" w:rsidR="00292C81" w:rsidRPr="00AF7D9D" w:rsidRDefault="00A6662F" w:rsidP="009E1972">
            <w:pPr>
              <w:spacing w:after="0"/>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 xml:space="preserve">5. </w:t>
            </w:r>
            <w:r w:rsidR="00292C81" w:rsidRPr="00AF7D9D">
              <w:rPr>
                <w:rFonts w:ascii="Times New Roman" w:eastAsia="Times New Roman" w:hAnsi="Times New Roman" w:cs="Times New Roman"/>
                <w:sz w:val="24"/>
                <w:szCs w:val="24"/>
              </w:rPr>
              <w:t>Dutch Adolescent</w:t>
            </w:r>
          </w:p>
        </w:tc>
      </w:tr>
      <w:tr w:rsidR="00292C81" w:rsidRPr="00AF7D9D" w14:paraId="56BABA51" w14:textId="77777777" w:rsidTr="0023154C">
        <w:tc>
          <w:tcPr>
            <w:tcW w:w="1818" w:type="dxa"/>
            <w:tcBorders>
              <w:top w:val="nil"/>
              <w:left w:val="nil"/>
              <w:bottom w:val="single" w:sz="8" w:space="0" w:color="auto"/>
              <w:right w:val="nil"/>
            </w:tcBorders>
            <w:tcMar>
              <w:top w:w="0" w:type="dxa"/>
              <w:left w:w="108" w:type="dxa"/>
              <w:bottom w:w="0" w:type="dxa"/>
              <w:right w:w="108" w:type="dxa"/>
            </w:tcMar>
            <w:hideMark/>
          </w:tcPr>
          <w:p w14:paraId="27BB22A5" w14:textId="77777777" w:rsidR="00292C81" w:rsidRPr="00AF7D9D" w:rsidRDefault="00292C81" w:rsidP="009E1972">
            <w:pPr>
              <w:spacing w:before="100" w:beforeAutospacing="1" w:after="0" w:line="360" w:lineRule="auto"/>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 xml:space="preserve">Item Pairs </w:t>
            </w:r>
          </w:p>
        </w:tc>
        <w:tc>
          <w:tcPr>
            <w:tcW w:w="747" w:type="dxa"/>
            <w:tcBorders>
              <w:top w:val="nil"/>
              <w:left w:val="nil"/>
              <w:bottom w:val="single" w:sz="8" w:space="0" w:color="auto"/>
              <w:right w:val="nil"/>
            </w:tcBorders>
            <w:tcMar>
              <w:top w:w="0" w:type="dxa"/>
              <w:left w:w="108" w:type="dxa"/>
              <w:bottom w:w="0" w:type="dxa"/>
              <w:right w:w="108" w:type="dxa"/>
            </w:tcMar>
            <w:hideMark/>
          </w:tcPr>
          <w:p w14:paraId="512CD1D5"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i/>
                <w:iCs/>
                <w:sz w:val="24"/>
                <w:szCs w:val="24"/>
              </w:rPr>
              <w:t>r</w:t>
            </w:r>
          </w:p>
        </w:tc>
        <w:tc>
          <w:tcPr>
            <w:tcW w:w="747" w:type="dxa"/>
            <w:tcBorders>
              <w:top w:val="nil"/>
              <w:left w:val="nil"/>
              <w:bottom w:val="single" w:sz="8" w:space="0" w:color="auto"/>
              <w:right w:val="nil"/>
            </w:tcBorders>
            <w:tcMar>
              <w:top w:w="0" w:type="dxa"/>
              <w:left w:w="108" w:type="dxa"/>
              <w:bottom w:w="0" w:type="dxa"/>
              <w:right w:w="108" w:type="dxa"/>
            </w:tcMar>
            <w:hideMark/>
          </w:tcPr>
          <w:p w14:paraId="3F7AB391"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i/>
                <w:iCs/>
                <w:sz w:val="24"/>
                <w:szCs w:val="24"/>
              </w:rPr>
              <w:t>M</w:t>
            </w:r>
          </w:p>
        </w:tc>
        <w:tc>
          <w:tcPr>
            <w:tcW w:w="747" w:type="dxa"/>
            <w:tcBorders>
              <w:top w:val="nil"/>
              <w:left w:val="nil"/>
              <w:bottom w:val="single" w:sz="8" w:space="0" w:color="auto"/>
              <w:right w:val="nil"/>
            </w:tcBorders>
            <w:tcMar>
              <w:top w:w="0" w:type="dxa"/>
              <w:left w:w="108" w:type="dxa"/>
              <w:bottom w:w="0" w:type="dxa"/>
              <w:right w:w="108" w:type="dxa"/>
            </w:tcMar>
            <w:hideMark/>
          </w:tcPr>
          <w:p w14:paraId="61479DB0"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i/>
                <w:iCs/>
                <w:sz w:val="24"/>
                <w:szCs w:val="24"/>
              </w:rPr>
              <w:t>r</w:t>
            </w:r>
          </w:p>
        </w:tc>
        <w:tc>
          <w:tcPr>
            <w:tcW w:w="747" w:type="dxa"/>
            <w:gridSpan w:val="2"/>
            <w:tcBorders>
              <w:top w:val="nil"/>
              <w:left w:val="nil"/>
              <w:bottom w:val="single" w:sz="8" w:space="0" w:color="auto"/>
              <w:right w:val="nil"/>
            </w:tcBorders>
            <w:tcMar>
              <w:top w:w="0" w:type="dxa"/>
              <w:left w:w="108" w:type="dxa"/>
              <w:bottom w:w="0" w:type="dxa"/>
              <w:right w:w="108" w:type="dxa"/>
            </w:tcMar>
            <w:hideMark/>
          </w:tcPr>
          <w:p w14:paraId="137944E1"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i/>
                <w:iCs/>
                <w:sz w:val="24"/>
                <w:szCs w:val="24"/>
              </w:rPr>
              <w:t>M</w:t>
            </w:r>
          </w:p>
        </w:tc>
        <w:tc>
          <w:tcPr>
            <w:tcW w:w="747" w:type="dxa"/>
            <w:tcBorders>
              <w:top w:val="nil"/>
              <w:left w:val="nil"/>
              <w:bottom w:val="single" w:sz="8" w:space="0" w:color="auto"/>
              <w:right w:val="nil"/>
            </w:tcBorders>
            <w:tcMar>
              <w:top w:w="0" w:type="dxa"/>
              <w:left w:w="108" w:type="dxa"/>
              <w:bottom w:w="0" w:type="dxa"/>
              <w:right w:w="108" w:type="dxa"/>
            </w:tcMar>
            <w:hideMark/>
          </w:tcPr>
          <w:p w14:paraId="2E541A58"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i/>
                <w:iCs/>
                <w:sz w:val="24"/>
                <w:szCs w:val="24"/>
              </w:rPr>
              <w:t>r</w:t>
            </w:r>
          </w:p>
        </w:tc>
        <w:tc>
          <w:tcPr>
            <w:tcW w:w="747" w:type="dxa"/>
            <w:tcBorders>
              <w:top w:val="nil"/>
              <w:left w:val="nil"/>
              <w:bottom w:val="single" w:sz="8" w:space="0" w:color="auto"/>
              <w:right w:val="nil"/>
            </w:tcBorders>
            <w:tcMar>
              <w:top w:w="0" w:type="dxa"/>
              <w:left w:w="108" w:type="dxa"/>
              <w:bottom w:w="0" w:type="dxa"/>
              <w:right w:w="108" w:type="dxa"/>
            </w:tcMar>
            <w:hideMark/>
          </w:tcPr>
          <w:p w14:paraId="6B837B0E"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i/>
                <w:iCs/>
                <w:sz w:val="24"/>
                <w:szCs w:val="24"/>
              </w:rPr>
              <w:t>M</w:t>
            </w:r>
          </w:p>
        </w:tc>
        <w:tc>
          <w:tcPr>
            <w:tcW w:w="747" w:type="dxa"/>
            <w:tcBorders>
              <w:top w:val="nil"/>
              <w:left w:val="nil"/>
              <w:bottom w:val="single" w:sz="8" w:space="0" w:color="auto"/>
            </w:tcBorders>
          </w:tcPr>
          <w:p w14:paraId="2E14C72A"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i/>
                <w:iCs/>
                <w:sz w:val="24"/>
                <w:szCs w:val="24"/>
              </w:rPr>
              <w:t>r</w:t>
            </w:r>
          </w:p>
        </w:tc>
        <w:tc>
          <w:tcPr>
            <w:tcW w:w="747" w:type="dxa"/>
            <w:tcBorders>
              <w:top w:val="nil"/>
              <w:left w:val="nil"/>
              <w:bottom w:val="single" w:sz="8" w:space="0" w:color="auto"/>
              <w:right w:val="nil"/>
            </w:tcBorders>
          </w:tcPr>
          <w:p w14:paraId="6E29727E"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i/>
                <w:iCs/>
                <w:sz w:val="24"/>
                <w:szCs w:val="24"/>
              </w:rPr>
              <w:t>M</w:t>
            </w:r>
          </w:p>
        </w:tc>
        <w:tc>
          <w:tcPr>
            <w:tcW w:w="747" w:type="dxa"/>
            <w:tcBorders>
              <w:top w:val="nil"/>
              <w:left w:val="nil"/>
              <w:bottom w:val="single" w:sz="8" w:space="0" w:color="auto"/>
            </w:tcBorders>
          </w:tcPr>
          <w:p w14:paraId="471A3C9E"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i/>
                <w:iCs/>
                <w:sz w:val="24"/>
                <w:szCs w:val="24"/>
              </w:rPr>
              <w:t>r</w:t>
            </w:r>
          </w:p>
        </w:tc>
        <w:tc>
          <w:tcPr>
            <w:tcW w:w="747" w:type="dxa"/>
            <w:tcBorders>
              <w:top w:val="nil"/>
              <w:left w:val="nil"/>
              <w:bottom w:val="single" w:sz="8" w:space="0" w:color="auto"/>
              <w:right w:val="nil"/>
            </w:tcBorders>
          </w:tcPr>
          <w:p w14:paraId="54944227"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i/>
                <w:iCs/>
                <w:sz w:val="24"/>
                <w:szCs w:val="24"/>
              </w:rPr>
              <w:t>M</w:t>
            </w:r>
          </w:p>
        </w:tc>
      </w:tr>
      <w:tr w:rsidR="00292C81" w:rsidRPr="00AF7D9D" w14:paraId="4960F84D" w14:textId="77777777" w:rsidTr="0023154C">
        <w:tc>
          <w:tcPr>
            <w:tcW w:w="1818" w:type="dxa"/>
            <w:tcBorders>
              <w:top w:val="nil"/>
              <w:left w:val="nil"/>
              <w:bottom w:val="nil"/>
              <w:right w:val="nil"/>
            </w:tcBorders>
            <w:tcMar>
              <w:top w:w="0" w:type="dxa"/>
              <w:left w:w="108" w:type="dxa"/>
              <w:bottom w:w="0" w:type="dxa"/>
              <w:right w:w="108" w:type="dxa"/>
            </w:tcMar>
            <w:hideMark/>
          </w:tcPr>
          <w:p w14:paraId="548AA1B2" w14:textId="77777777" w:rsidR="00292C81" w:rsidRPr="00AF7D9D" w:rsidRDefault="00292C81" w:rsidP="009E1972">
            <w:pPr>
              <w:spacing w:before="100" w:beforeAutospacing="1" w:after="0" w:line="360" w:lineRule="auto"/>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1. 12 and 25</w:t>
            </w:r>
          </w:p>
        </w:tc>
        <w:tc>
          <w:tcPr>
            <w:tcW w:w="747" w:type="dxa"/>
            <w:tcBorders>
              <w:top w:val="nil"/>
              <w:left w:val="nil"/>
              <w:bottom w:val="nil"/>
              <w:right w:val="nil"/>
            </w:tcBorders>
            <w:tcMar>
              <w:top w:w="0" w:type="dxa"/>
              <w:left w:w="108" w:type="dxa"/>
              <w:bottom w:w="0" w:type="dxa"/>
              <w:right w:w="108" w:type="dxa"/>
            </w:tcMar>
            <w:hideMark/>
          </w:tcPr>
          <w:p w14:paraId="656A158F"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.63</w:t>
            </w:r>
          </w:p>
        </w:tc>
        <w:tc>
          <w:tcPr>
            <w:tcW w:w="747" w:type="dxa"/>
            <w:tcBorders>
              <w:top w:val="nil"/>
              <w:left w:val="nil"/>
              <w:bottom w:val="nil"/>
              <w:right w:val="nil"/>
            </w:tcBorders>
            <w:tcMar>
              <w:top w:w="0" w:type="dxa"/>
              <w:left w:w="108" w:type="dxa"/>
              <w:bottom w:w="0" w:type="dxa"/>
              <w:right w:w="108" w:type="dxa"/>
            </w:tcMar>
            <w:hideMark/>
          </w:tcPr>
          <w:p w14:paraId="31C9FE5E"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.47</w:t>
            </w:r>
          </w:p>
        </w:tc>
        <w:tc>
          <w:tcPr>
            <w:tcW w:w="747" w:type="dxa"/>
            <w:tcBorders>
              <w:top w:val="nil"/>
              <w:left w:val="nil"/>
              <w:bottom w:val="nil"/>
              <w:right w:val="nil"/>
            </w:tcBorders>
            <w:tcMar>
              <w:top w:w="0" w:type="dxa"/>
              <w:left w:w="108" w:type="dxa"/>
              <w:bottom w:w="0" w:type="dxa"/>
              <w:right w:w="108" w:type="dxa"/>
            </w:tcMar>
            <w:hideMark/>
          </w:tcPr>
          <w:p w14:paraId="2D3039CF"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.52</w:t>
            </w:r>
          </w:p>
        </w:tc>
        <w:tc>
          <w:tcPr>
            <w:tcW w:w="747" w:type="dxa"/>
            <w:gridSpan w:val="2"/>
            <w:tcBorders>
              <w:top w:val="nil"/>
              <w:left w:val="nil"/>
              <w:bottom w:val="nil"/>
              <w:right w:val="nil"/>
            </w:tcBorders>
            <w:tcMar>
              <w:top w:w="0" w:type="dxa"/>
              <w:left w:w="108" w:type="dxa"/>
              <w:bottom w:w="0" w:type="dxa"/>
              <w:right w:w="108" w:type="dxa"/>
            </w:tcMar>
            <w:hideMark/>
          </w:tcPr>
          <w:p w14:paraId="2E2695FD"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.57</w:t>
            </w:r>
          </w:p>
        </w:tc>
        <w:tc>
          <w:tcPr>
            <w:tcW w:w="747" w:type="dxa"/>
            <w:tcBorders>
              <w:top w:val="nil"/>
              <w:left w:val="nil"/>
              <w:bottom w:val="nil"/>
              <w:right w:val="nil"/>
            </w:tcBorders>
            <w:tcMar>
              <w:top w:w="0" w:type="dxa"/>
              <w:left w:w="108" w:type="dxa"/>
              <w:bottom w:w="0" w:type="dxa"/>
              <w:right w:w="108" w:type="dxa"/>
            </w:tcMar>
            <w:hideMark/>
          </w:tcPr>
          <w:p w14:paraId="1954D1F2"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.61</w:t>
            </w:r>
          </w:p>
        </w:tc>
        <w:tc>
          <w:tcPr>
            <w:tcW w:w="747" w:type="dxa"/>
            <w:tcBorders>
              <w:top w:val="nil"/>
              <w:left w:val="nil"/>
              <w:bottom w:val="nil"/>
              <w:right w:val="nil"/>
            </w:tcBorders>
            <w:tcMar>
              <w:top w:w="0" w:type="dxa"/>
              <w:left w:w="108" w:type="dxa"/>
              <w:bottom w:w="0" w:type="dxa"/>
              <w:right w:w="108" w:type="dxa"/>
            </w:tcMar>
            <w:hideMark/>
          </w:tcPr>
          <w:p w14:paraId="6606EBE1"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.59</w:t>
            </w:r>
          </w:p>
        </w:tc>
        <w:tc>
          <w:tcPr>
            <w:tcW w:w="747" w:type="dxa"/>
            <w:tcBorders>
              <w:top w:val="nil"/>
              <w:left w:val="nil"/>
              <w:bottom w:val="nil"/>
            </w:tcBorders>
          </w:tcPr>
          <w:p w14:paraId="32941512" w14:textId="77777777" w:rsidR="00292C81" w:rsidRPr="00AF7D9D" w:rsidRDefault="00292C81" w:rsidP="009E1972">
            <w:pPr>
              <w:autoSpaceDE w:val="0"/>
              <w:autoSpaceDN w:val="0"/>
              <w:adjustRightInd w:val="0"/>
              <w:spacing w:after="0" w:line="240" w:lineRule="auto"/>
              <w:jc w:val="center"/>
              <w:rPr>
                <w:rFonts w:ascii="Times New Roman" w:hAnsi="Times New Roman" w:cs="Times New Roman"/>
                <w:color w:val="1A1A1A"/>
                <w:sz w:val="24"/>
                <w:szCs w:val="24"/>
              </w:rPr>
            </w:pPr>
            <w:r w:rsidRPr="00AF7D9D">
              <w:rPr>
                <w:rFonts w:ascii="Times New Roman" w:hAnsi="Times New Roman" w:cs="Times New Roman"/>
                <w:color w:val="1A1A1A"/>
                <w:sz w:val="24"/>
                <w:szCs w:val="24"/>
              </w:rPr>
              <w:t>.37</w:t>
            </w:r>
          </w:p>
        </w:tc>
        <w:tc>
          <w:tcPr>
            <w:tcW w:w="747" w:type="dxa"/>
            <w:tcBorders>
              <w:top w:val="nil"/>
              <w:left w:val="nil"/>
              <w:bottom w:val="nil"/>
              <w:right w:val="nil"/>
            </w:tcBorders>
          </w:tcPr>
          <w:p w14:paraId="75F91074" w14:textId="77777777" w:rsidR="00292C81" w:rsidRPr="00AF7D9D" w:rsidRDefault="00292C81" w:rsidP="009E1972">
            <w:pPr>
              <w:autoSpaceDE w:val="0"/>
              <w:autoSpaceDN w:val="0"/>
              <w:adjustRightInd w:val="0"/>
              <w:spacing w:after="0" w:line="240" w:lineRule="auto"/>
              <w:jc w:val="center"/>
              <w:rPr>
                <w:rFonts w:ascii="Times New Roman" w:hAnsi="Times New Roman" w:cs="Times New Roman"/>
                <w:color w:val="1A1A1A"/>
                <w:sz w:val="24"/>
                <w:szCs w:val="24"/>
              </w:rPr>
            </w:pPr>
            <w:r w:rsidRPr="00AF7D9D">
              <w:rPr>
                <w:rFonts w:ascii="Times New Roman" w:hAnsi="Times New Roman" w:cs="Times New Roman"/>
                <w:color w:val="1A1A1A"/>
                <w:sz w:val="24"/>
                <w:szCs w:val="24"/>
              </w:rPr>
              <w:t>.58</w:t>
            </w:r>
          </w:p>
        </w:tc>
        <w:tc>
          <w:tcPr>
            <w:tcW w:w="747" w:type="dxa"/>
            <w:tcBorders>
              <w:top w:val="nil"/>
              <w:left w:val="nil"/>
              <w:bottom w:val="nil"/>
            </w:tcBorders>
          </w:tcPr>
          <w:p w14:paraId="6EF925D4" w14:textId="77777777" w:rsidR="00292C81" w:rsidRPr="00AF7D9D" w:rsidRDefault="00F15265"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.37</w:t>
            </w:r>
          </w:p>
        </w:tc>
        <w:tc>
          <w:tcPr>
            <w:tcW w:w="747" w:type="dxa"/>
            <w:tcBorders>
              <w:top w:val="nil"/>
              <w:left w:val="nil"/>
              <w:bottom w:val="nil"/>
              <w:right w:val="nil"/>
            </w:tcBorders>
          </w:tcPr>
          <w:p w14:paraId="672D213C" w14:textId="77777777" w:rsidR="00292C81" w:rsidRPr="00AF7D9D" w:rsidRDefault="00F15265"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.59</w:t>
            </w:r>
          </w:p>
        </w:tc>
      </w:tr>
      <w:tr w:rsidR="00292C81" w:rsidRPr="00AF7D9D" w14:paraId="4AFFEFB1" w14:textId="77777777" w:rsidTr="0023154C">
        <w:tc>
          <w:tcPr>
            <w:tcW w:w="1818" w:type="dxa"/>
            <w:tcMar>
              <w:top w:w="0" w:type="dxa"/>
              <w:left w:w="108" w:type="dxa"/>
              <w:bottom w:w="0" w:type="dxa"/>
              <w:right w:w="108" w:type="dxa"/>
            </w:tcMar>
            <w:hideMark/>
          </w:tcPr>
          <w:p w14:paraId="28228554" w14:textId="77777777" w:rsidR="00292C81" w:rsidRPr="00AF7D9D" w:rsidRDefault="00292C81" w:rsidP="009E1972">
            <w:pPr>
              <w:spacing w:before="100" w:beforeAutospacing="1" w:after="0" w:line="360" w:lineRule="auto"/>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2. 14 and 38</w:t>
            </w:r>
          </w:p>
        </w:tc>
        <w:tc>
          <w:tcPr>
            <w:tcW w:w="747" w:type="dxa"/>
            <w:tcMar>
              <w:top w:w="0" w:type="dxa"/>
              <w:left w:w="108" w:type="dxa"/>
              <w:bottom w:w="0" w:type="dxa"/>
              <w:right w:w="108" w:type="dxa"/>
            </w:tcMar>
            <w:hideMark/>
          </w:tcPr>
          <w:p w14:paraId="4F61BBCF"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.54</w:t>
            </w:r>
          </w:p>
        </w:tc>
        <w:tc>
          <w:tcPr>
            <w:tcW w:w="747" w:type="dxa"/>
            <w:tcMar>
              <w:top w:w="0" w:type="dxa"/>
              <w:left w:w="108" w:type="dxa"/>
              <w:bottom w:w="0" w:type="dxa"/>
              <w:right w:w="108" w:type="dxa"/>
            </w:tcMar>
            <w:hideMark/>
          </w:tcPr>
          <w:p w14:paraId="736EDB4C"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.66</w:t>
            </w:r>
          </w:p>
        </w:tc>
        <w:tc>
          <w:tcPr>
            <w:tcW w:w="747" w:type="dxa"/>
            <w:tcMar>
              <w:top w:w="0" w:type="dxa"/>
              <w:left w:w="108" w:type="dxa"/>
              <w:bottom w:w="0" w:type="dxa"/>
              <w:right w:w="108" w:type="dxa"/>
            </w:tcMar>
            <w:hideMark/>
          </w:tcPr>
          <w:p w14:paraId="7EDFF069"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.45</w:t>
            </w:r>
          </w:p>
        </w:tc>
        <w:tc>
          <w:tcPr>
            <w:tcW w:w="747" w:type="dxa"/>
            <w:gridSpan w:val="2"/>
            <w:tcMar>
              <w:top w:w="0" w:type="dxa"/>
              <w:left w:w="108" w:type="dxa"/>
              <w:bottom w:w="0" w:type="dxa"/>
              <w:right w:w="108" w:type="dxa"/>
            </w:tcMar>
            <w:hideMark/>
          </w:tcPr>
          <w:p w14:paraId="7016EB72"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.61</w:t>
            </w:r>
          </w:p>
        </w:tc>
        <w:tc>
          <w:tcPr>
            <w:tcW w:w="747" w:type="dxa"/>
            <w:tcMar>
              <w:top w:w="0" w:type="dxa"/>
              <w:left w:w="108" w:type="dxa"/>
              <w:bottom w:w="0" w:type="dxa"/>
              <w:right w:w="108" w:type="dxa"/>
            </w:tcMar>
            <w:hideMark/>
          </w:tcPr>
          <w:p w14:paraId="3A5365A2"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.47</w:t>
            </w:r>
          </w:p>
        </w:tc>
        <w:tc>
          <w:tcPr>
            <w:tcW w:w="747" w:type="dxa"/>
            <w:tcMar>
              <w:top w:w="0" w:type="dxa"/>
              <w:left w:w="108" w:type="dxa"/>
              <w:bottom w:w="0" w:type="dxa"/>
              <w:right w:w="108" w:type="dxa"/>
            </w:tcMar>
            <w:hideMark/>
          </w:tcPr>
          <w:p w14:paraId="2C6EBD03"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.63</w:t>
            </w:r>
          </w:p>
        </w:tc>
        <w:tc>
          <w:tcPr>
            <w:tcW w:w="747" w:type="dxa"/>
          </w:tcPr>
          <w:p w14:paraId="2F55E8AB" w14:textId="77777777" w:rsidR="00292C81" w:rsidRPr="00AF7D9D" w:rsidRDefault="00292C81" w:rsidP="009E1972">
            <w:pPr>
              <w:autoSpaceDE w:val="0"/>
              <w:autoSpaceDN w:val="0"/>
              <w:adjustRightInd w:val="0"/>
              <w:spacing w:after="0" w:line="240" w:lineRule="auto"/>
              <w:jc w:val="center"/>
              <w:rPr>
                <w:rFonts w:ascii="Times New Roman" w:hAnsi="Times New Roman" w:cs="Times New Roman"/>
                <w:color w:val="1A1A1A"/>
                <w:sz w:val="24"/>
                <w:szCs w:val="24"/>
              </w:rPr>
            </w:pPr>
            <w:r w:rsidRPr="00AF7D9D">
              <w:rPr>
                <w:rFonts w:ascii="Times New Roman" w:hAnsi="Times New Roman" w:cs="Times New Roman"/>
                <w:color w:val="1A1A1A"/>
                <w:sz w:val="24"/>
                <w:szCs w:val="24"/>
              </w:rPr>
              <w:t>.48</w:t>
            </w:r>
          </w:p>
        </w:tc>
        <w:tc>
          <w:tcPr>
            <w:tcW w:w="747" w:type="dxa"/>
            <w:tcBorders>
              <w:left w:val="nil"/>
            </w:tcBorders>
          </w:tcPr>
          <w:p w14:paraId="0DCBB407" w14:textId="77777777" w:rsidR="00292C81" w:rsidRPr="00AF7D9D" w:rsidRDefault="00292C81" w:rsidP="009E1972">
            <w:pPr>
              <w:autoSpaceDE w:val="0"/>
              <w:autoSpaceDN w:val="0"/>
              <w:adjustRightInd w:val="0"/>
              <w:spacing w:after="0" w:line="240" w:lineRule="auto"/>
              <w:jc w:val="center"/>
              <w:rPr>
                <w:rFonts w:ascii="Times New Roman" w:hAnsi="Times New Roman" w:cs="Times New Roman"/>
                <w:color w:val="1A1A1A"/>
                <w:sz w:val="24"/>
                <w:szCs w:val="24"/>
              </w:rPr>
            </w:pPr>
            <w:r w:rsidRPr="00AF7D9D">
              <w:rPr>
                <w:rFonts w:ascii="Times New Roman" w:hAnsi="Times New Roman" w:cs="Times New Roman"/>
                <w:color w:val="1A1A1A"/>
                <w:sz w:val="24"/>
                <w:szCs w:val="24"/>
              </w:rPr>
              <w:t>.42</w:t>
            </w:r>
          </w:p>
        </w:tc>
        <w:tc>
          <w:tcPr>
            <w:tcW w:w="747" w:type="dxa"/>
          </w:tcPr>
          <w:p w14:paraId="5AC62418" w14:textId="77777777" w:rsidR="00292C81" w:rsidRPr="00AF7D9D" w:rsidRDefault="00F15265"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.49</w:t>
            </w:r>
          </w:p>
        </w:tc>
        <w:tc>
          <w:tcPr>
            <w:tcW w:w="747" w:type="dxa"/>
            <w:tcBorders>
              <w:left w:val="nil"/>
            </w:tcBorders>
          </w:tcPr>
          <w:p w14:paraId="7E63855B" w14:textId="77777777" w:rsidR="00292C81" w:rsidRPr="00AF7D9D" w:rsidRDefault="00F15265"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.54</w:t>
            </w:r>
          </w:p>
        </w:tc>
      </w:tr>
      <w:tr w:rsidR="00292C81" w:rsidRPr="00AF7D9D" w14:paraId="5A5D8556" w14:textId="77777777" w:rsidTr="0023154C">
        <w:tc>
          <w:tcPr>
            <w:tcW w:w="1818" w:type="dxa"/>
            <w:tcMar>
              <w:top w:w="0" w:type="dxa"/>
              <w:left w:w="108" w:type="dxa"/>
              <w:bottom w:w="0" w:type="dxa"/>
              <w:right w:w="108" w:type="dxa"/>
            </w:tcMar>
            <w:hideMark/>
          </w:tcPr>
          <w:p w14:paraId="579B280D" w14:textId="77777777" w:rsidR="00292C81" w:rsidRPr="00AF7D9D" w:rsidRDefault="00292C81" w:rsidP="009E1972">
            <w:pPr>
              <w:spacing w:before="100" w:beforeAutospacing="1" w:after="0" w:line="360" w:lineRule="auto"/>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3. 15 and 20</w:t>
            </w:r>
          </w:p>
        </w:tc>
        <w:tc>
          <w:tcPr>
            <w:tcW w:w="747" w:type="dxa"/>
            <w:tcMar>
              <w:top w:w="0" w:type="dxa"/>
              <w:left w:w="108" w:type="dxa"/>
              <w:bottom w:w="0" w:type="dxa"/>
              <w:right w:w="108" w:type="dxa"/>
            </w:tcMar>
            <w:hideMark/>
          </w:tcPr>
          <w:p w14:paraId="765C50E3"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.47</w:t>
            </w:r>
          </w:p>
        </w:tc>
        <w:tc>
          <w:tcPr>
            <w:tcW w:w="747" w:type="dxa"/>
            <w:tcMar>
              <w:top w:w="0" w:type="dxa"/>
              <w:left w:w="108" w:type="dxa"/>
              <w:bottom w:w="0" w:type="dxa"/>
              <w:right w:w="108" w:type="dxa"/>
            </w:tcMar>
            <w:hideMark/>
          </w:tcPr>
          <w:p w14:paraId="4E981052"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.71</w:t>
            </w:r>
          </w:p>
        </w:tc>
        <w:tc>
          <w:tcPr>
            <w:tcW w:w="747" w:type="dxa"/>
            <w:tcMar>
              <w:top w:w="0" w:type="dxa"/>
              <w:left w:w="108" w:type="dxa"/>
              <w:bottom w:w="0" w:type="dxa"/>
              <w:right w:w="108" w:type="dxa"/>
            </w:tcMar>
            <w:hideMark/>
          </w:tcPr>
          <w:p w14:paraId="3AB6FD5F"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.42</w:t>
            </w:r>
          </w:p>
        </w:tc>
        <w:tc>
          <w:tcPr>
            <w:tcW w:w="747" w:type="dxa"/>
            <w:gridSpan w:val="2"/>
            <w:tcMar>
              <w:top w:w="0" w:type="dxa"/>
              <w:left w:w="108" w:type="dxa"/>
              <w:bottom w:w="0" w:type="dxa"/>
              <w:right w:w="108" w:type="dxa"/>
            </w:tcMar>
            <w:hideMark/>
          </w:tcPr>
          <w:p w14:paraId="1922E85A"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.61</w:t>
            </w:r>
          </w:p>
        </w:tc>
        <w:tc>
          <w:tcPr>
            <w:tcW w:w="747" w:type="dxa"/>
            <w:tcMar>
              <w:top w:w="0" w:type="dxa"/>
              <w:left w:w="108" w:type="dxa"/>
              <w:bottom w:w="0" w:type="dxa"/>
              <w:right w:w="108" w:type="dxa"/>
            </w:tcMar>
            <w:hideMark/>
          </w:tcPr>
          <w:p w14:paraId="6B387911"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.47</w:t>
            </w:r>
          </w:p>
        </w:tc>
        <w:tc>
          <w:tcPr>
            <w:tcW w:w="747" w:type="dxa"/>
            <w:tcMar>
              <w:top w:w="0" w:type="dxa"/>
              <w:left w:w="108" w:type="dxa"/>
              <w:bottom w:w="0" w:type="dxa"/>
              <w:right w:w="108" w:type="dxa"/>
            </w:tcMar>
            <w:hideMark/>
          </w:tcPr>
          <w:p w14:paraId="7089801A"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.62</w:t>
            </w:r>
          </w:p>
        </w:tc>
        <w:tc>
          <w:tcPr>
            <w:tcW w:w="747" w:type="dxa"/>
          </w:tcPr>
          <w:p w14:paraId="66045A42" w14:textId="77777777" w:rsidR="00292C81" w:rsidRPr="00AF7D9D" w:rsidRDefault="00292C81" w:rsidP="009E1972">
            <w:pPr>
              <w:autoSpaceDE w:val="0"/>
              <w:autoSpaceDN w:val="0"/>
              <w:adjustRightInd w:val="0"/>
              <w:spacing w:after="0" w:line="240" w:lineRule="auto"/>
              <w:jc w:val="center"/>
              <w:rPr>
                <w:rFonts w:ascii="Times New Roman" w:hAnsi="Times New Roman" w:cs="Times New Roman"/>
                <w:color w:val="1A1A1A"/>
                <w:sz w:val="24"/>
                <w:szCs w:val="24"/>
              </w:rPr>
            </w:pPr>
            <w:r w:rsidRPr="00AF7D9D">
              <w:rPr>
                <w:rFonts w:ascii="Times New Roman" w:hAnsi="Times New Roman" w:cs="Times New Roman"/>
                <w:color w:val="1A1A1A"/>
                <w:sz w:val="24"/>
                <w:szCs w:val="24"/>
              </w:rPr>
              <w:t>.44</w:t>
            </w:r>
          </w:p>
        </w:tc>
        <w:tc>
          <w:tcPr>
            <w:tcW w:w="747" w:type="dxa"/>
            <w:tcBorders>
              <w:left w:val="nil"/>
            </w:tcBorders>
          </w:tcPr>
          <w:p w14:paraId="500776B5" w14:textId="77777777" w:rsidR="00292C81" w:rsidRPr="00AF7D9D" w:rsidRDefault="00292C81" w:rsidP="009E1972">
            <w:pPr>
              <w:autoSpaceDE w:val="0"/>
              <w:autoSpaceDN w:val="0"/>
              <w:adjustRightInd w:val="0"/>
              <w:spacing w:after="0" w:line="240" w:lineRule="auto"/>
              <w:jc w:val="center"/>
              <w:rPr>
                <w:rFonts w:ascii="Times New Roman" w:hAnsi="Times New Roman" w:cs="Times New Roman"/>
                <w:color w:val="1A1A1A"/>
                <w:sz w:val="24"/>
                <w:szCs w:val="24"/>
              </w:rPr>
            </w:pPr>
            <w:r w:rsidRPr="00AF7D9D">
              <w:rPr>
                <w:rFonts w:ascii="Times New Roman" w:hAnsi="Times New Roman" w:cs="Times New Roman"/>
                <w:color w:val="1A1A1A"/>
                <w:sz w:val="24"/>
                <w:szCs w:val="24"/>
              </w:rPr>
              <w:t>.57</w:t>
            </w:r>
          </w:p>
        </w:tc>
        <w:tc>
          <w:tcPr>
            <w:tcW w:w="747" w:type="dxa"/>
          </w:tcPr>
          <w:p w14:paraId="4961EAB3" w14:textId="77777777" w:rsidR="00292C81" w:rsidRPr="00AF7D9D" w:rsidRDefault="00F15265"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.49</w:t>
            </w:r>
          </w:p>
        </w:tc>
        <w:tc>
          <w:tcPr>
            <w:tcW w:w="747" w:type="dxa"/>
            <w:tcBorders>
              <w:left w:val="nil"/>
            </w:tcBorders>
          </w:tcPr>
          <w:p w14:paraId="4C75B2E9" w14:textId="77777777" w:rsidR="00292C81" w:rsidRPr="00AF7D9D" w:rsidRDefault="002E6DD6"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.65</w:t>
            </w:r>
          </w:p>
        </w:tc>
      </w:tr>
      <w:tr w:rsidR="00292C81" w:rsidRPr="00AF7D9D" w14:paraId="791AD0E4" w14:textId="77777777" w:rsidTr="0023154C">
        <w:tc>
          <w:tcPr>
            <w:tcW w:w="1818" w:type="dxa"/>
            <w:tcMar>
              <w:top w:w="0" w:type="dxa"/>
              <w:left w:w="108" w:type="dxa"/>
              <w:bottom w:w="0" w:type="dxa"/>
              <w:right w:w="108" w:type="dxa"/>
            </w:tcMar>
            <w:hideMark/>
          </w:tcPr>
          <w:p w14:paraId="50D11546" w14:textId="77777777" w:rsidR="00292C81" w:rsidRPr="00AF7D9D" w:rsidRDefault="00292C81" w:rsidP="009E1972">
            <w:pPr>
              <w:spacing w:before="100" w:beforeAutospacing="1" w:after="0" w:line="360" w:lineRule="auto"/>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4. 17 and 44</w:t>
            </w:r>
          </w:p>
        </w:tc>
        <w:tc>
          <w:tcPr>
            <w:tcW w:w="747" w:type="dxa"/>
            <w:tcMar>
              <w:top w:w="0" w:type="dxa"/>
              <w:left w:w="108" w:type="dxa"/>
              <w:bottom w:w="0" w:type="dxa"/>
              <w:right w:w="108" w:type="dxa"/>
            </w:tcMar>
            <w:hideMark/>
          </w:tcPr>
          <w:p w14:paraId="002A00E4"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.24</w:t>
            </w:r>
          </w:p>
        </w:tc>
        <w:tc>
          <w:tcPr>
            <w:tcW w:w="747" w:type="dxa"/>
            <w:tcMar>
              <w:top w:w="0" w:type="dxa"/>
              <w:left w:w="108" w:type="dxa"/>
              <w:bottom w:w="0" w:type="dxa"/>
              <w:right w:w="108" w:type="dxa"/>
            </w:tcMar>
            <w:hideMark/>
          </w:tcPr>
          <w:p w14:paraId="6670D1DD"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.60</w:t>
            </w:r>
          </w:p>
        </w:tc>
        <w:tc>
          <w:tcPr>
            <w:tcW w:w="747" w:type="dxa"/>
            <w:tcMar>
              <w:top w:w="0" w:type="dxa"/>
              <w:left w:w="108" w:type="dxa"/>
              <w:bottom w:w="0" w:type="dxa"/>
              <w:right w:w="108" w:type="dxa"/>
            </w:tcMar>
            <w:hideMark/>
          </w:tcPr>
          <w:p w14:paraId="112FFD7B"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.30</w:t>
            </w:r>
          </w:p>
        </w:tc>
        <w:tc>
          <w:tcPr>
            <w:tcW w:w="747" w:type="dxa"/>
            <w:gridSpan w:val="2"/>
            <w:tcMar>
              <w:top w:w="0" w:type="dxa"/>
              <w:left w:w="108" w:type="dxa"/>
              <w:bottom w:w="0" w:type="dxa"/>
              <w:right w:w="108" w:type="dxa"/>
            </w:tcMar>
            <w:hideMark/>
          </w:tcPr>
          <w:p w14:paraId="791C12A6"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.72</w:t>
            </w:r>
          </w:p>
        </w:tc>
        <w:tc>
          <w:tcPr>
            <w:tcW w:w="747" w:type="dxa"/>
            <w:tcMar>
              <w:top w:w="0" w:type="dxa"/>
              <w:left w:w="108" w:type="dxa"/>
              <w:bottom w:w="0" w:type="dxa"/>
              <w:right w:w="108" w:type="dxa"/>
            </w:tcMar>
            <w:hideMark/>
          </w:tcPr>
          <w:p w14:paraId="450468A2"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.30</w:t>
            </w:r>
          </w:p>
        </w:tc>
        <w:tc>
          <w:tcPr>
            <w:tcW w:w="747" w:type="dxa"/>
            <w:tcMar>
              <w:top w:w="0" w:type="dxa"/>
              <w:left w:w="108" w:type="dxa"/>
              <w:bottom w:w="0" w:type="dxa"/>
              <w:right w:w="108" w:type="dxa"/>
            </w:tcMar>
            <w:hideMark/>
          </w:tcPr>
          <w:p w14:paraId="552EF248"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.65</w:t>
            </w:r>
          </w:p>
        </w:tc>
        <w:tc>
          <w:tcPr>
            <w:tcW w:w="747" w:type="dxa"/>
          </w:tcPr>
          <w:p w14:paraId="05118F6C" w14:textId="77777777" w:rsidR="00292C81" w:rsidRPr="00AF7D9D" w:rsidRDefault="00292C81" w:rsidP="009E1972">
            <w:pPr>
              <w:autoSpaceDE w:val="0"/>
              <w:autoSpaceDN w:val="0"/>
              <w:adjustRightInd w:val="0"/>
              <w:spacing w:after="0" w:line="240" w:lineRule="auto"/>
              <w:jc w:val="center"/>
              <w:rPr>
                <w:rFonts w:ascii="Times New Roman" w:hAnsi="Times New Roman" w:cs="Times New Roman"/>
                <w:color w:val="1A1A1A"/>
                <w:sz w:val="24"/>
                <w:szCs w:val="24"/>
              </w:rPr>
            </w:pPr>
            <w:r w:rsidRPr="00AF7D9D">
              <w:rPr>
                <w:rFonts w:ascii="Times New Roman" w:hAnsi="Times New Roman" w:cs="Times New Roman"/>
                <w:color w:val="1A1A1A"/>
                <w:sz w:val="24"/>
                <w:szCs w:val="24"/>
              </w:rPr>
              <w:t>.24</w:t>
            </w:r>
          </w:p>
        </w:tc>
        <w:tc>
          <w:tcPr>
            <w:tcW w:w="747" w:type="dxa"/>
            <w:tcBorders>
              <w:left w:val="nil"/>
            </w:tcBorders>
          </w:tcPr>
          <w:p w14:paraId="0DB7DEDB" w14:textId="77777777" w:rsidR="00292C81" w:rsidRPr="00AF7D9D" w:rsidRDefault="00292C81" w:rsidP="009E1972">
            <w:pPr>
              <w:autoSpaceDE w:val="0"/>
              <w:autoSpaceDN w:val="0"/>
              <w:adjustRightInd w:val="0"/>
              <w:spacing w:after="0" w:line="240" w:lineRule="auto"/>
              <w:jc w:val="center"/>
              <w:rPr>
                <w:rFonts w:ascii="Times New Roman" w:hAnsi="Times New Roman" w:cs="Times New Roman"/>
                <w:color w:val="1A1A1A"/>
                <w:sz w:val="24"/>
                <w:szCs w:val="24"/>
              </w:rPr>
            </w:pPr>
            <w:r w:rsidRPr="00AF7D9D">
              <w:rPr>
                <w:rFonts w:ascii="Times New Roman" w:hAnsi="Times New Roman" w:cs="Times New Roman"/>
                <w:color w:val="1A1A1A"/>
                <w:sz w:val="24"/>
                <w:szCs w:val="24"/>
              </w:rPr>
              <w:t>.45</w:t>
            </w:r>
          </w:p>
        </w:tc>
        <w:tc>
          <w:tcPr>
            <w:tcW w:w="747" w:type="dxa"/>
          </w:tcPr>
          <w:p w14:paraId="61ED2902" w14:textId="77777777" w:rsidR="00292C81" w:rsidRPr="00AF7D9D" w:rsidRDefault="00F15265"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.33</w:t>
            </w:r>
          </w:p>
        </w:tc>
        <w:tc>
          <w:tcPr>
            <w:tcW w:w="747" w:type="dxa"/>
            <w:tcBorders>
              <w:left w:val="nil"/>
            </w:tcBorders>
          </w:tcPr>
          <w:p w14:paraId="624B2D6E" w14:textId="77777777" w:rsidR="00292C81" w:rsidRPr="00AF7D9D" w:rsidRDefault="00F15265"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.54</w:t>
            </w:r>
          </w:p>
        </w:tc>
      </w:tr>
      <w:tr w:rsidR="00292C81" w:rsidRPr="00AF7D9D" w14:paraId="089D488C" w14:textId="77777777" w:rsidTr="0023154C">
        <w:tc>
          <w:tcPr>
            <w:tcW w:w="1818" w:type="dxa"/>
            <w:tcMar>
              <w:top w:w="0" w:type="dxa"/>
              <w:left w:w="108" w:type="dxa"/>
              <w:bottom w:w="0" w:type="dxa"/>
              <w:right w:w="108" w:type="dxa"/>
            </w:tcMar>
            <w:hideMark/>
          </w:tcPr>
          <w:p w14:paraId="14CCA54E" w14:textId="77777777" w:rsidR="00292C81" w:rsidRPr="00AF7D9D" w:rsidRDefault="00292C81" w:rsidP="009E1972">
            <w:pPr>
              <w:spacing w:before="100" w:beforeAutospacing="1" w:after="0" w:line="360" w:lineRule="auto"/>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5. 18 and 32</w:t>
            </w:r>
          </w:p>
        </w:tc>
        <w:tc>
          <w:tcPr>
            <w:tcW w:w="747" w:type="dxa"/>
            <w:tcMar>
              <w:top w:w="0" w:type="dxa"/>
              <w:left w:w="108" w:type="dxa"/>
              <w:bottom w:w="0" w:type="dxa"/>
              <w:right w:w="108" w:type="dxa"/>
            </w:tcMar>
            <w:hideMark/>
          </w:tcPr>
          <w:p w14:paraId="09EE5929"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.51</w:t>
            </w:r>
          </w:p>
        </w:tc>
        <w:tc>
          <w:tcPr>
            <w:tcW w:w="747" w:type="dxa"/>
            <w:tcMar>
              <w:top w:w="0" w:type="dxa"/>
              <w:left w:w="108" w:type="dxa"/>
              <w:bottom w:w="0" w:type="dxa"/>
              <w:right w:w="108" w:type="dxa"/>
            </w:tcMar>
            <w:hideMark/>
          </w:tcPr>
          <w:p w14:paraId="17DF39BC"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.74</w:t>
            </w:r>
          </w:p>
        </w:tc>
        <w:tc>
          <w:tcPr>
            <w:tcW w:w="747" w:type="dxa"/>
            <w:tcMar>
              <w:top w:w="0" w:type="dxa"/>
              <w:left w:w="108" w:type="dxa"/>
              <w:bottom w:w="0" w:type="dxa"/>
              <w:right w:w="108" w:type="dxa"/>
            </w:tcMar>
            <w:hideMark/>
          </w:tcPr>
          <w:p w14:paraId="69B6B1D8"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.51</w:t>
            </w:r>
          </w:p>
        </w:tc>
        <w:tc>
          <w:tcPr>
            <w:tcW w:w="747" w:type="dxa"/>
            <w:gridSpan w:val="2"/>
            <w:tcMar>
              <w:top w:w="0" w:type="dxa"/>
              <w:left w:w="108" w:type="dxa"/>
              <w:bottom w:w="0" w:type="dxa"/>
              <w:right w:w="108" w:type="dxa"/>
            </w:tcMar>
            <w:hideMark/>
          </w:tcPr>
          <w:p w14:paraId="20D18F6D"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.56</w:t>
            </w:r>
          </w:p>
        </w:tc>
        <w:tc>
          <w:tcPr>
            <w:tcW w:w="747" w:type="dxa"/>
            <w:tcMar>
              <w:top w:w="0" w:type="dxa"/>
              <w:left w:w="108" w:type="dxa"/>
              <w:bottom w:w="0" w:type="dxa"/>
              <w:right w:w="108" w:type="dxa"/>
            </w:tcMar>
            <w:hideMark/>
          </w:tcPr>
          <w:p w14:paraId="227807EA"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.60</w:t>
            </w:r>
          </w:p>
        </w:tc>
        <w:tc>
          <w:tcPr>
            <w:tcW w:w="747" w:type="dxa"/>
            <w:tcMar>
              <w:top w:w="0" w:type="dxa"/>
              <w:left w:w="108" w:type="dxa"/>
              <w:bottom w:w="0" w:type="dxa"/>
              <w:right w:w="108" w:type="dxa"/>
            </w:tcMar>
            <w:hideMark/>
          </w:tcPr>
          <w:p w14:paraId="71D46223"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.51</w:t>
            </w:r>
          </w:p>
        </w:tc>
        <w:tc>
          <w:tcPr>
            <w:tcW w:w="747" w:type="dxa"/>
          </w:tcPr>
          <w:p w14:paraId="7BC5D983" w14:textId="77777777" w:rsidR="00292C81" w:rsidRPr="00AF7D9D" w:rsidRDefault="00292C81" w:rsidP="009E1972">
            <w:pPr>
              <w:autoSpaceDE w:val="0"/>
              <w:autoSpaceDN w:val="0"/>
              <w:adjustRightInd w:val="0"/>
              <w:spacing w:after="0" w:line="240" w:lineRule="auto"/>
              <w:jc w:val="center"/>
              <w:rPr>
                <w:rFonts w:ascii="Times New Roman" w:hAnsi="Times New Roman" w:cs="Times New Roman"/>
                <w:color w:val="1A1A1A"/>
                <w:sz w:val="24"/>
                <w:szCs w:val="24"/>
              </w:rPr>
            </w:pPr>
            <w:r w:rsidRPr="00AF7D9D">
              <w:rPr>
                <w:rFonts w:ascii="Times New Roman" w:hAnsi="Times New Roman" w:cs="Times New Roman"/>
                <w:color w:val="1A1A1A"/>
                <w:sz w:val="24"/>
                <w:szCs w:val="24"/>
              </w:rPr>
              <w:t>.49</w:t>
            </w:r>
          </w:p>
        </w:tc>
        <w:tc>
          <w:tcPr>
            <w:tcW w:w="747" w:type="dxa"/>
            <w:tcBorders>
              <w:left w:val="nil"/>
            </w:tcBorders>
          </w:tcPr>
          <w:p w14:paraId="70368015" w14:textId="77777777" w:rsidR="00292C81" w:rsidRPr="00AF7D9D" w:rsidRDefault="00292C81" w:rsidP="009E1972">
            <w:pPr>
              <w:autoSpaceDE w:val="0"/>
              <w:autoSpaceDN w:val="0"/>
              <w:adjustRightInd w:val="0"/>
              <w:spacing w:after="0" w:line="240" w:lineRule="auto"/>
              <w:jc w:val="center"/>
              <w:rPr>
                <w:rFonts w:ascii="Times New Roman" w:hAnsi="Times New Roman" w:cs="Times New Roman"/>
                <w:color w:val="1A1A1A"/>
                <w:sz w:val="24"/>
                <w:szCs w:val="24"/>
              </w:rPr>
            </w:pPr>
            <w:r w:rsidRPr="00AF7D9D">
              <w:rPr>
                <w:rFonts w:ascii="Times New Roman" w:hAnsi="Times New Roman" w:cs="Times New Roman"/>
                <w:color w:val="1A1A1A"/>
                <w:sz w:val="24"/>
                <w:szCs w:val="24"/>
              </w:rPr>
              <w:t>.67</w:t>
            </w:r>
          </w:p>
        </w:tc>
        <w:tc>
          <w:tcPr>
            <w:tcW w:w="747" w:type="dxa"/>
          </w:tcPr>
          <w:p w14:paraId="75DC8B74" w14:textId="77777777" w:rsidR="00292C81" w:rsidRPr="00AF7D9D" w:rsidRDefault="00F15265"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.63</w:t>
            </w:r>
          </w:p>
        </w:tc>
        <w:tc>
          <w:tcPr>
            <w:tcW w:w="747" w:type="dxa"/>
            <w:tcBorders>
              <w:left w:val="nil"/>
            </w:tcBorders>
          </w:tcPr>
          <w:p w14:paraId="28DEDBA6" w14:textId="77777777" w:rsidR="00292C81" w:rsidRPr="00AF7D9D" w:rsidRDefault="002E6DD6"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.52</w:t>
            </w:r>
          </w:p>
        </w:tc>
      </w:tr>
      <w:tr w:rsidR="00292C81" w:rsidRPr="00AF7D9D" w14:paraId="3C9AEFF4" w14:textId="77777777" w:rsidTr="0023154C">
        <w:tc>
          <w:tcPr>
            <w:tcW w:w="1818" w:type="dxa"/>
            <w:tcMar>
              <w:top w:w="0" w:type="dxa"/>
              <w:left w:w="108" w:type="dxa"/>
              <w:bottom w:w="0" w:type="dxa"/>
              <w:right w:w="108" w:type="dxa"/>
            </w:tcMar>
            <w:hideMark/>
          </w:tcPr>
          <w:p w14:paraId="14F4E327" w14:textId="77777777" w:rsidR="00292C81" w:rsidRPr="00AF7D9D" w:rsidRDefault="00292C81" w:rsidP="009E1972">
            <w:pPr>
              <w:spacing w:before="100" w:beforeAutospacing="1" w:after="0" w:line="360" w:lineRule="auto"/>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6. 19 and 41</w:t>
            </w:r>
          </w:p>
        </w:tc>
        <w:tc>
          <w:tcPr>
            <w:tcW w:w="747" w:type="dxa"/>
            <w:tcMar>
              <w:top w:w="0" w:type="dxa"/>
              <w:left w:w="108" w:type="dxa"/>
              <w:bottom w:w="0" w:type="dxa"/>
              <w:right w:w="108" w:type="dxa"/>
            </w:tcMar>
            <w:hideMark/>
          </w:tcPr>
          <w:p w14:paraId="11BAFCCD"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.34</w:t>
            </w:r>
          </w:p>
        </w:tc>
        <w:tc>
          <w:tcPr>
            <w:tcW w:w="747" w:type="dxa"/>
            <w:tcMar>
              <w:top w:w="0" w:type="dxa"/>
              <w:left w:w="108" w:type="dxa"/>
              <w:bottom w:w="0" w:type="dxa"/>
              <w:right w:w="108" w:type="dxa"/>
            </w:tcMar>
            <w:hideMark/>
          </w:tcPr>
          <w:p w14:paraId="4D810FB3"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1.01</w:t>
            </w:r>
          </w:p>
        </w:tc>
        <w:tc>
          <w:tcPr>
            <w:tcW w:w="747" w:type="dxa"/>
            <w:tcMar>
              <w:top w:w="0" w:type="dxa"/>
              <w:left w:w="108" w:type="dxa"/>
              <w:bottom w:w="0" w:type="dxa"/>
              <w:right w:w="108" w:type="dxa"/>
            </w:tcMar>
            <w:hideMark/>
          </w:tcPr>
          <w:p w14:paraId="6B442DF3"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.27</w:t>
            </w:r>
          </w:p>
        </w:tc>
        <w:tc>
          <w:tcPr>
            <w:tcW w:w="747" w:type="dxa"/>
            <w:gridSpan w:val="2"/>
            <w:tcMar>
              <w:top w:w="0" w:type="dxa"/>
              <w:left w:w="108" w:type="dxa"/>
              <w:bottom w:w="0" w:type="dxa"/>
              <w:right w:w="108" w:type="dxa"/>
            </w:tcMar>
            <w:hideMark/>
          </w:tcPr>
          <w:p w14:paraId="31A3C102"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.75</w:t>
            </w:r>
          </w:p>
        </w:tc>
        <w:tc>
          <w:tcPr>
            <w:tcW w:w="747" w:type="dxa"/>
            <w:tcMar>
              <w:top w:w="0" w:type="dxa"/>
              <w:left w:w="108" w:type="dxa"/>
              <w:bottom w:w="0" w:type="dxa"/>
              <w:right w:w="108" w:type="dxa"/>
            </w:tcMar>
            <w:hideMark/>
          </w:tcPr>
          <w:p w14:paraId="72303BC5"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.40</w:t>
            </w:r>
          </w:p>
        </w:tc>
        <w:tc>
          <w:tcPr>
            <w:tcW w:w="747" w:type="dxa"/>
            <w:tcMar>
              <w:top w:w="0" w:type="dxa"/>
              <w:left w:w="108" w:type="dxa"/>
              <w:bottom w:w="0" w:type="dxa"/>
              <w:right w:w="108" w:type="dxa"/>
            </w:tcMar>
            <w:hideMark/>
          </w:tcPr>
          <w:p w14:paraId="3F71F0CC"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.63</w:t>
            </w:r>
          </w:p>
        </w:tc>
        <w:tc>
          <w:tcPr>
            <w:tcW w:w="747" w:type="dxa"/>
          </w:tcPr>
          <w:p w14:paraId="112FA23F" w14:textId="77777777" w:rsidR="00292C81" w:rsidRPr="00AF7D9D" w:rsidRDefault="00292C81" w:rsidP="009E1972">
            <w:pPr>
              <w:autoSpaceDE w:val="0"/>
              <w:autoSpaceDN w:val="0"/>
              <w:adjustRightInd w:val="0"/>
              <w:spacing w:after="0" w:line="240" w:lineRule="auto"/>
              <w:jc w:val="center"/>
              <w:rPr>
                <w:rFonts w:ascii="Times New Roman" w:hAnsi="Times New Roman" w:cs="Times New Roman"/>
                <w:color w:val="1A1A1A"/>
                <w:sz w:val="24"/>
                <w:szCs w:val="24"/>
              </w:rPr>
            </w:pPr>
            <w:r w:rsidRPr="00AF7D9D">
              <w:rPr>
                <w:rFonts w:ascii="Times New Roman" w:hAnsi="Times New Roman" w:cs="Times New Roman"/>
                <w:color w:val="1A1A1A"/>
                <w:sz w:val="24"/>
                <w:szCs w:val="24"/>
              </w:rPr>
              <w:t>.42</w:t>
            </w:r>
          </w:p>
        </w:tc>
        <w:tc>
          <w:tcPr>
            <w:tcW w:w="747" w:type="dxa"/>
            <w:tcBorders>
              <w:left w:val="nil"/>
            </w:tcBorders>
          </w:tcPr>
          <w:p w14:paraId="6B700015" w14:textId="77777777" w:rsidR="00292C81" w:rsidRPr="00AF7D9D" w:rsidRDefault="00292C81" w:rsidP="009E1972">
            <w:pPr>
              <w:autoSpaceDE w:val="0"/>
              <w:autoSpaceDN w:val="0"/>
              <w:adjustRightInd w:val="0"/>
              <w:spacing w:after="0" w:line="240" w:lineRule="auto"/>
              <w:jc w:val="center"/>
              <w:rPr>
                <w:rFonts w:ascii="Times New Roman" w:hAnsi="Times New Roman" w:cs="Times New Roman"/>
                <w:color w:val="1A1A1A"/>
                <w:sz w:val="24"/>
                <w:szCs w:val="24"/>
              </w:rPr>
            </w:pPr>
            <w:r w:rsidRPr="00AF7D9D">
              <w:rPr>
                <w:rFonts w:ascii="Times New Roman" w:hAnsi="Times New Roman" w:cs="Times New Roman"/>
                <w:color w:val="1A1A1A"/>
                <w:sz w:val="24"/>
                <w:szCs w:val="24"/>
              </w:rPr>
              <w:t>.62</w:t>
            </w:r>
          </w:p>
        </w:tc>
        <w:tc>
          <w:tcPr>
            <w:tcW w:w="747" w:type="dxa"/>
          </w:tcPr>
          <w:p w14:paraId="42C0247C" w14:textId="77777777" w:rsidR="00292C81" w:rsidRPr="00AF7D9D" w:rsidRDefault="00F15265"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.44</w:t>
            </w:r>
          </w:p>
        </w:tc>
        <w:tc>
          <w:tcPr>
            <w:tcW w:w="747" w:type="dxa"/>
            <w:tcBorders>
              <w:left w:val="nil"/>
            </w:tcBorders>
          </w:tcPr>
          <w:p w14:paraId="60447074" w14:textId="77777777" w:rsidR="00292C81" w:rsidRPr="00AF7D9D" w:rsidRDefault="002E6DD6"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.56</w:t>
            </w:r>
          </w:p>
        </w:tc>
      </w:tr>
      <w:tr w:rsidR="00292C81" w:rsidRPr="00AF7D9D" w14:paraId="01366380" w14:textId="77777777" w:rsidTr="0023154C">
        <w:tc>
          <w:tcPr>
            <w:tcW w:w="1818" w:type="dxa"/>
            <w:tcBorders>
              <w:top w:val="nil"/>
              <w:left w:val="nil"/>
              <w:bottom w:val="single" w:sz="8" w:space="0" w:color="auto"/>
              <w:right w:val="nil"/>
            </w:tcBorders>
            <w:tcMar>
              <w:top w:w="0" w:type="dxa"/>
              <w:left w:w="108" w:type="dxa"/>
              <w:bottom w:w="0" w:type="dxa"/>
              <w:right w:w="108" w:type="dxa"/>
            </w:tcMar>
            <w:hideMark/>
          </w:tcPr>
          <w:p w14:paraId="1EF42701" w14:textId="77777777" w:rsidR="00292C81" w:rsidRPr="00AF7D9D" w:rsidRDefault="00292C81" w:rsidP="009E1972">
            <w:pPr>
              <w:spacing w:before="100" w:beforeAutospacing="1" w:after="0" w:line="360" w:lineRule="auto"/>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7. 39 and 45</w:t>
            </w:r>
          </w:p>
        </w:tc>
        <w:tc>
          <w:tcPr>
            <w:tcW w:w="747" w:type="dxa"/>
            <w:tcBorders>
              <w:top w:val="nil"/>
              <w:left w:val="nil"/>
              <w:bottom w:val="single" w:sz="8" w:space="0" w:color="auto"/>
              <w:right w:val="nil"/>
            </w:tcBorders>
            <w:tcMar>
              <w:top w:w="0" w:type="dxa"/>
              <w:left w:w="108" w:type="dxa"/>
              <w:bottom w:w="0" w:type="dxa"/>
              <w:right w:w="108" w:type="dxa"/>
            </w:tcMar>
            <w:hideMark/>
          </w:tcPr>
          <w:p w14:paraId="17891028"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.35</w:t>
            </w:r>
          </w:p>
        </w:tc>
        <w:tc>
          <w:tcPr>
            <w:tcW w:w="747" w:type="dxa"/>
            <w:tcBorders>
              <w:top w:val="nil"/>
              <w:left w:val="nil"/>
              <w:bottom w:val="single" w:sz="8" w:space="0" w:color="auto"/>
              <w:right w:val="nil"/>
            </w:tcBorders>
            <w:tcMar>
              <w:top w:w="0" w:type="dxa"/>
              <w:left w:w="108" w:type="dxa"/>
              <w:bottom w:w="0" w:type="dxa"/>
              <w:right w:w="108" w:type="dxa"/>
            </w:tcMar>
            <w:hideMark/>
          </w:tcPr>
          <w:p w14:paraId="003D8A41"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.91</w:t>
            </w:r>
          </w:p>
        </w:tc>
        <w:tc>
          <w:tcPr>
            <w:tcW w:w="747" w:type="dxa"/>
            <w:tcBorders>
              <w:top w:val="nil"/>
              <w:left w:val="nil"/>
              <w:bottom w:val="single" w:sz="8" w:space="0" w:color="auto"/>
              <w:right w:val="nil"/>
            </w:tcBorders>
            <w:tcMar>
              <w:top w:w="0" w:type="dxa"/>
              <w:left w:w="108" w:type="dxa"/>
              <w:bottom w:w="0" w:type="dxa"/>
              <w:right w:w="108" w:type="dxa"/>
            </w:tcMar>
            <w:hideMark/>
          </w:tcPr>
          <w:p w14:paraId="53ED8A2C"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.34</w:t>
            </w:r>
          </w:p>
        </w:tc>
        <w:tc>
          <w:tcPr>
            <w:tcW w:w="747" w:type="dxa"/>
            <w:gridSpan w:val="2"/>
            <w:tcBorders>
              <w:top w:val="nil"/>
              <w:left w:val="nil"/>
              <w:bottom w:val="single" w:sz="8" w:space="0" w:color="auto"/>
              <w:right w:val="nil"/>
            </w:tcBorders>
            <w:tcMar>
              <w:top w:w="0" w:type="dxa"/>
              <w:left w:w="108" w:type="dxa"/>
              <w:bottom w:w="0" w:type="dxa"/>
              <w:right w:w="108" w:type="dxa"/>
            </w:tcMar>
            <w:hideMark/>
          </w:tcPr>
          <w:p w14:paraId="5ADA9A6B"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.70</w:t>
            </w:r>
          </w:p>
        </w:tc>
        <w:tc>
          <w:tcPr>
            <w:tcW w:w="747" w:type="dxa"/>
            <w:tcBorders>
              <w:top w:val="nil"/>
              <w:left w:val="nil"/>
              <w:bottom w:val="single" w:sz="8" w:space="0" w:color="auto"/>
              <w:right w:val="nil"/>
            </w:tcBorders>
            <w:tcMar>
              <w:top w:w="0" w:type="dxa"/>
              <w:left w:w="108" w:type="dxa"/>
              <w:bottom w:w="0" w:type="dxa"/>
              <w:right w:w="108" w:type="dxa"/>
            </w:tcMar>
            <w:hideMark/>
          </w:tcPr>
          <w:p w14:paraId="0F62DA55"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.37</w:t>
            </w:r>
          </w:p>
        </w:tc>
        <w:tc>
          <w:tcPr>
            <w:tcW w:w="747" w:type="dxa"/>
            <w:tcBorders>
              <w:top w:val="nil"/>
              <w:left w:val="nil"/>
              <w:bottom w:val="single" w:sz="8" w:space="0" w:color="auto"/>
              <w:right w:val="nil"/>
            </w:tcBorders>
            <w:tcMar>
              <w:top w:w="0" w:type="dxa"/>
              <w:left w:w="108" w:type="dxa"/>
              <w:bottom w:w="0" w:type="dxa"/>
              <w:right w:w="108" w:type="dxa"/>
            </w:tcMar>
            <w:hideMark/>
          </w:tcPr>
          <w:p w14:paraId="5E5EB217" w14:textId="77777777" w:rsidR="00292C81" w:rsidRPr="00AF7D9D" w:rsidRDefault="00292C81"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.86</w:t>
            </w:r>
          </w:p>
        </w:tc>
        <w:tc>
          <w:tcPr>
            <w:tcW w:w="747" w:type="dxa"/>
            <w:tcBorders>
              <w:top w:val="nil"/>
              <w:left w:val="nil"/>
              <w:bottom w:val="single" w:sz="8" w:space="0" w:color="auto"/>
            </w:tcBorders>
          </w:tcPr>
          <w:p w14:paraId="71E2F392" w14:textId="77777777" w:rsidR="00292C81" w:rsidRPr="00AF7D9D" w:rsidRDefault="00292C81" w:rsidP="009E1972">
            <w:pPr>
              <w:autoSpaceDE w:val="0"/>
              <w:autoSpaceDN w:val="0"/>
              <w:adjustRightInd w:val="0"/>
              <w:spacing w:after="0" w:line="240" w:lineRule="auto"/>
              <w:jc w:val="center"/>
              <w:rPr>
                <w:rFonts w:ascii="Times New Roman" w:hAnsi="Times New Roman" w:cs="Times New Roman"/>
                <w:color w:val="1A1A1A"/>
                <w:sz w:val="24"/>
                <w:szCs w:val="24"/>
              </w:rPr>
            </w:pPr>
            <w:r w:rsidRPr="00AF7D9D">
              <w:rPr>
                <w:rFonts w:ascii="Times New Roman" w:hAnsi="Times New Roman" w:cs="Times New Roman"/>
                <w:color w:val="1A1A1A"/>
                <w:sz w:val="24"/>
                <w:szCs w:val="24"/>
              </w:rPr>
              <w:t>.27</w:t>
            </w:r>
          </w:p>
        </w:tc>
        <w:tc>
          <w:tcPr>
            <w:tcW w:w="747" w:type="dxa"/>
            <w:tcBorders>
              <w:top w:val="nil"/>
              <w:left w:val="nil"/>
              <w:bottom w:val="single" w:sz="8" w:space="0" w:color="auto"/>
              <w:right w:val="nil"/>
            </w:tcBorders>
          </w:tcPr>
          <w:p w14:paraId="2AA7125D" w14:textId="77777777" w:rsidR="00292C81" w:rsidRPr="00AF7D9D" w:rsidRDefault="00292C81" w:rsidP="009E1972">
            <w:pPr>
              <w:autoSpaceDE w:val="0"/>
              <w:autoSpaceDN w:val="0"/>
              <w:adjustRightInd w:val="0"/>
              <w:spacing w:after="0" w:line="240" w:lineRule="auto"/>
              <w:jc w:val="center"/>
              <w:rPr>
                <w:rFonts w:ascii="Times New Roman" w:hAnsi="Times New Roman" w:cs="Times New Roman"/>
                <w:color w:val="1A1A1A"/>
                <w:sz w:val="24"/>
                <w:szCs w:val="24"/>
              </w:rPr>
            </w:pPr>
            <w:r w:rsidRPr="00AF7D9D">
              <w:rPr>
                <w:rFonts w:ascii="Times New Roman" w:hAnsi="Times New Roman" w:cs="Times New Roman"/>
                <w:color w:val="1A1A1A"/>
                <w:sz w:val="24"/>
                <w:szCs w:val="24"/>
              </w:rPr>
              <w:t>.74</w:t>
            </w:r>
          </w:p>
        </w:tc>
        <w:tc>
          <w:tcPr>
            <w:tcW w:w="747" w:type="dxa"/>
            <w:tcBorders>
              <w:top w:val="nil"/>
              <w:left w:val="nil"/>
              <w:bottom w:val="single" w:sz="8" w:space="0" w:color="auto"/>
            </w:tcBorders>
          </w:tcPr>
          <w:p w14:paraId="66784A08" w14:textId="77777777" w:rsidR="00292C81" w:rsidRPr="00AF7D9D" w:rsidRDefault="00F15265"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.30</w:t>
            </w:r>
          </w:p>
        </w:tc>
        <w:tc>
          <w:tcPr>
            <w:tcW w:w="747" w:type="dxa"/>
            <w:tcBorders>
              <w:top w:val="nil"/>
              <w:left w:val="nil"/>
              <w:bottom w:val="single" w:sz="8" w:space="0" w:color="auto"/>
              <w:right w:val="nil"/>
            </w:tcBorders>
          </w:tcPr>
          <w:p w14:paraId="2FBD035A" w14:textId="77777777" w:rsidR="00292C81" w:rsidRPr="00AF7D9D" w:rsidRDefault="00F15265" w:rsidP="009E1972">
            <w:pPr>
              <w:spacing w:before="100" w:beforeAutospacing="1" w:after="0" w:line="360" w:lineRule="auto"/>
              <w:jc w:val="center"/>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.73</w:t>
            </w:r>
          </w:p>
        </w:tc>
      </w:tr>
    </w:tbl>
    <w:p w14:paraId="1E93C3C6" w14:textId="3D665E4A" w:rsidR="00292C81" w:rsidRPr="00AF7D9D" w:rsidRDefault="00292C81" w:rsidP="00000F3E">
      <w:pPr>
        <w:spacing w:after="0" w:line="240" w:lineRule="auto"/>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 xml:space="preserve">Note. </w:t>
      </w:r>
      <w:r w:rsidR="00641C2C" w:rsidRPr="00AF7D9D">
        <w:rPr>
          <w:rFonts w:ascii="Times New Roman" w:eastAsia="Times New Roman" w:hAnsi="Times New Roman" w:cs="Times New Roman"/>
          <w:sz w:val="24"/>
          <w:szCs w:val="24"/>
        </w:rPr>
        <w:t xml:space="preserve">YPI-S = Youth Psychopathic Traits Inventory – Short Form. </w:t>
      </w:r>
      <w:r w:rsidRPr="00AF7D9D">
        <w:rPr>
          <w:rFonts w:ascii="Times New Roman" w:eastAsia="Times New Roman" w:hAnsi="Times New Roman" w:cs="Times New Roman"/>
          <w:i/>
          <w:iCs/>
          <w:sz w:val="24"/>
          <w:szCs w:val="24"/>
        </w:rPr>
        <w:t>M</w:t>
      </w:r>
      <w:r w:rsidRPr="00AF7D9D">
        <w:rPr>
          <w:rFonts w:ascii="Times New Roman" w:eastAsia="Times New Roman" w:hAnsi="Times New Roman" w:cs="Times New Roman"/>
          <w:sz w:val="24"/>
          <w:szCs w:val="24"/>
        </w:rPr>
        <w:t xml:space="preserve"> = Mean absolute value of the difference between the two items. </w:t>
      </w:r>
      <w:r w:rsidRPr="00AF7D9D">
        <w:rPr>
          <w:rFonts w:ascii="Times New Roman" w:eastAsia="Times New Roman" w:hAnsi="Times New Roman" w:cs="Times New Roman"/>
          <w:i/>
          <w:iCs/>
          <w:sz w:val="24"/>
          <w:szCs w:val="24"/>
        </w:rPr>
        <w:t>r</w:t>
      </w:r>
      <w:r w:rsidRPr="00AF7D9D">
        <w:rPr>
          <w:rFonts w:ascii="Times New Roman" w:eastAsia="Times New Roman" w:hAnsi="Times New Roman" w:cs="Times New Roman"/>
          <w:sz w:val="24"/>
          <w:szCs w:val="24"/>
        </w:rPr>
        <w:t xml:space="preserve"> = Pearson</w:t>
      </w:r>
      <w:r w:rsidRPr="00AF7D9D">
        <w:rPr>
          <w:rFonts w:ascii="Times New Roman" w:eastAsia="Times New Roman" w:hAnsi="Times New Roman" w:cs="Times New Roman"/>
          <w:i/>
          <w:sz w:val="24"/>
          <w:szCs w:val="24"/>
        </w:rPr>
        <w:t xml:space="preserve"> </w:t>
      </w:r>
      <w:r w:rsidR="000C2958" w:rsidRPr="00AF7D9D">
        <w:rPr>
          <w:rFonts w:ascii="Times New Roman" w:eastAsia="Times New Roman" w:hAnsi="Times New Roman" w:cs="Times New Roman"/>
          <w:iCs/>
          <w:sz w:val="24"/>
          <w:szCs w:val="24"/>
        </w:rPr>
        <w:t>correlation coefficient</w:t>
      </w:r>
      <w:r w:rsidRPr="00AF7D9D">
        <w:rPr>
          <w:rFonts w:ascii="Times New Roman" w:eastAsia="Times New Roman" w:hAnsi="Times New Roman" w:cs="Times New Roman"/>
          <w:sz w:val="24"/>
          <w:szCs w:val="24"/>
        </w:rPr>
        <w:t>.</w:t>
      </w:r>
      <w:r w:rsidR="00641C2C" w:rsidRPr="00AF7D9D">
        <w:rPr>
          <w:rFonts w:ascii="Times New Roman" w:eastAsia="Times New Roman" w:hAnsi="Times New Roman" w:cs="Times New Roman"/>
          <w:sz w:val="24"/>
          <w:szCs w:val="24"/>
        </w:rPr>
        <w:t xml:space="preserve"> </w:t>
      </w:r>
    </w:p>
    <w:p w14:paraId="25CA4518" w14:textId="77777777" w:rsidR="00292C81" w:rsidRPr="00AF7D9D" w:rsidRDefault="00292C81" w:rsidP="009E1972">
      <w:pPr>
        <w:spacing w:before="100" w:beforeAutospacing="1" w:after="0" w:line="240" w:lineRule="auto"/>
        <w:rPr>
          <w:rFonts w:ascii="Times New Roman" w:eastAsia="Times New Roman" w:hAnsi="Times New Roman" w:cs="Times New Roman"/>
          <w:sz w:val="24"/>
          <w:szCs w:val="24"/>
        </w:rPr>
      </w:pPr>
      <w:r w:rsidRPr="00AF7D9D">
        <w:rPr>
          <w:rFonts w:ascii="Times New Roman" w:eastAsia="Times New Roman" w:hAnsi="Times New Roman" w:cs="Times New Roman"/>
          <w:color w:val="1F497D"/>
          <w:sz w:val="24"/>
          <w:szCs w:val="24"/>
        </w:rPr>
        <w:t> </w:t>
      </w:r>
    </w:p>
    <w:p w14:paraId="5BC9779B" w14:textId="77777777" w:rsidR="00292C81" w:rsidRPr="00AF7D9D" w:rsidRDefault="00292C81" w:rsidP="009E1972">
      <w:pPr>
        <w:spacing w:after="0" w:line="480" w:lineRule="auto"/>
        <w:rPr>
          <w:rFonts w:ascii="Times New Roman" w:hAnsi="Times New Roman" w:cs="Times New Roman"/>
          <w:sz w:val="24"/>
          <w:szCs w:val="24"/>
        </w:rPr>
      </w:pPr>
    </w:p>
    <w:p w14:paraId="5AFE5B3F" w14:textId="77777777" w:rsidR="00292C81" w:rsidRPr="00AF7D9D" w:rsidRDefault="00292C81" w:rsidP="009E1972">
      <w:pPr>
        <w:spacing w:after="0"/>
        <w:rPr>
          <w:rFonts w:ascii="Times New Roman" w:hAnsi="Times New Roman" w:cs="Times New Roman"/>
          <w:sz w:val="24"/>
          <w:szCs w:val="24"/>
        </w:rPr>
      </w:pPr>
      <w:r w:rsidRPr="00AF7D9D">
        <w:rPr>
          <w:rFonts w:ascii="Times New Roman" w:hAnsi="Times New Roman" w:cs="Times New Roman"/>
          <w:sz w:val="24"/>
          <w:szCs w:val="24"/>
        </w:rPr>
        <w:br w:type="page"/>
      </w:r>
    </w:p>
    <w:p w14:paraId="6AFF71A0" w14:textId="77777777" w:rsidR="00292C81" w:rsidRPr="00AF7D9D" w:rsidRDefault="00292C81" w:rsidP="009E1972">
      <w:pPr>
        <w:spacing w:after="0"/>
        <w:outlineLvl w:val="0"/>
        <w:rPr>
          <w:rFonts w:ascii="Times New Roman" w:hAnsi="Times New Roman" w:cs="Times New Roman"/>
          <w:sz w:val="24"/>
          <w:szCs w:val="24"/>
        </w:rPr>
      </w:pPr>
      <w:r w:rsidRPr="00AF7D9D">
        <w:rPr>
          <w:rFonts w:ascii="Times New Roman" w:hAnsi="Times New Roman" w:cs="Times New Roman"/>
          <w:sz w:val="24"/>
          <w:szCs w:val="24"/>
        </w:rPr>
        <w:lastRenderedPageBreak/>
        <w:t>Table 2</w:t>
      </w:r>
      <w:bookmarkStart w:id="0" w:name="_GoBack"/>
      <w:bookmarkEnd w:id="0"/>
    </w:p>
    <w:p w14:paraId="64B6FCFC" w14:textId="106BDBBE" w:rsidR="00292C81" w:rsidRPr="00AF7D9D" w:rsidRDefault="00641C2C" w:rsidP="009E1972">
      <w:pPr>
        <w:spacing w:after="0"/>
        <w:rPr>
          <w:rFonts w:ascii="Times New Roman" w:hAnsi="Times New Roman" w:cs="Times New Roman"/>
          <w:i/>
          <w:sz w:val="24"/>
          <w:szCs w:val="24"/>
        </w:rPr>
      </w:pPr>
      <w:r w:rsidRPr="00AF7D9D">
        <w:rPr>
          <w:rFonts w:ascii="Times New Roman" w:hAnsi="Times New Roman" w:cs="Times New Roman"/>
          <w:i/>
          <w:sz w:val="24"/>
          <w:szCs w:val="24"/>
        </w:rPr>
        <w:t>Performance of the DI</w:t>
      </w:r>
      <w:r w:rsidR="00292C81" w:rsidRPr="00AF7D9D">
        <w:rPr>
          <w:rFonts w:ascii="Times New Roman" w:hAnsi="Times New Roman" w:cs="Times New Roman"/>
          <w:i/>
          <w:sz w:val="24"/>
          <w:szCs w:val="24"/>
        </w:rPr>
        <w:t>R</w:t>
      </w:r>
      <w:r w:rsidR="00D24F74" w:rsidRPr="00AF7D9D">
        <w:rPr>
          <w:rFonts w:ascii="Times New Roman" w:hAnsi="Times New Roman" w:cs="Times New Roman"/>
          <w:i/>
          <w:sz w:val="24"/>
          <w:szCs w:val="24"/>
        </w:rPr>
        <w:t xml:space="preserve">P Scale in Identifying Randomly </w:t>
      </w:r>
      <w:r w:rsidR="00292C81" w:rsidRPr="00AF7D9D">
        <w:rPr>
          <w:rFonts w:ascii="Times New Roman" w:hAnsi="Times New Roman" w:cs="Times New Roman"/>
          <w:i/>
          <w:sz w:val="24"/>
          <w:szCs w:val="24"/>
        </w:rPr>
        <w:t>Generated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09"/>
        <w:gridCol w:w="1694"/>
        <w:gridCol w:w="1395"/>
        <w:gridCol w:w="1694"/>
        <w:gridCol w:w="1397"/>
      </w:tblGrid>
      <w:tr w:rsidR="00292C81" w:rsidRPr="00AF7D9D" w14:paraId="33AC1CCA" w14:textId="77777777" w:rsidTr="00641C2C">
        <w:trPr>
          <w:trHeight w:val="419"/>
        </w:trPr>
        <w:tc>
          <w:tcPr>
            <w:tcW w:w="9289" w:type="dxa"/>
            <w:gridSpan w:val="5"/>
            <w:tcBorders>
              <w:top w:val="single" w:sz="4" w:space="0" w:color="auto"/>
              <w:bottom w:val="single" w:sz="4" w:space="0" w:color="auto"/>
            </w:tcBorders>
            <w:vAlign w:val="center"/>
          </w:tcPr>
          <w:p w14:paraId="5B14451C"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100% Random Data</w:t>
            </w:r>
          </w:p>
        </w:tc>
      </w:tr>
      <w:tr w:rsidR="00292C81" w:rsidRPr="00AF7D9D" w14:paraId="1B1DAD7C" w14:textId="77777777" w:rsidTr="00641C2C">
        <w:trPr>
          <w:trHeight w:val="419"/>
        </w:trPr>
        <w:tc>
          <w:tcPr>
            <w:tcW w:w="3109" w:type="dxa"/>
            <w:tcBorders>
              <w:top w:val="single" w:sz="4" w:space="0" w:color="auto"/>
              <w:bottom w:val="single" w:sz="4" w:space="0" w:color="auto"/>
            </w:tcBorders>
            <w:vAlign w:val="center"/>
          </w:tcPr>
          <w:p w14:paraId="6CD92E26"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Sample</w:t>
            </w:r>
          </w:p>
        </w:tc>
        <w:tc>
          <w:tcPr>
            <w:tcW w:w="1694" w:type="dxa"/>
            <w:tcBorders>
              <w:top w:val="single" w:sz="4" w:space="0" w:color="auto"/>
              <w:bottom w:val="single" w:sz="4" w:space="0" w:color="auto"/>
            </w:tcBorders>
            <w:vAlign w:val="center"/>
          </w:tcPr>
          <w:p w14:paraId="62CC4D8E"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i/>
              </w:rPr>
              <w:t>t</w:t>
            </w:r>
          </w:p>
        </w:tc>
        <w:tc>
          <w:tcPr>
            <w:tcW w:w="1395" w:type="dxa"/>
            <w:tcBorders>
              <w:top w:val="single" w:sz="4" w:space="0" w:color="auto"/>
              <w:bottom w:val="single" w:sz="4" w:space="0" w:color="auto"/>
            </w:tcBorders>
            <w:vAlign w:val="center"/>
          </w:tcPr>
          <w:p w14:paraId="52C83433"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 xml:space="preserve">Cohen’s </w:t>
            </w:r>
            <w:r w:rsidRPr="00AF7D9D">
              <w:rPr>
                <w:rFonts w:ascii="Times New Roman" w:hAnsi="Times New Roman" w:cs="Times New Roman"/>
                <w:i/>
              </w:rPr>
              <w:t>d</w:t>
            </w:r>
          </w:p>
        </w:tc>
        <w:tc>
          <w:tcPr>
            <w:tcW w:w="1694" w:type="dxa"/>
            <w:tcBorders>
              <w:top w:val="single" w:sz="4" w:space="0" w:color="auto"/>
              <w:bottom w:val="single" w:sz="4" w:space="0" w:color="auto"/>
            </w:tcBorders>
            <w:vAlign w:val="center"/>
          </w:tcPr>
          <w:p w14:paraId="65876CC8"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AUC</w:t>
            </w:r>
          </w:p>
        </w:tc>
        <w:tc>
          <w:tcPr>
            <w:tcW w:w="1395" w:type="dxa"/>
            <w:tcBorders>
              <w:top w:val="single" w:sz="4" w:space="0" w:color="auto"/>
              <w:bottom w:val="single" w:sz="4" w:space="0" w:color="auto"/>
            </w:tcBorders>
            <w:vAlign w:val="center"/>
          </w:tcPr>
          <w:p w14:paraId="17650FD9"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i/>
              </w:rPr>
              <w:t>SE</w:t>
            </w:r>
          </w:p>
        </w:tc>
      </w:tr>
      <w:tr w:rsidR="00292C81" w:rsidRPr="00AF7D9D" w14:paraId="524DB784" w14:textId="77777777" w:rsidTr="00641C2C">
        <w:trPr>
          <w:trHeight w:val="419"/>
        </w:trPr>
        <w:tc>
          <w:tcPr>
            <w:tcW w:w="3109" w:type="dxa"/>
            <w:tcBorders>
              <w:top w:val="single" w:sz="4" w:space="0" w:color="auto"/>
            </w:tcBorders>
            <w:vAlign w:val="center"/>
          </w:tcPr>
          <w:p w14:paraId="5C95239F" w14:textId="77777777" w:rsidR="00292C81" w:rsidRPr="00AF7D9D" w:rsidRDefault="00A6662F" w:rsidP="009E1972">
            <w:pPr>
              <w:rPr>
                <w:rFonts w:ascii="Times New Roman" w:hAnsi="Times New Roman" w:cs="Times New Roman"/>
              </w:rPr>
            </w:pPr>
            <w:r w:rsidRPr="00AF7D9D">
              <w:rPr>
                <w:rFonts w:ascii="Times New Roman" w:hAnsi="Times New Roman" w:cs="Times New Roman"/>
              </w:rPr>
              <w:t xml:space="preserve">1. </w:t>
            </w:r>
            <w:r w:rsidR="00292C81" w:rsidRPr="00AF7D9D">
              <w:rPr>
                <w:rFonts w:ascii="Times New Roman" w:hAnsi="Times New Roman" w:cs="Times New Roman"/>
              </w:rPr>
              <w:t>U.S. Juvenile Justice</w:t>
            </w:r>
          </w:p>
        </w:tc>
        <w:tc>
          <w:tcPr>
            <w:tcW w:w="1694" w:type="dxa"/>
            <w:tcBorders>
              <w:top w:val="single" w:sz="4" w:space="0" w:color="auto"/>
            </w:tcBorders>
            <w:vAlign w:val="center"/>
          </w:tcPr>
          <w:p w14:paraId="60845FBB"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21.07</w:t>
            </w:r>
          </w:p>
        </w:tc>
        <w:tc>
          <w:tcPr>
            <w:tcW w:w="1395" w:type="dxa"/>
            <w:tcBorders>
              <w:top w:val="single" w:sz="4" w:space="0" w:color="auto"/>
            </w:tcBorders>
            <w:vAlign w:val="center"/>
          </w:tcPr>
          <w:p w14:paraId="51596206"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1.51</w:t>
            </w:r>
          </w:p>
        </w:tc>
        <w:tc>
          <w:tcPr>
            <w:tcW w:w="1694" w:type="dxa"/>
            <w:tcBorders>
              <w:top w:val="single" w:sz="4" w:space="0" w:color="auto"/>
            </w:tcBorders>
            <w:vAlign w:val="center"/>
          </w:tcPr>
          <w:p w14:paraId="6D1258E4"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.85</w:t>
            </w:r>
          </w:p>
        </w:tc>
        <w:tc>
          <w:tcPr>
            <w:tcW w:w="1395" w:type="dxa"/>
            <w:tcBorders>
              <w:top w:val="single" w:sz="4" w:space="0" w:color="auto"/>
            </w:tcBorders>
            <w:vAlign w:val="center"/>
          </w:tcPr>
          <w:p w14:paraId="73E9256D"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.013</w:t>
            </w:r>
          </w:p>
        </w:tc>
      </w:tr>
      <w:tr w:rsidR="00292C81" w:rsidRPr="00AF7D9D" w14:paraId="3F5025AA" w14:textId="77777777" w:rsidTr="00641C2C">
        <w:trPr>
          <w:trHeight w:val="419"/>
        </w:trPr>
        <w:tc>
          <w:tcPr>
            <w:tcW w:w="3109" w:type="dxa"/>
            <w:vAlign w:val="center"/>
          </w:tcPr>
          <w:p w14:paraId="0A86129B" w14:textId="77777777" w:rsidR="00292C81" w:rsidRPr="00AF7D9D" w:rsidRDefault="00A6662F" w:rsidP="009E1972">
            <w:pPr>
              <w:rPr>
                <w:rFonts w:ascii="Times New Roman" w:hAnsi="Times New Roman" w:cs="Times New Roman"/>
              </w:rPr>
            </w:pPr>
            <w:r w:rsidRPr="00AF7D9D">
              <w:rPr>
                <w:rFonts w:ascii="Times New Roman" w:hAnsi="Times New Roman" w:cs="Times New Roman"/>
              </w:rPr>
              <w:t xml:space="preserve">2. </w:t>
            </w:r>
            <w:r w:rsidR="00292C81" w:rsidRPr="00AF7D9D">
              <w:rPr>
                <w:rFonts w:ascii="Times New Roman" w:hAnsi="Times New Roman" w:cs="Times New Roman"/>
              </w:rPr>
              <w:t>U.S. Middle School</w:t>
            </w:r>
          </w:p>
        </w:tc>
        <w:tc>
          <w:tcPr>
            <w:tcW w:w="1694" w:type="dxa"/>
            <w:vAlign w:val="center"/>
          </w:tcPr>
          <w:p w14:paraId="54847B01"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30.01</w:t>
            </w:r>
          </w:p>
        </w:tc>
        <w:tc>
          <w:tcPr>
            <w:tcW w:w="1395" w:type="dxa"/>
            <w:vAlign w:val="center"/>
          </w:tcPr>
          <w:p w14:paraId="796FC621"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1.74</w:t>
            </w:r>
          </w:p>
        </w:tc>
        <w:tc>
          <w:tcPr>
            <w:tcW w:w="1694" w:type="dxa"/>
            <w:vAlign w:val="center"/>
          </w:tcPr>
          <w:p w14:paraId="5010C7FD"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.89</w:t>
            </w:r>
          </w:p>
        </w:tc>
        <w:tc>
          <w:tcPr>
            <w:tcW w:w="1395" w:type="dxa"/>
            <w:vAlign w:val="center"/>
          </w:tcPr>
          <w:p w14:paraId="2ED5133F"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.010</w:t>
            </w:r>
          </w:p>
        </w:tc>
      </w:tr>
      <w:tr w:rsidR="00292C81" w:rsidRPr="00AF7D9D" w14:paraId="47DB38D3" w14:textId="77777777" w:rsidTr="00641C2C">
        <w:trPr>
          <w:trHeight w:val="419"/>
        </w:trPr>
        <w:tc>
          <w:tcPr>
            <w:tcW w:w="3109" w:type="dxa"/>
            <w:vAlign w:val="center"/>
          </w:tcPr>
          <w:p w14:paraId="00C1B311" w14:textId="77777777" w:rsidR="00292C81" w:rsidRPr="00AF7D9D" w:rsidRDefault="00A6662F" w:rsidP="009E1972">
            <w:pPr>
              <w:rPr>
                <w:rFonts w:ascii="Times New Roman" w:hAnsi="Times New Roman" w:cs="Times New Roman"/>
              </w:rPr>
            </w:pPr>
            <w:r w:rsidRPr="00AF7D9D">
              <w:rPr>
                <w:rFonts w:ascii="Times New Roman" w:hAnsi="Times New Roman" w:cs="Times New Roman"/>
              </w:rPr>
              <w:t xml:space="preserve">3. </w:t>
            </w:r>
            <w:r w:rsidR="00292C81" w:rsidRPr="00AF7D9D">
              <w:rPr>
                <w:rFonts w:ascii="Times New Roman" w:hAnsi="Times New Roman" w:cs="Times New Roman"/>
              </w:rPr>
              <w:t>German Vocational</w:t>
            </w:r>
          </w:p>
        </w:tc>
        <w:tc>
          <w:tcPr>
            <w:tcW w:w="1694" w:type="dxa"/>
            <w:vAlign w:val="center"/>
          </w:tcPr>
          <w:p w14:paraId="21FF5185"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26.03</w:t>
            </w:r>
          </w:p>
        </w:tc>
        <w:tc>
          <w:tcPr>
            <w:tcW w:w="1395" w:type="dxa"/>
            <w:vAlign w:val="center"/>
          </w:tcPr>
          <w:p w14:paraId="5AE71396"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1.80</w:t>
            </w:r>
          </w:p>
        </w:tc>
        <w:tc>
          <w:tcPr>
            <w:tcW w:w="1694" w:type="dxa"/>
            <w:vAlign w:val="center"/>
          </w:tcPr>
          <w:p w14:paraId="6DE756A4"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.90</w:t>
            </w:r>
          </w:p>
        </w:tc>
        <w:tc>
          <w:tcPr>
            <w:tcW w:w="1395" w:type="dxa"/>
            <w:vAlign w:val="center"/>
          </w:tcPr>
          <w:p w14:paraId="5EF3BE5F"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.011</w:t>
            </w:r>
          </w:p>
        </w:tc>
      </w:tr>
      <w:tr w:rsidR="00292C81" w:rsidRPr="00AF7D9D" w14:paraId="5CD127E0" w14:textId="77777777" w:rsidTr="00641C2C">
        <w:trPr>
          <w:trHeight w:val="419"/>
        </w:trPr>
        <w:tc>
          <w:tcPr>
            <w:tcW w:w="3109" w:type="dxa"/>
            <w:vAlign w:val="center"/>
          </w:tcPr>
          <w:p w14:paraId="401FC939" w14:textId="77777777" w:rsidR="00292C81" w:rsidRPr="00AF7D9D" w:rsidRDefault="00A6662F" w:rsidP="009E1972">
            <w:pPr>
              <w:rPr>
                <w:rFonts w:ascii="Times New Roman" w:hAnsi="Times New Roman" w:cs="Times New Roman"/>
              </w:rPr>
            </w:pPr>
            <w:r w:rsidRPr="00AF7D9D">
              <w:rPr>
                <w:rFonts w:ascii="Times New Roman" w:hAnsi="Times New Roman" w:cs="Times New Roman"/>
              </w:rPr>
              <w:t xml:space="preserve">4. </w:t>
            </w:r>
            <w:r w:rsidR="00292C81" w:rsidRPr="00AF7D9D">
              <w:rPr>
                <w:rFonts w:ascii="Times New Roman" w:hAnsi="Times New Roman" w:cs="Times New Roman"/>
              </w:rPr>
              <w:t>Italian Youth</w:t>
            </w:r>
          </w:p>
        </w:tc>
        <w:tc>
          <w:tcPr>
            <w:tcW w:w="1694" w:type="dxa"/>
            <w:vAlign w:val="center"/>
          </w:tcPr>
          <w:p w14:paraId="1E776FFE"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46.32</w:t>
            </w:r>
          </w:p>
        </w:tc>
        <w:tc>
          <w:tcPr>
            <w:tcW w:w="1395" w:type="dxa"/>
            <w:vAlign w:val="center"/>
          </w:tcPr>
          <w:p w14:paraId="67102668"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1.84</w:t>
            </w:r>
          </w:p>
        </w:tc>
        <w:tc>
          <w:tcPr>
            <w:tcW w:w="1694" w:type="dxa"/>
            <w:vAlign w:val="center"/>
          </w:tcPr>
          <w:p w14:paraId="719E5A64"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.90</w:t>
            </w:r>
          </w:p>
        </w:tc>
        <w:tc>
          <w:tcPr>
            <w:tcW w:w="1395" w:type="dxa"/>
            <w:vAlign w:val="center"/>
          </w:tcPr>
          <w:p w14:paraId="62FE9CC5"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.006</w:t>
            </w:r>
          </w:p>
        </w:tc>
      </w:tr>
      <w:tr w:rsidR="00292C81" w:rsidRPr="00AF7D9D" w14:paraId="1556E019" w14:textId="77777777" w:rsidTr="00641C2C">
        <w:trPr>
          <w:trHeight w:val="419"/>
        </w:trPr>
        <w:tc>
          <w:tcPr>
            <w:tcW w:w="3109" w:type="dxa"/>
            <w:tcBorders>
              <w:bottom w:val="single" w:sz="4" w:space="0" w:color="auto"/>
            </w:tcBorders>
            <w:vAlign w:val="center"/>
          </w:tcPr>
          <w:p w14:paraId="5EF3B54F" w14:textId="77777777" w:rsidR="00292C81" w:rsidRPr="00AF7D9D" w:rsidRDefault="00A6662F" w:rsidP="009E1972">
            <w:pPr>
              <w:rPr>
                <w:rFonts w:ascii="Times New Roman" w:hAnsi="Times New Roman" w:cs="Times New Roman"/>
              </w:rPr>
            </w:pPr>
            <w:r w:rsidRPr="00AF7D9D">
              <w:rPr>
                <w:rFonts w:ascii="Times New Roman" w:hAnsi="Times New Roman" w:cs="Times New Roman"/>
              </w:rPr>
              <w:t xml:space="preserve">5. </w:t>
            </w:r>
            <w:r w:rsidR="00292C81" w:rsidRPr="00AF7D9D">
              <w:rPr>
                <w:rFonts w:ascii="Times New Roman" w:hAnsi="Times New Roman" w:cs="Times New Roman"/>
              </w:rPr>
              <w:t>Dutch Adolescent</w:t>
            </w:r>
          </w:p>
        </w:tc>
        <w:tc>
          <w:tcPr>
            <w:tcW w:w="1694" w:type="dxa"/>
            <w:tcBorders>
              <w:bottom w:val="single" w:sz="4" w:space="0" w:color="auto"/>
            </w:tcBorders>
            <w:vAlign w:val="center"/>
          </w:tcPr>
          <w:p w14:paraId="467F77FB" w14:textId="77777777" w:rsidR="00292C81" w:rsidRPr="00AF7D9D" w:rsidRDefault="003269BD" w:rsidP="009E1972">
            <w:pPr>
              <w:jc w:val="center"/>
              <w:rPr>
                <w:rFonts w:ascii="Times New Roman" w:hAnsi="Times New Roman" w:cs="Times New Roman"/>
              </w:rPr>
            </w:pPr>
            <w:r w:rsidRPr="00AF7D9D">
              <w:rPr>
                <w:rFonts w:ascii="Times New Roman" w:hAnsi="Times New Roman" w:cs="Times New Roman"/>
              </w:rPr>
              <w:t>35.88</w:t>
            </w:r>
          </w:p>
        </w:tc>
        <w:tc>
          <w:tcPr>
            <w:tcW w:w="1395" w:type="dxa"/>
            <w:tcBorders>
              <w:bottom w:val="single" w:sz="4" w:space="0" w:color="auto"/>
            </w:tcBorders>
            <w:vAlign w:val="center"/>
          </w:tcPr>
          <w:p w14:paraId="232AC1AF" w14:textId="77777777" w:rsidR="00292C81" w:rsidRPr="00AF7D9D" w:rsidRDefault="003269BD" w:rsidP="009E1972">
            <w:pPr>
              <w:jc w:val="center"/>
              <w:rPr>
                <w:rFonts w:ascii="Times New Roman" w:hAnsi="Times New Roman" w:cs="Times New Roman"/>
              </w:rPr>
            </w:pPr>
            <w:r w:rsidRPr="00AF7D9D">
              <w:rPr>
                <w:rFonts w:ascii="Times New Roman" w:hAnsi="Times New Roman" w:cs="Times New Roman"/>
              </w:rPr>
              <w:t>1.81</w:t>
            </w:r>
          </w:p>
        </w:tc>
        <w:tc>
          <w:tcPr>
            <w:tcW w:w="1694" w:type="dxa"/>
            <w:tcBorders>
              <w:bottom w:val="single" w:sz="4" w:space="0" w:color="auto"/>
            </w:tcBorders>
            <w:vAlign w:val="center"/>
          </w:tcPr>
          <w:p w14:paraId="3A5526D3" w14:textId="77777777" w:rsidR="00292C81" w:rsidRPr="00AF7D9D" w:rsidRDefault="00FC4CE8" w:rsidP="009E1972">
            <w:pPr>
              <w:jc w:val="center"/>
              <w:rPr>
                <w:rFonts w:ascii="Times New Roman" w:hAnsi="Times New Roman" w:cs="Times New Roman"/>
              </w:rPr>
            </w:pPr>
            <w:r w:rsidRPr="00AF7D9D">
              <w:rPr>
                <w:rFonts w:ascii="Times New Roman" w:hAnsi="Times New Roman" w:cs="Times New Roman"/>
              </w:rPr>
              <w:t>.89</w:t>
            </w:r>
          </w:p>
        </w:tc>
        <w:tc>
          <w:tcPr>
            <w:tcW w:w="1395" w:type="dxa"/>
            <w:tcBorders>
              <w:bottom w:val="single" w:sz="4" w:space="0" w:color="auto"/>
            </w:tcBorders>
            <w:vAlign w:val="center"/>
          </w:tcPr>
          <w:p w14:paraId="6FBF34BB" w14:textId="77777777" w:rsidR="00292C81" w:rsidRPr="00AF7D9D" w:rsidRDefault="00FC4CE8" w:rsidP="009E1972">
            <w:pPr>
              <w:jc w:val="center"/>
              <w:rPr>
                <w:rFonts w:ascii="Times New Roman" w:hAnsi="Times New Roman" w:cs="Times New Roman"/>
              </w:rPr>
            </w:pPr>
            <w:r w:rsidRPr="00AF7D9D">
              <w:rPr>
                <w:rFonts w:ascii="Times New Roman" w:hAnsi="Times New Roman" w:cs="Times New Roman"/>
              </w:rPr>
              <w:t>.008</w:t>
            </w:r>
          </w:p>
        </w:tc>
      </w:tr>
      <w:tr w:rsidR="00292C81" w:rsidRPr="00AF7D9D" w14:paraId="6832ABE0" w14:textId="77777777" w:rsidTr="00641C2C">
        <w:trPr>
          <w:trHeight w:val="419"/>
        </w:trPr>
        <w:tc>
          <w:tcPr>
            <w:tcW w:w="9289" w:type="dxa"/>
            <w:gridSpan w:val="5"/>
            <w:tcBorders>
              <w:top w:val="single" w:sz="4" w:space="0" w:color="auto"/>
              <w:bottom w:val="single" w:sz="4" w:space="0" w:color="auto"/>
            </w:tcBorders>
            <w:vAlign w:val="center"/>
          </w:tcPr>
          <w:p w14:paraId="40DFE3CB" w14:textId="77777777" w:rsidR="00292C81" w:rsidRPr="00AF7D9D" w:rsidRDefault="00292C81" w:rsidP="009E1972">
            <w:pPr>
              <w:jc w:val="center"/>
              <w:rPr>
                <w:rFonts w:ascii="Times New Roman" w:hAnsi="Times New Roman" w:cs="Times New Roman"/>
              </w:rPr>
            </w:pPr>
          </w:p>
        </w:tc>
      </w:tr>
      <w:tr w:rsidR="00292C81" w:rsidRPr="00AF7D9D" w14:paraId="2D791F08" w14:textId="77777777" w:rsidTr="00641C2C">
        <w:trPr>
          <w:trHeight w:val="419"/>
        </w:trPr>
        <w:tc>
          <w:tcPr>
            <w:tcW w:w="9289" w:type="dxa"/>
            <w:gridSpan w:val="5"/>
            <w:tcBorders>
              <w:top w:val="single" w:sz="4" w:space="0" w:color="auto"/>
              <w:bottom w:val="single" w:sz="4" w:space="0" w:color="auto"/>
            </w:tcBorders>
            <w:vAlign w:val="center"/>
          </w:tcPr>
          <w:p w14:paraId="7AF89500"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50% Random Data</w:t>
            </w:r>
          </w:p>
        </w:tc>
      </w:tr>
      <w:tr w:rsidR="00292C81" w:rsidRPr="00AF7D9D" w14:paraId="571847A8" w14:textId="77777777" w:rsidTr="00641C2C">
        <w:trPr>
          <w:trHeight w:val="419"/>
        </w:trPr>
        <w:tc>
          <w:tcPr>
            <w:tcW w:w="3109" w:type="dxa"/>
            <w:tcBorders>
              <w:top w:val="single" w:sz="4" w:space="0" w:color="auto"/>
              <w:bottom w:val="single" w:sz="4" w:space="0" w:color="auto"/>
            </w:tcBorders>
            <w:vAlign w:val="center"/>
          </w:tcPr>
          <w:p w14:paraId="1AA83D77" w14:textId="77777777" w:rsidR="00292C81" w:rsidRPr="00AF7D9D" w:rsidRDefault="009E1972" w:rsidP="009E1972">
            <w:pPr>
              <w:jc w:val="center"/>
              <w:rPr>
                <w:rFonts w:ascii="Times New Roman" w:hAnsi="Times New Roman" w:cs="Times New Roman"/>
              </w:rPr>
            </w:pPr>
            <w:r w:rsidRPr="00AF7D9D">
              <w:rPr>
                <w:rFonts w:ascii="Times New Roman" w:hAnsi="Times New Roman" w:cs="Times New Roman"/>
              </w:rPr>
              <w:t>Sample</w:t>
            </w:r>
          </w:p>
        </w:tc>
        <w:tc>
          <w:tcPr>
            <w:tcW w:w="1694" w:type="dxa"/>
            <w:tcBorders>
              <w:top w:val="single" w:sz="4" w:space="0" w:color="auto"/>
              <w:bottom w:val="single" w:sz="4" w:space="0" w:color="auto"/>
            </w:tcBorders>
            <w:vAlign w:val="center"/>
          </w:tcPr>
          <w:p w14:paraId="434AC39D"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i/>
              </w:rPr>
              <w:t>t</w:t>
            </w:r>
          </w:p>
        </w:tc>
        <w:tc>
          <w:tcPr>
            <w:tcW w:w="1395" w:type="dxa"/>
            <w:tcBorders>
              <w:top w:val="single" w:sz="4" w:space="0" w:color="auto"/>
              <w:bottom w:val="single" w:sz="4" w:space="0" w:color="auto"/>
            </w:tcBorders>
            <w:vAlign w:val="center"/>
          </w:tcPr>
          <w:p w14:paraId="263F3F85"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 xml:space="preserve">Cohen’s </w:t>
            </w:r>
            <w:r w:rsidRPr="00AF7D9D">
              <w:rPr>
                <w:rFonts w:ascii="Times New Roman" w:hAnsi="Times New Roman" w:cs="Times New Roman"/>
                <w:i/>
              </w:rPr>
              <w:t>d</w:t>
            </w:r>
          </w:p>
        </w:tc>
        <w:tc>
          <w:tcPr>
            <w:tcW w:w="1694" w:type="dxa"/>
            <w:tcBorders>
              <w:top w:val="single" w:sz="4" w:space="0" w:color="auto"/>
              <w:bottom w:val="single" w:sz="4" w:space="0" w:color="auto"/>
            </w:tcBorders>
            <w:vAlign w:val="center"/>
          </w:tcPr>
          <w:p w14:paraId="637490DB"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AUC</w:t>
            </w:r>
          </w:p>
        </w:tc>
        <w:tc>
          <w:tcPr>
            <w:tcW w:w="1395" w:type="dxa"/>
            <w:tcBorders>
              <w:top w:val="single" w:sz="4" w:space="0" w:color="auto"/>
              <w:bottom w:val="single" w:sz="4" w:space="0" w:color="auto"/>
            </w:tcBorders>
            <w:vAlign w:val="center"/>
          </w:tcPr>
          <w:p w14:paraId="09E5FC9A" w14:textId="77777777" w:rsidR="00292C81" w:rsidRPr="00AF7D9D" w:rsidRDefault="00292C81" w:rsidP="009E1972">
            <w:pPr>
              <w:jc w:val="center"/>
              <w:rPr>
                <w:rFonts w:ascii="Times New Roman" w:hAnsi="Times New Roman" w:cs="Times New Roman"/>
                <w:i/>
              </w:rPr>
            </w:pPr>
            <w:r w:rsidRPr="00AF7D9D">
              <w:rPr>
                <w:rFonts w:ascii="Times New Roman" w:hAnsi="Times New Roman" w:cs="Times New Roman"/>
                <w:i/>
              </w:rPr>
              <w:t>SE</w:t>
            </w:r>
          </w:p>
        </w:tc>
      </w:tr>
      <w:tr w:rsidR="00292C81" w:rsidRPr="00AF7D9D" w14:paraId="5C5D158B" w14:textId="77777777" w:rsidTr="00641C2C">
        <w:trPr>
          <w:trHeight w:val="419"/>
        </w:trPr>
        <w:tc>
          <w:tcPr>
            <w:tcW w:w="3109" w:type="dxa"/>
            <w:tcBorders>
              <w:top w:val="single" w:sz="4" w:space="0" w:color="auto"/>
            </w:tcBorders>
            <w:vAlign w:val="center"/>
          </w:tcPr>
          <w:p w14:paraId="5981DC36" w14:textId="77777777" w:rsidR="00292C81" w:rsidRPr="00AF7D9D" w:rsidRDefault="00A6662F" w:rsidP="009E1972">
            <w:pPr>
              <w:rPr>
                <w:rFonts w:ascii="Times New Roman" w:hAnsi="Times New Roman" w:cs="Times New Roman"/>
              </w:rPr>
            </w:pPr>
            <w:r w:rsidRPr="00AF7D9D">
              <w:rPr>
                <w:rFonts w:ascii="Times New Roman" w:hAnsi="Times New Roman" w:cs="Times New Roman"/>
              </w:rPr>
              <w:t xml:space="preserve">1. </w:t>
            </w:r>
            <w:r w:rsidR="00292C81" w:rsidRPr="00AF7D9D">
              <w:rPr>
                <w:rFonts w:ascii="Times New Roman" w:hAnsi="Times New Roman" w:cs="Times New Roman"/>
              </w:rPr>
              <w:t>U.S. Juvenile Justice</w:t>
            </w:r>
          </w:p>
        </w:tc>
        <w:tc>
          <w:tcPr>
            <w:tcW w:w="1694" w:type="dxa"/>
            <w:tcBorders>
              <w:top w:val="single" w:sz="4" w:space="0" w:color="auto"/>
            </w:tcBorders>
            <w:vAlign w:val="center"/>
          </w:tcPr>
          <w:p w14:paraId="65E9D7D6"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10.75</w:t>
            </w:r>
          </w:p>
        </w:tc>
        <w:tc>
          <w:tcPr>
            <w:tcW w:w="1395" w:type="dxa"/>
            <w:tcBorders>
              <w:top w:val="single" w:sz="4" w:space="0" w:color="auto"/>
            </w:tcBorders>
            <w:vAlign w:val="center"/>
          </w:tcPr>
          <w:p w14:paraId="570A0CE0"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.96</w:t>
            </w:r>
          </w:p>
        </w:tc>
        <w:tc>
          <w:tcPr>
            <w:tcW w:w="1694" w:type="dxa"/>
            <w:tcBorders>
              <w:top w:val="single" w:sz="4" w:space="0" w:color="auto"/>
            </w:tcBorders>
            <w:vAlign w:val="center"/>
          </w:tcPr>
          <w:p w14:paraId="379CC8F0"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.75</w:t>
            </w:r>
          </w:p>
        </w:tc>
        <w:tc>
          <w:tcPr>
            <w:tcW w:w="1395" w:type="dxa"/>
            <w:tcBorders>
              <w:top w:val="single" w:sz="4" w:space="0" w:color="auto"/>
            </w:tcBorders>
            <w:vAlign w:val="center"/>
          </w:tcPr>
          <w:p w14:paraId="14D577AE"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.021</w:t>
            </w:r>
          </w:p>
        </w:tc>
      </w:tr>
      <w:tr w:rsidR="00292C81" w:rsidRPr="00AF7D9D" w14:paraId="51CABBC5" w14:textId="77777777" w:rsidTr="00641C2C">
        <w:trPr>
          <w:trHeight w:val="419"/>
        </w:trPr>
        <w:tc>
          <w:tcPr>
            <w:tcW w:w="3109" w:type="dxa"/>
            <w:vAlign w:val="center"/>
          </w:tcPr>
          <w:p w14:paraId="7A104C56" w14:textId="77777777" w:rsidR="00292C81" w:rsidRPr="00AF7D9D" w:rsidRDefault="00A6662F" w:rsidP="009E1972">
            <w:pPr>
              <w:rPr>
                <w:rFonts w:ascii="Times New Roman" w:hAnsi="Times New Roman" w:cs="Times New Roman"/>
              </w:rPr>
            </w:pPr>
            <w:r w:rsidRPr="00AF7D9D">
              <w:rPr>
                <w:rFonts w:ascii="Times New Roman" w:hAnsi="Times New Roman" w:cs="Times New Roman"/>
              </w:rPr>
              <w:t xml:space="preserve">2. </w:t>
            </w:r>
            <w:r w:rsidR="00292C81" w:rsidRPr="00AF7D9D">
              <w:rPr>
                <w:rFonts w:ascii="Times New Roman" w:hAnsi="Times New Roman" w:cs="Times New Roman"/>
              </w:rPr>
              <w:t>U.S. Middle School</w:t>
            </w:r>
          </w:p>
        </w:tc>
        <w:tc>
          <w:tcPr>
            <w:tcW w:w="1694" w:type="dxa"/>
            <w:vAlign w:val="center"/>
          </w:tcPr>
          <w:p w14:paraId="5E4D6D16"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12.43</w:t>
            </w:r>
          </w:p>
        </w:tc>
        <w:tc>
          <w:tcPr>
            <w:tcW w:w="1395" w:type="dxa"/>
            <w:vAlign w:val="center"/>
          </w:tcPr>
          <w:p w14:paraId="5B5EC9EB"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.92</w:t>
            </w:r>
          </w:p>
        </w:tc>
        <w:tc>
          <w:tcPr>
            <w:tcW w:w="1694" w:type="dxa"/>
            <w:vAlign w:val="center"/>
          </w:tcPr>
          <w:p w14:paraId="5E752FE9"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.76</w:t>
            </w:r>
          </w:p>
        </w:tc>
        <w:tc>
          <w:tcPr>
            <w:tcW w:w="1395" w:type="dxa"/>
            <w:vAlign w:val="center"/>
          </w:tcPr>
          <w:p w14:paraId="50BBDAEE"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.018</w:t>
            </w:r>
          </w:p>
        </w:tc>
      </w:tr>
      <w:tr w:rsidR="00292C81" w:rsidRPr="00AF7D9D" w14:paraId="07A9310C" w14:textId="77777777" w:rsidTr="00641C2C">
        <w:trPr>
          <w:trHeight w:val="419"/>
        </w:trPr>
        <w:tc>
          <w:tcPr>
            <w:tcW w:w="3109" w:type="dxa"/>
            <w:vAlign w:val="center"/>
          </w:tcPr>
          <w:p w14:paraId="69925034" w14:textId="77777777" w:rsidR="00292C81" w:rsidRPr="00AF7D9D" w:rsidRDefault="00A6662F" w:rsidP="009E1972">
            <w:pPr>
              <w:rPr>
                <w:rFonts w:ascii="Times New Roman" w:hAnsi="Times New Roman" w:cs="Times New Roman"/>
              </w:rPr>
            </w:pPr>
            <w:r w:rsidRPr="00AF7D9D">
              <w:rPr>
                <w:rFonts w:ascii="Times New Roman" w:hAnsi="Times New Roman" w:cs="Times New Roman"/>
              </w:rPr>
              <w:t xml:space="preserve">3. </w:t>
            </w:r>
            <w:r w:rsidR="00292C81" w:rsidRPr="00AF7D9D">
              <w:rPr>
                <w:rFonts w:ascii="Times New Roman" w:hAnsi="Times New Roman" w:cs="Times New Roman"/>
              </w:rPr>
              <w:t>German Vocational</w:t>
            </w:r>
          </w:p>
        </w:tc>
        <w:tc>
          <w:tcPr>
            <w:tcW w:w="1694" w:type="dxa"/>
            <w:vAlign w:val="center"/>
          </w:tcPr>
          <w:p w14:paraId="2D1BBA5A"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12.40</w:t>
            </w:r>
          </w:p>
        </w:tc>
        <w:tc>
          <w:tcPr>
            <w:tcW w:w="1395" w:type="dxa"/>
            <w:vAlign w:val="center"/>
          </w:tcPr>
          <w:p w14:paraId="1BC8D1E9"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1.03</w:t>
            </w:r>
          </w:p>
        </w:tc>
        <w:tc>
          <w:tcPr>
            <w:tcW w:w="1694" w:type="dxa"/>
            <w:vAlign w:val="center"/>
          </w:tcPr>
          <w:p w14:paraId="02298880"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.77</w:t>
            </w:r>
          </w:p>
        </w:tc>
        <w:tc>
          <w:tcPr>
            <w:tcW w:w="1395" w:type="dxa"/>
            <w:vAlign w:val="center"/>
          </w:tcPr>
          <w:p w14:paraId="0E665A77" w14:textId="77777777" w:rsidR="00292C81" w:rsidRPr="00AF7D9D" w:rsidRDefault="00292C81" w:rsidP="009E1972">
            <w:pPr>
              <w:jc w:val="center"/>
              <w:rPr>
                <w:rFonts w:ascii="Times New Roman" w:hAnsi="Times New Roman" w:cs="Times New Roman"/>
              </w:rPr>
            </w:pPr>
            <w:r w:rsidRPr="00AF7D9D">
              <w:rPr>
                <w:rFonts w:ascii="Times New Roman" w:hAnsi="Times New Roman" w:cs="Times New Roman"/>
              </w:rPr>
              <w:t>.019</w:t>
            </w:r>
          </w:p>
        </w:tc>
      </w:tr>
      <w:tr w:rsidR="00292C81" w:rsidRPr="00AF7D9D" w14:paraId="137BBA75" w14:textId="77777777" w:rsidTr="00641C2C">
        <w:trPr>
          <w:trHeight w:val="419"/>
        </w:trPr>
        <w:tc>
          <w:tcPr>
            <w:tcW w:w="3109" w:type="dxa"/>
            <w:vAlign w:val="center"/>
          </w:tcPr>
          <w:p w14:paraId="00CB4B1E" w14:textId="77777777" w:rsidR="00292C81" w:rsidRPr="00AF7D9D" w:rsidRDefault="00A6662F" w:rsidP="009E1972">
            <w:pPr>
              <w:rPr>
                <w:rFonts w:ascii="Times New Roman" w:hAnsi="Times New Roman" w:cs="Times New Roman"/>
              </w:rPr>
            </w:pPr>
            <w:r w:rsidRPr="00AF7D9D">
              <w:rPr>
                <w:rFonts w:ascii="Times New Roman" w:hAnsi="Times New Roman" w:cs="Times New Roman"/>
              </w:rPr>
              <w:t xml:space="preserve">4. </w:t>
            </w:r>
            <w:r w:rsidR="00292C81" w:rsidRPr="00AF7D9D">
              <w:rPr>
                <w:rFonts w:ascii="Times New Roman" w:hAnsi="Times New Roman" w:cs="Times New Roman"/>
              </w:rPr>
              <w:t>Italian Youth</w:t>
            </w:r>
          </w:p>
        </w:tc>
        <w:tc>
          <w:tcPr>
            <w:tcW w:w="1694" w:type="dxa"/>
            <w:vAlign w:val="center"/>
          </w:tcPr>
          <w:p w14:paraId="120D6264" w14:textId="77777777" w:rsidR="00292C81" w:rsidRPr="00AF7D9D" w:rsidRDefault="009E1972" w:rsidP="009E1972">
            <w:pPr>
              <w:jc w:val="center"/>
              <w:rPr>
                <w:rFonts w:ascii="Times New Roman" w:hAnsi="Times New Roman" w:cs="Times New Roman"/>
              </w:rPr>
            </w:pPr>
            <w:r w:rsidRPr="00AF7D9D">
              <w:rPr>
                <w:rFonts w:ascii="Times New Roman" w:hAnsi="Times New Roman" w:cs="Times New Roman"/>
              </w:rPr>
              <w:t>38.53</w:t>
            </w:r>
          </w:p>
        </w:tc>
        <w:tc>
          <w:tcPr>
            <w:tcW w:w="1395" w:type="dxa"/>
            <w:vAlign w:val="center"/>
          </w:tcPr>
          <w:p w14:paraId="26845B6A" w14:textId="77777777" w:rsidR="00292C81" w:rsidRPr="00AF7D9D" w:rsidRDefault="009E1972" w:rsidP="009E1972">
            <w:pPr>
              <w:jc w:val="center"/>
              <w:rPr>
                <w:rFonts w:ascii="Times New Roman" w:hAnsi="Times New Roman" w:cs="Times New Roman"/>
              </w:rPr>
            </w:pPr>
            <w:r w:rsidRPr="00AF7D9D">
              <w:rPr>
                <w:rFonts w:ascii="Times New Roman" w:hAnsi="Times New Roman" w:cs="Times New Roman"/>
              </w:rPr>
              <w:t>1.30</w:t>
            </w:r>
          </w:p>
        </w:tc>
        <w:tc>
          <w:tcPr>
            <w:tcW w:w="1694" w:type="dxa"/>
            <w:vAlign w:val="center"/>
          </w:tcPr>
          <w:p w14:paraId="3EB3C29E" w14:textId="77777777" w:rsidR="00292C81" w:rsidRPr="00AF7D9D" w:rsidRDefault="009E1972" w:rsidP="009E1972">
            <w:pPr>
              <w:jc w:val="center"/>
              <w:rPr>
                <w:rFonts w:ascii="Times New Roman" w:hAnsi="Times New Roman" w:cs="Times New Roman"/>
              </w:rPr>
            </w:pPr>
            <w:r w:rsidRPr="00AF7D9D">
              <w:rPr>
                <w:rFonts w:ascii="Times New Roman" w:hAnsi="Times New Roman" w:cs="Times New Roman"/>
              </w:rPr>
              <w:t>.82</w:t>
            </w:r>
          </w:p>
        </w:tc>
        <w:tc>
          <w:tcPr>
            <w:tcW w:w="1395" w:type="dxa"/>
            <w:vAlign w:val="center"/>
          </w:tcPr>
          <w:p w14:paraId="113E0613" w14:textId="77777777" w:rsidR="00292C81" w:rsidRPr="00AF7D9D" w:rsidRDefault="009E1972" w:rsidP="009E1972">
            <w:pPr>
              <w:jc w:val="center"/>
              <w:rPr>
                <w:rFonts w:ascii="Times New Roman" w:hAnsi="Times New Roman" w:cs="Times New Roman"/>
              </w:rPr>
            </w:pPr>
            <w:r w:rsidRPr="00AF7D9D">
              <w:rPr>
                <w:rFonts w:ascii="Times New Roman" w:hAnsi="Times New Roman" w:cs="Times New Roman"/>
              </w:rPr>
              <w:t>.007</w:t>
            </w:r>
          </w:p>
        </w:tc>
      </w:tr>
      <w:tr w:rsidR="00292C81" w:rsidRPr="00AF7D9D" w14:paraId="35D0CBF3" w14:textId="77777777" w:rsidTr="00641C2C">
        <w:trPr>
          <w:trHeight w:val="419"/>
        </w:trPr>
        <w:tc>
          <w:tcPr>
            <w:tcW w:w="3109" w:type="dxa"/>
            <w:tcBorders>
              <w:bottom w:val="single" w:sz="4" w:space="0" w:color="auto"/>
            </w:tcBorders>
            <w:shd w:val="clear" w:color="auto" w:fill="auto"/>
            <w:vAlign w:val="center"/>
          </w:tcPr>
          <w:p w14:paraId="0CACCCC9" w14:textId="77777777" w:rsidR="00292C81" w:rsidRPr="00AF7D9D" w:rsidRDefault="00A6662F" w:rsidP="009E1972">
            <w:pPr>
              <w:rPr>
                <w:rFonts w:ascii="Times New Roman" w:hAnsi="Times New Roman" w:cs="Times New Roman"/>
              </w:rPr>
            </w:pPr>
            <w:r w:rsidRPr="00AF7D9D">
              <w:rPr>
                <w:rFonts w:ascii="Times New Roman" w:hAnsi="Times New Roman" w:cs="Times New Roman"/>
              </w:rPr>
              <w:t xml:space="preserve">5. </w:t>
            </w:r>
            <w:r w:rsidR="00292C81" w:rsidRPr="00AF7D9D">
              <w:rPr>
                <w:rFonts w:ascii="Times New Roman" w:hAnsi="Times New Roman" w:cs="Times New Roman"/>
              </w:rPr>
              <w:t>Dutch Adolescent</w:t>
            </w:r>
          </w:p>
        </w:tc>
        <w:tc>
          <w:tcPr>
            <w:tcW w:w="1694" w:type="dxa"/>
            <w:tcBorders>
              <w:bottom w:val="single" w:sz="4" w:space="0" w:color="auto"/>
            </w:tcBorders>
            <w:shd w:val="clear" w:color="auto" w:fill="auto"/>
            <w:vAlign w:val="center"/>
          </w:tcPr>
          <w:p w14:paraId="5C38E9EC" w14:textId="77777777" w:rsidR="00292C81" w:rsidRPr="00AF7D9D" w:rsidRDefault="009E2E29" w:rsidP="009E1972">
            <w:pPr>
              <w:jc w:val="center"/>
              <w:rPr>
                <w:rFonts w:ascii="Times New Roman" w:hAnsi="Times New Roman" w:cs="Times New Roman"/>
              </w:rPr>
            </w:pPr>
            <w:r w:rsidRPr="00AF7D9D">
              <w:rPr>
                <w:rFonts w:ascii="Times New Roman" w:hAnsi="Times New Roman" w:cs="Times New Roman"/>
              </w:rPr>
              <w:t>21.65</w:t>
            </w:r>
          </w:p>
        </w:tc>
        <w:tc>
          <w:tcPr>
            <w:tcW w:w="1395" w:type="dxa"/>
            <w:tcBorders>
              <w:bottom w:val="single" w:sz="4" w:space="0" w:color="auto"/>
            </w:tcBorders>
            <w:shd w:val="clear" w:color="auto" w:fill="auto"/>
            <w:vAlign w:val="center"/>
          </w:tcPr>
          <w:p w14:paraId="0E72F7B3" w14:textId="77777777" w:rsidR="00292C81" w:rsidRPr="00AF7D9D" w:rsidRDefault="009E2E29" w:rsidP="009E1972">
            <w:pPr>
              <w:jc w:val="center"/>
              <w:rPr>
                <w:rFonts w:ascii="Times New Roman" w:hAnsi="Times New Roman" w:cs="Times New Roman"/>
              </w:rPr>
            </w:pPr>
            <w:r w:rsidRPr="00AF7D9D">
              <w:rPr>
                <w:rFonts w:ascii="Times New Roman" w:hAnsi="Times New Roman" w:cs="Times New Roman"/>
              </w:rPr>
              <w:t>1.20</w:t>
            </w:r>
          </w:p>
        </w:tc>
        <w:tc>
          <w:tcPr>
            <w:tcW w:w="1694" w:type="dxa"/>
            <w:tcBorders>
              <w:bottom w:val="single" w:sz="4" w:space="0" w:color="auto"/>
            </w:tcBorders>
            <w:shd w:val="clear" w:color="auto" w:fill="auto"/>
            <w:vAlign w:val="center"/>
          </w:tcPr>
          <w:p w14:paraId="6B955642" w14:textId="77777777" w:rsidR="00292C81" w:rsidRPr="00AF7D9D" w:rsidRDefault="009E2E29" w:rsidP="009E1972">
            <w:pPr>
              <w:jc w:val="center"/>
              <w:rPr>
                <w:rFonts w:ascii="Times New Roman" w:hAnsi="Times New Roman" w:cs="Times New Roman"/>
              </w:rPr>
            </w:pPr>
            <w:r w:rsidRPr="00AF7D9D">
              <w:rPr>
                <w:rFonts w:ascii="Times New Roman" w:hAnsi="Times New Roman" w:cs="Times New Roman"/>
              </w:rPr>
              <w:t>.81</w:t>
            </w:r>
          </w:p>
        </w:tc>
        <w:tc>
          <w:tcPr>
            <w:tcW w:w="1395" w:type="dxa"/>
            <w:tcBorders>
              <w:bottom w:val="single" w:sz="4" w:space="0" w:color="auto"/>
            </w:tcBorders>
            <w:shd w:val="clear" w:color="auto" w:fill="auto"/>
            <w:vAlign w:val="center"/>
          </w:tcPr>
          <w:p w14:paraId="5B1AFFB6" w14:textId="77777777" w:rsidR="00292C81" w:rsidRPr="00AF7D9D" w:rsidRDefault="009E2E29" w:rsidP="009E1972">
            <w:pPr>
              <w:jc w:val="center"/>
              <w:rPr>
                <w:rFonts w:ascii="Times New Roman" w:hAnsi="Times New Roman" w:cs="Times New Roman"/>
              </w:rPr>
            </w:pPr>
            <w:r w:rsidRPr="00AF7D9D">
              <w:rPr>
                <w:rFonts w:ascii="Times New Roman" w:hAnsi="Times New Roman" w:cs="Times New Roman"/>
              </w:rPr>
              <w:t>.012</w:t>
            </w:r>
          </w:p>
        </w:tc>
      </w:tr>
    </w:tbl>
    <w:p w14:paraId="262CF329" w14:textId="6454E1CE" w:rsidR="00292C81" w:rsidRPr="00AF7D9D" w:rsidRDefault="00292C81" w:rsidP="009E1972">
      <w:pPr>
        <w:spacing w:after="0" w:line="360" w:lineRule="auto"/>
        <w:outlineLvl w:val="0"/>
        <w:rPr>
          <w:rFonts w:ascii="Times New Roman" w:hAnsi="Times New Roman" w:cs="Times New Roman"/>
          <w:sz w:val="24"/>
          <w:szCs w:val="24"/>
        </w:rPr>
      </w:pPr>
      <w:r w:rsidRPr="00AF7D9D">
        <w:rPr>
          <w:rFonts w:ascii="Times New Roman" w:hAnsi="Times New Roman" w:cs="Times New Roman"/>
          <w:sz w:val="24"/>
          <w:szCs w:val="24"/>
        </w:rPr>
        <w:t xml:space="preserve">Note. All </w:t>
      </w:r>
      <w:r w:rsidRPr="00AF7D9D">
        <w:rPr>
          <w:rFonts w:ascii="Times New Roman" w:hAnsi="Times New Roman" w:cs="Times New Roman"/>
          <w:i/>
          <w:sz w:val="24"/>
          <w:szCs w:val="24"/>
        </w:rPr>
        <w:t>p</w:t>
      </w:r>
      <w:r w:rsidRPr="00AF7D9D">
        <w:rPr>
          <w:rFonts w:ascii="Times New Roman" w:hAnsi="Times New Roman" w:cs="Times New Roman"/>
          <w:sz w:val="24"/>
          <w:szCs w:val="24"/>
        </w:rPr>
        <w:t xml:space="preserve"> values &lt; .001. </w:t>
      </w:r>
      <w:r w:rsidR="00641C2C" w:rsidRPr="00AF7D9D">
        <w:rPr>
          <w:rFonts w:ascii="Times New Roman" w:hAnsi="Times New Roman" w:cs="Times New Roman"/>
          <w:sz w:val="24"/>
          <w:szCs w:val="24"/>
        </w:rPr>
        <w:t xml:space="preserve">DIRP = Detection of Inconsistent Response Presentation Scale. </w:t>
      </w:r>
      <w:r w:rsidRPr="00AF7D9D">
        <w:rPr>
          <w:rFonts w:ascii="Times New Roman" w:hAnsi="Times New Roman" w:cs="Times New Roman"/>
          <w:sz w:val="24"/>
          <w:szCs w:val="24"/>
        </w:rPr>
        <w:t>AUC = Area Under the Curve. SE = Standard Error.</w:t>
      </w:r>
    </w:p>
    <w:p w14:paraId="2579231E" w14:textId="77777777" w:rsidR="00292C81" w:rsidRPr="00AF7D9D" w:rsidRDefault="00292C81" w:rsidP="009E1972">
      <w:pPr>
        <w:spacing w:after="0" w:line="360" w:lineRule="auto"/>
        <w:rPr>
          <w:rFonts w:ascii="Times New Roman" w:hAnsi="Times New Roman" w:cs="Times New Roman"/>
        </w:rPr>
      </w:pPr>
    </w:p>
    <w:p w14:paraId="33450AB8" w14:textId="77777777" w:rsidR="00292C81" w:rsidRPr="00AF7D9D" w:rsidRDefault="00292C81" w:rsidP="009E1972">
      <w:pPr>
        <w:spacing w:after="0" w:line="480" w:lineRule="auto"/>
        <w:rPr>
          <w:rFonts w:ascii="Times New Roman" w:hAnsi="Times New Roman" w:cs="Times New Roman"/>
          <w:sz w:val="24"/>
          <w:szCs w:val="24"/>
        </w:rPr>
      </w:pPr>
    </w:p>
    <w:p w14:paraId="7AB8FFFE" w14:textId="77777777" w:rsidR="00292C81" w:rsidRPr="00AF7D9D" w:rsidRDefault="00292C81" w:rsidP="009E1972">
      <w:pPr>
        <w:spacing w:after="0"/>
        <w:rPr>
          <w:rFonts w:ascii="Times New Roman" w:hAnsi="Times New Roman" w:cs="Times New Roman"/>
          <w:sz w:val="24"/>
          <w:szCs w:val="24"/>
        </w:rPr>
      </w:pPr>
      <w:r w:rsidRPr="00AF7D9D">
        <w:rPr>
          <w:rFonts w:ascii="Times New Roman" w:hAnsi="Times New Roman" w:cs="Times New Roman"/>
          <w:sz w:val="24"/>
          <w:szCs w:val="24"/>
        </w:rPr>
        <w:br w:type="page"/>
      </w:r>
    </w:p>
    <w:p w14:paraId="2641BA99" w14:textId="77777777" w:rsidR="00292C81" w:rsidRPr="00AF7D9D" w:rsidRDefault="00292C81" w:rsidP="009E1972">
      <w:pPr>
        <w:spacing w:after="0"/>
        <w:rPr>
          <w:rFonts w:ascii="Times New Roman" w:hAnsi="Times New Roman" w:cs="Times New Roman"/>
          <w:i/>
          <w:sz w:val="24"/>
          <w:szCs w:val="24"/>
        </w:rPr>
      </w:pPr>
      <w:r w:rsidRPr="00AF7D9D">
        <w:rPr>
          <w:rFonts w:ascii="Times New Roman" w:hAnsi="Times New Roman" w:cs="Times New Roman"/>
          <w:sz w:val="24"/>
          <w:szCs w:val="24"/>
        </w:rPr>
        <w:lastRenderedPageBreak/>
        <w:t>Table 3</w:t>
      </w:r>
      <w:r w:rsidRPr="00AF7D9D">
        <w:rPr>
          <w:rFonts w:ascii="Times New Roman" w:hAnsi="Times New Roman" w:cs="Times New Roman"/>
          <w:i/>
          <w:sz w:val="24"/>
          <w:szCs w:val="24"/>
        </w:rPr>
        <w:t xml:space="preserve"> </w:t>
      </w:r>
    </w:p>
    <w:p w14:paraId="42A034DB" w14:textId="2F402D4D" w:rsidR="00292C81" w:rsidRPr="00AF7D9D" w:rsidRDefault="00292C81" w:rsidP="009E1972">
      <w:pPr>
        <w:spacing w:after="0"/>
        <w:rPr>
          <w:rFonts w:ascii="Times New Roman" w:hAnsi="Times New Roman" w:cs="Times New Roman"/>
          <w:sz w:val="24"/>
          <w:szCs w:val="24"/>
        </w:rPr>
      </w:pPr>
      <w:r w:rsidRPr="00AF7D9D">
        <w:rPr>
          <w:rFonts w:ascii="Times New Roman" w:hAnsi="Times New Roman" w:cs="Times New Roman"/>
          <w:i/>
          <w:sz w:val="24"/>
          <w:szCs w:val="24"/>
        </w:rPr>
        <w:t>Classification</w:t>
      </w:r>
      <w:r w:rsidR="00641C2C" w:rsidRPr="00AF7D9D">
        <w:rPr>
          <w:rFonts w:ascii="Times New Roman" w:hAnsi="Times New Roman" w:cs="Times New Roman"/>
          <w:i/>
          <w:sz w:val="24"/>
          <w:szCs w:val="24"/>
        </w:rPr>
        <w:t xml:space="preserve"> Accuracy Across DI</w:t>
      </w:r>
      <w:r w:rsidRPr="00AF7D9D">
        <w:rPr>
          <w:rFonts w:ascii="Times New Roman" w:hAnsi="Times New Roman" w:cs="Times New Roman"/>
          <w:i/>
          <w:sz w:val="24"/>
          <w:szCs w:val="24"/>
        </w:rPr>
        <w:t>RP Cut</w:t>
      </w:r>
      <w:r w:rsidR="00000F3E" w:rsidRPr="00AF7D9D">
        <w:rPr>
          <w:rFonts w:ascii="Times New Roman" w:hAnsi="Times New Roman" w:cs="Times New Roman"/>
          <w:i/>
          <w:sz w:val="24"/>
          <w:szCs w:val="24"/>
        </w:rPr>
        <w:t>-Off</w:t>
      </w:r>
      <w:r w:rsidRPr="00AF7D9D">
        <w:rPr>
          <w:rFonts w:ascii="Times New Roman" w:hAnsi="Times New Roman" w:cs="Times New Roman"/>
          <w:i/>
          <w:sz w:val="24"/>
          <w:szCs w:val="24"/>
        </w:rPr>
        <w:t xml:space="preserve"> Scores </w:t>
      </w:r>
    </w:p>
    <w:tbl>
      <w:tblPr>
        <w:tblStyle w:val="TableGrid1"/>
        <w:tblW w:w="10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1710"/>
        <w:gridCol w:w="1552"/>
        <w:gridCol w:w="1553"/>
        <w:gridCol w:w="1552"/>
        <w:gridCol w:w="1553"/>
        <w:gridCol w:w="1553"/>
      </w:tblGrid>
      <w:tr w:rsidR="00292C81" w:rsidRPr="00AF7D9D" w14:paraId="6A1D37CC" w14:textId="77777777" w:rsidTr="00E27538">
        <w:trPr>
          <w:trHeight w:val="620"/>
        </w:trPr>
        <w:tc>
          <w:tcPr>
            <w:tcW w:w="1008" w:type="dxa"/>
            <w:tcBorders>
              <w:top w:val="single" w:sz="4" w:space="0" w:color="auto"/>
              <w:bottom w:val="single" w:sz="4" w:space="0" w:color="auto"/>
            </w:tcBorders>
            <w:vAlign w:val="center"/>
          </w:tcPr>
          <w:p w14:paraId="17189505" w14:textId="3C3C8C97" w:rsidR="00292C81" w:rsidRPr="00AF7D9D" w:rsidRDefault="00641C2C" w:rsidP="00E27538">
            <w:pPr>
              <w:contextualSpacing/>
              <w:jc w:val="center"/>
            </w:pPr>
            <w:r w:rsidRPr="00AF7D9D">
              <w:t>DI</w:t>
            </w:r>
            <w:r w:rsidR="00E27538" w:rsidRPr="00AF7D9D">
              <w:t>RP</w:t>
            </w:r>
          </w:p>
        </w:tc>
        <w:tc>
          <w:tcPr>
            <w:tcW w:w="1710" w:type="dxa"/>
            <w:tcBorders>
              <w:top w:val="single" w:sz="4" w:space="0" w:color="auto"/>
              <w:bottom w:val="single" w:sz="4" w:space="0" w:color="auto"/>
            </w:tcBorders>
            <w:vAlign w:val="center"/>
          </w:tcPr>
          <w:p w14:paraId="2519A407" w14:textId="77777777" w:rsidR="00292C81" w:rsidRPr="00AF7D9D" w:rsidRDefault="00292C81" w:rsidP="00E27538">
            <w:pPr>
              <w:contextualSpacing/>
              <w:jc w:val="center"/>
            </w:pPr>
            <w:r w:rsidRPr="00AF7D9D">
              <w:t>Sensitivity (%)</w:t>
            </w:r>
          </w:p>
        </w:tc>
        <w:tc>
          <w:tcPr>
            <w:tcW w:w="7763" w:type="dxa"/>
            <w:gridSpan w:val="5"/>
            <w:tcBorders>
              <w:top w:val="single" w:sz="4" w:space="0" w:color="auto"/>
              <w:bottom w:val="single" w:sz="4" w:space="0" w:color="auto"/>
            </w:tcBorders>
            <w:vAlign w:val="center"/>
          </w:tcPr>
          <w:p w14:paraId="63B677C2" w14:textId="77777777" w:rsidR="00292C81" w:rsidRPr="00AF7D9D" w:rsidRDefault="00292C81" w:rsidP="00E27538">
            <w:pPr>
              <w:contextualSpacing/>
              <w:jc w:val="center"/>
            </w:pPr>
            <w:r w:rsidRPr="00AF7D9D">
              <w:t>Specificity (%)</w:t>
            </w:r>
          </w:p>
        </w:tc>
      </w:tr>
      <w:tr w:rsidR="00E27538" w:rsidRPr="00AF7D9D" w14:paraId="2C75CBA0" w14:textId="77777777" w:rsidTr="00E27538">
        <w:trPr>
          <w:trHeight w:val="656"/>
        </w:trPr>
        <w:tc>
          <w:tcPr>
            <w:tcW w:w="1008" w:type="dxa"/>
            <w:tcBorders>
              <w:top w:val="single" w:sz="4" w:space="0" w:color="auto"/>
              <w:bottom w:val="single" w:sz="4" w:space="0" w:color="auto"/>
            </w:tcBorders>
          </w:tcPr>
          <w:p w14:paraId="7DF283A4" w14:textId="77777777" w:rsidR="00292C81" w:rsidRPr="00AF7D9D" w:rsidRDefault="00292C81" w:rsidP="009E1972">
            <w:pPr>
              <w:contextualSpacing/>
              <w:jc w:val="center"/>
            </w:pPr>
          </w:p>
        </w:tc>
        <w:tc>
          <w:tcPr>
            <w:tcW w:w="1710" w:type="dxa"/>
            <w:tcBorders>
              <w:top w:val="single" w:sz="4" w:space="0" w:color="auto"/>
              <w:bottom w:val="single" w:sz="4" w:space="0" w:color="auto"/>
            </w:tcBorders>
            <w:vAlign w:val="center"/>
          </w:tcPr>
          <w:p w14:paraId="5BB1386B" w14:textId="77777777" w:rsidR="00292C81" w:rsidRPr="00AF7D9D" w:rsidRDefault="00FD2EF0" w:rsidP="00E27538">
            <w:pPr>
              <w:contextualSpacing/>
              <w:jc w:val="center"/>
            </w:pPr>
            <w:r w:rsidRPr="00AF7D9D">
              <w:t xml:space="preserve">100% </w:t>
            </w:r>
            <w:r w:rsidR="00E27538" w:rsidRPr="00AF7D9D">
              <w:t>Ran</w:t>
            </w:r>
            <w:r w:rsidR="00292C81" w:rsidRPr="00AF7D9D">
              <w:t>dom Data</w:t>
            </w:r>
          </w:p>
        </w:tc>
        <w:tc>
          <w:tcPr>
            <w:tcW w:w="1552" w:type="dxa"/>
            <w:tcBorders>
              <w:top w:val="single" w:sz="4" w:space="0" w:color="auto"/>
              <w:bottom w:val="single" w:sz="4" w:space="0" w:color="auto"/>
            </w:tcBorders>
            <w:vAlign w:val="center"/>
          </w:tcPr>
          <w:p w14:paraId="38CE34DE" w14:textId="77777777" w:rsidR="00292C81" w:rsidRPr="00AF7D9D" w:rsidRDefault="00A6662F" w:rsidP="00E27538">
            <w:pPr>
              <w:contextualSpacing/>
              <w:jc w:val="center"/>
            </w:pPr>
            <w:r w:rsidRPr="00AF7D9D">
              <w:t xml:space="preserve">1. </w:t>
            </w:r>
            <w:r w:rsidR="00292C81" w:rsidRPr="00AF7D9D">
              <w:t>U.S. Juvenile Justice</w:t>
            </w:r>
          </w:p>
        </w:tc>
        <w:tc>
          <w:tcPr>
            <w:tcW w:w="1553" w:type="dxa"/>
            <w:tcBorders>
              <w:top w:val="single" w:sz="4" w:space="0" w:color="auto"/>
              <w:bottom w:val="single" w:sz="4" w:space="0" w:color="auto"/>
            </w:tcBorders>
            <w:vAlign w:val="center"/>
          </w:tcPr>
          <w:p w14:paraId="59CEF3E0" w14:textId="77777777" w:rsidR="00292C81" w:rsidRPr="00AF7D9D" w:rsidRDefault="00A6662F" w:rsidP="00E27538">
            <w:pPr>
              <w:contextualSpacing/>
              <w:jc w:val="center"/>
            </w:pPr>
            <w:r w:rsidRPr="00AF7D9D">
              <w:t xml:space="preserve">2. </w:t>
            </w:r>
            <w:r w:rsidR="00292C81" w:rsidRPr="00AF7D9D">
              <w:t>U.S. Middle School</w:t>
            </w:r>
          </w:p>
        </w:tc>
        <w:tc>
          <w:tcPr>
            <w:tcW w:w="1552" w:type="dxa"/>
            <w:tcBorders>
              <w:top w:val="single" w:sz="4" w:space="0" w:color="auto"/>
              <w:bottom w:val="single" w:sz="4" w:space="0" w:color="auto"/>
            </w:tcBorders>
            <w:vAlign w:val="center"/>
          </w:tcPr>
          <w:p w14:paraId="736EC04C" w14:textId="77777777" w:rsidR="00292C81" w:rsidRPr="00AF7D9D" w:rsidRDefault="00A6662F" w:rsidP="00E27538">
            <w:pPr>
              <w:contextualSpacing/>
              <w:jc w:val="center"/>
            </w:pPr>
            <w:r w:rsidRPr="00AF7D9D">
              <w:t xml:space="preserve">3. </w:t>
            </w:r>
            <w:r w:rsidR="00292C81" w:rsidRPr="00AF7D9D">
              <w:t>German Vocational</w:t>
            </w:r>
          </w:p>
        </w:tc>
        <w:tc>
          <w:tcPr>
            <w:tcW w:w="1553" w:type="dxa"/>
            <w:tcBorders>
              <w:top w:val="single" w:sz="4" w:space="0" w:color="auto"/>
              <w:bottom w:val="single" w:sz="4" w:space="0" w:color="auto"/>
            </w:tcBorders>
            <w:vAlign w:val="center"/>
          </w:tcPr>
          <w:p w14:paraId="7AD42156" w14:textId="77777777" w:rsidR="00292C81" w:rsidRPr="00AF7D9D" w:rsidRDefault="00A6662F" w:rsidP="00E27538">
            <w:pPr>
              <w:contextualSpacing/>
              <w:jc w:val="center"/>
            </w:pPr>
            <w:r w:rsidRPr="00AF7D9D">
              <w:t xml:space="preserve">4. </w:t>
            </w:r>
            <w:r w:rsidR="00292C81" w:rsidRPr="00AF7D9D">
              <w:t>Italian</w:t>
            </w:r>
          </w:p>
          <w:p w14:paraId="370FD8A7" w14:textId="77777777" w:rsidR="00292C81" w:rsidRPr="00AF7D9D" w:rsidRDefault="00292C81" w:rsidP="00E27538">
            <w:pPr>
              <w:contextualSpacing/>
              <w:jc w:val="center"/>
            </w:pPr>
            <w:r w:rsidRPr="00AF7D9D">
              <w:t>Youth</w:t>
            </w:r>
          </w:p>
        </w:tc>
        <w:tc>
          <w:tcPr>
            <w:tcW w:w="1553" w:type="dxa"/>
            <w:tcBorders>
              <w:top w:val="single" w:sz="4" w:space="0" w:color="auto"/>
              <w:bottom w:val="single" w:sz="4" w:space="0" w:color="auto"/>
            </w:tcBorders>
            <w:vAlign w:val="center"/>
          </w:tcPr>
          <w:p w14:paraId="75F7549C" w14:textId="77777777" w:rsidR="00292C81" w:rsidRPr="00AF7D9D" w:rsidRDefault="00A6662F" w:rsidP="00E27538">
            <w:pPr>
              <w:contextualSpacing/>
              <w:jc w:val="center"/>
            </w:pPr>
            <w:r w:rsidRPr="00AF7D9D">
              <w:t xml:space="preserve">5. </w:t>
            </w:r>
            <w:r w:rsidR="00292C81" w:rsidRPr="00AF7D9D">
              <w:t>Dutch Adolescents</w:t>
            </w:r>
          </w:p>
        </w:tc>
      </w:tr>
      <w:tr w:rsidR="00E27538" w:rsidRPr="00AF7D9D" w14:paraId="13018D48" w14:textId="77777777" w:rsidTr="0023154C">
        <w:trPr>
          <w:trHeight w:val="418"/>
        </w:trPr>
        <w:tc>
          <w:tcPr>
            <w:tcW w:w="1008" w:type="dxa"/>
            <w:vAlign w:val="center"/>
          </w:tcPr>
          <w:p w14:paraId="3E1182C8" w14:textId="77777777" w:rsidR="00292C81" w:rsidRPr="00AF7D9D" w:rsidRDefault="00292C81" w:rsidP="0023154C">
            <w:pPr>
              <w:contextualSpacing/>
              <w:jc w:val="center"/>
            </w:pPr>
            <w:r w:rsidRPr="00AF7D9D">
              <w:t>≥</w:t>
            </w:r>
            <w:r w:rsidR="00FD2EF0" w:rsidRPr="00AF7D9D">
              <w:t xml:space="preserve"> </w:t>
            </w:r>
            <w:r w:rsidRPr="00AF7D9D">
              <w:t>6</w:t>
            </w:r>
          </w:p>
        </w:tc>
        <w:tc>
          <w:tcPr>
            <w:tcW w:w="1710" w:type="dxa"/>
            <w:vAlign w:val="center"/>
          </w:tcPr>
          <w:p w14:paraId="40D2FB56" w14:textId="77777777" w:rsidR="00292C81" w:rsidRPr="00AF7D9D" w:rsidRDefault="00292C81" w:rsidP="0023154C">
            <w:pPr>
              <w:contextualSpacing/>
              <w:jc w:val="center"/>
            </w:pPr>
            <w:r w:rsidRPr="00AF7D9D">
              <w:t>90</w:t>
            </w:r>
          </w:p>
        </w:tc>
        <w:tc>
          <w:tcPr>
            <w:tcW w:w="1552" w:type="dxa"/>
            <w:vAlign w:val="center"/>
          </w:tcPr>
          <w:p w14:paraId="7900F36C" w14:textId="77777777" w:rsidR="00292C81" w:rsidRPr="00AF7D9D" w:rsidRDefault="00292C81" w:rsidP="0023154C">
            <w:pPr>
              <w:contextualSpacing/>
              <w:jc w:val="center"/>
            </w:pPr>
            <w:r w:rsidRPr="00AF7D9D">
              <w:t>58</w:t>
            </w:r>
          </w:p>
        </w:tc>
        <w:tc>
          <w:tcPr>
            <w:tcW w:w="1553" w:type="dxa"/>
            <w:vAlign w:val="center"/>
          </w:tcPr>
          <w:p w14:paraId="348766A1" w14:textId="77777777" w:rsidR="00292C81" w:rsidRPr="00AF7D9D" w:rsidRDefault="00292C81" w:rsidP="0023154C">
            <w:pPr>
              <w:contextualSpacing/>
              <w:jc w:val="center"/>
            </w:pPr>
            <w:r w:rsidRPr="00AF7D9D">
              <w:t>71</w:t>
            </w:r>
          </w:p>
        </w:tc>
        <w:tc>
          <w:tcPr>
            <w:tcW w:w="1552" w:type="dxa"/>
            <w:vAlign w:val="center"/>
          </w:tcPr>
          <w:p w14:paraId="4978F3A6" w14:textId="77777777" w:rsidR="00292C81" w:rsidRPr="00AF7D9D" w:rsidRDefault="00292C81" w:rsidP="0023154C">
            <w:pPr>
              <w:contextualSpacing/>
              <w:jc w:val="center"/>
            </w:pPr>
            <w:r w:rsidRPr="00AF7D9D">
              <w:t>72</w:t>
            </w:r>
          </w:p>
        </w:tc>
        <w:tc>
          <w:tcPr>
            <w:tcW w:w="1553" w:type="dxa"/>
            <w:vAlign w:val="center"/>
          </w:tcPr>
          <w:p w14:paraId="4027F3E2" w14:textId="77777777" w:rsidR="00292C81" w:rsidRPr="00AF7D9D" w:rsidRDefault="00292C81" w:rsidP="0023154C">
            <w:pPr>
              <w:contextualSpacing/>
              <w:jc w:val="center"/>
            </w:pPr>
            <w:r w:rsidRPr="00AF7D9D">
              <w:t>73</w:t>
            </w:r>
          </w:p>
        </w:tc>
        <w:tc>
          <w:tcPr>
            <w:tcW w:w="1553" w:type="dxa"/>
            <w:vAlign w:val="center"/>
          </w:tcPr>
          <w:p w14:paraId="57C3F101" w14:textId="77777777" w:rsidR="00292C81" w:rsidRPr="00AF7D9D" w:rsidRDefault="004B59E9" w:rsidP="0023154C">
            <w:pPr>
              <w:contextualSpacing/>
              <w:jc w:val="center"/>
            </w:pPr>
            <w:r w:rsidRPr="00AF7D9D">
              <w:t>72</w:t>
            </w:r>
          </w:p>
        </w:tc>
      </w:tr>
      <w:tr w:rsidR="00E27538" w:rsidRPr="00AF7D9D" w14:paraId="1ADFC1D2" w14:textId="77777777" w:rsidTr="0023154C">
        <w:trPr>
          <w:trHeight w:val="418"/>
        </w:trPr>
        <w:tc>
          <w:tcPr>
            <w:tcW w:w="1008" w:type="dxa"/>
            <w:vAlign w:val="center"/>
          </w:tcPr>
          <w:p w14:paraId="3D95B56F" w14:textId="77777777" w:rsidR="00292C81" w:rsidRPr="00AF7D9D" w:rsidRDefault="00292C81" w:rsidP="0023154C">
            <w:pPr>
              <w:contextualSpacing/>
              <w:jc w:val="center"/>
            </w:pPr>
            <w:r w:rsidRPr="00AF7D9D">
              <w:t>≥</w:t>
            </w:r>
            <w:r w:rsidR="00FD2EF0" w:rsidRPr="00AF7D9D">
              <w:t xml:space="preserve"> </w:t>
            </w:r>
            <w:r w:rsidRPr="00AF7D9D">
              <w:t>7</w:t>
            </w:r>
          </w:p>
        </w:tc>
        <w:tc>
          <w:tcPr>
            <w:tcW w:w="1710" w:type="dxa"/>
            <w:vAlign w:val="center"/>
          </w:tcPr>
          <w:p w14:paraId="335E3898" w14:textId="77777777" w:rsidR="00292C81" w:rsidRPr="00AF7D9D" w:rsidRDefault="00292C81" w:rsidP="0023154C">
            <w:pPr>
              <w:contextualSpacing/>
              <w:jc w:val="center"/>
            </w:pPr>
            <w:r w:rsidRPr="00AF7D9D">
              <w:t>82</w:t>
            </w:r>
          </w:p>
        </w:tc>
        <w:tc>
          <w:tcPr>
            <w:tcW w:w="1552" w:type="dxa"/>
            <w:vAlign w:val="center"/>
          </w:tcPr>
          <w:p w14:paraId="40ADEDD2" w14:textId="77777777" w:rsidR="00292C81" w:rsidRPr="00AF7D9D" w:rsidRDefault="00292C81" w:rsidP="0023154C">
            <w:pPr>
              <w:contextualSpacing/>
              <w:jc w:val="center"/>
            </w:pPr>
            <w:r w:rsidRPr="00AF7D9D">
              <w:t>73</w:t>
            </w:r>
          </w:p>
        </w:tc>
        <w:tc>
          <w:tcPr>
            <w:tcW w:w="1553" w:type="dxa"/>
            <w:vAlign w:val="center"/>
          </w:tcPr>
          <w:p w14:paraId="6B895985" w14:textId="77777777" w:rsidR="00292C81" w:rsidRPr="00AF7D9D" w:rsidRDefault="00292C81" w:rsidP="0023154C">
            <w:pPr>
              <w:contextualSpacing/>
              <w:jc w:val="center"/>
            </w:pPr>
            <w:r w:rsidRPr="00AF7D9D">
              <w:t>81</w:t>
            </w:r>
          </w:p>
        </w:tc>
        <w:tc>
          <w:tcPr>
            <w:tcW w:w="1552" w:type="dxa"/>
            <w:vAlign w:val="center"/>
          </w:tcPr>
          <w:p w14:paraId="0F3C210E" w14:textId="77777777" w:rsidR="00292C81" w:rsidRPr="00AF7D9D" w:rsidRDefault="00292C81" w:rsidP="0023154C">
            <w:pPr>
              <w:contextualSpacing/>
              <w:jc w:val="center"/>
            </w:pPr>
            <w:r w:rsidRPr="00AF7D9D">
              <w:t>83</w:t>
            </w:r>
          </w:p>
        </w:tc>
        <w:tc>
          <w:tcPr>
            <w:tcW w:w="1553" w:type="dxa"/>
            <w:vAlign w:val="center"/>
          </w:tcPr>
          <w:p w14:paraId="10CCD28E" w14:textId="77777777" w:rsidR="00292C81" w:rsidRPr="00AF7D9D" w:rsidRDefault="00292C81" w:rsidP="0023154C">
            <w:pPr>
              <w:contextualSpacing/>
              <w:jc w:val="center"/>
            </w:pPr>
            <w:r w:rsidRPr="00AF7D9D">
              <w:t>82</w:t>
            </w:r>
          </w:p>
        </w:tc>
        <w:tc>
          <w:tcPr>
            <w:tcW w:w="1553" w:type="dxa"/>
            <w:vAlign w:val="center"/>
          </w:tcPr>
          <w:p w14:paraId="1CB65B78" w14:textId="77777777" w:rsidR="00292C81" w:rsidRPr="00AF7D9D" w:rsidRDefault="00F15265" w:rsidP="0023154C">
            <w:pPr>
              <w:contextualSpacing/>
              <w:jc w:val="center"/>
            </w:pPr>
            <w:r w:rsidRPr="00AF7D9D">
              <w:t>83</w:t>
            </w:r>
          </w:p>
        </w:tc>
      </w:tr>
      <w:tr w:rsidR="00E27538" w:rsidRPr="00AF7D9D" w14:paraId="218A3F82" w14:textId="77777777" w:rsidTr="0023154C">
        <w:trPr>
          <w:trHeight w:val="418"/>
        </w:trPr>
        <w:tc>
          <w:tcPr>
            <w:tcW w:w="1008" w:type="dxa"/>
            <w:vAlign w:val="center"/>
          </w:tcPr>
          <w:p w14:paraId="151B43BF" w14:textId="77777777" w:rsidR="00292C81" w:rsidRPr="00AF7D9D" w:rsidRDefault="00292C81" w:rsidP="0023154C">
            <w:pPr>
              <w:contextualSpacing/>
              <w:jc w:val="center"/>
            </w:pPr>
            <w:r w:rsidRPr="00AF7D9D">
              <w:t>≥</w:t>
            </w:r>
            <w:r w:rsidR="00FD2EF0" w:rsidRPr="00AF7D9D">
              <w:t xml:space="preserve"> </w:t>
            </w:r>
            <w:r w:rsidRPr="00AF7D9D">
              <w:t>8</w:t>
            </w:r>
          </w:p>
        </w:tc>
        <w:tc>
          <w:tcPr>
            <w:tcW w:w="1710" w:type="dxa"/>
            <w:vAlign w:val="center"/>
          </w:tcPr>
          <w:p w14:paraId="5202C18A" w14:textId="77777777" w:rsidR="00292C81" w:rsidRPr="00AF7D9D" w:rsidRDefault="00292C81" w:rsidP="0023154C">
            <w:pPr>
              <w:contextualSpacing/>
              <w:jc w:val="center"/>
            </w:pPr>
            <w:r w:rsidRPr="00AF7D9D">
              <w:t>70</w:t>
            </w:r>
          </w:p>
        </w:tc>
        <w:tc>
          <w:tcPr>
            <w:tcW w:w="1552" w:type="dxa"/>
            <w:vAlign w:val="center"/>
          </w:tcPr>
          <w:p w14:paraId="4EC7AC17" w14:textId="77777777" w:rsidR="00292C81" w:rsidRPr="00AF7D9D" w:rsidRDefault="00292C81" w:rsidP="0023154C">
            <w:pPr>
              <w:contextualSpacing/>
              <w:jc w:val="center"/>
            </w:pPr>
            <w:r w:rsidRPr="00AF7D9D">
              <w:t>87</w:t>
            </w:r>
          </w:p>
        </w:tc>
        <w:tc>
          <w:tcPr>
            <w:tcW w:w="1553" w:type="dxa"/>
            <w:vAlign w:val="center"/>
          </w:tcPr>
          <w:p w14:paraId="5D21C9D7" w14:textId="77777777" w:rsidR="00292C81" w:rsidRPr="00AF7D9D" w:rsidRDefault="00292C81" w:rsidP="0023154C">
            <w:pPr>
              <w:contextualSpacing/>
              <w:jc w:val="center"/>
            </w:pPr>
            <w:r w:rsidRPr="00AF7D9D">
              <w:t>90</w:t>
            </w:r>
          </w:p>
        </w:tc>
        <w:tc>
          <w:tcPr>
            <w:tcW w:w="1552" w:type="dxa"/>
            <w:vAlign w:val="center"/>
          </w:tcPr>
          <w:p w14:paraId="744934FD" w14:textId="77777777" w:rsidR="00292C81" w:rsidRPr="00AF7D9D" w:rsidRDefault="00292C81" w:rsidP="0023154C">
            <w:pPr>
              <w:contextualSpacing/>
              <w:jc w:val="center"/>
            </w:pPr>
            <w:r w:rsidRPr="00AF7D9D">
              <w:t>90</w:t>
            </w:r>
          </w:p>
        </w:tc>
        <w:tc>
          <w:tcPr>
            <w:tcW w:w="1553" w:type="dxa"/>
            <w:vAlign w:val="center"/>
          </w:tcPr>
          <w:p w14:paraId="3782BFBA" w14:textId="77777777" w:rsidR="00292C81" w:rsidRPr="00AF7D9D" w:rsidRDefault="00292C81" w:rsidP="0023154C">
            <w:pPr>
              <w:contextualSpacing/>
              <w:jc w:val="center"/>
            </w:pPr>
            <w:r w:rsidRPr="00AF7D9D">
              <w:t>89</w:t>
            </w:r>
          </w:p>
        </w:tc>
        <w:tc>
          <w:tcPr>
            <w:tcW w:w="1553" w:type="dxa"/>
            <w:vAlign w:val="center"/>
          </w:tcPr>
          <w:p w14:paraId="2E02191D" w14:textId="77777777" w:rsidR="00292C81" w:rsidRPr="00AF7D9D" w:rsidRDefault="004B59E9" w:rsidP="0023154C">
            <w:pPr>
              <w:contextualSpacing/>
              <w:jc w:val="center"/>
            </w:pPr>
            <w:r w:rsidRPr="00AF7D9D">
              <w:t>89</w:t>
            </w:r>
          </w:p>
        </w:tc>
      </w:tr>
      <w:tr w:rsidR="00E27538" w:rsidRPr="00AF7D9D" w14:paraId="2B19076F" w14:textId="77777777" w:rsidTr="0023154C">
        <w:trPr>
          <w:trHeight w:val="418"/>
        </w:trPr>
        <w:tc>
          <w:tcPr>
            <w:tcW w:w="1008" w:type="dxa"/>
            <w:tcBorders>
              <w:bottom w:val="single" w:sz="4" w:space="0" w:color="auto"/>
            </w:tcBorders>
            <w:vAlign w:val="center"/>
          </w:tcPr>
          <w:p w14:paraId="4FB32D20" w14:textId="77777777" w:rsidR="00292C81" w:rsidRPr="00AF7D9D" w:rsidRDefault="00292C81" w:rsidP="0023154C">
            <w:pPr>
              <w:contextualSpacing/>
              <w:jc w:val="center"/>
            </w:pPr>
            <w:r w:rsidRPr="00AF7D9D">
              <w:t>≥</w:t>
            </w:r>
            <w:r w:rsidR="00FD2EF0" w:rsidRPr="00AF7D9D">
              <w:t xml:space="preserve"> </w:t>
            </w:r>
            <w:r w:rsidRPr="00AF7D9D">
              <w:t>9</w:t>
            </w:r>
          </w:p>
        </w:tc>
        <w:tc>
          <w:tcPr>
            <w:tcW w:w="1710" w:type="dxa"/>
            <w:tcBorders>
              <w:bottom w:val="single" w:sz="4" w:space="0" w:color="auto"/>
            </w:tcBorders>
            <w:vAlign w:val="center"/>
          </w:tcPr>
          <w:p w14:paraId="27D708BB" w14:textId="77777777" w:rsidR="00292C81" w:rsidRPr="00AF7D9D" w:rsidRDefault="00292C81" w:rsidP="0023154C">
            <w:pPr>
              <w:contextualSpacing/>
              <w:jc w:val="center"/>
            </w:pPr>
            <w:r w:rsidRPr="00AF7D9D">
              <w:t>53</w:t>
            </w:r>
          </w:p>
        </w:tc>
        <w:tc>
          <w:tcPr>
            <w:tcW w:w="1552" w:type="dxa"/>
            <w:tcBorders>
              <w:bottom w:val="single" w:sz="4" w:space="0" w:color="auto"/>
            </w:tcBorders>
            <w:vAlign w:val="center"/>
          </w:tcPr>
          <w:p w14:paraId="7F76BB2E" w14:textId="77777777" w:rsidR="00292C81" w:rsidRPr="00AF7D9D" w:rsidRDefault="00292C81" w:rsidP="0023154C">
            <w:pPr>
              <w:contextualSpacing/>
              <w:jc w:val="center"/>
            </w:pPr>
            <w:r w:rsidRPr="00AF7D9D">
              <w:t>92</w:t>
            </w:r>
          </w:p>
        </w:tc>
        <w:tc>
          <w:tcPr>
            <w:tcW w:w="1553" w:type="dxa"/>
            <w:tcBorders>
              <w:bottom w:val="single" w:sz="4" w:space="0" w:color="auto"/>
            </w:tcBorders>
            <w:vAlign w:val="center"/>
          </w:tcPr>
          <w:p w14:paraId="08F7DE55" w14:textId="77777777" w:rsidR="00292C81" w:rsidRPr="00AF7D9D" w:rsidRDefault="00292C81" w:rsidP="0023154C">
            <w:pPr>
              <w:contextualSpacing/>
              <w:jc w:val="center"/>
            </w:pPr>
            <w:r w:rsidRPr="00AF7D9D">
              <w:t>94</w:t>
            </w:r>
          </w:p>
        </w:tc>
        <w:tc>
          <w:tcPr>
            <w:tcW w:w="1552" w:type="dxa"/>
            <w:tcBorders>
              <w:bottom w:val="single" w:sz="4" w:space="0" w:color="auto"/>
            </w:tcBorders>
            <w:vAlign w:val="center"/>
          </w:tcPr>
          <w:p w14:paraId="281917DB" w14:textId="77777777" w:rsidR="00292C81" w:rsidRPr="00AF7D9D" w:rsidRDefault="00292C81" w:rsidP="0023154C">
            <w:pPr>
              <w:contextualSpacing/>
              <w:jc w:val="center"/>
            </w:pPr>
            <w:r w:rsidRPr="00AF7D9D">
              <w:t>94</w:t>
            </w:r>
          </w:p>
        </w:tc>
        <w:tc>
          <w:tcPr>
            <w:tcW w:w="1553" w:type="dxa"/>
            <w:tcBorders>
              <w:bottom w:val="single" w:sz="4" w:space="0" w:color="auto"/>
            </w:tcBorders>
            <w:vAlign w:val="center"/>
          </w:tcPr>
          <w:p w14:paraId="65B4F024" w14:textId="77777777" w:rsidR="00292C81" w:rsidRPr="00AF7D9D" w:rsidRDefault="00292C81" w:rsidP="0023154C">
            <w:pPr>
              <w:contextualSpacing/>
              <w:jc w:val="center"/>
            </w:pPr>
            <w:r w:rsidRPr="00AF7D9D">
              <w:t>94</w:t>
            </w:r>
          </w:p>
        </w:tc>
        <w:tc>
          <w:tcPr>
            <w:tcW w:w="1553" w:type="dxa"/>
            <w:tcBorders>
              <w:bottom w:val="single" w:sz="4" w:space="0" w:color="auto"/>
            </w:tcBorders>
            <w:vAlign w:val="center"/>
          </w:tcPr>
          <w:p w14:paraId="696D8F22" w14:textId="77777777" w:rsidR="00292C81" w:rsidRPr="00AF7D9D" w:rsidRDefault="00F15265" w:rsidP="0023154C">
            <w:pPr>
              <w:contextualSpacing/>
              <w:jc w:val="center"/>
            </w:pPr>
            <w:r w:rsidRPr="00AF7D9D">
              <w:t>94</w:t>
            </w:r>
          </w:p>
        </w:tc>
      </w:tr>
    </w:tbl>
    <w:p w14:paraId="7A3EFF5E" w14:textId="29FC2AA0" w:rsidR="00292C81" w:rsidRPr="00AF7D9D" w:rsidRDefault="00292C81" w:rsidP="009E1972">
      <w:pPr>
        <w:spacing w:after="0" w:line="360" w:lineRule="auto"/>
        <w:rPr>
          <w:rFonts w:ascii="Times New Roman" w:hAnsi="Times New Roman" w:cs="Times New Roman"/>
          <w:sz w:val="24"/>
          <w:szCs w:val="24"/>
        </w:rPr>
      </w:pPr>
      <w:r w:rsidRPr="00AF7D9D">
        <w:rPr>
          <w:rFonts w:ascii="Times New Roman" w:hAnsi="Times New Roman" w:cs="Times New Roman"/>
          <w:sz w:val="24"/>
          <w:szCs w:val="24"/>
        </w:rPr>
        <w:t>Note. Values are rounded to the nearest whole percentage.</w:t>
      </w:r>
      <w:r w:rsidR="00641C2C" w:rsidRPr="00AF7D9D">
        <w:rPr>
          <w:rFonts w:ascii="Times New Roman" w:hAnsi="Times New Roman" w:cs="Times New Roman"/>
          <w:sz w:val="24"/>
          <w:szCs w:val="24"/>
        </w:rPr>
        <w:t xml:space="preserve"> DIRP = Detection of Inconsistent Response Presentation Scale.</w:t>
      </w:r>
    </w:p>
    <w:p w14:paraId="5DD7B561" w14:textId="77777777" w:rsidR="0032775A" w:rsidRPr="00AF7D9D" w:rsidRDefault="0032775A" w:rsidP="0032775A">
      <w:pPr>
        <w:rPr>
          <w:rFonts w:ascii="Times New Roman" w:hAnsi="Times New Roman" w:cs="Times New Roman"/>
          <w:sz w:val="24"/>
          <w:szCs w:val="24"/>
        </w:rPr>
        <w:sectPr w:rsidR="0032775A" w:rsidRPr="00AF7D9D" w:rsidSect="00CD44E1">
          <w:headerReference w:type="default" r:id="rId7"/>
          <w:headerReference w:type="first" r:id="rId8"/>
          <w:pgSz w:w="12240" w:h="15840"/>
          <w:pgMar w:top="1440" w:right="1440" w:bottom="1440" w:left="1440" w:header="720" w:footer="720" w:gutter="0"/>
          <w:cols w:space="720"/>
          <w:titlePg/>
          <w:docGrid w:linePitch="360"/>
        </w:sectPr>
      </w:pPr>
      <w:r w:rsidRPr="00AF7D9D">
        <w:rPr>
          <w:rFonts w:ascii="Times New Roman" w:hAnsi="Times New Roman" w:cs="Times New Roman"/>
          <w:sz w:val="24"/>
          <w:szCs w:val="24"/>
        </w:rPr>
        <w:br w:type="page"/>
      </w:r>
    </w:p>
    <w:p w14:paraId="37562A5F" w14:textId="77777777" w:rsidR="0032775A" w:rsidRPr="00AF7D9D" w:rsidRDefault="0032775A" w:rsidP="0032775A">
      <w:pPr>
        <w:tabs>
          <w:tab w:val="left" w:pos="1909"/>
        </w:tabs>
        <w:spacing w:after="160" w:line="259" w:lineRule="auto"/>
        <w:contextualSpacing/>
        <w:rPr>
          <w:rFonts w:ascii="Times New Roman" w:eastAsia="Calibri" w:hAnsi="Times New Roman" w:cs="Times New Roman"/>
          <w:sz w:val="24"/>
          <w:szCs w:val="24"/>
        </w:rPr>
      </w:pPr>
    </w:p>
    <w:p w14:paraId="7FA45A12" w14:textId="77777777" w:rsidR="0032775A" w:rsidRPr="00AF7D9D" w:rsidRDefault="0032775A" w:rsidP="0032775A">
      <w:pPr>
        <w:spacing w:after="160" w:line="259" w:lineRule="auto"/>
        <w:contextualSpacing/>
        <w:rPr>
          <w:rFonts w:ascii="Times New Roman" w:eastAsia="Calibri" w:hAnsi="Times New Roman" w:cs="Times New Roman"/>
          <w:sz w:val="24"/>
          <w:szCs w:val="24"/>
        </w:rPr>
      </w:pPr>
      <w:r w:rsidRPr="00AF7D9D">
        <w:rPr>
          <w:rFonts w:ascii="Times New Roman" w:eastAsia="Calibri" w:hAnsi="Times New Roman" w:cs="Times New Roman"/>
          <w:sz w:val="24"/>
          <w:szCs w:val="24"/>
        </w:rPr>
        <w:t>Table 4</w:t>
      </w:r>
    </w:p>
    <w:p w14:paraId="5F206364" w14:textId="77777777" w:rsidR="0032775A" w:rsidRPr="00AF7D9D" w:rsidRDefault="0032775A" w:rsidP="0032775A">
      <w:pPr>
        <w:spacing w:after="160" w:line="259" w:lineRule="auto"/>
        <w:contextualSpacing/>
        <w:rPr>
          <w:rFonts w:ascii="Times New Roman" w:eastAsia="Calibri" w:hAnsi="Times New Roman" w:cs="Times New Roman"/>
          <w:i/>
          <w:sz w:val="24"/>
          <w:szCs w:val="24"/>
        </w:rPr>
      </w:pPr>
      <w:r w:rsidRPr="00AF7D9D">
        <w:rPr>
          <w:rFonts w:ascii="Times New Roman" w:eastAsia="Calibri" w:hAnsi="Times New Roman" w:cs="Times New Roman"/>
          <w:i/>
          <w:sz w:val="24"/>
          <w:szCs w:val="24"/>
        </w:rPr>
        <w:t xml:space="preserve">Profile Classification and </w:t>
      </w:r>
      <w:r w:rsidR="00AA2667" w:rsidRPr="00AF7D9D">
        <w:rPr>
          <w:rFonts w:ascii="Times New Roman" w:eastAsia="Calibri" w:hAnsi="Times New Roman" w:cs="Times New Roman"/>
          <w:i/>
          <w:sz w:val="24"/>
          <w:szCs w:val="24"/>
        </w:rPr>
        <w:t xml:space="preserve">YPI-S </w:t>
      </w:r>
      <w:r w:rsidRPr="00AF7D9D">
        <w:rPr>
          <w:rFonts w:ascii="Times New Roman" w:eastAsia="Calibri" w:hAnsi="Times New Roman" w:cs="Times New Roman"/>
          <w:i/>
          <w:sz w:val="24"/>
          <w:szCs w:val="24"/>
        </w:rPr>
        <w:t xml:space="preserve">Correlations </w:t>
      </w:r>
      <w:r w:rsidR="00AA2667" w:rsidRPr="00AF7D9D">
        <w:rPr>
          <w:rFonts w:ascii="Times New Roman" w:eastAsia="Calibri" w:hAnsi="Times New Roman" w:cs="Times New Roman"/>
          <w:i/>
          <w:sz w:val="24"/>
          <w:szCs w:val="24"/>
        </w:rPr>
        <w:t>with External Measures</w:t>
      </w:r>
    </w:p>
    <w:tbl>
      <w:tblPr>
        <w:tblStyle w:val="TableGrid2"/>
        <w:tblW w:w="5000" w:type="pct"/>
        <w:tblLayout w:type="fixed"/>
        <w:tblLook w:val="04A0" w:firstRow="1" w:lastRow="0" w:firstColumn="1" w:lastColumn="0" w:noHBand="0" w:noVBand="1"/>
      </w:tblPr>
      <w:tblGrid>
        <w:gridCol w:w="3241"/>
        <w:gridCol w:w="1530"/>
        <w:gridCol w:w="360"/>
        <w:gridCol w:w="1236"/>
        <w:gridCol w:w="1236"/>
        <w:gridCol w:w="1239"/>
        <w:gridCol w:w="443"/>
        <w:gridCol w:w="1236"/>
        <w:gridCol w:w="1236"/>
        <w:gridCol w:w="1203"/>
      </w:tblGrid>
      <w:tr w:rsidR="00FF5C5C" w:rsidRPr="00AF7D9D" w14:paraId="2406698E" w14:textId="77777777" w:rsidTr="00FF5C5C">
        <w:trPr>
          <w:trHeight w:val="447"/>
        </w:trPr>
        <w:tc>
          <w:tcPr>
            <w:tcW w:w="1250" w:type="pct"/>
            <w:tcBorders>
              <w:left w:val="nil"/>
              <w:bottom w:val="single" w:sz="4" w:space="0" w:color="auto"/>
              <w:right w:val="nil"/>
            </w:tcBorders>
            <w:vAlign w:val="center"/>
          </w:tcPr>
          <w:p w14:paraId="7891E118" w14:textId="77777777" w:rsidR="00FF5C5C" w:rsidRPr="00AF7D9D" w:rsidRDefault="00FF5C5C" w:rsidP="0032775A">
            <w:pPr>
              <w:contextualSpacing/>
              <w:jc w:val="center"/>
              <w:rPr>
                <w:rFonts w:eastAsia="Calibri"/>
              </w:rPr>
            </w:pPr>
          </w:p>
        </w:tc>
        <w:tc>
          <w:tcPr>
            <w:tcW w:w="3750" w:type="pct"/>
            <w:gridSpan w:val="9"/>
            <w:tcBorders>
              <w:left w:val="nil"/>
              <w:bottom w:val="single" w:sz="4" w:space="0" w:color="auto"/>
              <w:right w:val="nil"/>
            </w:tcBorders>
            <w:vAlign w:val="center"/>
          </w:tcPr>
          <w:p w14:paraId="0F7559E5" w14:textId="77777777" w:rsidR="00FF5C5C" w:rsidRPr="00AF7D9D" w:rsidRDefault="00FF5C5C" w:rsidP="00FF5C5C">
            <w:pPr>
              <w:contextualSpacing/>
              <w:jc w:val="center"/>
              <w:rPr>
                <w:rFonts w:eastAsia="Calibri"/>
              </w:rPr>
            </w:pPr>
            <w:r w:rsidRPr="00AF7D9D">
              <w:rPr>
                <w:rFonts w:eastAsia="Calibri"/>
              </w:rPr>
              <w:t>Correlation with YPI-S Total</w:t>
            </w:r>
          </w:p>
        </w:tc>
      </w:tr>
      <w:tr w:rsidR="00FF5C5C" w:rsidRPr="00AF7D9D" w14:paraId="29D52EF7" w14:textId="77777777" w:rsidTr="00FF5C5C">
        <w:trPr>
          <w:trHeight w:val="447"/>
        </w:trPr>
        <w:tc>
          <w:tcPr>
            <w:tcW w:w="1250" w:type="pct"/>
            <w:tcBorders>
              <w:left w:val="nil"/>
              <w:bottom w:val="single" w:sz="4" w:space="0" w:color="auto"/>
              <w:right w:val="nil"/>
            </w:tcBorders>
            <w:vAlign w:val="center"/>
          </w:tcPr>
          <w:p w14:paraId="250C2B61" w14:textId="77777777" w:rsidR="00FF5C5C" w:rsidRPr="00AF7D9D" w:rsidRDefault="00FF5C5C" w:rsidP="0032775A">
            <w:pPr>
              <w:contextualSpacing/>
              <w:jc w:val="center"/>
              <w:rPr>
                <w:rFonts w:eastAsia="Calibri"/>
              </w:rPr>
            </w:pPr>
          </w:p>
        </w:tc>
        <w:tc>
          <w:tcPr>
            <w:tcW w:w="590" w:type="pct"/>
            <w:tcBorders>
              <w:left w:val="nil"/>
              <w:bottom w:val="single" w:sz="4" w:space="0" w:color="auto"/>
              <w:right w:val="nil"/>
            </w:tcBorders>
            <w:vAlign w:val="center"/>
          </w:tcPr>
          <w:p w14:paraId="5EE8E3F4" w14:textId="77777777" w:rsidR="00FF5C5C" w:rsidRPr="00AF7D9D" w:rsidRDefault="00FF5C5C" w:rsidP="00FF5C5C">
            <w:pPr>
              <w:contextualSpacing/>
              <w:jc w:val="center"/>
              <w:rPr>
                <w:rFonts w:eastAsia="Calibri"/>
              </w:rPr>
            </w:pPr>
            <w:r w:rsidRPr="00AF7D9D">
              <w:rPr>
                <w:rFonts w:eastAsia="Calibri"/>
              </w:rPr>
              <w:t>Total Sample</w:t>
            </w:r>
          </w:p>
        </w:tc>
        <w:tc>
          <w:tcPr>
            <w:tcW w:w="139" w:type="pct"/>
            <w:tcBorders>
              <w:left w:val="nil"/>
              <w:bottom w:val="single" w:sz="4" w:space="0" w:color="auto"/>
              <w:right w:val="nil"/>
            </w:tcBorders>
            <w:vAlign w:val="center"/>
          </w:tcPr>
          <w:p w14:paraId="277DFEEE" w14:textId="77777777" w:rsidR="00FF5C5C" w:rsidRPr="00AF7D9D" w:rsidRDefault="00FF5C5C" w:rsidP="00FF5C5C">
            <w:pPr>
              <w:contextualSpacing/>
              <w:jc w:val="center"/>
              <w:rPr>
                <w:rFonts w:eastAsia="Calibri"/>
              </w:rPr>
            </w:pPr>
          </w:p>
        </w:tc>
        <w:tc>
          <w:tcPr>
            <w:tcW w:w="477" w:type="pct"/>
            <w:tcBorders>
              <w:left w:val="nil"/>
              <w:bottom w:val="single" w:sz="4" w:space="0" w:color="auto"/>
              <w:right w:val="nil"/>
            </w:tcBorders>
            <w:vAlign w:val="center"/>
          </w:tcPr>
          <w:p w14:paraId="27A9AA88" w14:textId="602AC5EE" w:rsidR="00FF5C5C" w:rsidRPr="00AF7D9D" w:rsidRDefault="00641C2C" w:rsidP="00FF5C5C">
            <w:pPr>
              <w:contextualSpacing/>
              <w:jc w:val="center"/>
              <w:rPr>
                <w:rFonts w:eastAsia="Calibri"/>
                <w:vertAlign w:val="superscript"/>
              </w:rPr>
            </w:pPr>
            <w:r w:rsidRPr="00AF7D9D">
              <w:rPr>
                <w:rFonts w:eastAsia="Calibri"/>
              </w:rPr>
              <w:t>DI</w:t>
            </w:r>
            <w:r w:rsidR="00FF5C5C" w:rsidRPr="00AF7D9D">
              <w:rPr>
                <w:rFonts w:eastAsia="Calibri"/>
              </w:rPr>
              <w:t>RP &lt; 7</w:t>
            </w:r>
          </w:p>
        </w:tc>
        <w:tc>
          <w:tcPr>
            <w:tcW w:w="477" w:type="pct"/>
            <w:tcBorders>
              <w:left w:val="nil"/>
              <w:bottom w:val="single" w:sz="4" w:space="0" w:color="auto"/>
              <w:right w:val="nil"/>
            </w:tcBorders>
            <w:vAlign w:val="center"/>
          </w:tcPr>
          <w:p w14:paraId="32FFF47B" w14:textId="3D17F6A5" w:rsidR="00FF5C5C" w:rsidRPr="00AF7D9D" w:rsidRDefault="00641C2C" w:rsidP="00FF5C5C">
            <w:pPr>
              <w:contextualSpacing/>
              <w:jc w:val="center"/>
              <w:rPr>
                <w:rFonts w:eastAsia="Calibri"/>
                <w:vertAlign w:val="superscript"/>
              </w:rPr>
            </w:pPr>
            <w:r w:rsidRPr="00AF7D9D">
              <w:rPr>
                <w:rFonts w:eastAsia="Calibri"/>
              </w:rPr>
              <w:t>DI</w:t>
            </w:r>
            <w:r w:rsidR="00FF5C5C" w:rsidRPr="00AF7D9D">
              <w:rPr>
                <w:rFonts w:eastAsia="Calibri"/>
              </w:rPr>
              <w:t>RP ≥ 7</w:t>
            </w:r>
          </w:p>
        </w:tc>
        <w:tc>
          <w:tcPr>
            <w:tcW w:w="478" w:type="pct"/>
            <w:tcBorders>
              <w:left w:val="nil"/>
              <w:bottom w:val="single" w:sz="4" w:space="0" w:color="auto"/>
              <w:right w:val="nil"/>
            </w:tcBorders>
            <w:vAlign w:val="center"/>
          </w:tcPr>
          <w:p w14:paraId="2052DAB1" w14:textId="77777777" w:rsidR="00FF5C5C" w:rsidRPr="00AF7D9D" w:rsidRDefault="00FF5C5C" w:rsidP="00FF5C5C">
            <w:pPr>
              <w:contextualSpacing/>
              <w:jc w:val="center"/>
              <w:rPr>
                <w:rFonts w:eastAsia="Calibri"/>
                <w:i/>
              </w:rPr>
            </w:pPr>
            <w:r w:rsidRPr="00AF7D9D">
              <w:rPr>
                <w:rFonts w:eastAsia="Calibri"/>
                <w:i/>
              </w:rPr>
              <w:t>z</w:t>
            </w:r>
          </w:p>
        </w:tc>
        <w:tc>
          <w:tcPr>
            <w:tcW w:w="171" w:type="pct"/>
            <w:tcBorders>
              <w:left w:val="nil"/>
              <w:bottom w:val="single" w:sz="4" w:space="0" w:color="auto"/>
              <w:right w:val="nil"/>
            </w:tcBorders>
            <w:vAlign w:val="center"/>
          </w:tcPr>
          <w:p w14:paraId="259C8122" w14:textId="77777777" w:rsidR="00FF5C5C" w:rsidRPr="00AF7D9D" w:rsidRDefault="00FF5C5C" w:rsidP="00FF5C5C">
            <w:pPr>
              <w:contextualSpacing/>
              <w:jc w:val="center"/>
              <w:rPr>
                <w:rFonts w:eastAsia="Calibri"/>
              </w:rPr>
            </w:pPr>
          </w:p>
        </w:tc>
        <w:tc>
          <w:tcPr>
            <w:tcW w:w="477" w:type="pct"/>
            <w:tcBorders>
              <w:left w:val="nil"/>
              <w:bottom w:val="single" w:sz="4" w:space="0" w:color="auto"/>
              <w:right w:val="nil"/>
            </w:tcBorders>
            <w:vAlign w:val="center"/>
          </w:tcPr>
          <w:p w14:paraId="0012BE1C" w14:textId="5B1C7F92" w:rsidR="00FF5C5C" w:rsidRPr="00AF7D9D" w:rsidRDefault="00641C2C" w:rsidP="00FF5C5C">
            <w:pPr>
              <w:contextualSpacing/>
              <w:jc w:val="center"/>
              <w:rPr>
                <w:rFonts w:eastAsia="Calibri"/>
              </w:rPr>
            </w:pPr>
            <w:r w:rsidRPr="00AF7D9D">
              <w:rPr>
                <w:rFonts w:eastAsia="Calibri"/>
              </w:rPr>
              <w:t>DI</w:t>
            </w:r>
            <w:r w:rsidR="00FF5C5C" w:rsidRPr="00AF7D9D">
              <w:rPr>
                <w:rFonts w:eastAsia="Calibri"/>
              </w:rPr>
              <w:t>RP &lt; 8</w:t>
            </w:r>
          </w:p>
        </w:tc>
        <w:tc>
          <w:tcPr>
            <w:tcW w:w="477" w:type="pct"/>
            <w:tcBorders>
              <w:left w:val="nil"/>
              <w:bottom w:val="single" w:sz="4" w:space="0" w:color="auto"/>
              <w:right w:val="nil"/>
            </w:tcBorders>
            <w:vAlign w:val="center"/>
          </w:tcPr>
          <w:p w14:paraId="6A13F9F5" w14:textId="4112D96C" w:rsidR="00FF5C5C" w:rsidRPr="00AF7D9D" w:rsidRDefault="00641C2C" w:rsidP="00FF5C5C">
            <w:pPr>
              <w:contextualSpacing/>
              <w:jc w:val="center"/>
              <w:rPr>
                <w:rFonts w:eastAsia="Calibri"/>
              </w:rPr>
            </w:pPr>
            <w:r w:rsidRPr="00AF7D9D">
              <w:rPr>
                <w:rFonts w:eastAsia="Calibri"/>
              </w:rPr>
              <w:t>DI</w:t>
            </w:r>
            <w:r w:rsidR="00FF5C5C" w:rsidRPr="00AF7D9D">
              <w:rPr>
                <w:rFonts w:eastAsia="Calibri"/>
              </w:rPr>
              <w:t>RP ≥ 8</w:t>
            </w:r>
          </w:p>
        </w:tc>
        <w:tc>
          <w:tcPr>
            <w:tcW w:w="464" w:type="pct"/>
            <w:tcBorders>
              <w:left w:val="nil"/>
              <w:bottom w:val="single" w:sz="4" w:space="0" w:color="auto"/>
              <w:right w:val="nil"/>
            </w:tcBorders>
            <w:vAlign w:val="center"/>
          </w:tcPr>
          <w:p w14:paraId="1B691847" w14:textId="77777777" w:rsidR="00FF5C5C" w:rsidRPr="00AF7D9D" w:rsidRDefault="00FF5C5C" w:rsidP="00FF5C5C">
            <w:pPr>
              <w:contextualSpacing/>
              <w:jc w:val="center"/>
              <w:rPr>
                <w:rFonts w:eastAsia="Calibri"/>
              </w:rPr>
            </w:pPr>
            <w:r w:rsidRPr="00AF7D9D">
              <w:rPr>
                <w:rFonts w:eastAsia="Calibri"/>
                <w:i/>
              </w:rPr>
              <w:t>z</w:t>
            </w:r>
          </w:p>
        </w:tc>
      </w:tr>
      <w:tr w:rsidR="00FF5C5C" w:rsidRPr="00AF7D9D" w14:paraId="74652743" w14:textId="77777777" w:rsidTr="00641C2C">
        <w:trPr>
          <w:trHeight w:val="324"/>
        </w:trPr>
        <w:tc>
          <w:tcPr>
            <w:tcW w:w="1250" w:type="pct"/>
            <w:tcBorders>
              <w:left w:val="nil"/>
              <w:bottom w:val="single" w:sz="4" w:space="0" w:color="auto"/>
              <w:right w:val="nil"/>
            </w:tcBorders>
          </w:tcPr>
          <w:p w14:paraId="72778508" w14:textId="77777777" w:rsidR="00FF5C5C" w:rsidRPr="00AF7D9D" w:rsidRDefault="00FF5C5C" w:rsidP="0032775A">
            <w:pPr>
              <w:contextualSpacing/>
              <w:rPr>
                <w:rFonts w:eastAsia="Calibri"/>
                <w:b/>
                <w:vertAlign w:val="superscript"/>
              </w:rPr>
            </w:pPr>
            <w:r w:rsidRPr="00AF7D9D">
              <w:rPr>
                <w:rFonts w:eastAsia="Calibri"/>
                <w:b/>
              </w:rPr>
              <w:t>1. U.S. Juvenile Justice</w:t>
            </w:r>
          </w:p>
        </w:tc>
        <w:tc>
          <w:tcPr>
            <w:tcW w:w="590" w:type="pct"/>
            <w:tcBorders>
              <w:top w:val="nil"/>
              <w:left w:val="nil"/>
              <w:bottom w:val="single" w:sz="4" w:space="0" w:color="auto"/>
              <w:right w:val="nil"/>
            </w:tcBorders>
            <w:vAlign w:val="center"/>
          </w:tcPr>
          <w:p w14:paraId="6E3772CC" w14:textId="7906F0FF" w:rsidR="00FF5C5C" w:rsidRPr="00AF7D9D" w:rsidRDefault="00FF5C5C" w:rsidP="00FF5C5C">
            <w:pPr>
              <w:contextualSpacing/>
              <w:jc w:val="center"/>
              <w:rPr>
                <w:rFonts w:eastAsia="Calibri"/>
              </w:rPr>
            </w:pPr>
            <w:r w:rsidRPr="00AF7D9D">
              <w:rPr>
                <w:rFonts w:eastAsia="Calibri"/>
                <w:i/>
              </w:rPr>
              <w:t>n</w:t>
            </w:r>
            <w:r w:rsidRPr="00AF7D9D">
              <w:rPr>
                <w:rFonts w:eastAsia="Calibri"/>
              </w:rPr>
              <w:t xml:space="preserve"> = 252</w:t>
            </w:r>
          </w:p>
        </w:tc>
        <w:tc>
          <w:tcPr>
            <w:tcW w:w="139" w:type="pct"/>
            <w:tcBorders>
              <w:top w:val="nil"/>
              <w:left w:val="nil"/>
              <w:bottom w:val="single" w:sz="4" w:space="0" w:color="auto"/>
              <w:right w:val="nil"/>
            </w:tcBorders>
            <w:vAlign w:val="center"/>
          </w:tcPr>
          <w:p w14:paraId="603BF5B7" w14:textId="77777777" w:rsidR="00FF5C5C" w:rsidRPr="00AF7D9D" w:rsidRDefault="00FF5C5C" w:rsidP="00FF5C5C">
            <w:pPr>
              <w:contextualSpacing/>
              <w:jc w:val="center"/>
              <w:rPr>
                <w:rFonts w:eastAsia="Calibri"/>
                <w:i/>
              </w:rPr>
            </w:pPr>
          </w:p>
        </w:tc>
        <w:tc>
          <w:tcPr>
            <w:tcW w:w="477" w:type="pct"/>
            <w:tcBorders>
              <w:top w:val="nil"/>
              <w:left w:val="nil"/>
              <w:bottom w:val="single" w:sz="4" w:space="0" w:color="auto"/>
              <w:right w:val="nil"/>
            </w:tcBorders>
            <w:vAlign w:val="center"/>
          </w:tcPr>
          <w:p w14:paraId="774E6630" w14:textId="77777777" w:rsidR="00FF5C5C" w:rsidRPr="00AF7D9D" w:rsidRDefault="00FF5C5C" w:rsidP="00FF5C5C">
            <w:pPr>
              <w:contextualSpacing/>
              <w:jc w:val="center"/>
              <w:rPr>
                <w:rFonts w:eastAsia="Calibri"/>
              </w:rPr>
            </w:pPr>
            <w:r w:rsidRPr="00AF7D9D">
              <w:rPr>
                <w:rFonts w:eastAsia="Calibri"/>
                <w:i/>
              </w:rPr>
              <w:t>n</w:t>
            </w:r>
            <w:r w:rsidRPr="00AF7D9D">
              <w:rPr>
                <w:rFonts w:eastAsia="Calibri"/>
              </w:rPr>
              <w:t xml:space="preserve"> = 183</w:t>
            </w:r>
          </w:p>
        </w:tc>
        <w:tc>
          <w:tcPr>
            <w:tcW w:w="477" w:type="pct"/>
            <w:tcBorders>
              <w:top w:val="nil"/>
              <w:left w:val="nil"/>
              <w:bottom w:val="single" w:sz="4" w:space="0" w:color="auto"/>
              <w:right w:val="nil"/>
            </w:tcBorders>
            <w:vAlign w:val="center"/>
          </w:tcPr>
          <w:p w14:paraId="15B3312E" w14:textId="77777777" w:rsidR="00FF5C5C" w:rsidRPr="00AF7D9D" w:rsidRDefault="00FF5C5C" w:rsidP="00FF5C5C">
            <w:pPr>
              <w:contextualSpacing/>
              <w:jc w:val="center"/>
              <w:rPr>
                <w:rFonts w:eastAsia="Calibri"/>
              </w:rPr>
            </w:pPr>
            <w:r w:rsidRPr="00AF7D9D">
              <w:rPr>
                <w:rFonts w:eastAsia="Calibri"/>
                <w:i/>
              </w:rPr>
              <w:t>n</w:t>
            </w:r>
            <w:r w:rsidRPr="00AF7D9D">
              <w:rPr>
                <w:rFonts w:eastAsia="Calibri"/>
              </w:rPr>
              <w:t xml:space="preserve"> = 69</w:t>
            </w:r>
          </w:p>
        </w:tc>
        <w:tc>
          <w:tcPr>
            <w:tcW w:w="478" w:type="pct"/>
            <w:tcBorders>
              <w:top w:val="nil"/>
              <w:left w:val="nil"/>
              <w:bottom w:val="single" w:sz="4" w:space="0" w:color="auto"/>
              <w:right w:val="nil"/>
            </w:tcBorders>
            <w:vAlign w:val="center"/>
          </w:tcPr>
          <w:p w14:paraId="1672815D" w14:textId="77777777" w:rsidR="00FF5C5C" w:rsidRPr="00AF7D9D" w:rsidRDefault="00FF5C5C" w:rsidP="00FF5C5C">
            <w:pPr>
              <w:contextualSpacing/>
              <w:jc w:val="center"/>
              <w:rPr>
                <w:rFonts w:eastAsia="Calibri"/>
                <w:i/>
              </w:rPr>
            </w:pPr>
          </w:p>
        </w:tc>
        <w:tc>
          <w:tcPr>
            <w:tcW w:w="171" w:type="pct"/>
            <w:tcBorders>
              <w:top w:val="nil"/>
              <w:left w:val="nil"/>
              <w:bottom w:val="single" w:sz="4" w:space="0" w:color="auto"/>
              <w:right w:val="nil"/>
            </w:tcBorders>
            <w:vAlign w:val="center"/>
          </w:tcPr>
          <w:p w14:paraId="41D9837C" w14:textId="77777777" w:rsidR="00FF5C5C" w:rsidRPr="00AF7D9D" w:rsidRDefault="00FF5C5C" w:rsidP="00FF5C5C">
            <w:pPr>
              <w:contextualSpacing/>
              <w:jc w:val="center"/>
              <w:rPr>
                <w:rFonts w:eastAsia="Calibri"/>
                <w:i/>
              </w:rPr>
            </w:pPr>
          </w:p>
        </w:tc>
        <w:tc>
          <w:tcPr>
            <w:tcW w:w="477" w:type="pct"/>
            <w:tcBorders>
              <w:top w:val="nil"/>
              <w:left w:val="nil"/>
              <w:bottom w:val="single" w:sz="4" w:space="0" w:color="auto"/>
              <w:right w:val="nil"/>
            </w:tcBorders>
            <w:vAlign w:val="center"/>
          </w:tcPr>
          <w:p w14:paraId="5095F673" w14:textId="77777777" w:rsidR="00FF5C5C" w:rsidRPr="00AF7D9D" w:rsidRDefault="00FF5C5C" w:rsidP="00FF5C5C">
            <w:pPr>
              <w:contextualSpacing/>
              <w:jc w:val="center"/>
              <w:rPr>
                <w:rFonts w:eastAsia="Calibri"/>
              </w:rPr>
            </w:pPr>
            <w:r w:rsidRPr="00AF7D9D">
              <w:rPr>
                <w:rFonts w:eastAsia="Calibri"/>
                <w:i/>
              </w:rPr>
              <w:t>n</w:t>
            </w:r>
            <w:r w:rsidRPr="00AF7D9D">
              <w:rPr>
                <w:rFonts w:eastAsia="Calibri"/>
              </w:rPr>
              <w:t xml:space="preserve"> = 219</w:t>
            </w:r>
          </w:p>
        </w:tc>
        <w:tc>
          <w:tcPr>
            <w:tcW w:w="477" w:type="pct"/>
            <w:tcBorders>
              <w:top w:val="nil"/>
              <w:left w:val="nil"/>
              <w:bottom w:val="single" w:sz="4" w:space="0" w:color="auto"/>
              <w:right w:val="nil"/>
            </w:tcBorders>
            <w:vAlign w:val="center"/>
          </w:tcPr>
          <w:p w14:paraId="241C81C8" w14:textId="77777777" w:rsidR="00FF5C5C" w:rsidRPr="00AF7D9D" w:rsidRDefault="00FF5C5C" w:rsidP="00FF5C5C">
            <w:pPr>
              <w:contextualSpacing/>
              <w:jc w:val="center"/>
              <w:rPr>
                <w:rFonts w:eastAsia="Calibri"/>
              </w:rPr>
            </w:pPr>
            <w:r w:rsidRPr="00AF7D9D">
              <w:rPr>
                <w:rFonts w:eastAsia="Calibri"/>
                <w:i/>
              </w:rPr>
              <w:t>n</w:t>
            </w:r>
            <w:r w:rsidRPr="00AF7D9D">
              <w:rPr>
                <w:rFonts w:eastAsia="Calibri"/>
              </w:rPr>
              <w:t xml:space="preserve"> = 33</w:t>
            </w:r>
          </w:p>
        </w:tc>
        <w:tc>
          <w:tcPr>
            <w:tcW w:w="464" w:type="pct"/>
            <w:tcBorders>
              <w:top w:val="nil"/>
              <w:left w:val="nil"/>
              <w:bottom w:val="single" w:sz="4" w:space="0" w:color="auto"/>
              <w:right w:val="nil"/>
            </w:tcBorders>
            <w:vAlign w:val="center"/>
          </w:tcPr>
          <w:p w14:paraId="74AB8DA0" w14:textId="77777777" w:rsidR="00FF5C5C" w:rsidRPr="00AF7D9D" w:rsidRDefault="00FF5C5C" w:rsidP="00FF5C5C">
            <w:pPr>
              <w:contextualSpacing/>
              <w:jc w:val="center"/>
              <w:rPr>
                <w:rFonts w:eastAsia="Calibri"/>
                <w:i/>
              </w:rPr>
            </w:pPr>
          </w:p>
        </w:tc>
      </w:tr>
      <w:tr w:rsidR="00FF5C5C" w:rsidRPr="00AF7D9D" w14:paraId="350754FA" w14:textId="77777777" w:rsidTr="00641C2C">
        <w:trPr>
          <w:trHeight w:val="324"/>
        </w:trPr>
        <w:tc>
          <w:tcPr>
            <w:tcW w:w="1250" w:type="pct"/>
            <w:tcBorders>
              <w:top w:val="single" w:sz="4" w:space="0" w:color="auto"/>
              <w:left w:val="nil"/>
              <w:bottom w:val="nil"/>
              <w:right w:val="nil"/>
            </w:tcBorders>
          </w:tcPr>
          <w:p w14:paraId="67A02428" w14:textId="77777777" w:rsidR="00FF5C5C" w:rsidRPr="00AF7D9D" w:rsidRDefault="00FF5C5C" w:rsidP="0032775A">
            <w:pPr>
              <w:contextualSpacing/>
              <w:rPr>
                <w:rFonts w:eastAsia="Calibri"/>
                <w:b/>
              </w:rPr>
            </w:pPr>
            <w:r w:rsidRPr="00AF7D9D">
              <w:rPr>
                <w:rFonts w:eastAsia="Calibri"/>
                <w:b/>
              </w:rPr>
              <w:t xml:space="preserve">   </w:t>
            </w:r>
            <w:r w:rsidRPr="00AF7D9D">
              <w:rPr>
                <w:rFonts w:eastAsia="Calibri"/>
              </w:rPr>
              <w:t>MAYSI-2 Alcohol/Drug Use</w:t>
            </w:r>
          </w:p>
        </w:tc>
        <w:tc>
          <w:tcPr>
            <w:tcW w:w="590" w:type="pct"/>
            <w:tcBorders>
              <w:top w:val="single" w:sz="4" w:space="0" w:color="auto"/>
              <w:left w:val="nil"/>
              <w:bottom w:val="nil"/>
              <w:right w:val="nil"/>
            </w:tcBorders>
            <w:vAlign w:val="center"/>
          </w:tcPr>
          <w:p w14:paraId="05980540" w14:textId="77777777" w:rsidR="00FF5C5C" w:rsidRPr="00AF7D9D" w:rsidRDefault="00FF5C5C" w:rsidP="00FF5C5C">
            <w:pPr>
              <w:contextualSpacing/>
              <w:jc w:val="center"/>
              <w:rPr>
                <w:rFonts w:eastAsia="Calibri"/>
              </w:rPr>
            </w:pPr>
            <w:r w:rsidRPr="00AF7D9D">
              <w:rPr>
                <w:rFonts w:eastAsia="Calibri"/>
              </w:rPr>
              <w:t>.27**</w:t>
            </w:r>
          </w:p>
        </w:tc>
        <w:tc>
          <w:tcPr>
            <w:tcW w:w="139" w:type="pct"/>
            <w:tcBorders>
              <w:top w:val="single" w:sz="4" w:space="0" w:color="auto"/>
              <w:left w:val="nil"/>
              <w:bottom w:val="nil"/>
              <w:right w:val="nil"/>
            </w:tcBorders>
            <w:vAlign w:val="center"/>
          </w:tcPr>
          <w:p w14:paraId="340E1F40" w14:textId="77777777" w:rsidR="00FF5C5C" w:rsidRPr="00AF7D9D" w:rsidRDefault="00FF5C5C" w:rsidP="00FF5C5C">
            <w:pPr>
              <w:contextualSpacing/>
              <w:jc w:val="center"/>
              <w:rPr>
                <w:rFonts w:eastAsia="Calibri"/>
              </w:rPr>
            </w:pPr>
          </w:p>
        </w:tc>
        <w:tc>
          <w:tcPr>
            <w:tcW w:w="477" w:type="pct"/>
            <w:tcBorders>
              <w:top w:val="single" w:sz="4" w:space="0" w:color="auto"/>
              <w:left w:val="nil"/>
              <w:bottom w:val="nil"/>
              <w:right w:val="nil"/>
            </w:tcBorders>
            <w:vAlign w:val="center"/>
          </w:tcPr>
          <w:p w14:paraId="1CD19A2B" w14:textId="77777777" w:rsidR="00FF5C5C" w:rsidRPr="00AF7D9D" w:rsidRDefault="00FF5C5C" w:rsidP="00FF5C5C">
            <w:pPr>
              <w:contextualSpacing/>
              <w:jc w:val="center"/>
              <w:rPr>
                <w:rFonts w:eastAsia="Calibri"/>
              </w:rPr>
            </w:pPr>
            <w:r w:rsidRPr="00AF7D9D">
              <w:rPr>
                <w:rFonts w:eastAsia="Calibri"/>
              </w:rPr>
              <w:t>.30**</w:t>
            </w:r>
          </w:p>
        </w:tc>
        <w:tc>
          <w:tcPr>
            <w:tcW w:w="477" w:type="pct"/>
            <w:tcBorders>
              <w:top w:val="single" w:sz="4" w:space="0" w:color="auto"/>
              <w:left w:val="nil"/>
              <w:bottom w:val="nil"/>
              <w:right w:val="nil"/>
            </w:tcBorders>
            <w:vAlign w:val="center"/>
          </w:tcPr>
          <w:p w14:paraId="301414C6" w14:textId="77777777" w:rsidR="00FF5C5C" w:rsidRPr="00AF7D9D" w:rsidRDefault="00FF5C5C" w:rsidP="00FF5C5C">
            <w:pPr>
              <w:contextualSpacing/>
              <w:jc w:val="center"/>
              <w:rPr>
                <w:rFonts w:eastAsia="Calibri"/>
              </w:rPr>
            </w:pPr>
            <w:r w:rsidRPr="00AF7D9D">
              <w:rPr>
                <w:rFonts w:eastAsia="Calibri"/>
              </w:rPr>
              <w:t>.23</w:t>
            </w:r>
          </w:p>
        </w:tc>
        <w:tc>
          <w:tcPr>
            <w:tcW w:w="478" w:type="pct"/>
            <w:tcBorders>
              <w:top w:val="single" w:sz="4" w:space="0" w:color="auto"/>
              <w:left w:val="nil"/>
              <w:bottom w:val="nil"/>
              <w:right w:val="nil"/>
            </w:tcBorders>
            <w:vAlign w:val="center"/>
          </w:tcPr>
          <w:p w14:paraId="0D6DCFC4" w14:textId="77777777" w:rsidR="00FF5C5C" w:rsidRPr="00AF7D9D" w:rsidRDefault="00FF5C5C" w:rsidP="00FF5C5C">
            <w:pPr>
              <w:contextualSpacing/>
              <w:jc w:val="center"/>
              <w:rPr>
                <w:rFonts w:eastAsia="Calibri"/>
              </w:rPr>
            </w:pPr>
            <w:r w:rsidRPr="00AF7D9D">
              <w:rPr>
                <w:rFonts w:eastAsia="Calibri"/>
              </w:rPr>
              <w:t>.52</w:t>
            </w:r>
          </w:p>
        </w:tc>
        <w:tc>
          <w:tcPr>
            <w:tcW w:w="171" w:type="pct"/>
            <w:tcBorders>
              <w:top w:val="single" w:sz="4" w:space="0" w:color="auto"/>
              <w:left w:val="nil"/>
              <w:bottom w:val="nil"/>
              <w:right w:val="nil"/>
            </w:tcBorders>
            <w:vAlign w:val="center"/>
          </w:tcPr>
          <w:p w14:paraId="48C851E4" w14:textId="77777777" w:rsidR="00FF5C5C" w:rsidRPr="00AF7D9D" w:rsidRDefault="00FF5C5C" w:rsidP="00FF5C5C">
            <w:pPr>
              <w:contextualSpacing/>
              <w:jc w:val="center"/>
              <w:rPr>
                <w:rFonts w:eastAsia="Calibri"/>
              </w:rPr>
            </w:pPr>
          </w:p>
        </w:tc>
        <w:tc>
          <w:tcPr>
            <w:tcW w:w="477" w:type="pct"/>
            <w:tcBorders>
              <w:top w:val="single" w:sz="4" w:space="0" w:color="auto"/>
              <w:left w:val="nil"/>
              <w:bottom w:val="nil"/>
              <w:right w:val="nil"/>
            </w:tcBorders>
            <w:vAlign w:val="center"/>
          </w:tcPr>
          <w:p w14:paraId="47FA80CD" w14:textId="77777777" w:rsidR="00FF5C5C" w:rsidRPr="00AF7D9D" w:rsidRDefault="00FF5C5C" w:rsidP="00FF5C5C">
            <w:pPr>
              <w:contextualSpacing/>
              <w:jc w:val="center"/>
              <w:rPr>
                <w:rFonts w:eastAsia="Calibri"/>
              </w:rPr>
            </w:pPr>
            <w:r w:rsidRPr="00AF7D9D">
              <w:rPr>
                <w:rFonts w:eastAsia="Calibri"/>
              </w:rPr>
              <w:t>.27**</w:t>
            </w:r>
          </w:p>
        </w:tc>
        <w:tc>
          <w:tcPr>
            <w:tcW w:w="477" w:type="pct"/>
            <w:tcBorders>
              <w:top w:val="single" w:sz="4" w:space="0" w:color="auto"/>
              <w:left w:val="nil"/>
              <w:bottom w:val="nil"/>
              <w:right w:val="nil"/>
            </w:tcBorders>
            <w:vAlign w:val="center"/>
          </w:tcPr>
          <w:p w14:paraId="702C24AB" w14:textId="77777777" w:rsidR="00FF5C5C" w:rsidRPr="00AF7D9D" w:rsidRDefault="00FF5C5C" w:rsidP="00FF5C5C">
            <w:pPr>
              <w:contextualSpacing/>
              <w:jc w:val="center"/>
              <w:rPr>
                <w:rFonts w:eastAsia="Calibri"/>
              </w:rPr>
            </w:pPr>
            <w:r w:rsidRPr="00AF7D9D">
              <w:rPr>
                <w:rFonts w:eastAsia="Calibri"/>
              </w:rPr>
              <w:t>.32</w:t>
            </w:r>
          </w:p>
        </w:tc>
        <w:tc>
          <w:tcPr>
            <w:tcW w:w="464" w:type="pct"/>
            <w:tcBorders>
              <w:top w:val="single" w:sz="4" w:space="0" w:color="auto"/>
              <w:left w:val="nil"/>
              <w:bottom w:val="nil"/>
              <w:right w:val="nil"/>
            </w:tcBorders>
            <w:vAlign w:val="center"/>
          </w:tcPr>
          <w:p w14:paraId="6887990C" w14:textId="77777777" w:rsidR="00FF5C5C" w:rsidRPr="00AF7D9D" w:rsidRDefault="00FF5C5C" w:rsidP="00FF5C5C">
            <w:pPr>
              <w:contextualSpacing/>
              <w:jc w:val="center"/>
              <w:rPr>
                <w:rFonts w:eastAsia="Calibri"/>
              </w:rPr>
            </w:pPr>
            <w:r w:rsidRPr="00AF7D9D">
              <w:rPr>
                <w:rFonts w:eastAsia="Calibri"/>
              </w:rPr>
              <w:t>-.28</w:t>
            </w:r>
          </w:p>
        </w:tc>
      </w:tr>
      <w:tr w:rsidR="00FF5C5C" w:rsidRPr="00AF7D9D" w14:paraId="1CC625AA" w14:textId="77777777" w:rsidTr="00641C2C">
        <w:trPr>
          <w:trHeight w:val="324"/>
        </w:trPr>
        <w:tc>
          <w:tcPr>
            <w:tcW w:w="1250" w:type="pct"/>
            <w:tcBorders>
              <w:top w:val="nil"/>
              <w:left w:val="nil"/>
              <w:bottom w:val="nil"/>
              <w:right w:val="nil"/>
            </w:tcBorders>
          </w:tcPr>
          <w:p w14:paraId="7553B8B5" w14:textId="77777777" w:rsidR="00FF5C5C" w:rsidRPr="00AF7D9D" w:rsidRDefault="00FF5C5C" w:rsidP="0032775A">
            <w:pPr>
              <w:contextualSpacing/>
              <w:rPr>
                <w:rFonts w:eastAsia="Calibri"/>
              </w:rPr>
            </w:pPr>
            <w:r w:rsidRPr="00AF7D9D">
              <w:rPr>
                <w:rFonts w:eastAsia="Calibri"/>
                <w:b/>
              </w:rPr>
              <w:t xml:space="preserve">   </w:t>
            </w:r>
            <w:r w:rsidRPr="00AF7D9D">
              <w:rPr>
                <w:rFonts w:eastAsia="Calibri"/>
              </w:rPr>
              <w:t>MAYSI-2 Angry-Irritable</w:t>
            </w:r>
          </w:p>
        </w:tc>
        <w:tc>
          <w:tcPr>
            <w:tcW w:w="590" w:type="pct"/>
            <w:tcBorders>
              <w:top w:val="nil"/>
              <w:left w:val="nil"/>
              <w:bottom w:val="nil"/>
              <w:right w:val="nil"/>
            </w:tcBorders>
            <w:vAlign w:val="center"/>
          </w:tcPr>
          <w:p w14:paraId="27E1F94F" w14:textId="77777777" w:rsidR="00FF5C5C" w:rsidRPr="00AF7D9D" w:rsidRDefault="00FF5C5C" w:rsidP="00FF5C5C">
            <w:pPr>
              <w:contextualSpacing/>
              <w:jc w:val="center"/>
              <w:rPr>
                <w:rFonts w:eastAsia="Calibri"/>
              </w:rPr>
            </w:pPr>
            <w:r w:rsidRPr="00AF7D9D">
              <w:rPr>
                <w:rFonts w:eastAsia="Calibri"/>
              </w:rPr>
              <w:t>.31**</w:t>
            </w:r>
          </w:p>
        </w:tc>
        <w:tc>
          <w:tcPr>
            <w:tcW w:w="139" w:type="pct"/>
            <w:tcBorders>
              <w:top w:val="nil"/>
              <w:left w:val="nil"/>
              <w:bottom w:val="nil"/>
              <w:right w:val="nil"/>
            </w:tcBorders>
            <w:vAlign w:val="center"/>
          </w:tcPr>
          <w:p w14:paraId="2326016D" w14:textId="77777777" w:rsidR="00FF5C5C" w:rsidRPr="00AF7D9D" w:rsidRDefault="00FF5C5C" w:rsidP="00FF5C5C">
            <w:pPr>
              <w:contextualSpacing/>
              <w:jc w:val="center"/>
              <w:rPr>
                <w:rFonts w:eastAsia="Calibri"/>
              </w:rPr>
            </w:pPr>
          </w:p>
        </w:tc>
        <w:tc>
          <w:tcPr>
            <w:tcW w:w="477" w:type="pct"/>
            <w:tcBorders>
              <w:top w:val="nil"/>
              <w:left w:val="nil"/>
              <w:bottom w:val="nil"/>
              <w:right w:val="nil"/>
            </w:tcBorders>
            <w:vAlign w:val="center"/>
          </w:tcPr>
          <w:p w14:paraId="04116F25" w14:textId="77777777" w:rsidR="00FF5C5C" w:rsidRPr="00AF7D9D" w:rsidRDefault="00FF5C5C" w:rsidP="00FF5C5C">
            <w:pPr>
              <w:contextualSpacing/>
              <w:jc w:val="center"/>
              <w:rPr>
                <w:rFonts w:eastAsia="Calibri"/>
              </w:rPr>
            </w:pPr>
            <w:r w:rsidRPr="00AF7D9D">
              <w:rPr>
                <w:rFonts w:eastAsia="Calibri"/>
              </w:rPr>
              <w:t>.35**</w:t>
            </w:r>
          </w:p>
        </w:tc>
        <w:tc>
          <w:tcPr>
            <w:tcW w:w="477" w:type="pct"/>
            <w:tcBorders>
              <w:top w:val="nil"/>
              <w:left w:val="nil"/>
              <w:bottom w:val="nil"/>
              <w:right w:val="nil"/>
            </w:tcBorders>
            <w:vAlign w:val="center"/>
          </w:tcPr>
          <w:p w14:paraId="2BE188ED" w14:textId="77777777" w:rsidR="00FF5C5C" w:rsidRPr="00AF7D9D" w:rsidRDefault="00FF5C5C" w:rsidP="00FF5C5C">
            <w:pPr>
              <w:contextualSpacing/>
              <w:jc w:val="center"/>
              <w:rPr>
                <w:rFonts w:eastAsia="Calibri"/>
              </w:rPr>
            </w:pPr>
            <w:r w:rsidRPr="00AF7D9D">
              <w:rPr>
                <w:rFonts w:eastAsia="Calibri"/>
              </w:rPr>
              <w:t>.08</w:t>
            </w:r>
          </w:p>
        </w:tc>
        <w:tc>
          <w:tcPr>
            <w:tcW w:w="478" w:type="pct"/>
            <w:tcBorders>
              <w:top w:val="nil"/>
              <w:left w:val="nil"/>
              <w:bottom w:val="nil"/>
              <w:right w:val="nil"/>
            </w:tcBorders>
            <w:vAlign w:val="center"/>
          </w:tcPr>
          <w:p w14:paraId="064EC591" w14:textId="77777777" w:rsidR="00FF5C5C" w:rsidRPr="00AF7D9D" w:rsidRDefault="00FF5C5C" w:rsidP="00FF5C5C">
            <w:pPr>
              <w:contextualSpacing/>
              <w:jc w:val="center"/>
              <w:rPr>
                <w:rFonts w:eastAsia="Calibri"/>
              </w:rPr>
            </w:pPr>
            <w:r w:rsidRPr="00AF7D9D">
              <w:rPr>
                <w:rFonts w:eastAsia="Calibri"/>
              </w:rPr>
              <w:t>1.98*</w:t>
            </w:r>
          </w:p>
        </w:tc>
        <w:tc>
          <w:tcPr>
            <w:tcW w:w="171" w:type="pct"/>
            <w:tcBorders>
              <w:top w:val="nil"/>
              <w:left w:val="nil"/>
              <w:bottom w:val="nil"/>
              <w:right w:val="nil"/>
            </w:tcBorders>
            <w:vAlign w:val="center"/>
          </w:tcPr>
          <w:p w14:paraId="16FDFA82" w14:textId="77777777" w:rsidR="00FF5C5C" w:rsidRPr="00AF7D9D" w:rsidRDefault="00FF5C5C" w:rsidP="00FF5C5C">
            <w:pPr>
              <w:contextualSpacing/>
              <w:jc w:val="center"/>
              <w:rPr>
                <w:rFonts w:eastAsia="Calibri"/>
              </w:rPr>
            </w:pPr>
          </w:p>
        </w:tc>
        <w:tc>
          <w:tcPr>
            <w:tcW w:w="477" w:type="pct"/>
            <w:tcBorders>
              <w:top w:val="nil"/>
              <w:left w:val="nil"/>
              <w:bottom w:val="nil"/>
              <w:right w:val="nil"/>
            </w:tcBorders>
            <w:vAlign w:val="center"/>
          </w:tcPr>
          <w:p w14:paraId="288014DC" w14:textId="77777777" w:rsidR="00FF5C5C" w:rsidRPr="00AF7D9D" w:rsidRDefault="00FF5C5C" w:rsidP="00FF5C5C">
            <w:pPr>
              <w:contextualSpacing/>
              <w:jc w:val="center"/>
              <w:rPr>
                <w:rFonts w:eastAsia="Calibri"/>
              </w:rPr>
            </w:pPr>
            <w:r w:rsidRPr="00AF7D9D">
              <w:rPr>
                <w:rFonts w:eastAsia="Calibri"/>
              </w:rPr>
              <w:t>.32**</w:t>
            </w:r>
          </w:p>
        </w:tc>
        <w:tc>
          <w:tcPr>
            <w:tcW w:w="477" w:type="pct"/>
            <w:tcBorders>
              <w:top w:val="nil"/>
              <w:left w:val="nil"/>
              <w:bottom w:val="nil"/>
              <w:right w:val="nil"/>
            </w:tcBorders>
            <w:vAlign w:val="center"/>
          </w:tcPr>
          <w:p w14:paraId="54AD0846" w14:textId="77777777" w:rsidR="00FF5C5C" w:rsidRPr="00AF7D9D" w:rsidRDefault="00FF5C5C" w:rsidP="00FF5C5C">
            <w:pPr>
              <w:contextualSpacing/>
              <w:jc w:val="center"/>
              <w:rPr>
                <w:rFonts w:eastAsia="Calibri"/>
              </w:rPr>
            </w:pPr>
            <w:r w:rsidRPr="00AF7D9D">
              <w:rPr>
                <w:rFonts w:eastAsia="Calibri"/>
              </w:rPr>
              <w:t>.19</w:t>
            </w:r>
          </w:p>
        </w:tc>
        <w:tc>
          <w:tcPr>
            <w:tcW w:w="464" w:type="pct"/>
            <w:tcBorders>
              <w:top w:val="nil"/>
              <w:left w:val="nil"/>
              <w:bottom w:val="nil"/>
              <w:right w:val="nil"/>
            </w:tcBorders>
            <w:vAlign w:val="center"/>
          </w:tcPr>
          <w:p w14:paraId="0D2342CB" w14:textId="77777777" w:rsidR="00FF5C5C" w:rsidRPr="00AF7D9D" w:rsidRDefault="00FF5C5C" w:rsidP="00FF5C5C">
            <w:pPr>
              <w:contextualSpacing/>
              <w:jc w:val="center"/>
              <w:rPr>
                <w:rFonts w:eastAsia="Calibri"/>
              </w:rPr>
            </w:pPr>
            <w:r w:rsidRPr="00AF7D9D">
              <w:rPr>
                <w:rFonts w:eastAsia="Calibri"/>
              </w:rPr>
              <w:t>.71</w:t>
            </w:r>
          </w:p>
        </w:tc>
      </w:tr>
      <w:tr w:rsidR="00FF5C5C" w:rsidRPr="00AF7D9D" w14:paraId="0A1623ED" w14:textId="77777777" w:rsidTr="00641C2C">
        <w:trPr>
          <w:trHeight w:val="324"/>
        </w:trPr>
        <w:tc>
          <w:tcPr>
            <w:tcW w:w="1250" w:type="pct"/>
            <w:tcBorders>
              <w:top w:val="nil"/>
              <w:left w:val="nil"/>
              <w:bottom w:val="nil"/>
              <w:right w:val="nil"/>
            </w:tcBorders>
          </w:tcPr>
          <w:p w14:paraId="789F9BE8" w14:textId="77777777" w:rsidR="00FF5C5C" w:rsidRPr="00AF7D9D" w:rsidRDefault="00FF5C5C" w:rsidP="0032775A">
            <w:pPr>
              <w:contextualSpacing/>
              <w:rPr>
                <w:rFonts w:eastAsia="Calibri"/>
              </w:rPr>
            </w:pPr>
            <w:r w:rsidRPr="00AF7D9D">
              <w:rPr>
                <w:rFonts w:eastAsia="Calibri"/>
                <w:b/>
              </w:rPr>
              <w:t xml:space="preserve">   </w:t>
            </w:r>
            <w:r w:rsidRPr="00AF7D9D">
              <w:rPr>
                <w:rFonts w:eastAsia="Calibri"/>
              </w:rPr>
              <w:t>Self-Report of Delinquency</w:t>
            </w:r>
          </w:p>
        </w:tc>
        <w:tc>
          <w:tcPr>
            <w:tcW w:w="590" w:type="pct"/>
            <w:tcBorders>
              <w:top w:val="nil"/>
              <w:left w:val="nil"/>
              <w:bottom w:val="nil"/>
              <w:right w:val="nil"/>
            </w:tcBorders>
            <w:vAlign w:val="center"/>
          </w:tcPr>
          <w:p w14:paraId="1E2D197B" w14:textId="1A5856A8" w:rsidR="00FF5C5C" w:rsidRPr="00AF7D9D" w:rsidRDefault="00FF5C5C" w:rsidP="00FF5C5C">
            <w:pPr>
              <w:contextualSpacing/>
              <w:jc w:val="center"/>
              <w:rPr>
                <w:rFonts w:eastAsia="Calibri"/>
              </w:rPr>
            </w:pPr>
            <w:r w:rsidRPr="00AF7D9D">
              <w:rPr>
                <w:rFonts w:eastAsia="Calibri"/>
              </w:rPr>
              <w:t>.34**</w:t>
            </w:r>
          </w:p>
        </w:tc>
        <w:tc>
          <w:tcPr>
            <w:tcW w:w="139" w:type="pct"/>
            <w:tcBorders>
              <w:top w:val="nil"/>
              <w:left w:val="nil"/>
              <w:bottom w:val="nil"/>
              <w:right w:val="nil"/>
            </w:tcBorders>
            <w:vAlign w:val="center"/>
          </w:tcPr>
          <w:p w14:paraId="43374373" w14:textId="77777777" w:rsidR="00FF5C5C" w:rsidRPr="00AF7D9D" w:rsidRDefault="00FF5C5C" w:rsidP="00FF5C5C">
            <w:pPr>
              <w:contextualSpacing/>
              <w:jc w:val="center"/>
              <w:rPr>
                <w:rFonts w:eastAsia="Calibri"/>
              </w:rPr>
            </w:pPr>
          </w:p>
        </w:tc>
        <w:tc>
          <w:tcPr>
            <w:tcW w:w="477" w:type="pct"/>
            <w:tcBorders>
              <w:top w:val="nil"/>
              <w:left w:val="nil"/>
              <w:bottom w:val="nil"/>
              <w:right w:val="nil"/>
            </w:tcBorders>
            <w:vAlign w:val="center"/>
          </w:tcPr>
          <w:p w14:paraId="3A235C5C" w14:textId="77777777" w:rsidR="00FF5C5C" w:rsidRPr="00AF7D9D" w:rsidRDefault="00FF5C5C" w:rsidP="00FF5C5C">
            <w:pPr>
              <w:contextualSpacing/>
              <w:jc w:val="center"/>
              <w:rPr>
                <w:rFonts w:eastAsia="Calibri"/>
              </w:rPr>
            </w:pPr>
            <w:r w:rsidRPr="00AF7D9D">
              <w:rPr>
                <w:rFonts w:eastAsia="Calibri"/>
              </w:rPr>
              <w:t>.35**</w:t>
            </w:r>
          </w:p>
        </w:tc>
        <w:tc>
          <w:tcPr>
            <w:tcW w:w="477" w:type="pct"/>
            <w:tcBorders>
              <w:top w:val="nil"/>
              <w:left w:val="nil"/>
              <w:bottom w:val="nil"/>
              <w:right w:val="nil"/>
            </w:tcBorders>
            <w:vAlign w:val="center"/>
          </w:tcPr>
          <w:p w14:paraId="799AF721" w14:textId="77777777" w:rsidR="00FF5C5C" w:rsidRPr="00AF7D9D" w:rsidRDefault="00FF5C5C" w:rsidP="00FF5C5C">
            <w:pPr>
              <w:contextualSpacing/>
              <w:jc w:val="center"/>
              <w:rPr>
                <w:rFonts w:eastAsia="Calibri"/>
              </w:rPr>
            </w:pPr>
            <w:r w:rsidRPr="00AF7D9D">
              <w:rPr>
                <w:rFonts w:eastAsia="Calibri"/>
              </w:rPr>
              <w:t>.22</w:t>
            </w:r>
          </w:p>
        </w:tc>
        <w:tc>
          <w:tcPr>
            <w:tcW w:w="478" w:type="pct"/>
            <w:tcBorders>
              <w:top w:val="nil"/>
              <w:left w:val="nil"/>
              <w:bottom w:val="nil"/>
              <w:right w:val="nil"/>
            </w:tcBorders>
            <w:vAlign w:val="center"/>
          </w:tcPr>
          <w:p w14:paraId="4907B8A8" w14:textId="77777777" w:rsidR="00FF5C5C" w:rsidRPr="00AF7D9D" w:rsidRDefault="00FF5C5C" w:rsidP="00FF5C5C">
            <w:pPr>
              <w:contextualSpacing/>
              <w:jc w:val="center"/>
              <w:rPr>
                <w:rFonts w:eastAsia="Calibri"/>
              </w:rPr>
            </w:pPr>
            <w:r w:rsidRPr="00AF7D9D">
              <w:rPr>
                <w:rFonts w:eastAsia="Calibri"/>
              </w:rPr>
              <w:t>.99</w:t>
            </w:r>
          </w:p>
        </w:tc>
        <w:tc>
          <w:tcPr>
            <w:tcW w:w="171" w:type="pct"/>
            <w:tcBorders>
              <w:top w:val="nil"/>
              <w:left w:val="nil"/>
              <w:bottom w:val="nil"/>
              <w:right w:val="nil"/>
            </w:tcBorders>
            <w:vAlign w:val="center"/>
          </w:tcPr>
          <w:p w14:paraId="4843CEB0" w14:textId="77777777" w:rsidR="00FF5C5C" w:rsidRPr="00AF7D9D" w:rsidRDefault="00FF5C5C" w:rsidP="00FF5C5C">
            <w:pPr>
              <w:contextualSpacing/>
              <w:jc w:val="center"/>
              <w:rPr>
                <w:rFonts w:eastAsia="Calibri"/>
              </w:rPr>
            </w:pPr>
          </w:p>
        </w:tc>
        <w:tc>
          <w:tcPr>
            <w:tcW w:w="477" w:type="pct"/>
            <w:tcBorders>
              <w:top w:val="nil"/>
              <w:left w:val="nil"/>
              <w:bottom w:val="nil"/>
              <w:right w:val="nil"/>
            </w:tcBorders>
            <w:vAlign w:val="center"/>
          </w:tcPr>
          <w:p w14:paraId="6C5CFE9E" w14:textId="77777777" w:rsidR="00FF5C5C" w:rsidRPr="00AF7D9D" w:rsidRDefault="00FF5C5C" w:rsidP="00FF5C5C">
            <w:pPr>
              <w:contextualSpacing/>
              <w:jc w:val="center"/>
              <w:rPr>
                <w:rFonts w:eastAsia="Calibri"/>
              </w:rPr>
            </w:pPr>
            <w:r w:rsidRPr="00AF7D9D">
              <w:rPr>
                <w:rFonts w:eastAsia="Calibri"/>
              </w:rPr>
              <w:t>.32**</w:t>
            </w:r>
          </w:p>
        </w:tc>
        <w:tc>
          <w:tcPr>
            <w:tcW w:w="477" w:type="pct"/>
            <w:tcBorders>
              <w:top w:val="nil"/>
              <w:left w:val="nil"/>
              <w:bottom w:val="nil"/>
              <w:right w:val="nil"/>
            </w:tcBorders>
            <w:vAlign w:val="center"/>
          </w:tcPr>
          <w:p w14:paraId="46A0D495" w14:textId="77777777" w:rsidR="00FF5C5C" w:rsidRPr="00AF7D9D" w:rsidRDefault="00FF5C5C" w:rsidP="00FF5C5C">
            <w:pPr>
              <w:contextualSpacing/>
              <w:jc w:val="center"/>
              <w:rPr>
                <w:rFonts w:eastAsia="Calibri"/>
              </w:rPr>
            </w:pPr>
            <w:r w:rsidRPr="00AF7D9D">
              <w:rPr>
                <w:rFonts w:eastAsia="Calibri"/>
              </w:rPr>
              <w:t>.20</w:t>
            </w:r>
          </w:p>
        </w:tc>
        <w:tc>
          <w:tcPr>
            <w:tcW w:w="464" w:type="pct"/>
            <w:tcBorders>
              <w:top w:val="nil"/>
              <w:left w:val="nil"/>
              <w:bottom w:val="nil"/>
              <w:right w:val="nil"/>
            </w:tcBorders>
            <w:vAlign w:val="center"/>
          </w:tcPr>
          <w:p w14:paraId="2308223C" w14:textId="77777777" w:rsidR="00FF5C5C" w:rsidRPr="00AF7D9D" w:rsidRDefault="00FF5C5C" w:rsidP="00FF5C5C">
            <w:pPr>
              <w:contextualSpacing/>
              <w:jc w:val="center"/>
              <w:rPr>
                <w:rFonts w:eastAsia="Calibri"/>
              </w:rPr>
            </w:pPr>
            <w:r w:rsidRPr="00AF7D9D">
              <w:rPr>
                <w:rFonts w:eastAsia="Calibri"/>
              </w:rPr>
              <w:t>.66</w:t>
            </w:r>
          </w:p>
        </w:tc>
      </w:tr>
      <w:tr w:rsidR="00FF5C5C" w:rsidRPr="00AF7D9D" w14:paraId="4A3807D9" w14:textId="77777777" w:rsidTr="00641C2C">
        <w:trPr>
          <w:trHeight w:val="324"/>
        </w:trPr>
        <w:tc>
          <w:tcPr>
            <w:tcW w:w="1250" w:type="pct"/>
            <w:tcBorders>
              <w:top w:val="nil"/>
              <w:left w:val="nil"/>
              <w:bottom w:val="nil"/>
              <w:right w:val="nil"/>
            </w:tcBorders>
          </w:tcPr>
          <w:p w14:paraId="0E6D038F" w14:textId="77777777" w:rsidR="00FF5C5C" w:rsidRPr="00AF7D9D" w:rsidRDefault="00FF5C5C" w:rsidP="0032775A">
            <w:pPr>
              <w:contextualSpacing/>
              <w:rPr>
                <w:rFonts w:eastAsia="Calibri"/>
              </w:rPr>
            </w:pPr>
            <w:r w:rsidRPr="00AF7D9D">
              <w:rPr>
                <w:rFonts w:eastAsia="Calibri"/>
                <w:b/>
              </w:rPr>
              <w:t xml:space="preserve">   </w:t>
            </w:r>
            <w:r w:rsidRPr="00AF7D9D">
              <w:rPr>
                <w:rFonts w:eastAsia="Calibri"/>
              </w:rPr>
              <w:t xml:space="preserve">Moral Disengagement </w:t>
            </w:r>
          </w:p>
        </w:tc>
        <w:tc>
          <w:tcPr>
            <w:tcW w:w="590" w:type="pct"/>
            <w:tcBorders>
              <w:top w:val="nil"/>
              <w:left w:val="nil"/>
              <w:bottom w:val="nil"/>
              <w:right w:val="nil"/>
            </w:tcBorders>
            <w:vAlign w:val="center"/>
          </w:tcPr>
          <w:p w14:paraId="072E2ADE" w14:textId="77777777" w:rsidR="00FF5C5C" w:rsidRPr="00AF7D9D" w:rsidRDefault="00FF5C5C" w:rsidP="00FF5C5C">
            <w:pPr>
              <w:contextualSpacing/>
              <w:jc w:val="center"/>
              <w:rPr>
                <w:rFonts w:eastAsia="Calibri"/>
              </w:rPr>
            </w:pPr>
            <w:r w:rsidRPr="00AF7D9D">
              <w:rPr>
                <w:rFonts w:eastAsia="Calibri"/>
              </w:rPr>
              <w:t>-.42**</w:t>
            </w:r>
          </w:p>
        </w:tc>
        <w:tc>
          <w:tcPr>
            <w:tcW w:w="139" w:type="pct"/>
            <w:tcBorders>
              <w:top w:val="nil"/>
              <w:left w:val="nil"/>
              <w:bottom w:val="nil"/>
              <w:right w:val="nil"/>
            </w:tcBorders>
            <w:vAlign w:val="center"/>
          </w:tcPr>
          <w:p w14:paraId="112F36AE" w14:textId="77777777" w:rsidR="00FF5C5C" w:rsidRPr="00AF7D9D" w:rsidRDefault="00FF5C5C" w:rsidP="00FF5C5C">
            <w:pPr>
              <w:contextualSpacing/>
              <w:jc w:val="center"/>
              <w:rPr>
                <w:rFonts w:eastAsia="Calibri"/>
              </w:rPr>
            </w:pPr>
          </w:p>
        </w:tc>
        <w:tc>
          <w:tcPr>
            <w:tcW w:w="477" w:type="pct"/>
            <w:tcBorders>
              <w:top w:val="nil"/>
              <w:left w:val="nil"/>
              <w:bottom w:val="nil"/>
              <w:right w:val="nil"/>
            </w:tcBorders>
            <w:vAlign w:val="center"/>
          </w:tcPr>
          <w:p w14:paraId="5B51753F" w14:textId="77777777" w:rsidR="00FF5C5C" w:rsidRPr="00AF7D9D" w:rsidRDefault="00FF5C5C" w:rsidP="00FF5C5C">
            <w:pPr>
              <w:contextualSpacing/>
              <w:jc w:val="center"/>
              <w:rPr>
                <w:rFonts w:eastAsia="Calibri"/>
              </w:rPr>
            </w:pPr>
            <w:r w:rsidRPr="00AF7D9D">
              <w:rPr>
                <w:rFonts w:eastAsia="Calibri"/>
              </w:rPr>
              <w:t>-.48**</w:t>
            </w:r>
          </w:p>
        </w:tc>
        <w:tc>
          <w:tcPr>
            <w:tcW w:w="477" w:type="pct"/>
            <w:tcBorders>
              <w:top w:val="nil"/>
              <w:left w:val="nil"/>
              <w:bottom w:val="nil"/>
              <w:right w:val="nil"/>
            </w:tcBorders>
            <w:vAlign w:val="center"/>
          </w:tcPr>
          <w:p w14:paraId="5F0BC907" w14:textId="77777777" w:rsidR="00FF5C5C" w:rsidRPr="00AF7D9D" w:rsidRDefault="00FF5C5C" w:rsidP="00FF5C5C">
            <w:pPr>
              <w:contextualSpacing/>
              <w:jc w:val="center"/>
              <w:rPr>
                <w:rFonts w:eastAsia="Calibri"/>
              </w:rPr>
            </w:pPr>
            <w:r w:rsidRPr="00AF7D9D">
              <w:rPr>
                <w:rFonts w:eastAsia="Calibri"/>
              </w:rPr>
              <w:t>-.30*</w:t>
            </w:r>
          </w:p>
        </w:tc>
        <w:tc>
          <w:tcPr>
            <w:tcW w:w="478" w:type="pct"/>
            <w:tcBorders>
              <w:top w:val="nil"/>
              <w:left w:val="nil"/>
              <w:bottom w:val="nil"/>
              <w:right w:val="nil"/>
            </w:tcBorders>
            <w:vAlign w:val="center"/>
          </w:tcPr>
          <w:p w14:paraId="622BF4E5" w14:textId="77777777" w:rsidR="00FF5C5C" w:rsidRPr="00AF7D9D" w:rsidRDefault="00FF5C5C" w:rsidP="00FF5C5C">
            <w:pPr>
              <w:contextualSpacing/>
              <w:jc w:val="center"/>
              <w:rPr>
                <w:rFonts w:eastAsia="Calibri"/>
              </w:rPr>
            </w:pPr>
            <w:r w:rsidRPr="00AF7D9D">
              <w:rPr>
                <w:rFonts w:eastAsia="Calibri"/>
              </w:rPr>
              <w:t>-1.48</w:t>
            </w:r>
          </w:p>
        </w:tc>
        <w:tc>
          <w:tcPr>
            <w:tcW w:w="171" w:type="pct"/>
            <w:tcBorders>
              <w:top w:val="nil"/>
              <w:left w:val="nil"/>
              <w:bottom w:val="nil"/>
              <w:right w:val="nil"/>
            </w:tcBorders>
            <w:vAlign w:val="center"/>
          </w:tcPr>
          <w:p w14:paraId="4B5EEFD9" w14:textId="77777777" w:rsidR="00FF5C5C" w:rsidRPr="00AF7D9D" w:rsidRDefault="00FF5C5C" w:rsidP="00FF5C5C">
            <w:pPr>
              <w:contextualSpacing/>
              <w:jc w:val="center"/>
              <w:rPr>
                <w:rFonts w:eastAsia="Calibri"/>
              </w:rPr>
            </w:pPr>
          </w:p>
        </w:tc>
        <w:tc>
          <w:tcPr>
            <w:tcW w:w="477" w:type="pct"/>
            <w:tcBorders>
              <w:top w:val="nil"/>
              <w:left w:val="nil"/>
              <w:bottom w:val="nil"/>
              <w:right w:val="nil"/>
            </w:tcBorders>
            <w:vAlign w:val="center"/>
          </w:tcPr>
          <w:p w14:paraId="14243EF0" w14:textId="77777777" w:rsidR="00FF5C5C" w:rsidRPr="00AF7D9D" w:rsidRDefault="00FF5C5C" w:rsidP="00FF5C5C">
            <w:pPr>
              <w:contextualSpacing/>
              <w:jc w:val="center"/>
              <w:rPr>
                <w:rFonts w:eastAsia="Calibri"/>
              </w:rPr>
            </w:pPr>
            <w:r w:rsidRPr="00AF7D9D">
              <w:rPr>
                <w:rFonts w:eastAsia="Calibri"/>
              </w:rPr>
              <w:t>-.42**</w:t>
            </w:r>
          </w:p>
        </w:tc>
        <w:tc>
          <w:tcPr>
            <w:tcW w:w="477" w:type="pct"/>
            <w:tcBorders>
              <w:top w:val="nil"/>
              <w:left w:val="nil"/>
              <w:bottom w:val="nil"/>
              <w:right w:val="nil"/>
            </w:tcBorders>
            <w:vAlign w:val="center"/>
          </w:tcPr>
          <w:p w14:paraId="4D8F2E44" w14:textId="77777777" w:rsidR="00FF5C5C" w:rsidRPr="00AF7D9D" w:rsidRDefault="00FF5C5C" w:rsidP="00FF5C5C">
            <w:pPr>
              <w:contextualSpacing/>
              <w:jc w:val="center"/>
              <w:rPr>
                <w:rFonts w:eastAsia="Calibri"/>
              </w:rPr>
            </w:pPr>
            <w:r w:rsidRPr="00AF7D9D">
              <w:rPr>
                <w:rFonts w:eastAsia="Calibri"/>
              </w:rPr>
              <w:t>-.28</w:t>
            </w:r>
          </w:p>
        </w:tc>
        <w:tc>
          <w:tcPr>
            <w:tcW w:w="464" w:type="pct"/>
            <w:tcBorders>
              <w:top w:val="nil"/>
              <w:left w:val="nil"/>
              <w:bottom w:val="nil"/>
              <w:right w:val="nil"/>
            </w:tcBorders>
            <w:vAlign w:val="center"/>
          </w:tcPr>
          <w:p w14:paraId="08EEBF92" w14:textId="77777777" w:rsidR="00FF5C5C" w:rsidRPr="00AF7D9D" w:rsidRDefault="00FF5C5C" w:rsidP="00FF5C5C">
            <w:pPr>
              <w:contextualSpacing/>
              <w:jc w:val="center"/>
              <w:rPr>
                <w:rFonts w:eastAsia="Calibri"/>
              </w:rPr>
            </w:pPr>
            <w:r w:rsidRPr="00AF7D9D">
              <w:rPr>
                <w:rFonts w:eastAsia="Calibri"/>
              </w:rPr>
              <w:t>-.82</w:t>
            </w:r>
          </w:p>
        </w:tc>
      </w:tr>
      <w:tr w:rsidR="00FF5C5C" w:rsidRPr="00AF7D9D" w14:paraId="2E868500" w14:textId="77777777" w:rsidTr="00641C2C">
        <w:trPr>
          <w:trHeight w:val="324"/>
        </w:trPr>
        <w:tc>
          <w:tcPr>
            <w:tcW w:w="1250" w:type="pct"/>
            <w:tcBorders>
              <w:top w:val="nil"/>
              <w:left w:val="nil"/>
              <w:bottom w:val="nil"/>
              <w:right w:val="nil"/>
            </w:tcBorders>
          </w:tcPr>
          <w:p w14:paraId="6291F86E" w14:textId="77777777" w:rsidR="00FF5C5C" w:rsidRPr="00AF7D9D" w:rsidRDefault="00FF5C5C" w:rsidP="0032775A">
            <w:pPr>
              <w:contextualSpacing/>
              <w:rPr>
                <w:rFonts w:eastAsia="Calibri"/>
              </w:rPr>
            </w:pPr>
            <w:r w:rsidRPr="00AF7D9D">
              <w:rPr>
                <w:rFonts w:eastAsia="Calibri"/>
              </w:rPr>
              <w:t xml:space="preserve">   Legal Cynicism</w:t>
            </w:r>
          </w:p>
        </w:tc>
        <w:tc>
          <w:tcPr>
            <w:tcW w:w="590" w:type="pct"/>
            <w:tcBorders>
              <w:top w:val="nil"/>
              <w:left w:val="nil"/>
              <w:bottom w:val="nil"/>
              <w:right w:val="nil"/>
            </w:tcBorders>
            <w:vAlign w:val="center"/>
          </w:tcPr>
          <w:p w14:paraId="14F483AF" w14:textId="4A0133C9" w:rsidR="00FF5C5C" w:rsidRPr="00AF7D9D" w:rsidRDefault="00FF5C5C" w:rsidP="00FF5C5C">
            <w:pPr>
              <w:contextualSpacing/>
              <w:jc w:val="center"/>
              <w:rPr>
                <w:rFonts w:eastAsia="Calibri"/>
              </w:rPr>
            </w:pPr>
            <w:r w:rsidRPr="00AF7D9D">
              <w:rPr>
                <w:rFonts w:eastAsia="Calibri"/>
              </w:rPr>
              <w:t>-.45**</w:t>
            </w:r>
          </w:p>
        </w:tc>
        <w:tc>
          <w:tcPr>
            <w:tcW w:w="139" w:type="pct"/>
            <w:tcBorders>
              <w:top w:val="nil"/>
              <w:left w:val="nil"/>
              <w:bottom w:val="nil"/>
              <w:right w:val="nil"/>
            </w:tcBorders>
            <w:vAlign w:val="center"/>
          </w:tcPr>
          <w:p w14:paraId="036C7D63" w14:textId="77777777" w:rsidR="00FF5C5C" w:rsidRPr="00AF7D9D" w:rsidRDefault="00FF5C5C" w:rsidP="00FF5C5C">
            <w:pPr>
              <w:contextualSpacing/>
              <w:jc w:val="center"/>
              <w:rPr>
                <w:rFonts w:eastAsia="Calibri"/>
              </w:rPr>
            </w:pPr>
          </w:p>
        </w:tc>
        <w:tc>
          <w:tcPr>
            <w:tcW w:w="477" w:type="pct"/>
            <w:tcBorders>
              <w:top w:val="nil"/>
              <w:left w:val="nil"/>
              <w:bottom w:val="nil"/>
              <w:right w:val="nil"/>
            </w:tcBorders>
            <w:vAlign w:val="center"/>
          </w:tcPr>
          <w:p w14:paraId="7412E3E7" w14:textId="77777777" w:rsidR="00FF5C5C" w:rsidRPr="00AF7D9D" w:rsidRDefault="00FF5C5C" w:rsidP="00FF5C5C">
            <w:pPr>
              <w:contextualSpacing/>
              <w:jc w:val="center"/>
              <w:rPr>
                <w:rFonts w:eastAsia="Calibri"/>
              </w:rPr>
            </w:pPr>
            <w:r w:rsidRPr="00AF7D9D">
              <w:rPr>
                <w:rFonts w:eastAsia="Calibri"/>
              </w:rPr>
              <w:t>-.43**</w:t>
            </w:r>
          </w:p>
        </w:tc>
        <w:tc>
          <w:tcPr>
            <w:tcW w:w="477" w:type="pct"/>
            <w:tcBorders>
              <w:top w:val="nil"/>
              <w:left w:val="nil"/>
              <w:bottom w:val="nil"/>
              <w:right w:val="nil"/>
            </w:tcBorders>
            <w:vAlign w:val="center"/>
          </w:tcPr>
          <w:p w14:paraId="13BE03D1" w14:textId="77777777" w:rsidR="00FF5C5C" w:rsidRPr="00AF7D9D" w:rsidRDefault="00FF5C5C" w:rsidP="00FF5C5C">
            <w:pPr>
              <w:contextualSpacing/>
              <w:jc w:val="center"/>
              <w:rPr>
                <w:rFonts w:eastAsia="Calibri"/>
              </w:rPr>
            </w:pPr>
            <w:r w:rsidRPr="00AF7D9D">
              <w:rPr>
                <w:rFonts w:eastAsia="Calibri"/>
              </w:rPr>
              <w:t>-.19</w:t>
            </w:r>
          </w:p>
        </w:tc>
        <w:tc>
          <w:tcPr>
            <w:tcW w:w="478" w:type="pct"/>
            <w:tcBorders>
              <w:top w:val="nil"/>
              <w:left w:val="nil"/>
              <w:bottom w:val="nil"/>
              <w:right w:val="nil"/>
            </w:tcBorders>
            <w:vAlign w:val="center"/>
          </w:tcPr>
          <w:p w14:paraId="7BA515CE" w14:textId="77777777" w:rsidR="00FF5C5C" w:rsidRPr="00AF7D9D" w:rsidRDefault="00FF5C5C" w:rsidP="00FF5C5C">
            <w:pPr>
              <w:contextualSpacing/>
              <w:jc w:val="center"/>
              <w:rPr>
                <w:rFonts w:eastAsia="Calibri"/>
              </w:rPr>
            </w:pPr>
            <w:r w:rsidRPr="00AF7D9D">
              <w:rPr>
                <w:rFonts w:eastAsia="Calibri"/>
              </w:rPr>
              <w:t>-1.86*</w:t>
            </w:r>
          </w:p>
        </w:tc>
        <w:tc>
          <w:tcPr>
            <w:tcW w:w="171" w:type="pct"/>
            <w:tcBorders>
              <w:top w:val="nil"/>
              <w:left w:val="nil"/>
              <w:bottom w:val="nil"/>
              <w:right w:val="nil"/>
            </w:tcBorders>
            <w:vAlign w:val="center"/>
          </w:tcPr>
          <w:p w14:paraId="07427879" w14:textId="77777777" w:rsidR="00FF5C5C" w:rsidRPr="00AF7D9D" w:rsidRDefault="00FF5C5C" w:rsidP="00FF5C5C">
            <w:pPr>
              <w:contextualSpacing/>
              <w:jc w:val="center"/>
              <w:rPr>
                <w:rFonts w:eastAsia="Calibri"/>
              </w:rPr>
            </w:pPr>
          </w:p>
        </w:tc>
        <w:tc>
          <w:tcPr>
            <w:tcW w:w="477" w:type="pct"/>
            <w:tcBorders>
              <w:top w:val="nil"/>
              <w:left w:val="nil"/>
              <w:bottom w:val="nil"/>
              <w:right w:val="nil"/>
            </w:tcBorders>
            <w:vAlign w:val="center"/>
          </w:tcPr>
          <w:p w14:paraId="1C147E85" w14:textId="77777777" w:rsidR="00FF5C5C" w:rsidRPr="00AF7D9D" w:rsidRDefault="00FF5C5C" w:rsidP="00FF5C5C">
            <w:pPr>
              <w:contextualSpacing/>
              <w:jc w:val="center"/>
              <w:rPr>
                <w:rFonts w:eastAsia="Calibri"/>
              </w:rPr>
            </w:pPr>
            <w:r w:rsidRPr="00AF7D9D">
              <w:rPr>
                <w:rFonts w:eastAsia="Calibri"/>
              </w:rPr>
              <w:t>-.43**</w:t>
            </w:r>
          </w:p>
        </w:tc>
        <w:tc>
          <w:tcPr>
            <w:tcW w:w="477" w:type="pct"/>
            <w:tcBorders>
              <w:top w:val="nil"/>
              <w:left w:val="nil"/>
              <w:bottom w:val="nil"/>
              <w:right w:val="nil"/>
            </w:tcBorders>
            <w:vAlign w:val="center"/>
          </w:tcPr>
          <w:p w14:paraId="59466F82" w14:textId="77777777" w:rsidR="00FF5C5C" w:rsidRPr="00AF7D9D" w:rsidRDefault="00FF5C5C" w:rsidP="00FF5C5C">
            <w:pPr>
              <w:contextualSpacing/>
              <w:jc w:val="center"/>
              <w:rPr>
                <w:rFonts w:eastAsia="Calibri"/>
              </w:rPr>
            </w:pPr>
            <w:r w:rsidRPr="00AF7D9D">
              <w:rPr>
                <w:rFonts w:eastAsia="Calibri"/>
              </w:rPr>
              <w:t>-.23</w:t>
            </w:r>
          </w:p>
        </w:tc>
        <w:tc>
          <w:tcPr>
            <w:tcW w:w="464" w:type="pct"/>
            <w:tcBorders>
              <w:top w:val="nil"/>
              <w:left w:val="nil"/>
              <w:bottom w:val="nil"/>
              <w:right w:val="nil"/>
            </w:tcBorders>
            <w:vAlign w:val="center"/>
          </w:tcPr>
          <w:p w14:paraId="7E30BB18" w14:textId="77777777" w:rsidR="00FF5C5C" w:rsidRPr="00AF7D9D" w:rsidRDefault="00FF5C5C" w:rsidP="00FF5C5C">
            <w:pPr>
              <w:contextualSpacing/>
              <w:jc w:val="center"/>
              <w:rPr>
                <w:rFonts w:eastAsia="Calibri"/>
              </w:rPr>
            </w:pPr>
            <w:r w:rsidRPr="00AF7D9D">
              <w:rPr>
                <w:rFonts w:eastAsia="Calibri"/>
              </w:rPr>
              <w:t>-1.16</w:t>
            </w:r>
          </w:p>
        </w:tc>
      </w:tr>
      <w:tr w:rsidR="00FF5C5C" w:rsidRPr="00AF7D9D" w14:paraId="49511F16" w14:textId="77777777" w:rsidTr="00641C2C">
        <w:trPr>
          <w:trHeight w:val="324"/>
        </w:trPr>
        <w:tc>
          <w:tcPr>
            <w:tcW w:w="1250" w:type="pct"/>
            <w:tcBorders>
              <w:top w:val="nil"/>
              <w:left w:val="nil"/>
              <w:bottom w:val="single" w:sz="4" w:space="0" w:color="auto"/>
              <w:right w:val="nil"/>
            </w:tcBorders>
          </w:tcPr>
          <w:p w14:paraId="79A91F72" w14:textId="77777777" w:rsidR="00FF5C5C" w:rsidRPr="00AF7D9D" w:rsidRDefault="00FF5C5C" w:rsidP="0032775A">
            <w:pPr>
              <w:contextualSpacing/>
              <w:rPr>
                <w:rFonts w:eastAsia="Calibri"/>
              </w:rPr>
            </w:pPr>
            <w:r w:rsidRPr="00AF7D9D">
              <w:rPr>
                <w:rFonts w:eastAsia="Calibri"/>
              </w:rPr>
              <w:t xml:space="preserve">   Acting Out Coping</w:t>
            </w:r>
          </w:p>
        </w:tc>
        <w:tc>
          <w:tcPr>
            <w:tcW w:w="590" w:type="pct"/>
            <w:tcBorders>
              <w:top w:val="nil"/>
              <w:left w:val="nil"/>
              <w:bottom w:val="single" w:sz="4" w:space="0" w:color="auto"/>
              <w:right w:val="nil"/>
            </w:tcBorders>
            <w:vAlign w:val="center"/>
          </w:tcPr>
          <w:p w14:paraId="68285F6F" w14:textId="2B2C8E2C" w:rsidR="00FF5C5C" w:rsidRPr="00AF7D9D" w:rsidRDefault="00FF5C5C" w:rsidP="00FF5C5C">
            <w:pPr>
              <w:contextualSpacing/>
              <w:jc w:val="center"/>
              <w:rPr>
                <w:rFonts w:eastAsia="Calibri"/>
              </w:rPr>
            </w:pPr>
            <w:r w:rsidRPr="00AF7D9D">
              <w:rPr>
                <w:rFonts w:eastAsia="Calibri"/>
              </w:rPr>
              <w:t>.41**</w:t>
            </w:r>
          </w:p>
        </w:tc>
        <w:tc>
          <w:tcPr>
            <w:tcW w:w="139" w:type="pct"/>
            <w:tcBorders>
              <w:top w:val="nil"/>
              <w:left w:val="nil"/>
              <w:bottom w:val="single" w:sz="4" w:space="0" w:color="auto"/>
              <w:right w:val="nil"/>
            </w:tcBorders>
            <w:vAlign w:val="center"/>
          </w:tcPr>
          <w:p w14:paraId="6FE20B73" w14:textId="77777777" w:rsidR="00FF5C5C" w:rsidRPr="00AF7D9D" w:rsidRDefault="00FF5C5C" w:rsidP="00FF5C5C">
            <w:pPr>
              <w:contextualSpacing/>
              <w:jc w:val="center"/>
              <w:rPr>
                <w:rFonts w:eastAsia="Calibri"/>
              </w:rPr>
            </w:pPr>
          </w:p>
        </w:tc>
        <w:tc>
          <w:tcPr>
            <w:tcW w:w="477" w:type="pct"/>
            <w:tcBorders>
              <w:top w:val="nil"/>
              <w:left w:val="nil"/>
              <w:bottom w:val="single" w:sz="4" w:space="0" w:color="auto"/>
              <w:right w:val="nil"/>
            </w:tcBorders>
            <w:vAlign w:val="center"/>
          </w:tcPr>
          <w:p w14:paraId="4DDE2AB8" w14:textId="77777777" w:rsidR="00FF5C5C" w:rsidRPr="00AF7D9D" w:rsidRDefault="00FF5C5C" w:rsidP="00FF5C5C">
            <w:pPr>
              <w:contextualSpacing/>
              <w:jc w:val="center"/>
              <w:rPr>
                <w:rFonts w:eastAsia="Calibri"/>
              </w:rPr>
            </w:pPr>
            <w:r w:rsidRPr="00AF7D9D">
              <w:rPr>
                <w:rFonts w:eastAsia="Calibri"/>
              </w:rPr>
              <w:t>.44**</w:t>
            </w:r>
          </w:p>
        </w:tc>
        <w:tc>
          <w:tcPr>
            <w:tcW w:w="477" w:type="pct"/>
            <w:tcBorders>
              <w:top w:val="nil"/>
              <w:left w:val="nil"/>
              <w:bottom w:val="single" w:sz="4" w:space="0" w:color="auto"/>
              <w:right w:val="nil"/>
            </w:tcBorders>
            <w:vAlign w:val="center"/>
          </w:tcPr>
          <w:p w14:paraId="5F19BD11" w14:textId="77777777" w:rsidR="00FF5C5C" w:rsidRPr="00AF7D9D" w:rsidRDefault="00FF5C5C" w:rsidP="00FF5C5C">
            <w:pPr>
              <w:contextualSpacing/>
              <w:jc w:val="center"/>
              <w:rPr>
                <w:rFonts w:eastAsia="Calibri"/>
              </w:rPr>
            </w:pPr>
            <w:r w:rsidRPr="00AF7D9D">
              <w:rPr>
                <w:rFonts w:eastAsia="Calibri"/>
              </w:rPr>
              <w:t>.14</w:t>
            </w:r>
          </w:p>
        </w:tc>
        <w:tc>
          <w:tcPr>
            <w:tcW w:w="478" w:type="pct"/>
            <w:tcBorders>
              <w:top w:val="nil"/>
              <w:left w:val="nil"/>
              <w:bottom w:val="single" w:sz="4" w:space="0" w:color="auto"/>
              <w:right w:val="nil"/>
            </w:tcBorders>
            <w:vAlign w:val="center"/>
          </w:tcPr>
          <w:p w14:paraId="7977286A" w14:textId="77777777" w:rsidR="00FF5C5C" w:rsidRPr="00AF7D9D" w:rsidRDefault="00FF5C5C" w:rsidP="00FF5C5C">
            <w:pPr>
              <w:contextualSpacing/>
              <w:jc w:val="center"/>
              <w:rPr>
                <w:rFonts w:eastAsia="Calibri"/>
              </w:rPr>
            </w:pPr>
            <w:r w:rsidRPr="00AF7D9D">
              <w:rPr>
                <w:rFonts w:eastAsia="Calibri"/>
              </w:rPr>
              <w:t>2.30*</w:t>
            </w:r>
          </w:p>
        </w:tc>
        <w:tc>
          <w:tcPr>
            <w:tcW w:w="171" w:type="pct"/>
            <w:tcBorders>
              <w:top w:val="nil"/>
              <w:left w:val="nil"/>
              <w:bottom w:val="single" w:sz="4" w:space="0" w:color="auto"/>
              <w:right w:val="nil"/>
            </w:tcBorders>
            <w:vAlign w:val="center"/>
          </w:tcPr>
          <w:p w14:paraId="6B565248" w14:textId="77777777" w:rsidR="00FF5C5C" w:rsidRPr="00AF7D9D" w:rsidRDefault="00FF5C5C" w:rsidP="00FF5C5C">
            <w:pPr>
              <w:contextualSpacing/>
              <w:jc w:val="center"/>
              <w:rPr>
                <w:rFonts w:eastAsia="Calibri"/>
              </w:rPr>
            </w:pPr>
          </w:p>
        </w:tc>
        <w:tc>
          <w:tcPr>
            <w:tcW w:w="477" w:type="pct"/>
            <w:tcBorders>
              <w:top w:val="nil"/>
              <w:left w:val="nil"/>
              <w:bottom w:val="single" w:sz="4" w:space="0" w:color="auto"/>
              <w:right w:val="nil"/>
            </w:tcBorders>
            <w:vAlign w:val="center"/>
          </w:tcPr>
          <w:p w14:paraId="699F8406" w14:textId="77777777" w:rsidR="00FF5C5C" w:rsidRPr="00AF7D9D" w:rsidRDefault="00FF5C5C" w:rsidP="00FF5C5C">
            <w:pPr>
              <w:contextualSpacing/>
              <w:jc w:val="center"/>
              <w:rPr>
                <w:rFonts w:eastAsia="Calibri"/>
              </w:rPr>
            </w:pPr>
            <w:r w:rsidRPr="00AF7D9D">
              <w:rPr>
                <w:rFonts w:eastAsia="Calibri"/>
              </w:rPr>
              <w:t>.43**</w:t>
            </w:r>
          </w:p>
        </w:tc>
        <w:tc>
          <w:tcPr>
            <w:tcW w:w="477" w:type="pct"/>
            <w:tcBorders>
              <w:top w:val="nil"/>
              <w:left w:val="nil"/>
              <w:bottom w:val="single" w:sz="4" w:space="0" w:color="auto"/>
              <w:right w:val="nil"/>
            </w:tcBorders>
            <w:vAlign w:val="center"/>
          </w:tcPr>
          <w:p w14:paraId="2798BB5D" w14:textId="77777777" w:rsidR="00FF5C5C" w:rsidRPr="00AF7D9D" w:rsidRDefault="00FF5C5C" w:rsidP="00FF5C5C">
            <w:pPr>
              <w:contextualSpacing/>
              <w:jc w:val="center"/>
              <w:rPr>
                <w:rFonts w:eastAsia="Calibri"/>
              </w:rPr>
            </w:pPr>
            <w:r w:rsidRPr="00AF7D9D">
              <w:rPr>
                <w:rFonts w:eastAsia="Calibri"/>
              </w:rPr>
              <w:t>.03</w:t>
            </w:r>
          </w:p>
        </w:tc>
        <w:tc>
          <w:tcPr>
            <w:tcW w:w="464" w:type="pct"/>
            <w:tcBorders>
              <w:top w:val="nil"/>
              <w:left w:val="nil"/>
              <w:bottom w:val="single" w:sz="4" w:space="0" w:color="auto"/>
              <w:right w:val="nil"/>
            </w:tcBorders>
            <w:vAlign w:val="center"/>
          </w:tcPr>
          <w:p w14:paraId="2958A8D1" w14:textId="77777777" w:rsidR="00FF5C5C" w:rsidRPr="00AF7D9D" w:rsidRDefault="00FF5C5C" w:rsidP="00FF5C5C">
            <w:pPr>
              <w:contextualSpacing/>
              <w:jc w:val="center"/>
              <w:rPr>
                <w:rFonts w:eastAsia="Calibri"/>
              </w:rPr>
            </w:pPr>
            <w:r w:rsidRPr="00AF7D9D">
              <w:rPr>
                <w:rFonts w:eastAsia="Calibri"/>
              </w:rPr>
              <w:t>2.21*</w:t>
            </w:r>
          </w:p>
        </w:tc>
      </w:tr>
      <w:tr w:rsidR="00FF5C5C" w:rsidRPr="00AF7D9D" w14:paraId="485ACBAB" w14:textId="77777777" w:rsidTr="00641C2C">
        <w:trPr>
          <w:trHeight w:val="324"/>
        </w:trPr>
        <w:tc>
          <w:tcPr>
            <w:tcW w:w="1250" w:type="pct"/>
            <w:tcBorders>
              <w:top w:val="single" w:sz="4" w:space="0" w:color="auto"/>
              <w:left w:val="nil"/>
              <w:bottom w:val="single" w:sz="4" w:space="0" w:color="auto"/>
              <w:right w:val="nil"/>
            </w:tcBorders>
          </w:tcPr>
          <w:p w14:paraId="48225B92" w14:textId="77777777" w:rsidR="00FF5C5C" w:rsidRPr="00AF7D9D" w:rsidRDefault="00FF5C5C" w:rsidP="0032775A">
            <w:pPr>
              <w:contextualSpacing/>
              <w:rPr>
                <w:rFonts w:eastAsia="Calibri"/>
                <w:b/>
              </w:rPr>
            </w:pPr>
            <w:r w:rsidRPr="00AF7D9D">
              <w:rPr>
                <w:rFonts w:eastAsia="Calibri"/>
                <w:b/>
              </w:rPr>
              <w:t>3. German Vocational</w:t>
            </w:r>
          </w:p>
        </w:tc>
        <w:tc>
          <w:tcPr>
            <w:tcW w:w="590" w:type="pct"/>
            <w:tcBorders>
              <w:top w:val="single" w:sz="4" w:space="0" w:color="auto"/>
              <w:left w:val="nil"/>
              <w:bottom w:val="single" w:sz="4" w:space="0" w:color="auto"/>
              <w:right w:val="nil"/>
            </w:tcBorders>
            <w:vAlign w:val="center"/>
          </w:tcPr>
          <w:p w14:paraId="691FBBF0" w14:textId="77777777" w:rsidR="00FF5C5C" w:rsidRPr="00AF7D9D" w:rsidRDefault="00FF5C5C" w:rsidP="00FF5C5C">
            <w:pPr>
              <w:contextualSpacing/>
              <w:jc w:val="center"/>
              <w:rPr>
                <w:rFonts w:eastAsia="Calibri"/>
              </w:rPr>
            </w:pPr>
            <w:r w:rsidRPr="00AF7D9D">
              <w:rPr>
                <w:rFonts w:eastAsia="Calibri"/>
                <w:i/>
              </w:rPr>
              <w:t>n</w:t>
            </w:r>
            <w:r w:rsidRPr="00AF7D9D">
              <w:rPr>
                <w:rFonts w:eastAsia="Calibri"/>
              </w:rPr>
              <w:t xml:space="preserve"> = 282</w:t>
            </w:r>
          </w:p>
        </w:tc>
        <w:tc>
          <w:tcPr>
            <w:tcW w:w="139" w:type="pct"/>
            <w:tcBorders>
              <w:top w:val="single" w:sz="4" w:space="0" w:color="auto"/>
              <w:left w:val="nil"/>
              <w:bottom w:val="single" w:sz="4" w:space="0" w:color="auto"/>
              <w:right w:val="nil"/>
            </w:tcBorders>
            <w:vAlign w:val="center"/>
          </w:tcPr>
          <w:p w14:paraId="0179E678" w14:textId="77777777" w:rsidR="00FF5C5C" w:rsidRPr="00AF7D9D" w:rsidRDefault="00FF5C5C" w:rsidP="00FF5C5C">
            <w:pPr>
              <w:contextualSpacing/>
              <w:jc w:val="center"/>
              <w:rPr>
                <w:rFonts w:eastAsia="Calibri"/>
                <w:i/>
              </w:rPr>
            </w:pPr>
          </w:p>
        </w:tc>
        <w:tc>
          <w:tcPr>
            <w:tcW w:w="477" w:type="pct"/>
            <w:tcBorders>
              <w:top w:val="single" w:sz="4" w:space="0" w:color="auto"/>
              <w:left w:val="nil"/>
              <w:bottom w:val="single" w:sz="4" w:space="0" w:color="auto"/>
              <w:right w:val="nil"/>
            </w:tcBorders>
            <w:vAlign w:val="center"/>
          </w:tcPr>
          <w:p w14:paraId="3C8B3BDF" w14:textId="77777777" w:rsidR="00FF5C5C" w:rsidRPr="00AF7D9D" w:rsidRDefault="00FF5C5C" w:rsidP="00FF5C5C">
            <w:pPr>
              <w:contextualSpacing/>
              <w:jc w:val="center"/>
              <w:rPr>
                <w:rFonts w:eastAsia="Calibri"/>
              </w:rPr>
            </w:pPr>
            <w:r w:rsidRPr="00AF7D9D">
              <w:rPr>
                <w:rFonts w:eastAsia="Calibri"/>
                <w:i/>
              </w:rPr>
              <w:t>n</w:t>
            </w:r>
            <w:r w:rsidRPr="00AF7D9D">
              <w:rPr>
                <w:rFonts w:eastAsia="Calibri"/>
              </w:rPr>
              <w:t xml:space="preserve"> = 237</w:t>
            </w:r>
          </w:p>
        </w:tc>
        <w:tc>
          <w:tcPr>
            <w:tcW w:w="477" w:type="pct"/>
            <w:tcBorders>
              <w:top w:val="single" w:sz="4" w:space="0" w:color="auto"/>
              <w:left w:val="nil"/>
              <w:bottom w:val="single" w:sz="4" w:space="0" w:color="auto"/>
              <w:right w:val="nil"/>
            </w:tcBorders>
            <w:vAlign w:val="center"/>
          </w:tcPr>
          <w:p w14:paraId="4484AF48" w14:textId="77777777" w:rsidR="00FF5C5C" w:rsidRPr="00AF7D9D" w:rsidRDefault="00FF5C5C" w:rsidP="00FF5C5C">
            <w:pPr>
              <w:contextualSpacing/>
              <w:jc w:val="center"/>
              <w:rPr>
                <w:rFonts w:eastAsia="Calibri"/>
              </w:rPr>
            </w:pPr>
            <w:r w:rsidRPr="00AF7D9D">
              <w:rPr>
                <w:rFonts w:eastAsia="Calibri"/>
                <w:i/>
              </w:rPr>
              <w:t>n</w:t>
            </w:r>
            <w:r w:rsidRPr="00AF7D9D">
              <w:rPr>
                <w:rFonts w:eastAsia="Calibri"/>
              </w:rPr>
              <w:t xml:space="preserve"> = 45</w:t>
            </w:r>
          </w:p>
        </w:tc>
        <w:tc>
          <w:tcPr>
            <w:tcW w:w="478" w:type="pct"/>
            <w:tcBorders>
              <w:top w:val="single" w:sz="4" w:space="0" w:color="auto"/>
              <w:left w:val="nil"/>
              <w:bottom w:val="single" w:sz="4" w:space="0" w:color="auto"/>
              <w:right w:val="nil"/>
            </w:tcBorders>
            <w:vAlign w:val="center"/>
          </w:tcPr>
          <w:p w14:paraId="31453739" w14:textId="77777777" w:rsidR="00FF5C5C" w:rsidRPr="00AF7D9D" w:rsidRDefault="00FF5C5C" w:rsidP="00FF5C5C">
            <w:pPr>
              <w:contextualSpacing/>
              <w:jc w:val="center"/>
              <w:rPr>
                <w:rFonts w:eastAsia="Calibri"/>
                <w:i/>
              </w:rPr>
            </w:pPr>
          </w:p>
        </w:tc>
        <w:tc>
          <w:tcPr>
            <w:tcW w:w="171" w:type="pct"/>
            <w:tcBorders>
              <w:top w:val="single" w:sz="4" w:space="0" w:color="auto"/>
              <w:left w:val="nil"/>
              <w:bottom w:val="single" w:sz="4" w:space="0" w:color="auto"/>
              <w:right w:val="nil"/>
            </w:tcBorders>
            <w:vAlign w:val="center"/>
          </w:tcPr>
          <w:p w14:paraId="476445EC" w14:textId="77777777" w:rsidR="00FF5C5C" w:rsidRPr="00AF7D9D" w:rsidRDefault="00FF5C5C" w:rsidP="00FF5C5C">
            <w:pPr>
              <w:contextualSpacing/>
              <w:jc w:val="center"/>
              <w:rPr>
                <w:rFonts w:eastAsia="Calibri"/>
                <w:i/>
              </w:rPr>
            </w:pPr>
          </w:p>
        </w:tc>
        <w:tc>
          <w:tcPr>
            <w:tcW w:w="477" w:type="pct"/>
            <w:tcBorders>
              <w:top w:val="single" w:sz="4" w:space="0" w:color="auto"/>
              <w:left w:val="nil"/>
              <w:bottom w:val="single" w:sz="4" w:space="0" w:color="auto"/>
              <w:right w:val="nil"/>
            </w:tcBorders>
            <w:vAlign w:val="center"/>
          </w:tcPr>
          <w:p w14:paraId="6CDB3BC2" w14:textId="77777777" w:rsidR="00FF5C5C" w:rsidRPr="00AF7D9D" w:rsidRDefault="00FF5C5C" w:rsidP="00FF5C5C">
            <w:pPr>
              <w:contextualSpacing/>
              <w:jc w:val="center"/>
              <w:rPr>
                <w:rFonts w:eastAsia="Calibri"/>
              </w:rPr>
            </w:pPr>
            <w:r w:rsidRPr="00AF7D9D">
              <w:rPr>
                <w:rFonts w:eastAsia="Calibri"/>
                <w:i/>
              </w:rPr>
              <w:t>n</w:t>
            </w:r>
            <w:r w:rsidRPr="00AF7D9D">
              <w:rPr>
                <w:rFonts w:eastAsia="Calibri"/>
              </w:rPr>
              <w:t xml:space="preserve"> = 256</w:t>
            </w:r>
          </w:p>
        </w:tc>
        <w:tc>
          <w:tcPr>
            <w:tcW w:w="477" w:type="pct"/>
            <w:tcBorders>
              <w:top w:val="single" w:sz="4" w:space="0" w:color="auto"/>
              <w:left w:val="nil"/>
              <w:bottom w:val="single" w:sz="4" w:space="0" w:color="auto"/>
              <w:right w:val="nil"/>
            </w:tcBorders>
            <w:vAlign w:val="center"/>
          </w:tcPr>
          <w:p w14:paraId="31907731" w14:textId="77777777" w:rsidR="00FF5C5C" w:rsidRPr="00AF7D9D" w:rsidRDefault="00FF5C5C" w:rsidP="00FF5C5C">
            <w:pPr>
              <w:contextualSpacing/>
              <w:jc w:val="center"/>
              <w:rPr>
                <w:rFonts w:eastAsia="Calibri"/>
              </w:rPr>
            </w:pPr>
            <w:r w:rsidRPr="00AF7D9D">
              <w:rPr>
                <w:rFonts w:eastAsia="Calibri"/>
                <w:i/>
              </w:rPr>
              <w:t>n</w:t>
            </w:r>
            <w:r w:rsidRPr="00AF7D9D">
              <w:rPr>
                <w:rFonts w:eastAsia="Calibri"/>
              </w:rPr>
              <w:t xml:space="preserve"> = 26</w:t>
            </w:r>
          </w:p>
        </w:tc>
        <w:tc>
          <w:tcPr>
            <w:tcW w:w="464" w:type="pct"/>
            <w:tcBorders>
              <w:top w:val="single" w:sz="4" w:space="0" w:color="auto"/>
              <w:left w:val="nil"/>
              <w:bottom w:val="single" w:sz="4" w:space="0" w:color="auto"/>
              <w:right w:val="nil"/>
            </w:tcBorders>
            <w:vAlign w:val="center"/>
          </w:tcPr>
          <w:p w14:paraId="0E395411" w14:textId="77777777" w:rsidR="00FF5C5C" w:rsidRPr="00AF7D9D" w:rsidRDefault="00FF5C5C" w:rsidP="00FF5C5C">
            <w:pPr>
              <w:contextualSpacing/>
              <w:jc w:val="center"/>
              <w:rPr>
                <w:rFonts w:eastAsia="Calibri"/>
                <w:i/>
              </w:rPr>
            </w:pPr>
          </w:p>
        </w:tc>
      </w:tr>
      <w:tr w:rsidR="00FF5C5C" w:rsidRPr="00AF7D9D" w14:paraId="4579FF2C" w14:textId="77777777" w:rsidTr="00641C2C">
        <w:trPr>
          <w:trHeight w:val="324"/>
        </w:trPr>
        <w:tc>
          <w:tcPr>
            <w:tcW w:w="1250" w:type="pct"/>
            <w:tcBorders>
              <w:top w:val="single" w:sz="4" w:space="0" w:color="auto"/>
              <w:left w:val="nil"/>
              <w:bottom w:val="nil"/>
              <w:right w:val="nil"/>
            </w:tcBorders>
          </w:tcPr>
          <w:p w14:paraId="5E444180" w14:textId="77777777" w:rsidR="00FF5C5C" w:rsidRPr="00AF7D9D" w:rsidRDefault="00FF5C5C" w:rsidP="0032775A">
            <w:pPr>
              <w:contextualSpacing/>
              <w:rPr>
                <w:rFonts w:eastAsia="Calibri"/>
              </w:rPr>
            </w:pPr>
            <w:r w:rsidRPr="00AF7D9D">
              <w:rPr>
                <w:rFonts w:eastAsia="Calibri"/>
                <w:b/>
              </w:rPr>
              <w:t xml:space="preserve">   </w:t>
            </w:r>
            <w:r w:rsidRPr="00AF7D9D">
              <w:rPr>
                <w:rFonts w:eastAsia="Calibri"/>
              </w:rPr>
              <w:t>PPI-R Total</w:t>
            </w:r>
          </w:p>
        </w:tc>
        <w:tc>
          <w:tcPr>
            <w:tcW w:w="590" w:type="pct"/>
            <w:tcBorders>
              <w:top w:val="single" w:sz="4" w:space="0" w:color="auto"/>
              <w:left w:val="nil"/>
              <w:bottom w:val="nil"/>
              <w:right w:val="nil"/>
            </w:tcBorders>
            <w:vAlign w:val="center"/>
          </w:tcPr>
          <w:p w14:paraId="7B91B84B" w14:textId="77777777" w:rsidR="00FF5C5C" w:rsidRPr="00AF7D9D" w:rsidRDefault="00FF5C5C" w:rsidP="00FF5C5C">
            <w:pPr>
              <w:contextualSpacing/>
              <w:jc w:val="center"/>
              <w:rPr>
                <w:rFonts w:eastAsia="Calibri"/>
              </w:rPr>
            </w:pPr>
            <w:r w:rsidRPr="00AF7D9D">
              <w:rPr>
                <w:rFonts w:eastAsia="Calibri"/>
              </w:rPr>
              <w:t>.71**</w:t>
            </w:r>
          </w:p>
        </w:tc>
        <w:tc>
          <w:tcPr>
            <w:tcW w:w="139" w:type="pct"/>
            <w:tcBorders>
              <w:top w:val="single" w:sz="4" w:space="0" w:color="auto"/>
              <w:left w:val="nil"/>
              <w:bottom w:val="nil"/>
              <w:right w:val="nil"/>
            </w:tcBorders>
            <w:vAlign w:val="center"/>
          </w:tcPr>
          <w:p w14:paraId="20580B8F" w14:textId="77777777" w:rsidR="00FF5C5C" w:rsidRPr="00AF7D9D" w:rsidRDefault="00FF5C5C" w:rsidP="00FF5C5C">
            <w:pPr>
              <w:contextualSpacing/>
              <w:jc w:val="center"/>
              <w:rPr>
                <w:rFonts w:eastAsia="Calibri"/>
              </w:rPr>
            </w:pPr>
          </w:p>
        </w:tc>
        <w:tc>
          <w:tcPr>
            <w:tcW w:w="477" w:type="pct"/>
            <w:tcBorders>
              <w:top w:val="single" w:sz="4" w:space="0" w:color="auto"/>
              <w:left w:val="nil"/>
              <w:bottom w:val="nil"/>
              <w:right w:val="nil"/>
            </w:tcBorders>
            <w:vAlign w:val="center"/>
          </w:tcPr>
          <w:p w14:paraId="6CC03F98" w14:textId="77777777" w:rsidR="00FF5C5C" w:rsidRPr="00AF7D9D" w:rsidRDefault="00FF5C5C" w:rsidP="00FF5C5C">
            <w:pPr>
              <w:contextualSpacing/>
              <w:jc w:val="center"/>
              <w:rPr>
                <w:rFonts w:eastAsia="Calibri"/>
              </w:rPr>
            </w:pPr>
            <w:r w:rsidRPr="00AF7D9D">
              <w:rPr>
                <w:rFonts w:eastAsia="Calibri"/>
              </w:rPr>
              <w:t>.73**</w:t>
            </w:r>
          </w:p>
        </w:tc>
        <w:tc>
          <w:tcPr>
            <w:tcW w:w="477" w:type="pct"/>
            <w:tcBorders>
              <w:top w:val="single" w:sz="4" w:space="0" w:color="auto"/>
              <w:left w:val="nil"/>
              <w:bottom w:val="nil"/>
              <w:right w:val="nil"/>
            </w:tcBorders>
            <w:vAlign w:val="center"/>
          </w:tcPr>
          <w:p w14:paraId="26549179" w14:textId="77777777" w:rsidR="00FF5C5C" w:rsidRPr="00AF7D9D" w:rsidRDefault="00FF5C5C" w:rsidP="00FF5C5C">
            <w:pPr>
              <w:contextualSpacing/>
              <w:jc w:val="center"/>
              <w:rPr>
                <w:rFonts w:eastAsia="Calibri"/>
              </w:rPr>
            </w:pPr>
            <w:r w:rsidRPr="00AF7D9D">
              <w:rPr>
                <w:rFonts w:eastAsia="Calibri"/>
              </w:rPr>
              <w:t>.45**</w:t>
            </w:r>
          </w:p>
        </w:tc>
        <w:tc>
          <w:tcPr>
            <w:tcW w:w="478" w:type="pct"/>
            <w:tcBorders>
              <w:top w:val="single" w:sz="4" w:space="0" w:color="auto"/>
              <w:left w:val="nil"/>
              <w:bottom w:val="nil"/>
              <w:right w:val="nil"/>
            </w:tcBorders>
            <w:vAlign w:val="center"/>
          </w:tcPr>
          <w:p w14:paraId="155D8E20" w14:textId="77777777" w:rsidR="00FF5C5C" w:rsidRPr="00AF7D9D" w:rsidRDefault="00AA03C4" w:rsidP="00FF5C5C">
            <w:pPr>
              <w:contextualSpacing/>
              <w:jc w:val="center"/>
              <w:rPr>
                <w:rFonts w:eastAsia="Calibri"/>
              </w:rPr>
            </w:pPr>
            <w:r w:rsidRPr="00AF7D9D">
              <w:rPr>
                <w:rFonts w:eastAsia="Calibri"/>
              </w:rPr>
              <w:t>2.65**</w:t>
            </w:r>
          </w:p>
        </w:tc>
        <w:tc>
          <w:tcPr>
            <w:tcW w:w="171" w:type="pct"/>
            <w:tcBorders>
              <w:top w:val="single" w:sz="4" w:space="0" w:color="auto"/>
              <w:left w:val="nil"/>
              <w:bottom w:val="nil"/>
              <w:right w:val="nil"/>
            </w:tcBorders>
            <w:vAlign w:val="center"/>
          </w:tcPr>
          <w:p w14:paraId="412219D2" w14:textId="77777777" w:rsidR="00FF5C5C" w:rsidRPr="00AF7D9D" w:rsidRDefault="00FF5C5C" w:rsidP="00FF5C5C">
            <w:pPr>
              <w:contextualSpacing/>
              <w:jc w:val="center"/>
              <w:rPr>
                <w:rFonts w:eastAsia="Calibri"/>
              </w:rPr>
            </w:pPr>
          </w:p>
        </w:tc>
        <w:tc>
          <w:tcPr>
            <w:tcW w:w="477" w:type="pct"/>
            <w:tcBorders>
              <w:top w:val="single" w:sz="4" w:space="0" w:color="auto"/>
              <w:left w:val="nil"/>
              <w:bottom w:val="nil"/>
              <w:right w:val="nil"/>
            </w:tcBorders>
            <w:vAlign w:val="center"/>
          </w:tcPr>
          <w:p w14:paraId="54456FF8" w14:textId="77777777" w:rsidR="00FF5C5C" w:rsidRPr="00AF7D9D" w:rsidRDefault="00FF5C5C" w:rsidP="00FF5C5C">
            <w:pPr>
              <w:contextualSpacing/>
              <w:jc w:val="center"/>
              <w:rPr>
                <w:rFonts w:eastAsia="Calibri"/>
              </w:rPr>
            </w:pPr>
            <w:r w:rsidRPr="00AF7D9D">
              <w:rPr>
                <w:rFonts w:eastAsia="Calibri"/>
              </w:rPr>
              <w:t>.71**</w:t>
            </w:r>
          </w:p>
        </w:tc>
        <w:tc>
          <w:tcPr>
            <w:tcW w:w="477" w:type="pct"/>
            <w:tcBorders>
              <w:top w:val="single" w:sz="4" w:space="0" w:color="auto"/>
              <w:left w:val="nil"/>
              <w:bottom w:val="nil"/>
              <w:right w:val="nil"/>
            </w:tcBorders>
            <w:vAlign w:val="center"/>
          </w:tcPr>
          <w:p w14:paraId="06E55F67" w14:textId="77777777" w:rsidR="00FF5C5C" w:rsidRPr="00AF7D9D" w:rsidRDefault="00FF5C5C" w:rsidP="00FF5C5C">
            <w:pPr>
              <w:contextualSpacing/>
              <w:jc w:val="center"/>
              <w:rPr>
                <w:rFonts w:eastAsia="Calibri"/>
              </w:rPr>
            </w:pPr>
            <w:r w:rsidRPr="00AF7D9D">
              <w:rPr>
                <w:rFonts w:eastAsia="Calibri"/>
              </w:rPr>
              <w:t>.50**</w:t>
            </w:r>
          </w:p>
        </w:tc>
        <w:tc>
          <w:tcPr>
            <w:tcW w:w="464" w:type="pct"/>
            <w:tcBorders>
              <w:top w:val="single" w:sz="4" w:space="0" w:color="auto"/>
              <w:left w:val="nil"/>
              <w:bottom w:val="nil"/>
              <w:right w:val="nil"/>
            </w:tcBorders>
            <w:vAlign w:val="center"/>
          </w:tcPr>
          <w:p w14:paraId="2889B1E2" w14:textId="77777777" w:rsidR="00FF5C5C" w:rsidRPr="00AF7D9D" w:rsidRDefault="00AA03C4" w:rsidP="00FF5C5C">
            <w:pPr>
              <w:contextualSpacing/>
              <w:jc w:val="center"/>
              <w:rPr>
                <w:rFonts w:eastAsia="Calibri"/>
              </w:rPr>
            </w:pPr>
            <w:r w:rsidRPr="00AF7D9D">
              <w:rPr>
                <w:rFonts w:eastAsia="Calibri"/>
              </w:rPr>
              <w:t>1.55</w:t>
            </w:r>
          </w:p>
        </w:tc>
      </w:tr>
      <w:tr w:rsidR="00FF5C5C" w:rsidRPr="00AF7D9D" w14:paraId="7F19A7C0" w14:textId="77777777" w:rsidTr="00641C2C">
        <w:trPr>
          <w:trHeight w:val="324"/>
        </w:trPr>
        <w:tc>
          <w:tcPr>
            <w:tcW w:w="1250" w:type="pct"/>
            <w:tcBorders>
              <w:top w:val="nil"/>
              <w:left w:val="nil"/>
              <w:bottom w:val="nil"/>
              <w:right w:val="nil"/>
            </w:tcBorders>
          </w:tcPr>
          <w:p w14:paraId="743F0D2E" w14:textId="77777777" w:rsidR="00FF5C5C" w:rsidRPr="00AF7D9D" w:rsidRDefault="00FF5C5C" w:rsidP="0032775A">
            <w:pPr>
              <w:contextualSpacing/>
              <w:rPr>
                <w:rFonts w:eastAsia="Calibri"/>
              </w:rPr>
            </w:pPr>
            <w:r w:rsidRPr="00AF7D9D">
              <w:rPr>
                <w:rFonts w:eastAsia="Calibri"/>
              </w:rPr>
              <w:t xml:space="preserve">   PPI-R FD</w:t>
            </w:r>
          </w:p>
        </w:tc>
        <w:tc>
          <w:tcPr>
            <w:tcW w:w="590" w:type="pct"/>
            <w:tcBorders>
              <w:top w:val="nil"/>
              <w:left w:val="nil"/>
              <w:bottom w:val="nil"/>
              <w:right w:val="nil"/>
            </w:tcBorders>
            <w:vAlign w:val="center"/>
          </w:tcPr>
          <w:p w14:paraId="31E98184" w14:textId="77777777" w:rsidR="00FF5C5C" w:rsidRPr="00AF7D9D" w:rsidRDefault="00FF5C5C" w:rsidP="00FF5C5C">
            <w:pPr>
              <w:contextualSpacing/>
              <w:jc w:val="center"/>
              <w:rPr>
                <w:rFonts w:eastAsia="Calibri"/>
              </w:rPr>
            </w:pPr>
            <w:r w:rsidRPr="00AF7D9D">
              <w:rPr>
                <w:rFonts w:eastAsia="Calibri"/>
              </w:rPr>
              <w:t>.28**</w:t>
            </w:r>
          </w:p>
        </w:tc>
        <w:tc>
          <w:tcPr>
            <w:tcW w:w="139" w:type="pct"/>
            <w:tcBorders>
              <w:top w:val="nil"/>
              <w:left w:val="nil"/>
              <w:bottom w:val="nil"/>
              <w:right w:val="nil"/>
            </w:tcBorders>
            <w:vAlign w:val="center"/>
          </w:tcPr>
          <w:p w14:paraId="661A7CB1" w14:textId="77777777" w:rsidR="00FF5C5C" w:rsidRPr="00AF7D9D" w:rsidRDefault="00FF5C5C" w:rsidP="00FF5C5C">
            <w:pPr>
              <w:contextualSpacing/>
              <w:jc w:val="center"/>
              <w:rPr>
                <w:rFonts w:eastAsia="Calibri"/>
              </w:rPr>
            </w:pPr>
          </w:p>
        </w:tc>
        <w:tc>
          <w:tcPr>
            <w:tcW w:w="477" w:type="pct"/>
            <w:tcBorders>
              <w:top w:val="nil"/>
              <w:left w:val="nil"/>
              <w:bottom w:val="nil"/>
              <w:right w:val="nil"/>
            </w:tcBorders>
            <w:vAlign w:val="center"/>
          </w:tcPr>
          <w:p w14:paraId="212E870B" w14:textId="77777777" w:rsidR="00FF5C5C" w:rsidRPr="00AF7D9D" w:rsidRDefault="00FF5C5C" w:rsidP="00FF5C5C">
            <w:pPr>
              <w:contextualSpacing/>
              <w:jc w:val="center"/>
              <w:rPr>
                <w:rFonts w:eastAsia="Calibri"/>
              </w:rPr>
            </w:pPr>
            <w:r w:rsidRPr="00AF7D9D">
              <w:rPr>
                <w:rFonts w:eastAsia="Calibri"/>
              </w:rPr>
              <w:t>.25**</w:t>
            </w:r>
          </w:p>
        </w:tc>
        <w:tc>
          <w:tcPr>
            <w:tcW w:w="477" w:type="pct"/>
            <w:tcBorders>
              <w:top w:val="nil"/>
              <w:left w:val="nil"/>
              <w:bottom w:val="nil"/>
              <w:right w:val="nil"/>
            </w:tcBorders>
            <w:vAlign w:val="center"/>
          </w:tcPr>
          <w:p w14:paraId="10FF6453" w14:textId="77777777" w:rsidR="00FF5C5C" w:rsidRPr="00AF7D9D" w:rsidRDefault="00FF5C5C" w:rsidP="00FF5C5C">
            <w:pPr>
              <w:contextualSpacing/>
              <w:jc w:val="center"/>
              <w:rPr>
                <w:rFonts w:eastAsia="Calibri"/>
              </w:rPr>
            </w:pPr>
            <w:r w:rsidRPr="00AF7D9D">
              <w:rPr>
                <w:rFonts w:eastAsia="Calibri"/>
              </w:rPr>
              <w:t>.17</w:t>
            </w:r>
          </w:p>
        </w:tc>
        <w:tc>
          <w:tcPr>
            <w:tcW w:w="478" w:type="pct"/>
            <w:tcBorders>
              <w:top w:val="nil"/>
              <w:left w:val="nil"/>
              <w:bottom w:val="nil"/>
              <w:right w:val="nil"/>
            </w:tcBorders>
            <w:vAlign w:val="center"/>
          </w:tcPr>
          <w:p w14:paraId="30B887E4" w14:textId="77777777" w:rsidR="00FF5C5C" w:rsidRPr="00AF7D9D" w:rsidRDefault="00AA03C4" w:rsidP="00FF5C5C">
            <w:pPr>
              <w:contextualSpacing/>
              <w:jc w:val="center"/>
              <w:rPr>
                <w:rFonts w:eastAsia="Calibri"/>
              </w:rPr>
            </w:pPr>
            <w:r w:rsidRPr="00AF7D9D">
              <w:rPr>
                <w:rFonts w:eastAsia="Calibri"/>
              </w:rPr>
              <w:t>.50</w:t>
            </w:r>
          </w:p>
        </w:tc>
        <w:tc>
          <w:tcPr>
            <w:tcW w:w="171" w:type="pct"/>
            <w:tcBorders>
              <w:top w:val="nil"/>
              <w:left w:val="nil"/>
              <w:bottom w:val="nil"/>
              <w:right w:val="nil"/>
            </w:tcBorders>
            <w:vAlign w:val="center"/>
          </w:tcPr>
          <w:p w14:paraId="3241F119" w14:textId="77777777" w:rsidR="00FF5C5C" w:rsidRPr="00AF7D9D" w:rsidRDefault="00FF5C5C" w:rsidP="00FF5C5C">
            <w:pPr>
              <w:contextualSpacing/>
              <w:jc w:val="center"/>
              <w:rPr>
                <w:rFonts w:eastAsia="Calibri"/>
              </w:rPr>
            </w:pPr>
          </w:p>
        </w:tc>
        <w:tc>
          <w:tcPr>
            <w:tcW w:w="477" w:type="pct"/>
            <w:tcBorders>
              <w:top w:val="nil"/>
              <w:left w:val="nil"/>
              <w:bottom w:val="nil"/>
              <w:right w:val="nil"/>
            </w:tcBorders>
            <w:vAlign w:val="center"/>
          </w:tcPr>
          <w:p w14:paraId="26CB198F" w14:textId="77777777" w:rsidR="00FF5C5C" w:rsidRPr="00AF7D9D" w:rsidRDefault="00FF5C5C" w:rsidP="00FF5C5C">
            <w:pPr>
              <w:contextualSpacing/>
              <w:jc w:val="center"/>
              <w:rPr>
                <w:rFonts w:eastAsia="Calibri"/>
              </w:rPr>
            </w:pPr>
            <w:r w:rsidRPr="00AF7D9D">
              <w:rPr>
                <w:rFonts w:eastAsia="Calibri"/>
              </w:rPr>
              <w:t>.26**</w:t>
            </w:r>
          </w:p>
        </w:tc>
        <w:tc>
          <w:tcPr>
            <w:tcW w:w="477" w:type="pct"/>
            <w:tcBorders>
              <w:top w:val="nil"/>
              <w:left w:val="nil"/>
              <w:bottom w:val="nil"/>
              <w:right w:val="nil"/>
            </w:tcBorders>
            <w:vAlign w:val="center"/>
          </w:tcPr>
          <w:p w14:paraId="58A055BE" w14:textId="77777777" w:rsidR="00FF5C5C" w:rsidRPr="00AF7D9D" w:rsidRDefault="00FF5C5C" w:rsidP="00FF5C5C">
            <w:pPr>
              <w:contextualSpacing/>
              <w:jc w:val="center"/>
              <w:rPr>
                <w:rFonts w:eastAsia="Calibri"/>
              </w:rPr>
            </w:pPr>
            <w:r w:rsidRPr="00AF7D9D">
              <w:rPr>
                <w:rFonts w:eastAsia="Calibri"/>
              </w:rPr>
              <w:t>.19</w:t>
            </w:r>
          </w:p>
        </w:tc>
        <w:tc>
          <w:tcPr>
            <w:tcW w:w="464" w:type="pct"/>
            <w:tcBorders>
              <w:top w:val="nil"/>
              <w:left w:val="nil"/>
              <w:bottom w:val="nil"/>
              <w:right w:val="nil"/>
            </w:tcBorders>
            <w:vAlign w:val="center"/>
          </w:tcPr>
          <w:p w14:paraId="1A064F37" w14:textId="77777777" w:rsidR="00FF5C5C" w:rsidRPr="00AF7D9D" w:rsidRDefault="00AA03C4" w:rsidP="00FF5C5C">
            <w:pPr>
              <w:contextualSpacing/>
              <w:jc w:val="center"/>
              <w:rPr>
                <w:rFonts w:eastAsia="Calibri"/>
              </w:rPr>
            </w:pPr>
            <w:r w:rsidRPr="00AF7D9D">
              <w:rPr>
                <w:rFonts w:eastAsia="Calibri"/>
              </w:rPr>
              <w:t>.34</w:t>
            </w:r>
          </w:p>
        </w:tc>
      </w:tr>
      <w:tr w:rsidR="00FF5C5C" w:rsidRPr="00AF7D9D" w14:paraId="39DDE714" w14:textId="77777777" w:rsidTr="00641C2C">
        <w:trPr>
          <w:trHeight w:val="324"/>
        </w:trPr>
        <w:tc>
          <w:tcPr>
            <w:tcW w:w="1250" w:type="pct"/>
            <w:tcBorders>
              <w:top w:val="nil"/>
              <w:left w:val="nil"/>
              <w:bottom w:val="nil"/>
              <w:right w:val="nil"/>
            </w:tcBorders>
          </w:tcPr>
          <w:p w14:paraId="1645687D" w14:textId="77777777" w:rsidR="00FF5C5C" w:rsidRPr="00AF7D9D" w:rsidRDefault="00FF5C5C" w:rsidP="0032775A">
            <w:pPr>
              <w:contextualSpacing/>
              <w:rPr>
                <w:rFonts w:eastAsia="Calibri"/>
              </w:rPr>
            </w:pPr>
            <w:r w:rsidRPr="00AF7D9D">
              <w:rPr>
                <w:rFonts w:eastAsia="Calibri"/>
              </w:rPr>
              <w:t xml:space="preserve">   PPI-R SCI</w:t>
            </w:r>
          </w:p>
        </w:tc>
        <w:tc>
          <w:tcPr>
            <w:tcW w:w="590" w:type="pct"/>
            <w:tcBorders>
              <w:top w:val="nil"/>
              <w:left w:val="nil"/>
              <w:bottom w:val="nil"/>
              <w:right w:val="nil"/>
            </w:tcBorders>
            <w:vAlign w:val="center"/>
          </w:tcPr>
          <w:p w14:paraId="7FC64113" w14:textId="77777777" w:rsidR="00FF5C5C" w:rsidRPr="00AF7D9D" w:rsidRDefault="00FF5C5C" w:rsidP="00FF5C5C">
            <w:pPr>
              <w:contextualSpacing/>
              <w:jc w:val="center"/>
              <w:rPr>
                <w:rFonts w:eastAsia="Calibri"/>
              </w:rPr>
            </w:pPr>
            <w:r w:rsidRPr="00AF7D9D">
              <w:rPr>
                <w:rFonts w:eastAsia="Calibri"/>
              </w:rPr>
              <w:t>.64**</w:t>
            </w:r>
          </w:p>
        </w:tc>
        <w:tc>
          <w:tcPr>
            <w:tcW w:w="139" w:type="pct"/>
            <w:tcBorders>
              <w:top w:val="nil"/>
              <w:left w:val="nil"/>
              <w:bottom w:val="nil"/>
              <w:right w:val="nil"/>
            </w:tcBorders>
            <w:vAlign w:val="center"/>
          </w:tcPr>
          <w:p w14:paraId="73BB628C" w14:textId="77777777" w:rsidR="00FF5C5C" w:rsidRPr="00AF7D9D" w:rsidRDefault="00FF5C5C" w:rsidP="00FF5C5C">
            <w:pPr>
              <w:contextualSpacing/>
              <w:jc w:val="center"/>
              <w:rPr>
                <w:rFonts w:eastAsia="Calibri"/>
              </w:rPr>
            </w:pPr>
          </w:p>
        </w:tc>
        <w:tc>
          <w:tcPr>
            <w:tcW w:w="477" w:type="pct"/>
            <w:tcBorders>
              <w:top w:val="nil"/>
              <w:left w:val="nil"/>
              <w:bottom w:val="nil"/>
              <w:right w:val="nil"/>
            </w:tcBorders>
            <w:vAlign w:val="center"/>
          </w:tcPr>
          <w:p w14:paraId="76C07D62" w14:textId="77777777" w:rsidR="00FF5C5C" w:rsidRPr="00AF7D9D" w:rsidRDefault="00FF5C5C" w:rsidP="00FF5C5C">
            <w:pPr>
              <w:contextualSpacing/>
              <w:jc w:val="center"/>
              <w:rPr>
                <w:rFonts w:eastAsia="Calibri"/>
              </w:rPr>
            </w:pPr>
            <w:r w:rsidRPr="00AF7D9D">
              <w:rPr>
                <w:rFonts w:eastAsia="Calibri"/>
              </w:rPr>
              <w:t>.67**</w:t>
            </w:r>
          </w:p>
        </w:tc>
        <w:tc>
          <w:tcPr>
            <w:tcW w:w="477" w:type="pct"/>
            <w:tcBorders>
              <w:top w:val="nil"/>
              <w:left w:val="nil"/>
              <w:bottom w:val="nil"/>
              <w:right w:val="nil"/>
            </w:tcBorders>
            <w:vAlign w:val="center"/>
          </w:tcPr>
          <w:p w14:paraId="5197016D" w14:textId="77777777" w:rsidR="00FF5C5C" w:rsidRPr="00AF7D9D" w:rsidRDefault="00FF5C5C" w:rsidP="00FF5C5C">
            <w:pPr>
              <w:contextualSpacing/>
              <w:jc w:val="center"/>
              <w:rPr>
                <w:rFonts w:eastAsia="Calibri"/>
              </w:rPr>
            </w:pPr>
            <w:r w:rsidRPr="00AF7D9D">
              <w:rPr>
                <w:rFonts w:eastAsia="Calibri"/>
              </w:rPr>
              <w:t>.39**</w:t>
            </w:r>
          </w:p>
        </w:tc>
        <w:tc>
          <w:tcPr>
            <w:tcW w:w="478" w:type="pct"/>
            <w:tcBorders>
              <w:top w:val="nil"/>
              <w:left w:val="nil"/>
              <w:bottom w:val="nil"/>
              <w:right w:val="nil"/>
            </w:tcBorders>
            <w:vAlign w:val="center"/>
          </w:tcPr>
          <w:p w14:paraId="291E90EF" w14:textId="77777777" w:rsidR="00FF5C5C" w:rsidRPr="00AF7D9D" w:rsidRDefault="00AA03C4" w:rsidP="00FF5C5C">
            <w:pPr>
              <w:contextualSpacing/>
              <w:jc w:val="center"/>
              <w:rPr>
                <w:rFonts w:eastAsia="Calibri"/>
              </w:rPr>
            </w:pPr>
            <w:r w:rsidRPr="00AF7D9D">
              <w:rPr>
                <w:rFonts w:eastAsia="Calibri"/>
              </w:rPr>
              <w:t>2.38**</w:t>
            </w:r>
          </w:p>
        </w:tc>
        <w:tc>
          <w:tcPr>
            <w:tcW w:w="171" w:type="pct"/>
            <w:tcBorders>
              <w:top w:val="nil"/>
              <w:left w:val="nil"/>
              <w:bottom w:val="nil"/>
              <w:right w:val="nil"/>
            </w:tcBorders>
            <w:vAlign w:val="center"/>
          </w:tcPr>
          <w:p w14:paraId="14AAEE9A" w14:textId="77777777" w:rsidR="00FF5C5C" w:rsidRPr="00AF7D9D" w:rsidRDefault="00FF5C5C" w:rsidP="00FF5C5C">
            <w:pPr>
              <w:contextualSpacing/>
              <w:jc w:val="center"/>
              <w:rPr>
                <w:rFonts w:eastAsia="Calibri"/>
              </w:rPr>
            </w:pPr>
          </w:p>
        </w:tc>
        <w:tc>
          <w:tcPr>
            <w:tcW w:w="477" w:type="pct"/>
            <w:tcBorders>
              <w:top w:val="nil"/>
              <w:left w:val="nil"/>
              <w:bottom w:val="nil"/>
              <w:right w:val="nil"/>
            </w:tcBorders>
            <w:vAlign w:val="center"/>
          </w:tcPr>
          <w:p w14:paraId="7C90523F" w14:textId="77777777" w:rsidR="00FF5C5C" w:rsidRPr="00AF7D9D" w:rsidRDefault="00FF5C5C" w:rsidP="00FF5C5C">
            <w:pPr>
              <w:contextualSpacing/>
              <w:jc w:val="center"/>
              <w:rPr>
                <w:rFonts w:eastAsia="Calibri"/>
              </w:rPr>
            </w:pPr>
            <w:r w:rsidRPr="00AF7D9D">
              <w:rPr>
                <w:rFonts w:eastAsia="Calibri"/>
              </w:rPr>
              <w:t>.65**</w:t>
            </w:r>
          </w:p>
        </w:tc>
        <w:tc>
          <w:tcPr>
            <w:tcW w:w="477" w:type="pct"/>
            <w:tcBorders>
              <w:top w:val="nil"/>
              <w:left w:val="nil"/>
              <w:bottom w:val="nil"/>
              <w:right w:val="nil"/>
            </w:tcBorders>
            <w:vAlign w:val="center"/>
          </w:tcPr>
          <w:p w14:paraId="47B045F4" w14:textId="77777777" w:rsidR="00FF5C5C" w:rsidRPr="00AF7D9D" w:rsidRDefault="00FF5C5C" w:rsidP="00FF5C5C">
            <w:pPr>
              <w:contextualSpacing/>
              <w:jc w:val="center"/>
              <w:rPr>
                <w:rFonts w:eastAsia="Calibri"/>
              </w:rPr>
            </w:pPr>
            <w:r w:rsidRPr="00AF7D9D">
              <w:rPr>
                <w:rFonts w:eastAsia="Calibri"/>
              </w:rPr>
              <w:t>.41*</w:t>
            </w:r>
          </w:p>
        </w:tc>
        <w:tc>
          <w:tcPr>
            <w:tcW w:w="464" w:type="pct"/>
            <w:tcBorders>
              <w:top w:val="nil"/>
              <w:left w:val="nil"/>
              <w:bottom w:val="nil"/>
              <w:right w:val="nil"/>
            </w:tcBorders>
            <w:vAlign w:val="center"/>
          </w:tcPr>
          <w:p w14:paraId="50788046" w14:textId="77777777" w:rsidR="00FF5C5C" w:rsidRPr="00AF7D9D" w:rsidRDefault="00AA03C4" w:rsidP="00FF5C5C">
            <w:pPr>
              <w:contextualSpacing/>
              <w:jc w:val="center"/>
              <w:rPr>
                <w:rFonts w:eastAsia="Calibri"/>
              </w:rPr>
            </w:pPr>
            <w:r w:rsidRPr="00AF7D9D">
              <w:rPr>
                <w:rFonts w:eastAsia="Calibri"/>
              </w:rPr>
              <w:t>1.56</w:t>
            </w:r>
          </w:p>
        </w:tc>
      </w:tr>
      <w:tr w:rsidR="00FF5C5C" w:rsidRPr="00AF7D9D" w14:paraId="2CA98545" w14:textId="77777777" w:rsidTr="00641C2C">
        <w:trPr>
          <w:trHeight w:val="324"/>
        </w:trPr>
        <w:tc>
          <w:tcPr>
            <w:tcW w:w="1250" w:type="pct"/>
            <w:tcBorders>
              <w:top w:val="nil"/>
              <w:left w:val="nil"/>
              <w:bottom w:val="single" w:sz="4" w:space="0" w:color="auto"/>
              <w:right w:val="nil"/>
            </w:tcBorders>
          </w:tcPr>
          <w:p w14:paraId="10F6C874" w14:textId="77777777" w:rsidR="00FF5C5C" w:rsidRPr="00AF7D9D" w:rsidRDefault="00FF5C5C" w:rsidP="0032775A">
            <w:pPr>
              <w:contextualSpacing/>
              <w:rPr>
                <w:rFonts w:eastAsia="Calibri"/>
              </w:rPr>
            </w:pPr>
            <w:r w:rsidRPr="00AF7D9D">
              <w:rPr>
                <w:rFonts w:eastAsia="Calibri"/>
              </w:rPr>
              <w:t xml:space="preserve">   PPI-R CH</w:t>
            </w:r>
          </w:p>
        </w:tc>
        <w:tc>
          <w:tcPr>
            <w:tcW w:w="590" w:type="pct"/>
            <w:tcBorders>
              <w:top w:val="nil"/>
              <w:left w:val="nil"/>
              <w:bottom w:val="single" w:sz="4" w:space="0" w:color="auto"/>
              <w:right w:val="nil"/>
            </w:tcBorders>
            <w:vAlign w:val="center"/>
          </w:tcPr>
          <w:p w14:paraId="6674C9FA" w14:textId="77777777" w:rsidR="00FF5C5C" w:rsidRPr="00AF7D9D" w:rsidRDefault="00FF5C5C" w:rsidP="00FF5C5C">
            <w:pPr>
              <w:contextualSpacing/>
              <w:jc w:val="center"/>
              <w:rPr>
                <w:rFonts w:eastAsia="Calibri"/>
              </w:rPr>
            </w:pPr>
            <w:r w:rsidRPr="00AF7D9D">
              <w:rPr>
                <w:rFonts w:eastAsia="Calibri"/>
              </w:rPr>
              <w:t>.32**</w:t>
            </w:r>
          </w:p>
        </w:tc>
        <w:tc>
          <w:tcPr>
            <w:tcW w:w="139" w:type="pct"/>
            <w:tcBorders>
              <w:top w:val="nil"/>
              <w:left w:val="nil"/>
              <w:bottom w:val="single" w:sz="4" w:space="0" w:color="auto"/>
              <w:right w:val="nil"/>
            </w:tcBorders>
            <w:vAlign w:val="center"/>
          </w:tcPr>
          <w:p w14:paraId="297572BC" w14:textId="77777777" w:rsidR="00FF5C5C" w:rsidRPr="00AF7D9D" w:rsidRDefault="00FF5C5C" w:rsidP="00FF5C5C">
            <w:pPr>
              <w:contextualSpacing/>
              <w:jc w:val="center"/>
              <w:rPr>
                <w:rFonts w:eastAsia="Calibri"/>
              </w:rPr>
            </w:pPr>
          </w:p>
        </w:tc>
        <w:tc>
          <w:tcPr>
            <w:tcW w:w="477" w:type="pct"/>
            <w:tcBorders>
              <w:top w:val="nil"/>
              <w:left w:val="nil"/>
              <w:bottom w:val="single" w:sz="4" w:space="0" w:color="auto"/>
              <w:right w:val="nil"/>
            </w:tcBorders>
            <w:vAlign w:val="center"/>
          </w:tcPr>
          <w:p w14:paraId="19BF53E4" w14:textId="77777777" w:rsidR="00FF5C5C" w:rsidRPr="00AF7D9D" w:rsidRDefault="00FF5C5C" w:rsidP="00FF5C5C">
            <w:pPr>
              <w:contextualSpacing/>
              <w:jc w:val="center"/>
              <w:rPr>
                <w:rFonts w:eastAsia="Calibri"/>
              </w:rPr>
            </w:pPr>
            <w:r w:rsidRPr="00AF7D9D">
              <w:rPr>
                <w:rFonts w:eastAsia="Calibri"/>
              </w:rPr>
              <w:t>.32**</w:t>
            </w:r>
          </w:p>
        </w:tc>
        <w:tc>
          <w:tcPr>
            <w:tcW w:w="477" w:type="pct"/>
            <w:tcBorders>
              <w:top w:val="nil"/>
              <w:left w:val="nil"/>
              <w:bottom w:val="single" w:sz="4" w:space="0" w:color="auto"/>
              <w:right w:val="nil"/>
            </w:tcBorders>
            <w:vAlign w:val="center"/>
          </w:tcPr>
          <w:p w14:paraId="5C021124" w14:textId="77777777" w:rsidR="00FF5C5C" w:rsidRPr="00AF7D9D" w:rsidRDefault="00FF5C5C" w:rsidP="00FF5C5C">
            <w:pPr>
              <w:contextualSpacing/>
              <w:jc w:val="center"/>
              <w:rPr>
                <w:rFonts w:eastAsia="Calibri"/>
              </w:rPr>
            </w:pPr>
            <w:r w:rsidRPr="00AF7D9D">
              <w:rPr>
                <w:rFonts w:eastAsia="Calibri"/>
              </w:rPr>
              <w:t>.23</w:t>
            </w:r>
          </w:p>
        </w:tc>
        <w:tc>
          <w:tcPr>
            <w:tcW w:w="478" w:type="pct"/>
            <w:tcBorders>
              <w:top w:val="nil"/>
              <w:left w:val="nil"/>
              <w:bottom w:val="single" w:sz="4" w:space="0" w:color="auto"/>
              <w:right w:val="nil"/>
            </w:tcBorders>
            <w:vAlign w:val="center"/>
          </w:tcPr>
          <w:p w14:paraId="56587E93" w14:textId="77777777" w:rsidR="00FF5C5C" w:rsidRPr="00AF7D9D" w:rsidRDefault="00AA03C4" w:rsidP="00FF5C5C">
            <w:pPr>
              <w:contextualSpacing/>
              <w:jc w:val="center"/>
              <w:rPr>
                <w:rFonts w:eastAsia="Calibri"/>
              </w:rPr>
            </w:pPr>
            <w:r w:rsidRPr="00AF7D9D">
              <w:rPr>
                <w:rFonts w:eastAsia="Calibri"/>
              </w:rPr>
              <w:t>.58</w:t>
            </w:r>
          </w:p>
        </w:tc>
        <w:tc>
          <w:tcPr>
            <w:tcW w:w="171" w:type="pct"/>
            <w:tcBorders>
              <w:top w:val="nil"/>
              <w:left w:val="nil"/>
              <w:bottom w:val="single" w:sz="4" w:space="0" w:color="auto"/>
              <w:right w:val="nil"/>
            </w:tcBorders>
            <w:vAlign w:val="center"/>
          </w:tcPr>
          <w:p w14:paraId="1BFCA7D8" w14:textId="77777777" w:rsidR="00FF5C5C" w:rsidRPr="00AF7D9D" w:rsidRDefault="00FF5C5C" w:rsidP="00FF5C5C">
            <w:pPr>
              <w:contextualSpacing/>
              <w:jc w:val="center"/>
              <w:rPr>
                <w:rFonts w:eastAsia="Calibri"/>
              </w:rPr>
            </w:pPr>
          </w:p>
        </w:tc>
        <w:tc>
          <w:tcPr>
            <w:tcW w:w="477" w:type="pct"/>
            <w:tcBorders>
              <w:top w:val="nil"/>
              <w:left w:val="nil"/>
              <w:bottom w:val="single" w:sz="4" w:space="0" w:color="auto"/>
              <w:right w:val="nil"/>
            </w:tcBorders>
            <w:vAlign w:val="center"/>
          </w:tcPr>
          <w:p w14:paraId="46BFC629" w14:textId="77777777" w:rsidR="00FF5C5C" w:rsidRPr="00AF7D9D" w:rsidRDefault="00FF5C5C" w:rsidP="00FF5C5C">
            <w:pPr>
              <w:contextualSpacing/>
              <w:jc w:val="center"/>
              <w:rPr>
                <w:rFonts w:eastAsia="Calibri"/>
              </w:rPr>
            </w:pPr>
            <w:r w:rsidRPr="00AF7D9D">
              <w:rPr>
                <w:rFonts w:eastAsia="Calibri"/>
              </w:rPr>
              <w:t>.30**</w:t>
            </w:r>
          </w:p>
        </w:tc>
        <w:tc>
          <w:tcPr>
            <w:tcW w:w="477" w:type="pct"/>
            <w:tcBorders>
              <w:top w:val="nil"/>
              <w:left w:val="nil"/>
              <w:bottom w:val="single" w:sz="4" w:space="0" w:color="auto"/>
              <w:right w:val="nil"/>
            </w:tcBorders>
            <w:vAlign w:val="center"/>
          </w:tcPr>
          <w:p w14:paraId="4621F1AE" w14:textId="77777777" w:rsidR="00FF5C5C" w:rsidRPr="00AF7D9D" w:rsidRDefault="00FF5C5C" w:rsidP="00FF5C5C">
            <w:pPr>
              <w:contextualSpacing/>
              <w:jc w:val="center"/>
              <w:rPr>
                <w:rFonts w:eastAsia="Calibri"/>
              </w:rPr>
            </w:pPr>
            <w:r w:rsidRPr="00AF7D9D">
              <w:rPr>
                <w:rFonts w:eastAsia="Calibri"/>
              </w:rPr>
              <w:t>.33</w:t>
            </w:r>
          </w:p>
        </w:tc>
        <w:tc>
          <w:tcPr>
            <w:tcW w:w="464" w:type="pct"/>
            <w:tcBorders>
              <w:top w:val="nil"/>
              <w:left w:val="nil"/>
              <w:bottom w:val="single" w:sz="4" w:space="0" w:color="auto"/>
              <w:right w:val="nil"/>
            </w:tcBorders>
            <w:vAlign w:val="center"/>
          </w:tcPr>
          <w:p w14:paraId="1F41716F" w14:textId="77777777" w:rsidR="00FF5C5C" w:rsidRPr="00AF7D9D" w:rsidRDefault="00AA03C4" w:rsidP="00FF5C5C">
            <w:pPr>
              <w:contextualSpacing/>
              <w:jc w:val="center"/>
              <w:rPr>
                <w:rFonts w:eastAsia="Calibri"/>
              </w:rPr>
            </w:pPr>
            <w:r w:rsidRPr="00AF7D9D">
              <w:rPr>
                <w:rFonts w:eastAsia="Calibri"/>
              </w:rPr>
              <w:t>-.15</w:t>
            </w:r>
          </w:p>
        </w:tc>
      </w:tr>
      <w:tr w:rsidR="00FF5C5C" w:rsidRPr="00AF7D9D" w14:paraId="080F2C0B" w14:textId="77777777" w:rsidTr="00641C2C">
        <w:trPr>
          <w:trHeight w:val="324"/>
        </w:trPr>
        <w:tc>
          <w:tcPr>
            <w:tcW w:w="1250" w:type="pct"/>
            <w:tcBorders>
              <w:top w:val="nil"/>
              <w:left w:val="nil"/>
              <w:bottom w:val="single" w:sz="4" w:space="0" w:color="auto"/>
              <w:right w:val="nil"/>
            </w:tcBorders>
          </w:tcPr>
          <w:p w14:paraId="7E6A68A7" w14:textId="77777777" w:rsidR="00FF5C5C" w:rsidRPr="00AF7D9D" w:rsidRDefault="00FF5C5C" w:rsidP="0032775A">
            <w:pPr>
              <w:contextualSpacing/>
              <w:rPr>
                <w:rFonts w:eastAsia="Calibri"/>
              </w:rPr>
            </w:pPr>
            <w:r w:rsidRPr="00AF7D9D">
              <w:rPr>
                <w:rFonts w:eastAsia="Calibri"/>
              </w:rPr>
              <w:t xml:space="preserve">   PPI-R IR-15</w:t>
            </w:r>
          </w:p>
        </w:tc>
        <w:tc>
          <w:tcPr>
            <w:tcW w:w="590" w:type="pct"/>
            <w:tcBorders>
              <w:top w:val="nil"/>
              <w:left w:val="nil"/>
              <w:bottom w:val="single" w:sz="4" w:space="0" w:color="auto"/>
              <w:right w:val="nil"/>
            </w:tcBorders>
            <w:vAlign w:val="center"/>
          </w:tcPr>
          <w:p w14:paraId="533DBE89" w14:textId="77777777" w:rsidR="00FF5C5C" w:rsidRPr="00AF7D9D" w:rsidRDefault="00FF5C5C" w:rsidP="00FF5C5C">
            <w:pPr>
              <w:contextualSpacing/>
              <w:jc w:val="center"/>
              <w:rPr>
                <w:rFonts w:eastAsia="Calibri"/>
              </w:rPr>
            </w:pPr>
            <w:r w:rsidRPr="00AF7D9D">
              <w:rPr>
                <w:rFonts w:eastAsia="Calibri"/>
              </w:rPr>
              <w:t>-.04</w:t>
            </w:r>
          </w:p>
        </w:tc>
        <w:tc>
          <w:tcPr>
            <w:tcW w:w="139" w:type="pct"/>
            <w:tcBorders>
              <w:top w:val="nil"/>
              <w:left w:val="nil"/>
              <w:bottom w:val="single" w:sz="4" w:space="0" w:color="auto"/>
              <w:right w:val="nil"/>
            </w:tcBorders>
            <w:vAlign w:val="center"/>
          </w:tcPr>
          <w:p w14:paraId="02C36EF5" w14:textId="77777777" w:rsidR="00FF5C5C" w:rsidRPr="00AF7D9D" w:rsidRDefault="00FF5C5C" w:rsidP="00FF5C5C">
            <w:pPr>
              <w:contextualSpacing/>
              <w:jc w:val="center"/>
              <w:rPr>
                <w:rFonts w:eastAsia="Calibri"/>
              </w:rPr>
            </w:pPr>
          </w:p>
        </w:tc>
        <w:tc>
          <w:tcPr>
            <w:tcW w:w="477" w:type="pct"/>
            <w:tcBorders>
              <w:top w:val="nil"/>
              <w:left w:val="nil"/>
              <w:bottom w:val="single" w:sz="4" w:space="0" w:color="auto"/>
              <w:right w:val="nil"/>
            </w:tcBorders>
            <w:vAlign w:val="center"/>
          </w:tcPr>
          <w:p w14:paraId="1E8450AC" w14:textId="77777777" w:rsidR="00FF5C5C" w:rsidRPr="00AF7D9D" w:rsidRDefault="00FF5C5C" w:rsidP="00FF5C5C">
            <w:pPr>
              <w:contextualSpacing/>
              <w:jc w:val="center"/>
              <w:rPr>
                <w:rFonts w:eastAsia="Calibri"/>
              </w:rPr>
            </w:pPr>
            <w:r w:rsidRPr="00AF7D9D">
              <w:rPr>
                <w:rFonts w:eastAsia="Calibri"/>
              </w:rPr>
              <w:t>-.12</w:t>
            </w:r>
          </w:p>
        </w:tc>
        <w:tc>
          <w:tcPr>
            <w:tcW w:w="477" w:type="pct"/>
            <w:tcBorders>
              <w:top w:val="nil"/>
              <w:left w:val="nil"/>
              <w:bottom w:val="single" w:sz="4" w:space="0" w:color="auto"/>
              <w:right w:val="nil"/>
            </w:tcBorders>
            <w:vAlign w:val="center"/>
          </w:tcPr>
          <w:p w14:paraId="55179BA5" w14:textId="77777777" w:rsidR="00FF5C5C" w:rsidRPr="00AF7D9D" w:rsidRDefault="00FF5C5C" w:rsidP="00FF5C5C">
            <w:pPr>
              <w:contextualSpacing/>
              <w:jc w:val="center"/>
              <w:rPr>
                <w:rFonts w:eastAsia="Calibri"/>
              </w:rPr>
            </w:pPr>
            <w:r w:rsidRPr="00AF7D9D">
              <w:rPr>
                <w:rFonts w:eastAsia="Calibri"/>
              </w:rPr>
              <w:t>.08</w:t>
            </w:r>
          </w:p>
        </w:tc>
        <w:tc>
          <w:tcPr>
            <w:tcW w:w="478" w:type="pct"/>
            <w:tcBorders>
              <w:top w:val="nil"/>
              <w:left w:val="nil"/>
              <w:bottom w:val="single" w:sz="4" w:space="0" w:color="auto"/>
              <w:right w:val="nil"/>
            </w:tcBorders>
            <w:vAlign w:val="center"/>
          </w:tcPr>
          <w:p w14:paraId="05BAEC86" w14:textId="77777777" w:rsidR="00FF5C5C" w:rsidRPr="00AF7D9D" w:rsidRDefault="00AA03C4" w:rsidP="00FF5C5C">
            <w:pPr>
              <w:contextualSpacing/>
              <w:jc w:val="center"/>
              <w:rPr>
                <w:rFonts w:eastAsia="Calibri"/>
              </w:rPr>
            </w:pPr>
            <w:r w:rsidRPr="00AF7D9D">
              <w:rPr>
                <w:rFonts w:eastAsia="Calibri"/>
              </w:rPr>
              <w:t>-1.20</w:t>
            </w:r>
          </w:p>
        </w:tc>
        <w:tc>
          <w:tcPr>
            <w:tcW w:w="171" w:type="pct"/>
            <w:tcBorders>
              <w:top w:val="nil"/>
              <w:left w:val="nil"/>
              <w:bottom w:val="single" w:sz="4" w:space="0" w:color="auto"/>
              <w:right w:val="nil"/>
            </w:tcBorders>
            <w:vAlign w:val="center"/>
          </w:tcPr>
          <w:p w14:paraId="6F109383" w14:textId="77777777" w:rsidR="00FF5C5C" w:rsidRPr="00AF7D9D" w:rsidRDefault="00FF5C5C" w:rsidP="00FF5C5C">
            <w:pPr>
              <w:contextualSpacing/>
              <w:jc w:val="center"/>
              <w:rPr>
                <w:rFonts w:eastAsia="Calibri"/>
              </w:rPr>
            </w:pPr>
          </w:p>
        </w:tc>
        <w:tc>
          <w:tcPr>
            <w:tcW w:w="477" w:type="pct"/>
            <w:tcBorders>
              <w:top w:val="nil"/>
              <w:left w:val="nil"/>
              <w:bottom w:val="single" w:sz="4" w:space="0" w:color="auto"/>
              <w:right w:val="nil"/>
            </w:tcBorders>
            <w:vAlign w:val="center"/>
          </w:tcPr>
          <w:p w14:paraId="69F809B0" w14:textId="77777777" w:rsidR="00FF5C5C" w:rsidRPr="00AF7D9D" w:rsidRDefault="00FF5C5C" w:rsidP="00FF5C5C">
            <w:pPr>
              <w:contextualSpacing/>
              <w:jc w:val="center"/>
              <w:rPr>
                <w:rFonts w:eastAsia="Calibri"/>
              </w:rPr>
            </w:pPr>
            <w:r w:rsidRPr="00AF7D9D">
              <w:rPr>
                <w:rFonts w:eastAsia="Calibri"/>
              </w:rPr>
              <w:t>-.09</w:t>
            </w:r>
          </w:p>
        </w:tc>
        <w:tc>
          <w:tcPr>
            <w:tcW w:w="477" w:type="pct"/>
            <w:tcBorders>
              <w:top w:val="nil"/>
              <w:left w:val="nil"/>
              <w:bottom w:val="single" w:sz="4" w:space="0" w:color="auto"/>
              <w:right w:val="nil"/>
            </w:tcBorders>
            <w:vAlign w:val="center"/>
          </w:tcPr>
          <w:p w14:paraId="6B98A3F0" w14:textId="77777777" w:rsidR="00FF5C5C" w:rsidRPr="00AF7D9D" w:rsidRDefault="00FF5C5C" w:rsidP="00FF5C5C">
            <w:pPr>
              <w:contextualSpacing/>
              <w:jc w:val="center"/>
              <w:rPr>
                <w:rFonts w:eastAsia="Calibri"/>
              </w:rPr>
            </w:pPr>
            <w:r w:rsidRPr="00AF7D9D">
              <w:rPr>
                <w:rFonts w:eastAsia="Calibri"/>
              </w:rPr>
              <w:t>.07</w:t>
            </w:r>
          </w:p>
        </w:tc>
        <w:tc>
          <w:tcPr>
            <w:tcW w:w="464" w:type="pct"/>
            <w:tcBorders>
              <w:top w:val="nil"/>
              <w:left w:val="nil"/>
              <w:bottom w:val="single" w:sz="4" w:space="0" w:color="auto"/>
              <w:right w:val="nil"/>
            </w:tcBorders>
            <w:vAlign w:val="center"/>
          </w:tcPr>
          <w:p w14:paraId="59D629D1" w14:textId="77777777" w:rsidR="00FF5C5C" w:rsidRPr="00AF7D9D" w:rsidRDefault="00AA03C4" w:rsidP="00FF5C5C">
            <w:pPr>
              <w:contextualSpacing/>
              <w:jc w:val="center"/>
              <w:rPr>
                <w:rFonts w:eastAsia="Calibri"/>
              </w:rPr>
            </w:pPr>
            <w:r w:rsidRPr="00AF7D9D">
              <w:rPr>
                <w:rFonts w:eastAsia="Calibri"/>
              </w:rPr>
              <w:t>-.74</w:t>
            </w:r>
          </w:p>
        </w:tc>
      </w:tr>
      <w:tr w:rsidR="00FF5C5C" w:rsidRPr="00AF7D9D" w14:paraId="2A8679EE" w14:textId="77777777" w:rsidTr="00641C2C">
        <w:trPr>
          <w:trHeight w:val="324"/>
        </w:trPr>
        <w:tc>
          <w:tcPr>
            <w:tcW w:w="1250" w:type="pct"/>
            <w:tcBorders>
              <w:top w:val="nil"/>
              <w:left w:val="nil"/>
              <w:bottom w:val="single" w:sz="4" w:space="0" w:color="auto"/>
              <w:right w:val="nil"/>
            </w:tcBorders>
          </w:tcPr>
          <w:p w14:paraId="491951CD" w14:textId="77777777" w:rsidR="00FF5C5C" w:rsidRPr="00AF7D9D" w:rsidRDefault="00FF5C5C" w:rsidP="0032775A">
            <w:pPr>
              <w:contextualSpacing/>
              <w:rPr>
                <w:rFonts w:eastAsia="Calibri"/>
              </w:rPr>
            </w:pPr>
            <w:r w:rsidRPr="00AF7D9D">
              <w:rPr>
                <w:rFonts w:eastAsia="Calibri"/>
              </w:rPr>
              <w:t xml:space="preserve">   PPI-R IR-40</w:t>
            </w:r>
          </w:p>
        </w:tc>
        <w:tc>
          <w:tcPr>
            <w:tcW w:w="590" w:type="pct"/>
            <w:tcBorders>
              <w:top w:val="nil"/>
              <w:left w:val="nil"/>
              <w:bottom w:val="single" w:sz="4" w:space="0" w:color="auto"/>
              <w:right w:val="nil"/>
            </w:tcBorders>
            <w:vAlign w:val="center"/>
          </w:tcPr>
          <w:p w14:paraId="6B63FAF7" w14:textId="77777777" w:rsidR="00FF5C5C" w:rsidRPr="00AF7D9D" w:rsidRDefault="00FF5C5C" w:rsidP="00FF5C5C">
            <w:pPr>
              <w:contextualSpacing/>
              <w:jc w:val="center"/>
              <w:rPr>
                <w:rFonts w:eastAsia="Calibri"/>
              </w:rPr>
            </w:pPr>
            <w:r w:rsidRPr="00AF7D9D">
              <w:rPr>
                <w:rFonts w:eastAsia="Calibri"/>
              </w:rPr>
              <w:t>.08</w:t>
            </w:r>
          </w:p>
        </w:tc>
        <w:tc>
          <w:tcPr>
            <w:tcW w:w="139" w:type="pct"/>
            <w:tcBorders>
              <w:top w:val="nil"/>
              <w:left w:val="nil"/>
              <w:bottom w:val="single" w:sz="4" w:space="0" w:color="auto"/>
              <w:right w:val="nil"/>
            </w:tcBorders>
            <w:vAlign w:val="center"/>
          </w:tcPr>
          <w:p w14:paraId="759FB93B" w14:textId="77777777" w:rsidR="00FF5C5C" w:rsidRPr="00AF7D9D" w:rsidRDefault="00FF5C5C" w:rsidP="00FF5C5C">
            <w:pPr>
              <w:contextualSpacing/>
              <w:jc w:val="center"/>
              <w:rPr>
                <w:rFonts w:eastAsia="Calibri"/>
              </w:rPr>
            </w:pPr>
          </w:p>
        </w:tc>
        <w:tc>
          <w:tcPr>
            <w:tcW w:w="477" w:type="pct"/>
            <w:tcBorders>
              <w:top w:val="nil"/>
              <w:left w:val="nil"/>
              <w:bottom w:val="single" w:sz="4" w:space="0" w:color="auto"/>
              <w:right w:val="nil"/>
            </w:tcBorders>
            <w:vAlign w:val="center"/>
          </w:tcPr>
          <w:p w14:paraId="0B921508" w14:textId="77777777" w:rsidR="00FF5C5C" w:rsidRPr="00AF7D9D" w:rsidRDefault="00FF5C5C" w:rsidP="00FF5C5C">
            <w:pPr>
              <w:contextualSpacing/>
              <w:jc w:val="center"/>
              <w:rPr>
                <w:rFonts w:eastAsia="Calibri"/>
              </w:rPr>
            </w:pPr>
            <w:r w:rsidRPr="00AF7D9D">
              <w:rPr>
                <w:rFonts w:eastAsia="Calibri"/>
              </w:rPr>
              <w:t>.02</w:t>
            </w:r>
          </w:p>
        </w:tc>
        <w:tc>
          <w:tcPr>
            <w:tcW w:w="477" w:type="pct"/>
            <w:tcBorders>
              <w:top w:val="nil"/>
              <w:left w:val="nil"/>
              <w:bottom w:val="single" w:sz="4" w:space="0" w:color="auto"/>
              <w:right w:val="nil"/>
            </w:tcBorders>
            <w:vAlign w:val="center"/>
          </w:tcPr>
          <w:p w14:paraId="7E3D8C79" w14:textId="77777777" w:rsidR="00FF5C5C" w:rsidRPr="00AF7D9D" w:rsidRDefault="00FF5C5C" w:rsidP="00FF5C5C">
            <w:pPr>
              <w:contextualSpacing/>
              <w:jc w:val="center"/>
              <w:rPr>
                <w:rFonts w:eastAsia="Calibri"/>
              </w:rPr>
            </w:pPr>
            <w:r w:rsidRPr="00AF7D9D">
              <w:rPr>
                <w:rFonts w:eastAsia="Calibri"/>
              </w:rPr>
              <w:t>.06</w:t>
            </w:r>
          </w:p>
        </w:tc>
        <w:tc>
          <w:tcPr>
            <w:tcW w:w="478" w:type="pct"/>
            <w:tcBorders>
              <w:top w:val="nil"/>
              <w:left w:val="nil"/>
              <w:bottom w:val="single" w:sz="4" w:space="0" w:color="auto"/>
              <w:right w:val="nil"/>
            </w:tcBorders>
            <w:vAlign w:val="center"/>
          </w:tcPr>
          <w:p w14:paraId="1A43037B" w14:textId="77777777" w:rsidR="00FF5C5C" w:rsidRPr="00AF7D9D" w:rsidRDefault="00AA03C4" w:rsidP="00FF5C5C">
            <w:pPr>
              <w:contextualSpacing/>
              <w:jc w:val="center"/>
              <w:rPr>
                <w:rFonts w:eastAsia="Calibri"/>
              </w:rPr>
            </w:pPr>
            <w:r w:rsidRPr="00AF7D9D">
              <w:rPr>
                <w:rFonts w:eastAsia="Calibri"/>
              </w:rPr>
              <w:t>-.24</w:t>
            </w:r>
          </w:p>
        </w:tc>
        <w:tc>
          <w:tcPr>
            <w:tcW w:w="171" w:type="pct"/>
            <w:tcBorders>
              <w:top w:val="nil"/>
              <w:left w:val="nil"/>
              <w:bottom w:val="single" w:sz="4" w:space="0" w:color="auto"/>
              <w:right w:val="nil"/>
            </w:tcBorders>
            <w:vAlign w:val="center"/>
          </w:tcPr>
          <w:p w14:paraId="17E95389" w14:textId="77777777" w:rsidR="00FF5C5C" w:rsidRPr="00AF7D9D" w:rsidRDefault="00FF5C5C" w:rsidP="00FF5C5C">
            <w:pPr>
              <w:contextualSpacing/>
              <w:jc w:val="center"/>
              <w:rPr>
                <w:rFonts w:eastAsia="Calibri"/>
              </w:rPr>
            </w:pPr>
          </w:p>
        </w:tc>
        <w:tc>
          <w:tcPr>
            <w:tcW w:w="477" w:type="pct"/>
            <w:tcBorders>
              <w:top w:val="nil"/>
              <w:left w:val="nil"/>
              <w:bottom w:val="single" w:sz="4" w:space="0" w:color="auto"/>
              <w:right w:val="nil"/>
            </w:tcBorders>
            <w:vAlign w:val="center"/>
          </w:tcPr>
          <w:p w14:paraId="6D367E0B" w14:textId="77777777" w:rsidR="00FF5C5C" w:rsidRPr="00AF7D9D" w:rsidRDefault="00FF5C5C" w:rsidP="00FF5C5C">
            <w:pPr>
              <w:contextualSpacing/>
              <w:jc w:val="center"/>
              <w:rPr>
                <w:rFonts w:eastAsia="Calibri"/>
              </w:rPr>
            </w:pPr>
            <w:r w:rsidRPr="00AF7D9D">
              <w:rPr>
                <w:rFonts w:eastAsia="Calibri"/>
              </w:rPr>
              <w:t>.04</w:t>
            </w:r>
          </w:p>
        </w:tc>
        <w:tc>
          <w:tcPr>
            <w:tcW w:w="477" w:type="pct"/>
            <w:tcBorders>
              <w:top w:val="nil"/>
              <w:left w:val="nil"/>
              <w:bottom w:val="single" w:sz="4" w:space="0" w:color="auto"/>
              <w:right w:val="nil"/>
            </w:tcBorders>
            <w:vAlign w:val="center"/>
          </w:tcPr>
          <w:p w14:paraId="5E8E4C94" w14:textId="77777777" w:rsidR="00FF5C5C" w:rsidRPr="00AF7D9D" w:rsidRDefault="00FF5C5C" w:rsidP="00FF5C5C">
            <w:pPr>
              <w:contextualSpacing/>
              <w:jc w:val="center"/>
              <w:rPr>
                <w:rFonts w:eastAsia="Calibri"/>
              </w:rPr>
            </w:pPr>
            <w:r w:rsidRPr="00AF7D9D">
              <w:rPr>
                <w:rFonts w:eastAsia="Calibri"/>
              </w:rPr>
              <w:t>.11</w:t>
            </w:r>
          </w:p>
        </w:tc>
        <w:tc>
          <w:tcPr>
            <w:tcW w:w="464" w:type="pct"/>
            <w:tcBorders>
              <w:top w:val="nil"/>
              <w:left w:val="nil"/>
              <w:bottom w:val="single" w:sz="4" w:space="0" w:color="auto"/>
              <w:right w:val="nil"/>
            </w:tcBorders>
            <w:vAlign w:val="center"/>
          </w:tcPr>
          <w:p w14:paraId="141CA8DA" w14:textId="77777777" w:rsidR="00FF5C5C" w:rsidRPr="00AF7D9D" w:rsidRDefault="00AA03C4" w:rsidP="00FF5C5C">
            <w:pPr>
              <w:contextualSpacing/>
              <w:jc w:val="center"/>
              <w:rPr>
                <w:rFonts w:eastAsia="Calibri"/>
              </w:rPr>
            </w:pPr>
            <w:r w:rsidRPr="00AF7D9D">
              <w:rPr>
                <w:rFonts w:eastAsia="Calibri"/>
              </w:rPr>
              <w:t>-.32</w:t>
            </w:r>
          </w:p>
        </w:tc>
      </w:tr>
      <w:tr w:rsidR="00FF5C5C" w:rsidRPr="00AF7D9D" w14:paraId="616EE106" w14:textId="77777777" w:rsidTr="00641C2C">
        <w:trPr>
          <w:trHeight w:val="324"/>
        </w:trPr>
        <w:tc>
          <w:tcPr>
            <w:tcW w:w="1250" w:type="pct"/>
            <w:tcBorders>
              <w:top w:val="single" w:sz="4" w:space="0" w:color="auto"/>
              <w:left w:val="nil"/>
              <w:bottom w:val="single" w:sz="4" w:space="0" w:color="auto"/>
              <w:right w:val="nil"/>
            </w:tcBorders>
          </w:tcPr>
          <w:p w14:paraId="040064EC" w14:textId="77777777" w:rsidR="00FF5C5C" w:rsidRPr="00AF7D9D" w:rsidRDefault="00FF5C5C" w:rsidP="00E4025E">
            <w:pPr>
              <w:contextualSpacing/>
              <w:rPr>
                <w:rFonts w:eastAsia="Calibri"/>
                <w:b/>
              </w:rPr>
            </w:pPr>
            <w:r w:rsidRPr="00AF7D9D">
              <w:rPr>
                <w:rFonts w:eastAsia="Calibri"/>
                <w:b/>
              </w:rPr>
              <w:t>4. Italian (</w:t>
            </w:r>
            <w:r w:rsidRPr="00AF7D9D">
              <w:rPr>
                <w:rFonts w:eastAsia="Calibri"/>
                <w:b/>
                <w:i/>
              </w:rPr>
              <w:t>n</w:t>
            </w:r>
            <w:r w:rsidRPr="00AF7D9D">
              <w:rPr>
                <w:rFonts w:eastAsia="Calibri"/>
                <w:b/>
              </w:rPr>
              <w:t xml:space="preserve"> = 868) - Males</w:t>
            </w:r>
          </w:p>
        </w:tc>
        <w:tc>
          <w:tcPr>
            <w:tcW w:w="590" w:type="pct"/>
            <w:tcBorders>
              <w:top w:val="single" w:sz="4" w:space="0" w:color="auto"/>
              <w:left w:val="nil"/>
              <w:bottom w:val="single" w:sz="4" w:space="0" w:color="auto"/>
              <w:right w:val="nil"/>
            </w:tcBorders>
            <w:vAlign w:val="center"/>
          </w:tcPr>
          <w:p w14:paraId="1E2C73D3" w14:textId="77777777" w:rsidR="00FF5C5C" w:rsidRPr="00AF7D9D" w:rsidRDefault="00FF5C5C" w:rsidP="00FF5C5C">
            <w:pPr>
              <w:contextualSpacing/>
              <w:jc w:val="center"/>
              <w:rPr>
                <w:rFonts w:eastAsia="Calibri"/>
                <w:i/>
              </w:rPr>
            </w:pPr>
            <w:r w:rsidRPr="00AF7D9D">
              <w:rPr>
                <w:rFonts w:eastAsia="Calibri"/>
                <w:i/>
              </w:rPr>
              <w:t>n</w:t>
            </w:r>
            <w:r w:rsidRPr="00AF7D9D">
              <w:rPr>
                <w:rFonts w:eastAsia="Calibri"/>
              </w:rPr>
              <w:t xml:space="preserve"> = 285</w:t>
            </w:r>
          </w:p>
        </w:tc>
        <w:tc>
          <w:tcPr>
            <w:tcW w:w="139" w:type="pct"/>
            <w:tcBorders>
              <w:top w:val="single" w:sz="4" w:space="0" w:color="auto"/>
              <w:left w:val="nil"/>
              <w:bottom w:val="single" w:sz="4" w:space="0" w:color="auto"/>
              <w:right w:val="nil"/>
            </w:tcBorders>
            <w:vAlign w:val="center"/>
          </w:tcPr>
          <w:p w14:paraId="2A642112" w14:textId="77777777" w:rsidR="00FF5C5C" w:rsidRPr="00AF7D9D" w:rsidRDefault="00FF5C5C" w:rsidP="00FF5C5C">
            <w:pPr>
              <w:contextualSpacing/>
              <w:jc w:val="center"/>
              <w:rPr>
                <w:rFonts w:eastAsia="Calibri"/>
                <w:i/>
              </w:rPr>
            </w:pPr>
          </w:p>
        </w:tc>
        <w:tc>
          <w:tcPr>
            <w:tcW w:w="477" w:type="pct"/>
            <w:tcBorders>
              <w:top w:val="single" w:sz="4" w:space="0" w:color="auto"/>
              <w:left w:val="nil"/>
              <w:bottom w:val="single" w:sz="4" w:space="0" w:color="auto"/>
              <w:right w:val="nil"/>
            </w:tcBorders>
            <w:vAlign w:val="center"/>
          </w:tcPr>
          <w:p w14:paraId="5E558AF3" w14:textId="77777777" w:rsidR="00FF5C5C" w:rsidRPr="00AF7D9D" w:rsidRDefault="00FF5C5C" w:rsidP="00FF5C5C">
            <w:pPr>
              <w:contextualSpacing/>
              <w:jc w:val="center"/>
              <w:rPr>
                <w:rFonts w:eastAsia="Calibri"/>
              </w:rPr>
            </w:pPr>
            <w:r w:rsidRPr="00AF7D9D">
              <w:rPr>
                <w:rFonts w:eastAsia="Calibri"/>
                <w:i/>
              </w:rPr>
              <w:t>n</w:t>
            </w:r>
            <w:r w:rsidRPr="00AF7D9D">
              <w:rPr>
                <w:rFonts w:eastAsia="Calibri"/>
              </w:rPr>
              <w:t xml:space="preserve"> = 230</w:t>
            </w:r>
          </w:p>
        </w:tc>
        <w:tc>
          <w:tcPr>
            <w:tcW w:w="477" w:type="pct"/>
            <w:tcBorders>
              <w:top w:val="single" w:sz="4" w:space="0" w:color="auto"/>
              <w:left w:val="nil"/>
              <w:bottom w:val="single" w:sz="4" w:space="0" w:color="auto"/>
              <w:right w:val="nil"/>
            </w:tcBorders>
            <w:vAlign w:val="center"/>
          </w:tcPr>
          <w:p w14:paraId="12C07D33" w14:textId="77777777" w:rsidR="00FF5C5C" w:rsidRPr="00AF7D9D" w:rsidRDefault="00FF5C5C" w:rsidP="00FF5C5C">
            <w:pPr>
              <w:contextualSpacing/>
              <w:jc w:val="center"/>
              <w:rPr>
                <w:rFonts w:eastAsia="Calibri"/>
              </w:rPr>
            </w:pPr>
            <w:r w:rsidRPr="00AF7D9D">
              <w:rPr>
                <w:rFonts w:eastAsia="Calibri"/>
                <w:i/>
              </w:rPr>
              <w:t>n</w:t>
            </w:r>
            <w:r w:rsidRPr="00AF7D9D">
              <w:rPr>
                <w:rFonts w:eastAsia="Calibri"/>
              </w:rPr>
              <w:t xml:space="preserve"> = 55</w:t>
            </w:r>
          </w:p>
        </w:tc>
        <w:tc>
          <w:tcPr>
            <w:tcW w:w="478" w:type="pct"/>
            <w:tcBorders>
              <w:top w:val="single" w:sz="4" w:space="0" w:color="auto"/>
              <w:left w:val="nil"/>
              <w:bottom w:val="single" w:sz="4" w:space="0" w:color="auto"/>
              <w:right w:val="nil"/>
            </w:tcBorders>
            <w:vAlign w:val="center"/>
          </w:tcPr>
          <w:p w14:paraId="7D8FB6BC" w14:textId="77777777" w:rsidR="00FF5C5C" w:rsidRPr="00AF7D9D" w:rsidRDefault="00FF5C5C" w:rsidP="00FF5C5C">
            <w:pPr>
              <w:contextualSpacing/>
              <w:jc w:val="center"/>
              <w:rPr>
                <w:rFonts w:eastAsia="Calibri"/>
                <w:i/>
              </w:rPr>
            </w:pPr>
          </w:p>
        </w:tc>
        <w:tc>
          <w:tcPr>
            <w:tcW w:w="171" w:type="pct"/>
            <w:tcBorders>
              <w:top w:val="single" w:sz="4" w:space="0" w:color="auto"/>
              <w:left w:val="nil"/>
              <w:bottom w:val="single" w:sz="4" w:space="0" w:color="auto"/>
              <w:right w:val="nil"/>
            </w:tcBorders>
            <w:vAlign w:val="center"/>
          </w:tcPr>
          <w:p w14:paraId="0D6246C2" w14:textId="77777777" w:rsidR="00FF5C5C" w:rsidRPr="00AF7D9D" w:rsidRDefault="00FF5C5C" w:rsidP="00FF5C5C">
            <w:pPr>
              <w:contextualSpacing/>
              <w:jc w:val="center"/>
              <w:rPr>
                <w:rFonts w:eastAsia="Calibri"/>
                <w:i/>
              </w:rPr>
            </w:pPr>
          </w:p>
        </w:tc>
        <w:tc>
          <w:tcPr>
            <w:tcW w:w="477" w:type="pct"/>
            <w:tcBorders>
              <w:top w:val="single" w:sz="4" w:space="0" w:color="auto"/>
              <w:left w:val="nil"/>
              <w:bottom w:val="single" w:sz="4" w:space="0" w:color="auto"/>
              <w:right w:val="nil"/>
            </w:tcBorders>
            <w:vAlign w:val="center"/>
          </w:tcPr>
          <w:p w14:paraId="0E4128B7" w14:textId="77777777" w:rsidR="00FF5C5C" w:rsidRPr="00AF7D9D" w:rsidRDefault="00FF5C5C" w:rsidP="00FF5C5C">
            <w:pPr>
              <w:contextualSpacing/>
              <w:jc w:val="center"/>
              <w:rPr>
                <w:rFonts w:eastAsia="Calibri"/>
              </w:rPr>
            </w:pPr>
            <w:r w:rsidRPr="00AF7D9D">
              <w:rPr>
                <w:rFonts w:eastAsia="Calibri"/>
                <w:i/>
              </w:rPr>
              <w:t>n</w:t>
            </w:r>
            <w:r w:rsidRPr="00AF7D9D">
              <w:rPr>
                <w:rFonts w:eastAsia="Calibri"/>
              </w:rPr>
              <w:t xml:space="preserve"> = 256</w:t>
            </w:r>
          </w:p>
        </w:tc>
        <w:tc>
          <w:tcPr>
            <w:tcW w:w="477" w:type="pct"/>
            <w:tcBorders>
              <w:top w:val="single" w:sz="4" w:space="0" w:color="auto"/>
              <w:left w:val="nil"/>
              <w:bottom w:val="single" w:sz="4" w:space="0" w:color="auto"/>
              <w:right w:val="nil"/>
            </w:tcBorders>
            <w:vAlign w:val="center"/>
          </w:tcPr>
          <w:p w14:paraId="74C3BCB5" w14:textId="77777777" w:rsidR="00FF5C5C" w:rsidRPr="00AF7D9D" w:rsidRDefault="00FF5C5C" w:rsidP="00FF5C5C">
            <w:pPr>
              <w:contextualSpacing/>
              <w:jc w:val="center"/>
              <w:rPr>
                <w:rFonts w:eastAsia="Calibri"/>
              </w:rPr>
            </w:pPr>
            <w:r w:rsidRPr="00AF7D9D">
              <w:rPr>
                <w:rFonts w:eastAsia="Calibri"/>
                <w:i/>
              </w:rPr>
              <w:t>n</w:t>
            </w:r>
            <w:r w:rsidRPr="00AF7D9D">
              <w:rPr>
                <w:rFonts w:eastAsia="Calibri"/>
              </w:rPr>
              <w:t xml:space="preserve"> = 29</w:t>
            </w:r>
          </w:p>
        </w:tc>
        <w:tc>
          <w:tcPr>
            <w:tcW w:w="464" w:type="pct"/>
            <w:tcBorders>
              <w:top w:val="single" w:sz="4" w:space="0" w:color="auto"/>
              <w:left w:val="nil"/>
              <w:bottom w:val="single" w:sz="4" w:space="0" w:color="auto"/>
              <w:right w:val="nil"/>
            </w:tcBorders>
            <w:vAlign w:val="center"/>
          </w:tcPr>
          <w:p w14:paraId="142B6FDB" w14:textId="77777777" w:rsidR="00FF5C5C" w:rsidRPr="00AF7D9D" w:rsidRDefault="00FF5C5C" w:rsidP="00FF5C5C">
            <w:pPr>
              <w:contextualSpacing/>
              <w:jc w:val="center"/>
              <w:rPr>
                <w:rFonts w:eastAsia="Calibri"/>
                <w:i/>
              </w:rPr>
            </w:pPr>
          </w:p>
        </w:tc>
      </w:tr>
      <w:tr w:rsidR="00FF5C5C" w:rsidRPr="00AF7D9D" w14:paraId="5AC4DA42" w14:textId="77777777" w:rsidTr="00641C2C">
        <w:trPr>
          <w:trHeight w:val="324"/>
        </w:trPr>
        <w:tc>
          <w:tcPr>
            <w:tcW w:w="1250" w:type="pct"/>
            <w:tcBorders>
              <w:top w:val="single" w:sz="4" w:space="0" w:color="auto"/>
              <w:left w:val="nil"/>
              <w:bottom w:val="nil"/>
              <w:right w:val="nil"/>
            </w:tcBorders>
          </w:tcPr>
          <w:p w14:paraId="75BB936B" w14:textId="77777777" w:rsidR="00FF5C5C" w:rsidRPr="00AF7D9D" w:rsidRDefault="00FF5C5C" w:rsidP="003B50F0">
            <w:pPr>
              <w:contextualSpacing/>
              <w:rPr>
                <w:rFonts w:eastAsia="Calibri"/>
              </w:rPr>
            </w:pPr>
            <w:r w:rsidRPr="00AF7D9D">
              <w:rPr>
                <w:rFonts w:eastAsia="Calibri"/>
              </w:rPr>
              <w:t xml:space="preserve">   Self-Report of Delinquency</w:t>
            </w:r>
          </w:p>
        </w:tc>
        <w:tc>
          <w:tcPr>
            <w:tcW w:w="590" w:type="pct"/>
            <w:tcBorders>
              <w:top w:val="single" w:sz="4" w:space="0" w:color="auto"/>
              <w:left w:val="nil"/>
              <w:bottom w:val="nil"/>
              <w:right w:val="nil"/>
            </w:tcBorders>
            <w:shd w:val="clear" w:color="auto" w:fill="auto"/>
            <w:vAlign w:val="center"/>
          </w:tcPr>
          <w:p w14:paraId="381373D2" w14:textId="77777777" w:rsidR="00FF5C5C" w:rsidRPr="00AF7D9D" w:rsidRDefault="00FF5C5C" w:rsidP="00FF5C5C">
            <w:pPr>
              <w:contextualSpacing/>
              <w:jc w:val="center"/>
              <w:rPr>
                <w:rFonts w:eastAsia="Calibri"/>
              </w:rPr>
            </w:pPr>
            <w:r w:rsidRPr="00AF7D9D">
              <w:rPr>
                <w:rFonts w:eastAsia="Calibri"/>
              </w:rPr>
              <w:t>.52**</w:t>
            </w:r>
          </w:p>
        </w:tc>
        <w:tc>
          <w:tcPr>
            <w:tcW w:w="139" w:type="pct"/>
            <w:tcBorders>
              <w:top w:val="single" w:sz="4" w:space="0" w:color="auto"/>
              <w:left w:val="nil"/>
              <w:bottom w:val="nil"/>
              <w:right w:val="nil"/>
            </w:tcBorders>
            <w:vAlign w:val="center"/>
          </w:tcPr>
          <w:p w14:paraId="5D4F142E" w14:textId="77777777" w:rsidR="00FF5C5C" w:rsidRPr="00AF7D9D" w:rsidRDefault="00FF5C5C" w:rsidP="00FF5C5C">
            <w:pPr>
              <w:contextualSpacing/>
              <w:jc w:val="center"/>
              <w:rPr>
                <w:rFonts w:eastAsia="Calibri"/>
              </w:rPr>
            </w:pPr>
          </w:p>
        </w:tc>
        <w:tc>
          <w:tcPr>
            <w:tcW w:w="477" w:type="pct"/>
            <w:tcBorders>
              <w:top w:val="single" w:sz="4" w:space="0" w:color="auto"/>
              <w:left w:val="nil"/>
              <w:bottom w:val="nil"/>
              <w:right w:val="nil"/>
            </w:tcBorders>
            <w:vAlign w:val="center"/>
          </w:tcPr>
          <w:p w14:paraId="3DC62132" w14:textId="77777777" w:rsidR="00FF5C5C" w:rsidRPr="00AF7D9D" w:rsidRDefault="00FF5C5C" w:rsidP="00FF5C5C">
            <w:pPr>
              <w:contextualSpacing/>
              <w:jc w:val="center"/>
              <w:rPr>
                <w:rFonts w:eastAsia="Calibri"/>
              </w:rPr>
            </w:pPr>
            <w:r w:rsidRPr="00AF7D9D">
              <w:rPr>
                <w:rFonts w:eastAsia="Calibri"/>
              </w:rPr>
              <w:t>.40**</w:t>
            </w:r>
          </w:p>
        </w:tc>
        <w:tc>
          <w:tcPr>
            <w:tcW w:w="477" w:type="pct"/>
            <w:tcBorders>
              <w:top w:val="single" w:sz="4" w:space="0" w:color="auto"/>
              <w:left w:val="nil"/>
              <w:bottom w:val="nil"/>
              <w:right w:val="nil"/>
            </w:tcBorders>
            <w:vAlign w:val="center"/>
          </w:tcPr>
          <w:p w14:paraId="74F457FF" w14:textId="77777777" w:rsidR="00FF5C5C" w:rsidRPr="00AF7D9D" w:rsidRDefault="00FF5C5C" w:rsidP="00FF5C5C">
            <w:pPr>
              <w:contextualSpacing/>
              <w:jc w:val="center"/>
              <w:rPr>
                <w:rFonts w:eastAsia="Calibri"/>
              </w:rPr>
            </w:pPr>
            <w:r w:rsidRPr="00AF7D9D">
              <w:rPr>
                <w:rFonts w:eastAsia="Calibri"/>
              </w:rPr>
              <w:t>.49**</w:t>
            </w:r>
          </w:p>
        </w:tc>
        <w:tc>
          <w:tcPr>
            <w:tcW w:w="478" w:type="pct"/>
            <w:tcBorders>
              <w:top w:val="single" w:sz="4" w:space="0" w:color="auto"/>
              <w:left w:val="nil"/>
              <w:bottom w:val="nil"/>
              <w:right w:val="nil"/>
            </w:tcBorders>
            <w:vAlign w:val="center"/>
          </w:tcPr>
          <w:p w14:paraId="5CE0D3DC" w14:textId="77777777" w:rsidR="00FF5C5C" w:rsidRPr="00AF7D9D" w:rsidRDefault="00AA03C4" w:rsidP="00FF5C5C">
            <w:pPr>
              <w:contextualSpacing/>
              <w:jc w:val="center"/>
              <w:rPr>
                <w:rFonts w:eastAsia="Calibri"/>
              </w:rPr>
            </w:pPr>
            <w:r w:rsidRPr="00AF7D9D">
              <w:rPr>
                <w:rFonts w:eastAsia="Calibri"/>
              </w:rPr>
              <w:t>-.73</w:t>
            </w:r>
          </w:p>
        </w:tc>
        <w:tc>
          <w:tcPr>
            <w:tcW w:w="171" w:type="pct"/>
            <w:tcBorders>
              <w:top w:val="single" w:sz="4" w:space="0" w:color="auto"/>
              <w:left w:val="nil"/>
              <w:bottom w:val="nil"/>
              <w:right w:val="nil"/>
            </w:tcBorders>
            <w:vAlign w:val="center"/>
          </w:tcPr>
          <w:p w14:paraId="382C9370" w14:textId="77777777" w:rsidR="00FF5C5C" w:rsidRPr="00AF7D9D" w:rsidRDefault="00FF5C5C" w:rsidP="00FF5C5C">
            <w:pPr>
              <w:contextualSpacing/>
              <w:jc w:val="center"/>
              <w:rPr>
                <w:rFonts w:eastAsia="Calibri"/>
              </w:rPr>
            </w:pPr>
          </w:p>
        </w:tc>
        <w:tc>
          <w:tcPr>
            <w:tcW w:w="477" w:type="pct"/>
            <w:tcBorders>
              <w:top w:val="single" w:sz="4" w:space="0" w:color="auto"/>
              <w:left w:val="nil"/>
              <w:bottom w:val="nil"/>
              <w:right w:val="nil"/>
            </w:tcBorders>
            <w:vAlign w:val="center"/>
          </w:tcPr>
          <w:p w14:paraId="2120F479" w14:textId="77777777" w:rsidR="00FF5C5C" w:rsidRPr="00AF7D9D" w:rsidRDefault="00FF5C5C" w:rsidP="00FF5C5C">
            <w:pPr>
              <w:contextualSpacing/>
              <w:jc w:val="center"/>
              <w:rPr>
                <w:rFonts w:eastAsia="Calibri"/>
              </w:rPr>
            </w:pPr>
            <w:r w:rsidRPr="00AF7D9D">
              <w:rPr>
                <w:rFonts w:eastAsia="Calibri"/>
              </w:rPr>
              <w:t>.38**</w:t>
            </w:r>
          </w:p>
        </w:tc>
        <w:tc>
          <w:tcPr>
            <w:tcW w:w="477" w:type="pct"/>
            <w:tcBorders>
              <w:top w:val="single" w:sz="4" w:space="0" w:color="auto"/>
              <w:left w:val="nil"/>
              <w:bottom w:val="nil"/>
              <w:right w:val="nil"/>
            </w:tcBorders>
            <w:vAlign w:val="center"/>
          </w:tcPr>
          <w:p w14:paraId="084F960F" w14:textId="77777777" w:rsidR="00FF5C5C" w:rsidRPr="00AF7D9D" w:rsidRDefault="00FF5C5C" w:rsidP="00FF5C5C">
            <w:pPr>
              <w:contextualSpacing/>
              <w:jc w:val="center"/>
              <w:rPr>
                <w:rFonts w:eastAsia="Calibri"/>
              </w:rPr>
            </w:pPr>
            <w:r w:rsidRPr="00AF7D9D">
              <w:rPr>
                <w:rFonts w:eastAsia="Calibri"/>
              </w:rPr>
              <w:t>.62**</w:t>
            </w:r>
          </w:p>
        </w:tc>
        <w:tc>
          <w:tcPr>
            <w:tcW w:w="464" w:type="pct"/>
            <w:tcBorders>
              <w:top w:val="single" w:sz="4" w:space="0" w:color="auto"/>
              <w:left w:val="nil"/>
              <w:bottom w:val="nil"/>
              <w:right w:val="nil"/>
            </w:tcBorders>
            <w:vAlign w:val="center"/>
          </w:tcPr>
          <w:p w14:paraId="703C7797" w14:textId="77777777" w:rsidR="00FF5C5C" w:rsidRPr="00AF7D9D" w:rsidRDefault="00AA03C4" w:rsidP="00FF5C5C">
            <w:pPr>
              <w:contextualSpacing/>
              <w:jc w:val="center"/>
              <w:rPr>
                <w:rFonts w:eastAsia="Calibri"/>
              </w:rPr>
            </w:pPr>
            <w:r w:rsidRPr="00AF7D9D">
              <w:rPr>
                <w:rFonts w:eastAsia="Calibri"/>
              </w:rPr>
              <w:t>-1.58</w:t>
            </w:r>
          </w:p>
        </w:tc>
      </w:tr>
      <w:tr w:rsidR="00FF5C5C" w:rsidRPr="00AF7D9D" w14:paraId="0818CE2F" w14:textId="77777777" w:rsidTr="00641C2C">
        <w:trPr>
          <w:trHeight w:val="324"/>
        </w:trPr>
        <w:tc>
          <w:tcPr>
            <w:tcW w:w="1250" w:type="pct"/>
            <w:tcBorders>
              <w:top w:val="nil"/>
              <w:left w:val="nil"/>
              <w:bottom w:val="nil"/>
              <w:right w:val="nil"/>
            </w:tcBorders>
            <w:vAlign w:val="center"/>
          </w:tcPr>
          <w:p w14:paraId="4CF6004D" w14:textId="3C0C0D4D" w:rsidR="00FF5C5C" w:rsidRPr="00AF7D9D" w:rsidRDefault="00641C2C" w:rsidP="00641C2C">
            <w:pPr>
              <w:contextualSpacing/>
              <w:rPr>
                <w:rFonts w:eastAsia="Calibri"/>
              </w:rPr>
            </w:pPr>
            <w:r w:rsidRPr="00AF7D9D">
              <w:rPr>
                <w:rFonts w:eastAsia="Calibri"/>
              </w:rPr>
              <w:t xml:space="preserve">   </w:t>
            </w:r>
            <w:r w:rsidR="00FF5C5C" w:rsidRPr="00AF7D9D">
              <w:rPr>
                <w:rFonts w:eastAsia="Calibri"/>
              </w:rPr>
              <w:t>RPQ-R</w:t>
            </w:r>
          </w:p>
        </w:tc>
        <w:tc>
          <w:tcPr>
            <w:tcW w:w="590" w:type="pct"/>
            <w:tcBorders>
              <w:top w:val="nil"/>
              <w:left w:val="nil"/>
              <w:bottom w:val="nil"/>
              <w:right w:val="nil"/>
            </w:tcBorders>
            <w:shd w:val="clear" w:color="auto" w:fill="auto"/>
            <w:vAlign w:val="center"/>
          </w:tcPr>
          <w:p w14:paraId="14765A26" w14:textId="77777777" w:rsidR="00FF5C5C" w:rsidRPr="00AF7D9D" w:rsidRDefault="00FF5C5C" w:rsidP="00FF5C5C">
            <w:pPr>
              <w:contextualSpacing/>
              <w:jc w:val="center"/>
              <w:rPr>
                <w:rFonts w:eastAsia="Calibri"/>
              </w:rPr>
            </w:pPr>
            <w:r w:rsidRPr="00AF7D9D">
              <w:rPr>
                <w:rFonts w:eastAsia="Calibri"/>
              </w:rPr>
              <w:t>.49**</w:t>
            </w:r>
          </w:p>
        </w:tc>
        <w:tc>
          <w:tcPr>
            <w:tcW w:w="139" w:type="pct"/>
            <w:tcBorders>
              <w:top w:val="nil"/>
              <w:left w:val="nil"/>
              <w:bottom w:val="nil"/>
              <w:right w:val="nil"/>
            </w:tcBorders>
            <w:vAlign w:val="center"/>
          </w:tcPr>
          <w:p w14:paraId="1B6D24EC" w14:textId="77777777" w:rsidR="00FF5C5C" w:rsidRPr="00AF7D9D" w:rsidRDefault="00FF5C5C" w:rsidP="00FF5C5C">
            <w:pPr>
              <w:contextualSpacing/>
              <w:jc w:val="center"/>
              <w:rPr>
                <w:rFonts w:eastAsia="Calibri"/>
              </w:rPr>
            </w:pPr>
          </w:p>
        </w:tc>
        <w:tc>
          <w:tcPr>
            <w:tcW w:w="477" w:type="pct"/>
            <w:tcBorders>
              <w:top w:val="nil"/>
              <w:left w:val="nil"/>
              <w:bottom w:val="nil"/>
              <w:right w:val="nil"/>
            </w:tcBorders>
            <w:vAlign w:val="center"/>
          </w:tcPr>
          <w:p w14:paraId="452E1F4A" w14:textId="77777777" w:rsidR="00FF5C5C" w:rsidRPr="00AF7D9D" w:rsidRDefault="00FF5C5C" w:rsidP="00FF5C5C">
            <w:pPr>
              <w:contextualSpacing/>
              <w:jc w:val="center"/>
              <w:rPr>
                <w:rFonts w:eastAsia="Calibri"/>
              </w:rPr>
            </w:pPr>
            <w:r w:rsidRPr="00AF7D9D">
              <w:rPr>
                <w:rFonts w:eastAsia="Calibri"/>
              </w:rPr>
              <w:t>.45**</w:t>
            </w:r>
          </w:p>
        </w:tc>
        <w:tc>
          <w:tcPr>
            <w:tcW w:w="477" w:type="pct"/>
            <w:tcBorders>
              <w:top w:val="nil"/>
              <w:left w:val="nil"/>
              <w:bottom w:val="nil"/>
              <w:right w:val="nil"/>
            </w:tcBorders>
            <w:vAlign w:val="center"/>
          </w:tcPr>
          <w:p w14:paraId="15734482" w14:textId="77777777" w:rsidR="00FF5C5C" w:rsidRPr="00AF7D9D" w:rsidRDefault="00FF5C5C" w:rsidP="00FF5C5C">
            <w:pPr>
              <w:contextualSpacing/>
              <w:jc w:val="center"/>
              <w:rPr>
                <w:rFonts w:eastAsia="Calibri"/>
              </w:rPr>
            </w:pPr>
            <w:r w:rsidRPr="00AF7D9D">
              <w:rPr>
                <w:rFonts w:eastAsia="Calibri"/>
              </w:rPr>
              <w:t>.44**</w:t>
            </w:r>
          </w:p>
        </w:tc>
        <w:tc>
          <w:tcPr>
            <w:tcW w:w="478" w:type="pct"/>
            <w:tcBorders>
              <w:top w:val="nil"/>
              <w:left w:val="nil"/>
              <w:bottom w:val="nil"/>
              <w:right w:val="nil"/>
            </w:tcBorders>
            <w:vAlign w:val="center"/>
          </w:tcPr>
          <w:p w14:paraId="0217F4EA" w14:textId="77777777" w:rsidR="00FF5C5C" w:rsidRPr="00AF7D9D" w:rsidRDefault="00AA03C4" w:rsidP="00FF5C5C">
            <w:pPr>
              <w:contextualSpacing/>
              <w:jc w:val="center"/>
              <w:rPr>
                <w:rFonts w:eastAsia="Calibri"/>
              </w:rPr>
            </w:pPr>
            <w:r w:rsidRPr="00AF7D9D">
              <w:rPr>
                <w:rFonts w:eastAsia="Calibri"/>
              </w:rPr>
              <w:t>.08</w:t>
            </w:r>
          </w:p>
        </w:tc>
        <w:tc>
          <w:tcPr>
            <w:tcW w:w="171" w:type="pct"/>
            <w:tcBorders>
              <w:top w:val="nil"/>
              <w:left w:val="nil"/>
              <w:bottom w:val="nil"/>
              <w:right w:val="nil"/>
            </w:tcBorders>
            <w:vAlign w:val="center"/>
          </w:tcPr>
          <w:p w14:paraId="6C1B65A2" w14:textId="77777777" w:rsidR="00FF5C5C" w:rsidRPr="00AF7D9D" w:rsidRDefault="00FF5C5C" w:rsidP="00FF5C5C">
            <w:pPr>
              <w:contextualSpacing/>
              <w:jc w:val="center"/>
              <w:rPr>
                <w:rFonts w:eastAsia="Calibri"/>
              </w:rPr>
            </w:pPr>
          </w:p>
        </w:tc>
        <w:tc>
          <w:tcPr>
            <w:tcW w:w="477" w:type="pct"/>
            <w:tcBorders>
              <w:top w:val="nil"/>
              <w:left w:val="nil"/>
              <w:bottom w:val="nil"/>
              <w:right w:val="nil"/>
            </w:tcBorders>
            <w:vAlign w:val="center"/>
          </w:tcPr>
          <w:p w14:paraId="7216F3A2" w14:textId="77777777" w:rsidR="00FF5C5C" w:rsidRPr="00AF7D9D" w:rsidRDefault="00FF5C5C" w:rsidP="00FF5C5C">
            <w:pPr>
              <w:contextualSpacing/>
              <w:jc w:val="center"/>
              <w:rPr>
                <w:rFonts w:eastAsia="Calibri"/>
              </w:rPr>
            </w:pPr>
            <w:r w:rsidRPr="00AF7D9D">
              <w:rPr>
                <w:rFonts w:eastAsia="Calibri"/>
              </w:rPr>
              <w:t>.45**</w:t>
            </w:r>
          </w:p>
        </w:tc>
        <w:tc>
          <w:tcPr>
            <w:tcW w:w="477" w:type="pct"/>
            <w:tcBorders>
              <w:top w:val="nil"/>
              <w:left w:val="nil"/>
              <w:bottom w:val="nil"/>
              <w:right w:val="nil"/>
            </w:tcBorders>
            <w:vAlign w:val="center"/>
          </w:tcPr>
          <w:p w14:paraId="758D8177" w14:textId="77777777" w:rsidR="00FF5C5C" w:rsidRPr="00AF7D9D" w:rsidRDefault="00FF5C5C" w:rsidP="00FF5C5C">
            <w:pPr>
              <w:contextualSpacing/>
              <w:jc w:val="center"/>
              <w:rPr>
                <w:rFonts w:eastAsia="Calibri"/>
              </w:rPr>
            </w:pPr>
            <w:r w:rsidRPr="00AF7D9D">
              <w:rPr>
                <w:rFonts w:eastAsia="Calibri"/>
              </w:rPr>
              <w:t>.49**</w:t>
            </w:r>
          </w:p>
        </w:tc>
        <w:tc>
          <w:tcPr>
            <w:tcW w:w="464" w:type="pct"/>
            <w:tcBorders>
              <w:top w:val="nil"/>
              <w:left w:val="nil"/>
              <w:bottom w:val="nil"/>
              <w:right w:val="nil"/>
            </w:tcBorders>
            <w:vAlign w:val="center"/>
          </w:tcPr>
          <w:p w14:paraId="50AC968F" w14:textId="77777777" w:rsidR="00FF5C5C" w:rsidRPr="00AF7D9D" w:rsidRDefault="00AA03C4" w:rsidP="00FF5C5C">
            <w:pPr>
              <w:contextualSpacing/>
              <w:jc w:val="center"/>
              <w:rPr>
                <w:rFonts w:eastAsia="Calibri"/>
              </w:rPr>
            </w:pPr>
            <w:r w:rsidRPr="00AF7D9D">
              <w:rPr>
                <w:rFonts w:eastAsia="Calibri"/>
              </w:rPr>
              <w:t>-.25</w:t>
            </w:r>
          </w:p>
        </w:tc>
      </w:tr>
      <w:tr w:rsidR="00FF5C5C" w:rsidRPr="00AF7D9D" w14:paraId="1F653274" w14:textId="77777777" w:rsidTr="00641C2C">
        <w:trPr>
          <w:trHeight w:val="324"/>
        </w:trPr>
        <w:tc>
          <w:tcPr>
            <w:tcW w:w="1250" w:type="pct"/>
            <w:tcBorders>
              <w:top w:val="nil"/>
              <w:left w:val="nil"/>
              <w:bottom w:val="single" w:sz="4" w:space="0" w:color="auto"/>
              <w:right w:val="nil"/>
            </w:tcBorders>
            <w:vAlign w:val="center"/>
          </w:tcPr>
          <w:p w14:paraId="3AAA9992" w14:textId="346A9A92" w:rsidR="00FF5C5C" w:rsidRPr="00AF7D9D" w:rsidRDefault="00641C2C" w:rsidP="00641C2C">
            <w:pPr>
              <w:contextualSpacing/>
              <w:rPr>
                <w:rFonts w:eastAsia="Calibri"/>
              </w:rPr>
            </w:pPr>
            <w:r w:rsidRPr="00AF7D9D">
              <w:rPr>
                <w:rFonts w:eastAsia="Calibri"/>
              </w:rPr>
              <w:t xml:space="preserve">   </w:t>
            </w:r>
            <w:r w:rsidR="00FF5C5C" w:rsidRPr="00AF7D9D">
              <w:rPr>
                <w:rFonts w:eastAsia="Calibri"/>
              </w:rPr>
              <w:t>RPQ-P</w:t>
            </w:r>
          </w:p>
        </w:tc>
        <w:tc>
          <w:tcPr>
            <w:tcW w:w="590" w:type="pct"/>
            <w:tcBorders>
              <w:top w:val="nil"/>
              <w:left w:val="nil"/>
              <w:bottom w:val="single" w:sz="4" w:space="0" w:color="auto"/>
              <w:right w:val="nil"/>
            </w:tcBorders>
            <w:shd w:val="clear" w:color="auto" w:fill="auto"/>
            <w:vAlign w:val="center"/>
          </w:tcPr>
          <w:p w14:paraId="3DD24E3B" w14:textId="77777777" w:rsidR="00FF5C5C" w:rsidRPr="00AF7D9D" w:rsidRDefault="00FF5C5C" w:rsidP="00FF5C5C">
            <w:pPr>
              <w:contextualSpacing/>
              <w:jc w:val="center"/>
              <w:rPr>
                <w:rFonts w:eastAsia="Calibri"/>
              </w:rPr>
            </w:pPr>
            <w:r w:rsidRPr="00AF7D9D">
              <w:rPr>
                <w:rFonts w:eastAsia="Calibri"/>
              </w:rPr>
              <w:t>.48**</w:t>
            </w:r>
          </w:p>
        </w:tc>
        <w:tc>
          <w:tcPr>
            <w:tcW w:w="139" w:type="pct"/>
            <w:tcBorders>
              <w:top w:val="nil"/>
              <w:left w:val="nil"/>
              <w:bottom w:val="single" w:sz="4" w:space="0" w:color="auto"/>
              <w:right w:val="nil"/>
            </w:tcBorders>
            <w:vAlign w:val="center"/>
          </w:tcPr>
          <w:p w14:paraId="480FFF41" w14:textId="77777777" w:rsidR="00FF5C5C" w:rsidRPr="00AF7D9D" w:rsidRDefault="00FF5C5C" w:rsidP="00FF5C5C">
            <w:pPr>
              <w:contextualSpacing/>
              <w:jc w:val="center"/>
              <w:rPr>
                <w:rFonts w:eastAsia="Calibri"/>
              </w:rPr>
            </w:pPr>
          </w:p>
        </w:tc>
        <w:tc>
          <w:tcPr>
            <w:tcW w:w="477" w:type="pct"/>
            <w:tcBorders>
              <w:top w:val="nil"/>
              <w:left w:val="nil"/>
              <w:bottom w:val="single" w:sz="4" w:space="0" w:color="auto"/>
              <w:right w:val="nil"/>
            </w:tcBorders>
            <w:vAlign w:val="center"/>
          </w:tcPr>
          <w:p w14:paraId="28C047F1" w14:textId="77777777" w:rsidR="00FF5C5C" w:rsidRPr="00AF7D9D" w:rsidRDefault="00FF5C5C" w:rsidP="00FF5C5C">
            <w:pPr>
              <w:contextualSpacing/>
              <w:jc w:val="center"/>
              <w:rPr>
                <w:rFonts w:eastAsia="Calibri"/>
              </w:rPr>
            </w:pPr>
            <w:r w:rsidRPr="00AF7D9D">
              <w:rPr>
                <w:rFonts w:eastAsia="Calibri"/>
              </w:rPr>
              <w:t>.41**</w:t>
            </w:r>
          </w:p>
        </w:tc>
        <w:tc>
          <w:tcPr>
            <w:tcW w:w="477" w:type="pct"/>
            <w:tcBorders>
              <w:top w:val="nil"/>
              <w:left w:val="nil"/>
              <w:bottom w:val="single" w:sz="4" w:space="0" w:color="auto"/>
              <w:right w:val="nil"/>
            </w:tcBorders>
            <w:vAlign w:val="center"/>
          </w:tcPr>
          <w:p w14:paraId="7394AE88" w14:textId="77777777" w:rsidR="00FF5C5C" w:rsidRPr="00AF7D9D" w:rsidRDefault="00FF5C5C" w:rsidP="00FF5C5C">
            <w:pPr>
              <w:contextualSpacing/>
              <w:jc w:val="center"/>
              <w:rPr>
                <w:rFonts w:eastAsia="Calibri"/>
              </w:rPr>
            </w:pPr>
            <w:r w:rsidRPr="00AF7D9D">
              <w:rPr>
                <w:rFonts w:eastAsia="Calibri"/>
              </w:rPr>
              <w:t>.40**</w:t>
            </w:r>
          </w:p>
        </w:tc>
        <w:tc>
          <w:tcPr>
            <w:tcW w:w="478" w:type="pct"/>
            <w:tcBorders>
              <w:top w:val="nil"/>
              <w:left w:val="nil"/>
              <w:bottom w:val="single" w:sz="4" w:space="0" w:color="auto"/>
              <w:right w:val="nil"/>
            </w:tcBorders>
            <w:vAlign w:val="center"/>
          </w:tcPr>
          <w:p w14:paraId="29F88A46" w14:textId="77777777" w:rsidR="00FF5C5C" w:rsidRPr="00AF7D9D" w:rsidRDefault="00AA03C4" w:rsidP="00FF5C5C">
            <w:pPr>
              <w:contextualSpacing/>
              <w:jc w:val="center"/>
              <w:rPr>
                <w:rFonts w:eastAsia="Calibri"/>
              </w:rPr>
            </w:pPr>
            <w:r w:rsidRPr="00AF7D9D">
              <w:rPr>
                <w:rFonts w:eastAsia="Calibri"/>
              </w:rPr>
              <w:t>.08</w:t>
            </w:r>
          </w:p>
        </w:tc>
        <w:tc>
          <w:tcPr>
            <w:tcW w:w="171" w:type="pct"/>
            <w:tcBorders>
              <w:top w:val="nil"/>
              <w:left w:val="nil"/>
              <w:bottom w:val="single" w:sz="4" w:space="0" w:color="auto"/>
              <w:right w:val="nil"/>
            </w:tcBorders>
            <w:vAlign w:val="center"/>
          </w:tcPr>
          <w:p w14:paraId="3EDD6470" w14:textId="77777777" w:rsidR="00FF5C5C" w:rsidRPr="00AF7D9D" w:rsidRDefault="00FF5C5C" w:rsidP="00FF5C5C">
            <w:pPr>
              <w:contextualSpacing/>
              <w:jc w:val="center"/>
              <w:rPr>
                <w:rFonts w:eastAsia="Calibri"/>
              </w:rPr>
            </w:pPr>
          </w:p>
        </w:tc>
        <w:tc>
          <w:tcPr>
            <w:tcW w:w="477" w:type="pct"/>
            <w:tcBorders>
              <w:top w:val="nil"/>
              <w:left w:val="nil"/>
              <w:bottom w:val="single" w:sz="4" w:space="0" w:color="auto"/>
              <w:right w:val="nil"/>
            </w:tcBorders>
            <w:vAlign w:val="center"/>
          </w:tcPr>
          <w:p w14:paraId="4E6301B1" w14:textId="77777777" w:rsidR="00FF5C5C" w:rsidRPr="00AF7D9D" w:rsidRDefault="00FF5C5C" w:rsidP="00FF5C5C">
            <w:pPr>
              <w:contextualSpacing/>
              <w:jc w:val="center"/>
              <w:rPr>
                <w:rFonts w:eastAsia="Calibri"/>
              </w:rPr>
            </w:pPr>
            <w:r w:rsidRPr="00AF7D9D">
              <w:rPr>
                <w:rFonts w:eastAsia="Calibri"/>
              </w:rPr>
              <w:t>.39**</w:t>
            </w:r>
          </w:p>
        </w:tc>
        <w:tc>
          <w:tcPr>
            <w:tcW w:w="477" w:type="pct"/>
            <w:tcBorders>
              <w:top w:val="nil"/>
              <w:left w:val="nil"/>
              <w:bottom w:val="single" w:sz="4" w:space="0" w:color="auto"/>
              <w:right w:val="nil"/>
            </w:tcBorders>
            <w:vAlign w:val="center"/>
          </w:tcPr>
          <w:p w14:paraId="4744B772" w14:textId="77777777" w:rsidR="00FF5C5C" w:rsidRPr="00AF7D9D" w:rsidRDefault="00FF5C5C" w:rsidP="00FF5C5C">
            <w:pPr>
              <w:contextualSpacing/>
              <w:jc w:val="center"/>
              <w:rPr>
                <w:rFonts w:eastAsia="Calibri"/>
              </w:rPr>
            </w:pPr>
            <w:r w:rsidRPr="00AF7D9D">
              <w:rPr>
                <w:rFonts w:eastAsia="Calibri"/>
              </w:rPr>
              <w:t>.46*</w:t>
            </w:r>
          </w:p>
        </w:tc>
        <w:tc>
          <w:tcPr>
            <w:tcW w:w="464" w:type="pct"/>
            <w:tcBorders>
              <w:top w:val="nil"/>
              <w:left w:val="nil"/>
              <w:bottom w:val="single" w:sz="4" w:space="0" w:color="auto"/>
              <w:right w:val="nil"/>
            </w:tcBorders>
            <w:vAlign w:val="center"/>
          </w:tcPr>
          <w:p w14:paraId="323E6994" w14:textId="77777777" w:rsidR="00FF5C5C" w:rsidRPr="00AF7D9D" w:rsidRDefault="00AA03C4" w:rsidP="00FF5C5C">
            <w:pPr>
              <w:contextualSpacing/>
              <w:jc w:val="center"/>
              <w:rPr>
                <w:rFonts w:eastAsia="Calibri"/>
              </w:rPr>
            </w:pPr>
            <w:r w:rsidRPr="00AF7D9D">
              <w:rPr>
                <w:rFonts w:eastAsia="Calibri"/>
              </w:rPr>
              <w:t>-.42</w:t>
            </w:r>
          </w:p>
        </w:tc>
      </w:tr>
    </w:tbl>
    <w:p w14:paraId="084D3DE6" w14:textId="2641CD46" w:rsidR="00051845" w:rsidRPr="00AF7D9D" w:rsidRDefault="0032775A" w:rsidP="0032775A">
      <w:pPr>
        <w:spacing w:after="0" w:line="240" w:lineRule="auto"/>
        <w:rPr>
          <w:rFonts w:ascii="Times New Roman" w:hAnsi="Times New Roman" w:cs="Times New Roman"/>
          <w:sz w:val="24"/>
          <w:szCs w:val="24"/>
        </w:rPr>
      </w:pPr>
      <w:r w:rsidRPr="00AF7D9D">
        <w:rPr>
          <w:rFonts w:ascii="Times New Roman" w:hAnsi="Times New Roman" w:cs="Times New Roman"/>
          <w:sz w:val="24"/>
          <w:szCs w:val="24"/>
        </w:rPr>
        <w:t xml:space="preserve">Note. </w:t>
      </w:r>
      <w:r w:rsidR="00641C2C" w:rsidRPr="00AF7D9D">
        <w:rPr>
          <w:rFonts w:ascii="Times New Roman" w:hAnsi="Times New Roman" w:cs="Times New Roman"/>
          <w:sz w:val="24"/>
          <w:szCs w:val="24"/>
        </w:rPr>
        <w:t xml:space="preserve">YPI-S = Youth Psychopathic Traits Inventory – Short Form. DIRP = Detection of Inconsistent Response Presentation Scale. </w:t>
      </w:r>
      <w:r w:rsidR="004E78B9" w:rsidRPr="00AF7D9D">
        <w:rPr>
          <w:rFonts w:ascii="Times New Roman" w:hAnsi="Times New Roman" w:cs="Times New Roman"/>
          <w:sz w:val="24"/>
          <w:szCs w:val="24"/>
        </w:rPr>
        <w:t>MAYSI-2 = Massachuset</w:t>
      </w:r>
      <w:r w:rsidR="00641C2C" w:rsidRPr="00AF7D9D">
        <w:rPr>
          <w:rFonts w:ascii="Times New Roman" w:hAnsi="Times New Roman" w:cs="Times New Roman"/>
          <w:sz w:val="24"/>
          <w:szCs w:val="24"/>
        </w:rPr>
        <w:t>ts Youth Screening Instrument-2.</w:t>
      </w:r>
      <w:r w:rsidR="004E78B9" w:rsidRPr="00AF7D9D">
        <w:rPr>
          <w:rFonts w:ascii="Times New Roman" w:hAnsi="Times New Roman" w:cs="Times New Roman"/>
          <w:sz w:val="24"/>
          <w:szCs w:val="24"/>
        </w:rPr>
        <w:t xml:space="preserve"> </w:t>
      </w:r>
      <w:r w:rsidR="00641C2C" w:rsidRPr="00AF7D9D">
        <w:rPr>
          <w:rFonts w:ascii="Times New Roman" w:hAnsi="Times New Roman" w:cs="Times New Roman"/>
          <w:sz w:val="24"/>
          <w:szCs w:val="24"/>
        </w:rPr>
        <w:t>PPI-R = Psychopathic Traits Inventory – Revised. FD = Fearless Dominance.</w:t>
      </w:r>
      <w:r w:rsidRPr="00AF7D9D">
        <w:rPr>
          <w:rFonts w:ascii="Times New Roman" w:hAnsi="Times New Roman" w:cs="Times New Roman"/>
          <w:sz w:val="24"/>
          <w:szCs w:val="24"/>
        </w:rPr>
        <w:t xml:space="preserve"> </w:t>
      </w:r>
      <w:r w:rsidR="00641C2C" w:rsidRPr="00AF7D9D">
        <w:rPr>
          <w:rFonts w:ascii="Times New Roman" w:hAnsi="Times New Roman" w:cs="Times New Roman"/>
          <w:sz w:val="24"/>
          <w:szCs w:val="24"/>
        </w:rPr>
        <w:t>SCI = Self-Centered Impulsivity. CH = Coldheartedness.</w:t>
      </w:r>
      <w:r w:rsidRPr="00AF7D9D">
        <w:rPr>
          <w:rFonts w:ascii="Times New Roman" w:hAnsi="Times New Roman" w:cs="Times New Roman"/>
          <w:sz w:val="24"/>
          <w:szCs w:val="24"/>
        </w:rPr>
        <w:t xml:space="preserve"> RPQ-R = Reactive Aggressio</w:t>
      </w:r>
      <w:r w:rsidR="00641C2C" w:rsidRPr="00AF7D9D">
        <w:rPr>
          <w:rFonts w:ascii="Times New Roman" w:hAnsi="Times New Roman" w:cs="Times New Roman"/>
          <w:sz w:val="24"/>
          <w:szCs w:val="24"/>
        </w:rPr>
        <w:t>n.</w:t>
      </w:r>
      <w:r w:rsidR="004E78B9" w:rsidRPr="00AF7D9D">
        <w:rPr>
          <w:rFonts w:ascii="Times New Roman" w:hAnsi="Times New Roman" w:cs="Times New Roman"/>
          <w:sz w:val="24"/>
          <w:szCs w:val="24"/>
        </w:rPr>
        <w:t xml:space="preserve"> RPQ-P = Proactive Aggression</w:t>
      </w:r>
      <w:r w:rsidR="00641C2C" w:rsidRPr="00AF7D9D">
        <w:rPr>
          <w:rFonts w:ascii="Times New Roman" w:hAnsi="Times New Roman" w:cs="Times New Roman"/>
          <w:sz w:val="24"/>
          <w:szCs w:val="24"/>
        </w:rPr>
        <w:t>.</w:t>
      </w:r>
    </w:p>
    <w:p w14:paraId="64C1B505" w14:textId="1EE72E58" w:rsidR="00AA03C4" w:rsidRPr="00AF7D9D" w:rsidRDefault="0032775A" w:rsidP="00641C2C">
      <w:pPr>
        <w:spacing w:after="0" w:line="240" w:lineRule="auto"/>
        <w:rPr>
          <w:rFonts w:ascii="Times New Roman" w:hAnsi="Times New Roman" w:cs="Times New Roman"/>
          <w:sz w:val="24"/>
          <w:szCs w:val="24"/>
        </w:rPr>
      </w:pPr>
      <w:r w:rsidRPr="00AF7D9D">
        <w:rPr>
          <w:rFonts w:ascii="Times New Roman" w:hAnsi="Times New Roman" w:cs="Times New Roman"/>
          <w:sz w:val="24"/>
          <w:szCs w:val="24"/>
        </w:rPr>
        <w:t>*</w:t>
      </w:r>
      <w:r w:rsidRPr="00AF7D9D">
        <w:rPr>
          <w:rFonts w:ascii="Times New Roman" w:hAnsi="Times New Roman" w:cs="Times New Roman"/>
          <w:i/>
          <w:sz w:val="24"/>
          <w:szCs w:val="24"/>
        </w:rPr>
        <w:t>p</w:t>
      </w:r>
      <w:r w:rsidRPr="00AF7D9D">
        <w:rPr>
          <w:rFonts w:ascii="Times New Roman" w:hAnsi="Times New Roman" w:cs="Times New Roman"/>
          <w:sz w:val="24"/>
          <w:szCs w:val="24"/>
        </w:rPr>
        <w:t xml:space="preserve"> &lt; .05, **</w:t>
      </w:r>
      <w:r w:rsidRPr="00AF7D9D">
        <w:rPr>
          <w:rFonts w:ascii="Times New Roman" w:hAnsi="Times New Roman" w:cs="Times New Roman"/>
          <w:i/>
          <w:sz w:val="24"/>
          <w:szCs w:val="24"/>
        </w:rPr>
        <w:t>p</w:t>
      </w:r>
      <w:r w:rsidRPr="00AF7D9D">
        <w:rPr>
          <w:rFonts w:ascii="Times New Roman" w:hAnsi="Times New Roman" w:cs="Times New Roman"/>
          <w:sz w:val="24"/>
          <w:szCs w:val="24"/>
        </w:rPr>
        <w:t xml:space="preserve"> &lt; .01</w:t>
      </w:r>
    </w:p>
    <w:p w14:paraId="25E9ACEE" w14:textId="77777777" w:rsidR="00641C2C" w:rsidRPr="00AF7D9D" w:rsidRDefault="00641C2C" w:rsidP="00641C2C">
      <w:pPr>
        <w:spacing w:after="0" w:line="240" w:lineRule="auto"/>
        <w:rPr>
          <w:rFonts w:ascii="Times New Roman" w:hAnsi="Times New Roman" w:cs="Times New Roman"/>
          <w:sz w:val="24"/>
          <w:szCs w:val="24"/>
        </w:rPr>
      </w:pPr>
    </w:p>
    <w:p w14:paraId="764A7733" w14:textId="77777777" w:rsidR="003B50F0" w:rsidRPr="00AF7D9D" w:rsidRDefault="003B50F0" w:rsidP="003B50F0">
      <w:pPr>
        <w:spacing w:after="160" w:line="259" w:lineRule="auto"/>
        <w:contextualSpacing/>
        <w:rPr>
          <w:rFonts w:ascii="Times New Roman" w:eastAsia="Calibri" w:hAnsi="Times New Roman" w:cs="Times New Roman"/>
          <w:i/>
          <w:sz w:val="24"/>
          <w:szCs w:val="24"/>
        </w:rPr>
      </w:pPr>
      <w:r w:rsidRPr="00AF7D9D">
        <w:rPr>
          <w:rFonts w:ascii="Times New Roman" w:eastAsia="Calibri" w:hAnsi="Times New Roman" w:cs="Times New Roman"/>
          <w:i/>
          <w:sz w:val="24"/>
          <w:szCs w:val="24"/>
        </w:rPr>
        <w:lastRenderedPageBreak/>
        <w:t>Profile Classification and YPI-S Correlations with External Measures Cont.</w:t>
      </w:r>
    </w:p>
    <w:tbl>
      <w:tblPr>
        <w:tblStyle w:val="TableGrid21"/>
        <w:tblW w:w="5002" w:type="pct"/>
        <w:tblLayout w:type="fixed"/>
        <w:tblLook w:val="04A0" w:firstRow="1" w:lastRow="0" w:firstColumn="1" w:lastColumn="0" w:noHBand="0" w:noVBand="1"/>
      </w:tblPr>
      <w:tblGrid>
        <w:gridCol w:w="3147"/>
        <w:gridCol w:w="1566"/>
        <w:gridCol w:w="405"/>
        <w:gridCol w:w="1232"/>
        <w:gridCol w:w="1232"/>
        <w:gridCol w:w="1234"/>
        <w:gridCol w:w="449"/>
        <w:gridCol w:w="1234"/>
        <w:gridCol w:w="1234"/>
        <w:gridCol w:w="1232"/>
      </w:tblGrid>
      <w:tr w:rsidR="00B11861" w:rsidRPr="00AF7D9D" w14:paraId="3D827E02" w14:textId="77777777" w:rsidTr="00FF5C5C">
        <w:trPr>
          <w:trHeight w:val="327"/>
        </w:trPr>
        <w:tc>
          <w:tcPr>
            <w:tcW w:w="1214" w:type="pct"/>
            <w:tcBorders>
              <w:left w:val="nil"/>
              <w:bottom w:val="single" w:sz="4" w:space="0" w:color="auto"/>
              <w:right w:val="nil"/>
            </w:tcBorders>
            <w:vAlign w:val="center"/>
          </w:tcPr>
          <w:p w14:paraId="21CBDF6F" w14:textId="77777777" w:rsidR="00B11861" w:rsidRPr="00AF7D9D" w:rsidRDefault="00B11861" w:rsidP="003B50F0">
            <w:pPr>
              <w:contextualSpacing/>
              <w:jc w:val="center"/>
              <w:rPr>
                <w:rFonts w:eastAsia="Calibri"/>
              </w:rPr>
            </w:pPr>
          </w:p>
        </w:tc>
        <w:tc>
          <w:tcPr>
            <w:tcW w:w="3784" w:type="pct"/>
            <w:gridSpan w:val="9"/>
            <w:tcBorders>
              <w:left w:val="nil"/>
              <w:bottom w:val="single" w:sz="4" w:space="0" w:color="auto"/>
              <w:right w:val="nil"/>
            </w:tcBorders>
            <w:vAlign w:val="center"/>
          </w:tcPr>
          <w:p w14:paraId="25475B33" w14:textId="77777777" w:rsidR="00B11861" w:rsidRPr="00AF7D9D" w:rsidRDefault="00B11861" w:rsidP="00B11861">
            <w:pPr>
              <w:contextualSpacing/>
              <w:jc w:val="center"/>
              <w:rPr>
                <w:rFonts w:eastAsia="Calibri"/>
              </w:rPr>
            </w:pPr>
            <w:r w:rsidRPr="00AF7D9D">
              <w:rPr>
                <w:rFonts w:eastAsia="Calibri"/>
              </w:rPr>
              <w:t>Correlation with YPI-S Total</w:t>
            </w:r>
          </w:p>
        </w:tc>
      </w:tr>
      <w:tr w:rsidR="008E5ADD" w:rsidRPr="00AF7D9D" w14:paraId="4CEFFDE5" w14:textId="77777777" w:rsidTr="00FF5C5C">
        <w:trPr>
          <w:trHeight w:val="327"/>
        </w:trPr>
        <w:tc>
          <w:tcPr>
            <w:tcW w:w="1214" w:type="pct"/>
            <w:tcBorders>
              <w:left w:val="nil"/>
              <w:bottom w:val="single" w:sz="4" w:space="0" w:color="auto"/>
              <w:right w:val="nil"/>
            </w:tcBorders>
            <w:vAlign w:val="center"/>
          </w:tcPr>
          <w:p w14:paraId="5228DB55" w14:textId="77777777" w:rsidR="00B11861" w:rsidRPr="00AF7D9D" w:rsidRDefault="00B11861" w:rsidP="003B50F0">
            <w:pPr>
              <w:contextualSpacing/>
              <w:jc w:val="center"/>
              <w:rPr>
                <w:rFonts w:eastAsia="Calibri"/>
              </w:rPr>
            </w:pPr>
          </w:p>
        </w:tc>
        <w:tc>
          <w:tcPr>
            <w:tcW w:w="604" w:type="pct"/>
            <w:tcBorders>
              <w:left w:val="nil"/>
              <w:bottom w:val="single" w:sz="4" w:space="0" w:color="auto"/>
              <w:right w:val="nil"/>
            </w:tcBorders>
            <w:vAlign w:val="center"/>
          </w:tcPr>
          <w:p w14:paraId="04732619" w14:textId="77777777" w:rsidR="00B11861" w:rsidRPr="00AF7D9D" w:rsidRDefault="00B11861" w:rsidP="00B11861">
            <w:pPr>
              <w:contextualSpacing/>
              <w:jc w:val="center"/>
              <w:rPr>
                <w:rFonts w:eastAsia="Calibri"/>
              </w:rPr>
            </w:pPr>
            <w:r w:rsidRPr="00AF7D9D">
              <w:rPr>
                <w:rFonts w:eastAsia="Calibri"/>
              </w:rPr>
              <w:t>Total Sample</w:t>
            </w:r>
          </w:p>
        </w:tc>
        <w:tc>
          <w:tcPr>
            <w:tcW w:w="156" w:type="pct"/>
            <w:tcBorders>
              <w:left w:val="nil"/>
              <w:bottom w:val="single" w:sz="4" w:space="0" w:color="auto"/>
              <w:right w:val="nil"/>
            </w:tcBorders>
            <w:vAlign w:val="center"/>
          </w:tcPr>
          <w:p w14:paraId="508934DE" w14:textId="77777777" w:rsidR="00B11861" w:rsidRPr="00AF7D9D" w:rsidRDefault="00B11861" w:rsidP="00B11861">
            <w:pPr>
              <w:contextualSpacing/>
              <w:jc w:val="center"/>
              <w:rPr>
                <w:rFonts w:eastAsia="Calibri"/>
              </w:rPr>
            </w:pPr>
          </w:p>
        </w:tc>
        <w:tc>
          <w:tcPr>
            <w:tcW w:w="475" w:type="pct"/>
            <w:tcBorders>
              <w:left w:val="nil"/>
              <w:bottom w:val="single" w:sz="4" w:space="0" w:color="auto"/>
              <w:right w:val="nil"/>
            </w:tcBorders>
            <w:vAlign w:val="center"/>
          </w:tcPr>
          <w:p w14:paraId="3ABE13CC" w14:textId="48B7126D" w:rsidR="00B11861" w:rsidRPr="00AF7D9D" w:rsidRDefault="00641C2C" w:rsidP="00B11861">
            <w:pPr>
              <w:contextualSpacing/>
              <w:jc w:val="center"/>
              <w:rPr>
                <w:rFonts w:eastAsia="Calibri"/>
                <w:vertAlign w:val="superscript"/>
              </w:rPr>
            </w:pPr>
            <w:r w:rsidRPr="00AF7D9D">
              <w:rPr>
                <w:rFonts w:eastAsia="Calibri"/>
              </w:rPr>
              <w:t>DI</w:t>
            </w:r>
            <w:r w:rsidR="00B11861" w:rsidRPr="00AF7D9D">
              <w:rPr>
                <w:rFonts w:eastAsia="Calibri"/>
              </w:rPr>
              <w:t>RP &lt; 7</w:t>
            </w:r>
          </w:p>
        </w:tc>
        <w:tc>
          <w:tcPr>
            <w:tcW w:w="475" w:type="pct"/>
            <w:tcBorders>
              <w:left w:val="nil"/>
              <w:bottom w:val="single" w:sz="4" w:space="0" w:color="auto"/>
              <w:right w:val="nil"/>
            </w:tcBorders>
            <w:vAlign w:val="center"/>
          </w:tcPr>
          <w:p w14:paraId="290A4936" w14:textId="1C7D0A32" w:rsidR="00B11861" w:rsidRPr="00AF7D9D" w:rsidRDefault="00641C2C" w:rsidP="00B11861">
            <w:pPr>
              <w:contextualSpacing/>
              <w:jc w:val="center"/>
              <w:rPr>
                <w:rFonts w:eastAsia="Calibri"/>
                <w:vertAlign w:val="superscript"/>
              </w:rPr>
            </w:pPr>
            <w:r w:rsidRPr="00AF7D9D">
              <w:rPr>
                <w:rFonts w:eastAsia="Calibri"/>
              </w:rPr>
              <w:t>DI</w:t>
            </w:r>
            <w:r w:rsidR="00B11861" w:rsidRPr="00AF7D9D">
              <w:rPr>
                <w:rFonts w:eastAsia="Calibri"/>
              </w:rPr>
              <w:t>RP ≥ 7</w:t>
            </w:r>
          </w:p>
        </w:tc>
        <w:tc>
          <w:tcPr>
            <w:tcW w:w="476" w:type="pct"/>
            <w:tcBorders>
              <w:left w:val="nil"/>
              <w:bottom w:val="single" w:sz="4" w:space="0" w:color="auto"/>
              <w:right w:val="nil"/>
            </w:tcBorders>
            <w:vAlign w:val="center"/>
          </w:tcPr>
          <w:p w14:paraId="0AA756C4" w14:textId="77777777" w:rsidR="00B11861" w:rsidRPr="00AF7D9D" w:rsidRDefault="00B11861" w:rsidP="00B11861">
            <w:pPr>
              <w:contextualSpacing/>
              <w:jc w:val="center"/>
              <w:rPr>
                <w:rFonts w:eastAsia="Calibri"/>
                <w:i/>
              </w:rPr>
            </w:pPr>
            <w:r w:rsidRPr="00AF7D9D">
              <w:rPr>
                <w:rFonts w:eastAsia="Calibri"/>
                <w:i/>
              </w:rPr>
              <w:t>z</w:t>
            </w:r>
          </w:p>
        </w:tc>
        <w:tc>
          <w:tcPr>
            <w:tcW w:w="173" w:type="pct"/>
            <w:tcBorders>
              <w:left w:val="nil"/>
              <w:bottom w:val="single" w:sz="4" w:space="0" w:color="auto"/>
              <w:right w:val="nil"/>
            </w:tcBorders>
            <w:vAlign w:val="center"/>
          </w:tcPr>
          <w:p w14:paraId="50B84EE1" w14:textId="77777777" w:rsidR="00B11861" w:rsidRPr="00AF7D9D" w:rsidRDefault="00B11861" w:rsidP="00B11861">
            <w:pPr>
              <w:contextualSpacing/>
              <w:jc w:val="center"/>
              <w:rPr>
                <w:rFonts w:eastAsia="Calibri"/>
              </w:rPr>
            </w:pPr>
          </w:p>
        </w:tc>
        <w:tc>
          <w:tcPr>
            <w:tcW w:w="476" w:type="pct"/>
            <w:tcBorders>
              <w:left w:val="nil"/>
              <w:bottom w:val="single" w:sz="4" w:space="0" w:color="auto"/>
              <w:right w:val="nil"/>
            </w:tcBorders>
            <w:vAlign w:val="center"/>
          </w:tcPr>
          <w:p w14:paraId="49B6F7FD" w14:textId="7D2ED647" w:rsidR="00B11861" w:rsidRPr="00AF7D9D" w:rsidRDefault="00641C2C" w:rsidP="00B11861">
            <w:pPr>
              <w:contextualSpacing/>
              <w:jc w:val="center"/>
              <w:rPr>
                <w:rFonts w:eastAsia="Calibri"/>
              </w:rPr>
            </w:pPr>
            <w:r w:rsidRPr="00AF7D9D">
              <w:rPr>
                <w:rFonts w:eastAsia="Calibri"/>
              </w:rPr>
              <w:t>DI</w:t>
            </w:r>
            <w:r w:rsidR="00B11861" w:rsidRPr="00AF7D9D">
              <w:rPr>
                <w:rFonts w:eastAsia="Calibri"/>
              </w:rPr>
              <w:t>RP &lt; 8</w:t>
            </w:r>
          </w:p>
        </w:tc>
        <w:tc>
          <w:tcPr>
            <w:tcW w:w="476" w:type="pct"/>
            <w:tcBorders>
              <w:left w:val="nil"/>
              <w:bottom w:val="single" w:sz="4" w:space="0" w:color="auto"/>
              <w:right w:val="nil"/>
            </w:tcBorders>
            <w:vAlign w:val="center"/>
          </w:tcPr>
          <w:p w14:paraId="0B546E1E" w14:textId="0578CB63" w:rsidR="00B11861" w:rsidRPr="00AF7D9D" w:rsidRDefault="00641C2C" w:rsidP="00B11861">
            <w:pPr>
              <w:contextualSpacing/>
              <w:jc w:val="center"/>
              <w:rPr>
                <w:rFonts w:eastAsia="Calibri"/>
              </w:rPr>
            </w:pPr>
            <w:r w:rsidRPr="00AF7D9D">
              <w:rPr>
                <w:rFonts w:eastAsia="Calibri"/>
              </w:rPr>
              <w:t>DI</w:t>
            </w:r>
            <w:r w:rsidR="00B11861" w:rsidRPr="00AF7D9D">
              <w:rPr>
                <w:rFonts w:eastAsia="Calibri"/>
              </w:rPr>
              <w:t>RP ≥ 8</w:t>
            </w:r>
          </w:p>
        </w:tc>
        <w:tc>
          <w:tcPr>
            <w:tcW w:w="475" w:type="pct"/>
            <w:tcBorders>
              <w:left w:val="nil"/>
              <w:bottom w:val="single" w:sz="4" w:space="0" w:color="auto"/>
              <w:right w:val="nil"/>
            </w:tcBorders>
            <w:vAlign w:val="center"/>
          </w:tcPr>
          <w:p w14:paraId="41113A22" w14:textId="77777777" w:rsidR="00B11861" w:rsidRPr="00AF7D9D" w:rsidRDefault="00B11861" w:rsidP="00B11861">
            <w:pPr>
              <w:contextualSpacing/>
              <w:jc w:val="center"/>
              <w:rPr>
                <w:rFonts w:eastAsia="Calibri"/>
              </w:rPr>
            </w:pPr>
            <w:r w:rsidRPr="00AF7D9D">
              <w:rPr>
                <w:rFonts w:eastAsia="Calibri"/>
                <w:i/>
              </w:rPr>
              <w:t>z</w:t>
            </w:r>
          </w:p>
        </w:tc>
      </w:tr>
      <w:tr w:rsidR="008E5ADD" w:rsidRPr="00AF7D9D" w14:paraId="659652C8" w14:textId="77777777" w:rsidTr="00FF5C5C">
        <w:trPr>
          <w:trHeight w:val="327"/>
        </w:trPr>
        <w:tc>
          <w:tcPr>
            <w:tcW w:w="1214" w:type="pct"/>
            <w:tcBorders>
              <w:left w:val="nil"/>
              <w:bottom w:val="single" w:sz="4" w:space="0" w:color="auto"/>
              <w:right w:val="nil"/>
            </w:tcBorders>
          </w:tcPr>
          <w:p w14:paraId="2DEC2856" w14:textId="77777777" w:rsidR="00B11861" w:rsidRPr="00AF7D9D" w:rsidRDefault="00B11861" w:rsidP="00B4182B">
            <w:pPr>
              <w:contextualSpacing/>
              <w:rPr>
                <w:rFonts w:eastAsia="Calibri"/>
                <w:b/>
              </w:rPr>
            </w:pPr>
            <w:r w:rsidRPr="00AF7D9D">
              <w:rPr>
                <w:rFonts w:eastAsia="Calibri"/>
                <w:b/>
              </w:rPr>
              <w:t>4. Italian (</w:t>
            </w:r>
            <w:r w:rsidRPr="00AF7D9D">
              <w:rPr>
                <w:rFonts w:eastAsia="Calibri"/>
                <w:b/>
                <w:i/>
              </w:rPr>
              <w:t>n</w:t>
            </w:r>
            <w:r w:rsidRPr="00AF7D9D">
              <w:rPr>
                <w:rFonts w:eastAsia="Calibri"/>
                <w:b/>
              </w:rPr>
              <w:t xml:space="preserve"> = 868) - Females</w:t>
            </w:r>
          </w:p>
        </w:tc>
        <w:tc>
          <w:tcPr>
            <w:tcW w:w="604" w:type="pct"/>
            <w:tcBorders>
              <w:top w:val="nil"/>
              <w:left w:val="nil"/>
              <w:bottom w:val="single" w:sz="4" w:space="0" w:color="auto"/>
              <w:right w:val="nil"/>
            </w:tcBorders>
            <w:vAlign w:val="center"/>
          </w:tcPr>
          <w:p w14:paraId="57D44588" w14:textId="77777777" w:rsidR="00B11861" w:rsidRPr="00AF7D9D" w:rsidRDefault="00B11861" w:rsidP="00B11861">
            <w:pPr>
              <w:contextualSpacing/>
              <w:jc w:val="center"/>
              <w:rPr>
                <w:rFonts w:eastAsia="Calibri"/>
                <w:i/>
              </w:rPr>
            </w:pPr>
            <w:r w:rsidRPr="00AF7D9D">
              <w:rPr>
                <w:rFonts w:eastAsia="Calibri"/>
                <w:i/>
              </w:rPr>
              <w:t>n</w:t>
            </w:r>
            <w:r w:rsidRPr="00AF7D9D">
              <w:rPr>
                <w:rFonts w:eastAsia="Calibri"/>
              </w:rPr>
              <w:t xml:space="preserve"> = 583</w:t>
            </w:r>
          </w:p>
        </w:tc>
        <w:tc>
          <w:tcPr>
            <w:tcW w:w="156" w:type="pct"/>
            <w:tcBorders>
              <w:top w:val="nil"/>
              <w:left w:val="nil"/>
              <w:bottom w:val="single" w:sz="4" w:space="0" w:color="auto"/>
              <w:right w:val="nil"/>
            </w:tcBorders>
            <w:vAlign w:val="center"/>
          </w:tcPr>
          <w:p w14:paraId="057C4787" w14:textId="77777777" w:rsidR="00B11861" w:rsidRPr="00AF7D9D" w:rsidRDefault="00B11861" w:rsidP="00B11861">
            <w:pPr>
              <w:contextualSpacing/>
              <w:jc w:val="center"/>
              <w:rPr>
                <w:rFonts w:eastAsia="Calibri"/>
                <w:i/>
              </w:rPr>
            </w:pPr>
          </w:p>
        </w:tc>
        <w:tc>
          <w:tcPr>
            <w:tcW w:w="475" w:type="pct"/>
            <w:tcBorders>
              <w:top w:val="nil"/>
              <w:left w:val="nil"/>
              <w:bottom w:val="single" w:sz="4" w:space="0" w:color="auto"/>
              <w:right w:val="nil"/>
            </w:tcBorders>
            <w:vAlign w:val="center"/>
          </w:tcPr>
          <w:p w14:paraId="0BD0C6B6" w14:textId="77777777" w:rsidR="00B11861" w:rsidRPr="00AF7D9D" w:rsidRDefault="00B11861" w:rsidP="00B11861">
            <w:pPr>
              <w:contextualSpacing/>
              <w:jc w:val="center"/>
              <w:rPr>
                <w:rFonts w:eastAsia="Calibri"/>
                <w:i/>
              </w:rPr>
            </w:pPr>
            <w:r w:rsidRPr="00AF7D9D">
              <w:rPr>
                <w:rFonts w:eastAsia="Calibri"/>
                <w:i/>
              </w:rPr>
              <w:t>n</w:t>
            </w:r>
            <w:r w:rsidRPr="00AF7D9D">
              <w:rPr>
                <w:rFonts w:eastAsia="Calibri"/>
              </w:rPr>
              <w:t xml:space="preserve"> = 515</w:t>
            </w:r>
          </w:p>
        </w:tc>
        <w:tc>
          <w:tcPr>
            <w:tcW w:w="475" w:type="pct"/>
            <w:tcBorders>
              <w:top w:val="nil"/>
              <w:left w:val="nil"/>
              <w:bottom w:val="single" w:sz="4" w:space="0" w:color="auto"/>
              <w:right w:val="nil"/>
            </w:tcBorders>
            <w:vAlign w:val="center"/>
          </w:tcPr>
          <w:p w14:paraId="6363DE3A" w14:textId="77777777" w:rsidR="00B11861" w:rsidRPr="00AF7D9D" w:rsidRDefault="00B11861" w:rsidP="00B11861">
            <w:pPr>
              <w:contextualSpacing/>
              <w:jc w:val="center"/>
              <w:rPr>
                <w:rFonts w:eastAsia="Calibri"/>
                <w:i/>
              </w:rPr>
            </w:pPr>
            <w:r w:rsidRPr="00AF7D9D">
              <w:rPr>
                <w:rFonts w:eastAsia="Calibri"/>
                <w:i/>
              </w:rPr>
              <w:t>n</w:t>
            </w:r>
            <w:r w:rsidRPr="00AF7D9D">
              <w:rPr>
                <w:rFonts w:eastAsia="Calibri"/>
              </w:rPr>
              <w:t xml:space="preserve"> = 68</w:t>
            </w:r>
          </w:p>
        </w:tc>
        <w:tc>
          <w:tcPr>
            <w:tcW w:w="476" w:type="pct"/>
            <w:tcBorders>
              <w:top w:val="nil"/>
              <w:left w:val="nil"/>
              <w:bottom w:val="single" w:sz="4" w:space="0" w:color="auto"/>
              <w:right w:val="nil"/>
            </w:tcBorders>
            <w:vAlign w:val="center"/>
          </w:tcPr>
          <w:p w14:paraId="0951340F" w14:textId="77777777" w:rsidR="00B11861" w:rsidRPr="00AF7D9D" w:rsidRDefault="00B11861" w:rsidP="00B11861">
            <w:pPr>
              <w:contextualSpacing/>
              <w:jc w:val="center"/>
              <w:rPr>
                <w:rFonts w:eastAsia="Calibri"/>
              </w:rPr>
            </w:pPr>
          </w:p>
        </w:tc>
        <w:tc>
          <w:tcPr>
            <w:tcW w:w="173" w:type="pct"/>
            <w:tcBorders>
              <w:top w:val="nil"/>
              <w:left w:val="nil"/>
              <w:bottom w:val="single" w:sz="4" w:space="0" w:color="auto"/>
              <w:right w:val="nil"/>
            </w:tcBorders>
            <w:vAlign w:val="center"/>
          </w:tcPr>
          <w:p w14:paraId="0B46E6E3" w14:textId="77777777" w:rsidR="00B11861" w:rsidRPr="00AF7D9D" w:rsidRDefault="00B11861" w:rsidP="00B11861">
            <w:pPr>
              <w:contextualSpacing/>
              <w:jc w:val="center"/>
              <w:rPr>
                <w:rFonts w:eastAsia="Calibri"/>
                <w:i/>
              </w:rPr>
            </w:pPr>
          </w:p>
        </w:tc>
        <w:tc>
          <w:tcPr>
            <w:tcW w:w="476" w:type="pct"/>
            <w:tcBorders>
              <w:top w:val="nil"/>
              <w:left w:val="nil"/>
              <w:bottom w:val="single" w:sz="4" w:space="0" w:color="auto"/>
              <w:right w:val="nil"/>
            </w:tcBorders>
            <w:vAlign w:val="center"/>
          </w:tcPr>
          <w:p w14:paraId="3A145839" w14:textId="77777777" w:rsidR="00B11861" w:rsidRPr="00AF7D9D" w:rsidRDefault="00B11861" w:rsidP="00B11861">
            <w:pPr>
              <w:contextualSpacing/>
              <w:jc w:val="center"/>
              <w:rPr>
                <w:rFonts w:eastAsia="Calibri"/>
                <w:i/>
              </w:rPr>
            </w:pPr>
            <w:r w:rsidRPr="00AF7D9D">
              <w:rPr>
                <w:rFonts w:eastAsia="Calibri"/>
                <w:i/>
              </w:rPr>
              <w:t>n</w:t>
            </w:r>
            <w:r w:rsidRPr="00AF7D9D">
              <w:rPr>
                <w:rFonts w:eastAsia="Calibri"/>
              </w:rPr>
              <w:t xml:space="preserve"> = 542</w:t>
            </w:r>
          </w:p>
        </w:tc>
        <w:tc>
          <w:tcPr>
            <w:tcW w:w="476" w:type="pct"/>
            <w:tcBorders>
              <w:top w:val="nil"/>
              <w:left w:val="nil"/>
              <w:bottom w:val="single" w:sz="4" w:space="0" w:color="auto"/>
              <w:right w:val="nil"/>
            </w:tcBorders>
            <w:vAlign w:val="center"/>
          </w:tcPr>
          <w:p w14:paraId="398960AB" w14:textId="77777777" w:rsidR="00B11861" w:rsidRPr="00AF7D9D" w:rsidRDefault="00B11861" w:rsidP="00B11861">
            <w:pPr>
              <w:contextualSpacing/>
              <w:jc w:val="center"/>
              <w:rPr>
                <w:rFonts w:eastAsia="Calibri"/>
                <w:i/>
              </w:rPr>
            </w:pPr>
            <w:r w:rsidRPr="00AF7D9D">
              <w:rPr>
                <w:rFonts w:eastAsia="Calibri"/>
                <w:i/>
              </w:rPr>
              <w:t>n</w:t>
            </w:r>
            <w:r w:rsidRPr="00AF7D9D">
              <w:rPr>
                <w:rFonts w:eastAsia="Calibri"/>
              </w:rPr>
              <w:t xml:space="preserve"> = 41</w:t>
            </w:r>
          </w:p>
        </w:tc>
        <w:tc>
          <w:tcPr>
            <w:tcW w:w="475" w:type="pct"/>
            <w:tcBorders>
              <w:top w:val="nil"/>
              <w:left w:val="nil"/>
              <w:bottom w:val="single" w:sz="4" w:space="0" w:color="auto"/>
              <w:right w:val="nil"/>
            </w:tcBorders>
            <w:vAlign w:val="center"/>
          </w:tcPr>
          <w:p w14:paraId="664E516B" w14:textId="77777777" w:rsidR="00B11861" w:rsidRPr="00AF7D9D" w:rsidRDefault="00B11861" w:rsidP="00B11861">
            <w:pPr>
              <w:contextualSpacing/>
              <w:jc w:val="center"/>
              <w:rPr>
                <w:rFonts w:eastAsia="Calibri"/>
                <w:i/>
              </w:rPr>
            </w:pPr>
          </w:p>
        </w:tc>
      </w:tr>
      <w:tr w:rsidR="008E5ADD" w:rsidRPr="00AF7D9D" w14:paraId="13CDFD05" w14:textId="77777777" w:rsidTr="00FF5C5C">
        <w:trPr>
          <w:trHeight w:val="327"/>
        </w:trPr>
        <w:tc>
          <w:tcPr>
            <w:tcW w:w="1214" w:type="pct"/>
            <w:tcBorders>
              <w:left w:val="nil"/>
              <w:bottom w:val="single" w:sz="4" w:space="0" w:color="auto"/>
              <w:right w:val="nil"/>
            </w:tcBorders>
          </w:tcPr>
          <w:p w14:paraId="52F2A57C" w14:textId="77777777" w:rsidR="00B11861" w:rsidRPr="00AF7D9D" w:rsidRDefault="00B11861" w:rsidP="00B4182B">
            <w:pPr>
              <w:contextualSpacing/>
              <w:rPr>
                <w:rFonts w:eastAsia="Calibri"/>
                <w:b/>
              </w:rPr>
            </w:pPr>
            <w:r w:rsidRPr="00AF7D9D">
              <w:rPr>
                <w:rFonts w:eastAsia="Calibri"/>
              </w:rPr>
              <w:t xml:space="preserve">   Self-Report of Delinquency</w:t>
            </w:r>
          </w:p>
        </w:tc>
        <w:tc>
          <w:tcPr>
            <w:tcW w:w="604" w:type="pct"/>
            <w:tcBorders>
              <w:top w:val="nil"/>
              <w:left w:val="nil"/>
              <w:bottom w:val="single" w:sz="4" w:space="0" w:color="auto"/>
              <w:right w:val="nil"/>
            </w:tcBorders>
            <w:vAlign w:val="center"/>
          </w:tcPr>
          <w:p w14:paraId="41C3764A" w14:textId="77777777" w:rsidR="00B11861" w:rsidRPr="00AF7D9D" w:rsidRDefault="00B11861" w:rsidP="00B11861">
            <w:pPr>
              <w:contextualSpacing/>
              <w:jc w:val="center"/>
              <w:rPr>
                <w:rFonts w:eastAsia="Calibri"/>
                <w:i/>
              </w:rPr>
            </w:pPr>
            <w:r w:rsidRPr="00AF7D9D">
              <w:rPr>
                <w:rFonts w:eastAsia="Calibri"/>
              </w:rPr>
              <w:t>.52**</w:t>
            </w:r>
          </w:p>
        </w:tc>
        <w:tc>
          <w:tcPr>
            <w:tcW w:w="156" w:type="pct"/>
            <w:tcBorders>
              <w:top w:val="nil"/>
              <w:left w:val="nil"/>
              <w:bottom w:val="single" w:sz="4" w:space="0" w:color="auto"/>
              <w:right w:val="nil"/>
            </w:tcBorders>
            <w:vAlign w:val="center"/>
          </w:tcPr>
          <w:p w14:paraId="029DD279" w14:textId="77777777" w:rsidR="00B11861" w:rsidRPr="00AF7D9D" w:rsidRDefault="00B11861" w:rsidP="00B11861">
            <w:pPr>
              <w:contextualSpacing/>
              <w:jc w:val="center"/>
              <w:rPr>
                <w:rFonts w:eastAsia="Calibri"/>
                <w:i/>
              </w:rPr>
            </w:pPr>
          </w:p>
        </w:tc>
        <w:tc>
          <w:tcPr>
            <w:tcW w:w="475" w:type="pct"/>
            <w:tcBorders>
              <w:top w:val="nil"/>
              <w:left w:val="nil"/>
              <w:bottom w:val="single" w:sz="4" w:space="0" w:color="auto"/>
              <w:right w:val="nil"/>
            </w:tcBorders>
            <w:vAlign w:val="center"/>
          </w:tcPr>
          <w:p w14:paraId="7BA01A69" w14:textId="77777777" w:rsidR="00B11861" w:rsidRPr="00AF7D9D" w:rsidRDefault="00B11861" w:rsidP="00B11861">
            <w:pPr>
              <w:contextualSpacing/>
              <w:jc w:val="center"/>
              <w:rPr>
                <w:rFonts w:eastAsia="Calibri"/>
                <w:i/>
              </w:rPr>
            </w:pPr>
            <w:r w:rsidRPr="00AF7D9D">
              <w:rPr>
                <w:rFonts w:eastAsia="Calibri"/>
              </w:rPr>
              <w:t>.48**</w:t>
            </w:r>
          </w:p>
        </w:tc>
        <w:tc>
          <w:tcPr>
            <w:tcW w:w="475" w:type="pct"/>
            <w:tcBorders>
              <w:top w:val="nil"/>
              <w:left w:val="nil"/>
              <w:bottom w:val="single" w:sz="4" w:space="0" w:color="auto"/>
              <w:right w:val="nil"/>
            </w:tcBorders>
            <w:vAlign w:val="center"/>
          </w:tcPr>
          <w:p w14:paraId="48221FAA" w14:textId="77777777" w:rsidR="00B11861" w:rsidRPr="00AF7D9D" w:rsidRDefault="00B11861" w:rsidP="00B11861">
            <w:pPr>
              <w:contextualSpacing/>
              <w:jc w:val="center"/>
              <w:rPr>
                <w:rFonts w:eastAsia="Calibri"/>
                <w:i/>
              </w:rPr>
            </w:pPr>
            <w:r w:rsidRPr="00AF7D9D">
              <w:rPr>
                <w:rFonts w:eastAsia="Calibri"/>
              </w:rPr>
              <w:t>.19</w:t>
            </w:r>
          </w:p>
        </w:tc>
        <w:tc>
          <w:tcPr>
            <w:tcW w:w="476" w:type="pct"/>
            <w:tcBorders>
              <w:top w:val="nil"/>
              <w:left w:val="nil"/>
              <w:bottom w:val="single" w:sz="4" w:space="0" w:color="auto"/>
              <w:right w:val="nil"/>
            </w:tcBorders>
            <w:vAlign w:val="center"/>
          </w:tcPr>
          <w:p w14:paraId="60258E5A" w14:textId="77777777" w:rsidR="00B11861" w:rsidRPr="00AF7D9D" w:rsidRDefault="00B11861" w:rsidP="00B11861">
            <w:pPr>
              <w:contextualSpacing/>
              <w:jc w:val="center"/>
              <w:rPr>
                <w:rFonts w:eastAsia="Calibri"/>
                <w:i/>
              </w:rPr>
            </w:pPr>
            <w:r w:rsidRPr="00AF7D9D">
              <w:rPr>
                <w:rFonts w:eastAsia="Calibri"/>
              </w:rPr>
              <w:t>2.51**</w:t>
            </w:r>
          </w:p>
        </w:tc>
        <w:tc>
          <w:tcPr>
            <w:tcW w:w="173" w:type="pct"/>
            <w:tcBorders>
              <w:top w:val="nil"/>
              <w:left w:val="nil"/>
              <w:bottom w:val="single" w:sz="4" w:space="0" w:color="auto"/>
              <w:right w:val="nil"/>
            </w:tcBorders>
            <w:vAlign w:val="center"/>
          </w:tcPr>
          <w:p w14:paraId="1BD30B7B" w14:textId="77777777" w:rsidR="00B11861" w:rsidRPr="00AF7D9D" w:rsidRDefault="00B11861" w:rsidP="00B11861">
            <w:pPr>
              <w:contextualSpacing/>
              <w:jc w:val="center"/>
              <w:rPr>
                <w:rFonts w:eastAsia="Calibri"/>
                <w:i/>
              </w:rPr>
            </w:pPr>
          </w:p>
        </w:tc>
        <w:tc>
          <w:tcPr>
            <w:tcW w:w="476" w:type="pct"/>
            <w:tcBorders>
              <w:top w:val="nil"/>
              <w:left w:val="nil"/>
              <w:bottom w:val="single" w:sz="4" w:space="0" w:color="auto"/>
              <w:right w:val="nil"/>
            </w:tcBorders>
            <w:vAlign w:val="center"/>
          </w:tcPr>
          <w:p w14:paraId="0A6C4009" w14:textId="77777777" w:rsidR="00B11861" w:rsidRPr="00AF7D9D" w:rsidRDefault="00B11861" w:rsidP="00B11861">
            <w:pPr>
              <w:contextualSpacing/>
              <w:jc w:val="center"/>
              <w:rPr>
                <w:rFonts w:eastAsia="Calibri"/>
                <w:i/>
              </w:rPr>
            </w:pPr>
            <w:r w:rsidRPr="00AF7D9D">
              <w:rPr>
                <w:rFonts w:eastAsia="Calibri"/>
              </w:rPr>
              <w:t>.47**</w:t>
            </w:r>
          </w:p>
        </w:tc>
        <w:tc>
          <w:tcPr>
            <w:tcW w:w="476" w:type="pct"/>
            <w:tcBorders>
              <w:top w:val="nil"/>
              <w:left w:val="nil"/>
              <w:bottom w:val="single" w:sz="4" w:space="0" w:color="auto"/>
              <w:right w:val="nil"/>
            </w:tcBorders>
            <w:vAlign w:val="center"/>
          </w:tcPr>
          <w:p w14:paraId="75E13E48" w14:textId="77777777" w:rsidR="00B11861" w:rsidRPr="00AF7D9D" w:rsidRDefault="00B11861" w:rsidP="00B11861">
            <w:pPr>
              <w:contextualSpacing/>
              <w:jc w:val="center"/>
              <w:rPr>
                <w:rFonts w:eastAsia="Calibri"/>
                <w:i/>
              </w:rPr>
            </w:pPr>
            <w:r w:rsidRPr="00AF7D9D">
              <w:rPr>
                <w:rFonts w:eastAsia="Calibri"/>
              </w:rPr>
              <w:t>.18</w:t>
            </w:r>
          </w:p>
        </w:tc>
        <w:tc>
          <w:tcPr>
            <w:tcW w:w="475" w:type="pct"/>
            <w:tcBorders>
              <w:top w:val="nil"/>
              <w:left w:val="nil"/>
              <w:bottom w:val="single" w:sz="4" w:space="0" w:color="auto"/>
              <w:right w:val="nil"/>
            </w:tcBorders>
            <w:vAlign w:val="center"/>
          </w:tcPr>
          <w:p w14:paraId="5D1F4604" w14:textId="77777777" w:rsidR="00B11861" w:rsidRPr="00AF7D9D" w:rsidRDefault="008E5ADD" w:rsidP="00B11861">
            <w:pPr>
              <w:contextualSpacing/>
              <w:jc w:val="center"/>
              <w:rPr>
                <w:rFonts w:eastAsia="Calibri"/>
              </w:rPr>
            </w:pPr>
            <w:r w:rsidRPr="00AF7D9D">
              <w:rPr>
                <w:rFonts w:eastAsia="Calibri"/>
              </w:rPr>
              <w:t>1.95*</w:t>
            </w:r>
          </w:p>
        </w:tc>
      </w:tr>
      <w:tr w:rsidR="008E5ADD" w:rsidRPr="00AF7D9D" w14:paraId="06424B95" w14:textId="77777777" w:rsidTr="00FF5C5C">
        <w:trPr>
          <w:trHeight w:val="327"/>
        </w:trPr>
        <w:tc>
          <w:tcPr>
            <w:tcW w:w="1214" w:type="pct"/>
            <w:tcBorders>
              <w:left w:val="nil"/>
              <w:bottom w:val="single" w:sz="4" w:space="0" w:color="auto"/>
              <w:right w:val="nil"/>
            </w:tcBorders>
          </w:tcPr>
          <w:p w14:paraId="60705C11" w14:textId="77777777" w:rsidR="00B11861" w:rsidRPr="00AF7D9D" w:rsidRDefault="00B11861" w:rsidP="00B4182B">
            <w:pPr>
              <w:contextualSpacing/>
              <w:rPr>
                <w:rFonts w:eastAsia="Calibri"/>
                <w:b/>
              </w:rPr>
            </w:pPr>
            <w:r w:rsidRPr="00AF7D9D">
              <w:rPr>
                <w:rFonts w:eastAsia="Calibri"/>
              </w:rPr>
              <w:t xml:space="preserve">   RPQ-R</w:t>
            </w:r>
          </w:p>
        </w:tc>
        <w:tc>
          <w:tcPr>
            <w:tcW w:w="604" w:type="pct"/>
            <w:tcBorders>
              <w:top w:val="nil"/>
              <w:left w:val="nil"/>
              <w:bottom w:val="single" w:sz="4" w:space="0" w:color="auto"/>
              <w:right w:val="nil"/>
            </w:tcBorders>
            <w:vAlign w:val="center"/>
          </w:tcPr>
          <w:p w14:paraId="5188DB4E" w14:textId="77777777" w:rsidR="00B11861" w:rsidRPr="00AF7D9D" w:rsidRDefault="00B11861" w:rsidP="00B11861">
            <w:pPr>
              <w:contextualSpacing/>
              <w:jc w:val="center"/>
              <w:rPr>
                <w:rFonts w:eastAsia="Calibri"/>
                <w:i/>
              </w:rPr>
            </w:pPr>
            <w:r w:rsidRPr="00AF7D9D">
              <w:rPr>
                <w:rFonts w:eastAsia="Calibri"/>
              </w:rPr>
              <w:t>.55**</w:t>
            </w:r>
          </w:p>
        </w:tc>
        <w:tc>
          <w:tcPr>
            <w:tcW w:w="156" w:type="pct"/>
            <w:tcBorders>
              <w:top w:val="nil"/>
              <w:left w:val="nil"/>
              <w:bottom w:val="single" w:sz="4" w:space="0" w:color="auto"/>
              <w:right w:val="nil"/>
            </w:tcBorders>
            <w:vAlign w:val="center"/>
          </w:tcPr>
          <w:p w14:paraId="0A522518" w14:textId="77777777" w:rsidR="00B11861" w:rsidRPr="00AF7D9D" w:rsidRDefault="00B11861" w:rsidP="00B11861">
            <w:pPr>
              <w:contextualSpacing/>
              <w:jc w:val="center"/>
              <w:rPr>
                <w:rFonts w:eastAsia="Calibri"/>
                <w:i/>
              </w:rPr>
            </w:pPr>
          </w:p>
        </w:tc>
        <w:tc>
          <w:tcPr>
            <w:tcW w:w="475" w:type="pct"/>
            <w:tcBorders>
              <w:top w:val="nil"/>
              <w:left w:val="nil"/>
              <w:bottom w:val="single" w:sz="4" w:space="0" w:color="auto"/>
              <w:right w:val="nil"/>
            </w:tcBorders>
            <w:vAlign w:val="center"/>
          </w:tcPr>
          <w:p w14:paraId="0C65B076" w14:textId="77777777" w:rsidR="00B11861" w:rsidRPr="00AF7D9D" w:rsidRDefault="00B11861" w:rsidP="00B11861">
            <w:pPr>
              <w:contextualSpacing/>
              <w:jc w:val="center"/>
              <w:rPr>
                <w:rFonts w:eastAsia="Calibri"/>
                <w:i/>
              </w:rPr>
            </w:pPr>
            <w:r w:rsidRPr="00AF7D9D">
              <w:rPr>
                <w:rFonts w:eastAsia="Calibri"/>
              </w:rPr>
              <w:t>.46**</w:t>
            </w:r>
          </w:p>
        </w:tc>
        <w:tc>
          <w:tcPr>
            <w:tcW w:w="475" w:type="pct"/>
            <w:tcBorders>
              <w:top w:val="nil"/>
              <w:left w:val="nil"/>
              <w:bottom w:val="single" w:sz="4" w:space="0" w:color="auto"/>
              <w:right w:val="nil"/>
            </w:tcBorders>
            <w:vAlign w:val="center"/>
          </w:tcPr>
          <w:p w14:paraId="342F4ED3" w14:textId="77777777" w:rsidR="00B11861" w:rsidRPr="00AF7D9D" w:rsidRDefault="00B11861" w:rsidP="00B11861">
            <w:pPr>
              <w:contextualSpacing/>
              <w:jc w:val="center"/>
              <w:rPr>
                <w:rFonts w:eastAsia="Calibri"/>
                <w:i/>
              </w:rPr>
            </w:pPr>
            <w:r w:rsidRPr="00AF7D9D">
              <w:rPr>
                <w:rFonts w:eastAsia="Calibri"/>
              </w:rPr>
              <w:t>.31*</w:t>
            </w:r>
          </w:p>
        </w:tc>
        <w:tc>
          <w:tcPr>
            <w:tcW w:w="476" w:type="pct"/>
            <w:tcBorders>
              <w:top w:val="nil"/>
              <w:left w:val="nil"/>
              <w:bottom w:val="single" w:sz="4" w:space="0" w:color="auto"/>
              <w:right w:val="nil"/>
            </w:tcBorders>
            <w:vAlign w:val="center"/>
          </w:tcPr>
          <w:p w14:paraId="15EFB1B9" w14:textId="77777777" w:rsidR="00B11861" w:rsidRPr="00AF7D9D" w:rsidRDefault="00B11861" w:rsidP="00B11861">
            <w:pPr>
              <w:contextualSpacing/>
              <w:jc w:val="center"/>
              <w:rPr>
                <w:rFonts w:eastAsia="Calibri"/>
              </w:rPr>
            </w:pPr>
            <w:r w:rsidRPr="00AF7D9D">
              <w:rPr>
                <w:rFonts w:eastAsia="Calibri"/>
              </w:rPr>
              <w:t>1.34</w:t>
            </w:r>
          </w:p>
        </w:tc>
        <w:tc>
          <w:tcPr>
            <w:tcW w:w="173" w:type="pct"/>
            <w:tcBorders>
              <w:top w:val="nil"/>
              <w:left w:val="nil"/>
              <w:bottom w:val="single" w:sz="4" w:space="0" w:color="auto"/>
              <w:right w:val="nil"/>
            </w:tcBorders>
            <w:vAlign w:val="center"/>
          </w:tcPr>
          <w:p w14:paraId="2781BB1C" w14:textId="77777777" w:rsidR="00B11861" w:rsidRPr="00AF7D9D" w:rsidRDefault="00B11861" w:rsidP="00B11861">
            <w:pPr>
              <w:contextualSpacing/>
              <w:jc w:val="center"/>
              <w:rPr>
                <w:rFonts w:eastAsia="Calibri"/>
                <w:i/>
              </w:rPr>
            </w:pPr>
          </w:p>
        </w:tc>
        <w:tc>
          <w:tcPr>
            <w:tcW w:w="476" w:type="pct"/>
            <w:tcBorders>
              <w:top w:val="nil"/>
              <w:left w:val="nil"/>
              <w:bottom w:val="single" w:sz="4" w:space="0" w:color="auto"/>
              <w:right w:val="nil"/>
            </w:tcBorders>
            <w:vAlign w:val="center"/>
          </w:tcPr>
          <w:p w14:paraId="36F3DDCA" w14:textId="77777777" w:rsidR="00B11861" w:rsidRPr="00AF7D9D" w:rsidRDefault="00B11861" w:rsidP="00B11861">
            <w:pPr>
              <w:contextualSpacing/>
              <w:jc w:val="center"/>
              <w:rPr>
                <w:rFonts w:eastAsia="Calibri"/>
                <w:i/>
              </w:rPr>
            </w:pPr>
            <w:r w:rsidRPr="00AF7D9D">
              <w:rPr>
                <w:rFonts w:eastAsia="Calibri"/>
              </w:rPr>
              <w:t>.44**</w:t>
            </w:r>
          </w:p>
        </w:tc>
        <w:tc>
          <w:tcPr>
            <w:tcW w:w="476" w:type="pct"/>
            <w:tcBorders>
              <w:top w:val="nil"/>
              <w:left w:val="nil"/>
              <w:bottom w:val="single" w:sz="4" w:space="0" w:color="auto"/>
              <w:right w:val="nil"/>
            </w:tcBorders>
            <w:vAlign w:val="center"/>
          </w:tcPr>
          <w:p w14:paraId="44906633" w14:textId="77777777" w:rsidR="00B11861" w:rsidRPr="00AF7D9D" w:rsidRDefault="00B11861" w:rsidP="00B11861">
            <w:pPr>
              <w:contextualSpacing/>
              <w:jc w:val="center"/>
              <w:rPr>
                <w:rFonts w:eastAsia="Calibri"/>
                <w:i/>
              </w:rPr>
            </w:pPr>
            <w:r w:rsidRPr="00AF7D9D">
              <w:rPr>
                <w:rFonts w:eastAsia="Calibri"/>
              </w:rPr>
              <w:t>.42**</w:t>
            </w:r>
          </w:p>
        </w:tc>
        <w:tc>
          <w:tcPr>
            <w:tcW w:w="475" w:type="pct"/>
            <w:tcBorders>
              <w:top w:val="nil"/>
              <w:left w:val="nil"/>
              <w:bottom w:val="single" w:sz="4" w:space="0" w:color="auto"/>
              <w:right w:val="nil"/>
            </w:tcBorders>
            <w:vAlign w:val="center"/>
          </w:tcPr>
          <w:p w14:paraId="72AD87DE" w14:textId="77777777" w:rsidR="00B11861" w:rsidRPr="00AF7D9D" w:rsidRDefault="008E5ADD" w:rsidP="00B11861">
            <w:pPr>
              <w:contextualSpacing/>
              <w:jc w:val="center"/>
              <w:rPr>
                <w:rFonts w:eastAsia="Calibri"/>
              </w:rPr>
            </w:pPr>
            <w:r w:rsidRPr="00AF7D9D">
              <w:rPr>
                <w:rFonts w:eastAsia="Calibri"/>
              </w:rPr>
              <w:t>.15</w:t>
            </w:r>
          </w:p>
        </w:tc>
      </w:tr>
      <w:tr w:rsidR="008E5ADD" w:rsidRPr="00AF7D9D" w14:paraId="7A160023" w14:textId="77777777" w:rsidTr="00FF5C5C">
        <w:trPr>
          <w:trHeight w:val="327"/>
        </w:trPr>
        <w:tc>
          <w:tcPr>
            <w:tcW w:w="1214" w:type="pct"/>
            <w:tcBorders>
              <w:left w:val="nil"/>
              <w:bottom w:val="single" w:sz="4" w:space="0" w:color="auto"/>
              <w:right w:val="nil"/>
            </w:tcBorders>
          </w:tcPr>
          <w:p w14:paraId="385A5764" w14:textId="77777777" w:rsidR="00B11861" w:rsidRPr="00AF7D9D" w:rsidRDefault="00B11861" w:rsidP="00B4182B">
            <w:pPr>
              <w:contextualSpacing/>
              <w:rPr>
                <w:rFonts w:eastAsia="Calibri"/>
                <w:b/>
              </w:rPr>
            </w:pPr>
            <w:r w:rsidRPr="00AF7D9D">
              <w:rPr>
                <w:rFonts w:eastAsia="Calibri"/>
              </w:rPr>
              <w:t xml:space="preserve">   RPQ-P</w:t>
            </w:r>
          </w:p>
        </w:tc>
        <w:tc>
          <w:tcPr>
            <w:tcW w:w="604" w:type="pct"/>
            <w:tcBorders>
              <w:top w:val="nil"/>
              <w:left w:val="nil"/>
              <w:bottom w:val="single" w:sz="4" w:space="0" w:color="auto"/>
              <w:right w:val="nil"/>
            </w:tcBorders>
            <w:vAlign w:val="center"/>
          </w:tcPr>
          <w:p w14:paraId="7CD75D02" w14:textId="77777777" w:rsidR="00B11861" w:rsidRPr="00AF7D9D" w:rsidRDefault="00B11861" w:rsidP="00B11861">
            <w:pPr>
              <w:contextualSpacing/>
              <w:jc w:val="center"/>
              <w:rPr>
                <w:rFonts w:eastAsia="Calibri"/>
                <w:i/>
              </w:rPr>
            </w:pPr>
            <w:r w:rsidRPr="00AF7D9D">
              <w:rPr>
                <w:rFonts w:eastAsia="Calibri"/>
              </w:rPr>
              <w:t>.52**</w:t>
            </w:r>
          </w:p>
        </w:tc>
        <w:tc>
          <w:tcPr>
            <w:tcW w:w="156" w:type="pct"/>
            <w:tcBorders>
              <w:top w:val="nil"/>
              <w:left w:val="nil"/>
              <w:bottom w:val="single" w:sz="4" w:space="0" w:color="auto"/>
              <w:right w:val="nil"/>
            </w:tcBorders>
            <w:vAlign w:val="center"/>
          </w:tcPr>
          <w:p w14:paraId="6D181314" w14:textId="77777777" w:rsidR="00B11861" w:rsidRPr="00AF7D9D" w:rsidRDefault="00B11861" w:rsidP="00B11861">
            <w:pPr>
              <w:contextualSpacing/>
              <w:jc w:val="center"/>
              <w:rPr>
                <w:rFonts w:eastAsia="Calibri"/>
                <w:i/>
              </w:rPr>
            </w:pPr>
          </w:p>
        </w:tc>
        <w:tc>
          <w:tcPr>
            <w:tcW w:w="475" w:type="pct"/>
            <w:tcBorders>
              <w:top w:val="nil"/>
              <w:left w:val="nil"/>
              <w:bottom w:val="single" w:sz="4" w:space="0" w:color="auto"/>
              <w:right w:val="nil"/>
            </w:tcBorders>
            <w:vAlign w:val="center"/>
          </w:tcPr>
          <w:p w14:paraId="4FA0E21F" w14:textId="77777777" w:rsidR="00B11861" w:rsidRPr="00AF7D9D" w:rsidRDefault="00B11861" w:rsidP="00B11861">
            <w:pPr>
              <w:contextualSpacing/>
              <w:jc w:val="center"/>
              <w:rPr>
                <w:rFonts w:eastAsia="Calibri"/>
                <w:i/>
              </w:rPr>
            </w:pPr>
            <w:r w:rsidRPr="00AF7D9D">
              <w:rPr>
                <w:rFonts w:eastAsia="Calibri"/>
              </w:rPr>
              <w:t>.45**</w:t>
            </w:r>
          </w:p>
        </w:tc>
        <w:tc>
          <w:tcPr>
            <w:tcW w:w="475" w:type="pct"/>
            <w:tcBorders>
              <w:top w:val="nil"/>
              <w:left w:val="nil"/>
              <w:bottom w:val="single" w:sz="4" w:space="0" w:color="auto"/>
              <w:right w:val="nil"/>
            </w:tcBorders>
            <w:vAlign w:val="center"/>
          </w:tcPr>
          <w:p w14:paraId="6A0FA2D7" w14:textId="77777777" w:rsidR="00B11861" w:rsidRPr="00AF7D9D" w:rsidRDefault="00B11861" w:rsidP="00B11861">
            <w:pPr>
              <w:contextualSpacing/>
              <w:jc w:val="center"/>
              <w:rPr>
                <w:rFonts w:eastAsia="Calibri"/>
                <w:i/>
              </w:rPr>
            </w:pPr>
            <w:r w:rsidRPr="00AF7D9D">
              <w:rPr>
                <w:rFonts w:eastAsia="Calibri"/>
              </w:rPr>
              <w:t>.43**</w:t>
            </w:r>
          </w:p>
        </w:tc>
        <w:tc>
          <w:tcPr>
            <w:tcW w:w="476" w:type="pct"/>
            <w:tcBorders>
              <w:top w:val="nil"/>
              <w:left w:val="nil"/>
              <w:bottom w:val="single" w:sz="4" w:space="0" w:color="auto"/>
              <w:right w:val="nil"/>
            </w:tcBorders>
            <w:vAlign w:val="center"/>
          </w:tcPr>
          <w:p w14:paraId="74E6FB4D" w14:textId="77777777" w:rsidR="00B11861" w:rsidRPr="00AF7D9D" w:rsidRDefault="00B11861" w:rsidP="00B11861">
            <w:pPr>
              <w:contextualSpacing/>
              <w:jc w:val="center"/>
              <w:rPr>
                <w:rFonts w:eastAsia="Calibri"/>
              </w:rPr>
            </w:pPr>
            <w:r w:rsidRPr="00AF7D9D">
              <w:rPr>
                <w:rFonts w:eastAsia="Calibri"/>
              </w:rPr>
              <w:t>.19</w:t>
            </w:r>
          </w:p>
        </w:tc>
        <w:tc>
          <w:tcPr>
            <w:tcW w:w="173" w:type="pct"/>
            <w:tcBorders>
              <w:top w:val="nil"/>
              <w:left w:val="nil"/>
              <w:bottom w:val="single" w:sz="4" w:space="0" w:color="auto"/>
              <w:right w:val="nil"/>
            </w:tcBorders>
            <w:vAlign w:val="center"/>
          </w:tcPr>
          <w:p w14:paraId="5C43BA13" w14:textId="77777777" w:rsidR="00B11861" w:rsidRPr="00AF7D9D" w:rsidRDefault="00B11861" w:rsidP="00B11861">
            <w:pPr>
              <w:contextualSpacing/>
              <w:jc w:val="center"/>
              <w:rPr>
                <w:rFonts w:eastAsia="Calibri"/>
                <w:i/>
              </w:rPr>
            </w:pPr>
          </w:p>
        </w:tc>
        <w:tc>
          <w:tcPr>
            <w:tcW w:w="476" w:type="pct"/>
            <w:tcBorders>
              <w:top w:val="nil"/>
              <w:left w:val="nil"/>
              <w:bottom w:val="single" w:sz="4" w:space="0" w:color="auto"/>
              <w:right w:val="nil"/>
            </w:tcBorders>
            <w:vAlign w:val="center"/>
          </w:tcPr>
          <w:p w14:paraId="2D46438B" w14:textId="77777777" w:rsidR="00B11861" w:rsidRPr="00AF7D9D" w:rsidRDefault="00B11861" w:rsidP="00B11861">
            <w:pPr>
              <w:contextualSpacing/>
              <w:jc w:val="center"/>
              <w:rPr>
                <w:rFonts w:eastAsia="Calibri"/>
                <w:i/>
              </w:rPr>
            </w:pPr>
            <w:r w:rsidRPr="00AF7D9D">
              <w:rPr>
                <w:rFonts w:eastAsia="Calibri"/>
              </w:rPr>
              <w:t>.47**</w:t>
            </w:r>
          </w:p>
        </w:tc>
        <w:tc>
          <w:tcPr>
            <w:tcW w:w="476" w:type="pct"/>
            <w:tcBorders>
              <w:top w:val="nil"/>
              <w:left w:val="nil"/>
              <w:bottom w:val="single" w:sz="4" w:space="0" w:color="auto"/>
              <w:right w:val="nil"/>
            </w:tcBorders>
            <w:vAlign w:val="center"/>
          </w:tcPr>
          <w:p w14:paraId="7B9A00C3" w14:textId="77777777" w:rsidR="00B11861" w:rsidRPr="00AF7D9D" w:rsidRDefault="00B11861" w:rsidP="00B11861">
            <w:pPr>
              <w:contextualSpacing/>
              <w:jc w:val="center"/>
              <w:rPr>
                <w:rFonts w:eastAsia="Calibri"/>
                <w:i/>
              </w:rPr>
            </w:pPr>
            <w:r w:rsidRPr="00AF7D9D">
              <w:rPr>
                <w:rFonts w:eastAsia="Calibri"/>
              </w:rPr>
              <w:t>.45**</w:t>
            </w:r>
          </w:p>
        </w:tc>
        <w:tc>
          <w:tcPr>
            <w:tcW w:w="475" w:type="pct"/>
            <w:tcBorders>
              <w:top w:val="nil"/>
              <w:left w:val="nil"/>
              <w:bottom w:val="single" w:sz="4" w:space="0" w:color="auto"/>
              <w:right w:val="nil"/>
            </w:tcBorders>
            <w:vAlign w:val="center"/>
          </w:tcPr>
          <w:p w14:paraId="5E1C2DCD" w14:textId="77777777" w:rsidR="00B11861" w:rsidRPr="00AF7D9D" w:rsidRDefault="005946C4" w:rsidP="00B11861">
            <w:pPr>
              <w:contextualSpacing/>
              <w:jc w:val="center"/>
              <w:rPr>
                <w:rFonts w:eastAsia="Calibri"/>
              </w:rPr>
            </w:pPr>
            <w:r w:rsidRPr="00AF7D9D">
              <w:rPr>
                <w:rFonts w:eastAsia="Calibri"/>
              </w:rPr>
              <w:t>.15</w:t>
            </w:r>
          </w:p>
        </w:tc>
      </w:tr>
      <w:tr w:rsidR="008E5ADD" w:rsidRPr="00AF7D9D" w14:paraId="3CA3941D" w14:textId="77777777" w:rsidTr="00FF5C5C">
        <w:trPr>
          <w:trHeight w:val="327"/>
        </w:trPr>
        <w:tc>
          <w:tcPr>
            <w:tcW w:w="1214" w:type="pct"/>
            <w:tcBorders>
              <w:left w:val="nil"/>
              <w:bottom w:val="single" w:sz="4" w:space="0" w:color="auto"/>
              <w:right w:val="nil"/>
            </w:tcBorders>
          </w:tcPr>
          <w:p w14:paraId="391049C8" w14:textId="77777777" w:rsidR="00B11861" w:rsidRPr="00AF7D9D" w:rsidRDefault="00B11861" w:rsidP="00B4182B">
            <w:pPr>
              <w:contextualSpacing/>
              <w:rPr>
                <w:rFonts w:eastAsia="Calibri"/>
                <w:b/>
              </w:rPr>
            </w:pPr>
            <w:r w:rsidRPr="00AF7D9D">
              <w:rPr>
                <w:rFonts w:eastAsia="Calibri"/>
                <w:b/>
              </w:rPr>
              <w:t>4. Italian (</w:t>
            </w:r>
            <w:r w:rsidRPr="00AF7D9D">
              <w:rPr>
                <w:rFonts w:eastAsia="Calibri"/>
                <w:b/>
                <w:i/>
              </w:rPr>
              <w:t>n</w:t>
            </w:r>
            <w:r w:rsidRPr="00AF7D9D">
              <w:rPr>
                <w:rFonts w:eastAsia="Calibri"/>
                <w:b/>
              </w:rPr>
              <w:t xml:space="preserve"> = 881) - Males</w:t>
            </w:r>
          </w:p>
        </w:tc>
        <w:tc>
          <w:tcPr>
            <w:tcW w:w="604" w:type="pct"/>
            <w:tcBorders>
              <w:top w:val="nil"/>
              <w:left w:val="nil"/>
              <w:bottom w:val="single" w:sz="4" w:space="0" w:color="auto"/>
              <w:right w:val="nil"/>
            </w:tcBorders>
            <w:vAlign w:val="center"/>
          </w:tcPr>
          <w:p w14:paraId="40EB5C4A" w14:textId="77777777" w:rsidR="00B11861" w:rsidRPr="00AF7D9D" w:rsidRDefault="00B11861" w:rsidP="00B11861">
            <w:pPr>
              <w:contextualSpacing/>
              <w:jc w:val="center"/>
              <w:rPr>
                <w:rFonts w:eastAsia="Calibri"/>
                <w:i/>
              </w:rPr>
            </w:pPr>
            <w:r w:rsidRPr="00AF7D9D">
              <w:rPr>
                <w:rFonts w:eastAsia="Calibri"/>
                <w:i/>
              </w:rPr>
              <w:t>n</w:t>
            </w:r>
            <w:r w:rsidRPr="00AF7D9D">
              <w:rPr>
                <w:rFonts w:eastAsia="Calibri"/>
              </w:rPr>
              <w:t xml:space="preserve"> = 618</w:t>
            </w:r>
          </w:p>
        </w:tc>
        <w:tc>
          <w:tcPr>
            <w:tcW w:w="156" w:type="pct"/>
            <w:tcBorders>
              <w:top w:val="nil"/>
              <w:left w:val="nil"/>
              <w:bottom w:val="single" w:sz="4" w:space="0" w:color="auto"/>
              <w:right w:val="nil"/>
            </w:tcBorders>
            <w:vAlign w:val="center"/>
          </w:tcPr>
          <w:p w14:paraId="20406C89" w14:textId="77777777" w:rsidR="00B11861" w:rsidRPr="00AF7D9D" w:rsidRDefault="00B11861" w:rsidP="00B11861">
            <w:pPr>
              <w:contextualSpacing/>
              <w:jc w:val="center"/>
              <w:rPr>
                <w:rFonts w:eastAsia="Calibri"/>
                <w:i/>
              </w:rPr>
            </w:pPr>
          </w:p>
        </w:tc>
        <w:tc>
          <w:tcPr>
            <w:tcW w:w="475" w:type="pct"/>
            <w:tcBorders>
              <w:top w:val="nil"/>
              <w:left w:val="nil"/>
              <w:bottom w:val="single" w:sz="4" w:space="0" w:color="auto"/>
              <w:right w:val="nil"/>
            </w:tcBorders>
            <w:vAlign w:val="center"/>
          </w:tcPr>
          <w:p w14:paraId="62907B97" w14:textId="77777777" w:rsidR="00B11861" w:rsidRPr="00AF7D9D" w:rsidRDefault="00B11861" w:rsidP="00B11861">
            <w:pPr>
              <w:contextualSpacing/>
              <w:jc w:val="center"/>
              <w:rPr>
                <w:rFonts w:eastAsia="Calibri"/>
                <w:i/>
              </w:rPr>
            </w:pPr>
            <w:r w:rsidRPr="00AF7D9D">
              <w:rPr>
                <w:rFonts w:eastAsia="Calibri"/>
                <w:i/>
              </w:rPr>
              <w:t>n</w:t>
            </w:r>
            <w:r w:rsidRPr="00AF7D9D">
              <w:rPr>
                <w:rFonts w:eastAsia="Calibri"/>
              </w:rPr>
              <w:t xml:space="preserve"> = 470</w:t>
            </w:r>
          </w:p>
        </w:tc>
        <w:tc>
          <w:tcPr>
            <w:tcW w:w="475" w:type="pct"/>
            <w:tcBorders>
              <w:top w:val="nil"/>
              <w:left w:val="nil"/>
              <w:bottom w:val="single" w:sz="4" w:space="0" w:color="auto"/>
              <w:right w:val="nil"/>
            </w:tcBorders>
            <w:vAlign w:val="center"/>
          </w:tcPr>
          <w:p w14:paraId="5BE2360E" w14:textId="77777777" w:rsidR="00B11861" w:rsidRPr="00AF7D9D" w:rsidRDefault="00B11861" w:rsidP="00B11861">
            <w:pPr>
              <w:contextualSpacing/>
              <w:jc w:val="center"/>
              <w:rPr>
                <w:rFonts w:eastAsia="Calibri"/>
                <w:i/>
              </w:rPr>
            </w:pPr>
            <w:r w:rsidRPr="00AF7D9D">
              <w:rPr>
                <w:rFonts w:eastAsia="Calibri"/>
                <w:i/>
              </w:rPr>
              <w:t>n</w:t>
            </w:r>
            <w:r w:rsidRPr="00AF7D9D">
              <w:rPr>
                <w:rFonts w:eastAsia="Calibri"/>
              </w:rPr>
              <w:t xml:space="preserve"> = 148</w:t>
            </w:r>
          </w:p>
        </w:tc>
        <w:tc>
          <w:tcPr>
            <w:tcW w:w="476" w:type="pct"/>
            <w:tcBorders>
              <w:top w:val="nil"/>
              <w:left w:val="nil"/>
              <w:bottom w:val="single" w:sz="4" w:space="0" w:color="auto"/>
              <w:right w:val="nil"/>
            </w:tcBorders>
            <w:vAlign w:val="center"/>
          </w:tcPr>
          <w:p w14:paraId="1040AE00" w14:textId="77777777" w:rsidR="00B11861" w:rsidRPr="00AF7D9D" w:rsidRDefault="00B11861" w:rsidP="00B11861">
            <w:pPr>
              <w:contextualSpacing/>
              <w:jc w:val="center"/>
              <w:rPr>
                <w:rFonts w:eastAsia="Calibri"/>
                <w:i/>
              </w:rPr>
            </w:pPr>
          </w:p>
        </w:tc>
        <w:tc>
          <w:tcPr>
            <w:tcW w:w="173" w:type="pct"/>
            <w:tcBorders>
              <w:top w:val="nil"/>
              <w:left w:val="nil"/>
              <w:bottom w:val="single" w:sz="4" w:space="0" w:color="auto"/>
              <w:right w:val="nil"/>
            </w:tcBorders>
            <w:vAlign w:val="center"/>
          </w:tcPr>
          <w:p w14:paraId="1C5FF398" w14:textId="77777777" w:rsidR="00B11861" w:rsidRPr="00AF7D9D" w:rsidRDefault="00B11861" w:rsidP="00B11861">
            <w:pPr>
              <w:contextualSpacing/>
              <w:jc w:val="center"/>
              <w:rPr>
                <w:rFonts w:eastAsia="Calibri"/>
                <w:i/>
              </w:rPr>
            </w:pPr>
          </w:p>
        </w:tc>
        <w:tc>
          <w:tcPr>
            <w:tcW w:w="476" w:type="pct"/>
            <w:tcBorders>
              <w:top w:val="nil"/>
              <w:left w:val="nil"/>
              <w:bottom w:val="single" w:sz="4" w:space="0" w:color="auto"/>
              <w:right w:val="nil"/>
            </w:tcBorders>
            <w:vAlign w:val="center"/>
          </w:tcPr>
          <w:p w14:paraId="2810CD89" w14:textId="77777777" w:rsidR="00B11861" w:rsidRPr="00AF7D9D" w:rsidRDefault="00B11861" w:rsidP="00B11861">
            <w:pPr>
              <w:contextualSpacing/>
              <w:jc w:val="center"/>
              <w:rPr>
                <w:rFonts w:eastAsia="Calibri"/>
                <w:i/>
              </w:rPr>
            </w:pPr>
            <w:r w:rsidRPr="00AF7D9D">
              <w:rPr>
                <w:rFonts w:eastAsia="Calibri"/>
                <w:i/>
              </w:rPr>
              <w:t>n</w:t>
            </w:r>
            <w:r w:rsidRPr="00AF7D9D">
              <w:rPr>
                <w:rFonts w:eastAsia="Calibri"/>
              </w:rPr>
              <w:t xml:space="preserve"> = 526</w:t>
            </w:r>
          </w:p>
        </w:tc>
        <w:tc>
          <w:tcPr>
            <w:tcW w:w="476" w:type="pct"/>
            <w:tcBorders>
              <w:top w:val="nil"/>
              <w:left w:val="nil"/>
              <w:bottom w:val="single" w:sz="4" w:space="0" w:color="auto"/>
              <w:right w:val="nil"/>
            </w:tcBorders>
            <w:vAlign w:val="center"/>
          </w:tcPr>
          <w:p w14:paraId="27A9C6E7" w14:textId="77777777" w:rsidR="00B11861" w:rsidRPr="00AF7D9D" w:rsidRDefault="00B11861" w:rsidP="00B11861">
            <w:pPr>
              <w:contextualSpacing/>
              <w:jc w:val="center"/>
              <w:rPr>
                <w:rFonts w:eastAsia="Calibri"/>
                <w:i/>
              </w:rPr>
            </w:pPr>
            <w:r w:rsidRPr="00AF7D9D">
              <w:rPr>
                <w:rFonts w:eastAsia="Calibri"/>
                <w:i/>
              </w:rPr>
              <w:t>n</w:t>
            </w:r>
            <w:r w:rsidRPr="00AF7D9D">
              <w:rPr>
                <w:rFonts w:eastAsia="Calibri"/>
              </w:rPr>
              <w:t xml:space="preserve"> = 92</w:t>
            </w:r>
          </w:p>
        </w:tc>
        <w:tc>
          <w:tcPr>
            <w:tcW w:w="475" w:type="pct"/>
            <w:tcBorders>
              <w:top w:val="nil"/>
              <w:left w:val="nil"/>
              <w:bottom w:val="single" w:sz="4" w:space="0" w:color="auto"/>
              <w:right w:val="nil"/>
            </w:tcBorders>
            <w:vAlign w:val="center"/>
          </w:tcPr>
          <w:p w14:paraId="3740665B" w14:textId="77777777" w:rsidR="00B11861" w:rsidRPr="00AF7D9D" w:rsidRDefault="00B11861" w:rsidP="00B11861">
            <w:pPr>
              <w:contextualSpacing/>
              <w:jc w:val="center"/>
              <w:rPr>
                <w:rFonts w:eastAsia="Calibri"/>
                <w:i/>
              </w:rPr>
            </w:pPr>
          </w:p>
        </w:tc>
      </w:tr>
      <w:tr w:rsidR="008E5ADD" w:rsidRPr="00AF7D9D" w14:paraId="4C85AD99" w14:textId="77777777" w:rsidTr="00FF5C5C">
        <w:trPr>
          <w:trHeight w:val="327"/>
        </w:trPr>
        <w:tc>
          <w:tcPr>
            <w:tcW w:w="1214" w:type="pct"/>
            <w:tcBorders>
              <w:top w:val="single" w:sz="4" w:space="0" w:color="auto"/>
              <w:left w:val="nil"/>
              <w:bottom w:val="nil"/>
              <w:right w:val="nil"/>
            </w:tcBorders>
          </w:tcPr>
          <w:p w14:paraId="6A75FB51" w14:textId="77777777" w:rsidR="00B11861" w:rsidRPr="00AF7D9D" w:rsidRDefault="00B11861" w:rsidP="00B4182B">
            <w:pPr>
              <w:contextualSpacing/>
              <w:rPr>
                <w:rFonts w:eastAsia="Calibri"/>
                <w:b/>
              </w:rPr>
            </w:pPr>
            <w:r w:rsidRPr="00AF7D9D">
              <w:rPr>
                <w:rFonts w:eastAsia="Calibri"/>
              </w:rPr>
              <w:t xml:space="preserve">   BFI Agreeableness</w:t>
            </w:r>
          </w:p>
        </w:tc>
        <w:tc>
          <w:tcPr>
            <w:tcW w:w="604" w:type="pct"/>
            <w:tcBorders>
              <w:top w:val="single" w:sz="4" w:space="0" w:color="auto"/>
              <w:left w:val="nil"/>
              <w:bottom w:val="nil"/>
              <w:right w:val="nil"/>
            </w:tcBorders>
            <w:vAlign w:val="center"/>
          </w:tcPr>
          <w:p w14:paraId="4B374A03" w14:textId="77777777" w:rsidR="00B11861" w:rsidRPr="00AF7D9D" w:rsidRDefault="00B11861" w:rsidP="00B11861">
            <w:pPr>
              <w:contextualSpacing/>
              <w:jc w:val="center"/>
              <w:rPr>
                <w:rFonts w:eastAsia="Calibri"/>
              </w:rPr>
            </w:pPr>
            <w:r w:rsidRPr="00AF7D9D">
              <w:rPr>
                <w:rFonts w:eastAsia="Calibri"/>
              </w:rPr>
              <w:t>-.26**</w:t>
            </w:r>
          </w:p>
        </w:tc>
        <w:tc>
          <w:tcPr>
            <w:tcW w:w="156" w:type="pct"/>
            <w:tcBorders>
              <w:top w:val="single" w:sz="4" w:space="0" w:color="auto"/>
              <w:left w:val="nil"/>
              <w:bottom w:val="nil"/>
              <w:right w:val="nil"/>
            </w:tcBorders>
            <w:vAlign w:val="center"/>
          </w:tcPr>
          <w:p w14:paraId="231F2B09" w14:textId="77777777" w:rsidR="00B11861" w:rsidRPr="00AF7D9D" w:rsidRDefault="00B11861" w:rsidP="00B11861">
            <w:pPr>
              <w:contextualSpacing/>
              <w:jc w:val="center"/>
              <w:rPr>
                <w:rFonts w:eastAsia="Calibri"/>
              </w:rPr>
            </w:pPr>
          </w:p>
        </w:tc>
        <w:tc>
          <w:tcPr>
            <w:tcW w:w="475" w:type="pct"/>
            <w:tcBorders>
              <w:top w:val="single" w:sz="4" w:space="0" w:color="auto"/>
              <w:left w:val="nil"/>
              <w:bottom w:val="nil"/>
              <w:right w:val="nil"/>
            </w:tcBorders>
            <w:vAlign w:val="center"/>
          </w:tcPr>
          <w:p w14:paraId="7DC2B8DB" w14:textId="77777777" w:rsidR="00B11861" w:rsidRPr="00AF7D9D" w:rsidRDefault="00B11861" w:rsidP="00B11861">
            <w:pPr>
              <w:contextualSpacing/>
              <w:jc w:val="center"/>
              <w:rPr>
                <w:rFonts w:eastAsia="Calibri"/>
              </w:rPr>
            </w:pPr>
            <w:r w:rsidRPr="00AF7D9D">
              <w:rPr>
                <w:rFonts w:eastAsia="Calibri"/>
              </w:rPr>
              <w:t>-.26**</w:t>
            </w:r>
          </w:p>
        </w:tc>
        <w:tc>
          <w:tcPr>
            <w:tcW w:w="475" w:type="pct"/>
            <w:tcBorders>
              <w:top w:val="single" w:sz="4" w:space="0" w:color="auto"/>
              <w:left w:val="nil"/>
              <w:bottom w:val="nil"/>
              <w:right w:val="nil"/>
            </w:tcBorders>
            <w:vAlign w:val="center"/>
          </w:tcPr>
          <w:p w14:paraId="323A996D" w14:textId="77777777" w:rsidR="00B11861" w:rsidRPr="00AF7D9D" w:rsidRDefault="00B11861" w:rsidP="00B11861">
            <w:pPr>
              <w:contextualSpacing/>
              <w:jc w:val="center"/>
              <w:rPr>
                <w:rFonts w:eastAsia="Calibri"/>
              </w:rPr>
            </w:pPr>
            <w:r w:rsidRPr="00AF7D9D">
              <w:rPr>
                <w:rFonts w:eastAsia="Calibri"/>
              </w:rPr>
              <w:t>-.30**</w:t>
            </w:r>
          </w:p>
        </w:tc>
        <w:tc>
          <w:tcPr>
            <w:tcW w:w="476" w:type="pct"/>
            <w:tcBorders>
              <w:top w:val="single" w:sz="4" w:space="0" w:color="auto"/>
              <w:left w:val="nil"/>
              <w:bottom w:val="nil"/>
              <w:right w:val="nil"/>
            </w:tcBorders>
            <w:vAlign w:val="center"/>
          </w:tcPr>
          <w:p w14:paraId="0D1CCBC8" w14:textId="77777777" w:rsidR="00B11861" w:rsidRPr="00AF7D9D" w:rsidRDefault="00B11861" w:rsidP="00B11861">
            <w:pPr>
              <w:contextualSpacing/>
              <w:jc w:val="center"/>
              <w:rPr>
                <w:rFonts w:eastAsia="Calibri"/>
              </w:rPr>
            </w:pPr>
            <w:r w:rsidRPr="00AF7D9D">
              <w:rPr>
                <w:rFonts w:eastAsia="Calibri"/>
              </w:rPr>
              <w:t>.46</w:t>
            </w:r>
          </w:p>
        </w:tc>
        <w:tc>
          <w:tcPr>
            <w:tcW w:w="173" w:type="pct"/>
            <w:tcBorders>
              <w:top w:val="single" w:sz="4" w:space="0" w:color="auto"/>
              <w:left w:val="nil"/>
              <w:bottom w:val="nil"/>
              <w:right w:val="nil"/>
            </w:tcBorders>
            <w:vAlign w:val="center"/>
          </w:tcPr>
          <w:p w14:paraId="24C281B0" w14:textId="77777777" w:rsidR="00B11861" w:rsidRPr="00AF7D9D" w:rsidRDefault="00B11861" w:rsidP="00B11861">
            <w:pPr>
              <w:contextualSpacing/>
              <w:jc w:val="center"/>
              <w:rPr>
                <w:rFonts w:eastAsia="Calibri"/>
                <w:i/>
              </w:rPr>
            </w:pPr>
          </w:p>
        </w:tc>
        <w:tc>
          <w:tcPr>
            <w:tcW w:w="476" w:type="pct"/>
            <w:tcBorders>
              <w:top w:val="single" w:sz="4" w:space="0" w:color="auto"/>
              <w:left w:val="nil"/>
              <w:bottom w:val="nil"/>
              <w:right w:val="nil"/>
            </w:tcBorders>
            <w:vAlign w:val="center"/>
          </w:tcPr>
          <w:p w14:paraId="54F60218" w14:textId="77777777" w:rsidR="00B11861" w:rsidRPr="00AF7D9D" w:rsidRDefault="00B11861" w:rsidP="00B11861">
            <w:pPr>
              <w:contextualSpacing/>
              <w:jc w:val="center"/>
              <w:rPr>
                <w:rFonts w:eastAsia="Calibri"/>
              </w:rPr>
            </w:pPr>
            <w:r w:rsidRPr="00AF7D9D">
              <w:rPr>
                <w:rFonts w:eastAsia="Calibri"/>
              </w:rPr>
              <w:t>-.27**</w:t>
            </w:r>
          </w:p>
        </w:tc>
        <w:tc>
          <w:tcPr>
            <w:tcW w:w="476" w:type="pct"/>
            <w:tcBorders>
              <w:top w:val="single" w:sz="4" w:space="0" w:color="auto"/>
              <w:left w:val="nil"/>
              <w:bottom w:val="nil"/>
              <w:right w:val="nil"/>
            </w:tcBorders>
            <w:vAlign w:val="center"/>
          </w:tcPr>
          <w:p w14:paraId="7CBB45A8" w14:textId="77777777" w:rsidR="00B11861" w:rsidRPr="00AF7D9D" w:rsidRDefault="00B11861" w:rsidP="00B11861">
            <w:pPr>
              <w:contextualSpacing/>
              <w:jc w:val="center"/>
              <w:rPr>
                <w:rFonts w:eastAsia="Calibri"/>
              </w:rPr>
            </w:pPr>
            <w:r w:rsidRPr="00AF7D9D">
              <w:rPr>
                <w:rFonts w:eastAsia="Calibri"/>
              </w:rPr>
              <w:t>-.29**</w:t>
            </w:r>
          </w:p>
        </w:tc>
        <w:tc>
          <w:tcPr>
            <w:tcW w:w="475" w:type="pct"/>
            <w:tcBorders>
              <w:top w:val="single" w:sz="4" w:space="0" w:color="auto"/>
              <w:left w:val="nil"/>
              <w:bottom w:val="nil"/>
              <w:right w:val="nil"/>
            </w:tcBorders>
            <w:vAlign w:val="center"/>
          </w:tcPr>
          <w:p w14:paraId="376C304C" w14:textId="77777777" w:rsidR="00B11861" w:rsidRPr="00AF7D9D" w:rsidRDefault="005946C4" w:rsidP="00B11861">
            <w:pPr>
              <w:contextualSpacing/>
              <w:jc w:val="center"/>
              <w:rPr>
                <w:rFonts w:eastAsia="Calibri"/>
              </w:rPr>
            </w:pPr>
            <w:r w:rsidRPr="00AF7D9D">
              <w:rPr>
                <w:rFonts w:eastAsia="Calibri"/>
              </w:rPr>
              <w:t>.19</w:t>
            </w:r>
          </w:p>
        </w:tc>
      </w:tr>
      <w:tr w:rsidR="008E5ADD" w:rsidRPr="00AF7D9D" w14:paraId="4C1F0103" w14:textId="77777777" w:rsidTr="00FF5C5C">
        <w:trPr>
          <w:trHeight w:val="327"/>
        </w:trPr>
        <w:tc>
          <w:tcPr>
            <w:tcW w:w="1214" w:type="pct"/>
            <w:tcBorders>
              <w:top w:val="nil"/>
              <w:left w:val="nil"/>
              <w:bottom w:val="nil"/>
              <w:right w:val="nil"/>
            </w:tcBorders>
          </w:tcPr>
          <w:p w14:paraId="3F61A631" w14:textId="77777777" w:rsidR="00B11861" w:rsidRPr="00AF7D9D" w:rsidRDefault="00B11861" w:rsidP="00B4182B">
            <w:pPr>
              <w:contextualSpacing/>
              <w:rPr>
                <w:rFonts w:eastAsia="Calibri"/>
                <w:b/>
              </w:rPr>
            </w:pPr>
            <w:r w:rsidRPr="00AF7D9D">
              <w:rPr>
                <w:rFonts w:eastAsia="Calibri"/>
              </w:rPr>
              <w:t xml:space="preserve">   BFI Conscientiousness</w:t>
            </w:r>
          </w:p>
        </w:tc>
        <w:tc>
          <w:tcPr>
            <w:tcW w:w="604" w:type="pct"/>
            <w:tcBorders>
              <w:top w:val="nil"/>
              <w:left w:val="nil"/>
              <w:bottom w:val="nil"/>
              <w:right w:val="nil"/>
            </w:tcBorders>
            <w:vAlign w:val="center"/>
          </w:tcPr>
          <w:p w14:paraId="203176F3" w14:textId="77777777" w:rsidR="00B11861" w:rsidRPr="00AF7D9D" w:rsidRDefault="00B11861" w:rsidP="00B11861">
            <w:pPr>
              <w:contextualSpacing/>
              <w:jc w:val="center"/>
              <w:rPr>
                <w:rFonts w:eastAsia="Calibri"/>
              </w:rPr>
            </w:pPr>
            <w:r w:rsidRPr="00AF7D9D">
              <w:rPr>
                <w:rFonts w:eastAsia="Calibri"/>
              </w:rPr>
              <w:t>-17**</w:t>
            </w:r>
          </w:p>
        </w:tc>
        <w:tc>
          <w:tcPr>
            <w:tcW w:w="156" w:type="pct"/>
            <w:tcBorders>
              <w:top w:val="nil"/>
              <w:left w:val="nil"/>
              <w:bottom w:val="nil"/>
              <w:right w:val="nil"/>
            </w:tcBorders>
            <w:vAlign w:val="center"/>
          </w:tcPr>
          <w:p w14:paraId="24AD1741" w14:textId="77777777" w:rsidR="00B11861" w:rsidRPr="00AF7D9D" w:rsidRDefault="00B11861" w:rsidP="00B11861">
            <w:pPr>
              <w:contextualSpacing/>
              <w:jc w:val="center"/>
              <w:rPr>
                <w:rFonts w:eastAsia="Calibri"/>
              </w:rPr>
            </w:pPr>
          </w:p>
        </w:tc>
        <w:tc>
          <w:tcPr>
            <w:tcW w:w="475" w:type="pct"/>
            <w:tcBorders>
              <w:top w:val="nil"/>
              <w:left w:val="nil"/>
              <w:bottom w:val="nil"/>
              <w:right w:val="nil"/>
            </w:tcBorders>
            <w:vAlign w:val="center"/>
          </w:tcPr>
          <w:p w14:paraId="1F61DD53" w14:textId="77777777" w:rsidR="00B11861" w:rsidRPr="00AF7D9D" w:rsidRDefault="00B11861" w:rsidP="00B11861">
            <w:pPr>
              <w:contextualSpacing/>
              <w:jc w:val="center"/>
              <w:rPr>
                <w:rFonts w:eastAsia="Calibri"/>
              </w:rPr>
            </w:pPr>
            <w:r w:rsidRPr="00AF7D9D">
              <w:rPr>
                <w:rFonts w:eastAsia="Calibri"/>
              </w:rPr>
              <w:t>-.18**</w:t>
            </w:r>
          </w:p>
        </w:tc>
        <w:tc>
          <w:tcPr>
            <w:tcW w:w="475" w:type="pct"/>
            <w:tcBorders>
              <w:top w:val="nil"/>
              <w:left w:val="nil"/>
              <w:bottom w:val="nil"/>
              <w:right w:val="nil"/>
            </w:tcBorders>
            <w:vAlign w:val="center"/>
          </w:tcPr>
          <w:p w14:paraId="08748249" w14:textId="77777777" w:rsidR="00B11861" w:rsidRPr="00AF7D9D" w:rsidRDefault="00B11861" w:rsidP="00B11861">
            <w:pPr>
              <w:contextualSpacing/>
              <w:jc w:val="center"/>
              <w:rPr>
                <w:rFonts w:eastAsia="Calibri"/>
              </w:rPr>
            </w:pPr>
            <w:r w:rsidRPr="00AF7D9D">
              <w:rPr>
                <w:rFonts w:eastAsia="Calibri"/>
              </w:rPr>
              <w:t>-.13</w:t>
            </w:r>
          </w:p>
        </w:tc>
        <w:tc>
          <w:tcPr>
            <w:tcW w:w="476" w:type="pct"/>
            <w:tcBorders>
              <w:top w:val="nil"/>
              <w:left w:val="nil"/>
              <w:bottom w:val="nil"/>
              <w:right w:val="nil"/>
            </w:tcBorders>
            <w:vAlign w:val="center"/>
          </w:tcPr>
          <w:p w14:paraId="78B6E8C8" w14:textId="77777777" w:rsidR="00B11861" w:rsidRPr="00AF7D9D" w:rsidRDefault="00B11861" w:rsidP="00B11861">
            <w:pPr>
              <w:contextualSpacing/>
              <w:jc w:val="center"/>
              <w:rPr>
                <w:rFonts w:eastAsia="Calibri"/>
              </w:rPr>
            </w:pPr>
            <w:r w:rsidRPr="00AF7D9D">
              <w:rPr>
                <w:rFonts w:eastAsia="Calibri"/>
              </w:rPr>
              <w:t>-.54</w:t>
            </w:r>
          </w:p>
        </w:tc>
        <w:tc>
          <w:tcPr>
            <w:tcW w:w="173" w:type="pct"/>
            <w:tcBorders>
              <w:top w:val="nil"/>
              <w:left w:val="nil"/>
              <w:bottom w:val="nil"/>
              <w:right w:val="nil"/>
            </w:tcBorders>
            <w:vAlign w:val="center"/>
          </w:tcPr>
          <w:p w14:paraId="1C0D3EB0" w14:textId="77777777" w:rsidR="00B11861" w:rsidRPr="00AF7D9D" w:rsidRDefault="00B11861" w:rsidP="00B11861">
            <w:pPr>
              <w:contextualSpacing/>
              <w:jc w:val="center"/>
              <w:rPr>
                <w:rFonts w:eastAsia="Calibri"/>
                <w:i/>
              </w:rPr>
            </w:pPr>
          </w:p>
        </w:tc>
        <w:tc>
          <w:tcPr>
            <w:tcW w:w="476" w:type="pct"/>
            <w:tcBorders>
              <w:top w:val="nil"/>
              <w:left w:val="nil"/>
              <w:bottom w:val="nil"/>
              <w:right w:val="nil"/>
            </w:tcBorders>
            <w:vAlign w:val="center"/>
          </w:tcPr>
          <w:p w14:paraId="432AAD7F" w14:textId="77777777" w:rsidR="00B11861" w:rsidRPr="00AF7D9D" w:rsidRDefault="00B11861" w:rsidP="00B11861">
            <w:pPr>
              <w:contextualSpacing/>
              <w:jc w:val="center"/>
              <w:rPr>
                <w:rFonts w:eastAsia="Calibri"/>
              </w:rPr>
            </w:pPr>
            <w:r w:rsidRPr="00AF7D9D">
              <w:rPr>
                <w:rFonts w:eastAsia="Calibri"/>
              </w:rPr>
              <w:t>-.18**</w:t>
            </w:r>
          </w:p>
        </w:tc>
        <w:tc>
          <w:tcPr>
            <w:tcW w:w="476" w:type="pct"/>
            <w:tcBorders>
              <w:top w:val="nil"/>
              <w:left w:val="nil"/>
              <w:bottom w:val="nil"/>
              <w:right w:val="nil"/>
            </w:tcBorders>
            <w:vAlign w:val="center"/>
          </w:tcPr>
          <w:p w14:paraId="574EA685" w14:textId="77777777" w:rsidR="00B11861" w:rsidRPr="00AF7D9D" w:rsidRDefault="00B11861" w:rsidP="00B11861">
            <w:pPr>
              <w:contextualSpacing/>
              <w:jc w:val="center"/>
              <w:rPr>
                <w:rFonts w:eastAsia="Calibri"/>
              </w:rPr>
            </w:pPr>
            <w:r w:rsidRPr="00AF7D9D">
              <w:rPr>
                <w:rFonts w:eastAsia="Calibri"/>
              </w:rPr>
              <w:t>-.22*</w:t>
            </w:r>
          </w:p>
        </w:tc>
        <w:tc>
          <w:tcPr>
            <w:tcW w:w="475" w:type="pct"/>
            <w:tcBorders>
              <w:top w:val="nil"/>
              <w:left w:val="nil"/>
              <w:bottom w:val="nil"/>
              <w:right w:val="nil"/>
            </w:tcBorders>
            <w:vAlign w:val="center"/>
          </w:tcPr>
          <w:p w14:paraId="7F571DCB" w14:textId="77777777" w:rsidR="00B11861" w:rsidRPr="00AF7D9D" w:rsidRDefault="005946C4" w:rsidP="00B11861">
            <w:pPr>
              <w:contextualSpacing/>
              <w:jc w:val="center"/>
              <w:rPr>
                <w:rFonts w:eastAsia="Calibri"/>
              </w:rPr>
            </w:pPr>
            <w:r w:rsidRPr="00AF7D9D">
              <w:rPr>
                <w:rFonts w:eastAsia="Calibri"/>
              </w:rPr>
              <w:t>.36</w:t>
            </w:r>
          </w:p>
        </w:tc>
      </w:tr>
      <w:tr w:rsidR="008E5ADD" w:rsidRPr="00AF7D9D" w14:paraId="6721778D" w14:textId="77777777" w:rsidTr="00FF5C5C">
        <w:trPr>
          <w:trHeight w:val="327"/>
        </w:trPr>
        <w:tc>
          <w:tcPr>
            <w:tcW w:w="1214" w:type="pct"/>
            <w:tcBorders>
              <w:top w:val="nil"/>
              <w:left w:val="nil"/>
              <w:bottom w:val="single" w:sz="4" w:space="0" w:color="auto"/>
              <w:right w:val="nil"/>
            </w:tcBorders>
          </w:tcPr>
          <w:p w14:paraId="5C76AB20" w14:textId="77777777" w:rsidR="00B11861" w:rsidRPr="00AF7D9D" w:rsidRDefault="00B11861" w:rsidP="00B4182B">
            <w:pPr>
              <w:contextualSpacing/>
              <w:rPr>
                <w:rFonts w:eastAsia="Calibri"/>
                <w:b/>
              </w:rPr>
            </w:pPr>
            <w:r w:rsidRPr="00AF7D9D">
              <w:rPr>
                <w:rFonts w:eastAsia="Calibri"/>
              </w:rPr>
              <w:t xml:space="preserve">   BFI Extraversion</w:t>
            </w:r>
          </w:p>
        </w:tc>
        <w:tc>
          <w:tcPr>
            <w:tcW w:w="604" w:type="pct"/>
            <w:tcBorders>
              <w:top w:val="nil"/>
              <w:left w:val="nil"/>
              <w:bottom w:val="single" w:sz="4" w:space="0" w:color="auto"/>
              <w:right w:val="nil"/>
            </w:tcBorders>
            <w:vAlign w:val="center"/>
          </w:tcPr>
          <w:p w14:paraId="4F8FDF10" w14:textId="77777777" w:rsidR="00B11861" w:rsidRPr="00AF7D9D" w:rsidRDefault="00B11861" w:rsidP="00B11861">
            <w:pPr>
              <w:contextualSpacing/>
              <w:jc w:val="center"/>
              <w:rPr>
                <w:rFonts w:eastAsia="Calibri"/>
              </w:rPr>
            </w:pPr>
            <w:r w:rsidRPr="00AF7D9D">
              <w:rPr>
                <w:rFonts w:eastAsia="Calibri"/>
              </w:rPr>
              <w:t>.24**</w:t>
            </w:r>
          </w:p>
        </w:tc>
        <w:tc>
          <w:tcPr>
            <w:tcW w:w="156" w:type="pct"/>
            <w:tcBorders>
              <w:top w:val="nil"/>
              <w:left w:val="nil"/>
              <w:bottom w:val="single" w:sz="4" w:space="0" w:color="auto"/>
              <w:right w:val="nil"/>
            </w:tcBorders>
            <w:vAlign w:val="center"/>
          </w:tcPr>
          <w:p w14:paraId="5D6D4CFD" w14:textId="77777777" w:rsidR="00B11861" w:rsidRPr="00AF7D9D" w:rsidRDefault="00B11861" w:rsidP="00B11861">
            <w:pPr>
              <w:contextualSpacing/>
              <w:jc w:val="center"/>
              <w:rPr>
                <w:rFonts w:eastAsia="Calibri"/>
              </w:rPr>
            </w:pPr>
          </w:p>
        </w:tc>
        <w:tc>
          <w:tcPr>
            <w:tcW w:w="475" w:type="pct"/>
            <w:tcBorders>
              <w:top w:val="nil"/>
              <w:left w:val="nil"/>
              <w:bottom w:val="single" w:sz="4" w:space="0" w:color="auto"/>
              <w:right w:val="nil"/>
            </w:tcBorders>
            <w:vAlign w:val="center"/>
          </w:tcPr>
          <w:p w14:paraId="452F807E" w14:textId="77777777" w:rsidR="00B11861" w:rsidRPr="00AF7D9D" w:rsidRDefault="00B11861" w:rsidP="00B11861">
            <w:pPr>
              <w:contextualSpacing/>
              <w:jc w:val="center"/>
              <w:rPr>
                <w:rFonts w:eastAsia="Calibri"/>
              </w:rPr>
            </w:pPr>
            <w:r w:rsidRPr="00AF7D9D">
              <w:rPr>
                <w:rFonts w:eastAsia="Calibri"/>
              </w:rPr>
              <w:t>.30**</w:t>
            </w:r>
          </w:p>
        </w:tc>
        <w:tc>
          <w:tcPr>
            <w:tcW w:w="475" w:type="pct"/>
            <w:tcBorders>
              <w:top w:val="nil"/>
              <w:left w:val="nil"/>
              <w:bottom w:val="single" w:sz="4" w:space="0" w:color="auto"/>
              <w:right w:val="nil"/>
            </w:tcBorders>
            <w:vAlign w:val="center"/>
          </w:tcPr>
          <w:p w14:paraId="4A6141E8" w14:textId="77777777" w:rsidR="00B11861" w:rsidRPr="00AF7D9D" w:rsidRDefault="00B11861" w:rsidP="00B11861">
            <w:pPr>
              <w:contextualSpacing/>
              <w:jc w:val="center"/>
              <w:rPr>
                <w:rFonts w:eastAsia="Calibri"/>
              </w:rPr>
            </w:pPr>
            <w:r w:rsidRPr="00AF7D9D">
              <w:rPr>
                <w:rFonts w:eastAsia="Calibri"/>
              </w:rPr>
              <w:t>.16*</w:t>
            </w:r>
          </w:p>
        </w:tc>
        <w:tc>
          <w:tcPr>
            <w:tcW w:w="476" w:type="pct"/>
            <w:tcBorders>
              <w:top w:val="nil"/>
              <w:left w:val="nil"/>
              <w:bottom w:val="single" w:sz="4" w:space="0" w:color="auto"/>
              <w:right w:val="nil"/>
            </w:tcBorders>
            <w:vAlign w:val="center"/>
          </w:tcPr>
          <w:p w14:paraId="102A3CD9" w14:textId="77777777" w:rsidR="00B11861" w:rsidRPr="00AF7D9D" w:rsidRDefault="00B11861" w:rsidP="00B11861">
            <w:pPr>
              <w:contextualSpacing/>
              <w:jc w:val="center"/>
              <w:rPr>
                <w:rFonts w:eastAsia="Calibri"/>
              </w:rPr>
            </w:pPr>
            <w:r w:rsidRPr="00AF7D9D">
              <w:rPr>
                <w:rFonts w:eastAsia="Calibri"/>
              </w:rPr>
              <w:t>1.56</w:t>
            </w:r>
          </w:p>
        </w:tc>
        <w:tc>
          <w:tcPr>
            <w:tcW w:w="173" w:type="pct"/>
            <w:tcBorders>
              <w:top w:val="nil"/>
              <w:left w:val="nil"/>
              <w:bottom w:val="single" w:sz="4" w:space="0" w:color="auto"/>
              <w:right w:val="nil"/>
            </w:tcBorders>
            <w:vAlign w:val="center"/>
          </w:tcPr>
          <w:p w14:paraId="3F6D02F6" w14:textId="77777777" w:rsidR="00B11861" w:rsidRPr="00AF7D9D" w:rsidRDefault="00B11861" w:rsidP="00B11861">
            <w:pPr>
              <w:contextualSpacing/>
              <w:jc w:val="center"/>
              <w:rPr>
                <w:rFonts w:eastAsia="Calibri"/>
                <w:i/>
              </w:rPr>
            </w:pPr>
          </w:p>
        </w:tc>
        <w:tc>
          <w:tcPr>
            <w:tcW w:w="476" w:type="pct"/>
            <w:tcBorders>
              <w:top w:val="nil"/>
              <w:left w:val="nil"/>
              <w:bottom w:val="single" w:sz="4" w:space="0" w:color="auto"/>
              <w:right w:val="nil"/>
            </w:tcBorders>
            <w:vAlign w:val="center"/>
          </w:tcPr>
          <w:p w14:paraId="54175EB3" w14:textId="77777777" w:rsidR="00B11861" w:rsidRPr="00AF7D9D" w:rsidRDefault="00B11861" w:rsidP="00B11861">
            <w:pPr>
              <w:contextualSpacing/>
              <w:jc w:val="center"/>
              <w:rPr>
                <w:rFonts w:eastAsia="Calibri"/>
              </w:rPr>
            </w:pPr>
            <w:r w:rsidRPr="00AF7D9D">
              <w:rPr>
                <w:rFonts w:eastAsia="Calibri"/>
              </w:rPr>
              <w:t>.29**</w:t>
            </w:r>
          </w:p>
        </w:tc>
        <w:tc>
          <w:tcPr>
            <w:tcW w:w="476" w:type="pct"/>
            <w:tcBorders>
              <w:top w:val="nil"/>
              <w:left w:val="nil"/>
              <w:bottom w:val="single" w:sz="4" w:space="0" w:color="auto"/>
              <w:right w:val="nil"/>
            </w:tcBorders>
            <w:vAlign w:val="center"/>
          </w:tcPr>
          <w:p w14:paraId="1F98CFDF" w14:textId="77777777" w:rsidR="00B11861" w:rsidRPr="00AF7D9D" w:rsidRDefault="00B11861" w:rsidP="00B11861">
            <w:pPr>
              <w:contextualSpacing/>
              <w:jc w:val="center"/>
              <w:rPr>
                <w:rFonts w:eastAsia="Calibri"/>
              </w:rPr>
            </w:pPr>
            <w:r w:rsidRPr="00AF7D9D">
              <w:rPr>
                <w:rFonts w:eastAsia="Calibri"/>
              </w:rPr>
              <w:t>.27**</w:t>
            </w:r>
          </w:p>
        </w:tc>
        <w:tc>
          <w:tcPr>
            <w:tcW w:w="475" w:type="pct"/>
            <w:tcBorders>
              <w:top w:val="nil"/>
              <w:left w:val="nil"/>
              <w:bottom w:val="single" w:sz="4" w:space="0" w:color="auto"/>
              <w:right w:val="nil"/>
            </w:tcBorders>
            <w:vAlign w:val="center"/>
          </w:tcPr>
          <w:p w14:paraId="446B657E" w14:textId="77777777" w:rsidR="00B11861" w:rsidRPr="00AF7D9D" w:rsidRDefault="00C578B7" w:rsidP="00B11861">
            <w:pPr>
              <w:contextualSpacing/>
              <w:jc w:val="center"/>
              <w:rPr>
                <w:rFonts w:eastAsia="Calibri"/>
              </w:rPr>
            </w:pPr>
            <w:r w:rsidRPr="00AF7D9D">
              <w:rPr>
                <w:rFonts w:eastAsia="Calibri"/>
              </w:rPr>
              <w:t>.19</w:t>
            </w:r>
          </w:p>
        </w:tc>
      </w:tr>
      <w:tr w:rsidR="008E5ADD" w:rsidRPr="00AF7D9D" w14:paraId="6B3B9748" w14:textId="77777777" w:rsidTr="00FF5C5C">
        <w:trPr>
          <w:trHeight w:val="327"/>
        </w:trPr>
        <w:tc>
          <w:tcPr>
            <w:tcW w:w="1214" w:type="pct"/>
            <w:tcBorders>
              <w:left w:val="nil"/>
              <w:bottom w:val="single" w:sz="4" w:space="0" w:color="auto"/>
              <w:right w:val="nil"/>
            </w:tcBorders>
          </w:tcPr>
          <w:p w14:paraId="09F441D4" w14:textId="77777777" w:rsidR="00B11861" w:rsidRPr="00AF7D9D" w:rsidRDefault="00B11861" w:rsidP="00B4182B">
            <w:pPr>
              <w:contextualSpacing/>
              <w:rPr>
                <w:rFonts w:eastAsia="Calibri"/>
                <w:b/>
              </w:rPr>
            </w:pPr>
            <w:r w:rsidRPr="00AF7D9D">
              <w:rPr>
                <w:rFonts w:eastAsia="Calibri"/>
                <w:b/>
              </w:rPr>
              <w:t>4. Italian (</w:t>
            </w:r>
            <w:r w:rsidRPr="00AF7D9D">
              <w:rPr>
                <w:rFonts w:eastAsia="Calibri"/>
                <w:b/>
                <w:i/>
              </w:rPr>
              <w:t>n</w:t>
            </w:r>
            <w:r w:rsidRPr="00AF7D9D">
              <w:rPr>
                <w:rFonts w:eastAsia="Calibri"/>
                <w:b/>
              </w:rPr>
              <w:t xml:space="preserve"> = 881) - Females </w:t>
            </w:r>
          </w:p>
        </w:tc>
        <w:tc>
          <w:tcPr>
            <w:tcW w:w="604" w:type="pct"/>
            <w:tcBorders>
              <w:top w:val="nil"/>
              <w:left w:val="nil"/>
              <w:bottom w:val="single" w:sz="4" w:space="0" w:color="auto"/>
              <w:right w:val="nil"/>
            </w:tcBorders>
            <w:vAlign w:val="center"/>
          </w:tcPr>
          <w:p w14:paraId="7A8E212D" w14:textId="77777777" w:rsidR="00B11861" w:rsidRPr="00AF7D9D" w:rsidRDefault="00B11861" w:rsidP="00B11861">
            <w:pPr>
              <w:contextualSpacing/>
              <w:jc w:val="center"/>
              <w:rPr>
                <w:rFonts w:eastAsia="Calibri"/>
                <w:i/>
              </w:rPr>
            </w:pPr>
            <w:r w:rsidRPr="00AF7D9D">
              <w:rPr>
                <w:rFonts w:eastAsia="Calibri"/>
                <w:i/>
              </w:rPr>
              <w:t>n</w:t>
            </w:r>
            <w:r w:rsidRPr="00AF7D9D">
              <w:rPr>
                <w:rFonts w:eastAsia="Calibri"/>
              </w:rPr>
              <w:t xml:space="preserve"> = 263</w:t>
            </w:r>
          </w:p>
        </w:tc>
        <w:tc>
          <w:tcPr>
            <w:tcW w:w="156" w:type="pct"/>
            <w:tcBorders>
              <w:top w:val="nil"/>
              <w:left w:val="nil"/>
              <w:bottom w:val="single" w:sz="4" w:space="0" w:color="auto"/>
              <w:right w:val="nil"/>
            </w:tcBorders>
            <w:vAlign w:val="center"/>
          </w:tcPr>
          <w:p w14:paraId="399BC045" w14:textId="77777777" w:rsidR="00B11861" w:rsidRPr="00AF7D9D" w:rsidRDefault="00B11861" w:rsidP="00B11861">
            <w:pPr>
              <w:contextualSpacing/>
              <w:jc w:val="center"/>
              <w:rPr>
                <w:rFonts w:eastAsia="Calibri"/>
                <w:i/>
              </w:rPr>
            </w:pPr>
          </w:p>
        </w:tc>
        <w:tc>
          <w:tcPr>
            <w:tcW w:w="475" w:type="pct"/>
            <w:tcBorders>
              <w:top w:val="nil"/>
              <w:left w:val="nil"/>
              <w:bottom w:val="single" w:sz="4" w:space="0" w:color="auto"/>
              <w:right w:val="nil"/>
            </w:tcBorders>
            <w:vAlign w:val="center"/>
          </w:tcPr>
          <w:p w14:paraId="272BF9E6" w14:textId="77777777" w:rsidR="00B11861" w:rsidRPr="00AF7D9D" w:rsidRDefault="00B11861" w:rsidP="00B11861">
            <w:pPr>
              <w:contextualSpacing/>
              <w:jc w:val="center"/>
              <w:rPr>
                <w:rFonts w:eastAsia="Calibri"/>
                <w:i/>
              </w:rPr>
            </w:pPr>
            <w:r w:rsidRPr="00AF7D9D">
              <w:rPr>
                <w:rFonts w:eastAsia="Calibri"/>
                <w:i/>
              </w:rPr>
              <w:t>n</w:t>
            </w:r>
            <w:r w:rsidRPr="00AF7D9D">
              <w:rPr>
                <w:rFonts w:eastAsia="Calibri"/>
              </w:rPr>
              <w:t xml:space="preserve"> = 217</w:t>
            </w:r>
          </w:p>
        </w:tc>
        <w:tc>
          <w:tcPr>
            <w:tcW w:w="475" w:type="pct"/>
            <w:tcBorders>
              <w:top w:val="nil"/>
              <w:left w:val="nil"/>
              <w:bottom w:val="single" w:sz="4" w:space="0" w:color="auto"/>
              <w:right w:val="nil"/>
            </w:tcBorders>
            <w:vAlign w:val="center"/>
          </w:tcPr>
          <w:p w14:paraId="5D1EB66F" w14:textId="77777777" w:rsidR="00B11861" w:rsidRPr="00AF7D9D" w:rsidRDefault="00B11861" w:rsidP="00B11861">
            <w:pPr>
              <w:contextualSpacing/>
              <w:jc w:val="center"/>
              <w:rPr>
                <w:rFonts w:eastAsia="Calibri"/>
                <w:i/>
              </w:rPr>
            </w:pPr>
            <w:r w:rsidRPr="00AF7D9D">
              <w:rPr>
                <w:rFonts w:eastAsia="Calibri"/>
                <w:i/>
              </w:rPr>
              <w:t>n</w:t>
            </w:r>
            <w:r w:rsidRPr="00AF7D9D">
              <w:rPr>
                <w:rFonts w:eastAsia="Calibri"/>
              </w:rPr>
              <w:t xml:space="preserve"> = 46</w:t>
            </w:r>
          </w:p>
        </w:tc>
        <w:tc>
          <w:tcPr>
            <w:tcW w:w="476" w:type="pct"/>
            <w:tcBorders>
              <w:top w:val="nil"/>
              <w:left w:val="nil"/>
              <w:bottom w:val="single" w:sz="4" w:space="0" w:color="auto"/>
              <w:right w:val="nil"/>
            </w:tcBorders>
            <w:vAlign w:val="center"/>
          </w:tcPr>
          <w:p w14:paraId="7E499DE8" w14:textId="77777777" w:rsidR="00B11861" w:rsidRPr="00AF7D9D" w:rsidRDefault="00B11861" w:rsidP="00B11861">
            <w:pPr>
              <w:contextualSpacing/>
              <w:jc w:val="center"/>
              <w:rPr>
                <w:rFonts w:eastAsia="Calibri"/>
              </w:rPr>
            </w:pPr>
          </w:p>
        </w:tc>
        <w:tc>
          <w:tcPr>
            <w:tcW w:w="173" w:type="pct"/>
            <w:tcBorders>
              <w:top w:val="nil"/>
              <w:left w:val="nil"/>
              <w:bottom w:val="single" w:sz="4" w:space="0" w:color="auto"/>
              <w:right w:val="nil"/>
            </w:tcBorders>
            <w:vAlign w:val="center"/>
          </w:tcPr>
          <w:p w14:paraId="693BC876" w14:textId="77777777" w:rsidR="00B11861" w:rsidRPr="00AF7D9D" w:rsidRDefault="00B11861" w:rsidP="00B11861">
            <w:pPr>
              <w:contextualSpacing/>
              <w:jc w:val="center"/>
              <w:rPr>
                <w:rFonts w:eastAsia="Calibri"/>
                <w:i/>
              </w:rPr>
            </w:pPr>
          </w:p>
        </w:tc>
        <w:tc>
          <w:tcPr>
            <w:tcW w:w="476" w:type="pct"/>
            <w:tcBorders>
              <w:top w:val="nil"/>
              <w:left w:val="nil"/>
              <w:bottom w:val="single" w:sz="4" w:space="0" w:color="auto"/>
              <w:right w:val="nil"/>
            </w:tcBorders>
            <w:vAlign w:val="center"/>
          </w:tcPr>
          <w:p w14:paraId="35864862" w14:textId="77777777" w:rsidR="00B11861" w:rsidRPr="00AF7D9D" w:rsidRDefault="00B11861" w:rsidP="00B11861">
            <w:pPr>
              <w:contextualSpacing/>
              <w:jc w:val="center"/>
              <w:rPr>
                <w:rFonts w:eastAsia="Calibri"/>
                <w:i/>
              </w:rPr>
            </w:pPr>
            <w:r w:rsidRPr="00AF7D9D">
              <w:rPr>
                <w:rFonts w:eastAsia="Calibri"/>
                <w:i/>
              </w:rPr>
              <w:t>n</w:t>
            </w:r>
            <w:r w:rsidRPr="00AF7D9D">
              <w:rPr>
                <w:rFonts w:eastAsia="Calibri"/>
              </w:rPr>
              <w:t xml:space="preserve"> = 238</w:t>
            </w:r>
          </w:p>
        </w:tc>
        <w:tc>
          <w:tcPr>
            <w:tcW w:w="476" w:type="pct"/>
            <w:tcBorders>
              <w:top w:val="nil"/>
              <w:left w:val="nil"/>
              <w:bottom w:val="single" w:sz="4" w:space="0" w:color="auto"/>
              <w:right w:val="nil"/>
            </w:tcBorders>
            <w:vAlign w:val="center"/>
          </w:tcPr>
          <w:p w14:paraId="7B93B88E" w14:textId="77777777" w:rsidR="00B11861" w:rsidRPr="00AF7D9D" w:rsidRDefault="00B11861" w:rsidP="00B11861">
            <w:pPr>
              <w:contextualSpacing/>
              <w:jc w:val="center"/>
              <w:rPr>
                <w:rFonts w:eastAsia="Calibri"/>
                <w:i/>
              </w:rPr>
            </w:pPr>
            <w:r w:rsidRPr="00AF7D9D">
              <w:rPr>
                <w:rFonts w:eastAsia="Calibri"/>
                <w:i/>
              </w:rPr>
              <w:t>n</w:t>
            </w:r>
            <w:r w:rsidRPr="00AF7D9D">
              <w:rPr>
                <w:rFonts w:eastAsia="Calibri"/>
              </w:rPr>
              <w:t xml:space="preserve"> = 25</w:t>
            </w:r>
          </w:p>
        </w:tc>
        <w:tc>
          <w:tcPr>
            <w:tcW w:w="475" w:type="pct"/>
            <w:tcBorders>
              <w:top w:val="nil"/>
              <w:left w:val="nil"/>
              <w:bottom w:val="single" w:sz="4" w:space="0" w:color="auto"/>
              <w:right w:val="nil"/>
            </w:tcBorders>
            <w:vAlign w:val="center"/>
          </w:tcPr>
          <w:p w14:paraId="6D1C216F" w14:textId="77777777" w:rsidR="00B11861" w:rsidRPr="00AF7D9D" w:rsidRDefault="00B11861" w:rsidP="00B11861">
            <w:pPr>
              <w:contextualSpacing/>
              <w:jc w:val="center"/>
              <w:rPr>
                <w:rFonts w:eastAsia="Calibri"/>
                <w:i/>
              </w:rPr>
            </w:pPr>
          </w:p>
        </w:tc>
      </w:tr>
      <w:tr w:rsidR="008E5ADD" w:rsidRPr="00AF7D9D" w14:paraId="39F6957C" w14:textId="77777777" w:rsidTr="00FF5C5C">
        <w:trPr>
          <w:trHeight w:val="327"/>
        </w:trPr>
        <w:tc>
          <w:tcPr>
            <w:tcW w:w="1214" w:type="pct"/>
            <w:tcBorders>
              <w:top w:val="single" w:sz="4" w:space="0" w:color="auto"/>
              <w:left w:val="nil"/>
              <w:bottom w:val="nil"/>
              <w:right w:val="nil"/>
            </w:tcBorders>
          </w:tcPr>
          <w:p w14:paraId="68279E03" w14:textId="77777777" w:rsidR="00B11861" w:rsidRPr="00AF7D9D" w:rsidRDefault="00B11861" w:rsidP="00B4182B">
            <w:pPr>
              <w:contextualSpacing/>
              <w:rPr>
                <w:rFonts w:eastAsia="Calibri"/>
                <w:b/>
              </w:rPr>
            </w:pPr>
            <w:r w:rsidRPr="00AF7D9D">
              <w:rPr>
                <w:rFonts w:eastAsia="Calibri"/>
              </w:rPr>
              <w:t xml:space="preserve">   BFI Agreeableness</w:t>
            </w:r>
          </w:p>
        </w:tc>
        <w:tc>
          <w:tcPr>
            <w:tcW w:w="604" w:type="pct"/>
            <w:tcBorders>
              <w:top w:val="single" w:sz="4" w:space="0" w:color="auto"/>
              <w:left w:val="nil"/>
              <w:bottom w:val="nil"/>
              <w:right w:val="nil"/>
            </w:tcBorders>
            <w:vAlign w:val="center"/>
          </w:tcPr>
          <w:p w14:paraId="52E5D8D7" w14:textId="77777777" w:rsidR="00B11861" w:rsidRPr="00AF7D9D" w:rsidRDefault="00B11861" w:rsidP="00B11861">
            <w:pPr>
              <w:contextualSpacing/>
              <w:jc w:val="center"/>
              <w:rPr>
                <w:rFonts w:eastAsia="Calibri"/>
              </w:rPr>
            </w:pPr>
            <w:r w:rsidRPr="00AF7D9D">
              <w:rPr>
                <w:rFonts w:eastAsia="Calibri"/>
              </w:rPr>
              <w:t>-.30**</w:t>
            </w:r>
          </w:p>
        </w:tc>
        <w:tc>
          <w:tcPr>
            <w:tcW w:w="156" w:type="pct"/>
            <w:tcBorders>
              <w:top w:val="single" w:sz="4" w:space="0" w:color="auto"/>
              <w:left w:val="nil"/>
              <w:bottom w:val="nil"/>
              <w:right w:val="nil"/>
            </w:tcBorders>
            <w:vAlign w:val="center"/>
          </w:tcPr>
          <w:p w14:paraId="56BCA4B1" w14:textId="77777777" w:rsidR="00B11861" w:rsidRPr="00AF7D9D" w:rsidRDefault="00B11861" w:rsidP="00B11861">
            <w:pPr>
              <w:contextualSpacing/>
              <w:jc w:val="center"/>
              <w:rPr>
                <w:rFonts w:eastAsia="Calibri"/>
              </w:rPr>
            </w:pPr>
          </w:p>
        </w:tc>
        <w:tc>
          <w:tcPr>
            <w:tcW w:w="475" w:type="pct"/>
            <w:tcBorders>
              <w:top w:val="single" w:sz="4" w:space="0" w:color="auto"/>
              <w:left w:val="nil"/>
              <w:bottom w:val="nil"/>
              <w:right w:val="nil"/>
            </w:tcBorders>
            <w:vAlign w:val="center"/>
          </w:tcPr>
          <w:p w14:paraId="1E070C6B" w14:textId="77777777" w:rsidR="00B11861" w:rsidRPr="00AF7D9D" w:rsidRDefault="00B11861" w:rsidP="00B11861">
            <w:pPr>
              <w:contextualSpacing/>
              <w:jc w:val="center"/>
              <w:rPr>
                <w:rFonts w:eastAsia="Calibri"/>
              </w:rPr>
            </w:pPr>
            <w:r w:rsidRPr="00AF7D9D">
              <w:rPr>
                <w:rFonts w:eastAsia="Calibri"/>
              </w:rPr>
              <w:t>-.30**</w:t>
            </w:r>
          </w:p>
        </w:tc>
        <w:tc>
          <w:tcPr>
            <w:tcW w:w="475" w:type="pct"/>
            <w:tcBorders>
              <w:top w:val="single" w:sz="4" w:space="0" w:color="auto"/>
              <w:left w:val="nil"/>
              <w:bottom w:val="nil"/>
              <w:right w:val="nil"/>
            </w:tcBorders>
            <w:vAlign w:val="center"/>
          </w:tcPr>
          <w:p w14:paraId="0F7430DA" w14:textId="77777777" w:rsidR="00B11861" w:rsidRPr="00AF7D9D" w:rsidRDefault="00B11861" w:rsidP="00B11861">
            <w:pPr>
              <w:contextualSpacing/>
              <w:jc w:val="center"/>
              <w:rPr>
                <w:rFonts w:eastAsia="Calibri"/>
              </w:rPr>
            </w:pPr>
            <w:r w:rsidRPr="00AF7D9D">
              <w:rPr>
                <w:rFonts w:eastAsia="Calibri"/>
              </w:rPr>
              <w:t>-.32*</w:t>
            </w:r>
          </w:p>
        </w:tc>
        <w:tc>
          <w:tcPr>
            <w:tcW w:w="476" w:type="pct"/>
            <w:tcBorders>
              <w:top w:val="single" w:sz="4" w:space="0" w:color="auto"/>
              <w:left w:val="nil"/>
              <w:bottom w:val="nil"/>
              <w:right w:val="nil"/>
            </w:tcBorders>
            <w:vAlign w:val="center"/>
          </w:tcPr>
          <w:p w14:paraId="7782D5B6" w14:textId="77777777" w:rsidR="00B11861" w:rsidRPr="00AF7D9D" w:rsidRDefault="00B11861" w:rsidP="00B11861">
            <w:pPr>
              <w:contextualSpacing/>
              <w:jc w:val="center"/>
              <w:rPr>
                <w:rFonts w:eastAsia="Calibri"/>
              </w:rPr>
            </w:pPr>
            <w:r w:rsidRPr="00AF7D9D">
              <w:rPr>
                <w:rFonts w:eastAsia="Calibri"/>
              </w:rPr>
              <w:t>.13</w:t>
            </w:r>
          </w:p>
        </w:tc>
        <w:tc>
          <w:tcPr>
            <w:tcW w:w="173" w:type="pct"/>
            <w:tcBorders>
              <w:top w:val="single" w:sz="4" w:space="0" w:color="auto"/>
              <w:left w:val="nil"/>
              <w:bottom w:val="nil"/>
              <w:right w:val="nil"/>
            </w:tcBorders>
            <w:vAlign w:val="center"/>
          </w:tcPr>
          <w:p w14:paraId="714DA1FF" w14:textId="77777777" w:rsidR="00B11861" w:rsidRPr="00AF7D9D" w:rsidRDefault="00B11861" w:rsidP="00B11861">
            <w:pPr>
              <w:contextualSpacing/>
              <w:jc w:val="center"/>
              <w:rPr>
                <w:rFonts w:eastAsia="Calibri"/>
                <w:i/>
              </w:rPr>
            </w:pPr>
          </w:p>
        </w:tc>
        <w:tc>
          <w:tcPr>
            <w:tcW w:w="476" w:type="pct"/>
            <w:tcBorders>
              <w:top w:val="single" w:sz="4" w:space="0" w:color="auto"/>
              <w:left w:val="nil"/>
              <w:bottom w:val="nil"/>
              <w:right w:val="nil"/>
            </w:tcBorders>
            <w:vAlign w:val="center"/>
          </w:tcPr>
          <w:p w14:paraId="4A4CAFA5" w14:textId="77777777" w:rsidR="00B11861" w:rsidRPr="00AF7D9D" w:rsidRDefault="00B11861" w:rsidP="00B11861">
            <w:pPr>
              <w:contextualSpacing/>
              <w:jc w:val="center"/>
              <w:rPr>
                <w:rFonts w:eastAsia="Calibri"/>
              </w:rPr>
            </w:pPr>
            <w:r w:rsidRPr="00AF7D9D">
              <w:rPr>
                <w:rFonts w:eastAsia="Calibri"/>
              </w:rPr>
              <w:t>-.29**</w:t>
            </w:r>
          </w:p>
        </w:tc>
        <w:tc>
          <w:tcPr>
            <w:tcW w:w="476" w:type="pct"/>
            <w:tcBorders>
              <w:top w:val="single" w:sz="4" w:space="0" w:color="auto"/>
              <w:left w:val="nil"/>
              <w:bottom w:val="nil"/>
              <w:right w:val="nil"/>
            </w:tcBorders>
            <w:vAlign w:val="center"/>
          </w:tcPr>
          <w:p w14:paraId="7AFB1817" w14:textId="77777777" w:rsidR="00B11861" w:rsidRPr="00AF7D9D" w:rsidRDefault="00B11861" w:rsidP="00B11861">
            <w:pPr>
              <w:contextualSpacing/>
              <w:jc w:val="center"/>
              <w:rPr>
                <w:rFonts w:eastAsia="Calibri"/>
              </w:rPr>
            </w:pPr>
            <w:r w:rsidRPr="00AF7D9D">
              <w:rPr>
                <w:rFonts w:eastAsia="Calibri"/>
              </w:rPr>
              <w:t>-.27</w:t>
            </w:r>
          </w:p>
        </w:tc>
        <w:tc>
          <w:tcPr>
            <w:tcW w:w="475" w:type="pct"/>
            <w:tcBorders>
              <w:top w:val="single" w:sz="4" w:space="0" w:color="auto"/>
              <w:left w:val="nil"/>
              <w:bottom w:val="nil"/>
              <w:right w:val="nil"/>
            </w:tcBorders>
            <w:vAlign w:val="center"/>
          </w:tcPr>
          <w:p w14:paraId="0DD831AE" w14:textId="77777777" w:rsidR="00B11861" w:rsidRPr="00AF7D9D" w:rsidRDefault="00C578B7" w:rsidP="00B11861">
            <w:pPr>
              <w:contextualSpacing/>
              <w:jc w:val="center"/>
              <w:rPr>
                <w:rFonts w:eastAsia="Calibri"/>
              </w:rPr>
            </w:pPr>
            <w:r w:rsidRPr="00AF7D9D">
              <w:rPr>
                <w:rFonts w:eastAsia="Calibri"/>
              </w:rPr>
              <w:t>-.10</w:t>
            </w:r>
          </w:p>
        </w:tc>
      </w:tr>
      <w:tr w:rsidR="008E5ADD" w:rsidRPr="00AF7D9D" w14:paraId="4F9FB2EC" w14:textId="77777777" w:rsidTr="00FF5C5C">
        <w:trPr>
          <w:trHeight w:val="327"/>
        </w:trPr>
        <w:tc>
          <w:tcPr>
            <w:tcW w:w="1214" w:type="pct"/>
            <w:tcBorders>
              <w:top w:val="nil"/>
              <w:left w:val="nil"/>
              <w:bottom w:val="nil"/>
              <w:right w:val="nil"/>
            </w:tcBorders>
          </w:tcPr>
          <w:p w14:paraId="43D19581" w14:textId="77777777" w:rsidR="00B11861" w:rsidRPr="00AF7D9D" w:rsidRDefault="00B11861" w:rsidP="00B4182B">
            <w:pPr>
              <w:contextualSpacing/>
              <w:rPr>
                <w:rFonts w:eastAsia="Calibri"/>
                <w:b/>
              </w:rPr>
            </w:pPr>
            <w:r w:rsidRPr="00AF7D9D">
              <w:rPr>
                <w:rFonts w:eastAsia="Calibri"/>
              </w:rPr>
              <w:t xml:space="preserve">   BFI Conscientiousness</w:t>
            </w:r>
          </w:p>
        </w:tc>
        <w:tc>
          <w:tcPr>
            <w:tcW w:w="604" w:type="pct"/>
            <w:tcBorders>
              <w:top w:val="nil"/>
              <w:left w:val="nil"/>
              <w:bottom w:val="nil"/>
              <w:right w:val="nil"/>
            </w:tcBorders>
            <w:vAlign w:val="center"/>
          </w:tcPr>
          <w:p w14:paraId="5A615F70" w14:textId="77777777" w:rsidR="00B11861" w:rsidRPr="00AF7D9D" w:rsidRDefault="00B11861" w:rsidP="00B11861">
            <w:pPr>
              <w:contextualSpacing/>
              <w:jc w:val="center"/>
              <w:rPr>
                <w:rFonts w:eastAsia="Calibri"/>
              </w:rPr>
            </w:pPr>
            <w:r w:rsidRPr="00AF7D9D">
              <w:rPr>
                <w:rFonts w:eastAsia="Calibri"/>
              </w:rPr>
              <w:t>-.20**</w:t>
            </w:r>
          </w:p>
        </w:tc>
        <w:tc>
          <w:tcPr>
            <w:tcW w:w="156" w:type="pct"/>
            <w:tcBorders>
              <w:top w:val="nil"/>
              <w:left w:val="nil"/>
              <w:bottom w:val="nil"/>
              <w:right w:val="nil"/>
            </w:tcBorders>
            <w:vAlign w:val="center"/>
          </w:tcPr>
          <w:p w14:paraId="649722E7" w14:textId="77777777" w:rsidR="00B11861" w:rsidRPr="00AF7D9D" w:rsidRDefault="00B11861" w:rsidP="00B11861">
            <w:pPr>
              <w:contextualSpacing/>
              <w:jc w:val="center"/>
              <w:rPr>
                <w:rFonts w:eastAsia="Calibri"/>
              </w:rPr>
            </w:pPr>
          </w:p>
        </w:tc>
        <w:tc>
          <w:tcPr>
            <w:tcW w:w="475" w:type="pct"/>
            <w:tcBorders>
              <w:top w:val="nil"/>
              <w:left w:val="nil"/>
              <w:bottom w:val="nil"/>
              <w:right w:val="nil"/>
            </w:tcBorders>
            <w:vAlign w:val="center"/>
          </w:tcPr>
          <w:p w14:paraId="1522E23F" w14:textId="77777777" w:rsidR="00B11861" w:rsidRPr="00AF7D9D" w:rsidRDefault="00B11861" w:rsidP="00B11861">
            <w:pPr>
              <w:contextualSpacing/>
              <w:jc w:val="center"/>
              <w:rPr>
                <w:rFonts w:eastAsia="Calibri"/>
              </w:rPr>
            </w:pPr>
            <w:r w:rsidRPr="00AF7D9D">
              <w:rPr>
                <w:rFonts w:eastAsia="Calibri"/>
              </w:rPr>
              <w:t>-.17*</w:t>
            </w:r>
          </w:p>
        </w:tc>
        <w:tc>
          <w:tcPr>
            <w:tcW w:w="475" w:type="pct"/>
            <w:tcBorders>
              <w:top w:val="nil"/>
              <w:left w:val="nil"/>
              <w:bottom w:val="nil"/>
              <w:right w:val="nil"/>
            </w:tcBorders>
            <w:vAlign w:val="center"/>
          </w:tcPr>
          <w:p w14:paraId="764E34B2" w14:textId="77777777" w:rsidR="00B11861" w:rsidRPr="00AF7D9D" w:rsidRDefault="00B11861" w:rsidP="00B11861">
            <w:pPr>
              <w:contextualSpacing/>
              <w:jc w:val="center"/>
              <w:rPr>
                <w:rFonts w:eastAsia="Calibri"/>
              </w:rPr>
            </w:pPr>
            <w:r w:rsidRPr="00AF7D9D">
              <w:rPr>
                <w:rFonts w:eastAsia="Calibri"/>
              </w:rPr>
              <w:t>-.22</w:t>
            </w:r>
          </w:p>
        </w:tc>
        <w:tc>
          <w:tcPr>
            <w:tcW w:w="476" w:type="pct"/>
            <w:tcBorders>
              <w:top w:val="nil"/>
              <w:left w:val="nil"/>
              <w:bottom w:val="nil"/>
              <w:right w:val="nil"/>
            </w:tcBorders>
            <w:vAlign w:val="center"/>
          </w:tcPr>
          <w:p w14:paraId="31487824" w14:textId="77777777" w:rsidR="00B11861" w:rsidRPr="00AF7D9D" w:rsidRDefault="00B11861" w:rsidP="00B11861">
            <w:pPr>
              <w:contextualSpacing/>
              <w:jc w:val="center"/>
              <w:rPr>
                <w:rFonts w:eastAsia="Calibri"/>
              </w:rPr>
            </w:pPr>
            <w:r w:rsidRPr="00AF7D9D">
              <w:rPr>
                <w:rFonts w:eastAsia="Calibri"/>
              </w:rPr>
              <w:t>.31</w:t>
            </w:r>
          </w:p>
        </w:tc>
        <w:tc>
          <w:tcPr>
            <w:tcW w:w="173" w:type="pct"/>
            <w:tcBorders>
              <w:top w:val="nil"/>
              <w:left w:val="nil"/>
              <w:bottom w:val="nil"/>
              <w:right w:val="nil"/>
            </w:tcBorders>
            <w:vAlign w:val="center"/>
          </w:tcPr>
          <w:p w14:paraId="4435D113" w14:textId="77777777" w:rsidR="00B11861" w:rsidRPr="00AF7D9D" w:rsidRDefault="00B11861" w:rsidP="00B11861">
            <w:pPr>
              <w:contextualSpacing/>
              <w:jc w:val="center"/>
              <w:rPr>
                <w:rFonts w:eastAsia="Calibri"/>
                <w:i/>
              </w:rPr>
            </w:pPr>
          </w:p>
        </w:tc>
        <w:tc>
          <w:tcPr>
            <w:tcW w:w="476" w:type="pct"/>
            <w:tcBorders>
              <w:top w:val="nil"/>
              <w:left w:val="nil"/>
              <w:bottom w:val="nil"/>
              <w:right w:val="nil"/>
            </w:tcBorders>
            <w:vAlign w:val="center"/>
          </w:tcPr>
          <w:p w14:paraId="5FA29121" w14:textId="77777777" w:rsidR="00B11861" w:rsidRPr="00AF7D9D" w:rsidRDefault="00B11861" w:rsidP="00B11861">
            <w:pPr>
              <w:contextualSpacing/>
              <w:jc w:val="center"/>
              <w:rPr>
                <w:rFonts w:eastAsia="Calibri"/>
              </w:rPr>
            </w:pPr>
            <w:r w:rsidRPr="00AF7D9D">
              <w:rPr>
                <w:rFonts w:eastAsia="Calibri"/>
              </w:rPr>
              <w:t>-.16*</w:t>
            </w:r>
          </w:p>
        </w:tc>
        <w:tc>
          <w:tcPr>
            <w:tcW w:w="476" w:type="pct"/>
            <w:tcBorders>
              <w:top w:val="nil"/>
              <w:left w:val="nil"/>
              <w:bottom w:val="nil"/>
              <w:right w:val="nil"/>
            </w:tcBorders>
            <w:vAlign w:val="center"/>
          </w:tcPr>
          <w:p w14:paraId="7AA686E9" w14:textId="77777777" w:rsidR="00B11861" w:rsidRPr="00AF7D9D" w:rsidRDefault="00B11861" w:rsidP="00B11861">
            <w:pPr>
              <w:contextualSpacing/>
              <w:jc w:val="center"/>
              <w:rPr>
                <w:rFonts w:eastAsia="Calibri"/>
              </w:rPr>
            </w:pPr>
            <w:r w:rsidRPr="00AF7D9D">
              <w:rPr>
                <w:rFonts w:eastAsia="Calibri"/>
              </w:rPr>
              <w:t>-.46*</w:t>
            </w:r>
          </w:p>
        </w:tc>
        <w:tc>
          <w:tcPr>
            <w:tcW w:w="475" w:type="pct"/>
            <w:tcBorders>
              <w:top w:val="nil"/>
              <w:left w:val="nil"/>
              <w:bottom w:val="nil"/>
              <w:right w:val="nil"/>
            </w:tcBorders>
            <w:vAlign w:val="center"/>
          </w:tcPr>
          <w:p w14:paraId="6192965F" w14:textId="77777777" w:rsidR="00B11861" w:rsidRPr="00AF7D9D" w:rsidRDefault="00C578B7" w:rsidP="00B11861">
            <w:pPr>
              <w:contextualSpacing/>
              <w:jc w:val="center"/>
              <w:rPr>
                <w:rFonts w:eastAsia="Calibri"/>
              </w:rPr>
            </w:pPr>
            <w:r w:rsidRPr="00AF7D9D">
              <w:rPr>
                <w:rFonts w:eastAsia="Calibri"/>
              </w:rPr>
              <w:t>1.51</w:t>
            </w:r>
          </w:p>
        </w:tc>
      </w:tr>
      <w:tr w:rsidR="008E5ADD" w:rsidRPr="00AF7D9D" w14:paraId="6401AB8B" w14:textId="77777777" w:rsidTr="00FF5C5C">
        <w:trPr>
          <w:trHeight w:val="327"/>
        </w:trPr>
        <w:tc>
          <w:tcPr>
            <w:tcW w:w="1214" w:type="pct"/>
            <w:tcBorders>
              <w:top w:val="nil"/>
              <w:left w:val="nil"/>
              <w:bottom w:val="single" w:sz="4" w:space="0" w:color="auto"/>
              <w:right w:val="nil"/>
            </w:tcBorders>
          </w:tcPr>
          <w:p w14:paraId="3C9FDD9A" w14:textId="77777777" w:rsidR="00B11861" w:rsidRPr="00AF7D9D" w:rsidRDefault="00B11861" w:rsidP="00B4182B">
            <w:pPr>
              <w:contextualSpacing/>
              <w:rPr>
                <w:rFonts w:eastAsia="Calibri"/>
                <w:b/>
              </w:rPr>
            </w:pPr>
            <w:r w:rsidRPr="00AF7D9D">
              <w:rPr>
                <w:rFonts w:eastAsia="Calibri"/>
              </w:rPr>
              <w:t xml:space="preserve">   BFI Extraversion</w:t>
            </w:r>
          </w:p>
        </w:tc>
        <w:tc>
          <w:tcPr>
            <w:tcW w:w="604" w:type="pct"/>
            <w:tcBorders>
              <w:top w:val="nil"/>
              <w:left w:val="nil"/>
              <w:bottom w:val="single" w:sz="4" w:space="0" w:color="auto"/>
              <w:right w:val="nil"/>
            </w:tcBorders>
            <w:vAlign w:val="center"/>
          </w:tcPr>
          <w:p w14:paraId="5C053CED" w14:textId="77777777" w:rsidR="00B11861" w:rsidRPr="00AF7D9D" w:rsidRDefault="00B11861" w:rsidP="00B11861">
            <w:pPr>
              <w:contextualSpacing/>
              <w:jc w:val="center"/>
              <w:rPr>
                <w:rFonts w:eastAsia="Calibri"/>
              </w:rPr>
            </w:pPr>
            <w:r w:rsidRPr="00AF7D9D">
              <w:rPr>
                <w:rFonts w:eastAsia="Calibri"/>
              </w:rPr>
              <w:t>.26**</w:t>
            </w:r>
          </w:p>
        </w:tc>
        <w:tc>
          <w:tcPr>
            <w:tcW w:w="156" w:type="pct"/>
            <w:tcBorders>
              <w:top w:val="nil"/>
              <w:left w:val="nil"/>
              <w:bottom w:val="single" w:sz="4" w:space="0" w:color="auto"/>
              <w:right w:val="nil"/>
            </w:tcBorders>
            <w:vAlign w:val="center"/>
          </w:tcPr>
          <w:p w14:paraId="4FFF4416" w14:textId="77777777" w:rsidR="00B11861" w:rsidRPr="00AF7D9D" w:rsidRDefault="00B11861" w:rsidP="00B11861">
            <w:pPr>
              <w:contextualSpacing/>
              <w:jc w:val="center"/>
              <w:rPr>
                <w:rFonts w:eastAsia="Calibri"/>
              </w:rPr>
            </w:pPr>
          </w:p>
        </w:tc>
        <w:tc>
          <w:tcPr>
            <w:tcW w:w="475" w:type="pct"/>
            <w:tcBorders>
              <w:top w:val="nil"/>
              <w:left w:val="nil"/>
              <w:bottom w:val="single" w:sz="4" w:space="0" w:color="auto"/>
              <w:right w:val="nil"/>
            </w:tcBorders>
            <w:vAlign w:val="center"/>
          </w:tcPr>
          <w:p w14:paraId="0EE3E0BA" w14:textId="77777777" w:rsidR="00B11861" w:rsidRPr="00AF7D9D" w:rsidRDefault="00B11861" w:rsidP="00B11861">
            <w:pPr>
              <w:contextualSpacing/>
              <w:jc w:val="center"/>
              <w:rPr>
                <w:rFonts w:eastAsia="Calibri"/>
              </w:rPr>
            </w:pPr>
            <w:r w:rsidRPr="00AF7D9D">
              <w:rPr>
                <w:rFonts w:eastAsia="Calibri"/>
              </w:rPr>
              <w:t>.28**</w:t>
            </w:r>
          </w:p>
        </w:tc>
        <w:tc>
          <w:tcPr>
            <w:tcW w:w="475" w:type="pct"/>
            <w:tcBorders>
              <w:top w:val="nil"/>
              <w:left w:val="nil"/>
              <w:bottom w:val="single" w:sz="4" w:space="0" w:color="auto"/>
              <w:right w:val="nil"/>
            </w:tcBorders>
            <w:vAlign w:val="center"/>
          </w:tcPr>
          <w:p w14:paraId="57310627" w14:textId="77777777" w:rsidR="00B11861" w:rsidRPr="00AF7D9D" w:rsidRDefault="00B11861" w:rsidP="00B11861">
            <w:pPr>
              <w:contextualSpacing/>
              <w:jc w:val="center"/>
              <w:rPr>
                <w:rFonts w:eastAsia="Calibri"/>
              </w:rPr>
            </w:pPr>
            <w:r w:rsidRPr="00AF7D9D">
              <w:rPr>
                <w:rFonts w:eastAsia="Calibri"/>
              </w:rPr>
              <w:t>.38**</w:t>
            </w:r>
          </w:p>
        </w:tc>
        <w:tc>
          <w:tcPr>
            <w:tcW w:w="476" w:type="pct"/>
            <w:tcBorders>
              <w:top w:val="nil"/>
              <w:left w:val="nil"/>
              <w:bottom w:val="single" w:sz="4" w:space="0" w:color="auto"/>
              <w:right w:val="nil"/>
            </w:tcBorders>
            <w:vAlign w:val="center"/>
          </w:tcPr>
          <w:p w14:paraId="0EC5E40E" w14:textId="77777777" w:rsidR="00B11861" w:rsidRPr="00AF7D9D" w:rsidRDefault="00B11861" w:rsidP="00B11861">
            <w:pPr>
              <w:contextualSpacing/>
              <w:jc w:val="center"/>
              <w:rPr>
                <w:rFonts w:eastAsia="Calibri"/>
              </w:rPr>
            </w:pPr>
            <w:r w:rsidRPr="00AF7D9D">
              <w:rPr>
                <w:rFonts w:eastAsia="Calibri"/>
              </w:rPr>
              <w:t>-.67</w:t>
            </w:r>
          </w:p>
        </w:tc>
        <w:tc>
          <w:tcPr>
            <w:tcW w:w="173" w:type="pct"/>
            <w:tcBorders>
              <w:top w:val="nil"/>
              <w:left w:val="nil"/>
              <w:bottom w:val="single" w:sz="4" w:space="0" w:color="auto"/>
              <w:right w:val="nil"/>
            </w:tcBorders>
            <w:vAlign w:val="center"/>
          </w:tcPr>
          <w:p w14:paraId="58CAB76A" w14:textId="77777777" w:rsidR="00B11861" w:rsidRPr="00AF7D9D" w:rsidRDefault="00B11861" w:rsidP="00B11861">
            <w:pPr>
              <w:contextualSpacing/>
              <w:jc w:val="center"/>
              <w:rPr>
                <w:rFonts w:eastAsia="Calibri"/>
                <w:i/>
              </w:rPr>
            </w:pPr>
          </w:p>
        </w:tc>
        <w:tc>
          <w:tcPr>
            <w:tcW w:w="476" w:type="pct"/>
            <w:tcBorders>
              <w:top w:val="nil"/>
              <w:left w:val="nil"/>
              <w:bottom w:val="single" w:sz="4" w:space="0" w:color="auto"/>
              <w:right w:val="nil"/>
            </w:tcBorders>
            <w:vAlign w:val="center"/>
          </w:tcPr>
          <w:p w14:paraId="73EB3E89" w14:textId="77777777" w:rsidR="00B11861" w:rsidRPr="00AF7D9D" w:rsidRDefault="00B11861" w:rsidP="00B11861">
            <w:pPr>
              <w:contextualSpacing/>
              <w:jc w:val="center"/>
              <w:rPr>
                <w:rFonts w:eastAsia="Calibri"/>
              </w:rPr>
            </w:pPr>
            <w:r w:rsidRPr="00AF7D9D">
              <w:rPr>
                <w:rFonts w:eastAsia="Calibri"/>
              </w:rPr>
              <w:t>.27**</w:t>
            </w:r>
          </w:p>
        </w:tc>
        <w:tc>
          <w:tcPr>
            <w:tcW w:w="476" w:type="pct"/>
            <w:tcBorders>
              <w:top w:val="nil"/>
              <w:left w:val="nil"/>
              <w:bottom w:val="single" w:sz="4" w:space="0" w:color="auto"/>
              <w:right w:val="nil"/>
            </w:tcBorders>
            <w:vAlign w:val="center"/>
          </w:tcPr>
          <w:p w14:paraId="22CB1697" w14:textId="77777777" w:rsidR="00B11861" w:rsidRPr="00AF7D9D" w:rsidRDefault="00B11861" w:rsidP="00B11861">
            <w:pPr>
              <w:contextualSpacing/>
              <w:jc w:val="center"/>
              <w:rPr>
                <w:rFonts w:eastAsia="Calibri"/>
              </w:rPr>
            </w:pPr>
            <w:r w:rsidRPr="00AF7D9D">
              <w:rPr>
                <w:rFonts w:eastAsia="Calibri"/>
              </w:rPr>
              <w:t>.39</w:t>
            </w:r>
          </w:p>
        </w:tc>
        <w:tc>
          <w:tcPr>
            <w:tcW w:w="475" w:type="pct"/>
            <w:tcBorders>
              <w:top w:val="nil"/>
              <w:left w:val="nil"/>
              <w:bottom w:val="single" w:sz="4" w:space="0" w:color="auto"/>
              <w:right w:val="nil"/>
            </w:tcBorders>
            <w:vAlign w:val="center"/>
          </w:tcPr>
          <w:p w14:paraId="642E6C68" w14:textId="77777777" w:rsidR="00B11861" w:rsidRPr="00AF7D9D" w:rsidRDefault="00C578B7" w:rsidP="00B11861">
            <w:pPr>
              <w:contextualSpacing/>
              <w:jc w:val="center"/>
              <w:rPr>
                <w:rFonts w:eastAsia="Calibri"/>
              </w:rPr>
            </w:pPr>
            <w:r w:rsidRPr="00AF7D9D">
              <w:rPr>
                <w:rFonts w:eastAsia="Calibri"/>
              </w:rPr>
              <w:t>-.61</w:t>
            </w:r>
          </w:p>
        </w:tc>
      </w:tr>
      <w:tr w:rsidR="008E5ADD" w:rsidRPr="00AF7D9D" w14:paraId="40956D53" w14:textId="77777777" w:rsidTr="00FF5C5C">
        <w:trPr>
          <w:trHeight w:val="327"/>
        </w:trPr>
        <w:tc>
          <w:tcPr>
            <w:tcW w:w="1214" w:type="pct"/>
            <w:tcBorders>
              <w:left w:val="nil"/>
              <w:bottom w:val="single" w:sz="4" w:space="0" w:color="auto"/>
              <w:right w:val="nil"/>
            </w:tcBorders>
          </w:tcPr>
          <w:p w14:paraId="2F1EE490" w14:textId="77777777" w:rsidR="00B11861" w:rsidRPr="00AF7D9D" w:rsidRDefault="00B11861" w:rsidP="00B4182B">
            <w:pPr>
              <w:contextualSpacing/>
              <w:rPr>
                <w:rFonts w:eastAsia="Calibri"/>
                <w:b/>
                <w:vertAlign w:val="superscript"/>
              </w:rPr>
            </w:pPr>
            <w:r w:rsidRPr="00AF7D9D">
              <w:rPr>
                <w:rFonts w:eastAsia="Calibri"/>
                <w:b/>
              </w:rPr>
              <w:t>5. Dutch Males</w:t>
            </w:r>
          </w:p>
        </w:tc>
        <w:tc>
          <w:tcPr>
            <w:tcW w:w="604" w:type="pct"/>
            <w:tcBorders>
              <w:top w:val="nil"/>
              <w:left w:val="nil"/>
              <w:bottom w:val="single" w:sz="4" w:space="0" w:color="auto"/>
              <w:right w:val="nil"/>
            </w:tcBorders>
            <w:vAlign w:val="center"/>
          </w:tcPr>
          <w:p w14:paraId="4F3345D3" w14:textId="77777777" w:rsidR="00B11861" w:rsidRPr="00AF7D9D" w:rsidRDefault="00B11861" w:rsidP="00B11861">
            <w:pPr>
              <w:contextualSpacing/>
              <w:jc w:val="center"/>
              <w:rPr>
                <w:rFonts w:eastAsia="Calibri"/>
              </w:rPr>
            </w:pPr>
            <w:r w:rsidRPr="00AF7D9D">
              <w:rPr>
                <w:rFonts w:eastAsia="Calibri"/>
                <w:i/>
              </w:rPr>
              <w:t>n</w:t>
            </w:r>
            <w:r w:rsidRPr="00AF7D9D">
              <w:rPr>
                <w:rFonts w:eastAsia="Calibri"/>
              </w:rPr>
              <w:t xml:space="preserve"> = 298</w:t>
            </w:r>
          </w:p>
        </w:tc>
        <w:tc>
          <w:tcPr>
            <w:tcW w:w="156" w:type="pct"/>
            <w:tcBorders>
              <w:top w:val="nil"/>
              <w:left w:val="nil"/>
              <w:bottom w:val="single" w:sz="4" w:space="0" w:color="auto"/>
              <w:right w:val="nil"/>
            </w:tcBorders>
            <w:vAlign w:val="center"/>
          </w:tcPr>
          <w:p w14:paraId="7D0A7D80" w14:textId="77777777" w:rsidR="00B11861" w:rsidRPr="00AF7D9D" w:rsidRDefault="00B11861" w:rsidP="00B11861">
            <w:pPr>
              <w:contextualSpacing/>
              <w:jc w:val="center"/>
              <w:rPr>
                <w:rFonts w:eastAsia="Calibri"/>
                <w:i/>
              </w:rPr>
            </w:pPr>
          </w:p>
        </w:tc>
        <w:tc>
          <w:tcPr>
            <w:tcW w:w="475" w:type="pct"/>
            <w:tcBorders>
              <w:top w:val="nil"/>
              <w:left w:val="nil"/>
              <w:bottom w:val="single" w:sz="4" w:space="0" w:color="auto"/>
              <w:right w:val="nil"/>
            </w:tcBorders>
            <w:vAlign w:val="center"/>
          </w:tcPr>
          <w:p w14:paraId="167D8D24" w14:textId="77777777" w:rsidR="00B11861" w:rsidRPr="00AF7D9D" w:rsidRDefault="00B11861" w:rsidP="00B11861">
            <w:pPr>
              <w:contextualSpacing/>
              <w:jc w:val="center"/>
              <w:rPr>
                <w:rFonts w:eastAsia="Calibri"/>
              </w:rPr>
            </w:pPr>
            <w:r w:rsidRPr="00AF7D9D">
              <w:rPr>
                <w:rFonts w:eastAsia="Calibri"/>
                <w:i/>
              </w:rPr>
              <w:t>n</w:t>
            </w:r>
            <w:r w:rsidRPr="00AF7D9D">
              <w:rPr>
                <w:rFonts w:eastAsia="Calibri"/>
              </w:rPr>
              <w:t xml:space="preserve"> = 225</w:t>
            </w:r>
          </w:p>
        </w:tc>
        <w:tc>
          <w:tcPr>
            <w:tcW w:w="475" w:type="pct"/>
            <w:tcBorders>
              <w:top w:val="nil"/>
              <w:left w:val="nil"/>
              <w:bottom w:val="single" w:sz="4" w:space="0" w:color="auto"/>
              <w:right w:val="nil"/>
            </w:tcBorders>
            <w:vAlign w:val="center"/>
          </w:tcPr>
          <w:p w14:paraId="699C5872" w14:textId="77777777" w:rsidR="00B11861" w:rsidRPr="00AF7D9D" w:rsidRDefault="00B11861" w:rsidP="00B11861">
            <w:pPr>
              <w:contextualSpacing/>
              <w:jc w:val="center"/>
              <w:rPr>
                <w:rFonts w:eastAsia="Calibri"/>
              </w:rPr>
            </w:pPr>
            <w:r w:rsidRPr="00AF7D9D">
              <w:rPr>
                <w:rFonts w:eastAsia="Calibri"/>
                <w:i/>
              </w:rPr>
              <w:t>n</w:t>
            </w:r>
            <w:r w:rsidRPr="00AF7D9D">
              <w:rPr>
                <w:rFonts w:eastAsia="Calibri"/>
              </w:rPr>
              <w:t xml:space="preserve"> = 73</w:t>
            </w:r>
          </w:p>
        </w:tc>
        <w:tc>
          <w:tcPr>
            <w:tcW w:w="476" w:type="pct"/>
            <w:tcBorders>
              <w:top w:val="nil"/>
              <w:left w:val="nil"/>
              <w:bottom w:val="single" w:sz="4" w:space="0" w:color="auto"/>
              <w:right w:val="nil"/>
            </w:tcBorders>
            <w:vAlign w:val="center"/>
          </w:tcPr>
          <w:p w14:paraId="2DF9FA5C" w14:textId="77777777" w:rsidR="00B11861" w:rsidRPr="00AF7D9D" w:rsidRDefault="00B11861" w:rsidP="00B11861">
            <w:pPr>
              <w:contextualSpacing/>
              <w:jc w:val="center"/>
              <w:rPr>
                <w:rFonts w:eastAsia="Calibri"/>
              </w:rPr>
            </w:pPr>
          </w:p>
        </w:tc>
        <w:tc>
          <w:tcPr>
            <w:tcW w:w="173" w:type="pct"/>
            <w:tcBorders>
              <w:top w:val="nil"/>
              <w:left w:val="nil"/>
              <w:bottom w:val="single" w:sz="4" w:space="0" w:color="auto"/>
              <w:right w:val="nil"/>
            </w:tcBorders>
            <w:vAlign w:val="center"/>
          </w:tcPr>
          <w:p w14:paraId="6A06794E" w14:textId="77777777" w:rsidR="00B11861" w:rsidRPr="00AF7D9D" w:rsidRDefault="00B11861" w:rsidP="00B11861">
            <w:pPr>
              <w:contextualSpacing/>
              <w:jc w:val="center"/>
              <w:rPr>
                <w:rFonts w:eastAsia="Calibri"/>
                <w:i/>
              </w:rPr>
            </w:pPr>
          </w:p>
        </w:tc>
        <w:tc>
          <w:tcPr>
            <w:tcW w:w="476" w:type="pct"/>
            <w:tcBorders>
              <w:top w:val="nil"/>
              <w:left w:val="nil"/>
              <w:bottom w:val="single" w:sz="4" w:space="0" w:color="auto"/>
              <w:right w:val="nil"/>
            </w:tcBorders>
            <w:vAlign w:val="center"/>
          </w:tcPr>
          <w:p w14:paraId="15689608" w14:textId="77777777" w:rsidR="00B11861" w:rsidRPr="00AF7D9D" w:rsidRDefault="00B11861" w:rsidP="00B11861">
            <w:pPr>
              <w:contextualSpacing/>
              <w:jc w:val="center"/>
              <w:rPr>
                <w:rFonts w:eastAsia="Calibri"/>
              </w:rPr>
            </w:pPr>
            <w:r w:rsidRPr="00AF7D9D">
              <w:rPr>
                <w:rFonts w:eastAsia="Calibri"/>
                <w:i/>
              </w:rPr>
              <w:t>n</w:t>
            </w:r>
            <w:r w:rsidRPr="00AF7D9D">
              <w:rPr>
                <w:rFonts w:eastAsia="Calibri"/>
              </w:rPr>
              <w:t xml:space="preserve"> = 254</w:t>
            </w:r>
          </w:p>
        </w:tc>
        <w:tc>
          <w:tcPr>
            <w:tcW w:w="476" w:type="pct"/>
            <w:tcBorders>
              <w:top w:val="nil"/>
              <w:left w:val="nil"/>
              <w:bottom w:val="single" w:sz="4" w:space="0" w:color="auto"/>
              <w:right w:val="nil"/>
            </w:tcBorders>
            <w:vAlign w:val="center"/>
          </w:tcPr>
          <w:p w14:paraId="68506B93" w14:textId="77777777" w:rsidR="00B11861" w:rsidRPr="00AF7D9D" w:rsidRDefault="00B11861" w:rsidP="00B11861">
            <w:pPr>
              <w:contextualSpacing/>
              <w:jc w:val="center"/>
              <w:rPr>
                <w:rFonts w:eastAsia="Calibri"/>
              </w:rPr>
            </w:pPr>
            <w:r w:rsidRPr="00AF7D9D">
              <w:rPr>
                <w:rFonts w:eastAsia="Calibri"/>
                <w:i/>
              </w:rPr>
              <w:t>n</w:t>
            </w:r>
            <w:r w:rsidRPr="00AF7D9D">
              <w:rPr>
                <w:rFonts w:eastAsia="Calibri"/>
              </w:rPr>
              <w:t xml:space="preserve"> = 44</w:t>
            </w:r>
          </w:p>
        </w:tc>
        <w:tc>
          <w:tcPr>
            <w:tcW w:w="475" w:type="pct"/>
            <w:tcBorders>
              <w:top w:val="nil"/>
              <w:left w:val="nil"/>
              <w:bottom w:val="single" w:sz="4" w:space="0" w:color="auto"/>
              <w:right w:val="nil"/>
            </w:tcBorders>
            <w:vAlign w:val="center"/>
          </w:tcPr>
          <w:p w14:paraId="703BC8DB" w14:textId="77777777" w:rsidR="00B11861" w:rsidRPr="00AF7D9D" w:rsidRDefault="00B11861" w:rsidP="00B11861">
            <w:pPr>
              <w:contextualSpacing/>
              <w:jc w:val="center"/>
              <w:rPr>
                <w:rFonts w:eastAsia="Calibri"/>
                <w:i/>
              </w:rPr>
            </w:pPr>
          </w:p>
        </w:tc>
      </w:tr>
      <w:tr w:rsidR="008E5ADD" w:rsidRPr="00AF7D9D" w14:paraId="609FD3DF" w14:textId="77777777" w:rsidTr="00FF5C5C">
        <w:trPr>
          <w:trHeight w:val="327"/>
        </w:trPr>
        <w:tc>
          <w:tcPr>
            <w:tcW w:w="1214" w:type="pct"/>
            <w:tcBorders>
              <w:top w:val="single" w:sz="4" w:space="0" w:color="auto"/>
              <w:left w:val="nil"/>
              <w:bottom w:val="nil"/>
              <w:right w:val="nil"/>
            </w:tcBorders>
          </w:tcPr>
          <w:p w14:paraId="3F8FD50E" w14:textId="77777777" w:rsidR="00B11861" w:rsidRPr="00AF7D9D" w:rsidRDefault="00B11861" w:rsidP="00B4182B">
            <w:pPr>
              <w:contextualSpacing/>
              <w:rPr>
                <w:rFonts w:eastAsia="Calibri"/>
                <w:b/>
              </w:rPr>
            </w:pPr>
            <w:r w:rsidRPr="00AF7D9D">
              <w:rPr>
                <w:rFonts w:eastAsia="Calibri"/>
                <w:b/>
              </w:rPr>
              <w:t xml:space="preserve">   </w:t>
            </w:r>
            <w:r w:rsidRPr="00AF7D9D">
              <w:rPr>
                <w:rFonts w:eastAsia="Calibri"/>
              </w:rPr>
              <w:t>ICL-R Dominance</w:t>
            </w:r>
          </w:p>
        </w:tc>
        <w:tc>
          <w:tcPr>
            <w:tcW w:w="604" w:type="pct"/>
            <w:tcBorders>
              <w:top w:val="single" w:sz="4" w:space="0" w:color="auto"/>
              <w:left w:val="nil"/>
              <w:bottom w:val="nil"/>
              <w:right w:val="nil"/>
            </w:tcBorders>
            <w:vAlign w:val="center"/>
          </w:tcPr>
          <w:p w14:paraId="0BED5401" w14:textId="77777777" w:rsidR="00B11861" w:rsidRPr="00AF7D9D" w:rsidRDefault="00B11861" w:rsidP="00B11861">
            <w:pPr>
              <w:contextualSpacing/>
              <w:jc w:val="center"/>
              <w:rPr>
                <w:rFonts w:eastAsia="Calibri"/>
              </w:rPr>
            </w:pPr>
            <w:r w:rsidRPr="00AF7D9D">
              <w:rPr>
                <w:rFonts w:eastAsia="Calibri"/>
              </w:rPr>
              <w:t>.23**</w:t>
            </w:r>
          </w:p>
        </w:tc>
        <w:tc>
          <w:tcPr>
            <w:tcW w:w="156" w:type="pct"/>
            <w:tcBorders>
              <w:top w:val="single" w:sz="4" w:space="0" w:color="auto"/>
              <w:left w:val="nil"/>
              <w:bottom w:val="nil"/>
              <w:right w:val="nil"/>
            </w:tcBorders>
            <w:vAlign w:val="center"/>
          </w:tcPr>
          <w:p w14:paraId="2ABC5CA4" w14:textId="77777777" w:rsidR="00B11861" w:rsidRPr="00AF7D9D" w:rsidRDefault="00B11861" w:rsidP="00B11861">
            <w:pPr>
              <w:contextualSpacing/>
              <w:jc w:val="center"/>
              <w:rPr>
                <w:rFonts w:eastAsia="Calibri"/>
              </w:rPr>
            </w:pPr>
          </w:p>
        </w:tc>
        <w:tc>
          <w:tcPr>
            <w:tcW w:w="475" w:type="pct"/>
            <w:tcBorders>
              <w:top w:val="single" w:sz="4" w:space="0" w:color="auto"/>
              <w:left w:val="nil"/>
              <w:bottom w:val="nil"/>
              <w:right w:val="nil"/>
            </w:tcBorders>
            <w:vAlign w:val="center"/>
          </w:tcPr>
          <w:p w14:paraId="173AD4D9" w14:textId="77777777" w:rsidR="00B11861" w:rsidRPr="00AF7D9D" w:rsidRDefault="00B11861" w:rsidP="00B11861">
            <w:pPr>
              <w:contextualSpacing/>
              <w:jc w:val="center"/>
              <w:rPr>
                <w:rFonts w:eastAsia="Calibri"/>
              </w:rPr>
            </w:pPr>
            <w:r w:rsidRPr="00AF7D9D">
              <w:rPr>
                <w:rFonts w:eastAsia="Calibri"/>
              </w:rPr>
              <w:t>.26**</w:t>
            </w:r>
          </w:p>
        </w:tc>
        <w:tc>
          <w:tcPr>
            <w:tcW w:w="475" w:type="pct"/>
            <w:tcBorders>
              <w:top w:val="single" w:sz="4" w:space="0" w:color="auto"/>
              <w:left w:val="nil"/>
              <w:bottom w:val="nil"/>
              <w:right w:val="nil"/>
            </w:tcBorders>
            <w:vAlign w:val="center"/>
          </w:tcPr>
          <w:p w14:paraId="4704576F" w14:textId="77777777" w:rsidR="00B11861" w:rsidRPr="00AF7D9D" w:rsidRDefault="00B11861" w:rsidP="00B11861">
            <w:pPr>
              <w:contextualSpacing/>
              <w:jc w:val="center"/>
              <w:rPr>
                <w:rFonts w:eastAsia="Calibri"/>
              </w:rPr>
            </w:pPr>
            <w:r w:rsidRPr="00AF7D9D">
              <w:rPr>
                <w:rFonts w:eastAsia="Calibri"/>
              </w:rPr>
              <w:t>.14</w:t>
            </w:r>
          </w:p>
        </w:tc>
        <w:tc>
          <w:tcPr>
            <w:tcW w:w="476" w:type="pct"/>
            <w:tcBorders>
              <w:top w:val="single" w:sz="4" w:space="0" w:color="auto"/>
              <w:left w:val="nil"/>
              <w:bottom w:val="nil"/>
              <w:right w:val="nil"/>
            </w:tcBorders>
            <w:vAlign w:val="center"/>
          </w:tcPr>
          <w:p w14:paraId="0C9B058F" w14:textId="77777777" w:rsidR="00B11861" w:rsidRPr="00AF7D9D" w:rsidRDefault="00B11861" w:rsidP="00B11861">
            <w:pPr>
              <w:contextualSpacing/>
              <w:jc w:val="center"/>
              <w:rPr>
                <w:rFonts w:eastAsia="Calibri"/>
              </w:rPr>
            </w:pPr>
            <w:r w:rsidRPr="00AF7D9D">
              <w:rPr>
                <w:rFonts w:eastAsia="Calibri"/>
              </w:rPr>
              <w:t>.91</w:t>
            </w:r>
          </w:p>
        </w:tc>
        <w:tc>
          <w:tcPr>
            <w:tcW w:w="173" w:type="pct"/>
            <w:tcBorders>
              <w:top w:val="single" w:sz="4" w:space="0" w:color="auto"/>
              <w:left w:val="nil"/>
              <w:bottom w:val="nil"/>
              <w:right w:val="nil"/>
            </w:tcBorders>
            <w:vAlign w:val="center"/>
          </w:tcPr>
          <w:p w14:paraId="3230F653" w14:textId="77777777" w:rsidR="00B11861" w:rsidRPr="00AF7D9D" w:rsidRDefault="00B11861" w:rsidP="00B11861">
            <w:pPr>
              <w:contextualSpacing/>
              <w:jc w:val="center"/>
              <w:rPr>
                <w:rFonts w:eastAsia="Calibri"/>
              </w:rPr>
            </w:pPr>
          </w:p>
        </w:tc>
        <w:tc>
          <w:tcPr>
            <w:tcW w:w="476" w:type="pct"/>
            <w:tcBorders>
              <w:top w:val="single" w:sz="4" w:space="0" w:color="auto"/>
              <w:left w:val="nil"/>
              <w:bottom w:val="nil"/>
              <w:right w:val="nil"/>
            </w:tcBorders>
            <w:vAlign w:val="center"/>
          </w:tcPr>
          <w:p w14:paraId="1B668A8C" w14:textId="77777777" w:rsidR="00B11861" w:rsidRPr="00AF7D9D" w:rsidRDefault="00B11861" w:rsidP="00B11861">
            <w:pPr>
              <w:contextualSpacing/>
              <w:jc w:val="center"/>
              <w:rPr>
                <w:rFonts w:eastAsia="Calibri"/>
              </w:rPr>
            </w:pPr>
            <w:r w:rsidRPr="00AF7D9D">
              <w:rPr>
                <w:rFonts w:eastAsia="Calibri"/>
              </w:rPr>
              <w:t>.26**</w:t>
            </w:r>
          </w:p>
        </w:tc>
        <w:tc>
          <w:tcPr>
            <w:tcW w:w="476" w:type="pct"/>
            <w:tcBorders>
              <w:top w:val="single" w:sz="4" w:space="0" w:color="auto"/>
              <w:left w:val="nil"/>
              <w:bottom w:val="nil"/>
              <w:right w:val="nil"/>
            </w:tcBorders>
            <w:vAlign w:val="center"/>
          </w:tcPr>
          <w:p w14:paraId="47DDDFC5" w14:textId="77777777" w:rsidR="00B11861" w:rsidRPr="00AF7D9D" w:rsidRDefault="00B11861" w:rsidP="00B11861">
            <w:pPr>
              <w:contextualSpacing/>
              <w:jc w:val="center"/>
              <w:rPr>
                <w:rFonts w:eastAsia="Calibri"/>
              </w:rPr>
            </w:pPr>
            <w:r w:rsidRPr="00AF7D9D">
              <w:rPr>
                <w:rFonts w:eastAsia="Calibri"/>
              </w:rPr>
              <w:t>.09</w:t>
            </w:r>
          </w:p>
        </w:tc>
        <w:tc>
          <w:tcPr>
            <w:tcW w:w="475" w:type="pct"/>
            <w:tcBorders>
              <w:top w:val="single" w:sz="4" w:space="0" w:color="auto"/>
              <w:left w:val="nil"/>
              <w:bottom w:val="nil"/>
              <w:right w:val="nil"/>
            </w:tcBorders>
            <w:vAlign w:val="center"/>
          </w:tcPr>
          <w:p w14:paraId="25DE6A46" w14:textId="77777777" w:rsidR="00B11861" w:rsidRPr="00AF7D9D" w:rsidRDefault="00C578B7" w:rsidP="00B11861">
            <w:pPr>
              <w:contextualSpacing/>
              <w:jc w:val="center"/>
              <w:rPr>
                <w:rFonts w:eastAsia="Calibri"/>
              </w:rPr>
            </w:pPr>
            <w:r w:rsidRPr="00AF7D9D">
              <w:rPr>
                <w:rFonts w:eastAsia="Calibri"/>
              </w:rPr>
              <w:t>1.04</w:t>
            </w:r>
          </w:p>
        </w:tc>
      </w:tr>
      <w:tr w:rsidR="008E5ADD" w:rsidRPr="00AF7D9D" w14:paraId="6D68BF03" w14:textId="77777777" w:rsidTr="00FF5C5C">
        <w:trPr>
          <w:trHeight w:val="327"/>
        </w:trPr>
        <w:tc>
          <w:tcPr>
            <w:tcW w:w="1214" w:type="pct"/>
            <w:tcBorders>
              <w:top w:val="nil"/>
              <w:left w:val="nil"/>
              <w:bottom w:val="nil"/>
              <w:right w:val="nil"/>
            </w:tcBorders>
          </w:tcPr>
          <w:p w14:paraId="6E90070C" w14:textId="77777777" w:rsidR="00B11861" w:rsidRPr="00AF7D9D" w:rsidRDefault="00B11861" w:rsidP="00B4182B">
            <w:pPr>
              <w:contextualSpacing/>
              <w:rPr>
                <w:rFonts w:eastAsia="Calibri"/>
              </w:rPr>
            </w:pPr>
            <w:r w:rsidRPr="00AF7D9D">
              <w:rPr>
                <w:rFonts w:eastAsia="Calibri"/>
                <w:b/>
              </w:rPr>
              <w:t xml:space="preserve">   </w:t>
            </w:r>
            <w:r w:rsidRPr="00AF7D9D">
              <w:rPr>
                <w:rFonts w:eastAsia="Calibri"/>
              </w:rPr>
              <w:t>ICL-R Affiliation</w:t>
            </w:r>
          </w:p>
        </w:tc>
        <w:tc>
          <w:tcPr>
            <w:tcW w:w="604" w:type="pct"/>
            <w:tcBorders>
              <w:top w:val="nil"/>
              <w:left w:val="nil"/>
              <w:bottom w:val="nil"/>
              <w:right w:val="nil"/>
            </w:tcBorders>
            <w:vAlign w:val="center"/>
          </w:tcPr>
          <w:p w14:paraId="266B4CEC" w14:textId="77777777" w:rsidR="00B11861" w:rsidRPr="00AF7D9D" w:rsidRDefault="00B11861" w:rsidP="00B11861">
            <w:pPr>
              <w:contextualSpacing/>
              <w:jc w:val="center"/>
              <w:rPr>
                <w:rFonts w:eastAsia="Calibri"/>
              </w:rPr>
            </w:pPr>
            <w:r w:rsidRPr="00AF7D9D">
              <w:rPr>
                <w:rFonts w:eastAsia="Calibri"/>
              </w:rPr>
              <w:t>-.23**</w:t>
            </w:r>
          </w:p>
        </w:tc>
        <w:tc>
          <w:tcPr>
            <w:tcW w:w="156" w:type="pct"/>
            <w:tcBorders>
              <w:top w:val="nil"/>
              <w:left w:val="nil"/>
              <w:bottom w:val="nil"/>
              <w:right w:val="nil"/>
            </w:tcBorders>
            <w:vAlign w:val="center"/>
          </w:tcPr>
          <w:p w14:paraId="7D72D36C" w14:textId="77777777" w:rsidR="00B11861" w:rsidRPr="00AF7D9D" w:rsidRDefault="00B11861" w:rsidP="00B11861">
            <w:pPr>
              <w:contextualSpacing/>
              <w:jc w:val="center"/>
              <w:rPr>
                <w:rFonts w:eastAsia="Calibri"/>
              </w:rPr>
            </w:pPr>
          </w:p>
        </w:tc>
        <w:tc>
          <w:tcPr>
            <w:tcW w:w="475" w:type="pct"/>
            <w:tcBorders>
              <w:top w:val="nil"/>
              <w:left w:val="nil"/>
              <w:bottom w:val="nil"/>
              <w:right w:val="nil"/>
            </w:tcBorders>
            <w:vAlign w:val="center"/>
          </w:tcPr>
          <w:p w14:paraId="3925C055" w14:textId="77777777" w:rsidR="00B11861" w:rsidRPr="00AF7D9D" w:rsidRDefault="00B11861" w:rsidP="00B11861">
            <w:pPr>
              <w:contextualSpacing/>
              <w:jc w:val="center"/>
              <w:rPr>
                <w:rFonts w:eastAsia="Calibri"/>
              </w:rPr>
            </w:pPr>
            <w:r w:rsidRPr="00AF7D9D">
              <w:rPr>
                <w:rFonts w:eastAsia="Calibri"/>
              </w:rPr>
              <w:t>-.29**</w:t>
            </w:r>
          </w:p>
        </w:tc>
        <w:tc>
          <w:tcPr>
            <w:tcW w:w="475" w:type="pct"/>
            <w:tcBorders>
              <w:top w:val="nil"/>
              <w:left w:val="nil"/>
              <w:bottom w:val="nil"/>
              <w:right w:val="nil"/>
            </w:tcBorders>
            <w:vAlign w:val="center"/>
          </w:tcPr>
          <w:p w14:paraId="78505E82" w14:textId="77777777" w:rsidR="00B11861" w:rsidRPr="00AF7D9D" w:rsidRDefault="00B11861" w:rsidP="00B11861">
            <w:pPr>
              <w:contextualSpacing/>
              <w:jc w:val="center"/>
              <w:rPr>
                <w:rFonts w:eastAsia="Calibri"/>
              </w:rPr>
            </w:pPr>
            <w:r w:rsidRPr="00AF7D9D">
              <w:rPr>
                <w:rFonts w:eastAsia="Calibri"/>
              </w:rPr>
              <w:t>.02</w:t>
            </w:r>
          </w:p>
        </w:tc>
        <w:tc>
          <w:tcPr>
            <w:tcW w:w="476" w:type="pct"/>
            <w:tcBorders>
              <w:top w:val="nil"/>
              <w:left w:val="nil"/>
              <w:bottom w:val="nil"/>
              <w:right w:val="nil"/>
            </w:tcBorders>
            <w:vAlign w:val="center"/>
          </w:tcPr>
          <w:p w14:paraId="3E469511" w14:textId="77777777" w:rsidR="00B11861" w:rsidRPr="00AF7D9D" w:rsidRDefault="00B11861" w:rsidP="00B11861">
            <w:pPr>
              <w:contextualSpacing/>
              <w:jc w:val="center"/>
              <w:rPr>
                <w:rFonts w:eastAsia="Calibri"/>
              </w:rPr>
            </w:pPr>
            <w:r w:rsidRPr="00AF7D9D">
              <w:rPr>
                <w:rFonts w:eastAsia="Calibri"/>
              </w:rPr>
              <w:t>-2.32*</w:t>
            </w:r>
          </w:p>
        </w:tc>
        <w:tc>
          <w:tcPr>
            <w:tcW w:w="173" w:type="pct"/>
            <w:tcBorders>
              <w:top w:val="nil"/>
              <w:left w:val="nil"/>
              <w:bottom w:val="nil"/>
              <w:right w:val="nil"/>
            </w:tcBorders>
            <w:vAlign w:val="center"/>
          </w:tcPr>
          <w:p w14:paraId="34D1801F" w14:textId="77777777" w:rsidR="00B11861" w:rsidRPr="00AF7D9D" w:rsidRDefault="00B11861" w:rsidP="00B11861">
            <w:pPr>
              <w:contextualSpacing/>
              <w:jc w:val="center"/>
              <w:rPr>
                <w:rFonts w:eastAsia="Calibri"/>
              </w:rPr>
            </w:pPr>
          </w:p>
        </w:tc>
        <w:tc>
          <w:tcPr>
            <w:tcW w:w="476" w:type="pct"/>
            <w:tcBorders>
              <w:top w:val="nil"/>
              <w:left w:val="nil"/>
              <w:bottom w:val="nil"/>
              <w:right w:val="nil"/>
            </w:tcBorders>
            <w:vAlign w:val="center"/>
          </w:tcPr>
          <w:p w14:paraId="642D0205" w14:textId="77777777" w:rsidR="00B11861" w:rsidRPr="00AF7D9D" w:rsidRDefault="00B11861" w:rsidP="00B11861">
            <w:pPr>
              <w:contextualSpacing/>
              <w:jc w:val="center"/>
              <w:rPr>
                <w:rFonts w:eastAsia="Calibri"/>
              </w:rPr>
            </w:pPr>
            <w:r w:rsidRPr="00AF7D9D">
              <w:rPr>
                <w:rFonts w:eastAsia="Calibri"/>
              </w:rPr>
              <w:t>-.25**</w:t>
            </w:r>
          </w:p>
        </w:tc>
        <w:tc>
          <w:tcPr>
            <w:tcW w:w="476" w:type="pct"/>
            <w:tcBorders>
              <w:top w:val="nil"/>
              <w:left w:val="nil"/>
              <w:bottom w:val="nil"/>
              <w:right w:val="nil"/>
            </w:tcBorders>
            <w:vAlign w:val="center"/>
          </w:tcPr>
          <w:p w14:paraId="2DB37513" w14:textId="77777777" w:rsidR="00B11861" w:rsidRPr="00AF7D9D" w:rsidRDefault="00B11861" w:rsidP="00B11861">
            <w:pPr>
              <w:contextualSpacing/>
              <w:jc w:val="center"/>
              <w:rPr>
                <w:rFonts w:eastAsia="Calibri"/>
              </w:rPr>
            </w:pPr>
            <w:r w:rsidRPr="00AF7D9D">
              <w:rPr>
                <w:rFonts w:eastAsia="Calibri"/>
              </w:rPr>
              <w:t>-.01</w:t>
            </w:r>
          </w:p>
        </w:tc>
        <w:tc>
          <w:tcPr>
            <w:tcW w:w="475" w:type="pct"/>
            <w:tcBorders>
              <w:top w:val="nil"/>
              <w:left w:val="nil"/>
              <w:bottom w:val="nil"/>
              <w:right w:val="nil"/>
            </w:tcBorders>
            <w:vAlign w:val="center"/>
          </w:tcPr>
          <w:p w14:paraId="589F2C06" w14:textId="77777777" w:rsidR="00B11861" w:rsidRPr="00AF7D9D" w:rsidRDefault="00C578B7" w:rsidP="00B11861">
            <w:pPr>
              <w:contextualSpacing/>
              <w:jc w:val="center"/>
              <w:rPr>
                <w:rFonts w:eastAsia="Calibri"/>
              </w:rPr>
            </w:pPr>
            <w:r w:rsidRPr="00AF7D9D">
              <w:rPr>
                <w:rFonts w:eastAsia="Calibri"/>
              </w:rPr>
              <w:t>-1.46</w:t>
            </w:r>
          </w:p>
        </w:tc>
      </w:tr>
      <w:tr w:rsidR="008E5ADD" w:rsidRPr="00AF7D9D" w14:paraId="14433416" w14:textId="77777777" w:rsidTr="00FF5C5C">
        <w:trPr>
          <w:trHeight w:val="327"/>
        </w:trPr>
        <w:tc>
          <w:tcPr>
            <w:tcW w:w="1214" w:type="pct"/>
            <w:tcBorders>
              <w:top w:val="nil"/>
              <w:left w:val="nil"/>
              <w:bottom w:val="nil"/>
              <w:right w:val="nil"/>
            </w:tcBorders>
          </w:tcPr>
          <w:p w14:paraId="6674D850" w14:textId="77777777" w:rsidR="00B11861" w:rsidRPr="00AF7D9D" w:rsidRDefault="00B11861" w:rsidP="00B4182B">
            <w:pPr>
              <w:contextualSpacing/>
              <w:rPr>
                <w:rFonts w:eastAsia="Calibri"/>
              </w:rPr>
            </w:pPr>
            <w:r w:rsidRPr="00AF7D9D">
              <w:rPr>
                <w:rFonts w:eastAsia="Calibri"/>
                <w:b/>
              </w:rPr>
              <w:t xml:space="preserve">   </w:t>
            </w:r>
            <w:r w:rsidRPr="00AF7D9D">
              <w:rPr>
                <w:rFonts w:eastAsia="Calibri"/>
              </w:rPr>
              <w:t>DUDIT Total</w:t>
            </w:r>
          </w:p>
        </w:tc>
        <w:tc>
          <w:tcPr>
            <w:tcW w:w="604" w:type="pct"/>
            <w:tcBorders>
              <w:top w:val="nil"/>
              <w:left w:val="nil"/>
              <w:bottom w:val="nil"/>
              <w:right w:val="nil"/>
            </w:tcBorders>
            <w:vAlign w:val="center"/>
          </w:tcPr>
          <w:p w14:paraId="2B9B6994" w14:textId="77777777" w:rsidR="00B11861" w:rsidRPr="00AF7D9D" w:rsidRDefault="00B11861" w:rsidP="00B11861">
            <w:pPr>
              <w:contextualSpacing/>
              <w:jc w:val="center"/>
              <w:rPr>
                <w:rFonts w:eastAsia="Calibri"/>
              </w:rPr>
            </w:pPr>
            <w:r w:rsidRPr="00AF7D9D">
              <w:rPr>
                <w:rFonts w:eastAsia="Calibri"/>
              </w:rPr>
              <w:t>.24**</w:t>
            </w:r>
          </w:p>
        </w:tc>
        <w:tc>
          <w:tcPr>
            <w:tcW w:w="156" w:type="pct"/>
            <w:tcBorders>
              <w:top w:val="nil"/>
              <w:left w:val="nil"/>
              <w:bottom w:val="nil"/>
              <w:right w:val="nil"/>
            </w:tcBorders>
            <w:vAlign w:val="center"/>
          </w:tcPr>
          <w:p w14:paraId="042E178E" w14:textId="77777777" w:rsidR="00B11861" w:rsidRPr="00AF7D9D" w:rsidRDefault="00B11861" w:rsidP="00B11861">
            <w:pPr>
              <w:contextualSpacing/>
              <w:jc w:val="center"/>
              <w:rPr>
                <w:rFonts w:eastAsia="Calibri"/>
              </w:rPr>
            </w:pPr>
          </w:p>
        </w:tc>
        <w:tc>
          <w:tcPr>
            <w:tcW w:w="475" w:type="pct"/>
            <w:tcBorders>
              <w:top w:val="nil"/>
              <w:left w:val="nil"/>
              <w:bottom w:val="nil"/>
              <w:right w:val="nil"/>
            </w:tcBorders>
            <w:vAlign w:val="center"/>
          </w:tcPr>
          <w:p w14:paraId="774A4C51" w14:textId="77777777" w:rsidR="00B11861" w:rsidRPr="00AF7D9D" w:rsidRDefault="00B11861" w:rsidP="00B11861">
            <w:pPr>
              <w:contextualSpacing/>
              <w:jc w:val="center"/>
              <w:rPr>
                <w:rFonts w:eastAsia="Calibri"/>
              </w:rPr>
            </w:pPr>
            <w:r w:rsidRPr="00AF7D9D">
              <w:rPr>
                <w:rFonts w:eastAsia="Calibri"/>
              </w:rPr>
              <w:t>.26**</w:t>
            </w:r>
          </w:p>
        </w:tc>
        <w:tc>
          <w:tcPr>
            <w:tcW w:w="475" w:type="pct"/>
            <w:tcBorders>
              <w:top w:val="nil"/>
              <w:left w:val="nil"/>
              <w:bottom w:val="nil"/>
              <w:right w:val="nil"/>
            </w:tcBorders>
            <w:vAlign w:val="center"/>
          </w:tcPr>
          <w:p w14:paraId="785EC64B" w14:textId="77777777" w:rsidR="00B11861" w:rsidRPr="00AF7D9D" w:rsidRDefault="00B11861" w:rsidP="00B11861">
            <w:pPr>
              <w:contextualSpacing/>
              <w:jc w:val="center"/>
              <w:rPr>
                <w:rFonts w:eastAsia="Calibri"/>
              </w:rPr>
            </w:pPr>
            <w:r w:rsidRPr="00AF7D9D">
              <w:rPr>
                <w:rFonts w:eastAsia="Calibri"/>
              </w:rPr>
              <w:t>.18</w:t>
            </w:r>
          </w:p>
        </w:tc>
        <w:tc>
          <w:tcPr>
            <w:tcW w:w="476" w:type="pct"/>
            <w:tcBorders>
              <w:top w:val="nil"/>
              <w:left w:val="nil"/>
              <w:bottom w:val="nil"/>
              <w:right w:val="nil"/>
            </w:tcBorders>
            <w:vAlign w:val="center"/>
          </w:tcPr>
          <w:p w14:paraId="66EA29A6" w14:textId="77777777" w:rsidR="00B11861" w:rsidRPr="00AF7D9D" w:rsidRDefault="00B11861" w:rsidP="00B11861">
            <w:pPr>
              <w:contextualSpacing/>
              <w:jc w:val="center"/>
              <w:rPr>
                <w:rFonts w:eastAsia="Calibri"/>
              </w:rPr>
            </w:pPr>
            <w:r w:rsidRPr="00AF7D9D">
              <w:rPr>
                <w:rFonts w:eastAsia="Calibri"/>
              </w:rPr>
              <w:t>.61</w:t>
            </w:r>
          </w:p>
        </w:tc>
        <w:tc>
          <w:tcPr>
            <w:tcW w:w="173" w:type="pct"/>
            <w:tcBorders>
              <w:top w:val="nil"/>
              <w:left w:val="nil"/>
              <w:bottom w:val="nil"/>
              <w:right w:val="nil"/>
            </w:tcBorders>
            <w:vAlign w:val="center"/>
          </w:tcPr>
          <w:p w14:paraId="404CAFA1" w14:textId="77777777" w:rsidR="00B11861" w:rsidRPr="00AF7D9D" w:rsidRDefault="00B11861" w:rsidP="00B11861">
            <w:pPr>
              <w:contextualSpacing/>
              <w:jc w:val="center"/>
              <w:rPr>
                <w:rFonts w:eastAsia="Calibri"/>
              </w:rPr>
            </w:pPr>
          </w:p>
        </w:tc>
        <w:tc>
          <w:tcPr>
            <w:tcW w:w="476" w:type="pct"/>
            <w:tcBorders>
              <w:top w:val="nil"/>
              <w:left w:val="nil"/>
              <w:bottom w:val="nil"/>
              <w:right w:val="nil"/>
            </w:tcBorders>
            <w:vAlign w:val="center"/>
          </w:tcPr>
          <w:p w14:paraId="58FA83A9" w14:textId="77777777" w:rsidR="00B11861" w:rsidRPr="00AF7D9D" w:rsidRDefault="00B11861" w:rsidP="00B11861">
            <w:pPr>
              <w:contextualSpacing/>
              <w:jc w:val="center"/>
              <w:rPr>
                <w:rFonts w:eastAsia="Calibri"/>
              </w:rPr>
            </w:pPr>
            <w:r w:rsidRPr="00AF7D9D">
              <w:rPr>
                <w:rFonts w:eastAsia="Calibri"/>
              </w:rPr>
              <w:t>.22**</w:t>
            </w:r>
          </w:p>
        </w:tc>
        <w:tc>
          <w:tcPr>
            <w:tcW w:w="476" w:type="pct"/>
            <w:tcBorders>
              <w:top w:val="nil"/>
              <w:left w:val="nil"/>
              <w:bottom w:val="nil"/>
              <w:right w:val="nil"/>
            </w:tcBorders>
            <w:vAlign w:val="center"/>
          </w:tcPr>
          <w:p w14:paraId="1D99D1DF" w14:textId="77777777" w:rsidR="00B11861" w:rsidRPr="00AF7D9D" w:rsidRDefault="00B11861" w:rsidP="00B11861">
            <w:pPr>
              <w:contextualSpacing/>
              <w:jc w:val="center"/>
              <w:rPr>
                <w:rFonts w:eastAsia="Calibri"/>
              </w:rPr>
            </w:pPr>
            <w:r w:rsidRPr="00AF7D9D">
              <w:rPr>
                <w:rFonts w:eastAsia="Calibri"/>
              </w:rPr>
              <w:t>.27</w:t>
            </w:r>
          </w:p>
        </w:tc>
        <w:tc>
          <w:tcPr>
            <w:tcW w:w="475" w:type="pct"/>
            <w:tcBorders>
              <w:top w:val="nil"/>
              <w:left w:val="nil"/>
              <w:bottom w:val="nil"/>
              <w:right w:val="nil"/>
            </w:tcBorders>
            <w:vAlign w:val="center"/>
          </w:tcPr>
          <w:p w14:paraId="31152BEF" w14:textId="77777777" w:rsidR="00B11861" w:rsidRPr="00AF7D9D" w:rsidRDefault="00C578B7" w:rsidP="00B11861">
            <w:pPr>
              <w:contextualSpacing/>
              <w:jc w:val="center"/>
              <w:rPr>
                <w:rFonts w:eastAsia="Calibri"/>
              </w:rPr>
            </w:pPr>
            <w:r w:rsidRPr="00AF7D9D">
              <w:rPr>
                <w:rFonts w:eastAsia="Calibri"/>
              </w:rPr>
              <w:t>-.32</w:t>
            </w:r>
          </w:p>
        </w:tc>
      </w:tr>
      <w:tr w:rsidR="008E5ADD" w:rsidRPr="00AF7D9D" w14:paraId="4A5EE17F" w14:textId="77777777" w:rsidTr="00FF5C5C">
        <w:trPr>
          <w:trHeight w:val="327"/>
        </w:trPr>
        <w:tc>
          <w:tcPr>
            <w:tcW w:w="1214" w:type="pct"/>
            <w:tcBorders>
              <w:top w:val="nil"/>
              <w:left w:val="nil"/>
              <w:bottom w:val="nil"/>
              <w:right w:val="nil"/>
            </w:tcBorders>
          </w:tcPr>
          <w:p w14:paraId="7131F5AC" w14:textId="77777777" w:rsidR="00B11861" w:rsidRPr="00AF7D9D" w:rsidRDefault="00B11861" w:rsidP="00B4182B">
            <w:pPr>
              <w:contextualSpacing/>
              <w:rPr>
                <w:rFonts w:eastAsia="Calibri"/>
              </w:rPr>
            </w:pPr>
            <w:r w:rsidRPr="00AF7D9D">
              <w:rPr>
                <w:rFonts w:eastAsia="Calibri"/>
                <w:b/>
              </w:rPr>
              <w:t xml:space="preserve">   </w:t>
            </w:r>
            <w:r w:rsidRPr="00AF7D9D">
              <w:rPr>
                <w:rFonts w:eastAsia="Calibri"/>
              </w:rPr>
              <w:t>SAU</w:t>
            </w:r>
          </w:p>
        </w:tc>
        <w:tc>
          <w:tcPr>
            <w:tcW w:w="604" w:type="pct"/>
            <w:tcBorders>
              <w:top w:val="nil"/>
              <w:left w:val="nil"/>
              <w:bottom w:val="nil"/>
              <w:right w:val="nil"/>
            </w:tcBorders>
            <w:vAlign w:val="center"/>
          </w:tcPr>
          <w:p w14:paraId="24AAC4D7" w14:textId="77777777" w:rsidR="00B11861" w:rsidRPr="00AF7D9D" w:rsidRDefault="00B11861" w:rsidP="00B11861">
            <w:pPr>
              <w:contextualSpacing/>
              <w:jc w:val="center"/>
              <w:rPr>
                <w:rFonts w:eastAsia="Calibri"/>
              </w:rPr>
            </w:pPr>
            <w:r w:rsidRPr="00AF7D9D">
              <w:rPr>
                <w:rFonts w:eastAsia="Calibri"/>
              </w:rPr>
              <w:t>.23**</w:t>
            </w:r>
          </w:p>
        </w:tc>
        <w:tc>
          <w:tcPr>
            <w:tcW w:w="156" w:type="pct"/>
            <w:tcBorders>
              <w:top w:val="nil"/>
              <w:left w:val="nil"/>
              <w:bottom w:val="nil"/>
              <w:right w:val="nil"/>
            </w:tcBorders>
            <w:vAlign w:val="center"/>
          </w:tcPr>
          <w:p w14:paraId="464E4199" w14:textId="77777777" w:rsidR="00B11861" w:rsidRPr="00AF7D9D" w:rsidRDefault="00B11861" w:rsidP="00B11861">
            <w:pPr>
              <w:contextualSpacing/>
              <w:jc w:val="center"/>
              <w:rPr>
                <w:rFonts w:eastAsia="Calibri"/>
              </w:rPr>
            </w:pPr>
          </w:p>
        </w:tc>
        <w:tc>
          <w:tcPr>
            <w:tcW w:w="475" w:type="pct"/>
            <w:tcBorders>
              <w:top w:val="nil"/>
              <w:left w:val="nil"/>
              <w:bottom w:val="nil"/>
              <w:right w:val="nil"/>
            </w:tcBorders>
            <w:vAlign w:val="center"/>
          </w:tcPr>
          <w:p w14:paraId="43376E16" w14:textId="77777777" w:rsidR="00B11861" w:rsidRPr="00AF7D9D" w:rsidRDefault="00B11861" w:rsidP="00B11861">
            <w:pPr>
              <w:contextualSpacing/>
              <w:jc w:val="center"/>
              <w:rPr>
                <w:rFonts w:eastAsia="Calibri"/>
              </w:rPr>
            </w:pPr>
            <w:r w:rsidRPr="00AF7D9D">
              <w:rPr>
                <w:rFonts w:eastAsia="Calibri"/>
              </w:rPr>
              <w:t>.18**</w:t>
            </w:r>
          </w:p>
        </w:tc>
        <w:tc>
          <w:tcPr>
            <w:tcW w:w="475" w:type="pct"/>
            <w:tcBorders>
              <w:top w:val="nil"/>
              <w:left w:val="nil"/>
              <w:bottom w:val="nil"/>
              <w:right w:val="nil"/>
            </w:tcBorders>
            <w:vAlign w:val="center"/>
          </w:tcPr>
          <w:p w14:paraId="40872439" w14:textId="77777777" w:rsidR="00B11861" w:rsidRPr="00AF7D9D" w:rsidRDefault="00B11861" w:rsidP="00B11861">
            <w:pPr>
              <w:contextualSpacing/>
              <w:jc w:val="center"/>
              <w:rPr>
                <w:rFonts w:eastAsia="Calibri"/>
              </w:rPr>
            </w:pPr>
            <w:r w:rsidRPr="00AF7D9D">
              <w:rPr>
                <w:rFonts w:eastAsia="Calibri"/>
              </w:rPr>
              <w:t>.27*</w:t>
            </w:r>
          </w:p>
        </w:tc>
        <w:tc>
          <w:tcPr>
            <w:tcW w:w="476" w:type="pct"/>
            <w:tcBorders>
              <w:top w:val="nil"/>
              <w:left w:val="nil"/>
              <w:bottom w:val="nil"/>
              <w:right w:val="nil"/>
            </w:tcBorders>
            <w:vAlign w:val="center"/>
          </w:tcPr>
          <w:p w14:paraId="1B857D92" w14:textId="77777777" w:rsidR="00B11861" w:rsidRPr="00AF7D9D" w:rsidRDefault="00B11861" w:rsidP="00B11861">
            <w:pPr>
              <w:contextualSpacing/>
              <w:jc w:val="center"/>
              <w:rPr>
                <w:rFonts w:eastAsia="Calibri"/>
              </w:rPr>
            </w:pPr>
            <w:r w:rsidRPr="00AF7D9D">
              <w:rPr>
                <w:rFonts w:eastAsia="Calibri"/>
              </w:rPr>
              <w:t>-.69</w:t>
            </w:r>
          </w:p>
        </w:tc>
        <w:tc>
          <w:tcPr>
            <w:tcW w:w="173" w:type="pct"/>
            <w:tcBorders>
              <w:top w:val="nil"/>
              <w:left w:val="nil"/>
              <w:bottom w:val="nil"/>
              <w:right w:val="nil"/>
            </w:tcBorders>
            <w:vAlign w:val="center"/>
          </w:tcPr>
          <w:p w14:paraId="6B2EFBDD" w14:textId="77777777" w:rsidR="00B11861" w:rsidRPr="00AF7D9D" w:rsidRDefault="00B11861" w:rsidP="00B11861">
            <w:pPr>
              <w:contextualSpacing/>
              <w:jc w:val="center"/>
              <w:rPr>
                <w:rFonts w:eastAsia="Calibri"/>
              </w:rPr>
            </w:pPr>
          </w:p>
        </w:tc>
        <w:tc>
          <w:tcPr>
            <w:tcW w:w="476" w:type="pct"/>
            <w:tcBorders>
              <w:top w:val="nil"/>
              <w:left w:val="nil"/>
              <w:bottom w:val="nil"/>
              <w:right w:val="nil"/>
            </w:tcBorders>
            <w:vAlign w:val="center"/>
          </w:tcPr>
          <w:p w14:paraId="04814579" w14:textId="77777777" w:rsidR="00B11861" w:rsidRPr="00AF7D9D" w:rsidRDefault="00B11861" w:rsidP="00B11861">
            <w:pPr>
              <w:contextualSpacing/>
              <w:jc w:val="center"/>
              <w:rPr>
                <w:rFonts w:eastAsia="Calibri"/>
              </w:rPr>
            </w:pPr>
            <w:r w:rsidRPr="00AF7D9D">
              <w:rPr>
                <w:rFonts w:eastAsia="Calibri"/>
              </w:rPr>
              <w:t>.19**</w:t>
            </w:r>
          </w:p>
        </w:tc>
        <w:tc>
          <w:tcPr>
            <w:tcW w:w="476" w:type="pct"/>
            <w:tcBorders>
              <w:top w:val="nil"/>
              <w:left w:val="nil"/>
              <w:bottom w:val="nil"/>
              <w:right w:val="nil"/>
            </w:tcBorders>
            <w:vAlign w:val="center"/>
          </w:tcPr>
          <w:p w14:paraId="6E52F3EB" w14:textId="77777777" w:rsidR="00B11861" w:rsidRPr="00AF7D9D" w:rsidRDefault="00B11861" w:rsidP="00B11861">
            <w:pPr>
              <w:contextualSpacing/>
              <w:jc w:val="center"/>
              <w:rPr>
                <w:rFonts w:eastAsia="Calibri"/>
              </w:rPr>
            </w:pPr>
            <w:r w:rsidRPr="00AF7D9D">
              <w:rPr>
                <w:rFonts w:eastAsia="Calibri"/>
              </w:rPr>
              <w:t>.25</w:t>
            </w:r>
          </w:p>
        </w:tc>
        <w:tc>
          <w:tcPr>
            <w:tcW w:w="475" w:type="pct"/>
            <w:tcBorders>
              <w:top w:val="nil"/>
              <w:left w:val="nil"/>
              <w:bottom w:val="nil"/>
              <w:right w:val="nil"/>
            </w:tcBorders>
            <w:vAlign w:val="center"/>
          </w:tcPr>
          <w:p w14:paraId="7F646AB7" w14:textId="77777777" w:rsidR="00B11861" w:rsidRPr="00AF7D9D" w:rsidRDefault="00C578B7" w:rsidP="00B11861">
            <w:pPr>
              <w:contextualSpacing/>
              <w:jc w:val="center"/>
              <w:rPr>
                <w:rFonts w:eastAsia="Calibri"/>
              </w:rPr>
            </w:pPr>
            <w:r w:rsidRPr="00AF7D9D">
              <w:rPr>
                <w:rFonts w:eastAsia="Calibri"/>
              </w:rPr>
              <w:t>-.37</w:t>
            </w:r>
          </w:p>
        </w:tc>
      </w:tr>
      <w:tr w:rsidR="008E5ADD" w:rsidRPr="00AF7D9D" w14:paraId="2755B9EC" w14:textId="77777777" w:rsidTr="00FF5C5C">
        <w:trPr>
          <w:trHeight w:val="327"/>
        </w:trPr>
        <w:tc>
          <w:tcPr>
            <w:tcW w:w="1214" w:type="pct"/>
            <w:tcBorders>
              <w:top w:val="single" w:sz="4" w:space="0" w:color="auto"/>
              <w:left w:val="nil"/>
              <w:bottom w:val="single" w:sz="4" w:space="0" w:color="auto"/>
              <w:right w:val="nil"/>
            </w:tcBorders>
          </w:tcPr>
          <w:p w14:paraId="34FD9815" w14:textId="77777777" w:rsidR="00B11861" w:rsidRPr="00AF7D9D" w:rsidRDefault="00B11861" w:rsidP="00B4182B">
            <w:pPr>
              <w:contextualSpacing/>
              <w:rPr>
                <w:rFonts w:eastAsia="Calibri"/>
                <w:b/>
              </w:rPr>
            </w:pPr>
            <w:r w:rsidRPr="00AF7D9D">
              <w:rPr>
                <w:rFonts w:eastAsia="Calibri"/>
                <w:b/>
              </w:rPr>
              <w:t>5. Dutch Females</w:t>
            </w:r>
          </w:p>
        </w:tc>
        <w:tc>
          <w:tcPr>
            <w:tcW w:w="604" w:type="pct"/>
            <w:tcBorders>
              <w:top w:val="single" w:sz="4" w:space="0" w:color="auto"/>
              <w:left w:val="nil"/>
              <w:bottom w:val="single" w:sz="4" w:space="0" w:color="auto"/>
              <w:right w:val="nil"/>
            </w:tcBorders>
            <w:vAlign w:val="center"/>
          </w:tcPr>
          <w:p w14:paraId="7FC03A63" w14:textId="77777777" w:rsidR="00B11861" w:rsidRPr="00AF7D9D" w:rsidRDefault="00B11861" w:rsidP="00B11861">
            <w:pPr>
              <w:contextualSpacing/>
              <w:jc w:val="center"/>
              <w:rPr>
                <w:rFonts w:eastAsia="Calibri"/>
              </w:rPr>
            </w:pPr>
            <w:r w:rsidRPr="00AF7D9D">
              <w:rPr>
                <w:rFonts w:eastAsia="Calibri"/>
                <w:i/>
              </w:rPr>
              <w:t>n</w:t>
            </w:r>
            <w:r w:rsidRPr="00AF7D9D">
              <w:rPr>
                <w:rFonts w:eastAsia="Calibri"/>
              </w:rPr>
              <w:t xml:space="preserve"> = 340</w:t>
            </w:r>
          </w:p>
        </w:tc>
        <w:tc>
          <w:tcPr>
            <w:tcW w:w="156" w:type="pct"/>
            <w:tcBorders>
              <w:top w:val="single" w:sz="4" w:space="0" w:color="auto"/>
              <w:left w:val="nil"/>
              <w:bottom w:val="single" w:sz="4" w:space="0" w:color="auto"/>
              <w:right w:val="nil"/>
            </w:tcBorders>
            <w:vAlign w:val="center"/>
          </w:tcPr>
          <w:p w14:paraId="0C8CE33A" w14:textId="77777777" w:rsidR="00B11861" w:rsidRPr="00AF7D9D" w:rsidRDefault="00B11861" w:rsidP="00B11861">
            <w:pPr>
              <w:contextualSpacing/>
              <w:jc w:val="center"/>
              <w:rPr>
                <w:rFonts w:eastAsia="Calibri"/>
                <w:i/>
              </w:rPr>
            </w:pPr>
          </w:p>
        </w:tc>
        <w:tc>
          <w:tcPr>
            <w:tcW w:w="475" w:type="pct"/>
            <w:tcBorders>
              <w:top w:val="single" w:sz="4" w:space="0" w:color="auto"/>
              <w:left w:val="nil"/>
              <w:bottom w:val="single" w:sz="4" w:space="0" w:color="auto"/>
              <w:right w:val="nil"/>
            </w:tcBorders>
            <w:vAlign w:val="center"/>
          </w:tcPr>
          <w:p w14:paraId="13F5D3E8" w14:textId="77777777" w:rsidR="00B11861" w:rsidRPr="00AF7D9D" w:rsidRDefault="00B11861" w:rsidP="00B11861">
            <w:pPr>
              <w:contextualSpacing/>
              <w:jc w:val="center"/>
              <w:rPr>
                <w:rFonts w:eastAsia="Calibri"/>
              </w:rPr>
            </w:pPr>
            <w:r w:rsidRPr="00AF7D9D">
              <w:rPr>
                <w:rFonts w:eastAsia="Calibri"/>
                <w:i/>
              </w:rPr>
              <w:t>n</w:t>
            </w:r>
            <w:r w:rsidRPr="00AF7D9D">
              <w:rPr>
                <w:rFonts w:eastAsia="Calibri"/>
              </w:rPr>
              <w:t xml:space="preserve"> = 304</w:t>
            </w:r>
          </w:p>
        </w:tc>
        <w:tc>
          <w:tcPr>
            <w:tcW w:w="475" w:type="pct"/>
            <w:tcBorders>
              <w:top w:val="single" w:sz="4" w:space="0" w:color="auto"/>
              <w:left w:val="nil"/>
              <w:bottom w:val="single" w:sz="4" w:space="0" w:color="auto"/>
              <w:right w:val="nil"/>
            </w:tcBorders>
            <w:vAlign w:val="center"/>
          </w:tcPr>
          <w:p w14:paraId="58CF28B9" w14:textId="77777777" w:rsidR="00B11861" w:rsidRPr="00AF7D9D" w:rsidRDefault="00B11861" w:rsidP="00B11861">
            <w:pPr>
              <w:contextualSpacing/>
              <w:jc w:val="center"/>
              <w:rPr>
                <w:rFonts w:eastAsia="Calibri"/>
              </w:rPr>
            </w:pPr>
            <w:r w:rsidRPr="00AF7D9D">
              <w:rPr>
                <w:rFonts w:eastAsia="Calibri"/>
                <w:i/>
              </w:rPr>
              <w:t>n</w:t>
            </w:r>
            <w:r w:rsidRPr="00AF7D9D">
              <w:rPr>
                <w:rFonts w:eastAsia="Calibri"/>
              </w:rPr>
              <w:t xml:space="preserve"> = 36</w:t>
            </w:r>
          </w:p>
        </w:tc>
        <w:tc>
          <w:tcPr>
            <w:tcW w:w="476" w:type="pct"/>
            <w:tcBorders>
              <w:top w:val="single" w:sz="4" w:space="0" w:color="auto"/>
              <w:left w:val="nil"/>
              <w:bottom w:val="single" w:sz="4" w:space="0" w:color="auto"/>
              <w:right w:val="nil"/>
            </w:tcBorders>
            <w:vAlign w:val="center"/>
          </w:tcPr>
          <w:p w14:paraId="1E5A18F3" w14:textId="77777777" w:rsidR="00B11861" w:rsidRPr="00AF7D9D" w:rsidRDefault="00B11861" w:rsidP="00B11861">
            <w:pPr>
              <w:contextualSpacing/>
              <w:jc w:val="center"/>
              <w:rPr>
                <w:rFonts w:eastAsia="Calibri"/>
              </w:rPr>
            </w:pPr>
          </w:p>
        </w:tc>
        <w:tc>
          <w:tcPr>
            <w:tcW w:w="173" w:type="pct"/>
            <w:tcBorders>
              <w:top w:val="single" w:sz="4" w:space="0" w:color="auto"/>
              <w:left w:val="nil"/>
              <w:bottom w:val="single" w:sz="4" w:space="0" w:color="auto"/>
              <w:right w:val="nil"/>
            </w:tcBorders>
            <w:vAlign w:val="center"/>
          </w:tcPr>
          <w:p w14:paraId="017BF0A8" w14:textId="77777777" w:rsidR="00B11861" w:rsidRPr="00AF7D9D" w:rsidRDefault="00B11861" w:rsidP="00B11861">
            <w:pPr>
              <w:contextualSpacing/>
              <w:jc w:val="center"/>
              <w:rPr>
                <w:rFonts w:eastAsia="Calibri"/>
                <w:i/>
              </w:rPr>
            </w:pPr>
          </w:p>
        </w:tc>
        <w:tc>
          <w:tcPr>
            <w:tcW w:w="476" w:type="pct"/>
            <w:tcBorders>
              <w:top w:val="single" w:sz="4" w:space="0" w:color="auto"/>
              <w:left w:val="nil"/>
              <w:bottom w:val="single" w:sz="4" w:space="0" w:color="auto"/>
              <w:right w:val="nil"/>
            </w:tcBorders>
            <w:vAlign w:val="center"/>
          </w:tcPr>
          <w:p w14:paraId="0ACC105C" w14:textId="77777777" w:rsidR="00B11861" w:rsidRPr="00AF7D9D" w:rsidRDefault="00B11861" w:rsidP="00B11861">
            <w:pPr>
              <w:contextualSpacing/>
              <w:jc w:val="center"/>
              <w:rPr>
                <w:rFonts w:eastAsia="Calibri"/>
              </w:rPr>
            </w:pPr>
            <w:r w:rsidRPr="00AF7D9D">
              <w:rPr>
                <w:rFonts w:eastAsia="Calibri"/>
                <w:i/>
              </w:rPr>
              <w:t>n</w:t>
            </w:r>
            <w:r w:rsidRPr="00AF7D9D">
              <w:rPr>
                <w:rFonts w:eastAsia="Calibri"/>
              </w:rPr>
              <w:t xml:space="preserve"> = 316</w:t>
            </w:r>
          </w:p>
        </w:tc>
        <w:tc>
          <w:tcPr>
            <w:tcW w:w="476" w:type="pct"/>
            <w:tcBorders>
              <w:top w:val="single" w:sz="4" w:space="0" w:color="auto"/>
              <w:left w:val="nil"/>
              <w:bottom w:val="single" w:sz="4" w:space="0" w:color="auto"/>
              <w:right w:val="nil"/>
            </w:tcBorders>
            <w:vAlign w:val="center"/>
          </w:tcPr>
          <w:p w14:paraId="519C5D28" w14:textId="77777777" w:rsidR="00B11861" w:rsidRPr="00AF7D9D" w:rsidRDefault="00B11861" w:rsidP="00B11861">
            <w:pPr>
              <w:contextualSpacing/>
              <w:jc w:val="center"/>
              <w:rPr>
                <w:rFonts w:eastAsia="Calibri"/>
              </w:rPr>
            </w:pPr>
            <w:r w:rsidRPr="00AF7D9D">
              <w:rPr>
                <w:rFonts w:eastAsia="Calibri"/>
                <w:i/>
              </w:rPr>
              <w:t>n</w:t>
            </w:r>
            <w:r w:rsidRPr="00AF7D9D">
              <w:rPr>
                <w:rFonts w:eastAsia="Calibri"/>
              </w:rPr>
              <w:t xml:space="preserve"> = 24</w:t>
            </w:r>
          </w:p>
        </w:tc>
        <w:tc>
          <w:tcPr>
            <w:tcW w:w="475" w:type="pct"/>
            <w:tcBorders>
              <w:top w:val="single" w:sz="4" w:space="0" w:color="auto"/>
              <w:left w:val="nil"/>
              <w:bottom w:val="single" w:sz="4" w:space="0" w:color="auto"/>
              <w:right w:val="nil"/>
            </w:tcBorders>
            <w:vAlign w:val="center"/>
          </w:tcPr>
          <w:p w14:paraId="76AEB4A9" w14:textId="77777777" w:rsidR="00B11861" w:rsidRPr="00AF7D9D" w:rsidRDefault="00B11861" w:rsidP="00B11861">
            <w:pPr>
              <w:contextualSpacing/>
              <w:jc w:val="center"/>
              <w:rPr>
                <w:rFonts w:eastAsia="Calibri"/>
                <w:i/>
              </w:rPr>
            </w:pPr>
          </w:p>
        </w:tc>
      </w:tr>
      <w:tr w:rsidR="008E5ADD" w:rsidRPr="00AF7D9D" w14:paraId="5EEEC296" w14:textId="77777777" w:rsidTr="00FF5C5C">
        <w:trPr>
          <w:trHeight w:val="327"/>
        </w:trPr>
        <w:tc>
          <w:tcPr>
            <w:tcW w:w="1214" w:type="pct"/>
            <w:tcBorders>
              <w:top w:val="single" w:sz="4" w:space="0" w:color="auto"/>
              <w:left w:val="nil"/>
              <w:bottom w:val="nil"/>
              <w:right w:val="nil"/>
            </w:tcBorders>
          </w:tcPr>
          <w:p w14:paraId="1ECA5666" w14:textId="77777777" w:rsidR="00B11861" w:rsidRPr="00AF7D9D" w:rsidRDefault="00B11861" w:rsidP="00B4182B">
            <w:pPr>
              <w:contextualSpacing/>
              <w:rPr>
                <w:rFonts w:eastAsia="Calibri"/>
                <w:b/>
              </w:rPr>
            </w:pPr>
            <w:r w:rsidRPr="00AF7D9D">
              <w:rPr>
                <w:rFonts w:eastAsia="Calibri"/>
                <w:b/>
              </w:rPr>
              <w:t xml:space="preserve">   </w:t>
            </w:r>
            <w:r w:rsidRPr="00AF7D9D">
              <w:rPr>
                <w:rFonts w:eastAsia="Calibri"/>
              </w:rPr>
              <w:t>ICL-R Dominance</w:t>
            </w:r>
          </w:p>
        </w:tc>
        <w:tc>
          <w:tcPr>
            <w:tcW w:w="604" w:type="pct"/>
            <w:tcBorders>
              <w:top w:val="single" w:sz="4" w:space="0" w:color="auto"/>
              <w:left w:val="nil"/>
              <w:bottom w:val="nil"/>
              <w:right w:val="nil"/>
            </w:tcBorders>
            <w:vAlign w:val="center"/>
          </w:tcPr>
          <w:p w14:paraId="53613B5B" w14:textId="77777777" w:rsidR="00B11861" w:rsidRPr="00AF7D9D" w:rsidRDefault="00B11861" w:rsidP="00B11861">
            <w:pPr>
              <w:contextualSpacing/>
              <w:jc w:val="center"/>
              <w:rPr>
                <w:rFonts w:eastAsia="Calibri"/>
              </w:rPr>
            </w:pPr>
            <w:r w:rsidRPr="00AF7D9D">
              <w:rPr>
                <w:rFonts w:eastAsia="Calibri"/>
              </w:rPr>
              <w:t>.24**</w:t>
            </w:r>
          </w:p>
        </w:tc>
        <w:tc>
          <w:tcPr>
            <w:tcW w:w="156" w:type="pct"/>
            <w:tcBorders>
              <w:top w:val="single" w:sz="4" w:space="0" w:color="auto"/>
              <w:left w:val="nil"/>
              <w:bottom w:val="nil"/>
              <w:right w:val="nil"/>
            </w:tcBorders>
            <w:vAlign w:val="center"/>
          </w:tcPr>
          <w:p w14:paraId="542EE3A8" w14:textId="77777777" w:rsidR="00B11861" w:rsidRPr="00AF7D9D" w:rsidRDefault="00B11861" w:rsidP="00B11861">
            <w:pPr>
              <w:contextualSpacing/>
              <w:jc w:val="center"/>
              <w:rPr>
                <w:rFonts w:eastAsia="Calibri"/>
              </w:rPr>
            </w:pPr>
          </w:p>
        </w:tc>
        <w:tc>
          <w:tcPr>
            <w:tcW w:w="475" w:type="pct"/>
            <w:tcBorders>
              <w:top w:val="single" w:sz="4" w:space="0" w:color="auto"/>
              <w:left w:val="nil"/>
              <w:bottom w:val="nil"/>
              <w:right w:val="nil"/>
            </w:tcBorders>
            <w:vAlign w:val="center"/>
          </w:tcPr>
          <w:p w14:paraId="25E07674" w14:textId="77777777" w:rsidR="00B11861" w:rsidRPr="00AF7D9D" w:rsidRDefault="00B11861" w:rsidP="00B11861">
            <w:pPr>
              <w:contextualSpacing/>
              <w:jc w:val="center"/>
              <w:rPr>
                <w:rFonts w:eastAsia="Calibri"/>
              </w:rPr>
            </w:pPr>
            <w:r w:rsidRPr="00AF7D9D">
              <w:rPr>
                <w:rFonts w:eastAsia="Calibri"/>
              </w:rPr>
              <w:t>.21**</w:t>
            </w:r>
          </w:p>
        </w:tc>
        <w:tc>
          <w:tcPr>
            <w:tcW w:w="475" w:type="pct"/>
            <w:tcBorders>
              <w:top w:val="single" w:sz="4" w:space="0" w:color="auto"/>
              <w:left w:val="nil"/>
              <w:bottom w:val="nil"/>
              <w:right w:val="nil"/>
            </w:tcBorders>
            <w:vAlign w:val="center"/>
          </w:tcPr>
          <w:p w14:paraId="2F2D127D" w14:textId="77777777" w:rsidR="00B11861" w:rsidRPr="00AF7D9D" w:rsidRDefault="00B11861" w:rsidP="00B11861">
            <w:pPr>
              <w:contextualSpacing/>
              <w:jc w:val="center"/>
              <w:rPr>
                <w:rFonts w:eastAsia="Calibri"/>
              </w:rPr>
            </w:pPr>
            <w:r w:rsidRPr="00AF7D9D">
              <w:rPr>
                <w:rFonts w:eastAsia="Calibri"/>
              </w:rPr>
              <w:t>.19</w:t>
            </w:r>
          </w:p>
        </w:tc>
        <w:tc>
          <w:tcPr>
            <w:tcW w:w="476" w:type="pct"/>
            <w:tcBorders>
              <w:top w:val="single" w:sz="4" w:space="0" w:color="auto"/>
              <w:left w:val="nil"/>
              <w:bottom w:val="nil"/>
              <w:right w:val="nil"/>
            </w:tcBorders>
            <w:vAlign w:val="center"/>
          </w:tcPr>
          <w:p w14:paraId="6F2B10C9" w14:textId="77777777" w:rsidR="00B11861" w:rsidRPr="00AF7D9D" w:rsidRDefault="008E5ADD" w:rsidP="00B11861">
            <w:pPr>
              <w:contextualSpacing/>
              <w:jc w:val="center"/>
              <w:rPr>
                <w:rFonts w:eastAsia="Calibri"/>
              </w:rPr>
            </w:pPr>
            <w:r w:rsidRPr="00AF7D9D">
              <w:rPr>
                <w:rFonts w:eastAsia="Calibri"/>
              </w:rPr>
              <w:t>.11</w:t>
            </w:r>
          </w:p>
        </w:tc>
        <w:tc>
          <w:tcPr>
            <w:tcW w:w="173" w:type="pct"/>
            <w:tcBorders>
              <w:top w:val="single" w:sz="4" w:space="0" w:color="auto"/>
              <w:left w:val="nil"/>
              <w:bottom w:val="nil"/>
              <w:right w:val="nil"/>
            </w:tcBorders>
            <w:vAlign w:val="center"/>
          </w:tcPr>
          <w:p w14:paraId="622FE4E1" w14:textId="77777777" w:rsidR="00B11861" w:rsidRPr="00AF7D9D" w:rsidRDefault="00B11861" w:rsidP="00B11861">
            <w:pPr>
              <w:contextualSpacing/>
              <w:jc w:val="center"/>
              <w:rPr>
                <w:rFonts w:eastAsia="Calibri"/>
              </w:rPr>
            </w:pPr>
          </w:p>
        </w:tc>
        <w:tc>
          <w:tcPr>
            <w:tcW w:w="476" w:type="pct"/>
            <w:tcBorders>
              <w:top w:val="single" w:sz="4" w:space="0" w:color="auto"/>
              <w:left w:val="nil"/>
              <w:bottom w:val="nil"/>
              <w:right w:val="nil"/>
            </w:tcBorders>
            <w:vAlign w:val="center"/>
          </w:tcPr>
          <w:p w14:paraId="626C814D" w14:textId="77777777" w:rsidR="00B11861" w:rsidRPr="00AF7D9D" w:rsidRDefault="00B11861" w:rsidP="00B11861">
            <w:pPr>
              <w:contextualSpacing/>
              <w:jc w:val="center"/>
              <w:rPr>
                <w:rFonts w:eastAsia="Calibri"/>
              </w:rPr>
            </w:pPr>
            <w:r w:rsidRPr="00AF7D9D">
              <w:rPr>
                <w:rFonts w:eastAsia="Calibri"/>
              </w:rPr>
              <w:t>.22**</w:t>
            </w:r>
          </w:p>
        </w:tc>
        <w:tc>
          <w:tcPr>
            <w:tcW w:w="476" w:type="pct"/>
            <w:tcBorders>
              <w:top w:val="single" w:sz="4" w:space="0" w:color="auto"/>
              <w:left w:val="nil"/>
              <w:bottom w:val="nil"/>
              <w:right w:val="nil"/>
            </w:tcBorders>
            <w:vAlign w:val="center"/>
          </w:tcPr>
          <w:p w14:paraId="77A94095" w14:textId="77777777" w:rsidR="00B11861" w:rsidRPr="00AF7D9D" w:rsidRDefault="00B11861" w:rsidP="00B11861">
            <w:pPr>
              <w:contextualSpacing/>
              <w:jc w:val="center"/>
              <w:rPr>
                <w:rFonts w:eastAsia="Calibri"/>
              </w:rPr>
            </w:pPr>
            <w:r w:rsidRPr="00AF7D9D">
              <w:rPr>
                <w:rFonts w:eastAsia="Calibri"/>
              </w:rPr>
              <w:t>.23</w:t>
            </w:r>
          </w:p>
        </w:tc>
        <w:tc>
          <w:tcPr>
            <w:tcW w:w="475" w:type="pct"/>
            <w:tcBorders>
              <w:top w:val="single" w:sz="4" w:space="0" w:color="auto"/>
              <w:left w:val="nil"/>
              <w:bottom w:val="nil"/>
              <w:right w:val="nil"/>
            </w:tcBorders>
            <w:vAlign w:val="center"/>
          </w:tcPr>
          <w:p w14:paraId="331F9DA0" w14:textId="77777777" w:rsidR="00B11861" w:rsidRPr="00AF7D9D" w:rsidRDefault="00C578B7" w:rsidP="00B11861">
            <w:pPr>
              <w:contextualSpacing/>
              <w:jc w:val="center"/>
              <w:rPr>
                <w:rFonts w:eastAsia="Calibri"/>
              </w:rPr>
            </w:pPr>
            <w:r w:rsidRPr="00AF7D9D">
              <w:rPr>
                <w:rFonts w:eastAsia="Calibri"/>
              </w:rPr>
              <w:t>-.05</w:t>
            </w:r>
          </w:p>
        </w:tc>
      </w:tr>
      <w:tr w:rsidR="008E5ADD" w:rsidRPr="00AF7D9D" w14:paraId="5CC57865" w14:textId="77777777" w:rsidTr="00FF5C5C">
        <w:trPr>
          <w:trHeight w:val="327"/>
        </w:trPr>
        <w:tc>
          <w:tcPr>
            <w:tcW w:w="1214" w:type="pct"/>
            <w:tcBorders>
              <w:top w:val="nil"/>
              <w:left w:val="nil"/>
              <w:bottom w:val="nil"/>
              <w:right w:val="nil"/>
            </w:tcBorders>
          </w:tcPr>
          <w:p w14:paraId="08ABEEEE" w14:textId="77777777" w:rsidR="00B11861" w:rsidRPr="00AF7D9D" w:rsidRDefault="00B11861" w:rsidP="00B4182B">
            <w:pPr>
              <w:contextualSpacing/>
              <w:rPr>
                <w:rFonts w:eastAsia="Calibri"/>
              </w:rPr>
            </w:pPr>
            <w:r w:rsidRPr="00AF7D9D">
              <w:rPr>
                <w:rFonts w:eastAsia="Calibri"/>
                <w:b/>
              </w:rPr>
              <w:t xml:space="preserve">   </w:t>
            </w:r>
            <w:r w:rsidRPr="00AF7D9D">
              <w:rPr>
                <w:rFonts w:eastAsia="Calibri"/>
              </w:rPr>
              <w:t>ICL-R Affiliation</w:t>
            </w:r>
          </w:p>
        </w:tc>
        <w:tc>
          <w:tcPr>
            <w:tcW w:w="604" w:type="pct"/>
            <w:tcBorders>
              <w:top w:val="nil"/>
              <w:left w:val="nil"/>
              <w:bottom w:val="nil"/>
              <w:right w:val="nil"/>
            </w:tcBorders>
            <w:vAlign w:val="center"/>
          </w:tcPr>
          <w:p w14:paraId="46F9CC4B" w14:textId="77777777" w:rsidR="00B11861" w:rsidRPr="00AF7D9D" w:rsidRDefault="00B11861" w:rsidP="00B11861">
            <w:pPr>
              <w:contextualSpacing/>
              <w:jc w:val="center"/>
              <w:rPr>
                <w:rFonts w:eastAsia="Calibri"/>
              </w:rPr>
            </w:pPr>
            <w:r w:rsidRPr="00AF7D9D">
              <w:rPr>
                <w:rFonts w:eastAsia="Calibri"/>
              </w:rPr>
              <w:t>-.24**</w:t>
            </w:r>
          </w:p>
        </w:tc>
        <w:tc>
          <w:tcPr>
            <w:tcW w:w="156" w:type="pct"/>
            <w:tcBorders>
              <w:top w:val="nil"/>
              <w:left w:val="nil"/>
              <w:bottom w:val="nil"/>
              <w:right w:val="nil"/>
            </w:tcBorders>
            <w:vAlign w:val="center"/>
          </w:tcPr>
          <w:p w14:paraId="781F3D0C" w14:textId="77777777" w:rsidR="00B11861" w:rsidRPr="00AF7D9D" w:rsidRDefault="00B11861" w:rsidP="00B11861">
            <w:pPr>
              <w:contextualSpacing/>
              <w:jc w:val="center"/>
              <w:rPr>
                <w:rFonts w:eastAsia="Calibri"/>
              </w:rPr>
            </w:pPr>
          </w:p>
        </w:tc>
        <w:tc>
          <w:tcPr>
            <w:tcW w:w="475" w:type="pct"/>
            <w:tcBorders>
              <w:top w:val="nil"/>
              <w:left w:val="nil"/>
              <w:bottom w:val="nil"/>
              <w:right w:val="nil"/>
            </w:tcBorders>
            <w:vAlign w:val="center"/>
          </w:tcPr>
          <w:p w14:paraId="6175F376" w14:textId="77777777" w:rsidR="00B11861" w:rsidRPr="00AF7D9D" w:rsidRDefault="00B11861" w:rsidP="00B11861">
            <w:pPr>
              <w:contextualSpacing/>
              <w:jc w:val="center"/>
              <w:rPr>
                <w:rFonts w:eastAsia="Calibri"/>
              </w:rPr>
            </w:pPr>
            <w:r w:rsidRPr="00AF7D9D">
              <w:rPr>
                <w:rFonts w:eastAsia="Calibri"/>
              </w:rPr>
              <w:t>-.19**</w:t>
            </w:r>
          </w:p>
        </w:tc>
        <w:tc>
          <w:tcPr>
            <w:tcW w:w="475" w:type="pct"/>
            <w:tcBorders>
              <w:top w:val="nil"/>
              <w:left w:val="nil"/>
              <w:bottom w:val="nil"/>
              <w:right w:val="nil"/>
            </w:tcBorders>
            <w:vAlign w:val="center"/>
          </w:tcPr>
          <w:p w14:paraId="0509EAAF" w14:textId="77777777" w:rsidR="00B11861" w:rsidRPr="00AF7D9D" w:rsidRDefault="00B11861" w:rsidP="00B11861">
            <w:pPr>
              <w:contextualSpacing/>
              <w:jc w:val="center"/>
              <w:rPr>
                <w:rFonts w:eastAsia="Calibri"/>
              </w:rPr>
            </w:pPr>
            <w:r w:rsidRPr="00AF7D9D">
              <w:rPr>
                <w:rFonts w:eastAsia="Calibri"/>
              </w:rPr>
              <w:t>-.08</w:t>
            </w:r>
          </w:p>
        </w:tc>
        <w:tc>
          <w:tcPr>
            <w:tcW w:w="476" w:type="pct"/>
            <w:tcBorders>
              <w:top w:val="nil"/>
              <w:left w:val="nil"/>
              <w:bottom w:val="nil"/>
              <w:right w:val="nil"/>
            </w:tcBorders>
            <w:vAlign w:val="center"/>
          </w:tcPr>
          <w:p w14:paraId="687CF5DE" w14:textId="77777777" w:rsidR="00B11861" w:rsidRPr="00AF7D9D" w:rsidRDefault="008E5ADD" w:rsidP="00B11861">
            <w:pPr>
              <w:contextualSpacing/>
              <w:jc w:val="center"/>
              <w:rPr>
                <w:rFonts w:eastAsia="Calibri"/>
              </w:rPr>
            </w:pPr>
            <w:r w:rsidRPr="00AF7D9D">
              <w:rPr>
                <w:rFonts w:eastAsia="Calibri"/>
              </w:rPr>
              <w:t>-.61</w:t>
            </w:r>
          </w:p>
        </w:tc>
        <w:tc>
          <w:tcPr>
            <w:tcW w:w="173" w:type="pct"/>
            <w:tcBorders>
              <w:top w:val="nil"/>
              <w:left w:val="nil"/>
              <w:bottom w:val="nil"/>
              <w:right w:val="nil"/>
            </w:tcBorders>
            <w:vAlign w:val="center"/>
          </w:tcPr>
          <w:p w14:paraId="1CF12BA1" w14:textId="77777777" w:rsidR="00B11861" w:rsidRPr="00AF7D9D" w:rsidRDefault="00B11861" w:rsidP="00B11861">
            <w:pPr>
              <w:contextualSpacing/>
              <w:jc w:val="center"/>
              <w:rPr>
                <w:rFonts w:eastAsia="Calibri"/>
              </w:rPr>
            </w:pPr>
          </w:p>
        </w:tc>
        <w:tc>
          <w:tcPr>
            <w:tcW w:w="476" w:type="pct"/>
            <w:tcBorders>
              <w:top w:val="nil"/>
              <w:left w:val="nil"/>
              <w:bottom w:val="nil"/>
              <w:right w:val="nil"/>
            </w:tcBorders>
            <w:vAlign w:val="center"/>
          </w:tcPr>
          <w:p w14:paraId="6B237B21" w14:textId="77777777" w:rsidR="00B11861" w:rsidRPr="00AF7D9D" w:rsidRDefault="00B11861" w:rsidP="00B11861">
            <w:pPr>
              <w:contextualSpacing/>
              <w:jc w:val="center"/>
              <w:rPr>
                <w:rFonts w:eastAsia="Calibri"/>
              </w:rPr>
            </w:pPr>
            <w:r w:rsidRPr="00AF7D9D">
              <w:rPr>
                <w:rFonts w:eastAsia="Calibri"/>
              </w:rPr>
              <w:t>-.21**</w:t>
            </w:r>
          </w:p>
        </w:tc>
        <w:tc>
          <w:tcPr>
            <w:tcW w:w="476" w:type="pct"/>
            <w:tcBorders>
              <w:top w:val="nil"/>
              <w:left w:val="nil"/>
              <w:bottom w:val="nil"/>
              <w:right w:val="nil"/>
            </w:tcBorders>
            <w:vAlign w:val="center"/>
          </w:tcPr>
          <w:p w14:paraId="4B37914E" w14:textId="77777777" w:rsidR="00B11861" w:rsidRPr="00AF7D9D" w:rsidRDefault="00B11861" w:rsidP="00B11861">
            <w:pPr>
              <w:contextualSpacing/>
              <w:jc w:val="center"/>
              <w:rPr>
                <w:rFonts w:eastAsia="Calibri"/>
              </w:rPr>
            </w:pPr>
            <w:r w:rsidRPr="00AF7D9D">
              <w:rPr>
                <w:rFonts w:eastAsia="Calibri"/>
              </w:rPr>
              <w:t>.11</w:t>
            </w:r>
          </w:p>
        </w:tc>
        <w:tc>
          <w:tcPr>
            <w:tcW w:w="475" w:type="pct"/>
            <w:tcBorders>
              <w:top w:val="nil"/>
              <w:left w:val="nil"/>
              <w:bottom w:val="nil"/>
              <w:right w:val="nil"/>
            </w:tcBorders>
            <w:vAlign w:val="center"/>
          </w:tcPr>
          <w:p w14:paraId="2DCE41F7" w14:textId="77777777" w:rsidR="00B11861" w:rsidRPr="00AF7D9D" w:rsidRDefault="00C578B7" w:rsidP="00B11861">
            <w:pPr>
              <w:contextualSpacing/>
              <w:jc w:val="center"/>
              <w:rPr>
                <w:rFonts w:eastAsia="Calibri"/>
              </w:rPr>
            </w:pPr>
            <w:r w:rsidRPr="00AF7D9D">
              <w:rPr>
                <w:rFonts w:eastAsia="Calibri"/>
              </w:rPr>
              <w:t>-1.44</w:t>
            </w:r>
          </w:p>
        </w:tc>
      </w:tr>
      <w:tr w:rsidR="00B11861" w:rsidRPr="00AF7D9D" w14:paraId="78DAACF2" w14:textId="77777777" w:rsidTr="00FF5C5C">
        <w:trPr>
          <w:trHeight w:val="327"/>
        </w:trPr>
        <w:tc>
          <w:tcPr>
            <w:tcW w:w="1214" w:type="pct"/>
            <w:tcBorders>
              <w:top w:val="nil"/>
              <w:left w:val="nil"/>
              <w:bottom w:val="nil"/>
              <w:right w:val="nil"/>
            </w:tcBorders>
          </w:tcPr>
          <w:p w14:paraId="1EA8A877" w14:textId="77777777" w:rsidR="00B11861" w:rsidRPr="00AF7D9D" w:rsidRDefault="00B11861" w:rsidP="00B4182B">
            <w:pPr>
              <w:contextualSpacing/>
              <w:rPr>
                <w:rFonts w:eastAsia="Calibri"/>
              </w:rPr>
            </w:pPr>
            <w:r w:rsidRPr="00AF7D9D">
              <w:rPr>
                <w:rFonts w:eastAsia="Calibri"/>
                <w:b/>
              </w:rPr>
              <w:t xml:space="preserve">   </w:t>
            </w:r>
            <w:r w:rsidRPr="00AF7D9D">
              <w:rPr>
                <w:rFonts w:eastAsia="Calibri"/>
              </w:rPr>
              <w:t>DUDIT Total</w:t>
            </w:r>
          </w:p>
        </w:tc>
        <w:tc>
          <w:tcPr>
            <w:tcW w:w="604" w:type="pct"/>
            <w:tcBorders>
              <w:top w:val="nil"/>
              <w:left w:val="nil"/>
              <w:bottom w:val="nil"/>
              <w:right w:val="nil"/>
            </w:tcBorders>
            <w:vAlign w:val="center"/>
          </w:tcPr>
          <w:p w14:paraId="475394AD" w14:textId="77777777" w:rsidR="00B11861" w:rsidRPr="00AF7D9D" w:rsidRDefault="00B11861" w:rsidP="00B11861">
            <w:pPr>
              <w:contextualSpacing/>
              <w:jc w:val="center"/>
              <w:rPr>
                <w:rFonts w:eastAsia="Calibri"/>
              </w:rPr>
            </w:pPr>
            <w:r w:rsidRPr="00AF7D9D">
              <w:rPr>
                <w:rFonts w:eastAsia="Calibri"/>
              </w:rPr>
              <w:t>.25**</w:t>
            </w:r>
          </w:p>
        </w:tc>
        <w:tc>
          <w:tcPr>
            <w:tcW w:w="156" w:type="pct"/>
            <w:tcBorders>
              <w:top w:val="nil"/>
              <w:left w:val="nil"/>
              <w:bottom w:val="nil"/>
              <w:right w:val="nil"/>
            </w:tcBorders>
            <w:vAlign w:val="center"/>
          </w:tcPr>
          <w:p w14:paraId="6C7B9A92" w14:textId="77777777" w:rsidR="00B11861" w:rsidRPr="00AF7D9D" w:rsidRDefault="00B11861" w:rsidP="00B11861">
            <w:pPr>
              <w:contextualSpacing/>
              <w:jc w:val="center"/>
              <w:rPr>
                <w:rFonts w:eastAsia="Calibri"/>
              </w:rPr>
            </w:pPr>
          </w:p>
        </w:tc>
        <w:tc>
          <w:tcPr>
            <w:tcW w:w="475" w:type="pct"/>
            <w:tcBorders>
              <w:top w:val="nil"/>
              <w:left w:val="nil"/>
              <w:bottom w:val="nil"/>
              <w:right w:val="nil"/>
            </w:tcBorders>
            <w:vAlign w:val="center"/>
          </w:tcPr>
          <w:p w14:paraId="5CE5B831" w14:textId="77777777" w:rsidR="00B11861" w:rsidRPr="00AF7D9D" w:rsidRDefault="00B11861" w:rsidP="00B11861">
            <w:pPr>
              <w:contextualSpacing/>
              <w:jc w:val="center"/>
              <w:rPr>
                <w:rFonts w:eastAsia="Calibri"/>
              </w:rPr>
            </w:pPr>
            <w:r w:rsidRPr="00AF7D9D">
              <w:rPr>
                <w:rFonts w:eastAsia="Calibri"/>
              </w:rPr>
              <w:t>.12*</w:t>
            </w:r>
          </w:p>
        </w:tc>
        <w:tc>
          <w:tcPr>
            <w:tcW w:w="475" w:type="pct"/>
            <w:tcBorders>
              <w:top w:val="nil"/>
              <w:left w:val="nil"/>
              <w:bottom w:val="nil"/>
              <w:right w:val="nil"/>
            </w:tcBorders>
            <w:vAlign w:val="center"/>
          </w:tcPr>
          <w:p w14:paraId="73D81207" w14:textId="77777777" w:rsidR="00B11861" w:rsidRPr="00AF7D9D" w:rsidRDefault="00B11861" w:rsidP="00B11861">
            <w:pPr>
              <w:contextualSpacing/>
              <w:jc w:val="center"/>
              <w:rPr>
                <w:rFonts w:eastAsia="Calibri"/>
              </w:rPr>
            </w:pPr>
            <w:r w:rsidRPr="00AF7D9D">
              <w:rPr>
                <w:rFonts w:eastAsia="Calibri"/>
              </w:rPr>
              <w:t>.34</w:t>
            </w:r>
          </w:p>
        </w:tc>
        <w:tc>
          <w:tcPr>
            <w:tcW w:w="476" w:type="pct"/>
            <w:tcBorders>
              <w:top w:val="nil"/>
              <w:left w:val="nil"/>
              <w:bottom w:val="nil"/>
              <w:right w:val="nil"/>
            </w:tcBorders>
            <w:vAlign w:val="center"/>
          </w:tcPr>
          <w:p w14:paraId="43389BC4" w14:textId="77777777" w:rsidR="00B11861" w:rsidRPr="00AF7D9D" w:rsidRDefault="008E5ADD" w:rsidP="00B11861">
            <w:pPr>
              <w:contextualSpacing/>
              <w:jc w:val="center"/>
              <w:rPr>
                <w:rFonts w:eastAsia="Calibri"/>
              </w:rPr>
            </w:pPr>
            <w:r w:rsidRPr="00AF7D9D">
              <w:rPr>
                <w:rFonts w:eastAsia="Calibri"/>
              </w:rPr>
              <w:t>-1.27</w:t>
            </w:r>
          </w:p>
        </w:tc>
        <w:tc>
          <w:tcPr>
            <w:tcW w:w="173" w:type="pct"/>
            <w:tcBorders>
              <w:top w:val="nil"/>
              <w:left w:val="nil"/>
              <w:bottom w:val="nil"/>
              <w:right w:val="nil"/>
            </w:tcBorders>
            <w:vAlign w:val="center"/>
          </w:tcPr>
          <w:p w14:paraId="6DBC868B" w14:textId="77777777" w:rsidR="00B11861" w:rsidRPr="00AF7D9D" w:rsidRDefault="00B11861" w:rsidP="00B11861">
            <w:pPr>
              <w:contextualSpacing/>
              <w:jc w:val="center"/>
              <w:rPr>
                <w:rFonts w:eastAsia="Calibri"/>
              </w:rPr>
            </w:pPr>
          </w:p>
        </w:tc>
        <w:tc>
          <w:tcPr>
            <w:tcW w:w="476" w:type="pct"/>
            <w:tcBorders>
              <w:top w:val="nil"/>
              <w:left w:val="nil"/>
              <w:bottom w:val="nil"/>
              <w:right w:val="nil"/>
            </w:tcBorders>
            <w:vAlign w:val="center"/>
          </w:tcPr>
          <w:p w14:paraId="74826240" w14:textId="77777777" w:rsidR="00B11861" w:rsidRPr="00AF7D9D" w:rsidRDefault="00B11861" w:rsidP="00B11861">
            <w:pPr>
              <w:contextualSpacing/>
              <w:jc w:val="center"/>
              <w:rPr>
                <w:rFonts w:eastAsia="Calibri"/>
              </w:rPr>
            </w:pPr>
            <w:r w:rsidRPr="00AF7D9D">
              <w:rPr>
                <w:rFonts w:eastAsia="Calibri"/>
              </w:rPr>
              <w:t>.28*</w:t>
            </w:r>
          </w:p>
        </w:tc>
        <w:tc>
          <w:tcPr>
            <w:tcW w:w="476" w:type="pct"/>
            <w:tcBorders>
              <w:top w:val="nil"/>
              <w:left w:val="nil"/>
              <w:bottom w:val="nil"/>
              <w:right w:val="nil"/>
            </w:tcBorders>
            <w:vAlign w:val="center"/>
          </w:tcPr>
          <w:p w14:paraId="490036D9" w14:textId="77777777" w:rsidR="00B11861" w:rsidRPr="00AF7D9D" w:rsidRDefault="00B11861" w:rsidP="00B11861">
            <w:pPr>
              <w:contextualSpacing/>
              <w:jc w:val="center"/>
              <w:rPr>
                <w:rFonts w:eastAsia="Calibri"/>
              </w:rPr>
            </w:pPr>
            <w:r w:rsidRPr="00AF7D9D">
              <w:rPr>
                <w:rFonts w:eastAsia="Calibri"/>
              </w:rPr>
              <w:t>-.03</w:t>
            </w:r>
          </w:p>
        </w:tc>
        <w:tc>
          <w:tcPr>
            <w:tcW w:w="475" w:type="pct"/>
            <w:tcBorders>
              <w:top w:val="nil"/>
              <w:left w:val="nil"/>
              <w:bottom w:val="nil"/>
              <w:right w:val="nil"/>
            </w:tcBorders>
            <w:vAlign w:val="center"/>
          </w:tcPr>
          <w:p w14:paraId="2844F794" w14:textId="77777777" w:rsidR="00B11861" w:rsidRPr="00AF7D9D" w:rsidRDefault="00C578B7" w:rsidP="00B11861">
            <w:pPr>
              <w:contextualSpacing/>
              <w:jc w:val="center"/>
              <w:rPr>
                <w:rFonts w:eastAsia="Calibri"/>
              </w:rPr>
            </w:pPr>
            <w:r w:rsidRPr="00AF7D9D">
              <w:rPr>
                <w:rFonts w:eastAsia="Calibri"/>
              </w:rPr>
              <w:t>1.41</w:t>
            </w:r>
          </w:p>
        </w:tc>
      </w:tr>
      <w:tr w:rsidR="00B11861" w:rsidRPr="00AF7D9D" w14:paraId="38948126" w14:textId="77777777" w:rsidTr="00FF5C5C">
        <w:trPr>
          <w:trHeight w:val="327"/>
        </w:trPr>
        <w:tc>
          <w:tcPr>
            <w:tcW w:w="1214" w:type="pct"/>
            <w:tcBorders>
              <w:top w:val="nil"/>
              <w:left w:val="nil"/>
              <w:bottom w:val="single" w:sz="4" w:space="0" w:color="auto"/>
              <w:right w:val="nil"/>
            </w:tcBorders>
          </w:tcPr>
          <w:p w14:paraId="7829CB5A" w14:textId="77777777" w:rsidR="00B11861" w:rsidRPr="00AF7D9D" w:rsidRDefault="00B11861" w:rsidP="00B4182B">
            <w:pPr>
              <w:contextualSpacing/>
              <w:rPr>
                <w:rFonts w:eastAsia="Calibri"/>
              </w:rPr>
            </w:pPr>
            <w:r w:rsidRPr="00AF7D9D">
              <w:rPr>
                <w:rFonts w:eastAsia="Calibri"/>
                <w:b/>
              </w:rPr>
              <w:t xml:space="preserve">   </w:t>
            </w:r>
            <w:r w:rsidRPr="00AF7D9D">
              <w:rPr>
                <w:rFonts w:eastAsia="Calibri"/>
              </w:rPr>
              <w:t>SAU</w:t>
            </w:r>
          </w:p>
        </w:tc>
        <w:tc>
          <w:tcPr>
            <w:tcW w:w="604" w:type="pct"/>
            <w:tcBorders>
              <w:top w:val="nil"/>
              <w:left w:val="nil"/>
              <w:bottom w:val="single" w:sz="4" w:space="0" w:color="auto"/>
              <w:right w:val="nil"/>
            </w:tcBorders>
            <w:vAlign w:val="center"/>
          </w:tcPr>
          <w:p w14:paraId="766B3D3E" w14:textId="77777777" w:rsidR="00B11861" w:rsidRPr="00AF7D9D" w:rsidRDefault="00B11861" w:rsidP="00B11861">
            <w:pPr>
              <w:contextualSpacing/>
              <w:jc w:val="center"/>
              <w:rPr>
                <w:rFonts w:eastAsia="Calibri"/>
              </w:rPr>
            </w:pPr>
            <w:r w:rsidRPr="00AF7D9D">
              <w:rPr>
                <w:rFonts w:eastAsia="Calibri"/>
              </w:rPr>
              <w:t>.25**</w:t>
            </w:r>
          </w:p>
        </w:tc>
        <w:tc>
          <w:tcPr>
            <w:tcW w:w="156" w:type="pct"/>
            <w:tcBorders>
              <w:top w:val="nil"/>
              <w:left w:val="nil"/>
              <w:bottom w:val="single" w:sz="4" w:space="0" w:color="auto"/>
              <w:right w:val="nil"/>
            </w:tcBorders>
            <w:vAlign w:val="center"/>
          </w:tcPr>
          <w:p w14:paraId="0B1975FA" w14:textId="77777777" w:rsidR="00B11861" w:rsidRPr="00AF7D9D" w:rsidRDefault="00B11861" w:rsidP="00B11861">
            <w:pPr>
              <w:contextualSpacing/>
              <w:jc w:val="center"/>
              <w:rPr>
                <w:rFonts w:eastAsia="Calibri"/>
              </w:rPr>
            </w:pPr>
          </w:p>
        </w:tc>
        <w:tc>
          <w:tcPr>
            <w:tcW w:w="475" w:type="pct"/>
            <w:tcBorders>
              <w:top w:val="nil"/>
              <w:left w:val="nil"/>
              <w:bottom w:val="single" w:sz="4" w:space="0" w:color="auto"/>
              <w:right w:val="nil"/>
            </w:tcBorders>
            <w:vAlign w:val="center"/>
          </w:tcPr>
          <w:p w14:paraId="6ACFB46F" w14:textId="77777777" w:rsidR="00B11861" w:rsidRPr="00AF7D9D" w:rsidRDefault="00B11861" w:rsidP="00B11861">
            <w:pPr>
              <w:contextualSpacing/>
              <w:jc w:val="center"/>
              <w:rPr>
                <w:rFonts w:eastAsia="Calibri"/>
              </w:rPr>
            </w:pPr>
            <w:r w:rsidRPr="00AF7D9D">
              <w:rPr>
                <w:rFonts w:eastAsia="Calibri"/>
              </w:rPr>
              <w:t>.23**</w:t>
            </w:r>
          </w:p>
        </w:tc>
        <w:tc>
          <w:tcPr>
            <w:tcW w:w="475" w:type="pct"/>
            <w:tcBorders>
              <w:top w:val="nil"/>
              <w:left w:val="nil"/>
              <w:bottom w:val="single" w:sz="4" w:space="0" w:color="auto"/>
              <w:right w:val="nil"/>
            </w:tcBorders>
            <w:vAlign w:val="center"/>
          </w:tcPr>
          <w:p w14:paraId="3D4A0481" w14:textId="77777777" w:rsidR="00B11861" w:rsidRPr="00AF7D9D" w:rsidRDefault="00B11861" w:rsidP="00B11861">
            <w:pPr>
              <w:contextualSpacing/>
              <w:jc w:val="center"/>
              <w:rPr>
                <w:rFonts w:eastAsia="Calibri"/>
              </w:rPr>
            </w:pPr>
            <w:r w:rsidRPr="00AF7D9D">
              <w:rPr>
                <w:rFonts w:eastAsia="Calibri"/>
              </w:rPr>
              <w:t>.10</w:t>
            </w:r>
          </w:p>
        </w:tc>
        <w:tc>
          <w:tcPr>
            <w:tcW w:w="476" w:type="pct"/>
            <w:tcBorders>
              <w:top w:val="nil"/>
              <w:left w:val="nil"/>
              <w:bottom w:val="single" w:sz="4" w:space="0" w:color="auto"/>
              <w:right w:val="nil"/>
            </w:tcBorders>
            <w:vAlign w:val="center"/>
          </w:tcPr>
          <w:p w14:paraId="5B9B9E35" w14:textId="77777777" w:rsidR="00B11861" w:rsidRPr="00AF7D9D" w:rsidRDefault="008E5ADD" w:rsidP="00B11861">
            <w:pPr>
              <w:contextualSpacing/>
              <w:jc w:val="center"/>
              <w:rPr>
                <w:rFonts w:eastAsia="Calibri"/>
              </w:rPr>
            </w:pPr>
            <w:r w:rsidRPr="00AF7D9D">
              <w:rPr>
                <w:rFonts w:eastAsia="Calibri"/>
              </w:rPr>
              <w:t>.73</w:t>
            </w:r>
          </w:p>
        </w:tc>
        <w:tc>
          <w:tcPr>
            <w:tcW w:w="173" w:type="pct"/>
            <w:tcBorders>
              <w:top w:val="nil"/>
              <w:left w:val="nil"/>
              <w:bottom w:val="single" w:sz="4" w:space="0" w:color="auto"/>
              <w:right w:val="nil"/>
            </w:tcBorders>
            <w:vAlign w:val="center"/>
          </w:tcPr>
          <w:p w14:paraId="7C112CD2" w14:textId="77777777" w:rsidR="00B11861" w:rsidRPr="00AF7D9D" w:rsidRDefault="00B11861" w:rsidP="00B11861">
            <w:pPr>
              <w:contextualSpacing/>
              <w:jc w:val="center"/>
              <w:rPr>
                <w:rFonts w:eastAsia="Calibri"/>
              </w:rPr>
            </w:pPr>
          </w:p>
        </w:tc>
        <w:tc>
          <w:tcPr>
            <w:tcW w:w="476" w:type="pct"/>
            <w:tcBorders>
              <w:top w:val="nil"/>
              <w:left w:val="nil"/>
              <w:bottom w:val="single" w:sz="4" w:space="0" w:color="auto"/>
              <w:right w:val="nil"/>
            </w:tcBorders>
            <w:vAlign w:val="center"/>
          </w:tcPr>
          <w:p w14:paraId="39F15EC3" w14:textId="77777777" w:rsidR="00B11861" w:rsidRPr="00AF7D9D" w:rsidRDefault="00B11861" w:rsidP="00B11861">
            <w:pPr>
              <w:contextualSpacing/>
              <w:jc w:val="center"/>
              <w:rPr>
                <w:rFonts w:eastAsia="Calibri"/>
              </w:rPr>
            </w:pPr>
            <w:r w:rsidRPr="00AF7D9D">
              <w:rPr>
                <w:rFonts w:eastAsia="Calibri"/>
              </w:rPr>
              <w:t>.22*</w:t>
            </w:r>
          </w:p>
        </w:tc>
        <w:tc>
          <w:tcPr>
            <w:tcW w:w="476" w:type="pct"/>
            <w:tcBorders>
              <w:top w:val="nil"/>
              <w:left w:val="nil"/>
              <w:bottom w:val="single" w:sz="4" w:space="0" w:color="auto"/>
              <w:right w:val="nil"/>
            </w:tcBorders>
            <w:vAlign w:val="center"/>
          </w:tcPr>
          <w:p w14:paraId="7BCD3D05" w14:textId="77777777" w:rsidR="00B11861" w:rsidRPr="00AF7D9D" w:rsidRDefault="00B11861" w:rsidP="00B11861">
            <w:pPr>
              <w:contextualSpacing/>
              <w:jc w:val="center"/>
              <w:rPr>
                <w:rFonts w:eastAsia="Calibri"/>
              </w:rPr>
            </w:pPr>
            <w:r w:rsidRPr="00AF7D9D">
              <w:rPr>
                <w:rFonts w:eastAsia="Calibri"/>
              </w:rPr>
              <w:t>.11</w:t>
            </w:r>
          </w:p>
        </w:tc>
        <w:tc>
          <w:tcPr>
            <w:tcW w:w="475" w:type="pct"/>
            <w:tcBorders>
              <w:top w:val="nil"/>
              <w:left w:val="nil"/>
              <w:bottom w:val="single" w:sz="4" w:space="0" w:color="auto"/>
              <w:right w:val="nil"/>
            </w:tcBorders>
            <w:vAlign w:val="center"/>
          </w:tcPr>
          <w:p w14:paraId="0BAAF563" w14:textId="77777777" w:rsidR="00B11861" w:rsidRPr="00AF7D9D" w:rsidRDefault="00C578B7" w:rsidP="00B11861">
            <w:pPr>
              <w:contextualSpacing/>
              <w:jc w:val="center"/>
              <w:rPr>
                <w:rFonts w:eastAsia="Calibri"/>
              </w:rPr>
            </w:pPr>
            <w:r w:rsidRPr="00AF7D9D">
              <w:rPr>
                <w:rFonts w:eastAsia="Calibri"/>
              </w:rPr>
              <w:t>.50</w:t>
            </w:r>
          </w:p>
        </w:tc>
      </w:tr>
    </w:tbl>
    <w:p w14:paraId="01DE6229" w14:textId="3AC64DE6" w:rsidR="00AA2667" w:rsidRPr="00AF7D9D" w:rsidRDefault="003B50F0" w:rsidP="003A2DF6">
      <w:pPr>
        <w:spacing w:after="0" w:line="240" w:lineRule="auto"/>
        <w:rPr>
          <w:rFonts w:ascii="Times New Roman" w:eastAsia="Times New Roman" w:hAnsi="Times New Roman" w:cs="Times New Roman"/>
          <w:sz w:val="24"/>
          <w:szCs w:val="24"/>
        </w:rPr>
      </w:pPr>
      <w:r w:rsidRPr="00AF7D9D">
        <w:rPr>
          <w:rFonts w:ascii="Times New Roman" w:eastAsia="Times New Roman" w:hAnsi="Times New Roman" w:cs="Times New Roman"/>
          <w:sz w:val="24"/>
          <w:szCs w:val="24"/>
        </w:rPr>
        <w:t xml:space="preserve">Note. </w:t>
      </w:r>
      <w:r w:rsidR="00641C2C" w:rsidRPr="00AF7D9D">
        <w:rPr>
          <w:rFonts w:ascii="Times New Roman" w:hAnsi="Times New Roman" w:cs="Times New Roman"/>
          <w:sz w:val="24"/>
          <w:szCs w:val="24"/>
        </w:rPr>
        <w:t xml:space="preserve">YPI-S = Youth Psychopathic Traits Inventory – Short Form. DIRP = Detection of Inconsistent Response Presentation Scale. </w:t>
      </w:r>
      <w:r w:rsidRPr="00AF7D9D">
        <w:rPr>
          <w:rFonts w:ascii="Times New Roman" w:eastAsia="Times New Roman" w:hAnsi="Times New Roman" w:cs="Times New Roman"/>
          <w:sz w:val="24"/>
          <w:szCs w:val="24"/>
        </w:rPr>
        <w:t>BFI = Big Five Inventory</w:t>
      </w:r>
      <w:r w:rsidR="00641C2C" w:rsidRPr="00AF7D9D">
        <w:rPr>
          <w:rFonts w:ascii="Times New Roman" w:eastAsia="Times New Roman" w:hAnsi="Times New Roman" w:cs="Times New Roman"/>
          <w:sz w:val="24"/>
          <w:szCs w:val="24"/>
        </w:rPr>
        <w:t>.</w:t>
      </w:r>
      <w:r w:rsidR="004E78B9" w:rsidRPr="00AF7D9D">
        <w:rPr>
          <w:rFonts w:ascii="Times New Roman" w:eastAsia="Times New Roman" w:hAnsi="Times New Roman" w:cs="Times New Roman"/>
          <w:sz w:val="24"/>
          <w:szCs w:val="24"/>
        </w:rPr>
        <w:t xml:space="preserve"> ICL-R = In</w:t>
      </w:r>
      <w:r w:rsidR="00641C2C" w:rsidRPr="00AF7D9D">
        <w:rPr>
          <w:rFonts w:ascii="Times New Roman" w:eastAsia="Times New Roman" w:hAnsi="Times New Roman" w:cs="Times New Roman"/>
          <w:sz w:val="24"/>
          <w:szCs w:val="24"/>
        </w:rPr>
        <w:t>terpersonal Checklist – Revised.</w:t>
      </w:r>
      <w:r w:rsidR="004E78B9" w:rsidRPr="00AF7D9D">
        <w:rPr>
          <w:rFonts w:ascii="Times New Roman" w:eastAsia="Times New Roman" w:hAnsi="Times New Roman" w:cs="Times New Roman"/>
          <w:sz w:val="24"/>
          <w:szCs w:val="24"/>
        </w:rPr>
        <w:t xml:space="preserve"> DUDIT = Drug Use Disorders Identification Test</w:t>
      </w:r>
      <w:r w:rsidR="00641C2C" w:rsidRPr="00AF7D9D">
        <w:rPr>
          <w:rFonts w:ascii="Times New Roman" w:eastAsia="Times New Roman" w:hAnsi="Times New Roman" w:cs="Times New Roman"/>
          <w:sz w:val="24"/>
          <w:szCs w:val="24"/>
        </w:rPr>
        <w:t>.</w:t>
      </w:r>
      <w:r w:rsidR="000C2958" w:rsidRPr="00AF7D9D">
        <w:rPr>
          <w:rFonts w:ascii="Times New Roman" w:eastAsia="Times New Roman" w:hAnsi="Times New Roman" w:cs="Times New Roman"/>
          <w:sz w:val="24"/>
          <w:szCs w:val="24"/>
        </w:rPr>
        <w:t xml:space="preserve"> SAU= Screening of Alcohol Use.</w:t>
      </w:r>
      <w:r w:rsidR="00641C2C" w:rsidRPr="00AF7D9D">
        <w:rPr>
          <w:rFonts w:ascii="Times New Roman" w:eastAsia="Times New Roman" w:hAnsi="Times New Roman" w:cs="Times New Roman"/>
          <w:sz w:val="24"/>
          <w:szCs w:val="24"/>
        </w:rPr>
        <w:t xml:space="preserve"> </w:t>
      </w:r>
      <w:r w:rsidRPr="00AF7D9D">
        <w:rPr>
          <w:rFonts w:ascii="Times New Roman" w:eastAsia="Times New Roman" w:hAnsi="Times New Roman" w:cs="Times New Roman"/>
          <w:sz w:val="24"/>
          <w:szCs w:val="24"/>
        </w:rPr>
        <w:t>*</w:t>
      </w:r>
      <w:r w:rsidRPr="00AF7D9D">
        <w:rPr>
          <w:rFonts w:ascii="Times New Roman" w:eastAsia="Times New Roman" w:hAnsi="Times New Roman" w:cs="Times New Roman"/>
          <w:i/>
          <w:sz w:val="24"/>
          <w:szCs w:val="24"/>
        </w:rPr>
        <w:t>p</w:t>
      </w:r>
      <w:r w:rsidRPr="00AF7D9D">
        <w:rPr>
          <w:rFonts w:ascii="Times New Roman" w:eastAsia="Times New Roman" w:hAnsi="Times New Roman" w:cs="Times New Roman"/>
          <w:sz w:val="24"/>
          <w:szCs w:val="24"/>
        </w:rPr>
        <w:t xml:space="preserve"> &lt; .05, **</w:t>
      </w:r>
      <w:r w:rsidRPr="00AF7D9D">
        <w:rPr>
          <w:rFonts w:ascii="Times New Roman" w:eastAsia="Times New Roman" w:hAnsi="Times New Roman" w:cs="Times New Roman"/>
          <w:i/>
          <w:sz w:val="24"/>
          <w:szCs w:val="24"/>
        </w:rPr>
        <w:t>p</w:t>
      </w:r>
      <w:r w:rsidRPr="00AF7D9D">
        <w:rPr>
          <w:rFonts w:ascii="Times New Roman" w:eastAsia="Times New Roman" w:hAnsi="Times New Roman" w:cs="Times New Roman"/>
          <w:sz w:val="24"/>
          <w:szCs w:val="24"/>
        </w:rPr>
        <w:t xml:space="preserve"> &lt; .01</w:t>
      </w:r>
    </w:p>
    <w:sectPr w:rsidR="00AA2667" w:rsidRPr="00AF7D9D" w:rsidSect="0032775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B91D1" w14:textId="77777777" w:rsidR="002C536A" w:rsidRDefault="002C536A" w:rsidP="001E2AB3">
      <w:pPr>
        <w:spacing w:after="0" w:line="240" w:lineRule="auto"/>
      </w:pPr>
      <w:r>
        <w:separator/>
      </w:r>
    </w:p>
  </w:endnote>
  <w:endnote w:type="continuationSeparator" w:id="0">
    <w:p w14:paraId="21479201" w14:textId="77777777" w:rsidR="002C536A" w:rsidRDefault="002C536A" w:rsidP="001E2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6FA27" w14:textId="77777777" w:rsidR="002C536A" w:rsidRDefault="002C536A" w:rsidP="001E2AB3">
      <w:pPr>
        <w:spacing w:after="0" w:line="240" w:lineRule="auto"/>
      </w:pPr>
      <w:r>
        <w:separator/>
      </w:r>
    </w:p>
  </w:footnote>
  <w:footnote w:type="continuationSeparator" w:id="0">
    <w:p w14:paraId="5CC66FA0" w14:textId="77777777" w:rsidR="002C536A" w:rsidRDefault="002C536A" w:rsidP="001E2AB3">
      <w:pPr>
        <w:spacing w:after="0" w:line="240" w:lineRule="auto"/>
      </w:pPr>
      <w:r>
        <w:continuationSeparator/>
      </w:r>
    </w:p>
  </w:footnote>
  <w:footnote w:id="1">
    <w:p w14:paraId="18D7024A" w14:textId="77777777" w:rsidR="003377FD" w:rsidRPr="00F3702A" w:rsidRDefault="003377FD">
      <w:pPr>
        <w:pStyle w:val="FootnoteText"/>
        <w:rPr>
          <w:rFonts w:ascii="Times New Roman" w:hAnsi="Times New Roman" w:cs="Times New Roman"/>
        </w:rPr>
      </w:pPr>
      <w:r w:rsidRPr="00F3702A">
        <w:rPr>
          <w:rStyle w:val="FootnoteReference"/>
          <w:rFonts w:ascii="Times New Roman" w:hAnsi="Times New Roman" w:cs="Times New Roman"/>
        </w:rPr>
        <w:footnoteRef/>
      </w:r>
      <w:r w:rsidRPr="00F3702A">
        <w:rPr>
          <w:rFonts w:ascii="Times New Roman" w:hAnsi="Times New Roman" w:cs="Times New Roman"/>
        </w:rPr>
        <w:t xml:space="preserve"> These item pairs subsequently were examined in samples 4-5 to ensure that their performance was comparable to </w:t>
      </w:r>
      <w:r>
        <w:rPr>
          <w:rFonts w:ascii="Times New Roman" w:hAnsi="Times New Roman" w:cs="Times New Roman"/>
        </w:rPr>
        <w:t xml:space="preserve">what was observed in </w:t>
      </w:r>
      <w:r w:rsidRPr="00F3702A">
        <w:rPr>
          <w:rFonts w:ascii="Times New Roman" w:hAnsi="Times New Roman" w:cs="Times New Roman"/>
        </w:rPr>
        <w:t>sampl</w:t>
      </w:r>
      <w:r>
        <w:rPr>
          <w:rFonts w:ascii="Times New Roman" w:hAnsi="Times New Roman" w:cs="Times New Roman"/>
        </w:rPr>
        <w:t>es 1-3 (see Table 1 for full</w:t>
      </w:r>
      <w:r w:rsidRPr="00F3702A">
        <w:rPr>
          <w:rFonts w:ascii="Times New Roman" w:hAnsi="Times New Roman" w:cs="Times New Roman"/>
        </w:rPr>
        <w:t xml:space="preserve"> results</w:t>
      </w:r>
      <w:r>
        <w:rPr>
          <w:rFonts w:ascii="Times New Roman" w:hAnsi="Times New Roman" w:cs="Times New Roman"/>
        </w:rPr>
        <w:t xml:space="preserve"> across all 5 samples</w:t>
      </w:r>
      <w:r w:rsidRPr="00F3702A">
        <w:rPr>
          <w:rFonts w:ascii="Times New Roman" w:hAnsi="Times New Roman" w:cs="Times New Roman"/>
        </w:rPr>
        <w:t>).</w:t>
      </w:r>
    </w:p>
  </w:footnote>
  <w:footnote w:id="2">
    <w:p w14:paraId="0B7F7F0B" w14:textId="77777777" w:rsidR="003377FD" w:rsidRPr="00767A61" w:rsidRDefault="003377FD" w:rsidP="00CA79DF">
      <w:pPr>
        <w:pStyle w:val="FootnoteText"/>
        <w:rPr>
          <w:rFonts w:ascii="Times New Roman" w:hAnsi="Times New Roman" w:cs="Times New Roman"/>
        </w:rPr>
      </w:pPr>
      <w:r w:rsidRPr="00767A61">
        <w:rPr>
          <w:rStyle w:val="FootnoteReference"/>
          <w:rFonts w:ascii="Times New Roman" w:hAnsi="Times New Roman" w:cs="Times New Roman"/>
        </w:rPr>
        <w:footnoteRef/>
      </w:r>
      <w:r w:rsidRPr="00767A61">
        <w:rPr>
          <w:rFonts w:ascii="Times New Roman" w:hAnsi="Times New Roman" w:cs="Times New Roman"/>
        </w:rPr>
        <w:t xml:space="preserve"> </w:t>
      </w:r>
      <w:r>
        <w:rPr>
          <w:rFonts w:ascii="Times New Roman" w:hAnsi="Times New Roman" w:cs="Times New Roman"/>
        </w:rPr>
        <w:t>Complete</w:t>
      </w:r>
      <w:r w:rsidRPr="00767A61">
        <w:rPr>
          <w:rFonts w:ascii="Times New Roman" w:hAnsi="Times New Roman" w:cs="Times New Roman"/>
        </w:rPr>
        <w:t xml:space="preserve"> correlation matrices are available from the second author upon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890935"/>
      <w:docPartObj>
        <w:docPartGallery w:val="Page Numbers (Top of Page)"/>
        <w:docPartUnique/>
      </w:docPartObj>
    </w:sdtPr>
    <w:sdtEndPr>
      <w:rPr>
        <w:rFonts w:ascii="Times New Roman" w:hAnsi="Times New Roman" w:cs="Times New Roman"/>
        <w:noProof/>
        <w:sz w:val="24"/>
        <w:szCs w:val="24"/>
      </w:rPr>
    </w:sdtEndPr>
    <w:sdtContent>
      <w:p w14:paraId="16978B91" w14:textId="371F0964" w:rsidR="003377FD" w:rsidRPr="00CD44E1" w:rsidRDefault="00642C8C" w:rsidP="00642C8C">
        <w:pPr>
          <w:pStyle w:val="Header"/>
          <w:rPr>
            <w:rFonts w:ascii="Times New Roman" w:hAnsi="Times New Roman" w:cs="Times New Roman"/>
            <w:sz w:val="24"/>
            <w:szCs w:val="24"/>
          </w:rPr>
        </w:pPr>
        <w:r w:rsidRPr="00642C8C">
          <w:rPr>
            <w:rFonts w:ascii="Times New Roman" w:hAnsi="Times New Roman" w:cs="Times New Roman"/>
            <w:sz w:val="24"/>
            <w:szCs w:val="24"/>
          </w:rPr>
          <w:t>YPI-S INCONSISTENCY SCALE</w:t>
        </w:r>
        <w:r>
          <w:tab/>
        </w:r>
        <w:r>
          <w:tab/>
        </w:r>
        <w:r w:rsidR="003377FD" w:rsidRPr="00CD44E1">
          <w:rPr>
            <w:rFonts w:ascii="Times New Roman" w:hAnsi="Times New Roman" w:cs="Times New Roman"/>
            <w:sz w:val="24"/>
            <w:szCs w:val="24"/>
          </w:rPr>
          <w:fldChar w:fldCharType="begin"/>
        </w:r>
        <w:r w:rsidR="003377FD" w:rsidRPr="00CD44E1">
          <w:rPr>
            <w:rFonts w:ascii="Times New Roman" w:hAnsi="Times New Roman" w:cs="Times New Roman"/>
            <w:sz w:val="24"/>
            <w:szCs w:val="24"/>
          </w:rPr>
          <w:instrText xml:space="preserve"> PAGE   \* MERGEFORMAT </w:instrText>
        </w:r>
        <w:r w:rsidR="003377FD" w:rsidRPr="00CD44E1">
          <w:rPr>
            <w:rFonts w:ascii="Times New Roman" w:hAnsi="Times New Roman" w:cs="Times New Roman"/>
            <w:sz w:val="24"/>
            <w:szCs w:val="24"/>
          </w:rPr>
          <w:fldChar w:fldCharType="separate"/>
        </w:r>
        <w:r w:rsidR="00AF7D9D">
          <w:rPr>
            <w:rFonts w:ascii="Times New Roman" w:hAnsi="Times New Roman" w:cs="Times New Roman"/>
            <w:noProof/>
            <w:sz w:val="24"/>
            <w:szCs w:val="24"/>
          </w:rPr>
          <w:t>21</w:t>
        </w:r>
        <w:r w:rsidR="003377FD" w:rsidRPr="00CD44E1">
          <w:rPr>
            <w:rFonts w:ascii="Times New Roman" w:hAnsi="Times New Roman" w:cs="Times New Roman"/>
            <w:noProof/>
            <w:sz w:val="24"/>
            <w:szCs w:val="24"/>
          </w:rPr>
          <w:fldChar w:fldCharType="end"/>
        </w:r>
      </w:p>
    </w:sdtContent>
  </w:sdt>
  <w:p w14:paraId="4ED1FF6F" w14:textId="3B274C26" w:rsidR="003377FD" w:rsidRDefault="003377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378D2" w14:textId="77777777" w:rsidR="003377FD" w:rsidRPr="00CD44E1" w:rsidRDefault="003377FD">
    <w:pPr>
      <w:pStyle w:val="Header"/>
      <w:rPr>
        <w:rFonts w:ascii="Times New Roman" w:hAnsi="Times New Roman" w:cs="Times New Roman"/>
        <w:sz w:val="24"/>
        <w:szCs w:val="24"/>
      </w:rPr>
    </w:pPr>
    <w:r w:rsidRPr="00CD44E1">
      <w:rPr>
        <w:rFonts w:ascii="Times New Roman" w:hAnsi="Times New Roman" w:cs="Times New Roman"/>
        <w:sz w:val="24"/>
        <w:szCs w:val="24"/>
      </w:rPr>
      <w:t>Running head: YPI-S INCONSISTENCY SCALE</w:t>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17"/>
    <w:rsid w:val="00000F3E"/>
    <w:rsid w:val="00004CA1"/>
    <w:rsid w:val="00013D38"/>
    <w:rsid w:val="0001713C"/>
    <w:rsid w:val="00025B81"/>
    <w:rsid w:val="000261B2"/>
    <w:rsid w:val="0003567F"/>
    <w:rsid w:val="00040B4B"/>
    <w:rsid w:val="00041F86"/>
    <w:rsid w:val="000429EE"/>
    <w:rsid w:val="00051845"/>
    <w:rsid w:val="00065819"/>
    <w:rsid w:val="00066CC7"/>
    <w:rsid w:val="0006771A"/>
    <w:rsid w:val="000874D4"/>
    <w:rsid w:val="00096145"/>
    <w:rsid w:val="00096297"/>
    <w:rsid w:val="000A0113"/>
    <w:rsid w:val="000B224D"/>
    <w:rsid w:val="000B6569"/>
    <w:rsid w:val="000B6BC7"/>
    <w:rsid w:val="000C1489"/>
    <w:rsid w:val="000C2958"/>
    <w:rsid w:val="000C2B0F"/>
    <w:rsid w:val="000E48C9"/>
    <w:rsid w:val="000E4CB0"/>
    <w:rsid w:val="000F0DE1"/>
    <w:rsid w:val="000F20D6"/>
    <w:rsid w:val="000F4517"/>
    <w:rsid w:val="00110346"/>
    <w:rsid w:val="00110BE3"/>
    <w:rsid w:val="00113237"/>
    <w:rsid w:val="0012282E"/>
    <w:rsid w:val="00123B17"/>
    <w:rsid w:val="00124E44"/>
    <w:rsid w:val="00127A85"/>
    <w:rsid w:val="00134553"/>
    <w:rsid w:val="00134896"/>
    <w:rsid w:val="00135FCB"/>
    <w:rsid w:val="00137085"/>
    <w:rsid w:val="00161F9B"/>
    <w:rsid w:val="00163528"/>
    <w:rsid w:val="001708CA"/>
    <w:rsid w:val="00170EC3"/>
    <w:rsid w:val="00185C89"/>
    <w:rsid w:val="001920B6"/>
    <w:rsid w:val="00192470"/>
    <w:rsid w:val="001A0B86"/>
    <w:rsid w:val="001A68EE"/>
    <w:rsid w:val="001B1BC8"/>
    <w:rsid w:val="001B1DCC"/>
    <w:rsid w:val="001B2588"/>
    <w:rsid w:val="001B435B"/>
    <w:rsid w:val="001B4AA5"/>
    <w:rsid w:val="001D594D"/>
    <w:rsid w:val="001D789C"/>
    <w:rsid w:val="001E2AB3"/>
    <w:rsid w:val="001E3E3A"/>
    <w:rsid w:val="001F0602"/>
    <w:rsid w:val="001F0639"/>
    <w:rsid w:val="001F7721"/>
    <w:rsid w:val="002045E7"/>
    <w:rsid w:val="00210424"/>
    <w:rsid w:val="002141A9"/>
    <w:rsid w:val="00216572"/>
    <w:rsid w:val="002225AD"/>
    <w:rsid w:val="0023154C"/>
    <w:rsid w:val="0024767B"/>
    <w:rsid w:val="0025583E"/>
    <w:rsid w:val="002657E5"/>
    <w:rsid w:val="0026614A"/>
    <w:rsid w:val="0029011F"/>
    <w:rsid w:val="00292C81"/>
    <w:rsid w:val="00293288"/>
    <w:rsid w:val="002B2035"/>
    <w:rsid w:val="002B3108"/>
    <w:rsid w:val="002C309E"/>
    <w:rsid w:val="002C536A"/>
    <w:rsid w:val="002D192B"/>
    <w:rsid w:val="002D7764"/>
    <w:rsid w:val="002E6DD6"/>
    <w:rsid w:val="002E7129"/>
    <w:rsid w:val="002F0DCC"/>
    <w:rsid w:val="002F7375"/>
    <w:rsid w:val="003006E0"/>
    <w:rsid w:val="00302FF9"/>
    <w:rsid w:val="00304C13"/>
    <w:rsid w:val="00311116"/>
    <w:rsid w:val="003217CF"/>
    <w:rsid w:val="0032325A"/>
    <w:rsid w:val="00323BFE"/>
    <w:rsid w:val="003269BD"/>
    <w:rsid w:val="0032775A"/>
    <w:rsid w:val="003323F9"/>
    <w:rsid w:val="0033290D"/>
    <w:rsid w:val="003377FD"/>
    <w:rsid w:val="003469F4"/>
    <w:rsid w:val="00353910"/>
    <w:rsid w:val="0035431C"/>
    <w:rsid w:val="0037124A"/>
    <w:rsid w:val="00372DF4"/>
    <w:rsid w:val="00380232"/>
    <w:rsid w:val="0038402E"/>
    <w:rsid w:val="003A1CCC"/>
    <w:rsid w:val="003A2DF6"/>
    <w:rsid w:val="003B1F1C"/>
    <w:rsid w:val="003B50F0"/>
    <w:rsid w:val="003B5772"/>
    <w:rsid w:val="003C02F6"/>
    <w:rsid w:val="003D3DD7"/>
    <w:rsid w:val="003D63E8"/>
    <w:rsid w:val="003E03A8"/>
    <w:rsid w:val="003E1E43"/>
    <w:rsid w:val="003E48E1"/>
    <w:rsid w:val="0040126C"/>
    <w:rsid w:val="00402771"/>
    <w:rsid w:val="00403C64"/>
    <w:rsid w:val="00406ABA"/>
    <w:rsid w:val="00410DD3"/>
    <w:rsid w:val="00411734"/>
    <w:rsid w:val="0042092D"/>
    <w:rsid w:val="00430035"/>
    <w:rsid w:val="004426FA"/>
    <w:rsid w:val="004521F5"/>
    <w:rsid w:val="00452CAE"/>
    <w:rsid w:val="0045358E"/>
    <w:rsid w:val="00462692"/>
    <w:rsid w:val="0046654C"/>
    <w:rsid w:val="004815D7"/>
    <w:rsid w:val="004844F8"/>
    <w:rsid w:val="004A0459"/>
    <w:rsid w:val="004A252F"/>
    <w:rsid w:val="004B1684"/>
    <w:rsid w:val="004B59E9"/>
    <w:rsid w:val="004B6DC6"/>
    <w:rsid w:val="004C0D41"/>
    <w:rsid w:val="004D19A7"/>
    <w:rsid w:val="004D19B9"/>
    <w:rsid w:val="004D1C3D"/>
    <w:rsid w:val="004D2261"/>
    <w:rsid w:val="004E4BC2"/>
    <w:rsid w:val="004E4BE2"/>
    <w:rsid w:val="004E51D4"/>
    <w:rsid w:val="004E78B9"/>
    <w:rsid w:val="004F2F54"/>
    <w:rsid w:val="0051376E"/>
    <w:rsid w:val="00513B95"/>
    <w:rsid w:val="005159C1"/>
    <w:rsid w:val="00521C8B"/>
    <w:rsid w:val="00526DAE"/>
    <w:rsid w:val="00550EAC"/>
    <w:rsid w:val="00553495"/>
    <w:rsid w:val="00554B93"/>
    <w:rsid w:val="0055705D"/>
    <w:rsid w:val="0056526D"/>
    <w:rsid w:val="00584473"/>
    <w:rsid w:val="00584E76"/>
    <w:rsid w:val="00594318"/>
    <w:rsid w:val="005946C4"/>
    <w:rsid w:val="00595BF2"/>
    <w:rsid w:val="005B0ACA"/>
    <w:rsid w:val="005B68AF"/>
    <w:rsid w:val="005C013A"/>
    <w:rsid w:val="005C2EB2"/>
    <w:rsid w:val="005C6782"/>
    <w:rsid w:val="005E2014"/>
    <w:rsid w:val="005F21E6"/>
    <w:rsid w:val="005F4385"/>
    <w:rsid w:val="0060417E"/>
    <w:rsid w:val="00604432"/>
    <w:rsid w:val="0061145D"/>
    <w:rsid w:val="0061704A"/>
    <w:rsid w:val="00630BAA"/>
    <w:rsid w:val="00631FC0"/>
    <w:rsid w:val="00636E4F"/>
    <w:rsid w:val="006416FE"/>
    <w:rsid w:val="00641C2C"/>
    <w:rsid w:val="00642C8C"/>
    <w:rsid w:val="0065060F"/>
    <w:rsid w:val="006572AD"/>
    <w:rsid w:val="00665BBD"/>
    <w:rsid w:val="00686DB3"/>
    <w:rsid w:val="006914E3"/>
    <w:rsid w:val="006A10CD"/>
    <w:rsid w:val="006A39EA"/>
    <w:rsid w:val="006C0068"/>
    <w:rsid w:val="006C28E0"/>
    <w:rsid w:val="006C2AB7"/>
    <w:rsid w:val="006E6769"/>
    <w:rsid w:val="006F170C"/>
    <w:rsid w:val="006F7061"/>
    <w:rsid w:val="007073DE"/>
    <w:rsid w:val="00707510"/>
    <w:rsid w:val="00710CE9"/>
    <w:rsid w:val="00711730"/>
    <w:rsid w:val="0071226B"/>
    <w:rsid w:val="00715509"/>
    <w:rsid w:val="00720C99"/>
    <w:rsid w:val="00724755"/>
    <w:rsid w:val="00737A64"/>
    <w:rsid w:val="00741E07"/>
    <w:rsid w:val="007446C4"/>
    <w:rsid w:val="0074645E"/>
    <w:rsid w:val="007564FA"/>
    <w:rsid w:val="00756BCA"/>
    <w:rsid w:val="007647DA"/>
    <w:rsid w:val="00767A61"/>
    <w:rsid w:val="0077118A"/>
    <w:rsid w:val="007715AE"/>
    <w:rsid w:val="00776BD2"/>
    <w:rsid w:val="00777937"/>
    <w:rsid w:val="00780ABE"/>
    <w:rsid w:val="007856B8"/>
    <w:rsid w:val="00792F99"/>
    <w:rsid w:val="00794B0E"/>
    <w:rsid w:val="007A1AAA"/>
    <w:rsid w:val="007B0D02"/>
    <w:rsid w:val="007C63A9"/>
    <w:rsid w:val="007D1D60"/>
    <w:rsid w:val="007D2BFA"/>
    <w:rsid w:val="007E5DCE"/>
    <w:rsid w:val="007F0063"/>
    <w:rsid w:val="007F283A"/>
    <w:rsid w:val="00803177"/>
    <w:rsid w:val="0081020F"/>
    <w:rsid w:val="00812D39"/>
    <w:rsid w:val="008133D8"/>
    <w:rsid w:val="00816B57"/>
    <w:rsid w:val="00826110"/>
    <w:rsid w:val="008263FA"/>
    <w:rsid w:val="0082688D"/>
    <w:rsid w:val="008376BA"/>
    <w:rsid w:val="008418EA"/>
    <w:rsid w:val="00843C80"/>
    <w:rsid w:val="0084510A"/>
    <w:rsid w:val="00845C4A"/>
    <w:rsid w:val="0085182A"/>
    <w:rsid w:val="008601B0"/>
    <w:rsid w:val="00867928"/>
    <w:rsid w:val="00872754"/>
    <w:rsid w:val="00885C55"/>
    <w:rsid w:val="008964BD"/>
    <w:rsid w:val="008A46EE"/>
    <w:rsid w:val="008A6AD4"/>
    <w:rsid w:val="008B0AF1"/>
    <w:rsid w:val="008B499E"/>
    <w:rsid w:val="008D074D"/>
    <w:rsid w:val="008D357F"/>
    <w:rsid w:val="008D3A75"/>
    <w:rsid w:val="008D71FD"/>
    <w:rsid w:val="008D7FCD"/>
    <w:rsid w:val="008E5ADD"/>
    <w:rsid w:val="008E6BC6"/>
    <w:rsid w:val="008F4ECA"/>
    <w:rsid w:val="008F6867"/>
    <w:rsid w:val="00903188"/>
    <w:rsid w:val="0090592E"/>
    <w:rsid w:val="009131E0"/>
    <w:rsid w:val="009132EF"/>
    <w:rsid w:val="0091552E"/>
    <w:rsid w:val="009231C2"/>
    <w:rsid w:val="0094296A"/>
    <w:rsid w:val="00945A33"/>
    <w:rsid w:val="009475FA"/>
    <w:rsid w:val="00956B7E"/>
    <w:rsid w:val="009657B1"/>
    <w:rsid w:val="00971BC1"/>
    <w:rsid w:val="00977AED"/>
    <w:rsid w:val="009A6D97"/>
    <w:rsid w:val="009B4ADC"/>
    <w:rsid w:val="009B6044"/>
    <w:rsid w:val="009C1170"/>
    <w:rsid w:val="009E1972"/>
    <w:rsid w:val="009E2E29"/>
    <w:rsid w:val="009E5115"/>
    <w:rsid w:val="00A059FA"/>
    <w:rsid w:val="00A32716"/>
    <w:rsid w:val="00A43B96"/>
    <w:rsid w:val="00A4558F"/>
    <w:rsid w:val="00A57425"/>
    <w:rsid w:val="00A61318"/>
    <w:rsid w:val="00A6662F"/>
    <w:rsid w:val="00A7212C"/>
    <w:rsid w:val="00A72F83"/>
    <w:rsid w:val="00A73C40"/>
    <w:rsid w:val="00A740B1"/>
    <w:rsid w:val="00A8217D"/>
    <w:rsid w:val="00A83813"/>
    <w:rsid w:val="00A84A58"/>
    <w:rsid w:val="00A86EDA"/>
    <w:rsid w:val="00A93FB3"/>
    <w:rsid w:val="00AA03C4"/>
    <w:rsid w:val="00AA2667"/>
    <w:rsid w:val="00AA540D"/>
    <w:rsid w:val="00AB573A"/>
    <w:rsid w:val="00AC3CC0"/>
    <w:rsid w:val="00AC4F13"/>
    <w:rsid w:val="00AC5DBA"/>
    <w:rsid w:val="00AD236F"/>
    <w:rsid w:val="00AD468B"/>
    <w:rsid w:val="00AD5B52"/>
    <w:rsid w:val="00AD7D76"/>
    <w:rsid w:val="00AE04E2"/>
    <w:rsid w:val="00AE447E"/>
    <w:rsid w:val="00AE52A1"/>
    <w:rsid w:val="00AE68CB"/>
    <w:rsid w:val="00AF12C3"/>
    <w:rsid w:val="00AF407E"/>
    <w:rsid w:val="00AF58C2"/>
    <w:rsid w:val="00AF7D9D"/>
    <w:rsid w:val="00B0460B"/>
    <w:rsid w:val="00B07900"/>
    <w:rsid w:val="00B10AF7"/>
    <w:rsid w:val="00B11861"/>
    <w:rsid w:val="00B11969"/>
    <w:rsid w:val="00B12DD5"/>
    <w:rsid w:val="00B143BB"/>
    <w:rsid w:val="00B24955"/>
    <w:rsid w:val="00B251F6"/>
    <w:rsid w:val="00B30385"/>
    <w:rsid w:val="00B4110E"/>
    <w:rsid w:val="00B4182B"/>
    <w:rsid w:val="00B457EF"/>
    <w:rsid w:val="00B4766A"/>
    <w:rsid w:val="00B56AFC"/>
    <w:rsid w:val="00B61C10"/>
    <w:rsid w:val="00B720A4"/>
    <w:rsid w:val="00B74825"/>
    <w:rsid w:val="00B7610B"/>
    <w:rsid w:val="00B84A4D"/>
    <w:rsid w:val="00B863ED"/>
    <w:rsid w:val="00B86ED6"/>
    <w:rsid w:val="00B9020F"/>
    <w:rsid w:val="00B95FCD"/>
    <w:rsid w:val="00BB06A0"/>
    <w:rsid w:val="00BD780A"/>
    <w:rsid w:val="00BE2595"/>
    <w:rsid w:val="00C1139C"/>
    <w:rsid w:val="00C115E1"/>
    <w:rsid w:val="00C211E1"/>
    <w:rsid w:val="00C30C04"/>
    <w:rsid w:val="00C529B5"/>
    <w:rsid w:val="00C578B7"/>
    <w:rsid w:val="00C631D5"/>
    <w:rsid w:val="00C644F7"/>
    <w:rsid w:val="00C663A3"/>
    <w:rsid w:val="00C772FB"/>
    <w:rsid w:val="00CA664F"/>
    <w:rsid w:val="00CA79DF"/>
    <w:rsid w:val="00CC14F0"/>
    <w:rsid w:val="00CC525D"/>
    <w:rsid w:val="00CC7B44"/>
    <w:rsid w:val="00CD1171"/>
    <w:rsid w:val="00CD247F"/>
    <w:rsid w:val="00CD44E1"/>
    <w:rsid w:val="00CD5F64"/>
    <w:rsid w:val="00CD6D09"/>
    <w:rsid w:val="00CE47C0"/>
    <w:rsid w:val="00CE7800"/>
    <w:rsid w:val="00CF4BD4"/>
    <w:rsid w:val="00CF5146"/>
    <w:rsid w:val="00D00333"/>
    <w:rsid w:val="00D07A3E"/>
    <w:rsid w:val="00D24F74"/>
    <w:rsid w:val="00D3005E"/>
    <w:rsid w:val="00D4480C"/>
    <w:rsid w:val="00D45603"/>
    <w:rsid w:val="00D5610C"/>
    <w:rsid w:val="00D612F6"/>
    <w:rsid w:val="00D637D2"/>
    <w:rsid w:val="00D66300"/>
    <w:rsid w:val="00D70DCF"/>
    <w:rsid w:val="00D7473E"/>
    <w:rsid w:val="00D75909"/>
    <w:rsid w:val="00D768F5"/>
    <w:rsid w:val="00D97E72"/>
    <w:rsid w:val="00DA6A8E"/>
    <w:rsid w:val="00DA72AE"/>
    <w:rsid w:val="00DB3D4A"/>
    <w:rsid w:val="00DB3DDB"/>
    <w:rsid w:val="00DD72A5"/>
    <w:rsid w:val="00DE25F2"/>
    <w:rsid w:val="00DE3B55"/>
    <w:rsid w:val="00DE5694"/>
    <w:rsid w:val="00DE7D58"/>
    <w:rsid w:val="00E040E9"/>
    <w:rsid w:val="00E06071"/>
    <w:rsid w:val="00E1041B"/>
    <w:rsid w:val="00E13834"/>
    <w:rsid w:val="00E21FBC"/>
    <w:rsid w:val="00E2228A"/>
    <w:rsid w:val="00E27538"/>
    <w:rsid w:val="00E30CD6"/>
    <w:rsid w:val="00E4025E"/>
    <w:rsid w:val="00E40D20"/>
    <w:rsid w:val="00E43D3D"/>
    <w:rsid w:val="00E448DC"/>
    <w:rsid w:val="00E5255B"/>
    <w:rsid w:val="00E5683C"/>
    <w:rsid w:val="00E57CAF"/>
    <w:rsid w:val="00E57EDC"/>
    <w:rsid w:val="00E6001B"/>
    <w:rsid w:val="00E60DC9"/>
    <w:rsid w:val="00E93595"/>
    <w:rsid w:val="00E93930"/>
    <w:rsid w:val="00E94696"/>
    <w:rsid w:val="00E95135"/>
    <w:rsid w:val="00E966A0"/>
    <w:rsid w:val="00E96E95"/>
    <w:rsid w:val="00EA7794"/>
    <w:rsid w:val="00EB3666"/>
    <w:rsid w:val="00ED31C0"/>
    <w:rsid w:val="00EE32C2"/>
    <w:rsid w:val="00F01488"/>
    <w:rsid w:val="00F054EF"/>
    <w:rsid w:val="00F0562C"/>
    <w:rsid w:val="00F05DBF"/>
    <w:rsid w:val="00F1015F"/>
    <w:rsid w:val="00F1432A"/>
    <w:rsid w:val="00F15257"/>
    <w:rsid w:val="00F15265"/>
    <w:rsid w:val="00F20017"/>
    <w:rsid w:val="00F22EDB"/>
    <w:rsid w:val="00F24EDE"/>
    <w:rsid w:val="00F27B4A"/>
    <w:rsid w:val="00F35841"/>
    <w:rsid w:val="00F36ED1"/>
    <w:rsid w:val="00F3702A"/>
    <w:rsid w:val="00F40A18"/>
    <w:rsid w:val="00F469C5"/>
    <w:rsid w:val="00F52525"/>
    <w:rsid w:val="00F631AB"/>
    <w:rsid w:val="00F641F6"/>
    <w:rsid w:val="00F65F27"/>
    <w:rsid w:val="00F70A38"/>
    <w:rsid w:val="00F71952"/>
    <w:rsid w:val="00F75F30"/>
    <w:rsid w:val="00F76D2D"/>
    <w:rsid w:val="00F8781D"/>
    <w:rsid w:val="00F936E5"/>
    <w:rsid w:val="00F97453"/>
    <w:rsid w:val="00FA1415"/>
    <w:rsid w:val="00FB7057"/>
    <w:rsid w:val="00FC0FD1"/>
    <w:rsid w:val="00FC4CE8"/>
    <w:rsid w:val="00FD21A4"/>
    <w:rsid w:val="00FD266B"/>
    <w:rsid w:val="00FD2EF0"/>
    <w:rsid w:val="00FE69EA"/>
    <w:rsid w:val="00FF21EC"/>
    <w:rsid w:val="00FF5C5C"/>
    <w:rsid w:val="00FF6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C77B04"/>
  <w15:docId w15:val="{C2A0BB0A-C59D-411E-AC51-85DAB7E9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1226B"/>
    <w:rPr>
      <w:sz w:val="16"/>
      <w:szCs w:val="16"/>
    </w:rPr>
  </w:style>
  <w:style w:type="paragraph" w:styleId="CommentText">
    <w:name w:val="annotation text"/>
    <w:basedOn w:val="Normal"/>
    <w:link w:val="CommentTextChar"/>
    <w:uiPriority w:val="99"/>
    <w:unhideWhenUsed/>
    <w:rsid w:val="0071226B"/>
    <w:pPr>
      <w:spacing w:line="240" w:lineRule="auto"/>
    </w:pPr>
    <w:rPr>
      <w:sz w:val="20"/>
      <w:szCs w:val="20"/>
    </w:rPr>
  </w:style>
  <w:style w:type="character" w:customStyle="1" w:styleId="CommentTextChar">
    <w:name w:val="Comment Text Char"/>
    <w:basedOn w:val="DefaultParagraphFont"/>
    <w:link w:val="CommentText"/>
    <w:uiPriority w:val="99"/>
    <w:rsid w:val="0071226B"/>
    <w:rPr>
      <w:sz w:val="20"/>
      <w:szCs w:val="20"/>
    </w:rPr>
  </w:style>
  <w:style w:type="paragraph" w:styleId="CommentSubject">
    <w:name w:val="annotation subject"/>
    <w:basedOn w:val="CommentText"/>
    <w:next w:val="CommentText"/>
    <w:link w:val="CommentSubjectChar"/>
    <w:uiPriority w:val="99"/>
    <w:semiHidden/>
    <w:unhideWhenUsed/>
    <w:rsid w:val="0071226B"/>
    <w:rPr>
      <w:b/>
      <w:bCs/>
    </w:rPr>
  </w:style>
  <w:style w:type="character" w:customStyle="1" w:styleId="CommentSubjectChar">
    <w:name w:val="Comment Subject Char"/>
    <w:basedOn w:val="CommentTextChar"/>
    <w:link w:val="CommentSubject"/>
    <w:uiPriority w:val="99"/>
    <w:semiHidden/>
    <w:rsid w:val="0071226B"/>
    <w:rPr>
      <w:b/>
      <w:bCs/>
      <w:sz w:val="20"/>
      <w:szCs w:val="20"/>
    </w:rPr>
  </w:style>
  <w:style w:type="paragraph" w:styleId="BalloonText">
    <w:name w:val="Balloon Text"/>
    <w:basedOn w:val="Normal"/>
    <w:link w:val="BalloonTextChar"/>
    <w:uiPriority w:val="99"/>
    <w:semiHidden/>
    <w:unhideWhenUsed/>
    <w:rsid w:val="00712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26B"/>
    <w:rPr>
      <w:rFonts w:ascii="Tahoma" w:hAnsi="Tahoma" w:cs="Tahoma"/>
      <w:sz w:val="16"/>
      <w:szCs w:val="16"/>
    </w:rPr>
  </w:style>
  <w:style w:type="paragraph" w:styleId="FootnoteText">
    <w:name w:val="footnote text"/>
    <w:basedOn w:val="Normal"/>
    <w:link w:val="FootnoteTextChar"/>
    <w:uiPriority w:val="99"/>
    <w:semiHidden/>
    <w:unhideWhenUsed/>
    <w:rsid w:val="001E2A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2AB3"/>
    <w:rPr>
      <w:sz w:val="20"/>
      <w:szCs w:val="20"/>
    </w:rPr>
  </w:style>
  <w:style w:type="character" w:styleId="FootnoteReference">
    <w:name w:val="footnote reference"/>
    <w:basedOn w:val="DefaultParagraphFont"/>
    <w:uiPriority w:val="99"/>
    <w:semiHidden/>
    <w:unhideWhenUsed/>
    <w:rsid w:val="001E2AB3"/>
    <w:rPr>
      <w:vertAlign w:val="superscript"/>
    </w:rPr>
  </w:style>
  <w:style w:type="table" w:styleId="TableGrid">
    <w:name w:val="Table Grid"/>
    <w:basedOn w:val="TableNormal"/>
    <w:uiPriority w:val="39"/>
    <w:rsid w:val="00E30CD6"/>
    <w:pPr>
      <w:spacing w:after="0" w:line="240" w:lineRule="auto"/>
    </w:pPr>
    <w:rPr>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9B604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6044"/>
    <w:rPr>
      <w:rFonts w:ascii="Tahoma" w:hAnsi="Tahoma" w:cs="Tahoma"/>
      <w:sz w:val="16"/>
      <w:szCs w:val="16"/>
    </w:rPr>
  </w:style>
  <w:style w:type="table" w:customStyle="1" w:styleId="TableGrid1">
    <w:name w:val="Table Grid1"/>
    <w:basedOn w:val="TableNormal"/>
    <w:next w:val="TableGrid"/>
    <w:uiPriority w:val="39"/>
    <w:rsid w:val="00741E07"/>
    <w:pPr>
      <w:spacing w:after="0" w:line="240" w:lineRule="auto"/>
    </w:pPr>
    <w:rPr>
      <w:rFonts w:ascii="Times New Roman" w:hAnsi="Times New Roman" w:cs="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6BCA"/>
    <w:rPr>
      <w:color w:val="808080"/>
    </w:rPr>
  </w:style>
  <w:style w:type="table" w:customStyle="1" w:styleId="TableGrid2">
    <w:name w:val="Table Grid2"/>
    <w:basedOn w:val="TableNormal"/>
    <w:next w:val="TableGrid"/>
    <w:uiPriority w:val="39"/>
    <w:rsid w:val="0032775A"/>
    <w:pPr>
      <w:spacing w:after="0" w:line="240" w:lineRule="auto"/>
    </w:pPr>
    <w:rPr>
      <w:rFonts w:ascii="Times New Roman" w:hAnsi="Times New Roman" w:cs="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2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525"/>
  </w:style>
  <w:style w:type="paragraph" w:styleId="Footer">
    <w:name w:val="footer"/>
    <w:basedOn w:val="Normal"/>
    <w:link w:val="FooterChar"/>
    <w:uiPriority w:val="99"/>
    <w:unhideWhenUsed/>
    <w:rsid w:val="00F52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525"/>
  </w:style>
  <w:style w:type="table" w:customStyle="1" w:styleId="TableGrid21">
    <w:name w:val="Table Grid21"/>
    <w:basedOn w:val="TableNormal"/>
    <w:next w:val="TableGrid"/>
    <w:uiPriority w:val="39"/>
    <w:rsid w:val="003B50F0"/>
    <w:pPr>
      <w:spacing w:after="0" w:line="240" w:lineRule="auto"/>
    </w:pPr>
    <w:rPr>
      <w:rFonts w:ascii="Times New Roman" w:eastAsia="Times New Roman" w:hAnsi="Times New Roman" w:cs="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66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853201">
      <w:bodyDiv w:val="1"/>
      <w:marLeft w:val="0"/>
      <w:marRight w:val="0"/>
      <w:marTop w:val="0"/>
      <w:marBottom w:val="0"/>
      <w:divBdr>
        <w:top w:val="none" w:sz="0" w:space="0" w:color="auto"/>
        <w:left w:val="none" w:sz="0" w:space="0" w:color="auto"/>
        <w:bottom w:val="none" w:sz="0" w:space="0" w:color="auto"/>
        <w:right w:val="none" w:sz="0" w:space="0" w:color="auto"/>
      </w:divBdr>
      <w:divsChild>
        <w:div w:id="261574822">
          <w:marLeft w:val="0"/>
          <w:marRight w:val="0"/>
          <w:marTop w:val="0"/>
          <w:marBottom w:val="0"/>
          <w:divBdr>
            <w:top w:val="none" w:sz="0" w:space="0" w:color="auto"/>
            <w:left w:val="none" w:sz="0" w:space="0" w:color="auto"/>
            <w:bottom w:val="none" w:sz="0" w:space="0" w:color="auto"/>
            <w:right w:val="none" w:sz="0" w:space="0" w:color="auto"/>
          </w:divBdr>
          <w:divsChild>
            <w:div w:id="1572885173">
              <w:marLeft w:val="0"/>
              <w:marRight w:val="0"/>
              <w:marTop w:val="0"/>
              <w:marBottom w:val="0"/>
              <w:divBdr>
                <w:top w:val="none" w:sz="0" w:space="0" w:color="auto"/>
                <w:left w:val="none" w:sz="0" w:space="0" w:color="auto"/>
                <w:bottom w:val="none" w:sz="0" w:space="0" w:color="auto"/>
                <w:right w:val="none" w:sz="0" w:space="0" w:color="auto"/>
              </w:divBdr>
              <w:divsChild>
                <w:div w:id="832917172">
                  <w:marLeft w:val="0"/>
                  <w:marRight w:val="0"/>
                  <w:marTop w:val="0"/>
                  <w:marBottom w:val="0"/>
                  <w:divBdr>
                    <w:top w:val="none" w:sz="0" w:space="0" w:color="auto"/>
                    <w:left w:val="none" w:sz="0" w:space="0" w:color="auto"/>
                    <w:bottom w:val="none" w:sz="0" w:space="0" w:color="auto"/>
                    <w:right w:val="none" w:sz="0" w:space="0" w:color="auto"/>
                  </w:divBdr>
                  <w:divsChild>
                    <w:div w:id="629484121">
                      <w:marLeft w:val="375"/>
                      <w:marRight w:val="375"/>
                      <w:marTop w:val="0"/>
                      <w:marBottom w:val="0"/>
                      <w:divBdr>
                        <w:top w:val="none" w:sz="0" w:space="0" w:color="auto"/>
                        <w:left w:val="none" w:sz="0" w:space="0" w:color="auto"/>
                        <w:bottom w:val="none" w:sz="0" w:space="0" w:color="auto"/>
                        <w:right w:val="none" w:sz="0" w:space="0" w:color="auto"/>
                      </w:divBdr>
                      <w:divsChild>
                        <w:div w:id="1006397628">
                          <w:marLeft w:val="120"/>
                          <w:marRight w:val="0"/>
                          <w:marTop w:val="0"/>
                          <w:marBottom w:val="0"/>
                          <w:divBdr>
                            <w:top w:val="none" w:sz="0" w:space="0" w:color="auto"/>
                            <w:left w:val="none" w:sz="0" w:space="0" w:color="auto"/>
                            <w:bottom w:val="single" w:sz="6" w:space="0" w:color="AAAAAA"/>
                            <w:right w:val="none" w:sz="0" w:space="0" w:color="auto"/>
                          </w:divBdr>
                          <w:divsChild>
                            <w:div w:id="1283464619">
                              <w:marLeft w:val="0"/>
                              <w:marRight w:val="0"/>
                              <w:marTop w:val="0"/>
                              <w:marBottom w:val="0"/>
                              <w:divBdr>
                                <w:top w:val="none" w:sz="0" w:space="0" w:color="auto"/>
                                <w:left w:val="none" w:sz="0" w:space="0" w:color="auto"/>
                                <w:bottom w:val="none" w:sz="0" w:space="0" w:color="auto"/>
                                <w:right w:val="none" w:sz="0" w:space="0" w:color="auto"/>
                              </w:divBdr>
                              <w:divsChild>
                                <w:div w:id="247010351">
                                  <w:marLeft w:val="0"/>
                                  <w:marRight w:val="0"/>
                                  <w:marTop w:val="0"/>
                                  <w:marBottom w:val="0"/>
                                  <w:divBdr>
                                    <w:top w:val="none" w:sz="0" w:space="0" w:color="auto"/>
                                    <w:left w:val="none" w:sz="0" w:space="0" w:color="auto"/>
                                    <w:bottom w:val="none" w:sz="0" w:space="0" w:color="auto"/>
                                    <w:right w:val="none" w:sz="0" w:space="0" w:color="auto"/>
                                  </w:divBdr>
                                  <w:divsChild>
                                    <w:div w:id="1867519311">
                                      <w:marLeft w:val="-225"/>
                                      <w:marRight w:val="-195"/>
                                      <w:marTop w:val="0"/>
                                      <w:marBottom w:val="75"/>
                                      <w:divBdr>
                                        <w:top w:val="none" w:sz="0" w:space="0" w:color="auto"/>
                                        <w:left w:val="none" w:sz="0" w:space="0" w:color="auto"/>
                                        <w:bottom w:val="none" w:sz="0" w:space="0" w:color="auto"/>
                                        <w:right w:val="none" w:sz="0" w:space="0" w:color="auto"/>
                                      </w:divBdr>
                                      <w:divsChild>
                                        <w:div w:id="75610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0703608">
      <w:bodyDiv w:val="1"/>
      <w:marLeft w:val="0"/>
      <w:marRight w:val="0"/>
      <w:marTop w:val="0"/>
      <w:marBottom w:val="0"/>
      <w:divBdr>
        <w:top w:val="none" w:sz="0" w:space="0" w:color="auto"/>
        <w:left w:val="none" w:sz="0" w:space="0" w:color="auto"/>
        <w:bottom w:val="none" w:sz="0" w:space="0" w:color="auto"/>
        <w:right w:val="none" w:sz="0" w:space="0" w:color="auto"/>
      </w:divBdr>
      <w:divsChild>
        <w:div w:id="1552763797">
          <w:marLeft w:val="0"/>
          <w:marRight w:val="0"/>
          <w:marTop w:val="0"/>
          <w:marBottom w:val="0"/>
          <w:divBdr>
            <w:top w:val="none" w:sz="0" w:space="0" w:color="auto"/>
            <w:left w:val="none" w:sz="0" w:space="0" w:color="auto"/>
            <w:bottom w:val="none" w:sz="0" w:space="0" w:color="auto"/>
            <w:right w:val="none" w:sz="0" w:space="0" w:color="auto"/>
          </w:divBdr>
          <w:divsChild>
            <w:div w:id="1059403919">
              <w:marLeft w:val="0"/>
              <w:marRight w:val="0"/>
              <w:marTop w:val="0"/>
              <w:marBottom w:val="0"/>
              <w:divBdr>
                <w:top w:val="none" w:sz="0" w:space="0" w:color="auto"/>
                <w:left w:val="none" w:sz="0" w:space="0" w:color="auto"/>
                <w:bottom w:val="none" w:sz="0" w:space="0" w:color="auto"/>
                <w:right w:val="none" w:sz="0" w:space="0" w:color="auto"/>
              </w:divBdr>
              <w:divsChild>
                <w:div w:id="1862350763">
                  <w:marLeft w:val="0"/>
                  <w:marRight w:val="0"/>
                  <w:marTop w:val="0"/>
                  <w:marBottom w:val="0"/>
                  <w:divBdr>
                    <w:top w:val="none" w:sz="0" w:space="0" w:color="auto"/>
                    <w:left w:val="none" w:sz="0" w:space="0" w:color="auto"/>
                    <w:bottom w:val="none" w:sz="0" w:space="0" w:color="auto"/>
                    <w:right w:val="none" w:sz="0" w:space="0" w:color="auto"/>
                  </w:divBdr>
                  <w:divsChild>
                    <w:div w:id="1259365239">
                      <w:marLeft w:val="375"/>
                      <w:marRight w:val="375"/>
                      <w:marTop w:val="0"/>
                      <w:marBottom w:val="0"/>
                      <w:divBdr>
                        <w:top w:val="none" w:sz="0" w:space="0" w:color="auto"/>
                        <w:left w:val="none" w:sz="0" w:space="0" w:color="auto"/>
                        <w:bottom w:val="none" w:sz="0" w:space="0" w:color="auto"/>
                        <w:right w:val="none" w:sz="0" w:space="0" w:color="auto"/>
                      </w:divBdr>
                      <w:divsChild>
                        <w:div w:id="799035997">
                          <w:marLeft w:val="120"/>
                          <w:marRight w:val="0"/>
                          <w:marTop w:val="0"/>
                          <w:marBottom w:val="0"/>
                          <w:divBdr>
                            <w:top w:val="none" w:sz="0" w:space="0" w:color="auto"/>
                            <w:left w:val="none" w:sz="0" w:space="0" w:color="auto"/>
                            <w:bottom w:val="single" w:sz="6" w:space="0" w:color="AAAAAA"/>
                            <w:right w:val="none" w:sz="0" w:space="0" w:color="auto"/>
                          </w:divBdr>
                          <w:divsChild>
                            <w:div w:id="1038050889">
                              <w:marLeft w:val="0"/>
                              <w:marRight w:val="0"/>
                              <w:marTop w:val="0"/>
                              <w:marBottom w:val="0"/>
                              <w:divBdr>
                                <w:top w:val="none" w:sz="0" w:space="0" w:color="auto"/>
                                <w:left w:val="none" w:sz="0" w:space="0" w:color="auto"/>
                                <w:bottom w:val="none" w:sz="0" w:space="0" w:color="auto"/>
                                <w:right w:val="none" w:sz="0" w:space="0" w:color="auto"/>
                              </w:divBdr>
                              <w:divsChild>
                                <w:div w:id="770008449">
                                  <w:marLeft w:val="0"/>
                                  <w:marRight w:val="0"/>
                                  <w:marTop w:val="0"/>
                                  <w:marBottom w:val="0"/>
                                  <w:divBdr>
                                    <w:top w:val="none" w:sz="0" w:space="0" w:color="auto"/>
                                    <w:left w:val="none" w:sz="0" w:space="0" w:color="auto"/>
                                    <w:bottom w:val="none" w:sz="0" w:space="0" w:color="auto"/>
                                    <w:right w:val="none" w:sz="0" w:space="0" w:color="auto"/>
                                  </w:divBdr>
                                  <w:divsChild>
                                    <w:div w:id="1958949469">
                                      <w:marLeft w:val="-225"/>
                                      <w:marRight w:val="-195"/>
                                      <w:marTop w:val="0"/>
                                      <w:marBottom w:val="75"/>
                                      <w:divBdr>
                                        <w:top w:val="none" w:sz="0" w:space="0" w:color="auto"/>
                                        <w:left w:val="none" w:sz="0" w:space="0" w:color="auto"/>
                                        <w:bottom w:val="none" w:sz="0" w:space="0" w:color="auto"/>
                                        <w:right w:val="none" w:sz="0" w:space="0" w:color="auto"/>
                                      </w:divBdr>
                                      <w:divsChild>
                                        <w:div w:id="7790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568120">
      <w:bodyDiv w:val="1"/>
      <w:marLeft w:val="0"/>
      <w:marRight w:val="0"/>
      <w:marTop w:val="0"/>
      <w:marBottom w:val="0"/>
      <w:divBdr>
        <w:top w:val="none" w:sz="0" w:space="0" w:color="auto"/>
        <w:left w:val="none" w:sz="0" w:space="0" w:color="auto"/>
        <w:bottom w:val="none" w:sz="0" w:space="0" w:color="auto"/>
        <w:right w:val="none" w:sz="0" w:space="0" w:color="auto"/>
      </w:divBdr>
    </w:div>
    <w:div w:id="1515342760">
      <w:bodyDiv w:val="1"/>
      <w:marLeft w:val="0"/>
      <w:marRight w:val="0"/>
      <w:marTop w:val="0"/>
      <w:marBottom w:val="0"/>
      <w:divBdr>
        <w:top w:val="none" w:sz="0" w:space="0" w:color="auto"/>
        <w:left w:val="none" w:sz="0" w:space="0" w:color="auto"/>
        <w:bottom w:val="none" w:sz="0" w:space="0" w:color="auto"/>
        <w:right w:val="none" w:sz="0" w:space="0" w:color="auto"/>
      </w:divBdr>
      <w:divsChild>
        <w:div w:id="873539989">
          <w:marLeft w:val="0"/>
          <w:marRight w:val="0"/>
          <w:marTop w:val="0"/>
          <w:marBottom w:val="0"/>
          <w:divBdr>
            <w:top w:val="none" w:sz="0" w:space="0" w:color="auto"/>
            <w:left w:val="none" w:sz="0" w:space="0" w:color="auto"/>
            <w:bottom w:val="none" w:sz="0" w:space="0" w:color="auto"/>
            <w:right w:val="none" w:sz="0" w:space="0" w:color="auto"/>
          </w:divBdr>
          <w:divsChild>
            <w:div w:id="1428890701">
              <w:marLeft w:val="0"/>
              <w:marRight w:val="0"/>
              <w:marTop w:val="0"/>
              <w:marBottom w:val="0"/>
              <w:divBdr>
                <w:top w:val="none" w:sz="0" w:space="0" w:color="auto"/>
                <w:left w:val="none" w:sz="0" w:space="0" w:color="auto"/>
                <w:bottom w:val="none" w:sz="0" w:space="0" w:color="auto"/>
                <w:right w:val="none" w:sz="0" w:space="0" w:color="auto"/>
              </w:divBdr>
              <w:divsChild>
                <w:div w:id="541214213">
                  <w:marLeft w:val="0"/>
                  <w:marRight w:val="0"/>
                  <w:marTop w:val="0"/>
                  <w:marBottom w:val="0"/>
                  <w:divBdr>
                    <w:top w:val="none" w:sz="0" w:space="0" w:color="auto"/>
                    <w:left w:val="none" w:sz="0" w:space="0" w:color="auto"/>
                    <w:bottom w:val="none" w:sz="0" w:space="0" w:color="auto"/>
                    <w:right w:val="none" w:sz="0" w:space="0" w:color="auto"/>
                  </w:divBdr>
                  <w:divsChild>
                    <w:div w:id="753357440">
                      <w:marLeft w:val="375"/>
                      <w:marRight w:val="375"/>
                      <w:marTop w:val="0"/>
                      <w:marBottom w:val="0"/>
                      <w:divBdr>
                        <w:top w:val="none" w:sz="0" w:space="0" w:color="auto"/>
                        <w:left w:val="none" w:sz="0" w:space="0" w:color="auto"/>
                        <w:bottom w:val="none" w:sz="0" w:space="0" w:color="auto"/>
                        <w:right w:val="none" w:sz="0" w:space="0" w:color="auto"/>
                      </w:divBdr>
                      <w:divsChild>
                        <w:div w:id="2071227998">
                          <w:marLeft w:val="120"/>
                          <w:marRight w:val="0"/>
                          <w:marTop w:val="0"/>
                          <w:marBottom w:val="0"/>
                          <w:divBdr>
                            <w:top w:val="none" w:sz="0" w:space="0" w:color="auto"/>
                            <w:left w:val="none" w:sz="0" w:space="0" w:color="auto"/>
                            <w:bottom w:val="single" w:sz="6" w:space="0" w:color="AAAAAA"/>
                            <w:right w:val="none" w:sz="0" w:space="0" w:color="auto"/>
                          </w:divBdr>
                          <w:divsChild>
                            <w:div w:id="1434283689">
                              <w:marLeft w:val="0"/>
                              <w:marRight w:val="0"/>
                              <w:marTop w:val="0"/>
                              <w:marBottom w:val="0"/>
                              <w:divBdr>
                                <w:top w:val="none" w:sz="0" w:space="0" w:color="auto"/>
                                <w:left w:val="none" w:sz="0" w:space="0" w:color="auto"/>
                                <w:bottom w:val="none" w:sz="0" w:space="0" w:color="auto"/>
                                <w:right w:val="none" w:sz="0" w:space="0" w:color="auto"/>
                              </w:divBdr>
                              <w:divsChild>
                                <w:div w:id="19280898">
                                  <w:marLeft w:val="0"/>
                                  <w:marRight w:val="0"/>
                                  <w:marTop w:val="0"/>
                                  <w:marBottom w:val="0"/>
                                  <w:divBdr>
                                    <w:top w:val="none" w:sz="0" w:space="0" w:color="auto"/>
                                    <w:left w:val="none" w:sz="0" w:space="0" w:color="auto"/>
                                    <w:bottom w:val="none" w:sz="0" w:space="0" w:color="auto"/>
                                    <w:right w:val="none" w:sz="0" w:space="0" w:color="auto"/>
                                  </w:divBdr>
                                  <w:divsChild>
                                    <w:div w:id="782000065">
                                      <w:marLeft w:val="-225"/>
                                      <w:marRight w:val="-195"/>
                                      <w:marTop w:val="0"/>
                                      <w:marBottom w:val="75"/>
                                      <w:divBdr>
                                        <w:top w:val="none" w:sz="0" w:space="0" w:color="auto"/>
                                        <w:left w:val="none" w:sz="0" w:space="0" w:color="auto"/>
                                        <w:bottom w:val="none" w:sz="0" w:space="0" w:color="auto"/>
                                        <w:right w:val="none" w:sz="0" w:space="0" w:color="auto"/>
                                      </w:divBdr>
                                      <w:divsChild>
                                        <w:div w:id="136231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8832147">
      <w:bodyDiv w:val="1"/>
      <w:marLeft w:val="0"/>
      <w:marRight w:val="0"/>
      <w:marTop w:val="0"/>
      <w:marBottom w:val="0"/>
      <w:divBdr>
        <w:top w:val="none" w:sz="0" w:space="0" w:color="auto"/>
        <w:left w:val="none" w:sz="0" w:space="0" w:color="auto"/>
        <w:bottom w:val="none" w:sz="0" w:space="0" w:color="auto"/>
        <w:right w:val="none" w:sz="0" w:space="0" w:color="auto"/>
      </w:divBdr>
    </w:div>
    <w:div w:id="2055303267">
      <w:bodyDiv w:val="1"/>
      <w:marLeft w:val="0"/>
      <w:marRight w:val="0"/>
      <w:marTop w:val="0"/>
      <w:marBottom w:val="0"/>
      <w:divBdr>
        <w:top w:val="none" w:sz="0" w:space="0" w:color="auto"/>
        <w:left w:val="none" w:sz="0" w:space="0" w:color="auto"/>
        <w:bottom w:val="none" w:sz="0" w:space="0" w:color="auto"/>
        <w:right w:val="none" w:sz="0" w:space="0" w:color="auto"/>
      </w:divBdr>
      <w:divsChild>
        <w:div w:id="149904013">
          <w:marLeft w:val="0"/>
          <w:marRight w:val="0"/>
          <w:marTop w:val="0"/>
          <w:marBottom w:val="0"/>
          <w:divBdr>
            <w:top w:val="none" w:sz="0" w:space="0" w:color="auto"/>
            <w:left w:val="none" w:sz="0" w:space="0" w:color="auto"/>
            <w:bottom w:val="none" w:sz="0" w:space="0" w:color="auto"/>
            <w:right w:val="none" w:sz="0" w:space="0" w:color="auto"/>
          </w:divBdr>
          <w:divsChild>
            <w:div w:id="1472678117">
              <w:marLeft w:val="0"/>
              <w:marRight w:val="0"/>
              <w:marTop w:val="0"/>
              <w:marBottom w:val="0"/>
              <w:divBdr>
                <w:top w:val="none" w:sz="0" w:space="0" w:color="auto"/>
                <w:left w:val="none" w:sz="0" w:space="0" w:color="auto"/>
                <w:bottom w:val="none" w:sz="0" w:space="0" w:color="auto"/>
                <w:right w:val="none" w:sz="0" w:space="0" w:color="auto"/>
              </w:divBdr>
              <w:divsChild>
                <w:div w:id="1294292980">
                  <w:marLeft w:val="0"/>
                  <w:marRight w:val="0"/>
                  <w:marTop w:val="0"/>
                  <w:marBottom w:val="0"/>
                  <w:divBdr>
                    <w:top w:val="none" w:sz="0" w:space="0" w:color="auto"/>
                    <w:left w:val="none" w:sz="0" w:space="0" w:color="auto"/>
                    <w:bottom w:val="none" w:sz="0" w:space="0" w:color="auto"/>
                    <w:right w:val="none" w:sz="0" w:space="0" w:color="auto"/>
                  </w:divBdr>
                  <w:divsChild>
                    <w:div w:id="2032418292">
                      <w:marLeft w:val="375"/>
                      <w:marRight w:val="375"/>
                      <w:marTop w:val="0"/>
                      <w:marBottom w:val="0"/>
                      <w:divBdr>
                        <w:top w:val="none" w:sz="0" w:space="0" w:color="auto"/>
                        <w:left w:val="none" w:sz="0" w:space="0" w:color="auto"/>
                        <w:bottom w:val="none" w:sz="0" w:space="0" w:color="auto"/>
                        <w:right w:val="none" w:sz="0" w:space="0" w:color="auto"/>
                      </w:divBdr>
                      <w:divsChild>
                        <w:div w:id="1617640075">
                          <w:marLeft w:val="120"/>
                          <w:marRight w:val="0"/>
                          <w:marTop w:val="0"/>
                          <w:marBottom w:val="0"/>
                          <w:divBdr>
                            <w:top w:val="none" w:sz="0" w:space="0" w:color="auto"/>
                            <w:left w:val="none" w:sz="0" w:space="0" w:color="auto"/>
                            <w:bottom w:val="single" w:sz="6" w:space="0" w:color="AAAAAA"/>
                            <w:right w:val="none" w:sz="0" w:space="0" w:color="auto"/>
                          </w:divBdr>
                          <w:divsChild>
                            <w:div w:id="955059330">
                              <w:marLeft w:val="0"/>
                              <w:marRight w:val="0"/>
                              <w:marTop w:val="0"/>
                              <w:marBottom w:val="0"/>
                              <w:divBdr>
                                <w:top w:val="none" w:sz="0" w:space="0" w:color="auto"/>
                                <w:left w:val="none" w:sz="0" w:space="0" w:color="auto"/>
                                <w:bottom w:val="none" w:sz="0" w:space="0" w:color="auto"/>
                                <w:right w:val="none" w:sz="0" w:space="0" w:color="auto"/>
                              </w:divBdr>
                              <w:divsChild>
                                <w:div w:id="1678118708">
                                  <w:marLeft w:val="0"/>
                                  <w:marRight w:val="0"/>
                                  <w:marTop w:val="0"/>
                                  <w:marBottom w:val="0"/>
                                  <w:divBdr>
                                    <w:top w:val="none" w:sz="0" w:space="0" w:color="auto"/>
                                    <w:left w:val="none" w:sz="0" w:space="0" w:color="auto"/>
                                    <w:bottom w:val="none" w:sz="0" w:space="0" w:color="auto"/>
                                    <w:right w:val="none" w:sz="0" w:space="0" w:color="auto"/>
                                  </w:divBdr>
                                  <w:divsChild>
                                    <w:div w:id="305360362">
                                      <w:marLeft w:val="-225"/>
                                      <w:marRight w:val="-195"/>
                                      <w:marTop w:val="0"/>
                                      <w:marBottom w:val="75"/>
                                      <w:divBdr>
                                        <w:top w:val="none" w:sz="0" w:space="0" w:color="auto"/>
                                        <w:left w:val="none" w:sz="0" w:space="0" w:color="auto"/>
                                        <w:bottom w:val="none" w:sz="0" w:space="0" w:color="auto"/>
                                        <w:right w:val="none" w:sz="0" w:space="0" w:color="auto"/>
                                      </w:divBdr>
                                      <w:divsChild>
                                        <w:div w:id="40588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326DE4-51FC-48F6-A8E3-C5525E337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10444</Words>
  <Characters>59534</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Tamuclla</Company>
  <LinksUpToDate>false</LinksUpToDate>
  <CharactersWithSpaces>69839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johnedensadmin</dc:creator>
  <cp:lastModifiedBy>Shannon</cp:lastModifiedBy>
  <cp:revision>2</cp:revision>
  <dcterms:created xsi:type="dcterms:W3CDTF">2017-09-29T22:36:00Z</dcterms:created>
  <dcterms:modified xsi:type="dcterms:W3CDTF">2017-09-29T22:36:00Z</dcterms:modified>
</cp:coreProperties>
</file>