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635D87" w14:textId="77777777" w:rsidR="00D90265" w:rsidRPr="00E97F48" w:rsidRDefault="00D90265" w:rsidP="004F4C0E">
      <w:pPr>
        <w:pStyle w:val="NoSpacing"/>
        <w:spacing w:line="276" w:lineRule="auto"/>
        <w:rPr>
          <w:lang w:val="en-US"/>
        </w:rPr>
      </w:pPr>
      <w:bookmarkStart w:id="0" w:name="_GoBack"/>
      <w:bookmarkEnd w:id="0"/>
      <w:r w:rsidRPr="00E97F48">
        <w:rPr>
          <w:lang w:val="en-US"/>
        </w:rPr>
        <w:t>Development and validation of an abbreviated questionnaire to easily measure cognitive failure in Intensive Care Unit survivors: a multicenter study</w:t>
      </w:r>
    </w:p>
    <w:p w14:paraId="3C07E394" w14:textId="77777777" w:rsidR="00D90265" w:rsidRPr="00E97F48" w:rsidRDefault="00D90265" w:rsidP="004F4C0E">
      <w:pPr>
        <w:pStyle w:val="NoSpacing"/>
        <w:spacing w:line="276" w:lineRule="auto"/>
        <w:rPr>
          <w:lang w:val="en-US"/>
        </w:rPr>
      </w:pPr>
    </w:p>
    <w:p w14:paraId="15B26EF3" w14:textId="77777777" w:rsidR="00D90265" w:rsidRPr="00E97F48" w:rsidRDefault="00D90265" w:rsidP="004F4C0E">
      <w:pPr>
        <w:pStyle w:val="NoSpacing"/>
        <w:spacing w:line="276" w:lineRule="auto"/>
        <w:rPr>
          <w:lang w:val="en-US"/>
        </w:rPr>
      </w:pPr>
      <w:r w:rsidRPr="00E97F48">
        <w:rPr>
          <w:lang w:val="en-US"/>
        </w:rPr>
        <w:t>Annelies Wassenaar</w:t>
      </w:r>
      <w:r w:rsidRPr="00E97F48">
        <w:rPr>
          <w:vertAlign w:val="superscript"/>
          <w:lang w:val="en-US"/>
        </w:rPr>
        <w:t>1*</w:t>
      </w:r>
      <w:r w:rsidRPr="00E97F48">
        <w:rPr>
          <w:lang w:val="en-US"/>
        </w:rPr>
        <w:t xml:space="preserve">, MSc, RN, CCRN; </w:t>
      </w:r>
      <w:proofErr w:type="spellStart"/>
      <w:r w:rsidRPr="00E97F48">
        <w:rPr>
          <w:lang w:val="en-US"/>
        </w:rPr>
        <w:t>Jorn</w:t>
      </w:r>
      <w:proofErr w:type="spellEnd"/>
      <w:r w:rsidRPr="00E97F48">
        <w:rPr>
          <w:lang w:val="en-US"/>
        </w:rPr>
        <w:t xml:space="preserve"> de Reus</w:t>
      </w:r>
      <w:r w:rsidRPr="00E97F48">
        <w:rPr>
          <w:vertAlign w:val="superscript"/>
          <w:lang w:val="en-US"/>
        </w:rPr>
        <w:t>1</w:t>
      </w:r>
      <w:r w:rsidRPr="00E97F48">
        <w:rPr>
          <w:lang w:val="en-US"/>
        </w:rPr>
        <w:t>, MSc; A. Rogier T. Donders</w:t>
      </w:r>
      <w:r w:rsidRPr="00E97F48">
        <w:rPr>
          <w:vertAlign w:val="superscript"/>
          <w:lang w:val="en-US"/>
        </w:rPr>
        <w:t>2</w:t>
      </w:r>
      <w:r w:rsidRPr="00E97F48">
        <w:rPr>
          <w:lang w:val="en-US"/>
        </w:rPr>
        <w:t>, PhD; Prof. Lisette Schoonhoven</w:t>
      </w:r>
      <w:r w:rsidRPr="00E97F48">
        <w:rPr>
          <w:vertAlign w:val="superscript"/>
          <w:lang w:val="en-US"/>
        </w:rPr>
        <w:t>3,4</w:t>
      </w:r>
      <w:r w:rsidRPr="00E97F48">
        <w:rPr>
          <w:lang w:val="en-US"/>
        </w:rPr>
        <w:t>, PhD; Olaf L. Cremer</w:t>
      </w:r>
      <w:r w:rsidRPr="00E97F48">
        <w:rPr>
          <w:vertAlign w:val="superscript"/>
          <w:lang w:val="en-US"/>
        </w:rPr>
        <w:t>5</w:t>
      </w:r>
      <w:r w:rsidRPr="00E97F48">
        <w:rPr>
          <w:lang w:val="en-US"/>
        </w:rPr>
        <w:t>, PhD, MD; Dylan W. de Lange</w:t>
      </w:r>
      <w:r w:rsidRPr="00E97F48">
        <w:rPr>
          <w:vertAlign w:val="superscript"/>
          <w:lang w:val="en-US"/>
        </w:rPr>
        <w:t>5</w:t>
      </w:r>
      <w:r w:rsidRPr="00E97F48">
        <w:rPr>
          <w:lang w:val="en-US"/>
        </w:rPr>
        <w:t xml:space="preserve">, PhD, MD; Prof. </w:t>
      </w:r>
      <w:proofErr w:type="spellStart"/>
      <w:r w:rsidRPr="00E97F48">
        <w:rPr>
          <w:lang w:val="en-US"/>
        </w:rPr>
        <w:t>Diederik</w:t>
      </w:r>
      <w:proofErr w:type="spellEnd"/>
      <w:r w:rsidRPr="00E97F48">
        <w:rPr>
          <w:lang w:val="en-US"/>
        </w:rPr>
        <w:t xml:space="preserve"> van Dijk</w:t>
      </w:r>
      <w:r w:rsidRPr="00E97F48">
        <w:rPr>
          <w:vertAlign w:val="superscript"/>
          <w:lang w:val="en-US"/>
        </w:rPr>
        <w:t>5</w:t>
      </w:r>
      <w:r w:rsidRPr="00E97F48">
        <w:rPr>
          <w:lang w:val="en-US"/>
        </w:rPr>
        <w:t>, PhD, MD; Prof. Arjen J.C. Slooter</w:t>
      </w:r>
      <w:r w:rsidRPr="00E97F48">
        <w:rPr>
          <w:vertAlign w:val="superscript"/>
          <w:lang w:val="en-US"/>
        </w:rPr>
        <w:t>5</w:t>
      </w:r>
      <w:r w:rsidRPr="00E97F48">
        <w:rPr>
          <w:lang w:val="en-US"/>
        </w:rPr>
        <w:t>, PhD, MD; Prof. Peter Pickkers</w:t>
      </w:r>
      <w:r w:rsidRPr="00E97F48">
        <w:rPr>
          <w:vertAlign w:val="superscript"/>
          <w:lang w:val="en-US"/>
        </w:rPr>
        <w:t>1,6</w:t>
      </w:r>
      <w:r w:rsidRPr="00E97F48">
        <w:rPr>
          <w:lang w:val="en-US"/>
        </w:rPr>
        <w:t>, PhD, MD; Mark van den Boogaard</w:t>
      </w:r>
      <w:r w:rsidRPr="00E97F48">
        <w:rPr>
          <w:vertAlign w:val="superscript"/>
          <w:lang w:val="en-US"/>
        </w:rPr>
        <w:t>1</w:t>
      </w:r>
      <w:r w:rsidRPr="00E97F48">
        <w:rPr>
          <w:lang w:val="en-US"/>
        </w:rPr>
        <w:t>, PhD, RN, CCRN</w:t>
      </w:r>
    </w:p>
    <w:p w14:paraId="79570D02" w14:textId="77777777" w:rsidR="00D90265" w:rsidRPr="00E97F48" w:rsidRDefault="00D90265" w:rsidP="004F4C0E">
      <w:pPr>
        <w:pStyle w:val="NoSpacing"/>
        <w:spacing w:line="276" w:lineRule="auto"/>
        <w:rPr>
          <w:lang w:val="en-US"/>
        </w:rPr>
      </w:pPr>
    </w:p>
    <w:p w14:paraId="1B9AF06D" w14:textId="77777777" w:rsidR="00D90265" w:rsidRPr="00E97F48" w:rsidRDefault="00D90265" w:rsidP="00661F4D">
      <w:pPr>
        <w:pStyle w:val="NoSpacing"/>
        <w:spacing w:line="276" w:lineRule="auto"/>
        <w:rPr>
          <w:rFonts w:cs="Calibri"/>
          <w:lang w:val="en-GB"/>
        </w:rPr>
      </w:pPr>
      <w:r w:rsidRPr="00E97F48">
        <w:rPr>
          <w:rFonts w:cs="Calibri"/>
          <w:vertAlign w:val="superscript"/>
          <w:lang w:val="en-GB"/>
        </w:rPr>
        <w:t xml:space="preserve">1 </w:t>
      </w:r>
      <w:proofErr w:type="spellStart"/>
      <w:r w:rsidRPr="00E97F48">
        <w:rPr>
          <w:rFonts w:cs="Calibri"/>
          <w:lang w:val="en-GB"/>
        </w:rPr>
        <w:t>Radboud</w:t>
      </w:r>
      <w:proofErr w:type="spellEnd"/>
      <w:r w:rsidRPr="00E97F48">
        <w:rPr>
          <w:rFonts w:cs="Calibri"/>
          <w:lang w:val="en-GB"/>
        </w:rPr>
        <w:t xml:space="preserve"> university medical </w:t>
      </w:r>
      <w:proofErr w:type="spellStart"/>
      <w:r w:rsidRPr="00E97F48">
        <w:rPr>
          <w:rFonts w:cs="Calibri"/>
          <w:lang w:val="en-GB"/>
        </w:rPr>
        <w:t>center</w:t>
      </w:r>
      <w:proofErr w:type="spellEnd"/>
    </w:p>
    <w:p w14:paraId="22065240" w14:textId="77777777" w:rsidR="00D90265" w:rsidRPr="00E97F48" w:rsidRDefault="00D90265" w:rsidP="00661F4D">
      <w:pPr>
        <w:pStyle w:val="NoSpacing"/>
        <w:spacing w:line="276" w:lineRule="auto"/>
        <w:rPr>
          <w:rFonts w:cs="Calibri"/>
          <w:lang w:val="en-GB"/>
        </w:rPr>
      </w:pPr>
      <w:r w:rsidRPr="00E97F48">
        <w:rPr>
          <w:rFonts w:cs="Calibri"/>
          <w:lang w:val="en-US"/>
        </w:rPr>
        <w:t>Radboud Institute for Health Sciences</w:t>
      </w:r>
      <w:r w:rsidRPr="00E97F48">
        <w:rPr>
          <w:rFonts w:cs="Calibri"/>
          <w:lang w:val="en-GB"/>
        </w:rPr>
        <w:t xml:space="preserve"> </w:t>
      </w:r>
    </w:p>
    <w:p w14:paraId="678E341E" w14:textId="77777777" w:rsidR="00D90265" w:rsidRPr="00E97F48" w:rsidRDefault="00D90265" w:rsidP="00661F4D">
      <w:pPr>
        <w:pStyle w:val="NoSpacing"/>
        <w:spacing w:line="276" w:lineRule="auto"/>
        <w:rPr>
          <w:rFonts w:cs="Calibri"/>
          <w:lang w:val="en-GB"/>
        </w:rPr>
      </w:pPr>
      <w:r w:rsidRPr="00E97F48">
        <w:rPr>
          <w:rFonts w:cs="Calibri"/>
          <w:lang w:val="en-GB"/>
        </w:rPr>
        <w:t>Department of Intensive Care Medicine</w:t>
      </w:r>
    </w:p>
    <w:p w14:paraId="55725F0E" w14:textId="77777777" w:rsidR="00D90265" w:rsidRPr="00E97F48" w:rsidRDefault="00D90265" w:rsidP="00661F4D">
      <w:pPr>
        <w:pStyle w:val="NoSpacing"/>
        <w:spacing w:line="276" w:lineRule="auto"/>
        <w:rPr>
          <w:rFonts w:cs="Calibri"/>
          <w:lang w:val="en-GB"/>
        </w:rPr>
      </w:pPr>
      <w:r w:rsidRPr="00E97F48">
        <w:rPr>
          <w:rFonts w:cs="Calibri"/>
          <w:lang w:val="en-GB"/>
        </w:rPr>
        <w:t>P.O. Box 9101</w:t>
      </w:r>
    </w:p>
    <w:p w14:paraId="1FB5751A" w14:textId="77777777" w:rsidR="00D90265" w:rsidRPr="00E97F48" w:rsidRDefault="00D90265" w:rsidP="00661F4D">
      <w:pPr>
        <w:pStyle w:val="NoSpacing"/>
        <w:spacing w:line="276" w:lineRule="auto"/>
        <w:rPr>
          <w:rFonts w:cs="Calibri"/>
          <w:lang w:val="en-GB"/>
        </w:rPr>
      </w:pPr>
      <w:r w:rsidRPr="00E97F48">
        <w:rPr>
          <w:rFonts w:cs="Calibri"/>
          <w:lang w:val="en-GB"/>
        </w:rPr>
        <w:t>6500 HB Nijmegen</w:t>
      </w:r>
    </w:p>
    <w:p w14:paraId="0F5A3832" w14:textId="77777777" w:rsidR="00D90265" w:rsidRPr="00E97F48" w:rsidRDefault="00D90265" w:rsidP="00661F4D">
      <w:pPr>
        <w:pStyle w:val="NoSpacing"/>
        <w:spacing w:line="276" w:lineRule="auto"/>
        <w:rPr>
          <w:rFonts w:cs="Calibri"/>
          <w:lang w:val="en-GB"/>
        </w:rPr>
      </w:pPr>
      <w:r w:rsidRPr="00E97F48">
        <w:rPr>
          <w:rFonts w:cs="Calibri"/>
          <w:lang w:val="en-GB"/>
        </w:rPr>
        <w:t>the Netherlands</w:t>
      </w:r>
    </w:p>
    <w:p w14:paraId="132A9029" w14:textId="77777777" w:rsidR="00D90265" w:rsidRPr="00E97F48" w:rsidRDefault="00D90265" w:rsidP="007C3763">
      <w:pPr>
        <w:pStyle w:val="NoSpacing"/>
        <w:spacing w:line="276" w:lineRule="auto"/>
        <w:rPr>
          <w:rFonts w:cs="Calibri"/>
          <w:u w:val="single"/>
          <w:lang w:val="en-GB"/>
        </w:rPr>
      </w:pPr>
      <w:r w:rsidRPr="00E97F48">
        <w:rPr>
          <w:rFonts w:cs="Calibri"/>
          <w:u w:val="single"/>
          <w:lang w:val="en-GB"/>
        </w:rPr>
        <w:t>Annelies.Wassenaar@radboudumc.nl</w:t>
      </w:r>
      <w:r w:rsidRPr="00E97F48">
        <w:rPr>
          <w:rFonts w:cs="Calibri"/>
          <w:lang w:val="en-GB"/>
        </w:rPr>
        <w:t xml:space="preserve"> and </w:t>
      </w:r>
      <w:r w:rsidRPr="00E97F48">
        <w:rPr>
          <w:rFonts w:cs="Calibri"/>
          <w:u w:val="single"/>
          <w:lang w:val="en-GB"/>
        </w:rPr>
        <w:t>Peter.Pickkers@radboudumc.nl</w:t>
      </w:r>
      <w:r w:rsidRPr="00E97F48">
        <w:rPr>
          <w:rFonts w:cs="Calibri"/>
          <w:lang w:val="en-GB"/>
        </w:rPr>
        <w:t xml:space="preserve"> and </w:t>
      </w:r>
      <w:hyperlink r:id="rId7" w:history="1">
        <w:r w:rsidRPr="00E97F48">
          <w:rPr>
            <w:rStyle w:val="Hyperlink"/>
            <w:rFonts w:ascii="Calibri" w:hAnsi="Calibri" w:cs="Calibri"/>
            <w:lang w:val="en-GB"/>
          </w:rPr>
          <w:t>Mark.vandenBoogaard@radboudumc.nl</w:t>
        </w:r>
      </w:hyperlink>
      <w:r w:rsidRPr="00E97F48">
        <w:rPr>
          <w:rFonts w:cs="Calibri"/>
          <w:lang w:val="en-US"/>
        </w:rPr>
        <w:t xml:space="preserve"> and </w:t>
      </w:r>
      <w:hyperlink r:id="rId8" w:history="1">
        <w:r w:rsidRPr="00E97F48">
          <w:rPr>
            <w:rStyle w:val="Hyperlink"/>
            <w:rFonts w:ascii="Calibri" w:hAnsi="Calibri" w:cs="Calibri"/>
            <w:lang w:val="en-GB"/>
          </w:rPr>
          <w:t>jorndereus@gmail.com</w:t>
        </w:r>
      </w:hyperlink>
    </w:p>
    <w:p w14:paraId="62E93EFF" w14:textId="77777777" w:rsidR="00D90265" w:rsidRPr="00E97F48" w:rsidRDefault="00D90265" w:rsidP="00661F4D">
      <w:pPr>
        <w:pStyle w:val="NoSpacing"/>
        <w:spacing w:line="276" w:lineRule="auto"/>
        <w:rPr>
          <w:rFonts w:cs="Calibri"/>
          <w:lang w:val="en-GB"/>
        </w:rPr>
      </w:pPr>
    </w:p>
    <w:p w14:paraId="2922AF21" w14:textId="77777777" w:rsidR="00D90265" w:rsidRPr="00E97F48" w:rsidRDefault="00D90265" w:rsidP="000934CE">
      <w:pPr>
        <w:pStyle w:val="CommentText"/>
        <w:spacing w:line="276" w:lineRule="auto"/>
        <w:rPr>
          <w:rFonts w:ascii="Calibri" w:hAnsi="Calibri" w:cs="Calibri"/>
          <w:sz w:val="22"/>
          <w:szCs w:val="22"/>
          <w:lang w:val="en-GB"/>
        </w:rPr>
      </w:pPr>
      <w:r w:rsidRPr="00E97F48">
        <w:rPr>
          <w:rFonts w:ascii="Calibri" w:hAnsi="Calibri" w:cs="Calibri"/>
          <w:sz w:val="22"/>
          <w:szCs w:val="22"/>
          <w:vertAlign w:val="superscript"/>
          <w:lang w:val="en-GB"/>
        </w:rPr>
        <w:t>2</w:t>
      </w:r>
      <w:r w:rsidRPr="00E97F48">
        <w:rPr>
          <w:rFonts w:ascii="Calibri" w:hAnsi="Calibri" w:cs="Calibri"/>
          <w:sz w:val="22"/>
          <w:szCs w:val="22"/>
          <w:lang w:val="en-GB"/>
        </w:rPr>
        <w:t>Rad</w:t>
      </w:r>
      <w:r w:rsidR="003160BD" w:rsidRPr="00E97F48">
        <w:rPr>
          <w:rFonts w:ascii="Calibri" w:hAnsi="Calibri" w:cs="Calibri"/>
          <w:sz w:val="22"/>
          <w:szCs w:val="22"/>
          <w:lang w:val="en-GB"/>
        </w:rPr>
        <w:t xml:space="preserve">boud university medical </w:t>
      </w:r>
      <w:proofErr w:type="spellStart"/>
      <w:r w:rsidR="003160BD" w:rsidRPr="00E97F48">
        <w:rPr>
          <w:rFonts w:ascii="Calibri" w:hAnsi="Calibri" w:cs="Calibri"/>
          <w:sz w:val="22"/>
          <w:szCs w:val="22"/>
          <w:lang w:val="en-GB"/>
        </w:rPr>
        <w:t>center</w:t>
      </w:r>
      <w:proofErr w:type="spellEnd"/>
    </w:p>
    <w:p w14:paraId="32A54D72" w14:textId="77777777" w:rsidR="00D90265" w:rsidRPr="00E97F48" w:rsidRDefault="00D90265" w:rsidP="000934CE">
      <w:pPr>
        <w:pStyle w:val="NoSpacing"/>
        <w:spacing w:line="276" w:lineRule="auto"/>
        <w:rPr>
          <w:rFonts w:cs="Calibri"/>
          <w:lang w:val="en-GB"/>
        </w:rPr>
      </w:pPr>
      <w:r w:rsidRPr="00E97F48">
        <w:rPr>
          <w:rFonts w:cs="Calibri"/>
          <w:lang w:val="en-US"/>
        </w:rPr>
        <w:t>Radboud Institute for Health Sciences</w:t>
      </w:r>
      <w:r w:rsidRPr="00E97F48">
        <w:rPr>
          <w:rFonts w:cs="Calibri"/>
          <w:lang w:val="en-GB"/>
        </w:rPr>
        <w:t xml:space="preserve"> </w:t>
      </w:r>
    </w:p>
    <w:p w14:paraId="0A98DAB2" w14:textId="77777777" w:rsidR="00D90265" w:rsidRPr="00E97F48" w:rsidRDefault="00D90265" w:rsidP="000934CE">
      <w:pPr>
        <w:pStyle w:val="CommentText"/>
        <w:spacing w:line="276" w:lineRule="auto"/>
        <w:rPr>
          <w:rFonts w:ascii="Calibri" w:hAnsi="Calibri" w:cs="Calibri"/>
          <w:sz w:val="22"/>
          <w:szCs w:val="22"/>
          <w:lang w:val="en-GB"/>
        </w:rPr>
      </w:pPr>
      <w:r w:rsidRPr="00E97F48">
        <w:rPr>
          <w:rFonts w:ascii="Calibri" w:hAnsi="Calibri" w:cs="Calibri"/>
          <w:sz w:val="22"/>
          <w:szCs w:val="22"/>
          <w:lang w:val="en-GB"/>
        </w:rPr>
        <w:t>Department for Health Evidence</w:t>
      </w:r>
    </w:p>
    <w:p w14:paraId="250A8EB2" w14:textId="77777777" w:rsidR="00D90265" w:rsidRPr="00E97F48" w:rsidRDefault="00D90265" w:rsidP="000934CE">
      <w:pPr>
        <w:pStyle w:val="CommentText"/>
        <w:spacing w:line="276" w:lineRule="auto"/>
        <w:rPr>
          <w:rFonts w:ascii="Calibri" w:hAnsi="Calibri" w:cs="Calibri"/>
          <w:sz w:val="22"/>
          <w:szCs w:val="22"/>
          <w:lang w:val="en-GB"/>
        </w:rPr>
      </w:pPr>
      <w:r w:rsidRPr="00E97F48">
        <w:rPr>
          <w:rFonts w:ascii="Calibri" w:hAnsi="Calibri" w:cs="Calibri"/>
          <w:sz w:val="22"/>
          <w:szCs w:val="22"/>
          <w:lang w:val="en-GB"/>
        </w:rPr>
        <w:t xml:space="preserve">P.O. Box 9101 </w:t>
      </w:r>
    </w:p>
    <w:p w14:paraId="211106B3" w14:textId="77777777" w:rsidR="00D90265" w:rsidRPr="00E97F48" w:rsidRDefault="00D90265" w:rsidP="000934CE">
      <w:pPr>
        <w:pStyle w:val="CommentText"/>
        <w:spacing w:line="276" w:lineRule="auto"/>
        <w:rPr>
          <w:rFonts w:ascii="Calibri" w:hAnsi="Calibri" w:cs="Calibri"/>
          <w:sz w:val="22"/>
          <w:szCs w:val="22"/>
          <w:lang w:val="en-GB"/>
        </w:rPr>
      </w:pPr>
      <w:r w:rsidRPr="00E97F48">
        <w:rPr>
          <w:rFonts w:ascii="Calibri" w:hAnsi="Calibri" w:cs="Calibri"/>
          <w:sz w:val="22"/>
          <w:szCs w:val="22"/>
          <w:lang w:val="en-GB"/>
        </w:rPr>
        <w:t xml:space="preserve">6500 HB Nijmegen </w:t>
      </w:r>
    </w:p>
    <w:p w14:paraId="253AD82C" w14:textId="77777777" w:rsidR="00D90265" w:rsidRPr="00E97F48" w:rsidRDefault="00D90265" w:rsidP="000934CE">
      <w:pPr>
        <w:pStyle w:val="CommentText"/>
        <w:spacing w:line="276" w:lineRule="auto"/>
        <w:rPr>
          <w:rFonts w:ascii="Calibri" w:hAnsi="Calibri" w:cs="Calibri"/>
          <w:noProof/>
          <w:sz w:val="22"/>
          <w:szCs w:val="22"/>
          <w:lang w:val="en-GB"/>
        </w:rPr>
      </w:pPr>
      <w:r w:rsidRPr="00E97F48">
        <w:rPr>
          <w:rFonts w:ascii="Calibri" w:hAnsi="Calibri" w:cs="Calibri"/>
          <w:sz w:val="22"/>
          <w:szCs w:val="22"/>
          <w:lang w:val="en-GB"/>
        </w:rPr>
        <w:t>the Netherlands</w:t>
      </w:r>
    </w:p>
    <w:p w14:paraId="5D83CCF9" w14:textId="77777777" w:rsidR="00D90265" w:rsidRPr="00E97F48" w:rsidRDefault="003160BD" w:rsidP="000934CE">
      <w:pPr>
        <w:pStyle w:val="NoSpacing"/>
        <w:spacing w:line="276" w:lineRule="auto"/>
        <w:rPr>
          <w:rFonts w:cs="Calibri"/>
          <w:u w:val="single"/>
          <w:lang w:val="en-GB"/>
        </w:rPr>
      </w:pPr>
      <w:r w:rsidRPr="00E97F48">
        <w:rPr>
          <w:rFonts w:cs="Calibri"/>
          <w:u w:val="single"/>
          <w:lang w:val="en-GB"/>
        </w:rPr>
        <w:t>Rogier.Donders@radboudumc.nl</w:t>
      </w:r>
    </w:p>
    <w:p w14:paraId="245B671E" w14:textId="77777777" w:rsidR="00D90265" w:rsidRPr="00E97F48" w:rsidRDefault="00D90265" w:rsidP="00661F4D">
      <w:pPr>
        <w:pStyle w:val="NoSpacing"/>
        <w:spacing w:line="276" w:lineRule="auto"/>
        <w:rPr>
          <w:rFonts w:cs="Calibri"/>
          <w:lang w:val="en-GB"/>
        </w:rPr>
      </w:pPr>
    </w:p>
    <w:p w14:paraId="618FAAA2" w14:textId="77777777" w:rsidR="00D90265" w:rsidRPr="00E97F48" w:rsidRDefault="00D90265" w:rsidP="00661F4D">
      <w:pPr>
        <w:pStyle w:val="NoSpacing"/>
        <w:spacing w:line="276" w:lineRule="auto"/>
        <w:rPr>
          <w:lang w:val="en-GB"/>
        </w:rPr>
      </w:pPr>
      <w:r w:rsidRPr="00E97F48">
        <w:rPr>
          <w:vertAlign w:val="superscript"/>
          <w:lang w:val="en-GB"/>
        </w:rPr>
        <w:t>3</w:t>
      </w:r>
      <w:r w:rsidRPr="00E97F48">
        <w:rPr>
          <w:lang w:val="en-GB"/>
        </w:rPr>
        <w:t>University of Southampton</w:t>
      </w:r>
    </w:p>
    <w:p w14:paraId="5F9206A8" w14:textId="77777777" w:rsidR="00D90265" w:rsidRPr="00E97F48" w:rsidRDefault="00D90265" w:rsidP="005A1D74">
      <w:pPr>
        <w:pStyle w:val="NoSpacing"/>
        <w:spacing w:line="276" w:lineRule="auto"/>
        <w:rPr>
          <w:lang w:val="en-GB"/>
        </w:rPr>
      </w:pPr>
      <w:r w:rsidRPr="00E97F48">
        <w:rPr>
          <w:lang w:val="en-GB"/>
        </w:rPr>
        <w:t>Faculty of Health Sciences</w:t>
      </w:r>
    </w:p>
    <w:p w14:paraId="001633E7" w14:textId="77777777" w:rsidR="00D90265" w:rsidRPr="00E97F48" w:rsidRDefault="00D90265" w:rsidP="005A1D74">
      <w:pPr>
        <w:pStyle w:val="NoSpacing"/>
        <w:spacing w:line="276" w:lineRule="auto"/>
        <w:rPr>
          <w:rFonts w:cs="Times"/>
          <w:lang w:val="en-GB"/>
        </w:rPr>
      </w:pPr>
      <w:r w:rsidRPr="00E97F48">
        <w:rPr>
          <w:rFonts w:cs="Times"/>
          <w:lang w:val="en-GB"/>
        </w:rPr>
        <w:t>and National Institute for Health Research Collaboration for Leadership in Applied Health Research and Care (Wessex)</w:t>
      </w:r>
    </w:p>
    <w:p w14:paraId="6ED1C25D" w14:textId="77777777" w:rsidR="00D90265" w:rsidRPr="00E97F48" w:rsidRDefault="00D90265" w:rsidP="005A1D74">
      <w:pPr>
        <w:pStyle w:val="NoSpacing"/>
        <w:spacing w:line="276" w:lineRule="auto"/>
        <w:rPr>
          <w:lang w:val="en-US"/>
        </w:rPr>
      </w:pPr>
      <w:r w:rsidRPr="00E97F48">
        <w:rPr>
          <w:lang w:val="en-US"/>
        </w:rPr>
        <w:t>University Road</w:t>
      </w:r>
      <w:r w:rsidRPr="00E97F48">
        <w:rPr>
          <w:lang w:val="en-US"/>
        </w:rPr>
        <w:br/>
        <w:t>Southampton SO17 1BJ</w:t>
      </w:r>
    </w:p>
    <w:p w14:paraId="001A5264" w14:textId="77777777" w:rsidR="00D90265" w:rsidRPr="00E97F48" w:rsidRDefault="00D90265" w:rsidP="005A1D74">
      <w:pPr>
        <w:pStyle w:val="NoSpacing"/>
        <w:spacing w:line="276" w:lineRule="auto"/>
        <w:rPr>
          <w:lang w:val="en-GB"/>
        </w:rPr>
      </w:pPr>
      <w:r w:rsidRPr="00E97F48">
        <w:rPr>
          <w:lang w:val="en-GB"/>
        </w:rPr>
        <w:t>United Kingdom</w:t>
      </w:r>
    </w:p>
    <w:p w14:paraId="0CD7771C" w14:textId="77777777" w:rsidR="00D90265" w:rsidRPr="00E97F48" w:rsidRDefault="00D90265" w:rsidP="00661F4D">
      <w:pPr>
        <w:pStyle w:val="NoSpacing"/>
        <w:spacing w:line="276" w:lineRule="auto"/>
        <w:rPr>
          <w:u w:val="single"/>
          <w:lang w:val="en-GB"/>
        </w:rPr>
      </w:pPr>
      <w:r w:rsidRPr="00E97F48">
        <w:rPr>
          <w:u w:val="single"/>
          <w:lang w:val="en-GB"/>
        </w:rPr>
        <w:t xml:space="preserve">L.Schoonhoven@soton.ac.uk  </w:t>
      </w:r>
    </w:p>
    <w:p w14:paraId="41012A2A" w14:textId="77777777" w:rsidR="00D90265" w:rsidRPr="00E97F48" w:rsidRDefault="00D90265" w:rsidP="00661F4D">
      <w:pPr>
        <w:pStyle w:val="NoSpacing"/>
        <w:spacing w:line="276" w:lineRule="auto"/>
        <w:rPr>
          <w:u w:val="single"/>
          <w:lang w:val="en-GB"/>
        </w:rPr>
      </w:pPr>
    </w:p>
    <w:p w14:paraId="64BB6FED" w14:textId="77777777" w:rsidR="00D90265" w:rsidRPr="00E97F48" w:rsidRDefault="00D90265" w:rsidP="00661F4D">
      <w:pPr>
        <w:pStyle w:val="NoSpacing"/>
        <w:spacing w:line="276" w:lineRule="auto"/>
        <w:rPr>
          <w:rFonts w:cs="Calibri"/>
          <w:lang w:val="en-GB"/>
        </w:rPr>
      </w:pPr>
      <w:r w:rsidRPr="00E97F48">
        <w:rPr>
          <w:rFonts w:cs="Calibri"/>
          <w:vertAlign w:val="superscript"/>
          <w:lang w:val="en-GB"/>
        </w:rPr>
        <w:t xml:space="preserve">4 </w:t>
      </w:r>
      <w:proofErr w:type="spellStart"/>
      <w:r w:rsidRPr="00E97F48">
        <w:rPr>
          <w:rFonts w:cs="Calibri"/>
          <w:lang w:val="en-GB"/>
        </w:rPr>
        <w:t>Rad</w:t>
      </w:r>
      <w:r w:rsidR="003160BD" w:rsidRPr="00E97F48">
        <w:rPr>
          <w:rFonts w:cs="Calibri"/>
          <w:lang w:val="en-GB"/>
        </w:rPr>
        <w:t>boud</w:t>
      </w:r>
      <w:proofErr w:type="spellEnd"/>
      <w:r w:rsidR="003160BD" w:rsidRPr="00E97F48">
        <w:rPr>
          <w:rFonts w:cs="Calibri"/>
          <w:lang w:val="en-GB"/>
        </w:rPr>
        <w:t xml:space="preserve"> university medical </w:t>
      </w:r>
      <w:proofErr w:type="spellStart"/>
      <w:r w:rsidR="003160BD" w:rsidRPr="00E97F48">
        <w:rPr>
          <w:rFonts w:cs="Calibri"/>
          <w:lang w:val="en-GB"/>
        </w:rPr>
        <w:t>center</w:t>
      </w:r>
      <w:proofErr w:type="spellEnd"/>
    </w:p>
    <w:p w14:paraId="05C1D07C" w14:textId="77777777" w:rsidR="00D90265" w:rsidRPr="00E97F48" w:rsidRDefault="00D90265" w:rsidP="00661F4D">
      <w:pPr>
        <w:pStyle w:val="NoSpacing"/>
        <w:tabs>
          <w:tab w:val="left" w:pos="5530"/>
        </w:tabs>
        <w:spacing w:line="276" w:lineRule="auto"/>
        <w:rPr>
          <w:rFonts w:cs="Calibri"/>
          <w:lang w:val="en-GB"/>
        </w:rPr>
      </w:pPr>
      <w:r w:rsidRPr="00E97F48">
        <w:rPr>
          <w:rFonts w:cs="Calibri"/>
          <w:lang w:val="en-US"/>
        </w:rPr>
        <w:t>Radboud Institute for Health Sciences</w:t>
      </w:r>
      <w:r w:rsidRPr="00E97F48">
        <w:rPr>
          <w:rFonts w:cs="Calibri"/>
          <w:lang w:val="en-GB"/>
        </w:rPr>
        <w:t xml:space="preserve"> </w:t>
      </w:r>
      <w:r w:rsidRPr="00E97F48">
        <w:rPr>
          <w:rFonts w:cs="Calibri"/>
          <w:lang w:val="en-GB"/>
        </w:rPr>
        <w:tab/>
      </w:r>
    </w:p>
    <w:p w14:paraId="7767E269" w14:textId="77777777" w:rsidR="00D90265" w:rsidRPr="00E97F48" w:rsidRDefault="00D90265" w:rsidP="00661F4D">
      <w:pPr>
        <w:pStyle w:val="NoSpacing"/>
        <w:spacing w:line="276" w:lineRule="auto"/>
        <w:rPr>
          <w:rFonts w:cs="Calibri"/>
          <w:lang w:val="en-US"/>
        </w:rPr>
      </w:pPr>
      <w:r w:rsidRPr="00E97F48">
        <w:rPr>
          <w:rFonts w:cs="Calibri"/>
          <w:lang w:val="en-GB"/>
        </w:rPr>
        <w:t xml:space="preserve">Scientific Institute for Quality of Healthcare </w:t>
      </w:r>
      <w:r w:rsidRPr="00E97F48">
        <w:rPr>
          <w:rFonts w:cs="Calibri"/>
          <w:lang w:val="en-US"/>
        </w:rPr>
        <w:br/>
        <w:t>P.O. Box 9101</w:t>
      </w:r>
    </w:p>
    <w:p w14:paraId="6765CD47" w14:textId="77777777" w:rsidR="00D90265" w:rsidRPr="00E97F48" w:rsidRDefault="00D90265" w:rsidP="00661F4D">
      <w:pPr>
        <w:pStyle w:val="NoSpacing"/>
        <w:spacing w:line="276" w:lineRule="auto"/>
        <w:rPr>
          <w:rFonts w:cs="Calibri"/>
          <w:lang w:val="en-US"/>
        </w:rPr>
      </w:pPr>
      <w:r w:rsidRPr="00E97F48">
        <w:rPr>
          <w:rFonts w:cs="Calibri"/>
          <w:lang w:val="en-US"/>
        </w:rPr>
        <w:t xml:space="preserve">6500 HB Nijmegen </w:t>
      </w:r>
    </w:p>
    <w:p w14:paraId="478115CD" w14:textId="77777777" w:rsidR="00D90265" w:rsidRPr="00E97F48" w:rsidRDefault="00D90265" w:rsidP="00661F4D">
      <w:pPr>
        <w:pStyle w:val="NoSpacing"/>
        <w:spacing w:line="276" w:lineRule="auto"/>
        <w:rPr>
          <w:rFonts w:cs="Calibri"/>
          <w:lang w:val="en-US"/>
        </w:rPr>
      </w:pPr>
      <w:r w:rsidRPr="00E97F48">
        <w:rPr>
          <w:rFonts w:cs="Calibri"/>
          <w:lang w:val="en-US"/>
        </w:rPr>
        <w:t>the Netherlands</w:t>
      </w:r>
    </w:p>
    <w:p w14:paraId="3E2E40B9" w14:textId="77777777" w:rsidR="00D90265" w:rsidRPr="00E97F48" w:rsidRDefault="00D90265" w:rsidP="00661F4D">
      <w:pPr>
        <w:pStyle w:val="NoSpacing"/>
        <w:spacing w:line="276" w:lineRule="auto"/>
        <w:rPr>
          <w:rFonts w:cs="Calibri"/>
          <w:lang w:val="en-GB"/>
        </w:rPr>
      </w:pPr>
    </w:p>
    <w:p w14:paraId="0F75DE97" w14:textId="77777777" w:rsidR="00D90265" w:rsidRPr="00E97F48" w:rsidRDefault="00D90265" w:rsidP="00661F4D">
      <w:pPr>
        <w:pStyle w:val="NoSpacing"/>
        <w:spacing w:line="276" w:lineRule="auto"/>
        <w:rPr>
          <w:rFonts w:cs="Calibri"/>
          <w:lang w:val="en-GB"/>
        </w:rPr>
      </w:pPr>
      <w:r w:rsidRPr="00E97F48">
        <w:rPr>
          <w:rFonts w:cs="Calibri"/>
          <w:vertAlign w:val="superscript"/>
          <w:lang w:val="en-GB"/>
        </w:rPr>
        <w:t>5</w:t>
      </w:r>
      <w:r w:rsidRPr="00E97F48">
        <w:rPr>
          <w:rFonts w:cs="Calibri"/>
          <w:lang w:val="en-GB"/>
        </w:rPr>
        <w:t>University Medical Centre Utrecht</w:t>
      </w:r>
    </w:p>
    <w:p w14:paraId="37E8F11E" w14:textId="77777777" w:rsidR="00D90265" w:rsidRPr="00E97F48" w:rsidRDefault="00D90265" w:rsidP="00661F4D">
      <w:pPr>
        <w:pStyle w:val="NoSpacing"/>
        <w:spacing w:line="276" w:lineRule="auto"/>
        <w:rPr>
          <w:rFonts w:cs="Calibri"/>
          <w:lang w:val="en-GB"/>
        </w:rPr>
      </w:pPr>
      <w:r w:rsidRPr="00E97F48">
        <w:rPr>
          <w:rFonts w:cs="Calibri"/>
          <w:lang w:val="en-GB"/>
        </w:rPr>
        <w:t xml:space="preserve">Department of </w:t>
      </w:r>
      <w:r w:rsidRPr="00E97F48">
        <w:rPr>
          <w:rStyle w:val="affiliation1"/>
          <w:lang w:val="en-GB"/>
        </w:rPr>
        <w:t>Intensive Care Medicine</w:t>
      </w:r>
    </w:p>
    <w:p w14:paraId="7E76D074" w14:textId="77777777" w:rsidR="00D90265" w:rsidRPr="00E97F48" w:rsidRDefault="00D90265" w:rsidP="00661F4D">
      <w:pPr>
        <w:pStyle w:val="NoSpacing"/>
        <w:spacing w:line="276" w:lineRule="auto"/>
        <w:rPr>
          <w:rFonts w:eastAsia="Arial Unicode MS" w:cs="Calibri"/>
        </w:rPr>
      </w:pPr>
      <w:r w:rsidRPr="00E97F48">
        <w:rPr>
          <w:rFonts w:eastAsia="Arial Unicode MS" w:cs="Calibri"/>
        </w:rPr>
        <w:t xml:space="preserve">P.O. Box 85500 </w:t>
      </w:r>
    </w:p>
    <w:p w14:paraId="2F27FA10" w14:textId="77777777" w:rsidR="00D90265" w:rsidRPr="00E97F48" w:rsidRDefault="00D90265" w:rsidP="00661F4D">
      <w:pPr>
        <w:pStyle w:val="NoSpacing"/>
        <w:spacing w:line="276" w:lineRule="auto"/>
        <w:rPr>
          <w:rFonts w:cs="Calibri"/>
        </w:rPr>
      </w:pPr>
      <w:r w:rsidRPr="00E97F48">
        <w:rPr>
          <w:rFonts w:eastAsia="Arial Unicode MS" w:cs="Calibri"/>
        </w:rPr>
        <w:t xml:space="preserve">3508 </w:t>
      </w:r>
      <w:proofErr w:type="gramStart"/>
      <w:r w:rsidRPr="00E97F48">
        <w:rPr>
          <w:rFonts w:eastAsia="Arial Unicode MS" w:cs="Calibri"/>
        </w:rPr>
        <w:t>GA</w:t>
      </w:r>
      <w:proofErr w:type="gramEnd"/>
      <w:r w:rsidRPr="00E97F48">
        <w:rPr>
          <w:rFonts w:eastAsia="Arial Unicode MS" w:cs="Calibri"/>
        </w:rPr>
        <w:t xml:space="preserve"> </w:t>
      </w:r>
      <w:r w:rsidRPr="00E97F48">
        <w:rPr>
          <w:rFonts w:cs="Calibri"/>
        </w:rPr>
        <w:t xml:space="preserve">Utrecht </w:t>
      </w:r>
    </w:p>
    <w:p w14:paraId="2BB0FE79" w14:textId="77777777" w:rsidR="00D90265" w:rsidRPr="00E97F48" w:rsidRDefault="00D90265" w:rsidP="00661F4D">
      <w:pPr>
        <w:pStyle w:val="NoSpacing"/>
        <w:spacing w:line="276" w:lineRule="auto"/>
        <w:rPr>
          <w:rFonts w:cs="Calibri"/>
        </w:rPr>
      </w:pPr>
      <w:proofErr w:type="spellStart"/>
      <w:proofErr w:type="gramStart"/>
      <w:r w:rsidRPr="00E97F48">
        <w:rPr>
          <w:rFonts w:cs="Calibri"/>
        </w:rPr>
        <w:lastRenderedPageBreak/>
        <w:t>the</w:t>
      </w:r>
      <w:proofErr w:type="spellEnd"/>
      <w:proofErr w:type="gramEnd"/>
      <w:r w:rsidRPr="00E97F48">
        <w:rPr>
          <w:rFonts w:cs="Calibri"/>
        </w:rPr>
        <w:t xml:space="preserve"> Netherlands</w:t>
      </w:r>
    </w:p>
    <w:p w14:paraId="401F2673" w14:textId="77777777" w:rsidR="00D90265" w:rsidRPr="00E97F48" w:rsidRDefault="00242D31" w:rsidP="00661F4D">
      <w:pPr>
        <w:pStyle w:val="NoSpacing"/>
        <w:spacing w:line="276" w:lineRule="auto"/>
        <w:rPr>
          <w:rFonts w:cs="Calibri"/>
          <w:u w:val="single"/>
          <w:lang w:val="en-US"/>
        </w:rPr>
      </w:pPr>
      <w:hyperlink r:id="rId9" w:history="1">
        <w:r w:rsidR="00D90265" w:rsidRPr="00E97F48">
          <w:rPr>
            <w:rStyle w:val="Hyperlink"/>
            <w:rFonts w:ascii="Calibri" w:hAnsi="Calibri"/>
            <w:lang w:val="en-US"/>
          </w:rPr>
          <w:t>O.L.Cremer@umcutrecht.nl</w:t>
        </w:r>
      </w:hyperlink>
      <w:r w:rsidR="00D90265" w:rsidRPr="00E97F48">
        <w:rPr>
          <w:lang w:val="en-US"/>
        </w:rPr>
        <w:t xml:space="preserve"> and </w:t>
      </w:r>
      <w:hyperlink r:id="rId10" w:history="1">
        <w:r w:rsidR="00D90265" w:rsidRPr="00E97F48">
          <w:rPr>
            <w:rStyle w:val="Hyperlink"/>
            <w:rFonts w:ascii="Calibri" w:hAnsi="Calibri"/>
            <w:lang w:val="en-US"/>
          </w:rPr>
          <w:t>D.W.deLange@umcutrecht.nl</w:t>
        </w:r>
      </w:hyperlink>
      <w:r w:rsidR="00D90265" w:rsidRPr="00E97F48">
        <w:rPr>
          <w:lang w:val="en-US"/>
        </w:rPr>
        <w:t xml:space="preserve"> and </w:t>
      </w:r>
      <w:hyperlink r:id="rId11" w:history="1">
        <w:r w:rsidR="00D90265" w:rsidRPr="00E97F48">
          <w:rPr>
            <w:rStyle w:val="Hyperlink"/>
            <w:rFonts w:ascii="Calibri" w:hAnsi="Calibri"/>
            <w:lang w:val="en-US"/>
          </w:rPr>
          <w:t>D.vanDijk@umcutrecht.nl</w:t>
        </w:r>
      </w:hyperlink>
      <w:r w:rsidR="00D90265" w:rsidRPr="00E97F48">
        <w:rPr>
          <w:lang w:val="en-US"/>
        </w:rPr>
        <w:t xml:space="preserve"> and </w:t>
      </w:r>
      <w:r w:rsidR="00D90265" w:rsidRPr="00E97F48">
        <w:rPr>
          <w:rFonts w:cs="Calibri"/>
          <w:u w:val="single"/>
          <w:lang w:val="en-US"/>
        </w:rPr>
        <w:t>A.Slooter-3@umcutrecht.nl</w:t>
      </w:r>
    </w:p>
    <w:p w14:paraId="0612CFFD" w14:textId="77777777" w:rsidR="00D90265" w:rsidRPr="00E97F48" w:rsidRDefault="00D90265" w:rsidP="00661F4D">
      <w:pPr>
        <w:pStyle w:val="NoSpacing"/>
        <w:spacing w:line="276" w:lineRule="auto"/>
        <w:rPr>
          <w:rFonts w:cs="Calibri"/>
          <w:u w:val="single"/>
          <w:lang w:val="en-US"/>
        </w:rPr>
      </w:pPr>
    </w:p>
    <w:p w14:paraId="1AC1D7F5" w14:textId="77777777" w:rsidR="00D90265" w:rsidRPr="00E97F48" w:rsidRDefault="00D90265" w:rsidP="00661F4D">
      <w:pPr>
        <w:pStyle w:val="NoSpacing"/>
        <w:spacing w:line="276" w:lineRule="auto"/>
        <w:rPr>
          <w:lang w:val="en-GB"/>
        </w:rPr>
      </w:pPr>
      <w:r w:rsidRPr="00E97F48">
        <w:rPr>
          <w:vertAlign w:val="superscript"/>
          <w:lang w:val="en-GB"/>
        </w:rPr>
        <w:t>6</w:t>
      </w:r>
      <w:r w:rsidRPr="00E97F48">
        <w:rPr>
          <w:lang w:val="en-GB"/>
        </w:rPr>
        <w:t xml:space="preserve">Radboud university medical </w:t>
      </w:r>
      <w:proofErr w:type="spellStart"/>
      <w:r w:rsidRPr="00E97F48">
        <w:rPr>
          <w:lang w:val="en-GB"/>
        </w:rPr>
        <w:t>center</w:t>
      </w:r>
      <w:proofErr w:type="spellEnd"/>
    </w:p>
    <w:p w14:paraId="19868A94" w14:textId="77777777" w:rsidR="00D90265" w:rsidRPr="00E97F48" w:rsidRDefault="00D90265" w:rsidP="00661F4D">
      <w:pPr>
        <w:pStyle w:val="NoSpacing"/>
        <w:spacing w:line="276" w:lineRule="auto"/>
        <w:rPr>
          <w:lang w:val="en-GB"/>
        </w:rPr>
      </w:pPr>
      <w:r w:rsidRPr="00E97F48">
        <w:rPr>
          <w:lang w:val="en-GB"/>
        </w:rPr>
        <w:t>Radboud Institute for Molecular Life Sciences</w:t>
      </w:r>
    </w:p>
    <w:p w14:paraId="597F088F" w14:textId="77777777" w:rsidR="00D90265" w:rsidRPr="00E97F48" w:rsidRDefault="00D90265" w:rsidP="00661F4D">
      <w:pPr>
        <w:pStyle w:val="NoSpacing"/>
        <w:spacing w:line="276" w:lineRule="auto"/>
        <w:rPr>
          <w:lang w:val="en-GB"/>
        </w:rPr>
      </w:pPr>
      <w:proofErr w:type="spellStart"/>
      <w:r w:rsidRPr="00E97F48">
        <w:rPr>
          <w:lang w:val="en-GB"/>
        </w:rPr>
        <w:t>Radboud</w:t>
      </w:r>
      <w:proofErr w:type="spellEnd"/>
      <w:r w:rsidRPr="00E97F48">
        <w:rPr>
          <w:lang w:val="en-GB"/>
        </w:rPr>
        <w:t xml:space="preserve"> </w:t>
      </w:r>
      <w:proofErr w:type="spellStart"/>
      <w:r w:rsidRPr="00E97F48">
        <w:rPr>
          <w:lang w:val="en-GB"/>
        </w:rPr>
        <w:t>Center</w:t>
      </w:r>
      <w:proofErr w:type="spellEnd"/>
      <w:r w:rsidRPr="00E97F48">
        <w:rPr>
          <w:lang w:val="en-GB"/>
        </w:rPr>
        <w:t xml:space="preserve"> for Infectious Diseases</w:t>
      </w:r>
    </w:p>
    <w:p w14:paraId="79784A03" w14:textId="77777777" w:rsidR="00D90265" w:rsidRPr="00E97F48" w:rsidRDefault="00D90265" w:rsidP="00661F4D">
      <w:pPr>
        <w:pStyle w:val="NoSpacing"/>
        <w:spacing w:line="276" w:lineRule="auto"/>
        <w:rPr>
          <w:rFonts w:cs="Calibri"/>
          <w:lang w:val="en-GB"/>
        </w:rPr>
      </w:pPr>
      <w:r w:rsidRPr="00E97F48">
        <w:rPr>
          <w:rFonts w:cs="Calibri"/>
          <w:lang w:val="en-GB"/>
        </w:rPr>
        <w:t xml:space="preserve">P.O. Box 9101 </w:t>
      </w:r>
    </w:p>
    <w:p w14:paraId="16BC3CCB" w14:textId="77777777" w:rsidR="00D90265" w:rsidRPr="00E97F48" w:rsidRDefault="00D90265" w:rsidP="00661F4D">
      <w:pPr>
        <w:pStyle w:val="NoSpacing"/>
        <w:spacing w:line="276" w:lineRule="auto"/>
        <w:rPr>
          <w:rFonts w:cs="Calibri"/>
          <w:lang w:val="en-GB"/>
        </w:rPr>
      </w:pPr>
      <w:r w:rsidRPr="00E97F48">
        <w:rPr>
          <w:rFonts w:cs="Calibri"/>
          <w:lang w:val="en-GB"/>
        </w:rPr>
        <w:t xml:space="preserve">6500 HB Nijmegen </w:t>
      </w:r>
    </w:p>
    <w:p w14:paraId="4E74FA35" w14:textId="77777777" w:rsidR="00D90265" w:rsidRPr="00E97F48" w:rsidRDefault="00D90265" w:rsidP="00661F4D">
      <w:pPr>
        <w:pStyle w:val="NoSpacing"/>
        <w:spacing w:line="276" w:lineRule="auto"/>
        <w:rPr>
          <w:lang w:val="en-GB"/>
        </w:rPr>
      </w:pPr>
      <w:r w:rsidRPr="00E97F48">
        <w:rPr>
          <w:lang w:val="en-GB"/>
        </w:rPr>
        <w:t>the Netherlands</w:t>
      </w:r>
    </w:p>
    <w:p w14:paraId="78AFA183" w14:textId="77777777" w:rsidR="00D90265" w:rsidRPr="00E97F48" w:rsidRDefault="00D90265" w:rsidP="00661F4D">
      <w:pPr>
        <w:pStyle w:val="NoSpacing"/>
        <w:spacing w:line="276" w:lineRule="auto"/>
        <w:rPr>
          <w:rFonts w:cs="Calibri"/>
          <w:lang w:val="en-US"/>
        </w:rPr>
      </w:pPr>
    </w:p>
    <w:p w14:paraId="04D40BC4" w14:textId="77777777" w:rsidR="00D90265" w:rsidRPr="00E97F48" w:rsidRDefault="00D90265" w:rsidP="00661F4D">
      <w:pPr>
        <w:pStyle w:val="NoSpacing"/>
        <w:spacing w:line="276" w:lineRule="auto"/>
        <w:rPr>
          <w:rFonts w:cs="Calibri"/>
          <w:lang w:val="en-US"/>
        </w:rPr>
      </w:pPr>
      <w:r w:rsidRPr="00E97F48">
        <w:rPr>
          <w:rFonts w:cs="Calibri"/>
          <w:lang w:val="en-US"/>
        </w:rPr>
        <w:t>*Corresponding author:</w:t>
      </w:r>
    </w:p>
    <w:p w14:paraId="55D40457" w14:textId="77777777" w:rsidR="00D90265" w:rsidRPr="00E97F48" w:rsidRDefault="00D90265" w:rsidP="0019752E">
      <w:pPr>
        <w:pStyle w:val="NoSpacing"/>
        <w:spacing w:line="276" w:lineRule="auto"/>
      </w:pPr>
      <w:r w:rsidRPr="00E97F48">
        <w:t>Mark van den Boogaard</w:t>
      </w:r>
    </w:p>
    <w:p w14:paraId="41B768E7" w14:textId="77777777" w:rsidR="00D90265" w:rsidRPr="00E97F48" w:rsidRDefault="00D90265" w:rsidP="0019752E">
      <w:pPr>
        <w:pStyle w:val="NoSpacing"/>
        <w:spacing w:line="276" w:lineRule="auto"/>
      </w:pPr>
      <w:r w:rsidRPr="00E97F48">
        <w:t>Ra</w:t>
      </w:r>
      <w:r w:rsidR="003160BD" w:rsidRPr="00E97F48">
        <w:t xml:space="preserve">dboud </w:t>
      </w:r>
      <w:proofErr w:type="spellStart"/>
      <w:r w:rsidR="003160BD" w:rsidRPr="00E97F48">
        <w:t>university</w:t>
      </w:r>
      <w:proofErr w:type="spellEnd"/>
      <w:r w:rsidR="003160BD" w:rsidRPr="00E97F48">
        <w:t xml:space="preserve"> </w:t>
      </w:r>
      <w:proofErr w:type="spellStart"/>
      <w:r w:rsidR="003160BD" w:rsidRPr="00E97F48">
        <w:t>medical</w:t>
      </w:r>
      <w:proofErr w:type="spellEnd"/>
      <w:r w:rsidR="003160BD" w:rsidRPr="00E97F48">
        <w:t xml:space="preserve"> center</w:t>
      </w:r>
    </w:p>
    <w:p w14:paraId="344043F4" w14:textId="77777777" w:rsidR="00D90265" w:rsidRPr="00E97F48" w:rsidRDefault="00D90265" w:rsidP="0019752E">
      <w:pPr>
        <w:pStyle w:val="NoSpacing"/>
        <w:spacing w:line="276" w:lineRule="auto"/>
        <w:rPr>
          <w:rFonts w:cs="Calibri"/>
          <w:lang w:val="en-US"/>
        </w:rPr>
      </w:pPr>
      <w:r w:rsidRPr="00E97F48">
        <w:rPr>
          <w:rFonts w:cs="Calibri"/>
          <w:lang w:val="en-US"/>
        </w:rPr>
        <w:t>Radboud Institute for Health Sciences</w:t>
      </w:r>
    </w:p>
    <w:p w14:paraId="207BBFE9" w14:textId="77777777" w:rsidR="00D90265" w:rsidRPr="00E97F48" w:rsidRDefault="00D90265" w:rsidP="007C2CBF">
      <w:pPr>
        <w:pStyle w:val="NoSpacing"/>
        <w:spacing w:line="276" w:lineRule="auto"/>
        <w:rPr>
          <w:lang w:val="en-GB"/>
        </w:rPr>
      </w:pPr>
      <w:r w:rsidRPr="00E97F48">
        <w:rPr>
          <w:lang w:val="en-GB"/>
        </w:rPr>
        <w:t>Department of Intensive Care Medicine</w:t>
      </w:r>
    </w:p>
    <w:p w14:paraId="467E0012" w14:textId="77777777" w:rsidR="00D90265" w:rsidRPr="00E97F48" w:rsidRDefault="00D90265" w:rsidP="0019752E">
      <w:pPr>
        <w:pStyle w:val="NoSpacing"/>
        <w:spacing w:line="276" w:lineRule="auto"/>
        <w:rPr>
          <w:lang w:val="en-GB"/>
        </w:rPr>
      </w:pPr>
      <w:r w:rsidRPr="00E97F48">
        <w:rPr>
          <w:lang w:val="en-GB"/>
        </w:rPr>
        <w:t>P.O. Box 9101, Internal post 710</w:t>
      </w:r>
    </w:p>
    <w:p w14:paraId="6AD595BE" w14:textId="77777777" w:rsidR="00D90265" w:rsidRPr="00E97F48" w:rsidRDefault="00D90265" w:rsidP="0019752E">
      <w:pPr>
        <w:pStyle w:val="NoSpacing"/>
        <w:spacing w:line="276" w:lineRule="auto"/>
        <w:rPr>
          <w:lang w:val="en-GB"/>
        </w:rPr>
      </w:pPr>
      <w:r w:rsidRPr="00E97F48">
        <w:rPr>
          <w:lang w:val="en-GB"/>
        </w:rPr>
        <w:t>6500 HB Nijmegen</w:t>
      </w:r>
    </w:p>
    <w:p w14:paraId="1EDE86BF" w14:textId="77777777" w:rsidR="00D90265" w:rsidRPr="00E97F48" w:rsidRDefault="00D90265" w:rsidP="0019752E">
      <w:pPr>
        <w:pStyle w:val="NoSpacing"/>
        <w:spacing w:line="276" w:lineRule="auto"/>
        <w:rPr>
          <w:lang w:val="en-GB"/>
        </w:rPr>
      </w:pPr>
      <w:r w:rsidRPr="00E97F48">
        <w:rPr>
          <w:lang w:val="en-GB"/>
        </w:rPr>
        <w:t>The Netherlands</w:t>
      </w:r>
    </w:p>
    <w:p w14:paraId="59E41671" w14:textId="77777777" w:rsidR="00D90265" w:rsidRPr="00E97F48" w:rsidRDefault="00D90265" w:rsidP="0019752E">
      <w:pPr>
        <w:pStyle w:val="NoSpacing"/>
        <w:spacing w:line="276" w:lineRule="auto"/>
        <w:rPr>
          <w:lang w:val="en-GB"/>
        </w:rPr>
      </w:pPr>
      <w:r w:rsidRPr="00E97F48">
        <w:rPr>
          <w:lang w:val="en-GB"/>
        </w:rPr>
        <w:t>Tel: +31(0)24</w:t>
      </w:r>
      <w:r w:rsidRPr="00E97F48">
        <w:rPr>
          <w:lang w:val="en-US"/>
        </w:rPr>
        <w:t>3665009</w:t>
      </w:r>
    </w:p>
    <w:p w14:paraId="1E3DCAB7" w14:textId="77777777" w:rsidR="00D90265" w:rsidRPr="00E97F48" w:rsidRDefault="00D90265" w:rsidP="0019752E">
      <w:pPr>
        <w:pStyle w:val="NoSpacing"/>
        <w:spacing w:line="276" w:lineRule="auto"/>
        <w:rPr>
          <w:lang w:val="en-US"/>
        </w:rPr>
      </w:pPr>
      <w:r w:rsidRPr="00E97F48">
        <w:rPr>
          <w:lang w:val="en-US"/>
        </w:rPr>
        <w:t>Fax: +31(0)247999119</w:t>
      </w:r>
    </w:p>
    <w:p w14:paraId="439683E8" w14:textId="77777777" w:rsidR="00D90265" w:rsidRPr="00E97F48" w:rsidRDefault="00D90265" w:rsidP="0019752E">
      <w:pPr>
        <w:pStyle w:val="NoSpacing"/>
        <w:spacing w:line="276" w:lineRule="auto"/>
        <w:rPr>
          <w:lang w:val="en-US"/>
        </w:rPr>
      </w:pPr>
      <w:r w:rsidRPr="00E97F48">
        <w:rPr>
          <w:lang w:val="en-US"/>
        </w:rPr>
        <w:t xml:space="preserve">Email: </w:t>
      </w:r>
      <w:r w:rsidRPr="00E97F48">
        <w:rPr>
          <w:u w:val="single"/>
          <w:lang w:val="en-US"/>
        </w:rPr>
        <w:t>Mark.vandenBoogaard@radboudumc.nl</w:t>
      </w:r>
    </w:p>
    <w:p w14:paraId="004F2251" w14:textId="77777777" w:rsidR="00D90265" w:rsidRPr="00E97F48" w:rsidRDefault="00D90265" w:rsidP="0019752E">
      <w:pPr>
        <w:pStyle w:val="NoSpacing"/>
        <w:spacing w:line="276" w:lineRule="auto"/>
        <w:rPr>
          <w:rFonts w:cs="Arial"/>
          <w:lang w:val="en-US"/>
        </w:rPr>
      </w:pPr>
    </w:p>
    <w:p w14:paraId="76E43864" w14:textId="77777777" w:rsidR="00D90265" w:rsidRPr="00E97F48" w:rsidRDefault="00D90265" w:rsidP="00725724">
      <w:pPr>
        <w:pStyle w:val="NoSpacing"/>
        <w:spacing w:line="276" w:lineRule="auto"/>
        <w:rPr>
          <w:rFonts w:cs="Calibri"/>
          <w:b/>
          <w:lang w:val="en-GB"/>
        </w:rPr>
      </w:pPr>
      <w:r w:rsidRPr="00E97F48">
        <w:rPr>
          <w:rFonts w:cs="Calibri"/>
          <w:b/>
          <w:lang w:val="en-GB"/>
        </w:rPr>
        <w:t>Conflict of Interest and Sources of Funding</w:t>
      </w:r>
    </w:p>
    <w:p w14:paraId="2C5452A9" w14:textId="77777777" w:rsidR="00D90265" w:rsidRPr="00E97F48" w:rsidRDefault="00D90265" w:rsidP="00725724">
      <w:pPr>
        <w:pStyle w:val="NoSpacing"/>
        <w:spacing w:line="276" w:lineRule="auto"/>
        <w:rPr>
          <w:rStyle w:val="apple-style-span"/>
          <w:rFonts w:cs="Calibri"/>
          <w:b/>
          <w:lang w:val="en-GB"/>
        </w:rPr>
      </w:pPr>
      <w:r w:rsidRPr="00E97F48">
        <w:rPr>
          <w:rStyle w:val="apple-style-span"/>
          <w:rFonts w:cs="Calibri"/>
          <w:lang w:val="en-GB"/>
        </w:rPr>
        <w:t xml:space="preserve">The authors declare that they have </w:t>
      </w:r>
      <w:r w:rsidRPr="00E97F48">
        <w:rPr>
          <w:rFonts w:cs="Calibri"/>
          <w:lang w:val="en-GB"/>
        </w:rPr>
        <w:t>no conflict of interest.</w:t>
      </w:r>
    </w:p>
    <w:p w14:paraId="39F3E8B3" w14:textId="77777777" w:rsidR="00D90265" w:rsidRPr="00E97F48" w:rsidRDefault="00D90265" w:rsidP="00725724">
      <w:pPr>
        <w:pStyle w:val="NoSpacing"/>
        <w:spacing w:line="276" w:lineRule="auto"/>
        <w:rPr>
          <w:lang w:val="en-US"/>
        </w:rPr>
      </w:pPr>
      <w:r w:rsidRPr="00E97F48">
        <w:rPr>
          <w:rStyle w:val="apple-style-span"/>
          <w:rFonts w:cs="Calibri"/>
          <w:lang w:val="en-GB"/>
        </w:rPr>
        <w:t>There was no funding for this study.</w:t>
      </w:r>
    </w:p>
    <w:p w14:paraId="5D32E38E" w14:textId="77777777" w:rsidR="00D90265" w:rsidRPr="00E97F48" w:rsidRDefault="00D90265" w:rsidP="00725724">
      <w:pPr>
        <w:pStyle w:val="NoSpacing"/>
        <w:spacing w:line="276" w:lineRule="auto"/>
        <w:rPr>
          <w:rFonts w:cs="Calibri"/>
          <w:lang w:val="en-GB"/>
        </w:rPr>
      </w:pPr>
    </w:p>
    <w:p w14:paraId="0450B833" w14:textId="77777777" w:rsidR="00D90265" w:rsidRPr="00E97F48" w:rsidRDefault="00D90265" w:rsidP="00725724">
      <w:pPr>
        <w:pStyle w:val="NoSpacing"/>
        <w:spacing w:line="276" w:lineRule="auto"/>
        <w:rPr>
          <w:rFonts w:cs="Calibri"/>
          <w:b/>
          <w:lang w:val="en-GB"/>
        </w:rPr>
      </w:pPr>
      <w:r w:rsidRPr="00E97F48">
        <w:rPr>
          <w:rFonts w:cs="Calibri"/>
          <w:b/>
          <w:lang w:val="en-GB"/>
        </w:rPr>
        <w:t>Institutions where the work was performed</w:t>
      </w:r>
    </w:p>
    <w:p w14:paraId="27B72870" w14:textId="77777777" w:rsidR="00D90265" w:rsidRPr="00E97F48" w:rsidRDefault="00D90265" w:rsidP="00725724">
      <w:pPr>
        <w:pStyle w:val="NoSpacing"/>
        <w:spacing w:line="276" w:lineRule="auto"/>
        <w:rPr>
          <w:rFonts w:cs="Calibri"/>
          <w:lang w:val="en-GB"/>
        </w:rPr>
      </w:pPr>
      <w:proofErr w:type="spellStart"/>
      <w:r w:rsidRPr="00E97F48">
        <w:rPr>
          <w:lang w:val="en-GB"/>
        </w:rPr>
        <w:t>Radboud</w:t>
      </w:r>
      <w:proofErr w:type="spellEnd"/>
      <w:r w:rsidRPr="00E97F48">
        <w:rPr>
          <w:lang w:val="en-GB"/>
        </w:rPr>
        <w:t xml:space="preserve"> university medical </w:t>
      </w:r>
      <w:proofErr w:type="spellStart"/>
      <w:r w:rsidRPr="00E97F48">
        <w:rPr>
          <w:lang w:val="en-GB"/>
        </w:rPr>
        <w:t>center</w:t>
      </w:r>
      <w:proofErr w:type="spellEnd"/>
      <w:r w:rsidRPr="00E97F48">
        <w:rPr>
          <w:lang w:val="en-GB"/>
        </w:rPr>
        <w:t xml:space="preserve"> and </w:t>
      </w:r>
      <w:r w:rsidRPr="00E97F48">
        <w:rPr>
          <w:rFonts w:cs="Calibri"/>
          <w:lang w:val="en-GB"/>
        </w:rPr>
        <w:t>University Medical Centre Utrecht.</w:t>
      </w:r>
    </w:p>
    <w:p w14:paraId="38971519" w14:textId="77777777" w:rsidR="00D90265" w:rsidRPr="00E97F48" w:rsidRDefault="00D90265" w:rsidP="00725724">
      <w:pPr>
        <w:pStyle w:val="NoSpacing"/>
        <w:spacing w:line="276" w:lineRule="auto"/>
        <w:rPr>
          <w:rFonts w:cs="Calibri"/>
          <w:lang w:val="en-GB"/>
        </w:rPr>
      </w:pPr>
    </w:p>
    <w:p w14:paraId="171133B4" w14:textId="77777777" w:rsidR="00D90265" w:rsidRPr="00E97F48" w:rsidRDefault="00D90265" w:rsidP="00725724">
      <w:pPr>
        <w:pStyle w:val="NoSpacing"/>
        <w:spacing w:line="276" w:lineRule="auto"/>
        <w:rPr>
          <w:rFonts w:cs="Calibri"/>
          <w:b/>
          <w:lang w:val="en-GB"/>
        </w:rPr>
      </w:pPr>
      <w:r w:rsidRPr="00E97F48">
        <w:rPr>
          <w:rFonts w:cs="Calibri"/>
          <w:b/>
          <w:lang w:val="en-GB"/>
        </w:rPr>
        <w:t>Reprints</w:t>
      </w:r>
    </w:p>
    <w:p w14:paraId="09F94F25" w14:textId="77777777" w:rsidR="00D90265" w:rsidRPr="00E97F48" w:rsidRDefault="00D90265" w:rsidP="00725724">
      <w:pPr>
        <w:pStyle w:val="NoSpacing"/>
        <w:spacing w:line="276" w:lineRule="auto"/>
        <w:rPr>
          <w:rFonts w:cs="Calibri"/>
          <w:lang w:val="en-GB"/>
        </w:rPr>
      </w:pPr>
      <w:r w:rsidRPr="00E97F48">
        <w:rPr>
          <w:rFonts w:cs="Calibri"/>
          <w:lang w:val="en-GB"/>
        </w:rPr>
        <w:t>No reprints will be ordered.</w:t>
      </w:r>
    </w:p>
    <w:p w14:paraId="3C5DEE3F" w14:textId="77777777" w:rsidR="00D90265" w:rsidRPr="00E97F48" w:rsidRDefault="00D90265" w:rsidP="001D04C7">
      <w:pPr>
        <w:pStyle w:val="NoSpacing"/>
        <w:spacing w:line="276" w:lineRule="auto"/>
        <w:rPr>
          <w:lang w:val="en-GB"/>
        </w:rPr>
      </w:pPr>
    </w:p>
    <w:p w14:paraId="7A89BC60" w14:textId="77777777" w:rsidR="00D90265" w:rsidRPr="00E97F48" w:rsidRDefault="00D90265" w:rsidP="001D04C7">
      <w:pPr>
        <w:pStyle w:val="NoSpacing"/>
        <w:spacing w:line="276" w:lineRule="auto"/>
        <w:rPr>
          <w:b/>
          <w:lang w:val="en-GB"/>
        </w:rPr>
      </w:pPr>
      <w:r w:rsidRPr="00E97F48">
        <w:rPr>
          <w:b/>
          <w:lang w:val="en-GB"/>
        </w:rPr>
        <w:t>Authors’ contribution</w:t>
      </w:r>
    </w:p>
    <w:p w14:paraId="110CB8BF" w14:textId="77777777" w:rsidR="00D90265" w:rsidRPr="00E97F48" w:rsidRDefault="00D90265" w:rsidP="001D04C7">
      <w:pPr>
        <w:pStyle w:val="NoSpacing"/>
        <w:spacing w:line="276" w:lineRule="auto"/>
        <w:rPr>
          <w:rFonts w:cs="Calibri"/>
          <w:lang w:val="en-GB"/>
        </w:rPr>
      </w:pPr>
      <w:r w:rsidRPr="00E97F48">
        <w:rPr>
          <w:rFonts w:cs="Calibri"/>
          <w:i/>
          <w:iCs/>
          <w:lang w:val="en-GB"/>
        </w:rPr>
        <w:t>Study concept and design:</w:t>
      </w:r>
      <w:r w:rsidRPr="00E97F48">
        <w:rPr>
          <w:rFonts w:cs="Calibri"/>
          <w:iCs/>
          <w:lang w:val="en-GB"/>
        </w:rPr>
        <w:t xml:space="preserve"> </w:t>
      </w:r>
      <w:r w:rsidRPr="00E97F48">
        <w:rPr>
          <w:rFonts w:cs="Calibri"/>
          <w:lang w:val="en-GB"/>
        </w:rPr>
        <w:t xml:space="preserve">AW, </w:t>
      </w:r>
      <w:proofErr w:type="spellStart"/>
      <w:r w:rsidRPr="00E97F48">
        <w:rPr>
          <w:rFonts w:cs="Calibri"/>
          <w:lang w:val="en-GB"/>
        </w:rPr>
        <w:t>JdeR</w:t>
      </w:r>
      <w:proofErr w:type="spellEnd"/>
      <w:r w:rsidRPr="00E97F48">
        <w:rPr>
          <w:rFonts w:cs="Calibri"/>
          <w:lang w:val="en-GB"/>
        </w:rPr>
        <w:t xml:space="preserve">, RD, LS, PP, </w:t>
      </w:r>
      <w:proofErr w:type="spellStart"/>
      <w:r w:rsidRPr="00E97F48">
        <w:rPr>
          <w:rFonts w:cs="Calibri"/>
          <w:lang w:val="en-GB"/>
        </w:rPr>
        <w:t>MvdB</w:t>
      </w:r>
      <w:proofErr w:type="spellEnd"/>
      <w:r w:rsidRPr="00E97F48">
        <w:rPr>
          <w:rFonts w:cs="Calibri"/>
          <w:lang w:val="en-GB"/>
        </w:rPr>
        <w:t>.</w:t>
      </w:r>
    </w:p>
    <w:p w14:paraId="30183341" w14:textId="77777777" w:rsidR="00D90265" w:rsidRPr="00E97F48" w:rsidRDefault="00D90265" w:rsidP="001D04C7">
      <w:pPr>
        <w:pStyle w:val="NoSpacing"/>
        <w:spacing w:line="276" w:lineRule="auto"/>
        <w:rPr>
          <w:rFonts w:cs="Calibri"/>
          <w:lang w:val="en-GB"/>
        </w:rPr>
      </w:pPr>
      <w:r w:rsidRPr="00E97F48">
        <w:rPr>
          <w:rFonts w:cs="Calibri"/>
          <w:i/>
          <w:iCs/>
          <w:lang w:val="en-GB"/>
        </w:rPr>
        <w:t xml:space="preserve">Acquisition of data: </w:t>
      </w:r>
      <w:r w:rsidRPr="00E97F48">
        <w:rPr>
          <w:rFonts w:cs="Calibri"/>
          <w:lang w:val="en-GB"/>
        </w:rPr>
        <w:t xml:space="preserve">AS, </w:t>
      </w:r>
      <w:proofErr w:type="spellStart"/>
      <w:r w:rsidRPr="00E97F48">
        <w:rPr>
          <w:rFonts w:cs="Calibri"/>
          <w:lang w:val="en-GB"/>
        </w:rPr>
        <w:t>DvD</w:t>
      </w:r>
      <w:proofErr w:type="spellEnd"/>
      <w:r w:rsidRPr="00E97F48">
        <w:rPr>
          <w:rFonts w:cs="Calibri"/>
          <w:lang w:val="en-GB"/>
        </w:rPr>
        <w:t xml:space="preserve">, </w:t>
      </w:r>
      <w:r w:rsidRPr="00E97F48">
        <w:rPr>
          <w:lang w:val="en-US"/>
        </w:rPr>
        <w:t xml:space="preserve">OC, </w:t>
      </w:r>
      <w:proofErr w:type="spellStart"/>
      <w:r w:rsidRPr="00E97F48">
        <w:rPr>
          <w:lang w:val="en-US"/>
        </w:rPr>
        <w:t>DdL</w:t>
      </w:r>
      <w:proofErr w:type="spellEnd"/>
      <w:r w:rsidRPr="00E97F48">
        <w:rPr>
          <w:rFonts w:cs="Calibri"/>
          <w:iCs/>
          <w:lang w:val="en-GB"/>
        </w:rPr>
        <w:t xml:space="preserve">, </w:t>
      </w:r>
      <w:proofErr w:type="spellStart"/>
      <w:r w:rsidRPr="00E97F48">
        <w:rPr>
          <w:rFonts w:cs="Calibri"/>
          <w:iCs/>
          <w:lang w:val="en-GB"/>
        </w:rPr>
        <w:t>MvdB</w:t>
      </w:r>
      <w:proofErr w:type="spellEnd"/>
      <w:r w:rsidRPr="00E97F48">
        <w:rPr>
          <w:rFonts w:cs="Calibri"/>
          <w:iCs/>
          <w:lang w:val="en-GB"/>
        </w:rPr>
        <w:t>.</w:t>
      </w:r>
    </w:p>
    <w:p w14:paraId="2B732379" w14:textId="77777777" w:rsidR="00D90265" w:rsidRPr="00E97F48" w:rsidRDefault="00D90265" w:rsidP="001D04C7">
      <w:pPr>
        <w:pStyle w:val="NoSpacing"/>
        <w:spacing w:line="276" w:lineRule="auto"/>
        <w:rPr>
          <w:rFonts w:cs="Calibri"/>
          <w:lang w:val="en-GB"/>
        </w:rPr>
      </w:pPr>
      <w:r w:rsidRPr="00E97F48">
        <w:rPr>
          <w:rFonts w:cs="Calibri"/>
          <w:i/>
          <w:iCs/>
          <w:lang w:val="en-GB"/>
        </w:rPr>
        <w:t xml:space="preserve">Statistical analysis: </w:t>
      </w:r>
      <w:r w:rsidRPr="00E97F48">
        <w:rPr>
          <w:rFonts w:cs="Calibri"/>
          <w:lang w:val="en-GB"/>
        </w:rPr>
        <w:t xml:space="preserve">AW, </w:t>
      </w:r>
      <w:proofErr w:type="spellStart"/>
      <w:r w:rsidRPr="00E97F48">
        <w:rPr>
          <w:rFonts w:cs="Calibri"/>
          <w:lang w:val="en-GB"/>
        </w:rPr>
        <w:t>JdeR</w:t>
      </w:r>
      <w:proofErr w:type="spellEnd"/>
      <w:r w:rsidRPr="00E97F48">
        <w:rPr>
          <w:rFonts w:cs="Calibri"/>
          <w:lang w:val="en-GB"/>
        </w:rPr>
        <w:t>, RD.</w:t>
      </w:r>
    </w:p>
    <w:p w14:paraId="7B24B125" w14:textId="77777777" w:rsidR="00D90265" w:rsidRPr="00E97F48" w:rsidRDefault="00D90265" w:rsidP="001D04C7">
      <w:pPr>
        <w:pStyle w:val="NoSpacing"/>
        <w:spacing w:line="276" w:lineRule="auto"/>
        <w:rPr>
          <w:rFonts w:cs="Calibri"/>
          <w:lang w:val="en-GB"/>
        </w:rPr>
      </w:pPr>
      <w:r w:rsidRPr="00E97F48">
        <w:rPr>
          <w:rFonts w:cs="Calibri"/>
          <w:i/>
          <w:iCs/>
          <w:lang w:val="en-GB"/>
        </w:rPr>
        <w:t xml:space="preserve">Analysis and interpretation of data: </w:t>
      </w:r>
      <w:r w:rsidRPr="00E97F48">
        <w:rPr>
          <w:rFonts w:cs="Calibri"/>
          <w:iCs/>
          <w:lang w:val="en-GB"/>
        </w:rPr>
        <w:t xml:space="preserve">AW, </w:t>
      </w:r>
      <w:proofErr w:type="spellStart"/>
      <w:r w:rsidRPr="00E97F48">
        <w:rPr>
          <w:rFonts w:cs="Calibri"/>
          <w:iCs/>
          <w:lang w:val="en-GB"/>
        </w:rPr>
        <w:t>JdeR</w:t>
      </w:r>
      <w:proofErr w:type="spellEnd"/>
      <w:r w:rsidRPr="00E97F48">
        <w:rPr>
          <w:rFonts w:cs="Calibri"/>
          <w:iCs/>
          <w:lang w:val="en-GB"/>
        </w:rPr>
        <w:t xml:space="preserve">, </w:t>
      </w:r>
      <w:proofErr w:type="spellStart"/>
      <w:r w:rsidR="006F627E" w:rsidRPr="00E97F48">
        <w:rPr>
          <w:rFonts w:cs="Calibri"/>
          <w:lang w:val="en-GB"/>
        </w:rPr>
        <w:t>MvdB</w:t>
      </w:r>
      <w:proofErr w:type="spellEnd"/>
      <w:r w:rsidR="006F627E" w:rsidRPr="00E97F48">
        <w:rPr>
          <w:rFonts w:cs="Calibri"/>
          <w:lang w:val="en-GB"/>
        </w:rPr>
        <w:t>.</w:t>
      </w:r>
    </w:p>
    <w:p w14:paraId="49ACD0A0" w14:textId="77777777" w:rsidR="00D90265" w:rsidRPr="00E97F48" w:rsidRDefault="00D90265" w:rsidP="001D04C7">
      <w:pPr>
        <w:pStyle w:val="NoSpacing"/>
        <w:spacing w:line="276" w:lineRule="auto"/>
        <w:rPr>
          <w:rFonts w:cs="Calibri"/>
          <w:lang w:val="en-GB"/>
        </w:rPr>
      </w:pPr>
      <w:r w:rsidRPr="00E97F48">
        <w:rPr>
          <w:rFonts w:cs="Calibri"/>
          <w:i/>
          <w:iCs/>
          <w:lang w:val="en-GB"/>
        </w:rPr>
        <w:t xml:space="preserve">Drafting of the manuscript: </w:t>
      </w:r>
      <w:r w:rsidRPr="00E97F48">
        <w:rPr>
          <w:rFonts w:cs="Calibri"/>
          <w:lang w:val="en-GB"/>
        </w:rPr>
        <w:t xml:space="preserve">AW, </w:t>
      </w:r>
      <w:proofErr w:type="spellStart"/>
      <w:r w:rsidRPr="00E97F48">
        <w:rPr>
          <w:rFonts w:cs="Calibri"/>
          <w:lang w:val="en-GB"/>
        </w:rPr>
        <w:t>JdeR</w:t>
      </w:r>
      <w:proofErr w:type="spellEnd"/>
      <w:r w:rsidRPr="00E97F48">
        <w:rPr>
          <w:rFonts w:cs="Calibri"/>
          <w:lang w:val="en-GB"/>
        </w:rPr>
        <w:t>.</w:t>
      </w:r>
    </w:p>
    <w:p w14:paraId="05CC7174" w14:textId="77777777" w:rsidR="00D90265" w:rsidRPr="00E97F48" w:rsidRDefault="00D90265" w:rsidP="001D04C7">
      <w:pPr>
        <w:pStyle w:val="NoSpacing"/>
        <w:spacing w:line="276" w:lineRule="auto"/>
        <w:rPr>
          <w:rFonts w:cs="Calibri"/>
          <w:lang w:val="en-GB"/>
        </w:rPr>
      </w:pPr>
      <w:r w:rsidRPr="00E97F48">
        <w:rPr>
          <w:rFonts w:cs="Calibri"/>
          <w:i/>
          <w:iCs/>
          <w:lang w:val="en-GB"/>
        </w:rPr>
        <w:t xml:space="preserve">Critical revision of the manuscript for important intellectual content: </w:t>
      </w:r>
      <w:r w:rsidRPr="00E97F48">
        <w:rPr>
          <w:rFonts w:cs="Calibri"/>
          <w:lang w:val="en-GB"/>
        </w:rPr>
        <w:t xml:space="preserve">RD, LS, AS, </w:t>
      </w:r>
      <w:proofErr w:type="spellStart"/>
      <w:r w:rsidRPr="00E97F48">
        <w:rPr>
          <w:rFonts w:cs="Calibri"/>
          <w:lang w:val="en-GB"/>
        </w:rPr>
        <w:t>DvD</w:t>
      </w:r>
      <w:proofErr w:type="spellEnd"/>
      <w:r w:rsidRPr="00E97F48">
        <w:rPr>
          <w:rFonts w:cs="Calibri"/>
          <w:lang w:val="en-GB"/>
        </w:rPr>
        <w:t xml:space="preserve">, </w:t>
      </w:r>
      <w:r w:rsidRPr="00E97F48">
        <w:rPr>
          <w:lang w:val="en-US"/>
        </w:rPr>
        <w:t xml:space="preserve">OC, </w:t>
      </w:r>
      <w:proofErr w:type="spellStart"/>
      <w:proofErr w:type="gramStart"/>
      <w:r w:rsidRPr="00E97F48">
        <w:rPr>
          <w:lang w:val="en-US"/>
        </w:rPr>
        <w:t>DdL</w:t>
      </w:r>
      <w:proofErr w:type="spellEnd"/>
      <w:r w:rsidRPr="00E97F48">
        <w:rPr>
          <w:rFonts w:cs="Calibri"/>
          <w:lang w:val="en-GB"/>
        </w:rPr>
        <w:t>,PP</w:t>
      </w:r>
      <w:proofErr w:type="gramEnd"/>
      <w:r w:rsidRPr="00E97F48">
        <w:rPr>
          <w:rFonts w:cs="Calibri"/>
          <w:lang w:val="en-GB"/>
        </w:rPr>
        <w:t xml:space="preserve">, </w:t>
      </w:r>
      <w:proofErr w:type="spellStart"/>
      <w:r w:rsidRPr="00E97F48">
        <w:rPr>
          <w:rFonts w:cs="Calibri"/>
          <w:lang w:val="en-GB"/>
        </w:rPr>
        <w:t>MvdB</w:t>
      </w:r>
      <w:proofErr w:type="spellEnd"/>
      <w:r w:rsidRPr="00E97F48">
        <w:rPr>
          <w:rFonts w:cs="Calibri"/>
          <w:lang w:val="en-GB"/>
        </w:rPr>
        <w:t>.</w:t>
      </w:r>
    </w:p>
    <w:p w14:paraId="0F293521" w14:textId="77777777" w:rsidR="00D90265" w:rsidRPr="00E97F48" w:rsidRDefault="00D90265" w:rsidP="001D04C7">
      <w:pPr>
        <w:pStyle w:val="NoSpacing"/>
        <w:spacing w:line="276" w:lineRule="auto"/>
        <w:rPr>
          <w:rFonts w:cs="Calibri"/>
          <w:lang w:val="en-GB"/>
        </w:rPr>
      </w:pPr>
      <w:r w:rsidRPr="00E97F48">
        <w:rPr>
          <w:rFonts w:cs="Calibri"/>
          <w:i/>
          <w:iCs/>
          <w:lang w:val="en-GB"/>
        </w:rPr>
        <w:t xml:space="preserve">Study supervision: </w:t>
      </w:r>
      <w:r w:rsidRPr="00E97F48">
        <w:rPr>
          <w:rFonts w:cs="Calibri"/>
          <w:lang w:val="en-GB"/>
        </w:rPr>
        <w:t xml:space="preserve">PP, </w:t>
      </w:r>
      <w:proofErr w:type="spellStart"/>
      <w:r w:rsidRPr="00E97F48">
        <w:rPr>
          <w:rFonts w:cs="Calibri"/>
          <w:lang w:val="en-GB"/>
        </w:rPr>
        <w:t>MvdB</w:t>
      </w:r>
      <w:proofErr w:type="spellEnd"/>
      <w:r w:rsidRPr="00E97F48">
        <w:rPr>
          <w:rFonts w:cs="Calibri"/>
          <w:lang w:val="en-GB"/>
        </w:rPr>
        <w:t>.</w:t>
      </w:r>
    </w:p>
    <w:p w14:paraId="3AE7D921" w14:textId="77777777" w:rsidR="00D90265" w:rsidRPr="00E97F48" w:rsidRDefault="00D90265" w:rsidP="001D04C7">
      <w:pPr>
        <w:pStyle w:val="NoSpacing"/>
        <w:spacing w:line="276" w:lineRule="auto"/>
        <w:rPr>
          <w:rFonts w:cs="Calibri"/>
          <w:iCs/>
          <w:lang w:val="en-GB"/>
        </w:rPr>
      </w:pPr>
      <w:r w:rsidRPr="00E97F48">
        <w:rPr>
          <w:rFonts w:cs="Calibri"/>
          <w:i/>
          <w:iCs/>
          <w:lang w:val="en-GB"/>
        </w:rPr>
        <w:t xml:space="preserve">Study co-supervision: </w:t>
      </w:r>
      <w:r w:rsidRPr="00E97F48">
        <w:rPr>
          <w:rFonts w:cs="Calibri"/>
          <w:lang w:val="en-GB"/>
        </w:rPr>
        <w:t>LS.</w:t>
      </w:r>
    </w:p>
    <w:p w14:paraId="6B818BEC" w14:textId="77777777" w:rsidR="00D90265" w:rsidRPr="00E97F48" w:rsidRDefault="00D90265" w:rsidP="00E33467">
      <w:pPr>
        <w:pStyle w:val="NoSpacing"/>
        <w:spacing w:line="276" w:lineRule="auto"/>
        <w:rPr>
          <w:rFonts w:cs="Calibri"/>
          <w:lang w:val="en-GB"/>
        </w:rPr>
      </w:pPr>
    </w:p>
    <w:p w14:paraId="63E1BAC4" w14:textId="77777777" w:rsidR="00D90265" w:rsidRPr="00E97F48" w:rsidRDefault="00D90265" w:rsidP="00E33467">
      <w:pPr>
        <w:pStyle w:val="NoSpacing"/>
        <w:spacing w:line="276" w:lineRule="auto"/>
        <w:rPr>
          <w:rFonts w:cs="Calibri"/>
          <w:lang w:val="en-US"/>
        </w:rPr>
      </w:pPr>
      <w:r w:rsidRPr="00E97F48">
        <w:rPr>
          <w:rFonts w:cs="Calibri"/>
          <w:b/>
          <w:lang w:val="en-US"/>
        </w:rPr>
        <w:t>Manuscript:</w:t>
      </w:r>
      <w:r w:rsidRPr="00E97F48">
        <w:rPr>
          <w:rFonts w:cs="Calibri"/>
          <w:b/>
          <w:lang w:val="en-US"/>
        </w:rPr>
        <w:tab/>
      </w:r>
      <w:r w:rsidRPr="00E97F48">
        <w:rPr>
          <w:rFonts w:cs="Calibri"/>
          <w:lang w:val="en-US"/>
        </w:rPr>
        <w:t>2749</w:t>
      </w:r>
      <w:r w:rsidRPr="00E97F48">
        <w:rPr>
          <w:rFonts w:cs="Calibri"/>
          <w:lang w:val="en-US"/>
        </w:rPr>
        <w:tab/>
        <w:t>words</w:t>
      </w:r>
      <w:r w:rsidRPr="00E97F48">
        <w:rPr>
          <w:rFonts w:cs="Calibri"/>
          <w:lang w:val="en-US"/>
        </w:rPr>
        <w:tab/>
      </w:r>
      <w:r w:rsidRPr="00E97F48">
        <w:rPr>
          <w:rFonts w:cs="Calibri"/>
          <w:lang w:val="en-US"/>
        </w:rPr>
        <w:tab/>
      </w:r>
      <w:r w:rsidRPr="00E97F48">
        <w:rPr>
          <w:rFonts w:cs="Calibri"/>
          <w:b/>
          <w:lang w:val="en-US"/>
        </w:rPr>
        <w:t>Abstract:</w:t>
      </w:r>
      <w:r w:rsidRPr="00E97F48">
        <w:rPr>
          <w:rFonts w:cs="Calibri"/>
          <w:lang w:val="en-US"/>
        </w:rPr>
        <w:tab/>
        <w:t>245</w:t>
      </w:r>
      <w:r w:rsidRPr="00E97F48">
        <w:rPr>
          <w:rFonts w:cs="Calibri"/>
          <w:lang w:val="en-US"/>
        </w:rPr>
        <w:tab/>
        <w:t xml:space="preserve">words </w:t>
      </w:r>
    </w:p>
    <w:p w14:paraId="65C6EFE8" w14:textId="77777777" w:rsidR="00D90265" w:rsidRPr="00E97F48" w:rsidRDefault="00D90265" w:rsidP="002A0727">
      <w:pPr>
        <w:pStyle w:val="NoSpacing"/>
        <w:spacing w:line="480" w:lineRule="auto"/>
        <w:rPr>
          <w:b/>
          <w:lang w:val="en-GB"/>
        </w:rPr>
      </w:pPr>
      <w:r w:rsidRPr="00E97F48">
        <w:rPr>
          <w:rFonts w:cs="Calibri"/>
          <w:lang w:val="en-GB"/>
        </w:rPr>
        <w:br w:type="page"/>
      </w:r>
      <w:r w:rsidRPr="00E97F48">
        <w:rPr>
          <w:b/>
          <w:lang w:val="en-GB"/>
        </w:rPr>
        <w:lastRenderedPageBreak/>
        <w:t>ABSTRACT</w:t>
      </w:r>
    </w:p>
    <w:p w14:paraId="1BEE770B" w14:textId="77777777" w:rsidR="00D90265" w:rsidRPr="00E97F48" w:rsidRDefault="00D90265" w:rsidP="00661F4D">
      <w:pPr>
        <w:pStyle w:val="NoSpacing"/>
        <w:rPr>
          <w:lang w:val="en-US"/>
        </w:rPr>
      </w:pPr>
      <w:r w:rsidRPr="00E97F48">
        <w:rPr>
          <w:b/>
          <w:lang w:val="en-GB"/>
        </w:rPr>
        <w:t>OBJECTIVES:</w:t>
      </w:r>
      <w:r w:rsidRPr="00E97F48">
        <w:rPr>
          <w:lang w:val="en-GB"/>
        </w:rPr>
        <w:t xml:space="preserve"> </w:t>
      </w:r>
      <w:r w:rsidRPr="00E97F48">
        <w:rPr>
          <w:rFonts w:cs="Calibri"/>
          <w:lang w:val="en-US"/>
        </w:rPr>
        <w:t xml:space="preserve">To develop and validate an abbreviated version of the </w:t>
      </w:r>
      <w:r w:rsidRPr="00E97F48">
        <w:rPr>
          <w:lang w:val="en-US"/>
        </w:rPr>
        <w:t>Cognitive Failure Questionnaire (CFQ) that can be used by patients as part of self assessment to measure functional cognitive outcome in Intensive Care Unit (ICU) survivors.</w:t>
      </w:r>
    </w:p>
    <w:p w14:paraId="265999B8" w14:textId="77777777" w:rsidR="00D90265" w:rsidRPr="00E97F48" w:rsidRDefault="00D90265" w:rsidP="00661F4D">
      <w:pPr>
        <w:pStyle w:val="NoSpacing"/>
        <w:rPr>
          <w:lang w:val="en-US"/>
        </w:rPr>
      </w:pPr>
    </w:p>
    <w:p w14:paraId="566AEE93" w14:textId="77777777" w:rsidR="00D90265" w:rsidRPr="00E97F48" w:rsidRDefault="00D90265" w:rsidP="00661F4D">
      <w:pPr>
        <w:pStyle w:val="NoSpacing"/>
        <w:rPr>
          <w:b/>
          <w:lang w:val="en-US"/>
        </w:rPr>
      </w:pPr>
      <w:r w:rsidRPr="00E97F48">
        <w:rPr>
          <w:b/>
          <w:lang w:val="en-US"/>
        </w:rPr>
        <w:t>DESIGN:</w:t>
      </w:r>
      <w:r w:rsidRPr="00E97F48">
        <w:rPr>
          <w:lang w:val="en-US"/>
        </w:rPr>
        <w:t xml:space="preserve"> A retrospective multicenter observational study.</w:t>
      </w:r>
    </w:p>
    <w:p w14:paraId="5F4F6939" w14:textId="77777777" w:rsidR="00D90265" w:rsidRPr="00E97F48" w:rsidRDefault="00D90265" w:rsidP="00661F4D">
      <w:pPr>
        <w:pStyle w:val="NoSpacing"/>
        <w:rPr>
          <w:lang w:val="en-US"/>
        </w:rPr>
      </w:pPr>
    </w:p>
    <w:p w14:paraId="04849829" w14:textId="77777777" w:rsidR="00D90265" w:rsidRPr="00E97F48" w:rsidRDefault="00D90265" w:rsidP="00661F4D">
      <w:pPr>
        <w:pStyle w:val="NoSpacing"/>
        <w:rPr>
          <w:b/>
          <w:lang w:val="en-US"/>
        </w:rPr>
      </w:pPr>
      <w:r w:rsidRPr="00E97F48">
        <w:rPr>
          <w:b/>
          <w:lang w:val="en-US"/>
        </w:rPr>
        <w:t>SETTING:</w:t>
      </w:r>
      <w:r w:rsidRPr="00E97F48">
        <w:rPr>
          <w:lang w:val="en-GB"/>
        </w:rPr>
        <w:t xml:space="preserve"> The ICUs of two Dutch university hospitals.</w:t>
      </w:r>
    </w:p>
    <w:p w14:paraId="6DCE184F" w14:textId="77777777" w:rsidR="00D90265" w:rsidRPr="00E97F48" w:rsidRDefault="00D90265" w:rsidP="00661F4D">
      <w:pPr>
        <w:pStyle w:val="NoSpacing"/>
        <w:rPr>
          <w:lang w:val="en-US"/>
        </w:rPr>
      </w:pPr>
    </w:p>
    <w:p w14:paraId="1687907A" w14:textId="77777777" w:rsidR="00D90265" w:rsidRPr="00E97F48" w:rsidRDefault="00D90265" w:rsidP="00661F4D">
      <w:pPr>
        <w:pStyle w:val="NoSpacing"/>
        <w:rPr>
          <w:rFonts w:cs="KhsmppAdvPTimes"/>
          <w:lang w:val="en-US"/>
        </w:rPr>
      </w:pPr>
      <w:r w:rsidRPr="00E97F48">
        <w:rPr>
          <w:b/>
          <w:lang w:val="en-US"/>
        </w:rPr>
        <w:t>PATIENTS:</w:t>
      </w:r>
      <w:r w:rsidRPr="00E97F48">
        <w:rPr>
          <w:lang w:val="en-US"/>
        </w:rPr>
        <w:t xml:space="preserve"> Adult ICU survivors</w:t>
      </w:r>
      <w:r w:rsidRPr="00E97F48">
        <w:rPr>
          <w:rFonts w:cs="Clearface-Regular"/>
          <w:lang w:val="en-US"/>
        </w:rPr>
        <w:t>.</w:t>
      </w:r>
      <w:r w:rsidRPr="00E97F48">
        <w:rPr>
          <w:lang w:val="en-US"/>
        </w:rPr>
        <w:t xml:space="preserve"> </w:t>
      </w:r>
    </w:p>
    <w:p w14:paraId="69BE62DF" w14:textId="77777777" w:rsidR="00D90265" w:rsidRPr="00E97F48" w:rsidRDefault="00D90265" w:rsidP="00661F4D">
      <w:pPr>
        <w:pStyle w:val="NoSpacing"/>
        <w:rPr>
          <w:lang w:val="en-US"/>
        </w:rPr>
      </w:pPr>
    </w:p>
    <w:p w14:paraId="47E3FAF3" w14:textId="77777777" w:rsidR="00D90265" w:rsidRPr="00E97F48" w:rsidRDefault="00D90265" w:rsidP="00661F4D">
      <w:pPr>
        <w:pStyle w:val="NoSpacing"/>
        <w:rPr>
          <w:b/>
          <w:lang w:val="en-US"/>
        </w:rPr>
      </w:pPr>
      <w:r w:rsidRPr="00E97F48">
        <w:rPr>
          <w:b/>
          <w:lang w:val="en-US"/>
        </w:rPr>
        <w:t>INTERVENTIONS:</w:t>
      </w:r>
      <w:r w:rsidRPr="00E97F48">
        <w:rPr>
          <w:lang w:val="en-US"/>
        </w:rPr>
        <w:t xml:space="preserve"> None.</w:t>
      </w:r>
    </w:p>
    <w:p w14:paraId="101F1260" w14:textId="77777777" w:rsidR="00D90265" w:rsidRPr="00E97F48" w:rsidRDefault="00D90265" w:rsidP="00661F4D">
      <w:pPr>
        <w:pStyle w:val="NoSpacing"/>
        <w:rPr>
          <w:lang w:val="en-US"/>
        </w:rPr>
      </w:pPr>
    </w:p>
    <w:p w14:paraId="1310950A" w14:textId="77777777" w:rsidR="00D90265" w:rsidRPr="00E97F48" w:rsidRDefault="00D90265" w:rsidP="00237007">
      <w:pPr>
        <w:pStyle w:val="NoSpacing"/>
        <w:rPr>
          <w:lang w:val="en-US"/>
        </w:rPr>
      </w:pPr>
      <w:r w:rsidRPr="00E97F48">
        <w:rPr>
          <w:b/>
          <w:lang w:val="en-GB"/>
        </w:rPr>
        <w:t>MEASUREMENTS AND MAIN RESULTS:</w:t>
      </w:r>
      <w:r w:rsidRPr="00E97F48">
        <w:rPr>
          <w:lang w:val="en-GB"/>
        </w:rPr>
        <w:t xml:space="preserve"> </w:t>
      </w:r>
      <w:r w:rsidRPr="00E97F48">
        <w:rPr>
          <w:lang w:val="en-US"/>
        </w:rPr>
        <w:t xml:space="preserve">Cognitive functioning was evaluated between 12 and 24 months after ICU discharge using the full 25 item CFQ (CFQ-25). </w:t>
      </w:r>
      <w:r w:rsidRPr="00E97F48">
        <w:rPr>
          <w:rFonts w:cs="KhsmppAdvPTimes"/>
          <w:lang w:val="en-US"/>
        </w:rPr>
        <w:t>Incomplete CFQ-25 questionnaires were excluded from analysis</w:t>
      </w:r>
      <w:r w:rsidRPr="00E97F48">
        <w:rPr>
          <w:lang w:val="en-US"/>
        </w:rPr>
        <w:t xml:space="preserve">. </w:t>
      </w:r>
    </w:p>
    <w:p w14:paraId="7E3261E4" w14:textId="77777777" w:rsidR="00D90265" w:rsidRPr="00E97F48" w:rsidRDefault="00D90265" w:rsidP="00FC31B3">
      <w:pPr>
        <w:pStyle w:val="NoSpacing"/>
        <w:ind w:firstLine="284"/>
        <w:rPr>
          <w:rFonts w:cs="PhotinaMT"/>
          <w:lang w:val="en-US"/>
        </w:rPr>
      </w:pPr>
      <w:r w:rsidRPr="00E97F48">
        <w:rPr>
          <w:rFonts w:cs="PhotinaMT"/>
          <w:lang w:val="en-GB"/>
        </w:rPr>
        <w:t>Forward</w:t>
      </w:r>
      <w:r w:rsidRPr="00E97F48">
        <w:rPr>
          <w:rFonts w:cs="PhotinaMT"/>
          <w:lang w:val="en-US"/>
        </w:rPr>
        <w:t xml:space="preserve"> selection in a linear regression model was used in hospital A, to assess </w:t>
      </w:r>
      <w:r w:rsidRPr="00E97F48">
        <w:rPr>
          <w:lang w:val="en-US"/>
        </w:rPr>
        <w:t>which of the 25 CFQ items should be included to prevent a significant</w:t>
      </w:r>
      <w:r w:rsidRPr="00E97F48">
        <w:rPr>
          <w:rFonts w:cs="PhotinaMT"/>
          <w:lang w:val="en-US"/>
        </w:rPr>
        <w:t xml:space="preserve"> loss of correlation </w:t>
      </w:r>
      <w:r w:rsidRPr="00E97F48">
        <w:rPr>
          <w:lang w:val="en-US"/>
        </w:rPr>
        <w:t>between an abbreviated and the full CFQ-25</w:t>
      </w:r>
      <w:r w:rsidRPr="00E97F48">
        <w:rPr>
          <w:rFonts w:cs="PhotinaMT"/>
          <w:lang w:val="en-US"/>
        </w:rPr>
        <w:t>. Subsequently, the performance of an abbreviated CFQ was determined in hospital B using Pearson’s correlation. A Bland Altman plot was used to examine whether the reduced-item outcome scores of an abbreviated CFQ were a replacement for the full CFQ-25 outcome scores.</w:t>
      </w:r>
    </w:p>
    <w:p w14:paraId="6DE2700C" w14:textId="77777777" w:rsidR="00D90265" w:rsidRPr="00E97F48" w:rsidRDefault="00D90265" w:rsidP="00FC31B3">
      <w:pPr>
        <w:pStyle w:val="NoSpacing"/>
        <w:ind w:firstLine="284"/>
        <w:rPr>
          <w:rFonts w:cs="PhotinaMT"/>
          <w:lang w:val="en-US"/>
        </w:rPr>
      </w:pPr>
      <w:r w:rsidRPr="00E97F48">
        <w:rPr>
          <w:lang w:val="en-GB"/>
        </w:rPr>
        <w:t xml:space="preserve">Among 1934 ICU survivors 1737 were included, 819 in hospital A, 918 in hospital B. </w:t>
      </w:r>
      <w:r w:rsidRPr="00E97F48">
        <w:rPr>
          <w:rFonts w:cs="PhotinaMT"/>
          <w:lang w:val="en-US"/>
        </w:rPr>
        <w:t xml:space="preserve">The Pearson’s correlation between the abbreviated 14 item CFQ and the CFQ-25 was 0.99. The mean of the difference scores was -0.26 and </w:t>
      </w:r>
      <w:r w:rsidRPr="00E97F48">
        <w:rPr>
          <w:lang w:val="en-US"/>
        </w:rPr>
        <w:t xml:space="preserve">95% of the difference scores fell within +5 and -5.5 on a 100-point maximum score. </w:t>
      </w:r>
    </w:p>
    <w:p w14:paraId="22F15EE4" w14:textId="77777777" w:rsidR="00D90265" w:rsidRPr="00E97F48" w:rsidRDefault="00D90265" w:rsidP="00661F4D">
      <w:pPr>
        <w:pStyle w:val="NoSpacing"/>
        <w:rPr>
          <w:rFonts w:cs="Calibri"/>
          <w:lang w:val="en-US"/>
        </w:rPr>
      </w:pPr>
    </w:p>
    <w:p w14:paraId="20D22546" w14:textId="77777777" w:rsidR="00D90265" w:rsidRPr="00E97F48" w:rsidRDefault="00D90265" w:rsidP="00237007">
      <w:pPr>
        <w:pStyle w:val="NoSpacing"/>
        <w:rPr>
          <w:rFonts w:cs="Calibri"/>
          <w:lang w:val="en-US"/>
        </w:rPr>
      </w:pPr>
      <w:r w:rsidRPr="00E97F48">
        <w:rPr>
          <w:b/>
          <w:lang w:val="en-GB"/>
        </w:rPr>
        <w:t>CONCLUSIONS:</w:t>
      </w:r>
      <w:r w:rsidRPr="00E97F48">
        <w:rPr>
          <w:lang w:val="en-GB"/>
        </w:rPr>
        <w:t xml:space="preserve"> </w:t>
      </w:r>
      <w:r w:rsidRPr="00E97F48">
        <w:rPr>
          <w:rFonts w:cs="Calibri"/>
          <w:lang w:val="en-US"/>
        </w:rPr>
        <w:t>It is feasible to use the abbreviated CFQ-14 to measure self-reported cognitive failure in ICU survivors as this questionnaire has a similar performance as the full CFQ-25.</w:t>
      </w:r>
    </w:p>
    <w:p w14:paraId="38ECBD1B" w14:textId="77777777" w:rsidR="00D90265" w:rsidRPr="00E97F48" w:rsidRDefault="00D90265" w:rsidP="00661F4D">
      <w:pPr>
        <w:pStyle w:val="NoSpacing"/>
        <w:rPr>
          <w:lang w:val="en-US"/>
        </w:rPr>
      </w:pPr>
    </w:p>
    <w:p w14:paraId="6D1F8401" w14:textId="77777777" w:rsidR="00D90265" w:rsidRPr="00E97F48" w:rsidRDefault="00D90265" w:rsidP="00661F4D">
      <w:pPr>
        <w:pStyle w:val="NoSpacing"/>
        <w:spacing w:line="480" w:lineRule="auto"/>
        <w:rPr>
          <w:rFonts w:cs="Calibri"/>
          <w:lang w:val="en-US"/>
        </w:rPr>
      </w:pPr>
    </w:p>
    <w:p w14:paraId="6D181A57" w14:textId="77777777" w:rsidR="00D90265" w:rsidRPr="00E97F48" w:rsidRDefault="00D90265" w:rsidP="004B205D">
      <w:pPr>
        <w:pStyle w:val="NoSpacing"/>
        <w:spacing w:line="276" w:lineRule="auto"/>
        <w:rPr>
          <w:rFonts w:cs="Calibri"/>
          <w:b/>
          <w:lang w:val="en-GB"/>
        </w:rPr>
      </w:pPr>
      <w:r w:rsidRPr="00E97F48">
        <w:rPr>
          <w:rFonts w:cs="Calibri"/>
          <w:b/>
          <w:lang w:val="en-GB"/>
        </w:rPr>
        <w:t>KEY WORDS</w:t>
      </w:r>
    </w:p>
    <w:p w14:paraId="50B75EBC" w14:textId="77777777" w:rsidR="00D90265" w:rsidRPr="00E97F48" w:rsidRDefault="00D90265" w:rsidP="004B205D">
      <w:pPr>
        <w:pStyle w:val="NoSpacing"/>
        <w:spacing w:line="276" w:lineRule="auto"/>
        <w:rPr>
          <w:rFonts w:asciiTheme="minorHAnsi" w:hAnsiTheme="minorHAnsi"/>
          <w:lang w:val="en-US"/>
        </w:rPr>
      </w:pPr>
      <w:r w:rsidRPr="00E97F48">
        <w:rPr>
          <w:rStyle w:val="highlight2"/>
          <w:rFonts w:asciiTheme="minorHAnsi" w:hAnsiTheme="minorHAnsi"/>
          <w:lang w:val="en-US"/>
        </w:rPr>
        <w:t>Cognitive Dysfunction</w:t>
      </w:r>
      <w:r w:rsidRPr="00E97F48">
        <w:rPr>
          <w:rFonts w:asciiTheme="minorHAnsi" w:hAnsiTheme="minorHAnsi"/>
          <w:lang w:val="en-GB"/>
        </w:rPr>
        <w:t xml:space="preserve">; Cognitive Failure Questionnaire; Critical Illness; Intensive Care Unit; </w:t>
      </w:r>
      <w:r w:rsidRPr="00E97F48">
        <w:rPr>
          <w:rStyle w:val="highlight2"/>
          <w:rFonts w:asciiTheme="minorHAnsi" w:hAnsiTheme="minorHAnsi" w:cs="Arial"/>
          <w:lang w:val="en-US"/>
        </w:rPr>
        <w:t xml:space="preserve">Neuropsychological Tests; </w:t>
      </w:r>
      <w:r w:rsidRPr="00E97F48">
        <w:rPr>
          <w:rFonts w:asciiTheme="minorHAnsi" w:hAnsiTheme="minorHAnsi"/>
          <w:lang w:val="en-US"/>
        </w:rPr>
        <w:t>post-intensive care syndrome</w:t>
      </w:r>
    </w:p>
    <w:p w14:paraId="25BA3820" w14:textId="77777777" w:rsidR="00D90265" w:rsidRPr="00E97F48" w:rsidRDefault="00D90265" w:rsidP="00661F4D">
      <w:pPr>
        <w:pStyle w:val="NoSpacing"/>
        <w:spacing w:line="480" w:lineRule="auto"/>
        <w:rPr>
          <w:rFonts w:cs="Calibri"/>
          <w:lang w:val="en-GB"/>
        </w:rPr>
      </w:pPr>
    </w:p>
    <w:p w14:paraId="7407F7B1" w14:textId="77777777" w:rsidR="00D90265" w:rsidRPr="00E97F48" w:rsidRDefault="00D90265" w:rsidP="00661F4D">
      <w:pPr>
        <w:pStyle w:val="NoSpacing"/>
        <w:spacing w:line="480" w:lineRule="auto"/>
        <w:rPr>
          <w:rFonts w:cs="Calibri"/>
          <w:lang w:val="en-US"/>
        </w:rPr>
      </w:pPr>
    </w:p>
    <w:p w14:paraId="70B639DC" w14:textId="77777777" w:rsidR="00D90265" w:rsidRPr="00E97F48" w:rsidRDefault="00D90265" w:rsidP="00EA3FEB">
      <w:pPr>
        <w:pStyle w:val="NoSpacing"/>
        <w:spacing w:line="480" w:lineRule="auto"/>
        <w:rPr>
          <w:b/>
          <w:lang w:val="en-US"/>
        </w:rPr>
      </w:pPr>
      <w:r w:rsidRPr="00E97F48">
        <w:rPr>
          <w:lang w:val="en-US"/>
        </w:rPr>
        <w:br w:type="page"/>
      </w:r>
      <w:r w:rsidRPr="00E97F48">
        <w:rPr>
          <w:b/>
          <w:lang w:val="en-US"/>
        </w:rPr>
        <w:lastRenderedPageBreak/>
        <w:t>INTRODUCTION</w:t>
      </w:r>
    </w:p>
    <w:p w14:paraId="19D690CE" w14:textId="77777777" w:rsidR="00D90265" w:rsidRPr="00E97F48" w:rsidRDefault="00D90265" w:rsidP="00EA3FEB">
      <w:pPr>
        <w:pStyle w:val="NoSpacing"/>
        <w:spacing w:line="480" w:lineRule="auto"/>
        <w:rPr>
          <w:lang w:val="en-GB"/>
        </w:rPr>
      </w:pPr>
      <w:r w:rsidRPr="00E97F48">
        <w:rPr>
          <w:lang w:val="en-GB"/>
        </w:rPr>
        <w:t>Recent advances in the treatment in the Intensive Care Unit (ICU) have resulted in substantially reduced mortality rates after critical illness.</w:t>
      </w:r>
      <w:r w:rsidRPr="00E97F48">
        <w:rPr>
          <w:noProof/>
          <w:lang w:val="en-GB"/>
        </w:rPr>
        <w:t>(1, 2)</w:t>
      </w:r>
      <w:r w:rsidRPr="00E97F48">
        <w:rPr>
          <w:lang w:val="en-GB"/>
        </w:rPr>
        <w:t xml:space="preserve"> As a consequence, there has been a shift in emphasis from preventing immediate mortality to reducing long-term impact of critical illness in survivors.</w:t>
      </w:r>
      <w:r w:rsidRPr="00E97F48">
        <w:rPr>
          <w:noProof/>
          <w:lang w:val="en-GB"/>
        </w:rPr>
        <w:t>(3)</w:t>
      </w:r>
      <w:r w:rsidRPr="00E97F48">
        <w:rPr>
          <w:lang w:val="en-GB"/>
        </w:rPr>
        <w:t xml:space="preserve"> Indeed, it has been shown that ICU survivors often develop physical, mental, and cognitive impairments following ICU discharge.</w:t>
      </w:r>
      <w:r w:rsidRPr="00E97F48">
        <w:rPr>
          <w:noProof/>
          <w:lang w:val="en-GB"/>
        </w:rPr>
        <w:t>(4, 5)</w:t>
      </w:r>
      <w:r w:rsidRPr="00E97F48">
        <w:rPr>
          <w:lang w:val="en-GB"/>
        </w:rPr>
        <w:t xml:space="preserve"> These impairments are associated with a reduced health related quality of life (HRQOL), functional status and daily functioning of ICU survivors, and together have been coined as the post-intensive care syndrome (PICS).</w:t>
      </w:r>
      <w:r w:rsidRPr="00E97F48">
        <w:rPr>
          <w:noProof/>
          <w:lang w:val="en-GB"/>
        </w:rPr>
        <w:t>(2, 6)</w:t>
      </w:r>
      <w:r w:rsidRPr="00E97F48">
        <w:rPr>
          <w:lang w:val="en-GB"/>
        </w:rPr>
        <w:t xml:space="preserve"> PICS has far reaching consequences for both ICU survivors and their families.</w:t>
      </w:r>
      <w:r w:rsidRPr="00E97F48">
        <w:rPr>
          <w:noProof/>
          <w:lang w:val="en-GB"/>
        </w:rPr>
        <w:t>(2, 7)</w:t>
      </w:r>
      <w:r w:rsidRPr="00E97F48">
        <w:rPr>
          <w:lang w:val="en-GB"/>
        </w:rPr>
        <w:t xml:space="preserve"> In particular long-term cognitive impairment is a growing public health problem</w:t>
      </w:r>
      <w:r w:rsidRPr="00E97F48">
        <w:rPr>
          <w:shd w:val="clear" w:color="auto" w:fill="FFFFFF"/>
          <w:lang w:val="en-GB"/>
        </w:rPr>
        <w:t>,</w:t>
      </w:r>
      <w:r w:rsidRPr="00E97F48">
        <w:rPr>
          <w:noProof/>
          <w:shd w:val="clear" w:color="auto" w:fill="FFFFFF"/>
          <w:lang w:val="en-GB"/>
        </w:rPr>
        <w:t>(8)</w:t>
      </w:r>
      <w:r w:rsidRPr="00E97F48">
        <w:rPr>
          <w:lang w:val="en-GB"/>
        </w:rPr>
        <w:t xml:space="preserve"> as it occurs in 4 to 62% of the ICU survivors </w:t>
      </w:r>
      <w:r w:rsidRPr="00E97F48">
        <w:rPr>
          <w:noProof/>
          <w:lang w:val="en-GB"/>
        </w:rPr>
        <w:t>(9)</w:t>
      </w:r>
      <w:r w:rsidRPr="00E97F48">
        <w:rPr>
          <w:lang w:val="en-GB"/>
        </w:rPr>
        <w:t xml:space="preserve"> and poses a great burden on the economy.</w:t>
      </w:r>
      <w:r w:rsidRPr="00E97F48">
        <w:rPr>
          <w:noProof/>
          <w:lang w:val="en-GB"/>
        </w:rPr>
        <w:t>(10)</w:t>
      </w:r>
      <w:r w:rsidRPr="00E97F48">
        <w:rPr>
          <w:lang w:val="en-GB"/>
        </w:rPr>
        <w:t xml:space="preserve"> Moreover, cognitive impairment is associated with depression, increased dependence and poor social functioning.</w:t>
      </w:r>
      <w:r w:rsidRPr="00E97F48">
        <w:rPr>
          <w:noProof/>
          <w:lang w:val="en-GB"/>
        </w:rPr>
        <w:t>(11)</w:t>
      </w:r>
      <w:r w:rsidRPr="00E97F48">
        <w:rPr>
          <w:lang w:val="en-GB"/>
        </w:rPr>
        <w:t xml:space="preserve"> Both the frequent occurrence and deleterious consequences of cognitive impairment following critical illness require further recognition and action of both clinicians and researchers</w:t>
      </w:r>
      <w:r w:rsidRPr="00E97F48">
        <w:rPr>
          <w:shd w:val="clear" w:color="auto" w:fill="FFFFFF"/>
          <w:lang w:val="en-GB"/>
        </w:rPr>
        <w:t>.</w:t>
      </w:r>
      <w:r w:rsidRPr="00E97F48">
        <w:rPr>
          <w:noProof/>
          <w:shd w:val="clear" w:color="auto" w:fill="FFFFFF"/>
          <w:lang w:val="en-GB"/>
        </w:rPr>
        <w:t>(11)</w:t>
      </w:r>
      <w:r w:rsidRPr="00E97F48">
        <w:rPr>
          <w:shd w:val="clear" w:color="auto" w:fill="FFFFFF"/>
          <w:lang w:val="en-US"/>
        </w:rPr>
        <w:t xml:space="preserve"> </w:t>
      </w:r>
      <w:r w:rsidRPr="00E97F48">
        <w:rPr>
          <w:lang w:val="en-GB"/>
        </w:rPr>
        <w:t>To date survivors’ perception of their cognitive function, which could help to understand the functional implications of cognitive impairment, received limited study. Improved identification of survivors’ perception of cognitive impairment is an essential step towards meeting the needs of ICU survivors and their families.</w:t>
      </w:r>
    </w:p>
    <w:p w14:paraId="577DE741" w14:textId="77777777" w:rsidR="00D90265" w:rsidRPr="00E97F48" w:rsidRDefault="00D90265" w:rsidP="00993A30">
      <w:pPr>
        <w:pStyle w:val="NoSpacing"/>
        <w:spacing w:line="480" w:lineRule="auto"/>
        <w:ind w:firstLine="284"/>
        <w:rPr>
          <w:lang w:val="en-GB"/>
        </w:rPr>
      </w:pPr>
      <w:r w:rsidRPr="00E97F48">
        <w:rPr>
          <w:lang w:val="en-GB"/>
        </w:rPr>
        <w:t xml:space="preserve">Post-ICU cognitive impairment affects a person’s </w:t>
      </w:r>
      <w:r w:rsidRPr="00E97F48">
        <w:rPr>
          <w:rFonts w:cs="CdyrfrWarnockPro-Regular"/>
          <w:lang w:val="en-US"/>
        </w:rPr>
        <w:t xml:space="preserve">attention, processing speed, memory, as well as executive </w:t>
      </w:r>
      <w:proofErr w:type="gramStart"/>
      <w:r w:rsidRPr="00E97F48">
        <w:rPr>
          <w:rFonts w:cs="CdyrfrWarnockPro-Regular"/>
          <w:lang w:val="en-US"/>
        </w:rPr>
        <w:t>function.</w:t>
      </w:r>
      <w:r w:rsidRPr="00E97F48">
        <w:rPr>
          <w:noProof/>
          <w:lang w:val="en-GB"/>
        </w:rPr>
        <w:t>(</w:t>
      </w:r>
      <w:proofErr w:type="gramEnd"/>
      <w:r w:rsidRPr="00E97F48">
        <w:rPr>
          <w:noProof/>
          <w:lang w:val="en-GB"/>
        </w:rPr>
        <w:t>11)</w:t>
      </w:r>
      <w:r w:rsidRPr="00E97F48">
        <w:rPr>
          <w:lang w:val="en-GB"/>
        </w:rPr>
        <w:t xml:space="preserve"> Consequently, everyday cognitive failure negatively impacts daily routine and HRQOL. Seemingly simple tasks that a person normally should be able to perform without errors, suddenly become complicated.</w:t>
      </w:r>
      <w:r w:rsidRPr="00E97F48">
        <w:rPr>
          <w:noProof/>
          <w:lang w:val="en-GB"/>
        </w:rPr>
        <w:t>(12, 13)</w:t>
      </w:r>
      <w:r w:rsidRPr="00E97F48">
        <w:rPr>
          <w:lang w:val="en-GB"/>
        </w:rPr>
        <w:t xml:space="preserve"> To assess a person’s likelihood of committing such errors in everyday life, multiple self-report measures are available.</w:t>
      </w:r>
      <w:r w:rsidRPr="00E97F48">
        <w:rPr>
          <w:noProof/>
          <w:lang w:val="en-GB"/>
        </w:rPr>
        <w:t>(13)</w:t>
      </w:r>
      <w:r w:rsidRPr="00E97F48">
        <w:rPr>
          <w:lang w:val="en-GB"/>
        </w:rPr>
        <w:t xml:space="preserve"> The Cognitive Failures Questionnaire (CFQ) designed by Broadbent et al. (1982) is the most </w:t>
      </w:r>
      <w:r w:rsidRPr="00E97F48">
        <w:rPr>
          <w:lang w:val="en-US"/>
        </w:rPr>
        <w:t>frequently</w:t>
      </w:r>
      <w:r w:rsidRPr="00E97F48">
        <w:rPr>
          <w:lang w:val="en-GB"/>
        </w:rPr>
        <w:t xml:space="preserve"> used and most comprehensive measure in terms of covered domains of daily life failures.</w:t>
      </w:r>
      <w:r w:rsidRPr="00E97F48">
        <w:rPr>
          <w:noProof/>
          <w:lang w:val="en-GB"/>
        </w:rPr>
        <w:t>(13, 14)</w:t>
      </w:r>
      <w:r w:rsidRPr="00E97F48">
        <w:rPr>
          <w:lang w:val="en-GB"/>
        </w:rPr>
        <w:t xml:space="preserve"> This self-administered questionnaire consists of 25 items </w:t>
      </w:r>
      <w:r w:rsidRPr="00E97F48">
        <w:rPr>
          <w:rFonts w:cs="Times-Roman"/>
          <w:lang w:val="en-US"/>
        </w:rPr>
        <w:t>that cover failures of perception, memory, and motor function</w:t>
      </w:r>
      <w:r w:rsidRPr="00E97F48">
        <w:rPr>
          <w:lang w:val="en-GB"/>
        </w:rPr>
        <w:t xml:space="preserve"> </w:t>
      </w:r>
      <w:r w:rsidRPr="00E97F48">
        <w:rPr>
          <w:noProof/>
          <w:lang w:val="en-GB"/>
        </w:rPr>
        <w:lastRenderedPageBreak/>
        <w:t>(14)</w:t>
      </w:r>
      <w:r w:rsidRPr="00E97F48">
        <w:rPr>
          <w:lang w:val="en-GB"/>
        </w:rPr>
        <w:t xml:space="preserve"> and therefore is the designated questionnaire to identify ICU survivors’ perception of their cognitive function.</w:t>
      </w:r>
    </w:p>
    <w:p w14:paraId="141DA034" w14:textId="77777777" w:rsidR="00D90265" w:rsidRPr="00E97F48" w:rsidRDefault="00D90265" w:rsidP="00E47744">
      <w:pPr>
        <w:pStyle w:val="NoSpacing"/>
        <w:spacing w:line="480" w:lineRule="auto"/>
        <w:ind w:firstLine="284"/>
        <w:rPr>
          <w:lang w:val="en-US"/>
        </w:rPr>
      </w:pPr>
      <w:r w:rsidRPr="00E97F48">
        <w:rPr>
          <w:lang w:val="en-GB"/>
        </w:rPr>
        <w:t xml:space="preserve">Given the multifaceted nature of PICS, several questionnaires are needed to study relevant issues related to physical, cognitive, and mental health impairments to enable a thorough measurement of the presence and consequences of PICS. In earlier studies in ICU survivors non-response was considered a problem with around 70% returned CFQ-25 despite sending reminders and/or follow-up phone </w:t>
      </w:r>
      <w:proofErr w:type="gramStart"/>
      <w:r w:rsidRPr="00E97F48">
        <w:rPr>
          <w:lang w:val="en-GB"/>
        </w:rPr>
        <w:t>calls.</w:t>
      </w:r>
      <w:r w:rsidRPr="00E97F48">
        <w:rPr>
          <w:noProof/>
          <w:lang w:val="en-GB"/>
        </w:rPr>
        <w:t>(</w:t>
      </w:r>
      <w:proofErr w:type="gramEnd"/>
      <w:r w:rsidRPr="00E97F48">
        <w:rPr>
          <w:noProof/>
          <w:lang w:val="en-GB"/>
        </w:rPr>
        <w:t>15, 16)</w:t>
      </w:r>
      <w:r w:rsidRPr="00E97F48">
        <w:rPr>
          <w:lang w:val="en-GB"/>
        </w:rPr>
        <w:t xml:space="preserve"> We hypothesize that introducing an optimal short form of the full 25 item CFQ (CFQ-25) for ICU survivors will possibly less burden the survivors as well as increase the response rates and efficiency. With that the </w:t>
      </w:r>
      <w:r w:rsidRPr="00E97F48">
        <w:rPr>
          <w:rFonts w:cs="Calibri"/>
          <w:lang w:val="en-US"/>
        </w:rPr>
        <w:t xml:space="preserve">aim of our study was to develop and validate an abbreviated version of the </w:t>
      </w:r>
      <w:r w:rsidRPr="00E97F48">
        <w:rPr>
          <w:lang w:val="en-US"/>
        </w:rPr>
        <w:t>CFQ-25 that can be used by patients as part of self assessment to measure functional cognitive outcome in ICU survivors.</w:t>
      </w:r>
    </w:p>
    <w:p w14:paraId="4F979A78" w14:textId="77777777" w:rsidR="00D90265" w:rsidRPr="00E97F48" w:rsidRDefault="00D90265" w:rsidP="00661F4D">
      <w:pPr>
        <w:pStyle w:val="NoSpacing"/>
        <w:spacing w:line="480" w:lineRule="auto"/>
        <w:rPr>
          <w:rFonts w:cs="Calibri"/>
          <w:lang w:val="en-US"/>
        </w:rPr>
      </w:pPr>
    </w:p>
    <w:p w14:paraId="060DD48D" w14:textId="77777777" w:rsidR="00D90265" w:rsidRPr="00E97F48" w:rsidRDefault="00D90265" w:rsidP="00773140">
      <w:pPr>
        <w:pStyle w:val="NoSpacing"/>
        <w:spacing w:line="480" w:lineRule="auto"/>
        <w:rPr>
          <w:b/>
          <w:lang w:val="en-GB"/>
        </w:rPr>
      </w:pPr>
      <w:r w:rsidRPr="00E97F48">
        <w:rPr>
          <w:lang w:val="en-GB"/>
        </w:rPr>
        <w:br w:type="page"/>
      </w:r>
      <w:r w:rsidRPr="00E97F48">
        <w:rPr>
          <w:b/>
          <w:lang w:val="en-GB"/>
        </w:rPr>
        <w:lastRenderedPageBreak/>
        <w:t>MATERIALS and METHODS</w:t>
      </w:r>
    </w:p>
    <w:p w14:paraId="5B9FC85D" w14:textId="77777777" w:rsidR="00D90265" w:rsidRPr="00E97F48" w:rsidRDefault="00D90265" w:rsidP="00661F4D">
      <w:pPr>
        <w:pStyle w:val="NoSpacing"/>
        <w:spacing w:line="480" w:lineRule="auto"/>
        <w:rPr>
          <w:b/>
          <w:lang w:val="en-GB"/>
        </w:rPr>
      </w:pPr>
      <w:r w:rsidRPr="00E97F48">
        <w:rPr>
          <w:b/>
          <w:lang w:val="en-GB"/>
        </w:rPr>
        <w:t>Design and Study population</w:t>
      </w:r>
    </w:p>
    <w:p w14:paraId="1BD678E5" w14:textId="77777777" w:rsidR="00D90265" w:rsidRPr="00E97F48" w:rsidRDefault="00D90265" w:rsidP="00661F4D">
      <w:pPr>
        <w:pStyle w:val="NoSpacing"/>
        <w:spacing w:line="480" w:lineRule="auto"/>
        <w:rPr>
          <w:lang w:val="en-GB"/>
        </w:rPr>
      </w:pPr>
      <w:r w:rsidRPr="00E97F48">
        <w:rPr>
          <w:lang w:val="en-US"/>
        </w:rPr>
        <w:t xml:space="preserve">This study </w:t>
      </w:r>
      <w:r w:rsidRPr="00E97F48">
        <w:rPr>
          <w:lang w:val="en-GB"/>
        </w:rPr>
        <w:t xml:space="preserve">was a retrospective study using the data of two prospective cohort studies aimed at examining the impact of delirium during ICU stay on long-term outcome and self-reported cognitive problems in survivors of critical illness carried out in two university hospitals in the </w:t>
      </w:r>
      <w:proofErr w:type="gramStart"/>
      <w:r w:rsidRPr="00E97F48">
        <w:rPr>
          <w:lang w:val="en-GB"/>
        </w:rPr>
        <w:t>Netherlands.</w:t>
      </w:r>
      <w:r w:rsidRPr="00E97F48">
        <w:rPr>
          <w:noProof/>
          <w:lang w:val="en-GB"/>
        </w:rPr>
        <w:t>(</w:t>
      </w:r>
      <w:proofErr w:type="gramEnd"/>
      <w:r w:rsidRPr="00E97F48">
        <w:rPr>
          <w:noProof/>
          <w:lang w:val="en-GB"/>
        </w:rPr>
        <w:t>15, 16)</w:t>
      </w:r>
      <w:r w:rsidRPr="00E97F48">
        <w:rPr>
          <w:rStyle w:val="CommentReference"/>
          <w:rFonts w:ascii="Arial" w:eastAsia="Times New Roman" w:hAnsi="Arial"/>
          <w:lang w:val="en-US" w:eastAsia="nl-NL"/>
        </w:rPr>
        <w:t xml:space="preserve"> </w:t>
      </w:r>
    </w:p>
    <w:p w14:paraId="0DE8AC41" w14:textId="77777777" w:rsidR="00D90265" w:rsidRPr="00E97F48" w:rsidRDefault="00D90265" w:rsidP="00664B3B">
      <w:pPr>
        <w:pStyle w:val="NoSpacing"/>
        <w:spacing w:line="480" w:lineRule="auto"/>
        <w:ind w:firstLine="284"/>
        <w:rPr>
          <w:lang w:val="en-GB"/>
        </w:rPr>
      </w:pPr>
      <w:r w:rsidRPr="00E97F48">
        <w:rPr>
          <w:rFonts w:cs="Clearface-Regular"/>
          <w:lang w:val="en-GB"/>
        </w:rPr>
        <w:t>I</w:t>
      </w:r>
      <w:r w:rsidRPr="00E97F48">
        <w:rPr>
          <w:rFonts w:cs="Clearface-Regular"/>
          <w:lang w:val="en-US"/>
        </w:rPr>
        <w:t xml:space="preserve">n the original studies </w:t>
      </w:r>
      <w:r w:rsidRPr="00E97F48">
        <w:rPr>
          <w:noProof/>
          <w:lang w:val="en-GB"/>
        </w:rPr>
        <w:t>(15, 16)</w:t>
      </w:r>
      <w:r w:rsidRPr="00E97F48">
        <w:rPr>
          <w:lang w:val="en-GB"/>
        </w:rPr>
        <w:t xml:space="preserve"> </w:t>
      </w:r>
      <w:r w:rsidRPr="00E97F48">
        <w:rPr>
          <w:rFonts w:cs="Clearface-Regular"/>
          <w:lang w:val="en-GB"/>
        </w:rPr>
        <w:t>all</w:t>
      </w:r>
      <w:r w:rsidRPr="00E97F48">
        <w:rPr>
          <w:rFonts w:cs="Clearface-Regular"/>
          <w:lang w:val="en-US"/>
        </w:rPr>
        <w:t xml:space="preserve"> consecutive adults admitted to the mixed medical-surgical ICUs were included between January 2008 and February 2009 in Hospital A, and January 2011 and July 2014 in hospital B. In the original study </w:t>
      </w:r>
      <w:r w:rsidRPr="00E97F48">
        <w:rPr>
          <w:rFonts w:cs="Clearface-Regular"/>
          <w:noProof/>
          <w:lang w:val="en-US"/>
        </w:rPr>
        <w:t>(15)</w:t>
      </w:r>
      <w:r w:rsidRPr="00E97F48">
        <w:rPr>
          <w:rFonts w:cs="Clearface-Regular"/>
          <w:lang w:val="en-US"/>
        </w:rPr>
        <w:t xml:space="preserve"> patients from hospital A were excluded if they</w:t>
      </w:r>
      <w:r w:rsidRPr="00E97F48">
        <w:rPr>
          <w:rFonts w:cs="KhsmppAdvPTimes"/>
          <w:lang w:val="en-US"/>
        </w:rPr>
        <w:t xml:space="preserve"> </w:t>
      </w:r>
      <w:r w:rsidRPr="00E97F48">
        <w:rPr>
          <w:rFonts w:cs="Clearface-Regular"/>
          <w:lang w:val="en-US"/>
        </w:rPr>
        <w:t xml:space="preserve">had been admitted to the ICU for </w:t>
      </w:r>
      <w:r w:rsidRPr="00E97F48">
        <w:rPr>
          <w:rFonts w:cs="Universal-GreekwithMathPi"/>
          <w:lang w:val="en-US"/>
        </w:rPr>
        <w:t>&lt;</w:t>
      </w:r>
      <w:r w:rsidRPr="00E97F48">
        <w:rPr>
          <w:rFonts w:cs="Clearface-Regular"/>
          <w:lang w:val="en-US"/>
        </w:rPr>
        <w:t>1 day</w:t>
      </w:r>
      <w:r w:rsidRPr="00E97F48">
        <w:rPr>
          <w:rFonts w:cs="KhsmppAdvPTimes"/>
          <w:lang w:val="en-US"/>
        </w:rPr>
        <w:t xml:space="preserve">; were unable to be reliably assessed for delirium due to: sustained coma in the ICU, </w:t>
      </w:r>
      <w:r w:rsidRPr="00E97F48">
        <w:rPr>
          <w:lang w:val="en-US"/>
        </w:rPr>
        <w:t xml:space="preserve">inability to understand Dutch, severe pre-existing mental disability such as </w:t>
      </w:r>
      <w:r w:rsidRPr="00E97F48">
        <w:rPr>
          <w:rFonts w:asciiTheme="minorHAnsi" w:hAnsiTheme="minorHAnsi"/>
          <w:lang w:val="en-US"/>
        </w:rPr>
        <w:t>retarded metal development or Alzheimer’s disease</w:t>
      </w:r>
      <w:r w:rsidRPr="00E97F48">
        <w:rPr>
          <w:lang w:val="en-US"/>
        </w:rPr>
        <w:t>, serious receptive aphasia, or serious auditory or visual disorders</w:t>
      </w:r>
      <w:r w:rsidRPr="00E97F48">
        <w:rPr>
          <w:rFonts w:cs="KhsmppAdvPTimes"/>
          <w:lang w:val="en-US"/>
        </w:rPr>
        <w:t>;</w:t>
      </w:r>
      <w:r w:rsidRPr="00E97F48">
        <w:rPr>
          <w:rFonts w:cs="Clearface-Regular"/>
          <w:lang w:val="en-US"/>
        </w:rPr>
        <w:t xml:space="preserve"> and if the delirium screening was not </w:t>
      </w:r>
      <w:proofErr w:type="gramStart"/>
      <w:r w:rsidRPr="00E97F48">
        <w:rPr>
          <w:rFonts w:cs="Clearface-Regular"/>
          <w:lang w:val="en-US"/>
        </w:rPr>
        <w:t>complete</w:t>
      </w:r>
      <w:proofErr w:type="gramEnd"/>
      <w:r w:rsidRPr="00E97F48">
        <w:rPr>
          <w:rFonts w:cs="Clearface-Regular"/>
          <w:lang w:val="en-US"/>
        </w:rPr>
        <w:t xml:space="preserve"> during their ICU stay</w:t>
      </w:r>
      <w:r w:rsidRPr="00E97F48">
        <w:rPr>
          <w:lang w:val="en-US"/>
        </w:rPr>
        <w:t>. I</w:t>
      </w:r>
      <w:r w:rsidRPr="00E97F48">
        <w:rPr>
          <w:rFonts w:cs="Clearface-Regular"/>
          <w:lang w:val="en-US"/>
        </w:rPr>
        <w:t xml:space="preserve">n the original study </w:t>
      </w:r>
      <w:r w:rsidRPr="00E97F48">
        <w:rPr>
          <w:noProof/>
          <w:lang w:val="en-US"/>
        </w:rPr>
        <w:t>(16)</w:t>
      </w:r>
      <w:r w:rsidRPr="00E97F48">
        <w:rPr>
          <w:lang w:val="en-US"/>
        </w:rPr>
        <w:t xml:space="preserve"> patients from hospital B were excluded if they </w:t>
      </w:r>
      <w:r w:rsidRPr="00E97F48">
        <w:rPr>
          <w:rFonts w:cs="Clearface-Regular"/>
          <w:lang w:val="en-US"/>
        </w:rPr>
        <w:t xml:space="preserve">had been admitted to the ICU for </w:t>
      </w:r>
      <w:r w:rsidRPr="00E97F48">
        <w:rPr>
          <w:rFonts w:cs="Universal-GreekwithMathPi"/>
          <w:lang w:val="en-US"/>
        </w:rPr>
        <w:t>&lt;2</w:t>
      </w:r>
      <w:r w:rsidRPr="00E97F48">
        <w:rPr>
          <w:rFonts w:cs="Clearface-Regular"/>
          <w:lang w:val="en-US"/>
        </w:rPr>
        <w:t xml:space="preserve"> days,</w:t>
      </w:r>
      <w:r w:rsidRPr="00E97F48">
        <w:rPr>
          <w:lang w:val="en-US"/>
        </w:rPr>
        <w:t xml:space="preserve"> were transferred from an ICU of another hospital, or if they were suffering from an acute neurological illness such as </w:t>
      </w:r>
      <w:r w:rsidRPr="00E97F48">
        <w:rPr>
          <w:rFonts w:asciiTheme="minorHAnsi" w:hAnsiTheme="minorHAnsi"/>
          <w:lang w:val="en-US"/>
        </w:rPr>
        <w:t>stroke or subarachnoid hemorrhage</w:t>
      </w:r>
      <w:r w:rsidRPr="00E97F48">
        <w:rPr>
          <w:lang w:val="en-US"/>
        </w:rPr>
        <w:t xml:space="preserve"> or another condition that could hamper delirium assessment. In this current study patients were excluded from analysis when they had an incomplete CFQ-25.</w:t>
      </w:r>
    </w:p>
    <w:p w14:paraId="322502E5" w14:textId="77777777" w:rsidR="00D90265" w:rsidRPr="00E97F48" w:rsidRDefault="00D90265" w:rsidP="00661F4D">
      <w:pPr>
        <w:pStyle w:val="NoSpacing"/>
        <w:spacing w:line="480" w:lineRule="auto"/>
        <w:ind w:firstLine="284"/>
        <w:rPr>
          <w:lang w:val="en-GB"/>
        </w:rPr>
      </w:pPr>
      <w:r w:rsidRPr="00E97F48">
        <w:rPr>
          <w:rFonts w:cs="AdvOTd434b442"/>
          <w:lang w:val="en-US"/>
        </w:rPr>
        <w:t xml:space="preserve">This study was </w:t>
      </w:r>
      <w:r w:rsidRPr="00E97F48">
        <w:rPr>
          <w:lang w:val="en-GB"/>
        </w:rPr>
        <w:t>conducted</w:t>
      </w:r>
      <w:r w:rsidRPr="00E97F48">
        <w:rPr>
          <w:iCs/>
          <w:lang w:val="en-GB"/>
        </w:rPr>
        <w:t xml:space="preserve"> in accordance with the applicable rules as described in </w:t>
      </w:r>
      <w:r w:rsidRPr="00E97F48">
        <w:rPr>
          <w:lang w:val="en-GB"/>
        </w:rPr>
        <w:t>the principles of the Declaration of Helsinki (</w:t>
      </w:r>
      <w:r w:rsidRPr="00E97F48">
        <w:rPr>
          <w:lang w:val="en-US"/>
        </w:rPr>
        <w:t>64th WMA General Assembly, Fortaleza, Brazil, October 2013</w:t>
      </w:r>
      <w:r w:rsidRPr="00E97F48">
        <w:rPr>
          <w:lang w:val="en-GB"/>
        </w:rPr>
        <w:t>) and the Medical Research Involving Human Subjects Act (WMO).</w:t>
      </w:r>
    </w:p>
    <w:p w14:paraId="50ECD765" w14:textId="77777777" w:rsidR="00D90265" w:rsidRPr="00E97F48" w:rsidRDefault="00D90265" w:rsidP="004311FF">
      <w:pPr>
        <w:pStyle w:val="NoSpacing"/>
        <w:spacing w:line="480" w:lineRule="auto"/>
        <w:ind w:firstLine="284"/>
        <w:rPr>
          <w:lang w:val="en-GB"/>
        </w:rPr>
      </w:pPr>
      <w:r w:rsidRPr="00E97F48">
        <w:rPr>
          <w:iCs/>
          <w:lang w:val="en-GB"/>
        </w:rPr>
        <w:t xml:space="preserve">The </w:t>
      </w:r>
      <w:r w:rsidRPr="00E97F48">
        <w:rPr>
          <w:lang w:val="en-GB"/>
        </w:rPr>
        <w:t>Medical ethical research committee</w:t>
      </w:r>
      <w:r w:rsidRPr="00E97F48">
        <w:rPr>
          <w:iCs/>
          <w:lang w:val="en-GB"/>
        </w:rPr>
        <w:t xml:space="preserve"> (MREC) Arnhem-Nijmegen region, </w:t>
      </w:r>
      <w:r w:rsidRPr="00E97F48">
        <w:rPr>
          <w:lang w:val="en-GB"/>
        </w:rPr>
        <w:t xml:space="preserve">the Netherlands </w:t>
      </w:r>
      <w:r w:rsidRPr="00E97F48">
        <w:rPr>
          <w:iCs/>
          <w:lang w:val="en-GB"/>
        </w:rPr>
        <w:t>(CMO Region Arnhem-Nijmegen number</w:t>
      </w:r>
      <w:r w:rsidRPr="00E97F48">
        <w:rPr>
          <w:lang w:val="en-GB"/>
        </w:rPr>
        <w:t xml:space="preserve"> 2010-008) and </w:t>
      </w:r>
      <w:r w:rsidRPr="00E97F48">
        <w:rPr>
          <w:rFonts w:cs="AdvOTd434b442"/>
          <w:lang w:val="en-US"/>
        </w:rPr>
        <w:t>the local MREC from the University Medical Center Utrecht</w:t>
      </w:r>
      <w:r w:rsidRPr="00E97F48">
        <w:rPr>
          <w:iCs/>
          <w:lang w:val="en-GB"/>
        </w:rPr>
        <w:t xml:space="preserve">, </w:t>
      </w:r>
      <w:r w:rsidRPr="00E97F48">
        <w:rPr>
          <w:lang w:val="en-GB"/>
        </w:rPr>
        <w:t>the Netherlands</w:t>
      </w:r>
      <w:r w:rsidRPr="00E97F48">
        <w:rPr>
          <w:rFonts w:cs="AdvOTd434b442"/>
          <w:lang w:val="en-US"/>
        </w:rPr>
        <w:t xml:space="preserve"> (Institutional Review Board numbers 10-006, 10-056, 12-421) reviewed this study and waived the need for approval.</w:t>
      </w:r>
    </w:p>
    <w:p w14:paraId="29100D1E" w14:textId="77777777" w:rsidR="00D90265" w:rsidRPr="00E97F48" w:rsidRDefault="00D90265" w:rsidP="00661F4D">
      <w:pPr>
        <w:pStyle w:val="NoSpacing"/>
        <w:spacing w:line="480" w:lineRule="auto"/>
        <w:ind w:firstLine="284"/>
        <w:rPr>
          <w:lang w:val="en-GB"/>
        </w:rPr>
      </w:pPr>
    </w:p>
    <w:p w14:paraId="67D4000D" w14:textId="77777777" w:rsidR="00D90265" w:rsidRPr="00E97F48" w:rsidRDefault="00D90265" w:rsidP="0088530D">
      <w:pPr>
        <w:pStyle w:val="NoSpacing"/>
        <w:spacing w:line="480" w:lineRule="auto"/>
        <w:rPr>
          <w:lang w:val="en-GB"/>
        </w:rPr>
      </w:pPr>
    </w:p>
    <w:p w14:paraId="4B12EFDA" w14:textId="77777777" w:rsidR="00D90265" w:rsidRPr="00E97F48" w:rsidRDefault="00D90265" w:rsidP="0088530D">
      <w:pPr>
        <w:pStyle w:val="NoSpacing"/>
        <w:spacing w:line="480" w:lineRule="auto"/>
        <w:rPr>
          <w:b/>
          <w:lang w:val="en-GB"/>
        </w:rPr>
      </w:pPr>
      <w:r w:rsidRPr="00E97F48">
        <w:rPr>
          <w:b/>
          <w:lang w:val="en-GB"/>
        </w:rPr>
        <w:t>Data collection</w:t>
      </w:r>
    </w:p>
    <w:p w14:paraId="30886513" w14:textId="77777777" w:rsidR="00D90265" w:rsidRPr="00E97F48" w:rsidRDefault="00D90265" w:rsidP="0088530D">
      <w:pPr>
        <w:pStyle w:val="NoSpacing"/>
        <w:spacing w:line="480" w:lineRule="auto"/>
        <w:rPr>
          <w:rFonts w:cs="Arial"/>
          <w:lang w:val="en-US"/>
        </w:rPr>
      </w:pPr>
      <w:r w:rsidRPr="00E97F48">
        <w:rPr>
          <w:lang w:val="en-US"/>
        </w:rPr>
        <w:t>After 12 to 24 months after ICU discharge, ICU survivors’ perceived cognitive functioning was evaluated using the validated Dutch translation of the CFQ-25.</w:t>
      </w:r>
      <w:r w:rsidRPr="00E97F48">
        <w:rPr>
          <w:noProof/>
          <w:lang w:val="en-US"/>
        </w:rPr>
        <w:t>(17)</w:t>
      </w:r>
      <w:r w:rsidRPr="00E97F48">
        <w:rPr>
          <w:lang w:val="en-US"/>
        </w:rPr>
        <w:t xml:space="preserve"> This translated questionnaire has shown satisfactory psychometric qualities based on both a high test-retest stability and internal consistency.</w:t>
      </w:r>
      <w:r w:rsidRPr="00E97F48">
        <w:rPr>
          <w:noProof/>
          <w:lang w:val="en-US"/>
        </w:rPr>
        <w:t>(17)</w:t>
      </w:r>
      <w:r w:rsidRPr="00E97F48">
        <w:rPr>
          <w:lang w:val="en-US"/>
        </w:rPr>
        <w:t xml:space="preserve"> </w:t>
      </w:r>
      <w:r w:rsidRPr="00E97F48">
        <w:rPr>
          <w:lang w:val="en-GB"/>
        </w:rPr>
        <w:t>We used the CFQ dimension structure of Wallace et al. (2002</w:t>
      </w:r>
      <w:r w:rsidRPr="00E97F48">
        <w:rPr>
          <w:lang w:val="en-US"/>
        </w:rPr>
        <w:t>)</w:t>
      </w:r>
      <w:r w:rsidRPr="00E97F48">
        <w:rPr>
          <w:lang w:val="en-GB"/>
        </w:rPr>
        <w:t xml:space="preserve">, comprising the four dimensions </w:t>
      </w:r>
      <w:r w:rsidRPr="00E97F48">
        <w:rPr>
          <w:rFonts w:cs="Clearface-Regular"/>
          <w:lang w:val="en-US"/>
        </w:rPr>
        <w:t>memory, distractibility, social blunders, and names.</w:t>
      </w:r>
      <w:r w:rsidRPr="00E97F48">
        <w:rPr>
          <w:rFonts w:cs="Clearface-Regular"/>
          <w:noProof/>
          <w:lang w:val="en-US"/>
        </w:rPr>
        <w:t>(15, 18, 19)</w:t>
      </w:r>
      <w:r w:rsidRPr="00E97F48">
        <w:rPr>
          <w:rFonts w:cs="Clearface-Regular"/>
          <w:lang w:val="en-US"/>
        </w:rPr>
        <w:t xml:space="preserve"> On each of the 25 items </w:t>
      </w:r>
      <w:r w:rsidRPr="00E97F48">
        <w:rPr>
          <w:lang w:val="en-US"/>
        </w:rPr>
        <w:t xml:space="preserve">the ICU survivors </w:t>
      </w:r>
      <w:r w:rsidRPr="00E97F48">
        <w:rPr>
          <w:lang w:val="en-GB"/>
        </w:rPr>
        <w:t>scored the frequency with which that type of cognitive failure occurred to them during the last 6 months, on a 5-point Likert scale ranging from “never” (0) to “very often” (4).</w:t>
      </w:r>
      <w:r w:rsidRPr="00E97F48">
        <w:rPr>
          <w:noProof/>
          <w:lang w:val="en-GB"/>
        </w:rPr>
        <w:t>(12)</w:t>
      </w:r>
      <w:r w:rsidRPr="00E97F48">
        <w:rPr>
          <w:lang w:val="en-GB"/>
        </w:rPr>
        <w:t xml:space="preserve"> </w:t>
      </w:r>
      <w:r w:rsidRPr="00E97F48">
        <w:rPr>
          <w:rFonts w:cs="Arial"/>
          <w:lang w:val="en-US"/>
        </w:rPr>
        <w:t>The most applied way to measure persons’ cognitive functioning based on their proneness to everyday cognitive mistakes, is to sum up the ratings of the 25 individual items of the CFQ, yielding a score from 0-100, with a higher score indicating more self-reported cognitive failure.</w:t>
      </w:r>
      <w:r w:rsidRPr="00E97F48">
        <w:rPr>
          <w:rFonts w:cs="Arial"/>
          <w:noProof/>
          <w:lang w:val="en-US"/>
        </w:rPr>
        <w:t>(20)</w:t>
      </w:r>
    </w:p>
    <w:p w14:paraId="7B9A4C6F" w14:textId="77777777" w:rsidR="00D90265" w:rsidRPr="00E97F48" w:rsidRDefault="00D90265" w:rsidP="0088530D">
      <w:pPr>
        <w:pStyle w:val="NoSpacing"/>
        <w:spacing w:line="480" w:lineRule="auto"/>
        <w:rPr>
          <w:lang w:val="en-US"/>
        </w:rPr>
      </w:pPr>
      <w:r w:rsidRPr="00E97F48">
        <w:rPr>
          <w:lang w:val="en-US"/>
        </w:rPr>
        <w:t xml:space="preserve">Collected demographic variables were age, gender, admission type, acute admission, and Acute </w:t>
      </w:r>
      <w:r w:rsidRPr="00E97F48">
        <w:rPr>
          <w:rFonts w:cs="AdvPSSAB-R"/>
          <w:lang w:val="en-US"/>
        </w:rPr>
        <w:t xml:space="preserve">Chronic Health Evaluation II and IV (APACHE II and APACHE IV) were collected as measures for </w:t>
      </w:r>
      <w:r w:rsidRPr="00E97F48">
        <w:rPr>
          <w:lang w:val="en-US"/>
        </w:rPr>
        <w:t xml:space="preserve">illness severity in the first 24 hours after ICU </w:t>
      </w:r>
      <w:proofErr w:type="gramStart"/>
      <w:r w:rsidRPr="00E97F48">
        <w:rPr>
          <w:lang w:val="en-US"/>
        </w:rPr>
        <w:t>admission.</w:t>
      </w:r>
      <w:r w:rsidRPr="00E97F48">
        <w:rPr>
          <w:noProof/>
          <w:lang w:val="en-US"/>
        </w:rPr>
        <w:t>(</w:t>
      </w:r>
      <w:proofErr w:type="gramEnd"/>
      <w:r w:rsidRPr="00E97F48">
        <w:rPr>
          <w:noProof/>
          <w:lang w:val="en-US"/>
        </w:rPr>
        <w:t>21, 22)</w:t>
      </w:r>
      <w:r w:rsidRPr="00E97F48">
        <w:rPr>
          <w:lang w:val="en-US"/>
        </w:rPr>
        <w:t xml:space="preserve"> Also data on ICU and hospital length of stay and delirium based on the </w:t>
      </w:r>
      <w:r w:rsidRPr="00E97F48">
        <w:rPr>
          <w:rFonts w:cs="AdvPSSAB-R"/>
          <w:lang w:val="en-US"/>
        </w:rPr>
        <w:t xml:space="preserve">Confusion Assessment Method for the ICU (CAM-ICU) </w:t>
      </w:r>
      <w:r w:rsidRPr="00E97F48">
        <w:rPr>
          <w:lang w:val="en-US"/>
        </w:rPr>
        <w:t>were collected.</w:t>
      </w:r>
      <w:r w:rsidRPr="00E97F48">
        <w:rPr>
          <w:noProof/>
          <w:lang w:val="en-US"/>
        </w:rPr>
        <w:t>(23, 24)</w:t>
      </w:r>
    </w:p>
    <w:p w14:paraId="697349EA" w14:textId="77777777" w:rsidR="00D90265" w:rsidRPr="00E97F48" w:rsidRDefault="00D90265" w:rsidP="00661F4D">
      <w:pPr>
        <w:pStyle w:val="NoSpacing"/>
        <w:spacing w:line="480" w:lineRule="auto"/>
        <w:rPr>
          <w:rFonts w:cs="Calibri"/>
          <w:lang w:val="en-GB"/>
        </w:rPr>
      </w:pPr>
    </w:p>
    <w:p w14:paraId="06E77F23" w14:textId="77777777" w:rsidR="00D90265" w:rsidRPr="00E97F48" w:rsidRDefault="00D90265" w:rsidP="00661F4D">
      <w:pPr>
        <w:pStyle w:val="NoSpacing"/>
        <w:spacing w:line="480" w:lineRule="auto"/>
        <w:rPr>
          <w:rFonts w:cs="Calibri"/>
          <w:b/>
          <w:lang w:val="en-GB"/>
        </w:rPr>
      </w:pPr>
      <w:r w:rsidRPr="00E97F48">
        <w:rPr>
          <w:rFonts w:cs="Calibri"/>
          <w:b/>
          <w:lang w:val="en-GB"/>
        </w:rPr>
        <w:t xml:space="preserve">Statistical analysis </w:t>
      </w:r>
    </w:p>
    <w:p w14:paraId="7A050F1E" w14:textId="77777777" w:rsidR="00D90265" w:rsidRPr="00E97F48" w:rsidRDefault="00D90265" w:rsidP="0097192F">
      <w:pPr>
        <w:pStyle w:val="NoSpacing"/>
        <w:spacing w:line="480" w:lineRule="auto"/>
        <w:rPr>
          <w:lang w:val="en-GB"/>
        </w:rPr>
      </w:pPr>
      <w:r w:rsidRPr="00E97F48">
        <w:rPr>
          <w:lang w:val="en-GB"/>
        </w:rPr>
        <w:t xml:space="preserve">We firstly developed the abbreviated CFQ and subsequently we validated the abbreviated CFQ. </w:t>
      </w:r>
    </w:p>
    <w:p w14:paraId="2F21F4F3" w14:textId="77777777" w:rsidR="00D90265" w:rsidRPr="00E97F48" w:rsidRDefault="00D90265" w:rsidP="0097192F">
      <w:pPr>
        <w:pStyle w:val="NoSpacing"/>
        <w:spacing w:line="480" w:lineRule="auto"/>
        <w:rPr>
          <w:i/>
          <w:lang w:val="en-GB"/>
        </w:rPr>
      </w:pPr>
      <w:r w:rsidRPr="00E97F48">
        <w:rPr>
          <w:i/>
          <w:lang w:val="en-GB"/>
        </w:rPr>
        <w:t>Development</w:t>
      </w:r>
      <w:r w:rsidRPr="00E97F48">
        <w:rPr>
          <w:i/>
          <w:lang w:val="en-US"/>
        </w:rPr>
        <w:t xml:space="preserve"> of the abbreviated CFQ</w:t>
      </w:r>
    </w:p>
    <w:p w14:paraId="44BEDC47" w14:textId="77777777" w:rsidR="00D90265" w:rsidRPr="00E97F48" w:rsidRDefault="00D90265" w:rsidP="00B33C41">
      <w:pPr>
        <w:pStyle w:val="NoSpacing"/>
        <w:spacing w:line="480" w:lineRule="auto"/>
        <w:rPr>
          <w:lang w:val="en-US"/>
        </w:rPr>
      </w:pPr>
      <w:r w:rsidRPr="00E97F48">
        <w:rPr>
          <w:lang w:val="en-GB"/>
        </w:rPr>
        <w:t>In the development phase, using data from hospital A, we used forward</w:t>
      </w:r>
      <w:r w:rsidRPr="00E97F48">
        <w:rPr>
          <w:lang w:val="en-US"/>
        </w:rPr>
        <w:t xml:space="preserve"> selection in a linear regression model to assess which of the 25 CFQ items should be included to prevent a significant loss of correlation between the abbreviated CFQ and the CFQ-25. Criteria to determine the optimal model for the abbreviated CFQ were: a minimal number of CFQ items with the maximum R Square possible and a proportional coverage of the items on the dimensions </w:t>
      </w:r>
      <w:r w:rsidRPr="00E97F48">
        <w:rPr>
          <w:rFonts w:cs="Clearface-Regular"/>
          <w:lang w:val="en-US"/>
        </w:rPr>
        <w:t xml:space="preserve">memory, distractibility, social </w:t>
      </w:r>
      <w:r w:rsidRPr="00E97F48">
        <w:rPr>
          <w:rFonts w:cs="Clearface-Regular"/>
          <w:lang w:val="en-US"/>
        </w:rPr>
        <w:lastRenderedPageBreak/>
        <w:t xml:space="preserve">blunders, and </w:t>
      </w:r>
      <w:proofErr w:type="gramStart"/>
      <w:r w:rsidRPr="00E97F48">
        <w:rPr>
          <w:rFonts w:cs="Clearface-Regular"/>
          <w:lang w:val="en-US"/>
        </w:rPr>
        <w:t>names</w:t>
      </w:r>
      <w:r w:rsidRPr="00E97F48">
        <w:rPr>
          <w:lang w:val="en-US"/>
        </w:rPr>
        <w:t>.</w:t>
      </w:r>
      <w:r w:rsidRPr="00E97F48">
        <w:rPr>
          <w:noProof/>
          <w:lang w:val="en-US"/>
        </w:rPr>
        <w:t>(</w:t>
      </w:r>
      <w:proofErr w:type="gramEnd"/>
      <w:r w:rsidRPr="00E97F48">
        <w:rPr>
          <w:noProof/>
          <w:lang w:val="en-US"/>
        </w:rPr>
        <w:t>18)</w:t>
      </w:r>
      <w:r w:rsidRPr="00E97F48">
        <w:rPr>
          <w:lang w:val="en-US"/>
        </w:rPr>
        <w:t xml:space="preserve"> This was operationalized as follows, we performed linear regression on the data with forward selection in SPSS. This resulted in 25 models, starting with 1 CFQ item up to 25 CFQ items which showed an increase in R Square as we added CFQ items to the model. We determined the point at which </w:t>
      </w:r>
      <w:r w:rsidRPr="00E97F48">
        <w:rPr>
          <w:rFonts w:asciiTheme="minorHAnsi" w:hAnsiTheme="minorHAnsi"/>
          <w:lang w:val="en-US"/>
        </w:rPr>
        <w:t>the R square was maximal with a minimal number of CFQ items possible, in other words, the point when</w:t>
      </w:r>
      <w:r w:rsidRPr="00E97F48">
        <w:rPr>
          <w:lang w:val="en-US"/>
        </w:rPr>
        <w:t xml:space="preserve"> the increase of R Square stabilized after including an extra CFQ item to the model. At this point we studied the number of included items and their coverage of the dimension structure. This analysis ultimately resulted in an abbreviated version of the CFQ for ICU survivors with the minimal number of items, that can replace the CFQ-25. </w:t>
      </w:r>
    </w:p>
    <w:p w14:paraId="69156D00" w14:textId="77777777" w:rsidR="00D90265" w:rsidRPr="00E97F48" w:rsidRDefault="00D90265" w:rsidP="0097192F">
      <w:pPr>
        <w:pStyle w:val="NoSpacing"/>
        <w:spacing w:line="480" w:lineRule="auto"/>
        <w:rPr>
          <w:i/>
          <w:lang w:val="en-US"/>
        </w:rPr>
      </w:pPr>
      <w:r w:rsidRPr="00E97F48">
        <w:rPr>
          <w:i/>
          <w:lang w:val="en-US"/>
        </w:rPr>
        <w:t>Validation of the abbreviated CFQ</w:t>
      </w:r>
    </w:p>
    <w:p w14:paraId="760397B3" w14:textId="77777777" w:rsidR="00D90265" w:rsidRPr="00E97F48" w:rsidRDefault="00D90265" w:rsidP="0097192F">
      <w:pPr>
        <w:pStyle w:val="NoSpacing"/>
        <w:spacing w:line="480" w:lineRule="auto"/>
        <w:rPr>
          <w:lang w:val="en-US"/>
        </w:rPr>
      </w:pPr>
      <w:r w:rsidRPr="00E97F48">
        <w:rPr>
          <w:lang w:val="en-US"/>
        </w:rPr>
        <w:t xml:space="preserve">Subsequently, in the validation phase the data of hospital B was used. First the performance of the abbreviated CFQ was assessed using Pearson’s correlation. Second, to examine whether the reduced-item outcome scores, i.e. the predicted scores, of the abbreviated CFQ were replaceable for the CFQ-25 outcome scores, and thus whether there was agreement between the abbreviated CFQ and the CFQ-25, we used a Bland Altman plot. </w:t>
      </w:r>
    </w:p>
    <w:p w14:paraId="02DFB427" w14:textId="77777777" w:rsidR="00D90265" w:rsidRPr="00E97F48" w:rsidRDefault="00D90265" w:rsidP="006D12FB">
      <w:pPr>
        <w:pStyle w:val="NoSpacing"/>
        <w:spacing w:line="480" w:lineRule="auto"/>
        <w:ind w:firstLine="284"/>
        <w:rPr>
          <w:lang w:val="en-US"/>
        </w:rPr>
      </w:pPr>
      <w:r w:rsidRPr="00E97F48">
        <w:rPr>
          <w:lang w:val="en-US"/>
        </w:rPr>
        <w:t>Differences between hospital A and B in demographic variables, illness severity, ICU and hospital length of stay, and delirium were calculated using T-test, Chi-square or Mann-Whitney U test depending on distribution and measurement level.</w:t>
      </w:r>
    </w:p>
    <w:p w14:paraId="5B0EF50A" w14:textId="77777777" w:rsidR="00D90265" w:rsidRPr="00E97F48" w:rsidRDefault="00D90265" w:rsidP="006D12FB">
      <w:pPr>
        <w:pStyle w:val="NoSpacing"/>
        <w:spacing w:line="480" w:lineRule="auto"/>
        <w:ind w:firstLine="284"/>
        <w:rPr>
          <w:lang w:val="en-US"/>
        </w:rPr>
      </w:pPr>
      <w:r w:rsidRPr="00E97F48">
        <w:rPr>
          <w:lang w:val="en-US"/>
        </w:rPr>
        <w:t xml:space="preserve">Data were analyzed using IBM® SPSS® Statistics version 22 for windows. </w:t>
      </w:r>
      <w:r w:rsidRPr="00E97F48">
        <w:rPr>
          <w:szCs w:val="19"/>
          <w:lang w:val="en-US"/>
        </w:rPr>
        <w:t>Statistical significance was defined as p&lt;0.05 and the null hypotheses were tested against two-sided alternatives.</w:t>
      </w:r>
    </w:p>
    <w:p w14:paraId="67DB554D" w14:textId="77777777" w:rsidR="00D90265" w:rsidRPr="00E97F48" w:rsidRDefault="00D90265" w:rsidP="00661F4D">
      <w:pPr>
        <w:pStyle w:val="NoSpacing"/>
        <w:spacing w:line="480" w:lineRule="auto"/>
        <w:rPr>
          <w:rFonts w:cs="Calibri"/>
          <w:lang w:val="en-GB"/>
        </w:rPr>
      </w:pPr>
    </w:p>
    <w:p w14:paraId="6464658E" w14:textId="77777777" w:rsidR="00D90265" w:rsidRPr="00E97F48" w:rsidRDefault="00D90265" w:rsidP="006721C6">
      <w:pPr>
        <w:pStyle w:val="NoSpacing"/>
        <w:spacing w:line="480" w:lineRule="auto"/>
        <w:rPr>
          <w:b/>
          <w:lang w:val="en-GB"/>
        </w:rPr>
      </w:pPr>
      <w:r w:rsidRPr="00E97F48">
        <w:rPr>
          <w:rFonts w:cs="Calibri"/>
          <w:lang w:val="en-GB"/>
        </w:rPr>
        <w:br w:type="page"/>
      </w:r>
      <w:r w:rsidRPr="00E97F48">
        <w:rPr>
          <w:b/>
          <w:lang w:val="en-GB"/>
        </w:rPr>
        <w:lastRenderedPageBreak/>
        <w:t>RESULTS</w:t>
      </w:r>
    </w:p>
    <w:p w14:paraId="7A98D8B7" w14:textId="77777777" w:rsidR="00D90265" w:rsidRPr="00E97F48" w:rsidRDefault="00D90265" w:rsidP="00661F4D">
      <w:pPr>
        <w:pStyle w:val="NoSpacing"/>
        <w:spacing w:line="480" w:lineRule="auto"/>
        <w:rPr>
          <w:lang w:val="en-US"/>
        </w:rPr>
      </w:pPr>
      <w:r w:rsidRPr="00E97F48">
        <w:rPr>
          <w:lang w:val="en-GB"/>
        </w:rPr>
        <w:t xml:space="preserve">Two cohorts were used. In hospital A 819 of the 914 ICU survivors (90%) had a complete CFQ-25. </w:t>
      </w:r>
      <w:r w:rsidRPr="00E97F48">
        <w:rPr>
          <w:lang w:val="en-US"/>
        </w:rPr>
        <w:t xml:space="preserve">Their mean (SD) age was 63 (14) years, and 608 (67%) were male. The median length of ICU </w:t>
      </w:r>
      <w:proofErr w:type="gramStart"/>
      <w:r w:rsidRPr="00E97F48">
        <w:rPr>
          <w:lang w:val="en-US"/>
        </w:rPr>
        <w:t>stay</w:t>
      </w:r>
      <w:proofErr w:type="gramEnd"/>
      <w:r w:rsidRPr="00E97F48">
        <w:rPr>
          <w:lang w:val="en-US"/>
        </w:rPr>
        <w:t xml:space="preserve"> (LOS ICU) was 1 day [Interquartile range (IQR); 1-2]. 171 (19%) of the survivors were delirious during ICU admission. </w:t>
      </w:r>
      <w:r w:rsidRPr="00E97F48">
        <w:rPr>
          <w:lang w:val="en-GB"/>
        </w:rPr>
        <w:t xml:space="preserve">In hospital B 918 of the 1020 ICU survivors (90%) had a complete CFQ-25. </w:t>
      </w:r>
      <w:r w:rsidRPr="00E97F48">
        <w:rPr>
          <w:lang w:val="en-US"/>
        </w:rPr>
        <w:t>These survivors had significantly different characteristics, including age, sex and APACHE scores. (Table 1) ICU survivors with incomplete CFQ-25 questionnaires also had comparable characteristics.</w:t>
      </w:r>
      <w:r w:rsidRPr="00E97F48">
        <w:rPr>
          <w:lang w:val="en-GB"/>
        </w:rPr>
        <w:t xml:space="preserve"> In total, among 1934 ICU survivors, 1737 (90%) had a complete CFQ-25 available for analysis.</w:t>
      </w:r>
    </w:p>
    <w:p w14:paraId="54BEE668" w14:textId="77777777" w:rsidR="00D90265" w:rsidRPr="00E97F48" w:rsidRDefault="00D90265" w:rsidP="00661F4D">
      <w:pPr>
        <w:pStyle w:val="NoSpacing"/>
        <w:spacing w:line="480" w:lineRule="auto"/>
        <w:rPr>
          <w:lang w:val="en-US"/>
        </w:rPr>
      </w:pPr>
    </w:p>
    <w:p w14:paraId="3A99FC6C" w14:textId="77777777" w:rsidR="00D90265" w:rsidRPr="00E97F48" w:rsidRDefault="00D90265" w:rsidP="00661F4D">
      <w:pPr>
        <w:pStyle w:val="NoSpacing"/>
        <w:spacing w:line="480" w:lineRule="auto"/>
        <w:rPr>
          <w:b/>
          <w:lang w:val="en-GB"/>
        </w:rPr>
      </w:pPr>
      <w:r w:rsidRPr="00E97F48">
        <w:rPr>
          <w:b/>
          <w:lang w:val="en-US"/>
        </w:rPr>
        <w:t>Development of the abbreviated CFQ</w:t>
      </w:r>
    </w:p>
    <w:p w14:paraId="40759081" w14:textId="77777777" w:rsidR="00D90265" w:rsidRPr="00E97F48" w:rsidRDefault="00D90265" w:rsidP="00661F4D">
      <w:pPr>
        <w:pStyle w:val="NoSpacing"/>
        <w:spacing w:line="480" w:lineRule="auto"/>
        <w:rPr>
          <w:rFonts w:cs="Courier New"/>
          <w:lang w:val="en-US"/>
        </w:rPr>
      </w:pPr>
      <w:r w:rsidRPr="00E97F48">
        <w:rPr>
          <w:rFonts w:cs="PhotinaMT"/>
          <w:lang w:val="en-GB"/>
        </w:rPr>
        <w:t xml:space="preserve">Following forward selection in </w:t>
      </w:r>
      <w:r w:rsidRPr="00E97F48">
        <w:rPr>
          <w:lang w:val="en-US"/>
        </w:rPr>
        <w:t xml:space="preserve">a linear regression model, </w:t>
      </w:r>
      <w:r w:rsidRPr="00E97F48">
        <w:rPr>
          <w:rFonts w:asciiTheme="minorHAnsi" w:hAnsiTheme="minorHAnsi"/>
          <w:lang w:val="en-GB"/>
        </w:rPr>
        <w:t xml:space="preserve">the predefined criteria that we used to </w:t>
      </w:r>
      <w:r w:rsidRPr="00E97F48">
        <w:rPr>
          <w:rFonts w:asciiTheme="minorHAnsi" w:hAnsiTheme="minorHAnsi"/>
          <w:lang w:val="en-US"/>
        </w:rPr>
        <w:t>determine the optimal model for the abbreviated CFQ comprising a minimal number of CFQ items, a maximum</w:t>
      </w:r>
      <w:r w:rsidRPr="00E97F48">
        <w:rPr>
          <w:lang w:val="en-US"/>
        </w:rPr>
        <w:t xml:space="preserve"> R Square and proportional coverage of the items on the dimensions </w:t>
      </w:r>
      <w:r w:rsidRPr="00E97F48">
        <w:rPr>
          <w:rFonts w:cs="Clearface-Regular"/>
          <w:lang w:val="en-US"/>
        </w:rPr>
        <w:t xml:space="preserve">memory, distractibility, social blunders, and names </w:t>
      </w:r>
      <w:r w:rsidRPr="00E97F48">
        <w:rPr>
          <w:rFonts w:cs="Clearface-Regular"/>
          <w:noProof/>
          <w:lang w:val="en-US"/>
        </w:rPr>
        <w:t>(18)</w:t>
      </w:r>
      <w:r w:rsidRPr="00E97F48">
        <w:rPr>
          <w:rFonts w:cs="Clearface-Regular"/>
          <w:lang w:val="en-US"/>
        </w:rPr>
        <w:t xml:space="preserve"> were most optimal in the model with 14 CFQ items. The R Square of this model was 0.973, and the included questionnaire items were in order of forward selection </w:t>
      </w:r>
      <w:r w:rsidRPr="00E97F48">
        <w:rPr>
          <w:rFonts w:cs="Courier New"/>
          <w:lang w:val="en-US"/>
        </w:rPr>
        <w:t xml:space="preserve">17, 21, 3, 9, 14, 6, 22, 10, 16, 12, 15, 7, 24, and 2. (Table 2, Table 3 and Appendix 1) The next step in forward selection would have resulted in a </w:t>
      </w:r>
      <w:proofErr w:type="gramStart"/>
      <w:r w:rsidRPr="00E97F48">
        <w:rPr>
          <w:rFonts w:cs="Courier New"/>
          <w:lang w:val="en-US"/>
        </w:rPr>
        <w:t>15 item</w:t>
      </w:r>
      <w:proofErr w:type="gramEnd"/>
      <w:r w:rsidRPr="00E97F48">
        <w:rPr>
          <w:rFonts w:cs="Courier New"/>
          <w:lang w:val="en-US"/>
        </w:rPr>
        <w:t xml:space="preserve"> model with the identical CFQ items as the 14 item model plus questionnaire item 18 </w:t>
      </w:r>
      <w:r w:rsidRPr="00E97F48">
        <w:rPr>
          <w:rFonts w:asciiTheme="minorHAnsi" w:hAnsiTheme="minorHAnsi"/>
          <w:lang w:val="en-US"/>
        </w:rPr>
        <w:t>which belonged to dimension memory</w:t>
      </w:r>
      <w:r w:rsidRPr="00E97F48">
        <w:rPr>
          <w:rFonts w:cs="Courier New"/>
          <w:lang w:val="en-US"/>
        </w:rPr>
        <w:t xml:space="preserve">. Inclusion of item 18 would have resulted in an overrepresentation of the dimension memory compared to the other dimensions, especially </w:t>
      </w:r>
      <w:proofErr w:type="gramStart"/>
      <w:r w:rsidRPr="00E97F48">
        <w:rPr>
          <w:rFonts w:cs="Courier New"/>
          <w:lang w:val="en-US"/>
        </w:rPr>
        <w:t>blunders.</w:t>
      </w:r>
      <w:r w:rsidRPr="00E97F48">
        <w:rPr>
          <w:rFonts w:cs="Courier New"/>
          <w:noProof/>
          <w:lang w:val="en-US"/>
        </w:rPr>
        <w:t>(</w:t>
      </w:r>
      <w:proofErr w:type="gramEnd"/>
      <w:r w:rsidRPr="00E97F48">
        <w:rPr>
          <w:rFonts w:cs="Courier New"/>
          <w:noProof/>
          <w:lang w:val="en-US"/>
        </w:rPr>
        <w:t>18)</w:t>
      </w:r>
      <w:r w:rsidRPr="00E97F48">
        <w:rPr>
          <w:rFonts w:cs="Courier New"/>
          <w:lang w:val="en-US"/>
        </w:rPr>
        <w:t xml:space="preserve"> In addition, the increase of R square to </w:t>
      </w:r>
      <w:r w:rsidRPr="00E97F48">
        <w:rPr>
          <w:lang w:val="en-US"/>
        </w:rPr>
        <w:t>0.978 was not considered to be clinically relevant.</w:t>
      </w:r>
    </w:p>
    <w:p w14:paraId="79357376" w14:textId="77777777" w:rsidR="00D90265" w:rsidRPr="00E97F48" w:rsidRDefault="00D90265" w:rsidP="00661F4D">
      <w:pPr>
        <w:pStyle w:val="NoSpacing"/>
        <w:spacing w:line="480" w:lineRule="auto"/>
        <w:rPr>
          <w:rFonts w:cs="Courier New"/>
          <w:lang w:val="en-US"/>
        </w:rPr>
      </w:pPr>
    </w:p>
    <w:p w14:paraId="129B6477" w14:textId="77777777" w:rsidR="00D90265" w:rsidRPr="00E97F48" w:rsidRDefault="00D90265" w:rsidP="00661F4D">
      <w:pPr>
        <w:pStyle w:val="NoSpacing"/>
        <w:spacing w:line="480" w:lineRule="auto"/>
        <w:rPr>
          <w:rFonts w:cs="PhotinaMT"/>
          <w:b/>
          <w:lang w:val="en-GB"/>
        </w:rPr>
      </w:pPr>
      <w:r w:rsidRPr="00E97F48">
        <w:rPr>
          <w:rFonts w:cs="Courier New"/>
          <w:b/>
          <w:lang w:val="en-US"/>
        </w:rPr>
        <w:t>Validation of the abbreviated CFQ</w:t>
      </w:r>
    </w:p>
    <w:p w14:paraId="6E69E09A" w14:textId="77777777" w:rsidR="00D90265" w:rsidRPr="00E97F48" w:rsidRDefault="00D90265" w:rsidP="00661F4D">
      <w:pPr>
        <w:pStyle w:val="NoSpacing"/>
        <w:spacing w:line="480" w:lineRule="auto"/>
        <w:rPr>
          <w:rFonts w:cs="PhotinaMT"/>
          <w:lang w:val="en-US"/>
        </w:rPr>
      </w:pPr>
      <w:r w:rsidRPr="00E97F48">
        <w:rPr>
          <w:rFonts w:cs="PhotinaMT"/>
          <w:lang w:val="en-US"/>
        </w:rPr>
        <w:t>The abbreviated CFQ-14 and the CFQ-25 were significantly correlated, R= 0.986 (p&lt;0.0001). The mean (SD) score of the ICU survivors on the CFQ-25 was 22.8 (16.1) and the mean (SD) on the CFQ-14 23.0 (15.9).</w:t>
      </w:r>
    </w:p>
    <w:p w14:paraId="6EDA56B3" w14:textId="77777777" w:rsidR="00D90265" w:rsidRPr="00E97F48" w:rsidRDefault="00D90265" w:rsidP="00661F4D">
      <w:pPr>
        <w:pStyle w:val="NoSpacing"/>
        <w:spacing w:line="480" w:lineRule="auto"/>
        <w:ind w:firstLine="284"/>
        <w:rPr>
          <w:rFonts w:cs="PhotinaMT"/>
          <w:lang w:val="en-US"/>
        </w:rPr>
      </w:pPr>
      <w:r w:rsidRPr="00E97F48">
        <w:rPr>
          <w:rFonts w:cs="PhotinaMT"/>
          <w:lang w:val="en-US"/>
        </w:rPr>
        <w:lastRenderedPageBreak/>
        <w:t xml:space="preserve">The mean (SD) of the difference scores between the CFQ-25 and the CFQ-14 was -0.257 (2.67) which is surrounding zero. Of the difference scores 95% were falling within plus 5 and minus 5.5 on a 100-point maximum score. </w:t>
      </w:r>
      <w:r w:rsidRPr="00E97F48">
        <w:rPr>
          <w:lang w:val="en-US"/>
        </w:rPr>
        <w:t>Meaning the CFQ-25 outcome scores are replaceable by the CFQ-14 outcome scores and as such</w:t>
      </w:r>
      <w:r w:rsidRPr="00E97F48">
        <w:rPr>
          <w:rFonts w:asciiTheme="minorHAnsi" w:hAnsiTheme="minorHAnsi"/>
          <w:lang w:val="en-US"/>
        </w:rPr>
        <w:t xml:space="preserve"> the CFQ-14 can be used to assess self-reported cognitive failures in an ICU population</w:t>
      </w:r>
      <w:r w:rsidRPr="00E97F48">
        <w:rPr>
          <w:lang w:val="en-US"/>
        </w:rPr>
        <w:t xml:space="preserve">. </w:t>
      </w:r>
      <w:r w:rsidRPr="00E97F48">
        <w:rPr>
          <w:rFonts w:cs="PhotinaMT"/>
          <w:lang w:val="en-US"/>
        </w:rPr>
        <w:t>(Figure 1)</w:t>
      </w:r>
    </w:p>
    <w:p w14:paraId="493CFA74" w14:textId="77777777" w:rsidR="00D90265" w:rsidRPr="00E97F48" w:rsidRDefault="00D90265" w:rsidP="00661F4D">
      <w:pPr>
        <w:pStyle w:val="NoSpacing"/>
        <w:spacing w:line="480" w:lineRule="auto"/>
        <w:rPr>
          <w:rFonts w:cs="Calibri"/>
          <w:b/>
          <w:lang w:val="en-US"/>
        </w:rPr>
      </w:pPr>
    </w:p>
    <w:p w14:paraId="4360FD7F" w14:textId="77777777" w:rsidR="00D90265" w:rsidRPr="00E97F48" w:rsidRDefault="00D90265" w:rsidP="0088530D">
      <w:pPr>
        <w:pStyle w:val="NoSpacing"/>
        <w:spacing w:line="480" w:lineRule="auto"/>
        <w:rPr>
          <w:b/>
          <w:lang w:val="en-GB"/>
        </w:rPr>
      </w:pPr>
      <w:r w:rsidRPr="00E97F48">
        <w:rPr>
          <w:lang w:val="en-US"/>
        </w:rPr>
        <w:br w:type="page"/>
      </w:r>
      <w:r w:rsidRPr="00E97F48">
        <w:rPr>
          <w:b/>
          <w:lang w:val="en-GB"/>
        </w:rPr>
        <w:lastRenderedPageBreak/>
        <w:t>DISCUSSION</w:t>
      </w:r>
    </w:p>
    <w:p w14:paraId="7AE9C44E" w14:textId="77777777" w:rsidR="00D90265" w:rsidRPr="00E97F48" w:rsidRDefault="00D90265" w:rsidP="0088530D">
      <w:pPr>
        <w:pStyle w:val="NoSpacing"/>
        <w:spacing w:line="480" w:lineRule="auto"/>
        <w:rPr>
          <w:rFonts w:cs="PhotinaMT"/>
          <w:lang w:val="en-US"/>
        </w:rPr>
      </w:pPr>
      <w:r w:rsidRPr="00E97F48">
        <w:rPr>
          <w:rFonts w:cs="Calibri"/>
          <w:lang w:val="en-GB"/>
        </w:rPr>
        <w:t xml:space="preserve">We describe the development and validation of an abbreviated </w:t>
      </w:r>
      <w:r w:rsidRPr="00E97F48">
        <w:rPr>
          <w:rFonts w:cs="PhotinaMT"/>
          <w:lang w:val="en-US"/>
        </w:rPr>
        <w:t xml:space="preserve">self-reporting </w:t>
      </w:r>
      <w:r w:rsidRPr="00E97F48">
        <w:rPr>
          <w:rFonts w:cs="Calibri"/>
          <w:lang w:val="en-GB"/>
        </w:rPr>
        <w:t xml:space="preserve">Cognitive Failure Questionnaire (CFQ-14) to </w:t>
      </w:r>
      <w:r w:rsidRPr="00E97F48">
        <w:rPr>
          <w:lang w:val="en-US"/>
        </w:rPr>
        <w:t xml:space="preserve">assess cognitive failure in ICU survivors. This abbreviated version </w:t>
      </w:r>
      <w:r w:rsidRPr="00E97F48">
        <w:rPr>
          <w:bCs/>
          <w:lang w:val="en-US"/>
        </w:rPr>
        <w:t xml:space="preserve">reproduces more than 98% of the variance of the original </w:t>
      </w:r>
      <w:r w:rsidRPr="00E97F48">
        <w:rPr>
          <w:rFonts w:cs="PhotinaMT"/>
          <w:lang w:val="en-US"/>
        </w:rPr>
        <w:t>25 item</w:t>
      </w:r>
      <w:r w:rsidRPr="00E97F48">
        <w:rPr>
          <w:bCs/>
          <w:lang w:val="en-US"/>
        </w:rPr>
        <w:t xml:space="preserve"> CFQ (CFQ-25) and the outcome scores </w:t>
      </w:r>
      <w:r w:rsidRPr="00E97F48">
        <w:rPr>
          <w:rFonts w:cs="PhotinaMT"/>
          <w:lang w:val="en-US"/>
        </w:rPr>
        <w:t xml:space="preserve">are highly correlated with the original CFQ-25 outcome scores. Furthermore, the CFQ-25 outcome scores are replaceable by the CFQ-14 outcome scores. This means the abbreviated CFQ-14 is comparable to the CFQ-25 and can be used to examine ICU survivors’ perception of their cognitive functioning more efficiently than the full CFQ-25. </w:t>
      </w:r>
    </w:p>
    <w:p w14:paraId="751CD600" w14:textId="77777777" w:rsidR="00D90265" w:rsidRPr="00E97F48" w:rsidRDefault="00D90265" w:rsidP="00993A30">
      <w:pPr>
        <w:pStyle w:val="NoSpacing"/>
        <w:spacing w:line="480" w:lineRule="auto"/>
        <w:ind w:firstLine="284"/>
        <w:rPr>
          <w:rFonts w:cs="Calibri"/>
          <w:lang w:val="en-GB"/>
        </w:rPr>
      </w:pPr>
      <w:r w:rsidRPr="00E97F48">
        <w:rPr>
          <w:rFonts w:cs="Calibri"/>
          <w:lang w:val="en-GB"/>
        </w:rPr>
        <w:t xml:space="preserve">Given the major negative consequences of cognitive impairment following ICU </w:t>
      </w:r>
      <w:proofErr w:type="gramStart"/>
      <w:r w:rsidRPr="00E97F48">
        <w:rPr>
          <w:rFonts w:cs="Calibri"/>
          <w:lang w:val="en-GB"/>
        </w:rPr>
        <w:t>admission,</w:t>
      </w:r>
      <w:r w:rsidRPr="00E97F48">
        <w:rPr>
          <w:noProof/>
          <w:lang w:val="en-GB"/>
        </w:rPr>
        <w:t>(</w:t>
      </w:r>
      <w:proofErr w:type="gramEnd"/>
      <w:r w:rsidRPr="00E97F48">
        <w:rPr>
          <w:noProof/>
          <w:lang w:val="en-GB"/>
        </w:rPr>
        <w:t>2, 7)</w:t>
      </w:r>
      <w:r w:rsidRPr="00E97F48">
        <w:rPr>
          <w:lang w:val="en-GB"/>
        </w:rPr>
        <w:t xml:space="preserve"> </w:t>
      </w:r>
      <w:r w:rsidRPr="00E97F48">
        <w:rPr>
          <w:rFonts w:cs="Calibri"/>
          <w:lang w:val="en-GB"/>
        </w:rPr>
        <w:t>further recognition is warranted.</w:t>
      </w:r>
      <w:r w:rsidRPr="00E97F48">
        <w:rPr>
          <w:rFonts w:cs="Calibri"/>
          <w:noProof/>
          <w:lang w:val="en-GB"/>
        </w:rPr>
        <w:t>(11)</w:t>
      </w:r>
      <w:r w:rsidRPr="00E97F48">
        <w:rPr>
          <w:rFonts w:cs="Calibri"/>
          <w:lang w:val="en-GB"/>
        </w:rPr>
        <w:t xml:space="preserve"> Routine screening for cognitive failure in ICU survivors could help to understand the functional implications of cognitive impairment and ultimately to early recognize PICS. Identification of cognitive failure is essential and clinically relevant as it provides clinicians with important functional information necessary for the support of the ICU survivors during their recovery. It also could provide valuable information regarding the ICU survivors’ HRQOL, which may be used by both clinicians and researchers to improve ICU patients’ outcome by the development and/or use of preventive </w:t>
      </w:r>
      <w:proofErr w:type="gramStart"/>
      <w:r w:rsidRPr="00E97F48">
        <w:rPr>
          <w:rFonts w:cs="Calibri"/>
          <w:lang w:val="en-GB"/>
        </w:rPr>
        <w:t>measures.</w:t>
      </w:r>
      <w:r w:rsidRPr="00E97F48">
        <w:rPr>
          <w:rFonts w:cs="Calibri"/>
          <w:noProof/>
          <w:lang w:val="en-GB"/>
        </w:rPr>
        <w:t>(</w:t>
      </w:r>
      <w:proofErr w:type="gramEnd"/>
      <w:r w:rsidRPr="00E97F48">
        <w:rPr>
          <w:rFonts w:cs="Calibri"/>
          <w:noProof/>
          <w:lang w:val="en-GB"/>
        </w:rPr>
        <w:t>25, 26)</w:t>
      </w:r>
      <w:r w:rsidRPr="00E97F48">
        <w:rPr>
          <w:rFonts w:cs="Calibri"/>
          <w:lang w:val="en-GB"/>
        </w:rPr>
        <w:t xml:space="preserve"> In line with the DSM-V </w:t>
      </w:r>
      <w:r w:rsidRPr="00E97F48">
        <w:rPr>
          <w:lang w:val="en-US"/>
        </w:rPr>
        <w:t>the ultimate strategy to detect cognitive impairment is a combination of self-reported cognitive failure and objective neuropsychological tests.</w:t>
      </w:r>
      <w:r w:rsidRPr="00E97F48">
        <w:rPr>
          <w:noProof/>
          <w:lang w:val="en-US"/>
        </w:rPr>
        <w:t>(27)</w:t>
      </w:r>
      <w:r w:rsidRPr="00E97F48">
        <w:rPr>
          <w:lang w:val="en-US"/>
        </w:rPr>
        <w:t xml:space="preserve"> The performance of neuropsychological tests, however, is very laborious and expensive. The CFQ-25 </w:t>
      </w:r>
      <w:r w:rsidRPr="00E97F48">
        <w:rPr>
          <w:noProof/>
          <w:lang w:val="en-US"/>
        </w:rPr>
        <w:t>(14)</w:t>
      </w:r>
      <w:r w:rsidRPr="00E97F48">
        <w:rPr>
          <w:lang w:val="en-US"/>
        </w:rPr>
        <w:t xml:space="preserve"> is a realistic and already used strategy to screen large numbers of ICU survivors for self-reported cognitive </w:t>
      </w:r>
      <w:proofErr w:type="gramStart"/>
      <w:r w:rsidRPr="00E97F48">
        <w:rPr>
          <w:lang w:val="en-US"/>
        </w:rPr>
        <w:t>failure,</w:t>
      </w:r>
      <w:r w:rsidRPr="00E97F48">
        <w:rPr>
          <w:noProof/>
          <w:lang w:val="en-US"/>
        </w:rPr>
        <w:t>(</w:t>
      </w:r>
      <w:proofErr w:type="gramEnd"/>
      <w:r w:rsidRPr="00E97F48">
        <w:rPr>
          <w:noProof/>
          <w:lang w:val="en-US"/>
        </w:rPr>
        <w:t>15, 16, 28)</w:t>
      </w:r>
      <w:r w:rsidRPr="00E97F48">
        <w:rPr>
          <w:lang w:val="en-US"/>
        </w:rPr>
        <w:t xml:space="preserve"> however, the number of questions to answer and response rates are regarded a limitation. A shorter version likely improves the compliance of survivors to fill out the complete questionnaire and might result in a higher response rate.</w:t>
      </w:r>
    </w:p>
    <w:p w14:paraId="6E4AACF7" w14:textId="77777777" w:rsidR="00D90265" w:rsidRPr="00E97F48" w:rsidRDefault="00D90265" w:rsidP="00993A30">
      <w:pPr>
        <w:pStyle w:val="NoSpacing"/>
        <w:spacing w:line="480" w:lineRule="auto"/>
        <w:ind w:firstLine="284"/>
        <w:rPr>
          <w:lang w:val="en-US"/>
        </w:rPr>
      </w:pPr>
      <w:r w:rsidRPr="00E97F48">
        <w:rPr>
          <w:lang w:val="en-GB"/>
        </w:rPr>
        <w:t xml:space="preserve">As we consider the length of </w:t>
      </w:r>
      <w:r w:rsidRPr="00E97F48">
        <w:rPr>
          <w:lang w:val="en-US"/>
        </w:rPr>
        <w:t xml:space="preserve">the CFQ-25 a weakness, we selected out a subset of CFQ items to develop an optimal short version and validated it in another sample of ICU survivors. Similar to multiple studies that were also aimed at the reduction of the number of questionnaire items in </w:t>
      </w:r>
      <w:r w:rsidRPr="00E97F48">
        <w:rPr>
          <w:lang w:val="en-US"/>
        </w:rPr>
        <w:lastRenderedPageBreak/>
        <w:t xml:space="preserve">various questionnaire subjects and patient </w:t>
      </w:r>
      <w:proofErr w:type="gramStart"/>
      <w:r w:rsidRPr="00E97F48">
        <w:rPr>
          <w:lang w:val="en-US"/>
        </w:rPr>
        <w:t>populations,</w:t>
      </w:r>
      <w:r w:rsidRPr="00E97F48">
        <w:rPr>
          <w:noProof/>
          <w:lang w:val="en-US"/>
        </w:rPr>
        <w:t>(</w:t>
      </w:r>
      <w:proofErr w:type="gramEnd"/>
      <w:r w:rsidRPr="00E97F48">
        <w:rPr>
          <w:noProof/>
          <w:lang w:val="en-US"/>
        </w:rPr>
        <w:t>29-31)</w:t>
      </w:r>
      <w:r w:rsidRPr="00E97F48">
        <w:rPr>
          <w:lang w:val="en-US"/>
        </w:rPr>
        <w:t xml:space="preserve"> we used </w:t>
      </w:r>
      <w:r w:rsidRPr="00E97F48">
        <w:rPr>
          <w:rFonts w:cs="PhotinaMT"/>
          <w:lang w:val="en-US"/>
        </w:rPr>
        <w:t>a linear regression model to select</w:t>
      </w:r>
      <w:r w:rsidRPr="00E97F48">
        <w:rPr>
          <w:lang w:val="en-US"/>
        </w:rPr>
        <w:t xml:space="preserve"> out the optimal subset of CFQ items. Another conventional approach for data reduction of questionnaires is principal component </w:t>
      </w:r>
      <w:proofErr w:type="gramStart"/>
      <w:r w:rsidRPr="00E97F48">
        <w:rPr>
          <w:lang w:val="en-US"/>
        </w:rPr>
        <w:t>analysis.</w:t>
      </w:r>
      <w:r w:rsidRPr="00E97F48">
        <w:rPr>
          <w:noProof/>
          <w:lang w:val="en-US"/>
        </w:rPr>
        <w:t>(</w:t>
      </w:r>
      <w:proofErr w:type="gramEnd"/>
      <w:r w:rsidRPr="00E97F48">
        <w:rPr>
          <w:noProof/>
          <w:lang w:val="en-US"/>
        </w:rPr>
        <w:t>32)</w:t>
      </w:r>
      <w:r w:rsidRPr="00E97F48">
        <w:rPr>
          <w:lang w:val="en-US"/>
        </w:rPr>
        <w:t xml:space="preserve"> However, we wanted to develop a measure that results in a total score comparable to the total score of original CFQ-25, because it allows for a direct comparison of the results between studies using the CFQ-14 for measuring cognitive failure, and studies using the CFQ-25. Since principal component analysis is less appropriate for this purpose we did not choose for this method. </w:t>
      </w:r>
    </w:p>
    <w:p w14:paraId="41DA8062" w14:textId="77777777" w:rsidR="00D90265" w:rsidRPr="00E97F48" w:rsidRDefault="00D90265" w:rsidP="00993A30">
      <w:pPr>
        <w:pStyle w:val="NoSpacing"/>
        <w:spacing w:line="480" w:lineRule="auto"/>
        <w:ind w:firstLine="284"/>
        <w:rPr>
          <w:bCs/>
          <w:lang w:val="en-US"/>
        </w:rPr>
      </w:pPr>
      <w:r w:rsidRPr="00E97F48">
        <w:rPr>
          <w:bCs/>
          <w:lang w:val="en-US"/>
        </w:rPr>
        <w:t xml:space="preserve">The patient’s cognitive status before ICU admission is important in the identification of post-ICU cognitive failure. Due to critical illness and its consequences, a part of the ICU patients are unable to fill out a questionnaire at ICU admission; for these </w:t>
      </w:r>
      <w:proofErr w:type="gramStart"/>
      <w:r w:rsidRPr="00E97F48">
        <w:rPr>
          <w:bCs/>
          <w:lang w:val="en-US"/>
        </w:rPr>
        <w:t>patients</w:t>
      </w:r>
      <w:proofErr w:type="gramEnd"/>
      <w:r w:rsidRPr="00E97F48">
        <w:rPr>
          <w:bCs/>
          <w:lang w:val="en-US"/>
        </w:rPr>
        <w:t xml:space="preserve"> their next of kin are asked to complete the questionnaire. Earlier research showed that the ratings of respondents on the full 25 item CFQ significantly correlate to the ratings of their </w:t>
      </w:r>
      <w:proofErr w:type="gramStart"/>
      <w:r w:rsidRPr="00E97F48">
        <w:rPr>
          <w:bCs/>
          <w:lang w:val="en-US"/>
        </w:rPr>
        <w:t>spouses.</w:t>
      </w:r>
      <w:r w:rsidRPr="00E97F48">
        <w:rPr>
          <w:bCs/>
          <w:noProof/>
          <w:lang w:val="en-US"/>
        </w:rPr>
        <w:t>(</w:t>
      </w:r>
      <w:proofErr w:type="gramEnd"/>
      <w:r w:rsidRPr="00E97F48">
        <w:rPr>
          <w:bCs/>
          <w:noProof/>
          <w:lang w:val="en-US"/>
        </w:rPr>
        <w:t>14)</w:t>
      </w:r>
      <w:r w:rsidRPr="00E97F48">
        <w:rPr>
          <w:bCs/>
          <w:lang w:val="en-US"/>
        </w:rPr>
        <w:t xml:space="preserve"> </w:t>
      </w:r>
      <w:r w:rsidRPr="00E97F48">
        <w:rPr>
          <w:lang w:val="en-US"/>
        </w:rPr>
        <w:t>This might be similar for our abbreviated version of the CFQ for ICU survivors, however, before using the CFQ-14 at ICU admission, by ICU patients or their next of kin, it should be validated for that purpose first.</w:t>
      </w:r>
    </w:p>
    <w:p w14:paraId="767C04CB" w14:textId="77777777" w:rsidR="00D90265" w:rsidRPr="00E97F48" w:rsidRDefault="00D90265" w:rsidP="00993A30">
      <w:pPr>
        <w:pStyle w:val="NoSpacing"/>
        <w:spacing w:line="480" w:lineRule="auto"/>
        <w:ind w:firstLine="284"/>
        <w:rPr>
          <w:rFonts w:cs="AdvPSSAB-R"/>
          <w:lang w:val="en-US"/>
        </w:rPr>
      </w:pPr>
      <w:r w:rsidRPr="00E97F48">
        <w:rPr>
          <w:rFonts w:cs="AdvPSSAB-R"/>
          <w:lang w:val="en-US"/>
        </w:rPr>
        <w:t xml:space="preserve">Several risk factors for cognitive impairment in ICU survivors are known, including acute stress and acute disease, older age, and </w:t>
      </w:r>
      <w:proofErr w:type="gramStart"/>
      <w:r w:rsidRPr="00E97F48">
        <w:rPr>
          <w:rFonts w:cs="AdvPSSAB-R"/>
          <w:lang w:val="en-US"/>
        </w:rPr>
        <w:t>delirium.</w:t>
      </w:r>
      <w:r w:rsidRPr="00E97F48">
        <w:rPr>
          <w:rFonts w:cs="AdvPSSAB-R"/>
          <w:noProof/>
          <w:lang w:val="en-US"/>
        </w:rPr>
        <w:t>(</w:t>
      </w:r>
      <w:proofErr w:type="gramEnd"/>
      <w:r w:rsidRPr="00E97F48">
        <w:rPr>
          <w:rFonts w:cs="AdvPSSAB-R"/>
          <w:noProof/>
          <w:lang w:val="en-US"/>
        </w:rPr>
        <w:t>11)</w:t>
      </w:r>
      <w:r w:rsidRPr="00E97F48">
        <w:rPr>
          <w:rFonts w:cs="AdvPSSAB-R"/>
          <w:lang w:val="en-US"/>
        </w:rPr>
        <w:t xml:space="preserve"> Multiple studies reported an association between delirium duration and worse long-term cognitive outcomes.</w:t>
      </w:r>
      <w:r w:rsidRPr="00E97F48">
        <w:rPr>
          <w:rFonts w:cs="AdvPSSAB-R"/>
          <w:noProof/>
          <w:lang w:val="en-US"/>
        </w:rPr>
        <w:t>(8, 15, 16)</w:t>
      </w:r>
      <w:r w:rsidRPr="00E97F48">
        <w:rPr>
          <w:rFonts w:cs="AdvPSSAB-R"/>
          <w:lang w:val="en-US"/>
        </w:rPr>
        <w:t xml:space="preserve"> Delirium frequently occurs in ICU patients.</w:t>
      </w:r>
      <w:r w:rsidRPr="00E97F48">
        <w:rPr>
          <w:rFonts w:cs="AdvPSSAB-R"/>
          <w:noProof/>
          <w:lang w:val="en-US"/>
        </w:rPr>
        <w:t>(33)</w:t>
      </w:r>
      <w:r w:rsidRPr="00E97F48">
        <w:rPr>
          <w:rFonts w:cs="AdvPSSAB-R"/>
          <w:lang w:val="en-US"/>
        </w:rPr>
        <w:t xml:space="preserve"> In addition, the age of the world population is increasing. As age is an important risk factor for </w:t>
      </w:r>
      <w:proofErr w:type="gramStart"/>
      <w:r w:rsidRPr="00E97F48">
        <w:rPr>
          <w:rFonts w:cs="AdvPSSAB-R"/>
          <w:lang w:val="en-US"/>
        </w:rPr>
        <w:t>delirium,</w:t>
      </w:r>
      <w:r w:rsidRPr="00E97F48">
        <w:rPr>
          <w:rFonts w:cs="AdvPSSAB-R"/>
          <w:noProof/>
          <w:lang w:val="en-US"/>
        </w:rPr>
        <w:t>(</w:t>
      </w:r>
      <w:proofErr w:type="gramEnd"/>
      <w:r w:rsidRPr="00E97F48">
        <w:rPr>
          <w:rFonts w:cs="AdvPSSAB-R"/>
          <w:noProof/>
          <w:lang w:val="en-US"/>
        </w:rPr>
        <w:t>34)</w:t>
      </w:r>
      <w:r w:rsidRPr="00E97F48">
        <w:rPr>
          <w:rFonts w:cs="AdvPSSAB-R"/>
          <w:lang w:val="en-US"/>
        </w:rPr>
        <w:t xml:space="preserve"> the number of people with cognitive impairment is expected to grow</w:t>
      </w:r>
      <w:r w:rsidRPr="00E97F48">
        <w:rPr>
          <w:lang w:val="en-US"/>
        </w:rPr>
        <w:t>, warranting low-threshold monitoring of cognitive function in ICU survivors</w:t>
      </w:r>
      <w:r w:rsidRPr="00E97F48">
        <w:rPr>
          <w:rFonts w:cs="AdvPSSAB-R"/>
          <w:lang w:val="en-US"/>
        </w:rPr>
        <w:t xml:space="preserve">. </w:t>
      </w:r>
      <w:r w:rsidRPr="00E97F48">
        <w:rPr>
          <w:rFonts w:cs="PhotinaMT"/>
          <w:lang w:val="en-US"/>
        </w:rPr>
        <w:t xml:space="preserve">Due to its length and low burden, the short 14 item CFQ can easily be used in daily practice to measure self-reported cognitive failure following ICU admission providing valuable information about ICU survivors cognitive function. For </w:t>
      </w:r>
      <w:proofErr w:type="gramStart"/>
      <w:r w:rsidRPr="00E97F48">
        <w:rPr>
          <w:rFonts w:cs="PhotinaMT"/>
          <w:lang w:val="en-US"/>
        </w:rPr>
        <w:t>example</w:t>
      </w:r>
      <w:proofErr w:type="gramEnd"/>
      <w:r w:rsidRPr="00E97F48">
        <w:rPr>
          <w:rFonts w:cs="PhotinaMT"/>
          <w:lang w:val="en-US"/>
        </w:rPr>
        <w:t xml:space="preserve"> in outpatient clinics that are focused on intensive care follow-up. However, the specific test-performance of the CFQ-14, </w:t>
      </w:r>
      <w:r w:rsidRPr="00E97F48">
        <w:rPr>
          <w:rFonts w:asciiTheme="minorHAnsi" w:hAnsiTheme="minorHAnsi" w:cs="PhotinaMT"/>
          <w:lang w:val="en-US"/>
        </w:rPr>
        <w:t xml:space="preserve">including perceived burden, </w:t>
      </w:r>
      <w:r w:rsidRPr="00E97F48">
        <w:rPr>
          <w:rFonts w:cs="PhotinaMT"/>
          <w:lang w:val="en-US"/>
        </w:rPr>
        <w:t>response rate and completion time, still needs to be determined and compared to the original CFQ-25.</w:t>
      </w:r>
    </w:p>
    <w:p w14:paraId="0ED0CDBF" w14:textId="77777777" w:rsidR="00D90265" w:rsidRPr="00E97F48" w:rsidRDefault="00D90265" w:rsidP="00993A30">
      <w:pPr>
        <w:pStyle w:val="NoSpacing"/>
        <w:spacing w:line="480" w:lineRule="auto"/>
        <w:ind w:firstLine="284"/>
        <w:rPr>
          <w:bCs/>
          <w:sz w:val="20"/>
          <w:szCs w:val="20"/>
          <w:lang w:val="en-US"/>
        </w:rPr>
      </w:pPr>
      <w:r w:rsidRPr="00E97F48">
        <w:rPr>
          <w:lang w:val="en-US"/>
        </w:rPr>
        <w:lastRenderedPageBreak/>
        <w:t>An important strength of this study is its large sample size. Our sample</w:t>
      </w:r>
      <w:r w:rsidRPr="00E97F48">
        <w:rPr>
          <w:rFonts w:cs="AdvPSSAB-R"/>
          <w:lang w:val="en-US"/>
        </w:rPr>
        <w:t xml:space="preserve"> consisted of mixed (neuro) surgical, medical, trauma, and neurological patients, from </w:t>
      </w:r>
      <w:r w:rsidRPr="00E97F48">
        <w:rPr>
          <w:lang w:val="en-US"/>
        </w:rPr>
        <w:t>two different ICUs with different characteristics</w:t>
      </w:r>
      <w:r w:rsidRPr="00E97F48">
        <w:rPr>
          <w:rFonts w:cs="AdvPSSAB-R"/>
          <w:lang w:val="en-US"/>
        </w:rPr>
        <w:t xml:space="preserve"> of study population which contributes to the generalizability of the results.</w:t>
      </w:r>
      <w:r w:rsidRPr="00E97F48">
        <w:rPr>
          <w:lang w:val="en-US"/>
        </w:rPr>
        <w:t xml:space="preserve"> </w:t>
      </w:r>
      <w:r w:rsidRPr="00E97F48">
        <w:rPr>
          <w:rFonts w:asciiTheme="minorHAnsi" w:hAnsiTheme="minorHAnsi"/>
          <w:iCs/>
          <w:lang w:val="en-US"/>
        </w:rPr>
        <w:t xml:space="preserve">However, as in both </w:t>
      </w:r>
      <w:proofErr w:type="gramStart"/>
      <w:r w:rsidRPr="00E97F48">
        <w:rPr>
          <w:rFonts w:asciiTheme="minorHAnsi" w:hAnsiTheme="minorHAnsi"/>
          <w:iCs/>
          <w:lang w:val="en-US"/>
        </w:rPr>
        <w:t>cohorts</w:t>
      </w:r>
      <w:proofErr w:type="gramEnd"/>
      <w:r w:rsidRPr="00E97F48">
        <w:rPr>
          <w:rFonts w:asciiTheme="minorHAnsi" w:hAnsiTheme="minorHAnsi"/>
          <w:iCs/>
          <w:lang w:val="en-US"/>
        </w:rPr>
        <w:t xml:space="preserve"> trauma and </w:t>
      </w:r>
      <w:proofErr w:type="spellStart"/>
      <w:r w:rsidRPr="00E97F48">
        <w:rPr>
          <w:rFonts w:asciiTheme="minorHAnsi" w:hAnsiTheme="minorHAnsi"/>
          <w:iCs/>
          <w:lang w:val="en-US"/>
        </w:rPr>
        <w:t>neurocritical</w:t>
      </w:r>
      <w:proofErr w:type="spellEnd"/>
      <w:r w:rsidRPr="00E97F48">
        <w:rPr>
          <w:rFonts w:asciiTheme="minorHAnsi" w:hAnsiTheme="minorHAnsi"/>
          <w:iCs/>
          <w:lang w:val="en-US"/>
        </w:rPr>
        <w:t xml:space="preserve"> care patients are underrepresented, one should be cautious regarding generalization of our results towards this specific population. Future research should include a subgroup analysis to further study the applicability of the CFQ-14 in these specific patients. </w:t>
      </w:r>
    </w:p>
    <w:p w14:paraId="7B71BE5F" w14:textId="77777777" w:rsidR="00D90265" w:rsidRPr="00E97F48" w:rsidRDefault="00D90265" w:rsidP="00993A30">
      <w:pPr>
        <w:pStyle w:val="NoSpacing"/>
        <w:spacing w:line="480" w:lineRule="auto"/>
        <w:ind w:firstLine="284"/>
        <w:rPr>
          <w:rFonts w:cs="AdvPSSAB-R"/>
          <w:lang w:val="en-US"/>
        </w:rPr>
      </w:pPr>
      <w:r w:rsidRPr="00E97F48">
        <w:rPr>
          <w:lang w:val="en-US"/>
        </w:rPr>
        <w:t xml:space="preserve">However, several limitations of this study need to be addressed as well. </w:t>
      </w:r>
      <w:r w:rsidRPr="00E97F48">
        <w:rPr>
          <w:rFonts w:cs="Calibri"/>
          <w:lang w:val="en-US"/>
        </w:rPr>
        <w:t>First, a</w:t>
      </w:r>
      <w:r w:rsidRPr="00E97F48">
        <w:rPr>
          <w:rFonts w:cs="PhotinaMT"/>
          <w:lang w:val="en-US"/>
        </w:rPr>
        <w:t>lthough the short 14 item CFQ is a valid questionnaire to examine the experience of cognitive failures of ICU survivors, i</w:t>
      </w:r>
      <w:r w:rsidRPr="00E97F48">
        <w:rPr>
          <w:rFonts w:cs="Arial"/>
          <w:lang w:val="en-US"/>
        </w:rPr>
        <w:t xml:space="preserve">t is unclear whether or not self-evaluated subjective cognitive failure is related to objectively measured cognitive function. Previous studies, in various patient categories, on this subject have shown inconsistent </w:t>
      </w:r>
      <w:proofErr w:type="gramStart"/>
      <w:r w:rsidRPr="00E97F48">
        <w:rPr>
          <w:rFonts w:cs="Arial"/>
          <w:lang w:val="en-US"/>
        </w:rPr>
        <w:t>results.</w:t>
      </w:r>
      <w:r w:rsidRPr="00E97F48">
        <w:rPr>
          <w:rFonts w:cs="Arial"/>
          <w:noProof/>
          <w:lang w:val="en-US"/>
        </w:rPr>
        <w:t>(</w:t>
      </w:r>
      <w:proofErr w:type="gramEnd"/>
      <w:r w:rsidRPr="00E97F48">
        <w:rPr>
          <w:rFonts w:cs="Arial"/>
          <w:noProof/>
          <w:lang w:val="en-US"/>
        </w:rPr>
        <w:t>35, 36)</w:t>
      </w:r>
      <w:r w:rsidRPr="00E97F48">
        <w:rPr>
          <w:rFonts w:cs="Arial"/>
          <w:lang w:val="en-US"/>
        </w:rPr>
        <w:t xml:space="preserve"> </w:t>
      </w:r>
      <w:r w:rsidRPr="00E97F48">
        <w:rPr>
          <w:lang w:val="en-US"/>
        </w:rPr>
        <w:t xml:space="preserve">Therefore it is important to study this relation in future research. Despite this knowledge gap, the self-evaluated CFQ-14 provides valuable information about ICU </w:t>
      </w:r>
      <w:proofErr w:type="gramStart"/>
      <w:r w:rsidRPr="00E97F48">
        <w:rPr>
          <w:lang w:val="en-US"/>
        </w:rPr>
        <w:t>survivors’</w:t>
      </w:r>
      <w:proofErr w:type="gramEnd"/>
      <w:r w:rsidRPr="00E97F48">
        <w:rPr>
          <w:lang w:val="en-US"/>
        </w:rPr>
        <w:t xml:space="preserve"> perceived cognitive functioning which can be used to better recognize PICS and as an alert for the necessity of preventive measures or for further cognitive examination. Second, the CFQ is a self-reporting questionnaire and therefore one should take into account that under- or overestimation of cognitive failure may be an issue. Involvement of the ICU survivor’s next of kin in the survivors’ cognitive evaluation may be a solution to prevent this under- or over </w:t>
      </w:r>
      <w:proofErr w:type="gramStart"/>
      <w:r w:rsidRPr="00E97F48">
        <w:rPr>
          <w:lang w:val="en-US"/>
        </w:rPr>
        <w:t>estimation</w:t>
      </w:r>
      <w:r w:rsidRPr="00E97F48">
        <w:rPr>
          <w:rFonts w:cs="Calibri"/>
          <w:lang w:val="en-US"/>
        </w:rPr>
        <w:t>.</w:t>
      </w:r>
      <w:r w:rsidRPr="00E97F48">
        <w:rPr>
          <w:rFonts w:cs="Calibri"/>
          <w:noProof/>
          <w:lang w:val="en-US"/>
        </w:rPr>
        <w:t>(</w:t>
      </w:r>
      <w:proofErr w:type="gramEnd"/>
      <w:r w:rsidRPr="00E97F48">
        <w:rPr>
          <w:rFonts w:cs="Calibri"/>
          <w:noProof/>
          <w:lang w:val="en-US"/>
        </w:rPr>
        <w:t>28)</w:t>
      </w:r>
      <w:r w:rsidRPr="00E97F48">
        <w:rPr>
          <w:rFonts w:cs="Calibri"/>
          <w:lang w:val="en-US"/>
        </w:rPr>
        <w:t xml:space="preserve"> </w:t>
      </w:r>
    </w:p>
    <w:p w14:paraId="55A1463C" w14:textId="77777777" w:rsidR="00D90265" w:rsidRPr="00E97F48" w:rsidRDefault="00D90265" w:rsidP="0088530D">
      <w:pPr>
        <w:pStyle w:val="NoSpacing"/>
        <w:spacing w:line="480" w:lineRule="auto"/>
        <w:rPr>
          <w:rFonts w:cs="Calibri"/>
          <w:lang w:val="en-US"/>
        </w:rPr>
      </w:pPr>
    </w:p>
    <w:p w14:paraId="2710523A" w14:textId="77777777" w:rsidR="00D90265" w:rsidRPr="00E97F48" w:rsidRDefault="00D90265" w:rsidP="00993A30">
      <w:pPr>
        <w:pStyle w:val="NoSpacing"/>
        <w:spacing w:line="480" w:lineRule="auto"/>
        <w:ind w:firstLine="284"/>
        <w:rPr>
          <w:lang w:val="en-US"/>
        </w:rPr>
      </w:pPr>
      <w:r w:rsidRPr="00E97F48">
        <w:rPr>
          <w:lang w:val="en-US"/>
        </w:rPr>
        <w:t>In conclusion, we developed and validated an abbreviated 14 item version of the CFQ which showed similar performance as the full 25 item questionnaire. It is feasible to use this CFQ-14 to measure self-reported cognitive failure in ICU survivors, possibly yielding increased response rates and efficiency.</w:t>
      </w:r>
    </w:p>
    <w:p w14:paraId="382F3A29" w14:textId="77777777" w:rsidR="00D90265" w:rsidRPr="00E97F48" w:rsidRDefault="00D90265" w:rsidP="0088530D">
      <w:pPr>
        <w:pStyle w:val="NoSpacing"/>
        <w:spacing w:line="480" w:lineRule="auto"/>
        <w:rPr>
          <w:rFonts w:cs="Calibri"/>
          <w:lang w:val="en-GB"/>
        </w:rPr>
      </w:pPr>
    </w:p>
    <w:p w14:paraId="06D70E7D" w14:textId="77777777" w:rsidR="00D90265" w:rsidRPr="00E97F48" w:rsidRDefault="00D90265" w:rsidP="0088530D">
      <w:pPr>
        <w:pStyle w:val="NoSpacing"/>
        <w:spacing w:line="480" w:lineRule="auto"/>
        <w:rPr>
          <w:rFonts w:cs="Calibri"/>
          <w:b/>
          <w:lang w:val="en-GB"/>
        </w:rPr>
      </w:pPr>
      <w:r w:rsidRPr="00E97F48">
        <w:rPr>
          <w:rFonts w:cs="Calibri"/>
          <w:b/>
          <w:lang w:val="en-GB"/>
        </w:rPr>
        <w:t>Acknowledgments</w:t>
      </w:r>
    </w:p>
    <w:p w14:paraId="035391DA" w14:textId="77777777" w:rsidR="00D90265" w:rsidRPr="00E97F48" w:rsidRDefault="00D90265" w:rsidP="0088530D">
      <w:pPr>
        <w:pStyle w:val="NoSpacing"/>
        <w:spacing w:line="480" w:lineRule="auto"/>
        <w:rPr>
          <w:rFonts w:cs="Calibri"/>
          <w:lang w:val="en-GB"/>
        </w:rPr>
      </w:pPr>
      <w:r w:rsidRPr="00E97F48">
        <w:rPr>
          <w:rFonts w:cs="Calibri"/>
          <w:lang w:val="en-GB"/>
        </w:rPr>
        <w:lastRenderedPageBreak/>
        <w:t>The authors would like to thank the research nurses and the intensive care teams of each of the participating sites for their help in collecting the data.</w:t>
      </w:r>
    </w:p>
    <w:p w14:paraId="380F13C4" w14:textId="77777777" w:rsidR="00D90265" w:rsidRPr="00E97F48" w:rsidRDefault="00D90265" w:rsidP="0088530D">
      <w:pPr>
        <w:pStyle w:val="NoSpacing"/>
        <w:spacing w:line="480" w:lineRule="auto"/>
        <w:rPr>
          <w:rFonts w:cs="Calibri"/>
          <w:b/>
          <w:lang w:val="en-GB"/>
        </w:rPr>
      </w:pPr>
    </w:p>
    <w:p w14:paraId="35760931" w14:textId="77777777" w:rsidR="00D90265" w:rsidRPr="00E97F48" w:rsidRDefault="00D90265" w:rsidP="003F1705">
      <w:pPr>
        <w:pStyle w:val="NoSpacing"/>
        <w:spacing w:line="480" w:lineRule="auto"/>
        <w:rPr>
          <w:b/>
          <w:u w:val="single"/>
          <w:lang w:val="en-US"/>
        </w:rPr>
      </w:pPr>
      <w:r w:rsidRPr="00E97F48">
        <w:rPr>
          <w:rStyle w:val="apple-style-span"/>
          <w:rFonts w:cs="Arial"/>
          <w:b/>
          <w:lang w:val="en-GB"/>
        </w:rPr>
        <w:br w:type="page"/>
      </w:r>
      <w:r w:rsidRPr="00E97F48">
        <w:rPr>
          <w:b/>
          <w:u w:val="single"/>
          <w:lang w:val="en-US"/>
        </w:rPr>
        <w:lastRenderedPageBreak/>
        <w:t>REFERENCES:</w:t>
      </w:r>
    </w:p>
    <w:p w14:paraId="0C4B761E" w14:textId="77777777" w:rsidR="00295FE8" w:rsidRPr="00E97F48" w:rsidRDefault="00295FE8" w:rsidP="00295FE8">
      <w:pPr>
        <w:pStyle w:val="EndNoteBibliography"/>
        <w:spacing w:after="240"/>
      </w:pPr>
      <w:r w:rsidRPr="00E97F48">
        <w:t>1.</w:t>
      </w:r>
      <w:r w:rsidRPr="00E97F48">
        <w:tab/>
        <w:t xml:space="preserve">Mehlhorn J, Freytag A, Schmidt K, et al. Rehabilitation interventions for postintensive care syndrome: a systematic review. Crit Care Med. 2014;42(5):1263-71. </w:t>
      </w:r>
    </w:p>
    <w:p w14:paraId="45FF2428" w14:textId="77777777" w:rsidR="00295FE8" w:rsidRPr="00E97F48" w:rsidRDefault="00295FE8" w:rsidP="00295FE8">
      <w:pPr>
        <w:pStyle w:val="EndNoteBibliography"/>
        <w:spacing w:after="240"/>
      </w:pPr>
      <w:r w:rsidRPr="00E97F48">
        <w:t>2.</w:t>
      </w:r>
      <w:r w:rsidRPr="00E97F48">
        <w:tab/>
        <w:t xml:space="preserve">Needham DM, Davidson J, Cohen H, et al. Improving long-term outcomes after discharge from intensive care unit: report from a stakeholders' conference. Crit Care Med. 2012;40(2):502-9. </w:t>
      </w:r>
    </w:p>
    <w:p w14:paraId="681AE267" w14:textId="77777777" w:rsidR="00295FE8" w:rsidRPr="00E97F48" w:rsidRDefault="00295FE8" w:rsidP="00295FE8">
      <w:pPr>
        <w:pStyle w:val="EndNoteBibliography"/>
        <w:spacing w:after="240"/>
      </w:pPr>
      <w:r w:rsidRPr="00E97F48">
        <w:t>3.</w:t>
      </w:r>
      <w:r w:rsidRPr="00E97F48">
        <w:tab/>
        <w:t xml:space="preserve">Wu A, Gao F. Long-term outcomes in survivors from critical illness. Anaesthesia. 2004;59(11):1049-52. </w:t>
      </w:r>
    </w:p>
    <w:p w14:paraId="6A6C7B62" w14:textId="77777777" w:rsidR="00295FE8" w:rsidRPr="00E97F48" w:rsidRDefault="00295FE8" w:rsidP="00295FE8">
      <w:pPr>
        <w:pStyle w:val="EndNoteBibliography"/>
        <w:spacing w:after="240"/>
      </w:pPr>
      <w:r w:rsidRPr="00E97F48">
        <w:t>4.</w:t>
      </w:r>
      <w:r w:rsidRPr="00E97F48">
        <w:tab/>
        <w:t xml:space="preserve">Desai SV, Law TJ, Needham DM. Long-term complications of critical care. Crit Care Med. 2011;39(2):371-9. </w:t>
      </w:r>
    </w:p>
    <w:p w14:paraId="5EC64301" w14:textId="77777777" w:rsidR="00295FE8" w:rsidRPr="00E97F48" w:rsidRDefault="00295FE8" w:rsidP="00295FE8">
      <w:pPr>
        <w:pStyle w:val="EndNoteBibliography"/>
        <w:spacing w:after="240"/>
      </w:pPr>
      <w:r w:rsidRPr="00E97F48">
        <w:t>5.</w:t>
      </w:r>
      <w:r w:rsidRPr="00E97F48">
        <w:tab/>
        <w:t xml:space="preserve">Hashem MD, Nallagangula A, Nalamalapu S, et al. Patient outcomes after critical illness: a systematic review of qualitative studies following hospital discharge. Crit Care. 2016;20(1):345. </w:t>
      </w:r>
    </w:p>
    <w:p w14:paraId="7705667C" w14:textId="77777777" w:rsidR="00295FE8" w:rsidRPr="00E97F48" w:rsidRDefault="00295FE8" w:rsidP="00295FE8">
      <w:pPr>
        <w:pStyle w:val="EndNoteBibliography"/>
        <w:spacing w:after="240"/>
      </w:pPr>
      <w:r w:rsidRPr="00E97F48">
        <w:t>6.</w:t>
      </w:r>
      <w:r w:rsidRPr="00E97F48">
        <w:tab/>
        <w:t xml:space="preserve">Elliott D, Davidson JE, Harvey MA, et al. Exploring the scope of post-intensive care syndrome therapy and care: engagement of non-critical care providers and survivors in a second stakeholders meeting. Crit Care Med. 2014;42(12):2518-26. </w:t>
      </w:r>
    </w:p>
    <w:p w14:paraId="25399D2F" w14:textId="77777777" w:rsidR="00295FE8" w:rsidRPr="00E97F48" w:rsidRDefault="00295FE8" w:rsidP="00295FE8">
      <w:pPr>
        <w:pStyle w:val="EndNoteBibliography"/>
        <w:spacing w:after="240"/>
      </w:pPr>
      <w:r w:rsidRPr="00E97F48">
        <w:t>7.</w:t>
      </w:r>
      <w:r w:rsidRPr="00E97F48">
        <w:tab/>
        <w:t xml:space="preserve">Davidson JE, Jones C, Bienvenu OJ. Family response to critical illness: postintensive care syndrome-family. Crit Care Med. 2012;40(2):618-24. </w:t>
      </w:r>
    </w:p>
    <w:p w14:paraId="2E4FCA8C" w14:textId="77777777" w:rsidR="00295FE8" w:rsidRPr="00E97F48" w:rsidRDefault="00295FE8" w:rsidP="00295FE8">
      <w:pPr>
        <w:pStyle w:val="EndNoteBibliography"/>
        <w:spacing w:after="240"/>
        <w:rPr>
          <w:lang w:val="nl-NL"/>
        </w:rPr>
      </w:pPr>
      <w:r w:rsidRPr="00E97F48">
        <w:t>8.</w:t>
      </w:r>
      <w:r w:rsidRPr="00E97F48">
        <w:tab/>
        <w:t xml:space="preserve">Pandharipande PP, Girard TD, Jackson JC, et al. Long-term cognitive impairment after critical illness. </w:t>
      </w:r>
      <w:r w:rsidRPr="00E97F48">
        <w:rPr>
          <w:lang w:val="nl-NL"/>
        </w:rPr>
        <w:t xml:space="preserve">N Engl J Med. 2013;369(14):1306-16. </w:t>
      </w:r>
    </w:p>
    <w:p w14:paraId="461A38B9" w14:textId="77777777" w:rsidR="00295FE8" w:rsidRPr="00E97F48" w:rsidRDefault="00295FE8" w:rsidP="00295FE8">
      <w:pPr>
        <w:pStyle w:val="EndNoteBibliography"/>
        <w:spacing w:after="240"/>
      </w:pPr>
      <w:r w:rsidRPr="00E97F48">
        <w:rPr>
          <w:lang w:val="nl-NL"/>
        </w:rPr>
        <w:t>9.</w:t>
      </w:r>
      <w:r w:rsidRPr="00E97F48">
        <w:rPr>
          <w:lang w:val="nl-NL"/>
        </w:rPr>
        <w:tab/>
        <w:t xml:space="preserve">Wolters AE, Slooter AJ, van der Kooi AW, et al. </w:t>
      </w:r>
      <w:r w:rsidRPr="00E97F48">
        <w:t xml:space="preserve">Cognitive impairment after intensive care unit admission: a systematic review. Intensive Care Med. 2013;39(3):376-86. </w:t>
      </w:r>
    </w:p>
    <w:p w14:paraId="76FEDF34" w14:textId="77777777" w:rsidR="00295FE8" w:rsidRPr="00E97F48" w:rsidRDefault="00295FE8" w:rsidP="00295FE8">
      <w:pPr>
        <w:pStyle w:val="EndNoteBibliography"/>
        <w:spacing w:after="240"/>
      </w:pPr>
      <w:r w:rsidRPr="00E97F48">
        <w:t>10.</w:t>
      </w:r>
      <w:r w:rsidRPr="00E97F48">
        <w:tab/>
        <w:t xml:space="preserve">Hopkins RO, Girard TD. Medical and economic implications of cognitive and psychiatric disability of survivorship. Semin Respir Crit Care Med. 2012;33(4):348-56. </w:t>
      </w:r>
    </w:p>
    <w:p w14:paraId="2AC5D177" w14:textId="77777777" w:rsidR="00295FE8" w:rsidRPr="00E97F48" w:rsidRDefault="00295FE8" w:rsidP="00295FE8">
      <w:pPr>
        <w:pStyle w:val="EndNoteBibliography"/>
        <w:spacing w:after="240"/>
      </w:pPr>
      <w:r w:rsidRPr="00E97F48">
        <w:t>11.</w:t>
      </w:r>
      <w:r w:rsidRPr="00E97F48">
        <w:tab/>
        <w:t xml:space="preserve">Hopkins RO, Wade D, Jackson JC. What's new in cognitive function in ICU survivors. Intensive Care Med. 2017;43(2):223-5. </w:t>
      </w:r>
    </w:p>
    <w:p w14:paraId="02019A93" w14:textId="77777777" w:rsidR="00295FE8" w:rsidRPr="00E97F48" w:rsidRDefault="00295FE8" w:rsidP="00295FE8">
      <w:pPr>
        <w:pStyle w:val="EndNoteBibliography"/>
        <w:spacing w:after="240"/>
      </w:pPr>
      <w:r w:rsidRPr="00E97F48">
        <w:t>12.</w:t>
      </w:r>
      <w:r w:rsidRPr="00E97F48">
        <w:tab/>
      </w:r>
      <w:r w:rsidRPr="00E97F48">
        <w:rPr>
          <w:rFonts w:asciiTheme="minorHAnsi" w:hAnsiTheme="minorHAnsi"/>
        </w:rPr>
        <w:t xml:space="preserve">Martin M. Cognitive failure: Everyday and laboratory performance. </w:t>
      </w:r>
      <w:r w:rsidRPr="00E97F48">
        <w:rPr>
          <w:rFonts w:asciiTheme="minorHAnsi" w:hAnsiTheme="minorHAnsi" w:cs="Arial"/>
        </w:rPr>
        <w:t>Bull Psychon Soc</w:t>
      </w:r>
      <w:r w:rsidRPr="00E97F48">
        <w:rPr>
          <w:rFonts w:asciiTheme="minorHAnsi" w:hAnsiTheme="minorHAnsi"/>
        </w:rPr>
        <w:t>. 1983;21(2):97-100.</w:t>
      </w:r>
      <w:r w:rsidRPr="00E97F48">
        <w:t xml:space="preserve"> </w:t>
      </w:r>
    </w:p>
    <w:p w14:paraId="1293B2CD" w14:textId="77777777" w:rsidR="00295FE8" w:rsidRPr="00E97F48" w:rsidRDefault="00295FE8" w:rsidP="00295FE8">
      <w:pPr>
        <w:pStyle w:val="EndNoteBibliography"/>
        <w:spacing w:after="240"/>
      </w:pPr>
      <w:r w:rsidRPr="00E97F48">
        <w:t>13.</w:t>
      </w:r>
      <w:r w:rsidRPr="00E97F48">
        <w:tab/>
        <w:t xml:space="preserve">Carrigan N, Barkus E. A systematic review of cognitive failures in daily life: Healthy populations. Neurosci Biobehav Rev. 2016;63:29-42. </w:t>
      </w:r>
    </w:p>
    <w:p w14:paraId="473F1B32" w14:textId="77777777" w:rsidR="00295FE8" w:rsidRPr="00E97F48" w:rsidRDefault="00295FE8" w:rsidP="00295FE8">
      <w:pPr>
        <w:pStyle w:val="EndNoteBibliography"/>
        <w:spacing w:after="240"/>
        <w:rPr>
          <w:lang w:val="nl-NL"/>
        </w:rPr>
      </w:pPr>
      <w:r w:rsidRPr="00E97F48">
        <w:t>14.</w:t>
      </w:r>
      <w:r w:rsidRPr="00E97F48">
        <w:tab/>
        <w:t xml:space="preserve">Broadbent DE, Cooper PF, FitzGerald P, et al. The Cognitive Failures Questionnaire (CFQ) and its </w:t>
      </w:r>
      <w:r w:rsidRPr="00E97F48">
        <w:rPr>
          <w:rFonts w:asciiTheme="minorHAnsi" w:hAnsiTheme="minorHAnsi"/>
        </w:rPr>
        <w:t xml:space="preserve">correlates. </w:t>
      </w:r>
      <w:r w:rsidRPr="00E97F48">
        <w:rPr>
          <w:rFonts w:asciiTheme="minorHAnsi" w:hAnsiTheme="minorHAnsi" w:cs="Arial"/>
          <w:lang w:val="nl-NL"/>
        </w:rPr>
        <w:t>Br J Soc Clin Psychol</w:t>
      </w:r>
      <w:r w:rsidRPr="00E97F48">
        <w:rPr>
          <w:rFonts w:asciiTheme="minorHAnsi" w:hAnsiTheme="minorHAnsi"/>
          <w:lang w:val="nl-NL"/>
        </w:rPr>
        <w:t>. 1982;21</w:t>
      </w:r>
      <w:r w:rsidRPr="00E97F48">
        <w:rPr>
          <w:lang w:val="nl-NL"/>
        </w:rPr>
        <w:t xml:space="preserve"> (Pt 1):1-16. </w:t>
      </w:r>
    </w:p>
    <w:p w14:paraId="5B032AE6" w14:textId="77777777" w:rsidR="00295FE8" w:rsidRPr="00E97F48" w:rsidRDefault="00295FE8" w:rsidP="00295FE8">
      <w:pPr>
        <w:pStyle w:val="EndNoteBibliography"/>
        <w:spacing w:after="240"/>
        <w:rPr>
          <w:lang w:val="nl-NL"/>
        </w:rPr>
      </w:pPr>
      <w:r w:rsidRPr="00E97F48">
        <w:rPr>
          <w:lang w:val="nl-NL"/>
        </w:rPr>
        <w:t>15.</w:t>
      </w:r>
      <w:r w:rsidRPr="00E97F48">
        <w:rPr>
          <w:lang w:val="nl-NL"/>
        </w:rPr>
        <w:tab/>
        <w:t xml:space="preserve">van den Boogaard M, Schoonhoven L, Evers AW, et al. </w:t>
      </w:r>
      <w:r w:rsidRPr="00E97F48">
        <w:t xml:space="preserve">Delirium in critically ill patients: impact on long-term health-related quality of life and cognitive functioning. </w:t>
      </w:r>
      <w:r w:rsidRPr="00E97F48">
        <w:rPr>
          <w:lang w:val="nl-NL"/>
        </w:rPr>
        <w:t xml:space="preserve">Crit Care Med. 2012;40(1):112-8. </w:t>
      </w:r>
    </w:p>
    <w:p w14:paraId="23919C50" w14:textId="77777777" w:rsidR="00295FE8" w:rsidRPr="00E97F48" w:rsidRDefault="00295FE8" w:rsidP="00295FE8">
      <w:pPr>
        <w:pStyle w:val="EndNoteBibliography"/>
        <w:spacing w:after="240"/>
      </w:pPr>
      <w:r w:rsidRPr="00E97F48">
        <w:rPr>
          <w:lang w:val="nl-NL"/>
        </w:rPr>
        <w:t>16.</w:t>
      </w:r>
      <w:r w:rsidRPr="00E97F48">
        <w:rPr>
          <w:lang w:val="nl-NL"/>
        </w:rPr>
        <w:tab/>
        <w:t xml:space="preserve">Wolters AE, Peelen LM, Veldhuijzen DS, et al. </w:t>
      </w:r>
      <w:r w:rsidRPr="00E97F48">
        <w:t xml:space="preserve">Long-Term Self-Reported Cognitive Problems After Delirium in the Intensive Care Unit and the Effect of Systemic Inflammation. J Am Geriatr Soc. 2017. </w:t>
      </w:r>
    </w:p>
    <w:p w14:paraId="24266BFA" w14:textId="77777777" w:rsidR="00295FE8" w:rsidRPr="00E97F48" w:rsidRDefault="00295FE8" w:rsidP="00295FE8">
      <w:pPr>
        <w:pStyle w:val="EndNoteBibliography"/>
        <w:spacing w:after="240"/>
      </w:pPr>
      <w:r w:rsidRPr="00E97F48">
        <w:lastRenderedPageBreak/>
        <w:t>17.</w:t>
      </w:r>
      <w:r w:rsidRPr="00E97F48">
        <w:tab/>
        <w:t xml:space="preserve">Merckelbach H, Muris P, Nijman H, et al. Self-reported cognitive failures and neurotic symptomatology. </w:t>
      </w:r>
      <w:r w:rsidRPr="00E97F48">
        <w:rPr>
          <w:rFonts w:asciiTheme="minorHAnsi" w:hAnsiTheme="minorHAnsi" w:cs="Arial"/>
        </w:rPr>
        <w:t>Pers Individ Dif</w:t>
      </w:r>
      <w:r w:rsidRPr="00E97F48">
        <w:rPr>
          <w:rFonts w:asciiTheme="minorHAnsi" w:hAnsiTheme="minorHAnsi"/>
        </w:rPr>
        <w:t>. 1996</w:t>
      </w:r>
      <w:r w:rsidRPr="00E97F48">
        <w:t xml:space="preserve">;20(6):715-24. </w:t>
      </w:r>
    </w:p>
    <w:p w14:paraId="71091129" w14:textId="77777777" w:rsidR="00295FE8" w:rsidRPr="00E97F48" w:rsidRDefault="00295FE8" w:rsidP="00295FE8">
      <w:pPr>
        <w:pStyle w:val="EndNoteBibliography"/>
        <w:spacing w:after="240"/>
      </w:pPr>
      <w:r w:rsidRPr="00E97F48">
        <w:t>18.</w:t>
      </w:r>
      <w:r w:rsidRPr="00E97F48">
        <w:tab/>
        <w:t xml:space="preserve">Wallace JC, Kass SJ, Stanny CJ. The cognitive failures questionnaire revisited: dimensions and correlates. </w:t>
      </w:r>
      <w:r w:rsidRPr="00E97F48">
        <w:rPr>
          <w:rFonts w:asciiTheme="minorHAnsi" w:hAnsiTheme="minorHAnsi" w:cs="Arial"/>
        </w:rPr>
        <w:t>J Gen Psychol</w:t>
      </w:r>
      <w:r w:rsidRPr="00E97F48">
        <w:rPr>
          <w:rFonts w:asciiTheme="minorHAnsi" w:hAnsiTheme="minorHAnsi"/>
        </w:rPr>
        <w:t>. 2002</w:t>
      </w:r>
      <w:r w:rsidRPr="00E97F48">
        <w:t xml:space="preserve">;129(3):238-56. </w:t>
      </w:r>
    </w:p>
    <w:p w14:paraId="03E44CB5" w14:textId="77777777" w:rsidR="00295FE8" w:rsidRPr="00E97F48" w:rsidRDefault="00295FE8" w:rsidP="00295FE8">
      <w:pPr>
        <w:pStyle w:val="EndNoteBibliography"/>
        <w:spacing w:after="240"/>
        <w:rPr>
          <w:lang w:val="nl-NL"/>
        </w:rPr>
      </w:pPr>
      <w:r w:rsidRPr="00E97F48">
        <w:t>19.</w:t>
      </w:r>
      <w:r w:rsidRPr="00E97F48">
        <w:tab/>
        <w:t>Wallace JC. Confirmatory factor analysis of the cognitive failures questionnaire: evidence for dimensionality and construct validity</w:t>
      </w:r>
      <w:r w:rsidRPr="00E97F48">
        <w:rPr>
          <w:rFonts w:asciiTheme="minorHAnsi" w:hAnsiTheme="minorHAnsi"/>
        </w:rPr>
        <w:t xml:space="preserve">. </w:t>
      </w:r>
      <w:r w:rsidRPr="00E97F48">
        <w:rPr>
          <w:rFonts w:asciiTheme="minorHAnsi" w:hAnsiTheme="minorHAnsi" w:cs="Arial"/>
          <w:lang w:val="nl-NL"/>
        </w:rPr>
        <w:t>Pers Individ Dif</w:t>
      </w:r>
      <w:r w:rsidRPr="00E97F48">
        <w:rPr>
          <w:rFonts w:asciiTheme="minorHAnsi" w:hAnsiTheme="minorHAnsi"/>
          <w:lang w:val="nl-NL"/>
        </w:rPr>
        <w:t>. 2004</w:t>
      </w:r>
      <w:r w:rsidRPr="00E97F48">
        <w:rPr>
          <w:lang w:val="nl-NL"/>
        </w:rPr>
        <w:t xml:space="preserve">;37(2):307-24. </w:t>
      </w:r>
    </w:p>
    <w:p w14:paraId="685F6423" w14:textId="77777777" w:rsidR="00295FE8" w:rsidRPr="00E97F48" w:rsidRDefault="00295FE8" w:rsidP="00295FE8">
      <w:pPr>
        <w:pStyle w:val="EndNoteBibliography"/>
        <w:spacing w:after="240"/>
      </w:pPr>
      <w:r w:rsidRPr="00E97F48">
        <w:rPr>
          <w:lang w:val="nl-NL"/>
        </w:rPr>
        <w:t>20.</w:t>
      </w:r>
      <w:r w:rsidRPr="00E97F48">
        <w:rPr>
          <w:lang w:val="nl-NL"/>
        </w:rPr>
        <w:tab/>
        <w:t xml:space="preserve">Rast P, Zimprich D, Van Boxtel M, et al. </w:t>
      </w:r>
      <w:r w:rsidRPr="00E97F48">
        <w:t>Factor structure and measurement invariance of the cognitive failures questionnaire across the adult life span. Assessment. 2009;16(2):145-58.</w:t>
      </w:r>
    </w:p>
    <w:p w14:paraId="2E918F3F" w14:textId="77777777" w:rsidR="00295FE8" w:rsidRPr="00E97F48" w:rsidRDefault="00295FE8" w:rsidP="00295FE8">
      <w:pPr>
        <w:pStyle w:val="EndNoteBibliography"/>
        <w:spacing w:after="240"/>
        <w:rPr>
          <w:lang w:val="nl-NL"/>
        </w:rPr>
      </w:pPr>
      <w:r w:rsidRPr="00E97F48">
        <w:t>21.</w:t>
      </w:r>
      <w:r w:rsidRPr="00E97F48">
        <w:tab/>
        <w:t xml:space="preserve">Knaus WA, Draper EA, Wagner DP, et al. APACHE II: a severity of disease classification system. </w:t>
      </w:r>
      <w:r w:rsidRPr="00E97F48">
        <w:rPr>
          <w:lang w:val="nl-NL"/>
        </w:rPr>
        <w:t xml:space="preserve">Crit Care Med. 1985;13(10):818-29. </w:t>
      </w:r>
    </w:p>
    <w:p w14:paraId="21313962" w14:textId="77777777" w:rsidR="00295FE8" w:rsidRPr="00E97F48" w:rsidRDefault="00295FE8" w:rsidP="00295FE8">
      <w:pPr>
        <w:pStyle w:val="EndNoteBibliography"/>
        <w:spacing w:after="240"/>
      </w:pPr>
      <w:r w:rsidRPr="00E97F48">
        <w:rPr>
          <w:lang w:val="nl-NL"/>
        </w:rPr>
        <w:t>22.</w:t>
      </w:r>
      <w:r w:rsidRPr="00E97F48">
        <w:rPr>
          <w:lang w:val="nl-NL"/>
        </w:rPr>
        <w:tab/>
        <w:t xml:space="preserve">Zimmerman JE, Kramer AA, McNair DS, et al. </w:t>
      </w:r>
      <w:r w:rsidRPr="00E97F48">
        <w:t xml:space="preserve">Acute Physiology and Chronic Health Evaluation (APACHE) IV: hospital mortality assessment for today's critically ill patients. Crit Care Med. 2006;34(5):1297-310. </w:t>
      </w:r>
    </w:p>
    <w:p w14:paraId="787321BD" w14:textId="77777777" w:rsidR="00295FE8" w:rsidRPr="00E97F48" w:rsidRDefault="00295FE8" w:rsidP="00295FE8">
      <w:pPr>
        <w:pStyle w:val="EndNoteBibliography"/>
        <w:spacing w:after="240"/>
      </w:pPr>
      <w:r w:rsidRPr="00E97F48">
        <w:t>23.</w:t>
      </w:r>
      <w:r w:rsidRPr="00E97F48">
        <w:tab/>
        <w:t xml:space="preserve">Ely EW, Inouye SK, Bernard GR, et al. Delirium in mechanically ventilated patients: validity and reliability of the confusion assessment method for the intensive care unit (CAM-ICU). JAMA. 2001;286(21):2703-10. </w:t>
      </w:r>
    </w:p>
    <w:p w14:paraId="73E25840" w14:textId="77777777" w:rsidR="00295FE8" w:rsidRPr="00E97F48" w:rsidRDefault="00295FE8" w:rsidP="00295FE8">
      <w:pPr>
        <w:pStyle w:val="EndNoteBibliography"/>
        <w:spacing w:after="240"/>
      </w:pPr>
      <w:r w:rsidRPr="00E97F48">
        <w:t>24.</w:t>
      </w:r>
      <w:r w:rsidRPr="00E97F48">
        <w:tab/>
        <w:t xml:space="preserve">Ely EW, Margolin R, Francis J, et al. Evaluation of delirium in critically ill patients: validation of the Confusion Assessment Method for the Intensive Care Unit (CAM-ICU). Crit Care Med. 2001;29(7):1370-9. </w:t>
      </w:r>
    </w:p>
    <w:p w14:paraId="4D60948C" w14:textId="77777777" w:rsidR="00295FE8" w:rsidRPr="00E97F48" w:rsidRDefault="00295FE8" w:rsidP="00295FE8">
      <w:pPr>
        <w:pStyle w:val="EndNoteBibliography"/>
        <w:spacing w:after="240"/>
      </w:pPr>
      <w:r w:rsidRPr="00E97F48">
        <w:t>25.</w:t>
      </w:r>
      <w:r w:rsidRPr="00E97F48">
        <w:tab/>
        <w:t xml:space="preserve">Brummel NE, Girard TD, Ely EW, et al. Feasibility and safety of early combined cognitive and physical therapy for critically ill medical and surgical patients: the Activity and Cognitive Therapy in ICU (ACT-ICU) trial. Intensive Care Med. 2014;40(3):370-9. </w:t>
      </w:r>
    </w:p>
    <w:p w14:paraId="0D2F9E19" w14:textId="77777777" w:rsidR="00295FE8" w:rsidRPr="00E97F48" w:rsidRDefault="00295FE8" w:rsidP="00295FE8">
      <w:pPr>
        <w:pStyle w:val="EndNoteBibliography"/>
        <w:spacing w:after="240"/>
      </w:pPr>
      <w:r w:rsidRPr="00E97F48">
        <w:t>26.</w:t>
      </w:r>
      <w:r w:rsidRPr="00E97F48">
        <w:tab/>
        <w:t xml:space="preserve">Jackson JC, Ely EW, Morey MC, et al. Cognitive and physical rehabilitation of intensive care unit survivors: results of the RETURN randomized controlled pilot investigation. Crit Care Med. 2012;40(4):1088-97. </w:t>
      </w:r>
    </w:p>
    <w:p w14:paraId="76D0D362" w14:textId="77777777" w:rsidR="00295FE8" w:rsidRPr="00E97F48" w:rsidRDefault="00295FE8" w:rsidP="00295FE8">
      <w:pPr>
        <w:pStyle w:val="EndNoteBibliography"/>
        <w:spacing w:after="240"/>
      </w:pPr>
      <w:r w:rsidRPr="00E97F48">
        <w:t>27.</w:t>
      </w:r>
      <w:r w:rsidRPr="00E97F48">
        <w:tab/>
        <w:t>APA. Diagnostic and Statistical Manual of Mental Disorders, Fifth Edition. 5th ed. Washington, D.C.: American Psychiatric Association (APA); 2013.</w:t>
      </w:r>
    </w:p>
    <w:p w14:paraId="444A608B" w14:textId="77777777" w:rsidR="00295FE8" w:rsidRPr="00E97F48" w:rsidRDefault="00295FE8" w:rsidP="00295FE8">
      <w:pPr>
        <w:pStyle w:val="EndNoteBibliography"/>
        <w:spacing w:after="240"/>
      </w:pPr>
      <w:r w:rsidRPr="00E97F48">
        <w:t>28.</w:t>
      </w:r>
      <w:r w:rsidRPr="00E97F48">
        <w:tab/>
        <w:t xml:space="preserve">Kastaun S, Gerriets T, Schwarz NP, et al. The Relevance of Postoperative Cognitive Decline in Daily Living: Results of a 1-Year Follow-up. J Cardiothorac Vasc Anesth. 2016;30(2):297-303. </w:t>
      </w:r>
    </w:p>
    <w:p w14:paraId="74669DC4" w14:textId="77777777" w:rsidR="00295FE8" w:rsidRPr="00E97F48" w:rsidRDefault="00295FE8" w:rsidP="00295FE8">
      <w:pPr>
        <w:pStyle w:val="EndNoteBibliography"/>
        <w:spacing w:after="240"/>
        <w:rPr>
          <w:lang w:val="nl-NL"/>
        </w:rPr>
      </w:pPr>
      <w:r w:rsidRPr="00E97F48">
        <w:t>29.</w:t>
      </w:r>
      <w:r w:rsidRPr="00E97F48">
        <w:tab/>
        <w:t xml:space="preserve">Ware J, Jr., Kosinski M, Keller SD. A 12-Item Short-Form Health Survey: construction of scales and preliminary tests of reliability and validity. </w:t>
      </w:r>
      <w:r w:rsidRPr="00E97F48">
        <w:rPr>
          <w:lang w:val="nl-NL"/>
        </w:rPr>
        <w:t xml:space="preserve">Med Care. 1996;34(3):220-33. </w:t>
      </w:r>
    </w:p>
    <w:p w14:paraId="1FBF7046" w14:textId="77777777" w:rsidR="00295FE8" w:rsidRPr="00E97F48" w:rsidRDefault="00295FE8" w:rsidP="00295FE8">
      <w:pPr>
        <w:pStyle w:val="EndNoteBibliography"/>
        <w:spacing w:after="240"/>
      </w:pPr>
      <w:r w:rsidRPr="00E97F48">
        <w:rPr>
          <w:lang w:val="nl-NL"/>
        </w:rPr>
        <w:t>30.</w:t>
      </w:r>
      <w:r w:rsidRPr="00E97F48">
        <w:rPr>
          <w:lang w:val="nl-NL"/>
        </w:rPr>
        <w:tab/>
        <w:t xml:space="preserve">Gandek B, Ware JE, Aaronson NK, et al. </w:t>
      </w:r>
      <w:r w:rsidRPr="00E97F48">
        <w:t xml:space="preserve">Cross-validation of item selection and scoring for the SF-12 Health Survey in nine countries: results from the IQOLA Project. International Quality of Life Assessment. J Clin Epidemiol. 1998;51(11):1171-8. </w:t>
      </w:r>
    </w:p>
    <w:p w14:paraId="0E4301E1" w14:textId="77777777" w:rsidR="00295FE8" w:rsidRPr="00E97F48" w:rsidRDefault="00295FE8" w:rsidP="00295FE8">
      <w:pPr>
        <w:pStyle w:val="EndNoteBibliography"/>
        <w:spacing w:after="240"/>
      </w:pPr>
      <w:r w:rsidRPr="00E97F48">
        <w:t>31.</w:t>
      </w:r>
      <w:r w:rsidRPr="00E97F48">
        <w:tab/>
        <w:t xml:space="preserve">van der Valk PG, van Gils RF, Boot CR, et al. A simple tool with which to study the course of chronic hand eczema in clinical practice: a reduced-item score. Contact Dermatitis. 2013;69(2):112-7. </w:t>
      </w:r>
    </w:p>
    <w:p w14:paraId="3BABBD0D" w14:textId="77777777" w:rsidR="00295FE8" w:rsidRPr="00E97F48" w:rsidRDefault="00295FE8" w:rsidP="00295FE8">
      <w:pPr>
        <w:pStyle w:val="EndNoteBibliography"/>
        <w:spacing w:after="240"/>
        <w:rPr>
          <w:lang w:val="nl-NL"/>
        </w:rPr>
      </w:pPr>
      <w:r w:rsidRPr="00E97F48">
        <w:t>32.</w:t>
      </w:r>
      <w:r w:rsidRPr="00E97F48">
        <w:tab/>
        <w:t xml:space="preserve">Jorm AF. A short form of the Informant Questionnaire on Cognitive Decline in the Elderly (IQCODE): development and cross-validation. </w:t>
      </w:r>
      <w:r w:rsidRPr="00E97F48">
        <w:rPr>
          <w:lang w:val="nl-NL"/>
        </w:rPr>
        <w:t xml:space="preserve">Psychol Med. 1994;24(1):145-53. </w:t>
      </w:r>
    </w:p>
    <w:p w14:paraId="46806AEC" w14:textId="77777777" w:rsidR="00295FE8" w:rsidRPr="00E97F48" w:rsidRDefault="00295FE8" w:rsidP="00295FE8">
      <w:pPr>
        <w:pStyle w:val="EndNoteBibliography"/>
        <w:spacing w:after="240"/>
        <w:rPr>
          <w:lang w:val="nl-NL"/>
        </w:rPr>
      </w:pPr>
      <w:r w:rsidRPr="00E97F48">
        <w:rPr>
          <w:lang w:val="nl-NL"/>
        </w:rPr>
        <w:lastRenderedPageBreak/>
        <w:t>33.</w:t>
      </w:r>
      <w:r w:rsidRPr="00E97F48">
        <w:rPr>
          <w:lang w:val="nl-NL"/>
        </w:rPr>
        <w:tab/>
        <w:t xml:space="preserve">Mehta S, Cook D, Devlin JW, et al. </w:t>
      </w:r>
      <w:r w:rsidRPr="00E97F48">
        <w:t xml:space="preserve">Prevalence, risk factors, and outcomes of delirium in mechanically ventilated adults*. </w:t>
      </w:r>
      <w:r w:rsidRPr="00E97F48">
        <w:rPr>
          <w:lang w:val="nl-NL"/>
        </w:rPr>
        <w:t xml:space="preserve">Crit Care Med. 2015;43(3):557-66. </w:t>
      </w:r>
    </w:p>
    <w:p w14:paraId="4792B959" w14:textId="77777777" w:rsidR="00295FE8" w:rsidRPr="00E97F48" w:rsidRDefault="00295FE8" w:rsidP="00295FE8">
      <w:pPr>
        <w:pStyle w:val="EndNoteBibliography"/>
        <w:spacing w:after="240"/>
        <w:rPr>
          <w:lang w:val="nl-NL"/>
        </w:rPr>
      </w:pPr>
      <w:r w:rsidRPr="00E97F48">
        <w:rPr>
          <w:lang w:val="nl-NL"/>
        </w:rPr>
        <w:t>34.</w:t>
      </w:r>
      <w:r w:rsidRPr="00E97F48">
        <w:rPr>
          <w:lang w:val="nl-NL"/>
        </w:rPr>
        <w:tab/>
        <w:t xml:space="preserve">Zaal IJ, Devlin JW, Peelen LM, et al. </w:t>
      </w:r>
      <w:r w:rsidRPr="00E97F48">
        <w:t xml:space="preserve">A systematic review of risk factors for delirium in the ICU. </w:t>
      </w:r>
      <w:r w:rsidRPr="00E97F48">
        <w:rPr>
          <w:lang w:val="nl-NL"/>
        </w:rPr>
        <w:t xml:space="preserve">Crit Care Med. 2015;43(1):40-7. </w:t>
      </w:r>
    </w:p>
    <w:p w14:paraId="62DD6E76" w14:textId="77777777" w:rsidR="00295FE8" w:rsidRPr="00E97F48" w:rsidRDefault="00295FE8" w:rsidP="00295FE8">
      <w:pPr>
        <w:pStyle w:val="EndNoteBibliography"/>
        <w:spacing w:after="240"/>
        <w:rPr>
          <w:lang w:val="nl-NL"/>
        </w:rPr>
      </w:pPr>
      <w:r w:rsidRPr="00E97F48">
        <w:rPr>
          <w:lang w:val="nl-NL"/>
        </w:rPr>
        <w:t>35.</w:t>
      </w:r>
      <w:r w:rsidRPr="00E97F48">
        <w:rPr>
          <w:lang w:val="nl-NL"/>
        </w:rPr>
        <w:tab/>
        <w:t xml:space="preserve">Uiterwijk R, Huijts M, Staals J, et al. </w:t>
      </w:r>
      <w:r w:rsidRPr="00E97F48">
        <w:t xml:space="preserve">Subjective cognitive failures in patients with hypertension are related to cognitive performance and cerebral microbleeds. </w:t>
      </w:r>
      <w:r w:rsidRPr="00E97F48">
        <w:rPr>
          <w:lang w:val="nl-NL"/>
        </w:rPr>
        <w:t xml:space="preserve">Hypertension. 2014;64(3):653-7. </w:t>
      </w:r>
    </w:p>
    <w:p w14:paraId="63E38A9E" w14:textId="77777777" w:rsidR="00D90265" w:rsidRPr="00E97F48" w:rsidRDefault="00295FE8" w:rsidP="00295FE8">
      <w:pPr>
        <w:pStyle w:val="EndNoteBibliography"/>
      </w:pPr>
      <w:r w:rsidRPr="00E97F48">
        <w:rPr>
          <w:lang w:val="nl-NL"/>
        </w:rPr>
        <w:t>36.</w:t>
      </w:r>
      <w:r w:rsidRPr="00E97F48">
        <w:rPr>
          <w:lang w:val="nl-NL"/>
        </w:rPr>
        <w:tab/>
        <w:t xml:space="preserve">Maaijwee NA, Schaapsmeerders P, Rutten-Jacobs LC, et al. </w:t>
      </w:r>
      <w:r w:rsidRPr="00E97F48">
        <w:t xml:space="preserve">Subjective cognitive failures after stroke in young adults: prevalent but not related to cognitive impairment. J Neurol. 2014;261(7):1300-8. </w:t>
      </w:r>
    </w:p>
    <w:p w14:paraId="2B49C2DD" w14:textId="77777777" w:rsidR="00D90265" w:rsidRPr="00E97F48" w:rsidRDefault="00D90265" w:rsidP="000921B2">
      <w:pPr>
        <w:spacing w:after="0" w:line="480" w:lineRule="auto"/>
        <w:rPr>
          <w:b/>
          <w:bCs/>
          <w:lang w:val="en-US"/>
        </w:rPr>
      </w:pPr>
      <w:r w:rsidRPr="00E97F48">
        <w:rPr>
          <w:lang w:val="en-US"/>
        </w:rPr>
        <w:br w:type="page"/>
      </w:r>
      <w:r w:rsidR="00E97F48">
        <w:rPr>
          <w:b/>
          <w:noProof/>
          <w:lang w:val="en-GB" w:eastAsia="en-GB"/>
        </w:rPr>
        <w:lastRenderedPageBreak/>
        <w:drawing>
          <wp:inline distT="0" distB="0" distL="0" distR="0" wp14:anchorId="7E3A5A87" wp14:editId="1FAFF5F0">
            <wp:extent cx="5760720" cy="4615815"/>
            <wp:effectExtent l="19050" t="0" r="0" b="0"/>
            <wp:docPr id="1" name="Afbeelding 0" descr="CCM_figure 1 CFQ_2017072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_figure 1 CFQ_20170726.tif"/>
                    <pic:cNvPicPr/>
                  </pic:nvPicPr>
                  <pic:blipFill>
                    <a:blip r:embed="rId12" cstate="print"/>
                    <a:stretch>
                      <a:fillRect/>
                    </a:stretch>
                  </pic:blipFill>
                  <pic:spPr>
                    <a:xfrm>
                      <a:off x="0" y="0"/>
                      <a:ext cx="5760720" cy="4615815"/>
                    </a:xfrm>
                    <a:prstGeom prst="rect">
                      <a:avLst/>
                    </a:prstGeom>
                  </pic:spPr>
                </pic:pic>
              </a:graphicData>
            </a:graphic>
          </wp:inline>
        </w:drawing>
      </w:r>
      <w:r w:rsidRPr="00E97F48">
        <w:rPr>
          <w:b/>
          <w:lang w:val="en-US"/>
        </w:rPr>
        <w:t xml:space="preserve">Figure 1: Bland Altman plot of the CFQ-25 and the </w:t>
      </w:r>
      <w:r w:rsidRPr="00E97F48">
        <w:rPr>
          <w:b/>
          <w:bCs/>
          <w:lang w:val="en-US"/>
        </w:rPr>
        <w:t>CFQ-14</w:t>
      </w:r>
    </w:p>
    <w:p w14:paraId="47C56E9A" w14:textId="77777777" w:rsidR="00D90265" w:rsidRPr="004311FF" w:rsidRDefault="00D90265" w:rsidP="000921B2">
      <w:pPr>
        <w:spacing w:after="0" w:line="480" w:lineRule="auto"/>
        <w:rPr>
          <w:sz w:val="18"/>
          <w:szCs w:val="18"/>
          <w:lang w:val="en-US"/>
        </w:rPr>
      </w:pPr>
      <w:r w:rsidRPr="00E97F48">
        <w:rPr>
          <w:sz w:val="18"/>
          <w:szCs w:val="18"/>
          <w:lang w:val="en-US"/>
        </w:rPr>
        <w:t>Validation phase: derived from hospital B data only.</w:t>
      </w:r>
    </w:p>
    <w:p w14:paraId="7C30ED5F" w14:textId="77777777" w:rsidR="00D90265" w:rsidRPr="000A50D7" w:rsidRDefault="00D90265" w:rsidP="00506946">
      <w:pPr>
        <w:pStyle w:val="NoSpacing"/>
        <w:spacing w:line="480" w:lineRule="auto"/>
        <w:rPr>
          <w:sz w:val="18"/>
          <w:szCs w:val="18"/>
          <w:lang w:val="en-US"/>
        </w:rPr>
      </w:pPr>
      <w:r w:rsidRPr="000A50D7">
        <w:rPr>
          <w:sz w:val="18"/>
          <w:szCs w:val="18"/>
          <w:lang w:val="en-US"/>
        </w:rPr>
        <w:t xml:space="preserve"> </w:t>
      </w:r>
    </w:p>
    <w:p w14:paraId="7C0F5722" w14:textId="77777777" w:rsidR="00D90265" w:rsidRPr="002177AF" w:rsidRDefault="00D90265">
      <w:pPr>
        <w:rPr>
          <w:lang w:val="en-US"/>
        </w:rPr>
      </w:pPr>
    </w:p>
    <w:p w14:paraId="738EBCD8" w14:textId="77777777" w:rsidR="004E27FD" w:rsidRDefault="004E27FD">
      <w:pPr>
        <w:spacing w:after="0" w:line="480" w:lineRule="auto"/>
        <w:ind w:firstLine="284"/>
      </w:pPr>
      <w:r>
        <w:br w:type="page"/>
      </w:r>
    </w:p>
    <w:p w14:paraId="45EF904C" w14:textId="77777777" w:rsidR="004E27FD" w:rsidRPr="006721C6" w:rsidRDefault="004E27FD" w:rsidP="004E27FD">
      <w:pPr>
        <w:pStyle w:val="NoSpacing"/>
        <w:spacing w:line="480" w:lineRule="auto"/>
        <w:rPr>
          <w:b/>
          <w:lang w:val="en-US"/>
        </w:rPr>
      </w:pPr>
      <w:r w:rsidRPr="006721C6">
        <w:rPr>
          <w:b/>
          <w:lang w:val="en-US"/>
        </w:rPr>
        <w:lastRenderedPageBreak/>
        <w:t>Table 1: Characteristics of the study population</w:t>
      </w:r>
    </w:p>
    <w:tbl>
      <w:tblPr>
        <w:tblW w:w="0" w:type="auto"/>
        <w:tblLook w:val="04A0" w:firstRow="1" w:lastRow="0" w:firstColumn="1" w:lastColumn="0" w:noHBand="0" w:noVBand="1"/>
      </w:tblPr>
      <w:tblGrid>
        <w:gridCol w:w="4503"/>
        <w:gridCol w:w="1701"/>
        <w:gridCol w:w="1701"/>
        <w:gridCol w:w="1383"/>
      </w:tblGrid>
      <w:tr w:rsidR="004E27FD" w:rsidRPr="006B4D49" w14:paraId="33CB3CBD" w14:textId="77777777" w:rsidTr="00151D14">
        <w:tc>
          <w:tcPr>
            <w:tcW w:w="4503" w:type="dxa"/>
            <w:tcBorders>
              <w:top w:val="single" w:sz="4" w:space="0" w:color="auto"/>
              <w:bottom w:val="single" w:sz="4" w:space="0" w:color="auto"/>
            </w:tcBorders>
          </w:tcPr>
          <w:p w14:paraId="127F87C2" w14:textId="77777777" w:rsidR="004E27FD" w:rsidRPr="00424A43" w:rsidRDefault="004E27FD" w:rsidP="00151D14">
            <w:pPr>
              <w:pStyle w:val="NoSpacing"/>
              <w:rPr>
                <w:b/>
                <w:lang w:val="en-GB"/>
              </w:rPr>
            </w:pPr>
            <w:r w:rsidRPr="00424A43">
              <w:rPr>
                <w:rFonts w:eastAsia="+mn-ea"/>
                <w:b/>
                <w:lang w:val="en-US"/>
              </w:rPr>
              <w:t>Variables</w:t>
            </w:r>
          </w:p>
        </w:tc>
        <w:tc>
          <w:tcPr>
            <w:tcW w:w="1701" w:type="dxa"/>
            <w:tcBorders>
              <w:top w:val="single" w:sz="4" w:space="0" w:color="auto"/>
              <w:bottom w:val="single" w:sz="4" w:space="0" w:color="auto"/>
            </w:tcBorders>
          </w:tcPr>
          <w:p w14:paraId="4187D047" w14:textId="77777777" w:rsidR="004E27FD" w:rsidRPr="00424A43" w:rsidRDefault="004E27FD" w:rsidP="00151D14">
            <w:pPr>
              <w:pStyle w:val="NoSpacing"/>
              <w:jc w:val="center"/>
              <w:rPr>
                <w:b/>
                <w:lang w:val="en-GB"/>
              </w:rPr>
            </w:pPr>
            <w:r w:rsidRPr="00424A43">
              <w:rPr>
                <w:b/>
                <w:lang w:val="en-GB"/>
              </w:rPr>
              <w:t>Hospital A</w:t>
            </w:r>
          </w:p>
          <w:p w14:paraId="124E137B" w14:textId="77777777" w:rsidR="004E27FD" w:rsidRPr="00424A43" w:rsidRDefault="004E27FD" w:rsidP="00151D14">
            <w:pPr>
              <w:pStyle w:val="NoSpacing"/>
              <w:jc w:val="center"/>
              <w:rPr>
                <w:b/>
                <w:lang w:val="en-GB"/>
              </w:rPr>
            </w:pPr>
            <w:r w:rsidRPr="00424A43">
              <w:rPr>
                <w:b/>
                <w:lang w:val="en-US"/>
              </w:rPr>
              <w:t>N= 819</w:t>
            </w:r>
          </w:p>
        </w:tc>
        <w:tc>
          <w:tcPr>
            <w:tcW w:w="1701" w:type="dxa"/>
            <w:tcBorders>
              <w:top w:val="single" w:sz="4" w:space="0" w:color="auto"/>
              <w:bottom w:val="single" w:sz="4" w:space="0" w:color="auto"/>
            </w:tcBorders>
          </w:tcPr>
          <w:p w14:paraId="584E076F" w14:textId="77777777" w:rsidR="004E27FD" w:rsidRPr="00424A43" w:rsidRDefault="004E27FD" w:rsidP="00151D14">
            <w:pPr>
              <w:pStyle w:val="NoSpacing"/>
              <w:jc w:val="center"/>
              <w:rPr>
                <w:b/>
                <w:lang w:val="en-GB"/>
              </w:rPr>
            </w:pPr>
            <w:r w:rsidRPr="00424A43">
              <w:rPr>
                <w:b/>
                <w:lang w:val="en-GB"/>
              </w:rPr>
              <w:t>Hospital B</w:t>
            </w:r>
          </w:p>
          <w:p w14:paraId="44801E8A" w14:textId="77777777" w:rsidR="004E27FD" w:rsidRPr="00424A43" w:rsidRDefault="004E27FD" w:rsidP="00151D14">
            <w:pPr>
              <w:pStyle w:val="NoSpacing"/>
              <w:jc w:val="center"/>
              <w:rPr>
                <w:b/>
                <w:lang w:val="en-GB"/>
              </w:rPr>
            </w:pPr>
            <w:r w:rsidRPr="00424A43">
              <w:rPr>
                <w:b/>
                <w:lang w:val="en-GB"/>
              </w:rPr>
              <w:t>N=918</w:t>
            </w:r>
          </w:p>
        </w:tc>
        <w:tc>
          <w:tcPr>
            <w:tcW w:w="1383" w:type="dxa"/>
            <w:tcBorders>
              <w:top w:val="single" w:sz="4" w:space="0" w:color="auto"/>
              <w:bottom w:val="single" w:sz="4" w:space="0" w:color="auto"/>
            </w:tcBorders>
          </w:tcPr>
          <w:p w14:paraId="02207F96" w14:textId="77777777" w:rsidR="004E27FD" w:rsidRPr="00424A43" w:rsidRDefault="004E27FD" w:rsidP="00151D14">
            <w:pPr>
              <w:pStyle w:val="NoSpacing"/>
              <w:jc w:val="center"/>
              <w:rPr>
                <w:b/>
                <w:lang w:val="en-GB"/>
              </w:rPr>
            </w:pPr>
            <w:r w:rsidRPr="00424A43">
              <w:rPr>
                <w:b/>
                <w:lang w:val="en-GB"/>
              </w:rPr>
              <w:t>P</w:t>
            </w:r>
          </w:p>
        </w:tc>
      </w:tr>
      <w:tr w:rsidR="004E27FD" w:rsidRPr="006B4D49" w14:paraId="3945A81C" w14:textId="77777777" w:rsidTr="00151D14">
        <w:tc>
          <w:tcPr>
            <w:tcW w:w="4503" w:type="dxa"/>
            <w:tcBorders>
              <w:top w:val="single" w:sz="4" w:space="0" w:color="auto"/>
            </w:tcBorders>
          </w:tcPr>
          <w:p w14:paraId="16E5EEB0" w14:textId="77777777" w:rsidR="004E27FD" w:rsidRPr="00424A43" w:rsidRDefault="004E27FD" w:rsidP="00151D14">
            <w:pPr>
              <w:pStyle w:val="NoSpacing"/>
              <w:rPr>
                <w:lang w:val="en-GB"/>
              </w:rPr>
            </w:pPr>
            <w:r w:rsidRPr="00424A43">
              <w:rPr>
                <w:lang w:val="en-US"/>
              </w:rPr>
              <w:t>Age in years, mean (SD)</w:t>
            </w:r>
          </w:p>
        </w:tc>
        <w:tc>
          <w:tcPr>
            <w:tcW w:w="1701" w:type="dxa"/>
            <w:tcBorders>
              <w:top w:val="single" w:sz="4" w:space="0" w:color="auto"/>
            </w:tcBorders>
          </w:tcPr>
          <w:p w14:paraId="0E02A01F" w14:textId="77777777" w:rsidR="004E27FD" w:rsidRPr="00424A43" w:rsidRDefault="004E27FD" w:rsidP="00151D14">
            <w:pPr>
              <w:pStyle w:val="NoSpacing"/>
              <w:jc w:val="center"/>
              <w:rPr>
                <w:lang w:val="en-GB"/>
              </w:rPr>
            </w:pPr>
            <w:r w:rsidRPr="00424A43">
              <w:rPr>
                <w:lang w:val="en-GB"/>
              </w:rPr>
              <w:t>62 (14)</w:t>
            </w:r>
          </w:p>
        </w:tc>
        <w:tc>
          <w:tcPr>
            <w:tcW w:w="1701" w:type="dxa"/>
            <w:tcBorders>
              <w:top w:val="single" w:sz="4" w:space="0" w:color="auto"/>
            </w:tcBorders>
          </w:tcPr>
          <w:p w14:paraId="15C571FF" w14:textId="77777777" w:rsidR="004E27FD" w:rsidRPr="00424A43" w:rsidRDefault="004E27FD" w:rsidP="00151D14">
            <w:pPr>
              <w:pStyle w:val="NoSpacing"/>
              <w:jc w:val="center"/>
              <w:rPr>
                <w:lang w:val="en-GB"/>
              </w:rPr>
            </w:pPr>
            <w:r w:rsidRPr="00424A43">
              <w:rPr>
                <w:lang w:val="en-GB"/>
              </w:rPr>
              <w:t>58 (16)</w:t>
            </w:r>
          </w:p>
        </w:tc>
        <w:tc>
          <w:tcPr>
            <w:tcW w:w="1383" w:type="dxa"/>
            <w:tcBorders>
              <w:top w:val="single" w:sz="4" w:space="0" w:color="auto"/>
            </w:tcBorders>
          </w:tcPr>
          <w:p w14:paraId="52B307F8" w14:textId="77777777" w:rsidR="004E27FD" w:rsidRPr="00424A43" w:rsidRDefault="004E27FD" w:rsidP="00151D14">
            <w:pPr>
              <w:pStyle w:val="NoSpacing"/>
              <w:jc w:val="center"/>
              <w:rPr>
                <w:lang w:val="en-GB"/>
              </w:rPr>
            </w:pPr>
            <w:r w:rsidRPr="00424A43">
              <w:rPr>
                <w:lang w:val="en-GB"/>
              </w:rPr>
              <w:t>&lt;0.001</w:t>
            </w:r>
          </w:p>
        </w:tc>
      </w:tr>
      <w:tr w:rsidR="004E27FD" w:rsidRPr="006B4D49" w14:paraId="53629CD4" w14:textId="77777777" w:rsidTr="00151D14">
        <w:tc>
          <w:tcPr>
            <w:tcW w:w="4503" w:type="dxa"/>
          </w:tcPr>
          <w:p w14:paraId="404F0D0B" w14:textId="77777777" w:rsidR="004E27FD" w:rsidRPr="00424A43" w:rsidRDefault="004E27FD" w:rsidP="00151D14">
            <w:pPr>
              <w:pStyle w:val="NoSpacing"/>
              <w:rPr>
                <w:lang w:val="en-GB"/>
              </w:rPr>
            </w:pPr>
            <w:r w:rsidRPr="00424A43">
              <w:rPr>
                <w:lang w:val="en-US"/>
              </w:rPr>
              <w:t>Male, N (%)</w:t>
            </w:r>
          </w:p>
        </w:tc>
        <w:tc>
          <w:tcPr>
            <w:tcW w:w="1701" w:type="dxa"/>
          </w:tcPr>
          <w:p w14:paraId="33B434CA" w14:textId="77777777" w:rsidR="004E27FD" w:rsidRPr="00424A43" w:rsidRDefault="004E27FD" w:rsidP="00151D14">
            <w:pPr>
              <w:pStyle w:val="NoSpacing"/>
              <w:jc w:val="center"/>
              <w:rPr>
                <w:lang w:val="en-GB"/>
              </w:rPr>
            </w:pPr>
            <w:r w:rsidRPr="00424A43">
              <w:rPr>
                <w:lang w:val="en-GB"/>
              </w:rPr>
              <w:t>563 (69)</w:t>
            </w:r>
          </w:p>
        </w:tc>
        <w:tc>
          <w:tcPr>
            <w:tcW w:w="1701" w:type="dxa"/>
          </w:tcPr>
          <w:p w14:paraId="235A0266" w14:textId="77777777" w:rsidR="004E27FD" w:rsidRPr="00424A43" w:rsidRDefault="004E27FD" w:rsidP="00151D14">
            <w:pPr>
              <w:pStyle w:val="NoSpacing"/>
              <w:jc w:val="center"/>
              <w:rPr>
                <w:lang w:val="en-GB"/>
              </w:rPr>
            </w:pPr>
            <w:r w:rsidRPr="00424A43">
              <w:rPr>
                <w:lang w:val="en-GB"/>
              </w:rPr>
              <w:t>571 (62)</w:t>
            </w:r>
          </w:p>
        </w:tc>
        <w:tc>
          <w:tcPr>
            <w:tcW w:w="1383" w:type="dxa"/>
          </w:tcPr>
          <w:p w14:paraId="4F1AD4CD" w14:textId="77777777" w:rsidR="004E27FD" w:rsidRPr="00424A43" w:rsidRDefault="004E27FD" w:rsidP="00151D14">
            <w:pPr>
              <w:pStyle w:val="NoSpacing"/>
              <w:jc w:val="center"/>
              <w:rPr>
                <w:lang w:val="en-GB"/>
              </w:rPr>
            </w:pPr>
            <w:r w:rsidRPr="00424A43">
              <w:rPr>
                <w:lang w:val="en-GB"/>
              </w:rPr>
              <w:t>&lt;0.05</w:t>
            </w:r>
          </w:p>
        </w:tc>
      </w:tr>
      <w:tr w:rsidR="004E27FD" w:rsidRPr="006B4D49" w14:paraId="62FC8F0F" w14:textId="77777777" w:rsidTr="00151D14">
        <w:tc>
          <w:tcPr>
            <w:tcW w:w="4503" w:type="dxa"/>
          </w:tcPr>
          <w:p w14:paraId="0927617D" w14:textId="77777777" w:rsidR="004E27FD" w:rsidRPr="00424A43" w:rsidRDefault="004E27FD" w:rsidP="00151D14">
            <w:pPr>
              <w:pStyle w:val="NoSpacing"/>
              <w:spacing w:line="276" w:lineRule="auto"/>
              <w:rPr>
                <w:lang w:val="en-US"/>
              </w:rPr>
            </w:pPr>
            <w:r w:rsidRPr="00424A43">
              <w:rPr>
                <w:lang w:val="en-US"/>
              </w:rPr>
              <w:t>Admission type, N (%)</w:t>
            </w:r>
          </w:p>
          <w:p w14:paraId="46D39E2D" w14:textId="77777777" w:rsidR="004E27FD" w:rsidRPr="00424A43" w:rsidRDefault="004E27FD" w:rsidP="00151D14">
            <w:pPr>
              <w:pStyle w:val="NoSpacing"/>
              <w:ind w:firstLine="708"/>
              <w:rPr>
                <w:lang w:val="en-US"/>
              </w:rPr>
            </w:pPr>
            <w:r w:rsidRPr="00424A43">
              <w:rPr>
                <w:lang w:val="en-US"/>
              </w:rPr>
              <w:t>Surgical</w:t>
            </w:r>
          </w:p>
          <w:p w14:paraId="3F67ECCE" w14:textId="77777777" w:rsidR="004E27FD" w:rsidRPr="00424A43" w:rsidRDefault="004E27FD" w:rsidP="00151D14">
            <w:pPr>
              <w:pStyle w:val="NoSpacing"/>
              <w:rPr>
                <w:lang w:val="en-US"/>
              </w:rPr>
            </w:pPr>
            <w:r w:rsidRPr="00424A43">
              <w:rPr>
                <w:lang w:val="en-US"/>
              </w:rPr>
              <w:tab/>
              <w:t>Medical</w:t>
            </w:r>
          </w:p>
          <w:p w14:paraId="10F4671E" w14:textId="77777777" w:rsidR="004E27FD" w:rsidRPr="00424A43" w:rsidRDefault="004E27FD" w:rsidP="00151D14">
            <w:pPr>
              <w:pStyle w:val="NoSpacing"/>
              <w:rPr>
                <w:lang w:val="en-US"/>
              </w:rPr>
            </w:pPr>
            <w:r w:rsidRPr="00424A43">
              <w:rPr>
                <w:lang w:val="en-US"/>
              </w:rPr>
              <w:tab/>
              <w:t>Trauma</w:t>
            </w:r>
          </w:p>
          <w:p w14:paraId="0B2499EE" w14:textId="77777777" w:rsidR="004E27FD" w:rsidRPr="00424A43" w:rsidRDefault="004E27FD" w:rsidP="00151D14">
            <w:pPr>
              <w:pStyle w:val="NoSpacing"/>
              <w:ind w:firstLine="708"/>
              <w:rPr>
                <w:rFonts w:cs="Calibri"/>
                <w:lang w:val="en-US"/>
              </w:rPr>
            </w:pPr>
            <w:r w:rsidRPr="00424A43">
              <w:rPr>
                <w:lang w:val="en-US"/>
              </w:rPr>
              <w:t>Neurological/-surgical</w:t>
            </w:r>
          </w:p>
        </w:tc>
        <w:tc>
          <w:tcPr>
            <w:tcW w:w="1701" w:type="dxa"/>
          </w:tcPr>
          <w:p w14:paraId="16320380" w14:textId="77777777" w:rsidR="004E27FD" w:rsidRPr="00424A43" w:rsidRDefault="004E27FD" w:rsidP="00151D14">
            <w:pPr>
              <w:pStyle w:val="NoSpacing"/>
              <w:jc w:val="center"/>
              <w:rPr>
                <w:lang w:val="en-US"/>
              </w:rPr>
            </w:pPr>
          </w:p>
          <w:p w14:paraId="17BCF648" w14:textId="77777777" w:rsidR="004E27FD" w:rsidRPr="00424A43" w:rsidRDefault="004E27FD" w:rsidP="00151D14">
            <w:pPr>
              <w:pStyle w:val="NoSpacing"/>
              <w:jc w:val="center"/>
              <w:rPr>
                <w:lang w:val="en-GB"/>
              </w:rPr>
            </w:pPr>
            <w:r w:rsidRPr="00424A43">
              <w:rPr>
                <w:lang w:val="en-GB"/>
              </w:rPr>
              <w:t>597 (73)</w:t>
            </w:r>
          </w:p>
          <w:p w14:paraId="4740E526" w14:textId="77777777" w:rsidR="004E27FD" w:rsidRPr="00424A43" w:rsidRDefault="004E27FD" w:rsidP="00151D14">
            <w:pPr>
              <w:pStyle w:val="NoSpacing"/>
              <w:jc w:val="center"/>
              <w:rPr>
                <w:lang w:val="en-GB"/>
              </w:rPr>
            </w:pPr>
            <w:r w:rsidRPr="00424A43">
              <w:rPr>
                <w:lang w:val="en-GB"/>
              </w:rPr>
              <w:t>115 (14)</w:t>
            </w:r>
          </w:p>
          <w:p w14:paraId="1FA3B71A" w14:textId="77777777" w:rsidR="004E27FD" w:rsidRPr="00424A43" w:rsidRDefault="004E27FD" w:rsidP="00151D14">
            <w:pPr>
              <w:pStyle w:val="NoSpacing"/>
              <w:jc w:val="center"/>
              <w:rPr>
                <w:lang w:val="en-GB"/>
              </w:rPr>
            </w:pPr>
            <w:r w:rsidRPr="00424A43">
              <w:rPr>
                <w:lang w:val="en-GB"/>
              </w:rPr>
              <w:t>38 (5)</w:t>
            </w:r>
          </w:p>
          <w:p w14:paraId="66B4212E" w14:textId="77777777" w:rsidR="004E27FD" w:rsidRPr="00424A43" w:rsidRDefault="004E27FD" w:rsidP="00151D14">
            <w:pPr>
              <w:pStyle w:val="NoSpacing"/>
              <w:jc w:val="center"/>
              <w:rPr>
                <w:lang w:val="en-GB"/>
              </w:rPr>
            </w:pPr>
            <w:r w:rsidRPr="00424A43">
              <w:rPr>
                <w:lang w:val="en-GB"/>
              </w:rPr>
              <w:t>69 (8)</w:t>
            </w:r>
          </w:p>
        </w:tc>
        <w:tc>
          <w:tcPr>
            <w:tcW w:w="1701" w:type="dxa"/>
          </w:tcPr>
          <w:p w14:paraId="2769DF84" w14:textId="77777777" w:rsidR="004E27FD" w:rsidRPr="00424A43" w:rsidRDefault="004E27FD" w:rsidP="00151D14">
            <w:pPr>
              <w:pStyle w:val="NoSpacing"/>
              <w:jc w:val="center"/>
              <w:rPr>
                <w:lang w:val="en-US"/>
              </w:rPr>
            </w:pPr>
          </w:p>
          <w:p w14:paraId="23B0A3D2" w14:textId="77777777" w:rsidR="004E27FD" w:rsidRPr="00424A43" w:rsidRDefault="004E27FD" w:rsidP="00151D14">
            <w:pPr>
              <w:pStyle w:val="NoSpacing"/>
              <w:jc w:val="center"/>
              <w:rPr>
                <w:lang w:val="en-GB"/>
              </w:rPr>
            </w:pPr>
            <w:r w:rsidRPr="00424A43">
              <w:rPr>
                <w:lang w:val="en-GB"/>
              </w:rPr>
              <w:t>470 (51)</w:t>
            </w:r>
          </w:p>
          <w:p w14:paraId="4A897319" w14:textId="77777777" w:rsidR="004E27FD" w:rsidRPr="00424A43" w:rsidRDefault="004E27FD" w:rsidP="00151D14">
            <w:pPr>
              <w:pStyle w:val="NoSpacing"/>
              <w:jc w:val="center"/>
              <w:rPr>
                <w:lang w:val="en-GB"/>
              </w:rPr>
            </w:pPr>
            <w:r w:rsidRPr="00424A43">
              <w:rPr>
                <w:lang w:val="en-GB"/>
              </w:rPr>
              <w:t>310 (34)</w:t>
            </w:r>
          </w:p>
          <w:p w14:paraId="16116EAF" w14:textId="77777777" w:rsidR="004E27FD" w:rsidRPr="00424A43" w:rsidRDefault="004E27FD" w:rsidP="00151D14">
            <w:pPr>
              <w:pStyle w:val="NoSpacing"/>
              <w:jc w:val="center"/>
              <w:rPr>
                <w:lang w:val="en-GB"/>
              </w:rPr>
            </w:pPr>
            <w:r w:rsidRPr="00424A43">
              <w:rPr>
                <w:lang w:val="en-GB"/>
              </w:rPr>
              <w:t>0</w:t>
            </w:r>
          </w:p>
          <w:p w14:paraId="35CFF8EE" w14:textId="77777777" w:rsidR="004E27FD" w:rsidRPr="00424A43" w:rsidRDefault="004E27FD" w:rsidP="00151D14">
            <w:pPr>
              <w:pStyle w:val="NoSpacing"/>
              <w:jc w:val="center"/>
              <w:rPr>
                <w:lang w:val="en-GB"/>
              </w:rPr>
            </w:pPr>
            <w:r w:rsidRPr="00424A43">
              <w:rPr>
                <w:lang w:val="en-GB"/>
              </w:rPr>
              <w:t>138 (15)</w:t>
            </w:r>
          </w:p>
        </w:tc>
        <w:tc>
          <w:tcPr>
            <w:tcW w:w="1383" w:type="dxa"/>
          </w:tcPr>
          <w:p w14:paraId="068D95A3" w14:textId="77777777" w:rsidR="004E27FD" w:rsidRPr="00424A43" w:rsidRDefault="004E27FD" w:rsidP="00151D14">
            <w:pPr>
              <w:pStyle w:val="NoSpacing"/>
              <w:jc w:val="center"/>
              <w:outlineLvl w:val="1"/>
              <w:rPr>
                <w:lang w:val="en-US"/>
              </w:rPr>
            </w:pPr>
            <w:r w:rsidRPr="00424A43">
              <w:rPr>
                <w:lang w:val="en-GB"/>
              </w:rPr>
              <w:t>&lt;0.001</w:t>
            </w:r>
          </w:p>
          <w:p w14:paraId="00B23329" w14:textId="77777777" w:rsidR="004E27FD" w:rsidRPr="00424A43" w:rsidRDefault="004E27FD" w:rsidP="00151D14">
            <w:pPr>
              <w:pStyle w:val="NoSpacing"/>
              <w:jc w:val="center"/>
              <w:rPr>
                <w:lang w:val="en-US"/>
              </w:rPr>
            </w:pPr>
          </w:p>
          <w:p w14:paraId="4F614E10" w14:textId="77777777" w:rsidR="004E27FD" w:rsidRPr="00424A43" w:rsidRDefault="004E27FD" w:rsidP="00151D14">
            <w:pPr>
              <w:pStyle w:val="NoSpacing"/>
              <w:jc w:val="center"/>
              <w:outlineLvl w:val="1"/>
              <w:rPr>
                <w:lang w:val="en-US"/>
              </w:rPr>
            </w:pPr>
          </w:p>
        </w:tc>
      </w:tr>
      <w:tr w:rsidR="004E27FD" w:rsidRPr="006B4D49" w14:paraId="15FEECA8" w14:textId="77777777" w:rsidTr="00151D14">
        <w:tc>
          <w:tcPr>
            <w:tcW w:w="4503" w:type="dxa"/>
          </w:tcPr>
          <w:p w14:paraId="0E091030" w14:textId="77777777" w:rsidR="004E27FD" w:rsidRPr="00424A43" w:rsidRDefault="004E27FD" w:rsidP="00151D14">
            <w:pPr>
              <w:pStyle w:val="NoSpacing"/>
              <w:rPr>
                <w:lang w:val="en-US"/>
              </w:rPr>
            </w:pPr>
            <w:r w:rsidRPr="00424A43">
              <w:rPr>
                <w:lang w:val="en-US"/>
              </w:rPr>
              <w:t>Acute admission, N (%)</w:t>
            </w:r>
          </w:p>
          <w:p w14:paraId="0CBEBDD5" w14:textId="77777777" w:rsidR="004E27FD" w:rsidRPr="00424A43" w:rsidRDefault="004E27FD" w:rsidP="00151D14">
            <w:pPr>
              <w:pStyle w:val="NoSpacing"/>
              <w:rPr>
                <w:lang w:val="en-US"/>
              </w:rPr>
            </w:pPr>
            <w:r w:rsidRPr="00424A43">
              <w:rPr>
                <w:lang w:val="en-US"/>
              </w:rPr>
              <w:t>APACHE II score, mean (SD)</w:t>
            </w:r>
          </w:p>
        </w:tc>
        <w:tc>
          <w:tcPr>
            <w:tcW w:w="1701" w:type="dxa"/>
          </w:tcPr>
          <w:p w14:paraId="0C85574B" w14:textId="77777777" w:rsidR="004E27FD" w:rsidRPr="00424A43" w:rsidRDefault="004E27FD" w:rsidP="00151D14">
            <w:pPr>
              <w:pStyle w:val="NoSpacing"/>
              <w:jc w:val="center"/>
              <w:outlineLvl w:val="1"/>
              <w:rPr>
                <w:lang w:val="en-US"/>
              </w:rPr>
            </w:pPr>
            <w:r w:rsidRPr="00424A43">
              <w:rPr>
                <w:lang w:val="en-US"/>
              </w:rPr>
              <w:t>341 (42)</w:t>
            </w:r>
          </w:p>
          <w:p w14:paraId="72729396" w14:textId="77777777" w:rsidR="004E27FD" w:rsidRPr="00424A43" w:rsidRDefault="004E27FD" w:rsidP="00151D14">
            <w:pPr>
              <w:pStyle w:val="NoSpacing"/>
              <w:jc w:val="center"/>
              <w:outlineLvl w:val="1"/>
              <w:rPr>
                <w:lang w:val="en-US"/>
              </w:rPr>
            </w:pPr>
            <w:r w:rsidRPr="00424A43">
              <w:rPr>
                <w:lang w:val="en-US"/>
              </w:rPr>
              <w:t>14 (5)</w:t>
            </w:r>
          </w:p>
        </w:tc>
        <w:tc>
          <w:tcPr>
            <w:tcW w:w="1701" w:type="dxa"/>
          </w:tcPr>
          <w:p w14:paraId="3094DC4D" w14:textId="77777777" w:rsidR="004E27FD" w:rsidRPr="00424A43" w:rsidRDefault="004E27FD" w:rsidP="00151D14">
            <w:pPr>
              <w:pStyle w:val="NoSpacing"/>
              <w:jc w:val="center"/>
              <w:outlineLvl w:val="1"/>
              <w:rPr>
                <w:lang w:val="en-US"/>
              </w:rPr>
            </w:pPr>
            <w:r w:rsidRPr="00424A43">
              <w:rPr>
                <w:lang w:val="en-US"/>
              </w:rPr>
              <w:t>619 (67)</w:t>
            </w:r>
          </w:p>
          <w:p w14:paraId="59D444B9" w14:textId="77777777" w:rsidR="004E27FD" w:rsidRPr="00424A43" w:rsidRDefault="004E27FD" w:rsidP="00151D14">
            <w:pPr>
              <w:pStyle w:val="NoSpacing"/>
              <w:jc w:val="center"/>
              <w:outlineLvl w:val="1"/>
              <w:rPr>
                <w:lang w:val="en-US"/>
              </w:rPr>
            </w:pPr>
            <w:r w:rsidRPr="00424A43">
              <w:rPr>
                <w:lang w:val="en-US"/>
              </w:rPr>
              <w:t>18 (7)</w:t>
            </w:r>
          </w:p>
        </w:tc>
        <w:tc>
          <w:tcPr>
            <w:tcW w:w="1383" w:type="dxa"/>
          </w:tcPr>
          <w:p w14:paraId="3F5D4360" w14:textId="77777777" w:rsidR="004E27FD" w:rsidRPr="00424A43" w:rsidRDefault="004E27FD" w:rsidP="00151D14">
            <w:pPr>
              <w:pStyle w:val="NoSpacing"/>
              <w:jc w:val="center"/>
              <w:outlineLvl w:val="1"/>
              <w:rPr>
                <w:lang w:val="en-US"/>
              </w:rPr>
            </w:pPr>
            <w:r w:rsidRPr="00424A43">
              <w:rPr>
                <w:lang w:val="en-GB"/>
              </w:rPr>
              <w:t>&lt;0.001</w:t>
            </w:r>
          </w:p>
          <w:p w14:paraId="77EE8F5D" w14:textId="77777777" w:rsidR="004E27FD" w:rsidRPr="00424A43" w:rsidRDefault="004E27FD" w:rsidP="00151D14">
            <w:pPr>
              <w:pStyle w:val="NoSpacing"/>
              <w:jc w:val="center"/>
              <w:outlineLvl w:val="1"/>
              <w:rPr>
                <w:lang w:val="en-US"/>
              </w:rPr>
            </w:pPr>
            <w:r w:rsidRPr="00424A43">
              <w:rPr>
                <w:lang w:val="en-GB"/>
              </w:rPr>
              <w:t>&lt;0.001</w:t>
            </w:r>
          </w:p>
        </w:tc>
      </w:tr>
      <w:tr w:rsidR="004E27FD" w:rsidRPr="006B4D49" w14:paraId="46106FF1" w14:textId="77777777" w:rsidTr="00151D14">
        <w:tc>
          <w:tcPr>
            <w:tcW w:w="4503" w:type="dxa"/>
          </w:tcPr>
          <w:p w14:paraId="6FC9A4E5" w14:textId="77777777" w:rsidR="004E27FD" w:rsidRPr="00424A43" w:rsidRDefault="004E27FD" w:rsidP="00151D14">
            <w:pPr>
              <w:pStyle w:val="NoSpacing"/>
              <w:rPr>
                <w:lang w:val="en-US"/>
              </w:rPr>
            </w:pPr>
            <w:r w:rsidRPr="00424A43">
              <w:rPr>
                <w:lang w:val="en-US"/>
              </w:rPr>
              <w:t>APACHE IV score, mean (SD)</w:t>
            </w:r>
          </w:p>
        </w:tc>
        <w:tc>
          <w:tcPr>
            <w:tcW w:w="1701" w:type="dxa"/>
            <w:shd w:val="clear" w:color="auto" w:fill="auto"/>
          </w:tcPr>
          <w:p w14:paraId="25C7EA6A" w14:textId="77777777" w:rsidR="004E27FD" w:rsidRPr="00424A43" w:rsidRDefault="004E27FD" w:rsidP="00151D14">
            <w:pPr>
              <w:pStyle w:val="NoSpacing"/>
              <w:jc w:val="center"/>
              <w:rPr>
                <w:lang w:val="en-GB"/>
              </w:rPr>
            </w:pPr>
            <w:r w:rsidRPr="00424A43">
              <w:rPr>
                <w:lang w:val="en-GB"/>
              </w:rPr>
              <w:t>52 (20)</w:t>
            </w:r>
          </w:p>
        </w:tc>
        <w:tc>
          <w:tcPr>
            <w:tcW w:w="1701" w:type="dxa"/>
          </w:tcPr>
          <w:p w14:paraId="0178BCDA" w14:textId="77777777" w:rsidR="004E27FD" w:rsidRPr="00424A43" w:rsidRDefault="004E27FD" w:rsidP="00151D14">
            <w:pPr>
              <w:pStyle w:val="NoSpacing"/>
              <w:jc w:val="center"/>
              <w:rPr>
                <w:lang w:val="en-GB"/>
              </w:rPr>
            </w:pPr>
            <w:r w:rsidRPr="00424A43">
              <w:rPr>
                <w:lang w:val="en-GB"/>
              </w:rPr>
              <w:t>62 (26)</w:t>
            </w:r>
          </w:p>
        </w:tc>
        <w:tc>
          <w:tcPr>
            <w:tcW w:w="1383" w:type="dxa"/>
          </w:tcPr>
          <w:p w14:paraId="0FF1B098" w14:textId="77777777" w:rsidR="004E27FD" w:rsidRPr="00424A43" w:rsidRDefault="004E27FD" w:rsidP="00151D14">
            <w:pPr>
              <w:pStyle w:val="NoSpacing"/>
              <w:jc w:val="center"/>
              <w:rPr>
                <w:lang w:val="en-GB"/>
              </w:rPr>
            </w:pPr>
            <w:r w:rsidRPr="00424A43">
              <w:rPr>
                <w:lang w:val="en-GB"/>
              </w:rPr>
              <w:t>&lt;0.001</w:t>
            </w:r>
          </w:p>
        </w:tc>
      </w:tr>
      <w:tr w:rsidR="004E27FD" w:rsidRPr="006B4D49" w14:paraId="60338E10" w14:textId="77777777" w:rsidTr="00151D14">
        <w:tc>
          <w:tcPr>
            <w:tcW w:w="4503" w:type="dxa"/>
          </w:tcPr>
          <w:p w14:paraId="7FA342C8" w14:textId="77777777" w:rsidR="004E27FD" w:rsidRPr="00424A43" w:rsidRDefault="004E27FD" w:rsidP="00151D14">
            <w:pPr>
              <w:pStyle w:val="NoSpacing"/>
              <w:rPr>
                <w:lang w:val="en-GB"/>
              </w:rPr>
            </w:pPr>
            <w:r w:rsidRPr="00424A43">
              <w:rPr>
                <w:lang w:val="en-US"/>
              </w:rPr>
              <w:t>CAM-ICU positive, N (%)</w:t>
            </w:r>
          </w:p>
        </w:tc>
        <w:tc>
          <w:tcPr>
            <w:tcW w:w="1701" w:type="dxa"/>
          </w:tcPr>
          <w:p w14:paraId="3545ED17" w14:textId="77777777" w:rsidR="004E27FD" w:rsidRPr="00424A43" w:rsidRDefault="004E27FD" w:rsidP="00151D14">
            <w:pPr>
              <w:pStyle w:val="NoSpacing"/>
              <w:jc w:val="center"/>
              <w:rPr>
                <w:lang w:val="en-GB"/>
              </w:rPr>
            </w:pPr>
            <w:r w:rsidRPr="00424A43">
              <w:rPr>
                <w:lang w:val="en-GB"/>
              </w:rPr>
              <w:t>143 (18)</w:t>
            </w:r>
          </w:p>
        </w:tc>
        <w:tc>
          <w:tcPr>
            <w:tcW w:w="1701" w:type="dxa"/>
          </w:tcPr>
          <w:p w14:paraId="56A55DB3" w14:textId="77777777" w:rsidR="004E27FD" w:rsidRPr="00424A43" w:rsidRDefault="004E27FD" w:rsidP="00151D14">
            <w:pPr>
              <w:pStyle w:val="NoSpacing"/>
              <w:jc w:val="center"/>
              <w:rPr>
                <w:lang w:val="en-GB"/>
              </w:rPr>
            </w:pPr>
            <w:r w:rsidRPr="00424A43">
              <w:rPr>
                <w:lang w:val="en-US"/>
              </w:rPr>
              <w:t>380 (49)</w:t>
            </w:r>
          </w:p>
        </w:tc>
        <w:tc>
          <w:tcPr>
            <w:tcW w:w="1383" w:type="dxa"/>
          </w:tcPr>
          <w:p w14:paraId="21088DC5" w14:textId="77777777" w:rsidR="004E27FD" w:rsidRPr="00424A43" w:rsidRDefault="004E27FD" w:rsidP="00151D14">
            <w:pPr>
              <w:pStyle w:val="NoSpacing"/>
              <w:jc w:val="center"/>
              <w:rPr>
                <w:lang w:val="en-GB"/>
              </w:rPr>
            </w:pPr>
            <w:r w:rsidRPr="00424A43">
              <w:rPr>
                <w:lang w:val="en-GB"/>
              </w:rPr>
              <w:t>&lt;0.001</w:t>
            </w:r>
          </w:p>
        </w:tc>
      </w:tr>
      <w:tr w:rsidR="004E27FD" w:rsidRPr="006B4D49" w14:paraId="5F78DCB7" w14:textId="77777777" w:rsidTr="00151D14">
        <w:tc>
          <w:tcPr>
            <w:tcW w:w="4503" w:type="dxa"/>
          </w:tcPr>
          <w:p w14:paraId="34DDF14D" w14:textId="77777777" w:rsidR="004E27FD" w:rsidRPr="00424A43" w:rsidRDefault="004E27FD" w:rsidP="00151D14">
            <w:pPr>
              <w:pStyle w:val="NoSpacing"/>
              <w:rPr>
                <w:lang w:val="en-US"/>
              </w:rPr>
            </w:pPr>
            <w:r w:rsidRPr="00424A43">
              <w:rPr>
                <w:lang w:val="en-US"/>
              </w:rPr>
              <w:t>ICU Length of stay in days, median [IQR]</w:t>
            </w:r>
          </w:p>
          <w:p w14:paraId="417EE99E" w14:textId="77777777" w:rsidR="004E27FD" w:rsidRPr="00424A43" w:rsidRDefault="004E27FD" w:rsidP="00151D14">
            <w:pPr>
              <w:pStyle w:val="NoSpacing"/>
              <w:rPr>
                <w:lang w:val="en-US"/>
              </w:rPr>
            </w:pPr>
            <w:r w:rsidRPr="00424A43">
              <w:rPr>
                <w:lang w:val="en-US"/>
              </w:rPr>
              <w:t>Hospital Length of stay in days, median [IQR]</w:t>
            </w:r>
          </w:p>
          <w:p w14:paraId="3CD539A6" w14:textId="77777777" w:rsidR="004E27FD" w:rsidRPr="00424A43" w:rsidRDefault="004E27FD" w:rsidP="00151D14">
            <w:pPr>
              <w:pStyle w:val="NoSpacing"/>
              <w:rPr>
                <w:lang w:val="en-US"/>
              </w:rPr>
            </w:pPr>
          </w:p>
        </w:tc>
        <w:tc>
          <w:tcPr>
            <w:tcW w:w="1701" w:type="dxa"/>
          </w:tcPr>
          <w:p w14:paraId="5B117AAE" w14:textId="77777777" w:rsidR="004E27FD" w:rsidRPr="00424A43" w:rsidRDefault="004E27FD" w:rsidP="00151D14">
            <w:pPr>
              <w:pStyle w:val="NoSpacing"/>
              <w:jc w:val="center"/>
              <w:rPr>
                <w:lang w:val="en-GB"/>
              </w:rPr>
            </w:pPr>
            <w:r w:rsidRPr="00424A43">
              <w:rPr>
                <w:lang w:val="en-GB"/>
              </w:rPr>
              <w:t xml:space="preserve">1 </w:t>
            </w:r>
            <w:r w:rsidRPr="00424A43">
              <w:rPr>
                <w:lang w:val="en-US"/>
              </w:rPr>
              <w:t>[1-2]</w:t>
            </w:r>
          </w:p>
          <w:p w14:paraId="489C5C32" w14:textId="77777777" w:rsidR="004E27FD" w:rsidRPr="00424A43" w:rsidRDefault="004E27FD" w:rsidP="00151D14">
            <w:pPr>
              <w:pStyle w:val="NoSpacing"/>
              <w:jc w:val="center"/>
              <w:rPr>
                <w:lang w:val="en-GB"/>
              </w:rPr>
            </w:pPr>
            <w:r w:rsidRPr="00424A43">
              <w:rPr>
                <w:lang w:val="en-GB"/>
              </w:rPr>
              <w:t>7 [5-13]</w:t>
            </w:r>
          </w:p>
          <w:p w14:paraId="3189D517" w14:textId="77777777" w:rsidR="004E27FD" w:rsidRPr="00424A43" w:rsidRDefault="004E27FD" w:rsidP="00151D14">
            <w:pPr>
              <w:pStyle w:val="NoSpacing"/>
              <w:jc w:val="center"/>
              <w:rPr>
                <w:lang w:val="en-GB"/>
              </w:rPr>
            </w:pPr>
          </w:p>
        </w:tc>
        <w:tc>
          <w:tcPr>
            <w:tcW w:w="1701" w:type="dxa"/>
          </w:tcPr>
          <w:p w14:paraId="0FC08E8D" w14:textId="77777777" w:rsidR="004E27FD" w:rsidRPr="00424A43" w:rsidRDefault="004E27FD" w:rsidP="00151D14">
            <w:pPr>
              <w:pStyle w:val="NoSpacing"/>
              <w:jc w:val="center"/>
              <w:rPr>
                <w:lang w:val="en-US"/>
              </w:rPr>
            </w:pPr>
            <w:r w:rsidRPr="00424A43">
              <w:rPr>
                <w:lang w:val="en-US"/>
              </w:rPr>
              <w:t>5 [3-9]</w:t>
            </w:r>
          </w:p>
          <w:p w14:paraId="69297DBA" w14:textId="77777777" w:rsidR="004E27FD" w:rsidRPr="00424A43" w:rsidRDefault="004E27FD" w:rsidP="00151D14">
            <w:pPr>
              <w:pStyle w:val="NoSpacing"/>
              <w:jc w:val="center"/>
              <w:rPr>
                <w:lang w:val="en-GB"/>
              </w:rPr>
            </w:pPr>
            <w:r w:rsidRPr="00424A43">
              <w:rPr>
                <w:lang w:val="en-GB"/>
              </w:rPr>
              <w:t>21 [13-36]</w:t>
            </w:r>
          </w:p>
          <w:p w14:paraId="77C945D9" w14:textId="77777777" w:rsidR="004E27FD" w:rsidRPr="00424A43" w:rsidRDefault="004E27FD" w:rsidP="00151D14">
            <w:pPr>
              <w:pStyle w:val="NoSpacing"/>
              <w:jc w:val="center"/>
              <w:rPr>
                <w:lang w:val="en-GB"/>
              </w:rPr>
            </w:pPr>
          </w:p>
        </w:tc>
        <w:tc>
          <w:tcPr>
            <w:tcW w:w="1383" w:type="dxa"/>
          </w:tcPr>
          <w:p w14:paraId="7F898AA4" w14:textId="77777777" w:rsidR="004E27FD" w:rsidRPr="00424A43" w:rsidRDefault="004E27FD" w:rsidP="00151D14">
            <w:pPr>
              <w:pStyle w:val="NoSpacing"/>
              <w:jc w:val="center"/>
              <w:rPr>
                <w:lang w:val="en-GB"/>
              </w:rPr>
            </w:pPr>
            <w:r w:rsidRPr="00424A43">
              <w:rPr>
                <w:lang w:val="en-GB"/>
              </w:rPr>
              <w:t>&lt;0.001</w:t>
            </w:r>
          </w:p>
          <w:p w14:paraId="5A98BCAC" w14:textId="77777777" w:rsidR="004E27FD" w:rsidRPr="00424A43" w:rsidRDefault="004E27FD" w:rsidP="00151D14">
            <w:pPr>
              <w:pStyle w:val="NoSpacing"/>
              <w:jc w:val="center"/>
              <w:rPr>
                <w:lang w:val="en-GB"/>
              </w:rPr>
            </w:pPr>
            <w:r w:rsidRPr="00424A43">
              <w:rPr>
                <w:lang w:val="en-GB"/>
              </w:rPr>
              <w:t>&lt;0.001</w:t>
            </w:r>
          </w:p>
          <w:p w14:paraId="308AFF82" w14:textId="77777777" w:rsidR="004E27FD" w:rsidRPr="00424A43" w:rsidRDefault="004E27FD" w:rsidP="00151D14">
            <w:pPr>
              <w:pStyle w:val="NoSpacing"/>
              <w:jc w:val="center"/>
              <w:rPr>
                <w:lang w:val="en-US"/>
              </w:rPr>
            </w:pPr>
          </w:p>
        </w:tc>
      </w:tr>
    </w:tbl>
    <w:p w14:paraId="3AB8450D" w14:textId="77777777" w:rsidR="004E27FD" w:rsidRDefault="004E27FD" w:rsidP="004E27FD"/>
    <w:p w14:paraId="4A3DE521" w14:textId="77777777" w:rsidR="004E27FD" w:rsidRDefault="004E27FD">
      <w:pPr>
        <w:spacing w:after="0" w:line="480" w:lineRule="auto"/>
        <w:ind w:firstLine="284"/>
      </w:pPr>
      <w:r>
        <w:br w:type="page"/>
      </w:r>
    </w:p>
    <w:p w14:paraId="438C01EC" w14:textId="77777777" w:rsidR="004E27FD" w:rsidRPr="006721C6" w:rsidRDefault="004E27FD" w:rsidP="004E27FD">
      <w:pPr>
        <w:pStyle w:val="NoSpacing"/>
        <w:spacing w:line="480" w:lineRule="auto"/>
        <w:rPr>
          <w:b/>
          <w:lang w:val="en-US"/>
        </w:rPr>
      </w:pPr>
      <w:r w:rsidRPr="006721C6">
        <w:rPr>
          <w:b/>
          <w:bCs/>
          <w:lang w:val="en-US"/>
        </w:rPr>
        <w:lastRenderedPageBreak/>
        <w:t xml:space="preserve">Table 2: Correlations </w:t>
      </w:r>
      <w:r w:rsidRPr="006721C6">
        <w:rPr>
          <w:b/>
          <w:lang w:val="en-US"/>
        </w:rPr>
        <w:t>with 25-item CFQ and formula 14-item CFQ model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2039"/>
        <w:gridCol w:w="2039"/>
      </w:tblGrid>
      <w:tr w:rsidR="004E27FD" w:rsidRPr="006B4D49" w14:paraId="3F9318BD" w14:textId="77777777" w:rsidTr="00151D14">
        <w:tc>
          <w:tcPr>
            <w:tcW w:w="2038" w:type="dxa"/>
          </w:tcPr>
          <w:p w14:paraId="6D3299E4" w14:textId="77777777" w:rsidR="004E27FD" w:rsidRPr="000C6824" w:rsidRDefault="004E27FD" w:rsidP="00151D14">
            <w:pPr>
              <w:pStyle w:val="NoSpacing"/>
              <w:jc w:val="center"/>
              <w:rPr>
                <w:b/>
                <w:lang w:val="en-US"/>
              </w:rPr>
            </w:pPr>
            <w:r w:rsidRPr="000C6824">
              <w:rPr>
                <w:b/>
                <w:lang w:val="en-US"/>
              </w:rPr>
              <w:t>Model</w:t>
            </w:r>
          </w:p>
        </w:tc>
        <w:tc>
          <w:tcPr>
            <w:tcW w:w="2039" w:type="dxa"/>
          </w:tcPr>
          <w:p w14:paraId="4946B3E4" w14:textId="77777777" w:rsidR="004E27FD" w:rsidRPr="000C6824" w:rsidRDefault="004E27FD" w:rsidP="00151D14">
            <w:pPr>
              <w:pStyle w:val="NoSpacing"/>
              <w:jc w:val="center"/>
              <w:rPr>
                <w:b/>
                <w:lang w:val="en-US"/>
              </w:rPr>
            </w:pPr>
            <w:r w:rsidRPr="000C6824">
              <w:rPr>
                <w:b/>
                <w:lang w:val="en-US"/>
              </w:rPr>
              <w:t>R</w:t>
            </w:r>
          </w:p>
        </w:tc>
        <w:tc>
          <w:tcPr>
            <w:tcW w:w="2039" w:type="dxa"/>
          </w:tcPr>
          <w:p w14:paraId="3870199B" w14:textId="77777777" w:rsidR="004E27FD" w:rsidRPr="000C6824" w:rsidRDefault="004E27FD" w:rsidP="00151D14">
            <w:pPr>
              <w:pStyle w:val="NoSpacing"/>
              <w:jc w:val="center"/>
              <w:rPr>
                <w:b/>
                <w:lang w:val="en-US"/>
              </w:rPr>
            </w:pPr>
            <w:r w:rsidRPr="000C6824">
              <w:rPr>
                <w:b/>
                <w:lang w:val="en-US"/>
              </w:rPr>
              <w:t>R square</w:t>
            </w:r>
          </w:p>
        </w:tc>
      </w:tr>
      <w:tr w:rsidR="004E27FD" w:rsidRPr="006B4D49" w14:paraId="592EF2E9" w14:textId="77777777" w:rsidTr="00151D14">
        <w:tc>
          <w:tcPr>
            <w:tcW w:w="2038" w:type="dxa"/>
          </w:tcPr>
          <w:p w14:paraId="0928E4CD" w14:textId="77777777" w:rsidR="004E27FD" w:rsidRPr="000C6824" w:rsidRDefault="004E27FD" w:rsidP="00151D14">
            <w:pPr>
              <w:pStyle w:val="NoSpacing"/>
              <w:jc w:val="center"/>
              <w:rPr>
                <w:lang w:val="en-US"/>
              </w:rPr>
            </w:pPr>
            <w:r w:rsidRPr="000C6824">
              <w:rPr>
                <w:lang w:val="en-US"/>
              </w:rPr>
              <w:t>1</w:t>
            </w:r>
          </w:p>
        </w:tc>
        <w:tc>
          <w:tcPr>
            <w:tcW w:w="2039" w:type="dxa"/>
          </w:tcPr>
          <w:p w14:paraId="00DE53A9" w14:textId="77777777" w:rsidR="004E27FD" w:rsidRPr="000C6824" w:rsidRDefault="004E27FD" w:rsidP="00151D14">
            <w:pPr>
              <w:pStyle w:val="NoSpacing"/>
              <w:jc w:val="center"/>
              <w:rPr>
                <w:lang w:val="en-US"/>
              </w:rPr>
            </w:pPr>
            <w:r w:rsidRPr="000C6824">
              <w:rPr>
                <w:lang w:val="en-US"/>
              </w:rPr>
              <w:t>0.748</w:t>
            </w:r>
          </w:p>
        </w:tc>
        <w:tc>
          <w:tcPr>
            <w:tcW w:w="2039" w:type="dxa"/>
          </w:tcPr>
          <w:p w14:paraId="6C3C1CEF" w14:textId="77777777" w:rsidR="004E27FD" w:rsidRPr="000C6824" w:rsidRDefault="004E27FD" w:rsidP="00151D14">
            <w:pPr>
              <w:pStyle w:val="NoSpacing"/>
              <w:jc w:val="center"/>
              <w:rPr>
                <w:lang w:val="en-US"/>
              </w:rPr>
            </w:pPr>
            <w:r w:rsidRPr="000C6824">
              <w:rPr>
                <w:lang w:val="en-US"/>
              </w:rPr>
              <w:t>0.560</w:t>
            </w:r>
          </w:p>
        </w:tc>
      </w:tr>
      <w:tr w:rsidR="004E27FD" w:rsidRPr="006B4D49" w14:paraId="20F55ED4" w14:textId="77777777" w:rsidTr="00151D14">
        <w:tc>
          <w:tcPr>
            <w:tcW w:w="2038" w:type="dxa"/>
          </w:tcPr>
          <w:p w14:paraId="7929C436" w14:textId="77777777" w:rsidR="004E27FD" w:rsidRPr="000C6824" w:rsidRDefault="004E27FD" w:rsidP="00151D14">
            <w:pPr>
              <w:pStyle w:val="NoSpacing"/>
              <w:jc w:val="center"/>
              <w:rPr>
                <w:lang w:val="en-US"/>
              </w:rPr>
            </w:pPr>
            <w:r w:rsidRPr="000C6824">
              <w:rPr>
                <w:lang w:val="en-US"/>
              </w:rPr>
              <w:t>5</w:t>
            </w:r>
          </w:p>
        </w:tc>
        <w:tc>
          <w:tcPr>
            <w:tcW w:w="2039" w:type="dxa"/>
          </w:tcPr>
          <w:p w14:paraId="52593737" w14:textId="77777777" w:rsidR="004E27FD" w:rsidRPr="000C6824" w:rsidRDefault="004E27FD" w:rsidP="00151D14">
            <w:pPr>
              <w:pStyle w:val="NoSpacing"/>
              <w:jc w:val="center"/>
              <w:rPr>
                <w:lang w:val="en-US"/>
              </w:rPr>
            </w:pPr>
            <w:r w:rsidRPr="000C6824">
              <w:rPr>
                <w:lang w:val="en-US"/>
              </w:rPr>
              <w:t>0.942</w:t>
            </w:r>
          </w:p>
        </w:tc>
        <w:tc>
          <w:tcPr>
            <w:tcW w:w="2039" w:type="dxa"/>
          </w:tcPr>
          <w:p w14:paraId="43A80C87" w14:textId="77777777" w:rsidR="004E27FD" w:rsidRPr="000C6824" w:rsidRDefault="004E27FD" w:rsidP="00151D14">
            <w:pPr>
              <w:pStyle w:val="NoSpacing"/>
              <w:jc w:val="center"/>
              <w:rPr>
                <w:lang w:val="en-US"/>
              </w:rPr>
            </w:pPr>
            <w:r w:rsidRPr="000C6824">
              <w:rPr>
                <w:lang w:val="en-US"/>
              </w:rPr>
              <w:t>0.886</w:t>
            </w:r>
          </w:p>
        </w:tc>
      </w:tr>
      <w:tr w:rsidR="004E27FD" w:rsidRPr="006B4D49" w14:paraId="48F5B3AA" w14:textId="77777777" w:rsidTr="00151D14">
        <w:tc>
          <w:tcPr>
            <w:tcW w:w="2038" w:type="dxa"/>
          </w:tcPr>
          <w:p w14:paraId="00439EF2" w14:textId="77777777" w:rsidR="004E27FD" w:rsidRPr="000C6824" w:rsidRDefault="004E27FD" w:rsidP="00151D14">
            <w:pPr>
              <w:pStyle w:val="NoSpacing"/>
              <w:jc w:val="center"/>
              <w:rPr>
                <w:lang w:val="en-US"/>
              </w:rPr>
            </w:pPr>
            <w:r w:rsidRPr="000C6824">
              <w:rPr>
                <w:lang w:val="en-US"/>
              </w:rPr>
              <w:t>10</w:t>
            </w:r>
          </w:p>
        </w:tc>
        <w:tc>
          <w:tcPr>
            <w:tcW w:w="2039" w:type="dxa"/>
          </w:tcPr>
          <w:p w14:paraId="3D3558AB" w14:textId="77777777" w:rsidR="004E27FD" w:rsidRPr="000C6824" w:rsidRDefault="004E27FD" w:rsidP="00151D14">
            <w:pPr>
              <w:pStyle w:val="NoSpacing"/>
              <w:jc w:val="center"/>
              <w:rPr>
                <w:lang w:val="en-US"/>
              </w:rPr>
            </w:pPr>
            <w:r w:rsidRPr="000C6824">
              <w:rPr>
                <w:lang w:val="en-US"/>
              </w:rPr>
              <w:t>0.974</w:t>
            </w:r>
          </w:p>
        </w:tc>
        <w:tc>
          <w:tcPr>
            <w:tcW w:w="2039" w:type="dxa"/>
          </w:tcPr>
          <w:p w14:paraId="42977F26" w14:textId="77777777" w:rsidR="004E27FD" w:rsidRPr="000C6824" w:rsidRDefault="004E27FD" w:rsidP="00151D14">
            <w:pPr>
              <w:pStyle w:val="NoSpacing"/>
              <w:jc w:val="center"/>
              <w:rPr>
                <w:lang w:val="en-US"/>
              </w:rPr>
            </w:pPr>
            <w:r w:rsidRPr="000C6824">
              <w:rPr>
                <w:lang w:val="en-US"/>
              </w:rPr>
              <w:t>0.949</w:t>
            </w:r>
          </w:p>
        </w:tc>
      </w:tr>
      <w:tr w:rsidR="004E27FD" w:rsidRPr="006B4D49" w14:paraId="6564A420" w14:textId="77777777" w:rsidTr="00151D14">
        <w:tc>
          <w:tcPr>
            <w:tcW w:w="2038" w:type="dxa"/>
          </w:tcPr>
          <w:p w14:paraId="14FA58F4" w14:textId="77777777" w:rsidR="004E27FD" w:rsidRPr="000C6824" w:rsidRDefault="004E27FD" w:rsidP="00151D14">
            <w:pPr>
              <w:pStyle w:val="NoSpacing"/>
              <w:jc w:val="center"/>
              <w:rPr>
                <w:lang w:val="en-US"/>
              </w:rPr>
            </w:pPr>
            <w:r w:rsidRPr="000C6824">
              <w:rPr>
                <w:lang w:val="en-US"/>
              </w:rPr>
              <w:t>11</w:t>
            </w:r>
          </w:p>
        </w:tc>
        <w:tc>
          <w:tcPr>
            <w:tcW w:w="2039" w:type="dxa"/>
          </w:tcPr>
          <w:p w14:paraId="63333419" w14:textId="77777777" w:rsidR="004E27FD" w:rsidRPr="000C6824" w:rsidRDefault="004E27FD" w:rsidP="00151D14">
            <w:pPr>
              <w:pStyle w:val="NoSpacing"/>
              <w:jc w:val="center"/>
              <w:rPr>
                <w:lang w:val="en-US"/>
              </w:rPr>
            </w:pPr>
            <w:r w:rsidRPr="000C6824">
              <w:rPr>
                <w:lang w:val="en-US"/>
              </w:rPr>
              <w:t>0.978</w:t>
            </w:r>
          </w:p>
        </w:tc>
        <w:tc>
          <w:tcPr>
            <w:tcW w:w="2039" w:type="dxa"/>
          </w:tcPr>
          <w:p w14:paraId="3E628A69" w14:textId="77777777" w:rsidR="004E27FD" w:rsidRPr="000C6824" w:rsidRDefault="004E27FD" w:rsidP="00151D14">
            <w:pPr>
              <w:pStyle w:val="NoSpacing"/>
              <w:jc w:val="center"/>
              <w:rPr>
                <w:lang w:val="en-US"/>
              </w:rPr>
            </w:pPr>
            <w:r w:rsidRPr="000C6824">
              <w:rPr>
                <w:lang w:val="en-US"/>
              </w:rPr>
              <w:t>0.957</w:t>
            </w:r>
          </w:p>
        </w:tc>
      </w:tr>
      <w:tr w:rsidR="004E27FD" w:rsidRPr="006B4D49" w14:paraId="2E95F6A6" w14:textId="77777777" w:rsidTr="00151D14">
        <w:tc>
          <w:tcPr>
            <w:tcW w:w="2038" w:type="dxa"/>
          </w:tcPr>
          <w:p w14:paraId="60F9527D" w14:textId="77777777" w:rsidR="004E27FD" w:rsidRPr="000C6824" w:rsidRDefault="004E27FD" w:rsidP="00151D14">
            <w:pPr>
              <w:pStyle w:val="NoSpacing"/>
              <w:jc w:val="center"/>
              <w:rPr>
                <w:lang w:val="en-US"/>
              </w:rPr>
            </w:pPr>
            <w:r w:rsidRPr="000C6824">
              <w:rPr>
                <w:lang w:val="en-US"/>
              </w:rPr>
              <w:t>12</w:t>
            </w:r>
          </w:p>
        </w:tc>
        <w:tc>
          <w:tcPr>
            <w:tcW w:w="2039" w:type="dxa"/>
          </w:tcPr>
          <w:p w14:paraId="57DE70B5" w14:textId="77777777" w:rsidR="004E27FD" w:rsidRPr="000C6824" w:rsidRDefault="004E27FD" w:rsidP="00151D14">
            <w:pPr>
              <w:pStyle w:val="NoSpacing"/>
              <w:jc w:val="center"/>
              <w:rPr>
                <w:lang w:val="en-US"/>
              </w:rPr>
            </w:pPr>
            <w:r w:rsidRPr="000C6824">
              <w:rPr>
                <w:lang w:val="en-US"/>
              </w:rPr>
              <w:t>0.981</w:t>
            </w:r>
          </w:p>
        </w:tc>
        <w:tc>
          <w:tcPr>
            <w:tcW w:w="2039" w:type="dxa"/>
          </w:tcPr>
          <w:p w14:paraId="0B96ADCB" w14:textId="77777777" w:rsidR="004E27FD" w:rsidRPr="000C6824" w:rsidRDefault="004E27FD" w:rsidP="00151D14">
            <w:pPr>
              <w:pStyle w:val="NoSpacing"/>
              <w:jc w:val="center"/>
              <w:rPr>
                <w:lang w:val="en-US"/>
              </w:rPr>
            </w:pPr>
            <w:r w:rsidRPr="000C6824">
              <w:rPr>
                <w:lang w:val="en-US"/>
              </w:rPr>
              <w:t>0.963</w:t>
            </w:r>
          </w:p>
        </w:tc>
      </w:tr>
      <w:tr w:rsidR="004E27FD" w:rsidRPr="006B4D49" w14:paraId="7011397B" w14:textId="77777777" w:rsidTr="00151D14">
        <w:tc>
          <w:tcPr>
            <w:tcW w:w="2038" w:type="dxa"/>
          </w:tcPr>
          <w:p w14:paraId="4A241718" w14:textId="77777777" w:rsidR="004E27FD" w:rsidRPr="000C6824" w:rsidRDefault="004E27FD" w:rsidP="00151D14">
            <w:pPr>
              <w:pStyle w:val="NoSpacing"/>
              <w:jc w:val="center"/>
              <w:rPr>
                <w:lang w:val="en-US"/>
              </w:rPr>
            </w:pPr>
            <w:r w:rsidRPr="000C6824">
              <w:rPr>
                <w:lang w:val="en-US"/>
              </w:rPr>
              <w:t>13</w:t>
            </w:r>
          </w:p>
        </w:tc>
        <w:tc>
          <w:tcPr>
            <w:tcW w:w="2039" w:type="dxa"/>
          </w:tcPr>
          <w:p w14:paraId="6596D6EC" w14:textId="77777777" w:rsidR="004E27FD" w:rsidRPr="000C6824" w:rsidRDefault="004E27FD" w:rsidP="00151D14">
            <w:pPr>
              <w:pStyle w:val="NoSpacing"/>
              <w:jc w:val="center"/>
              <w:rPr>
                <w:lang w:val="en-US"/>
              </w:rPr>
            </w:pPr>
            <w:r w:rsidRPr="000C6824">
              <w:rPr>
                <w:lang w:val="en-US"/>
              </w:rPr>
              <w:t>0.984</w:t>
            </w:r>
          </w:p>
        </w:tc>
        <w:tc>
          <w:tcPr>
            <w:tcW w:w="2039" w:type="dxa"/>
          </w:tcPr>
          <w:p w14:paraId="66C00874" w14:textId="77777777" w:rsidR="004E27FD" w:rsidRPr="000C6824" w:rsidRDefault="004E27FD" w:rsidP="00151D14">
            <w:pPr>
              <w:pStyle w:val="NoSpacing"/>
              <w:jc w:val="center"/>
              <w:rPr>
                <w:lang w:val="en-US"/>
              </w:rPr>
            </w:pPr>
            <w:r w:rsidRPr="000C6824">
              <w:rPr>
                <w:lang w:val="en-US"/>
              </w:rPr>
              <w:t>0.969</w:t>
            </w:r>
          </w:p>
        </w:tc>
      </w:tr>
      <w:tr w:rsidR="004E27FD" w:rsidRPr="006B4D49" w14:paraId="65448868" w14:textId="77777777" w:rsidTr="00151D14">
        <w:tc>
          <w:tcPr>
            <w:tcW w:w="2038" w:type="dxa"/>
          </w:tcPr>
          <w:p w14:paraId="5FD720BD" w14:textId="77777777" w:rsidR="004E27FD" w:rsidRPr="000C6824" w:rsidRDefault="004E27FD" w:rsidP="00151D14">
            <w:pPr>
              <w:pStyle w:val="NoSpacing"/>
              <w:jc w:val="center"/>
              <w:rPr>
                <w:lang w:val="en-US"/>
              </w:rPr>
            </w:pPr>
            <w:r w:rsidRPr="000C6824">
              <w:rPr>
                <w:lang w:val="en-US"/>
              </w:rPr>
              <w:t>14</w:t>
            </w:r>
          </w:p>
        </w:tc>
        <w:tc>
          <w:tcPr>
            <w:tcW w:w="2039" w:type="dxa"/>
          </w:tcPr>
          <w:p w14:paraId="5B0FD2A4" w14:textId="77777777" w:rsidR="004E27FD" w:rsidRPr="000C6824" w:rsidRDefault="004E27FD" w:rsidP="00151D14">
            <w:pPr>
              <w:pStyle w:val="NoSpacing"/>
              <w:jc w:val="center"/>
              <w:rPr>
                <w:lang w:val="en-US"/>
              </w:rPr>
            </w:pPr>
            <w:r w:rsidRPr="000C6824">
              <w:rPr>
                <w:lang w:val="en-US"/>
              </w:rPr>
              <w:t>0.987</w:t>
            </w:r>
          </w:p>
        </w:tc>
        <w:tc>
          <w:tcPr>
            <w:tcW w:w="2039" w:type="dxa"/>
          </w:tcPr>
          <w:p w14:paraId="0910D192" w14:textId="77777777" w:rsidR="004E27FD" w:rsidRPr="000C6824" w:rsidRDefault="004E27FD" w:rsidP="00151D14">
            <w:pPr>
              <w:pStyle w:val="NoSpacing"/>
              <w:jc w:val="center"/>
              <w:rPr>
                <w:lang w:val="en-US"/>
              </w:rPr>
            </w:pPr>
            <w:r w:rsidRPr="000C6824">
              <w:rPr>
                <w:lang w:val="en-US"/>
              </w:rPr>
              <w:t>0.973</w:t>
            </w:r>
          </w:p>
        </w:tc>
      </w:tr>
      <w:tr w:rsidR="004E27FD" w:rsidRPr="006B4D49" w14:paraId="11AB8D6A" w14:textId="77777777" w:rsidTr="00151D14">
        <w:tc>
          <w:tcPr>
            <w:tcW w:w="2038" w:type="dxa"/>
          </w:tcPr>
          <w:p w14:paraId="1131EABB" w14:textId="77777777" w:rsidR="004E27FD" w:rsidRPr="000C6824" w:rsidRDefault="004E27FD" w:rsidP="00151D14">
            <w:pPr>
              <w:pStyle w:val="NoSpacing"/>
              <w:jc w:val="center"/>
              <w:rPr>
                <w:lang w:val="en-US"/>
              </w:rPr>
            </w:pPr>
            <w:r w:rsidRPr="000C6824">
              <w:rPr>
                <w:lang w:val="en-US"/>
              </w:rPr>
              <w:t>15</w:t>
            </w:r>
          </w:p>
        </w:tc>
        <w:tc>
          <w:tcPr>
            <w:tcW w:w="2039" w:type="dxa"/>
          </w:tcPr>
          <w:p w14:paraId="4306BF75" w14:textId="77777777" w:rsidR="004E27FD" w:rsidRPr="000C6824" w:rsidRDefault="004E27FD" w:rsidP="00151D14">
            <w:pPr>
              <w:pStyle w:val="NoSpacing"/>
              <w:jc w:val="center"/>
              <w:rPr>
                <w:lang w:val="en-US"/>
              </w:rPr>
            </w:pPr>
            <w:r w:rsidRPr="000C6824">
              <w:rPr>
                <w:lang w:val="en-US"/>
              </w:rPr>
              <w:t>0.989</w:t>
            </w:r>
          </w:p>
        </w:tc>
        <w:tc>
          <w:tcPr>
            <w:tcW w:w="2039" w:type="dxa"/>
          </w:tcPr>
          <w:p w14:paraId="74EBB5D4" w14:textId="77777777" w:rsidR="004E27FD" w:rsidRPr="000C6824" w:rsidRDefault="004E27FD" w:rsidP="00151D14">
            <w:pPr>
              <w:pStyle w:val="NoSpacing"/>
              <w:jc w:val="center"/>
              <w:rPr>
                <w:lang w:val="en-US"/>
              </w:rPr>
            </w:pPr>
            <w:r w:rsidRPr="000C6824">
              <w:rPr>
                <w:lang w:val="en-US"/>
              </w:rPr>
              <w:t>0.978</w:t>
            </w:r>
          </w:p>
        </w:tc>
      </w:tr>
      <w:tr w:rsidR="004E27FD" w:rsidRPr="006B4D49" w14:paraId="33003DDC" w14:textId="77777777" w:rsidTr="00151D14">
        <w:tc>
          <w:tcPr>
            <w:tcW w:w="2038" w:type="dxa"/>
          </w:tcPr>
          <w:p w14:paraId="7D5CD7AC" w14:textId="77777777" w:rsidR="004E27FD" w:rsidRPr="000C6824" w:rsidRDefault="004E27FD" w:rsidP="00151D14">
            <w:pPr>
              <w:pStyle w:val="NoSpacing"/>
              <w:jc w:val="center"/>
              <w:rPr>
                <w:lang w:val="en-US"/>
              </w:rPr>
            </w:pPr>
            <w:r w:rsidRPr="000C6824">
              <w:rPr>
                <w:lang w:val="en-US"/>
              </w:rPr>
              <w:t>16</w:t>
            </w:r>
          </w:p>
        </w:tc>
        <w:tc>
          <w:tcPr>
            <w:tcW w:w="2039" w:type="dxa"/>
          </w:tcPr>
          <w:p w14:paraId="6DCADC37" w14:textId="77777777" w:rsidR="004E27FD" w:rsidRPr="000C6824" w:rsidRDefault="004E27FD" w:rsidP="00151D14">
            <w:pPr>
              <w:pStyle w:val="NoSpacing"/>
              <w:jc w:val="center"/>
              <w:rPr>
                <w:lang w:val="en-US"/>
              </w:rPr>
            </w:pPr>
            <w:r w:rsidRPr="000C6824">
              <w:rPr>
                <w:lang w:val="en-US"/>
              </w:rPr>
              <w:t>0.990</w:t>
            </w:r>
          </w:p>
        </w:tc>
        <w:tc>
          <w:tcPr>
            <w:tcW w:w="2039" w:type="dxa"/>
          </w:tcPr>
          <w:p w14:paraId="1A6F1834" w14:textId="77777777" w:rsidR="004E27FD" w:rsidRPr="000C6824" w:rsidRDefault="004E27FD" w:rsidP="00151D14">
            <w:pPr>
              <w:pStyle w:val="NoSpacing"/>
              <w:jc w:val="center"/>
              <w:rPr>
                <w:lang w:val="en-US"/>
              </w:rPr>
            </w:pPr>
            <w:r w:rsidRPr="000C6824">
              <w:rPr>
                <w:lang w:val="en-US"/>
              </w:rPr>
              <w:t>0.980</w:t>
            </w:r>
          </w:p>
        </w:tc>
      </w:tr>
    </w:tbl>
    <w:p w14:paraId="2B51F8E4" w14:textId="77777777" w:rsidR="004E27FD" w:rsidRPr="000A50D7" w:rsidRDefault="004E27FD" w:rsidP="004E27FD">
      <w:pPr>
        <w:pStyle w:val="NoSpacing"/>
        <w:rPr>
          <w:b/>
          <w:lang w:val="en-US"/>
        </w:rPr>
      </w:pPr>
    </w:p>
    <w:p w14:paraId="02C5FFC0" w14:textId="77777777" w:rsidR="004E27FD" w:rsidRPr="000A50D7" w:rsidRDefault="004E27FD" w:rsidP="004E27FD">
      <w:pPr>
        <w:pStyle w:val="NoSpacing"/>
        <w:rPr>
          <w:lang w:val="en-US"/>
        </w:rPr>
      </w:pPr>
      <w:r w:rsidRPr="000A50D7">
        <w:rPr>
          <w:lang w:val="en-US"/>
        </w:rPr>
        <w:t>Formula 14-item CFQ model</w:t>
      </w:r>
      <w:r w:rsidRPr="000A50D7">
        <w:rPr>
          <w:vertAlign w:val="superscript"/>
          <w:lang w:val="en-US"/>
        </w:rPr>
        <w:t>#</w:t>
      </w:r>
      <w:r w:rsidRPr="000A50D7">
        <w:rPr>
          <w:lang w:val="en-US"/>
        </w:rPr>
        <w:t xml:space="preserve"> = (0.483 + (1.488 * CFQ_17) + (2.184 * CFQ_21) + (1.779 * CFQ_3) + (1.647 * CFQ_9) + (1.790 * CFQ_14) + (1.484 * CFQ_6) + (1.701 * CFQ_22) + (1.670 * CFQ_10) + (2.001 * CFQ_16) + (1.971 * CFQ_12) + (1.541 * CFQ_15) + (1.367 * CFQ_7) + (1.362 * CFQ_24) + (1.485 * CFQ_2)).</w:t>
      </w:r>
    </w:p>
    <w:p w14:paraId="00F10FB8" w14:textId="77777777" w:rsidR="004E27FD" w:rsidRDefault="004E27FD" w:rsidP="004E27FD">
      <w:pPr>
        <w:pStyle w:val="NoSpacing"/>
        <w:rPr>
          <w:sz w:val="18"/>
          <w:szCs w:val="18"/>
          <w:lang w:val="en-US"/>
        </w:rPr>
      </w:pPr>
    </w:p>
    <w:p w14:paraId="3AF4A458" w14:textId="77777777" w:rsidR="004E27FD" w:rsidRPr="001A28AA" w:rsidRDefault="004E27FD" w:rsidP="004E27FD">
      <w:pPr>
        <w:pStyle w:val="NoSpacing"/>
        <w:rPr>
          <w:sz w:val="18"/>
          <w:szCs w:val="18"/>
          <w:lang w:val="en-US"/>
        </w:rPr>
      </w:pPr>
      <w:r w:rsidRPr="001A28AA">
        <w:rPr>
          <w:sz w:val="18"/>
          <w:szCs w:val="18"/>
          <w:lang w:val="en-US"/>
        </w:rPr>
        <w:t># Items in order of forward selection</w:t>
      </w:r>
    </w:p>
    <w:p w14:paraId="56518BAB" w14:textId="77777777" w:rsidR="004750AA" w:rsidRDefault="004750AA">
      <w:pPr>
        <w:spacing w:after="0" w:line="480" w:lineRule="auto"/>
        <w:ind w:firstLine="284"/>
      </w:pPr>
      <w:r>
        <w:br w:type="page"/>
      </w:r>
    </w:p>
    <w:p w14:paraId="116805B3" w14:textId="77777777" w:rsidR="004750AA" w:rsidRPr="00D4524C" w:rsidRDefault="004750AA" w:rsidP="004750AA">
      <w:pPr>
        <w:pStyle w:val="NoSpacing"/>
        <w:spacing w:line="276" w:lineRule="auto"/>
        <w:rPr>
          <w:b/>
          <w:lang w:val="en-US"/>
        </w:rPr>
      </w:pPr>
      <w:r w:rsidRPr="00D4524C">
        <w:rPr>
          <w:b/>
          <w:lang w:val="en-US"/>
        </w:rPr>
        <w:lastRenderedPageBreak/>
        <w:t xml:space="preserve">Table 3: CFQ item distribution of both the CFQ-25 and CFQ-14 on the dimension structure of Wallace et al. 2002 </w:t>
      </w:r>
      <w:r w:rsidRPr="00D4524C">
        <w:rPr>
          <w:b/>
          <w:noProof/>
          <w:lang w:val="en-US"/>
        </w:rPr>
        <w:t>(18)</w:t>
      </w:r>
    </w:p>
    <w:p w14:paraId="5EAF710D" w14:textId="77777777" w:rsidR="004750AA" w:rsidRPr="00D4524C" w:rsidRDefault="004750AA" w:rsidP="004750AA">
      <w:pPr>
        <w:pStyle w:val="NoSpacing"/>
        <w:rPr>
          <w:sz w:val="18"/>
          <w:szCs w:val="18"/>
          <w:vertAlign w:val="superscript"/>
          <w:lang w:val="en-US"/>
        </w:rPr>
      </w:pPr>
    </w:p>
    <w:tbl>
      <w:tblPr>
        <w:tblStyle w:val="TableGrid"/>
        <w:tblW w:w="0" w:type="auto"/>
        <w:tblLook w:val="04A0" w:firstRow="1" w:lastRow="0" w:firstColumn="1" w:lastColumn="0" w:noHBand="0" w:noVBand="1"/>
      </w:tblPr>
      <w:tblGrid>
        <w:gridCol w:w="2294"/>
        <w:gridCol w:w="1832"/>
        <w:gridCol w:w="1715"/>
        <w:gridCol w:w="1832"/>
        <w:gridCol w:w="1615"/>
      </w:tblGrid>
      <w:tr w:rsidR="004750AA" w:rsidRPr="00D4524C" w14:paraId="16B45884" w14:textId="77777777" w:rsidTr="00151D14">
        <w:tc>
          <w:tcPr>
            <w:tcW w:w="2294" w:type="dxa"/>
          </w:tcPr>
          <w:p w14:paraId="0B90F570" w14:textId="77777777" w:rsidR="004750AA" w:rsidRPr="00D4524C" w:rsidRDefault="004750AA" w:rsidP="00151D14">
            <w:pPr>
              <w:pStyle w:val="NoSpacing"/>
              <w:spacing w:line="276" w:lineRule="auto"/>
              <w:rPr>
                <w:rFonts w:asciiTheme="minorHAnsi" w:hAnsiTheme="minorHAnsi"/>
                <w:b/>
                <w:sz w:val="22"/>
                <w:szCs w:val="22"/>
                <w:lang w:val="en-US"/>
              </w:rPr>
            </w:pPr>
            <w:r w:rsidRPr="00D4524C">
              <w:rPr>
                <w:rFonts w:asciiTheme="minorHAnsi" w:hAnsiTheme="minorHAnsi"/>
                <w:b/>
                <w:sz w:val="22"/>
                <w:szCs w:val="22"/>
                <w:lang w:val="en-US"/>
              </w:rPr>
              <w:t>CFQ dimension structure of Wallace et al. 2002</w:t>
            </w:r>
          </w:p>
        </w:tc>
        <w:tc>
          <w:tcPr>
            <w:tcW w:w="1832" w:type="dxa"/>
          </w:tcPr>
          <w:p w14:paraId="53248AE0" w14:textId="77777777" w:rsidR="004750AA" w:rsidRPr="00D4524C" w:rsidRDefault="004750AA" w:rsidP="00151D14">
            <w:pPr>
              <w:pStyle w:val="NoSpacing"/>
              <w:spacing w:line="276" w:lineRule="auto"/>
              <w:rPr>
                <w:rFonts w:asciiTheme="minorHAnsi" w:hAnsiTheme="minorHAnsi"/>
                <w:b/>
                <w:sz w:val="22"/>
                <w:szCs w:val="22"/>
                <w:lang w:val="en-US"/>
              </w:rPr>
            </w:pPr>
            <w:r w:rsidRPr="00D4524C">
              <w:rPr>
                <w:rFonts w:asciiTheme="minorHAnsi" w:hAnsiTheme="minorHAnsi"/>
                <w:b/>
                <w:sz w:val="22"/>
                <w:szCs w:val="22"/>
                <w:lang w:val="en-US"/>
              </w:rPr>
              <w:t>Distribution of the CFQ-25 items˜</w:t>
            </w:r>
          </w:p>
        </w:tc>
        <w:tc>
          <w:tcPr>
            <w:tcW w:w="1715" w:type="dxa"/>
          </w:tcPr>
          <w:p w14:paraId="3BF08E43" w14:textId="77777777" w:rsidR="004750AA" w:rsidRPr="00D4524C" w:rsidRDefault="004750AA" w:rsidP="00151D14">
            <w:pPr>
              <w:pStyle w:val="NoSpacing"/>
              <w:spacing w:line="276" w:lineRule="auto"/>
              <w:rPr>
                <w:rFonts w:asciiTheme="minorHAnsi" w:hAnsiTheme="minorHAnsi"/>
                <w:b/>
                <w:sz w:val="22"/>
                <w:szCs w:val="22"/>
                <w:lang w:val="en-US"/>
              </w:rPr>
            </w:pPr>
            <w:r w:rsidRPr="00D4524C">
              <w:rPr>
                <w:rFonts w:asciiTheme="minorHAnsi" w:hAnsiTheme="minorHAnsi"/>
                <w:b/>
                <w:sz w:val="22"/>
                <w:szCs w:val="22"/>
                <w:lang w:val="en-US"/>
              </w:rPr>
              <w:t xml:space="preserve">Proportion* </w:t>
            </w:r>
          </w:p>
        </w:tc>
        <w:tc>
          <w:tcPr>
            <w:tcW w:w="1832" w:type="dxa"/>
          </w:tcPr>
          <w:p w14:paraId="168E86D8" w14:textId="77777777" w:rsidR="004750AA" w:rsidRPr="00D4524C" w:rsidRDefault="004750AA" w:rsidP="00151D14">
            <w:pPr>
              <w:pStyle w:val="NoSpacing"/>
              <w:spacing w:line="276" w:lineRule="auto"/>
              <w:rPr>
                <w:rFonts w:asciiTheme="minorHAnsi" w:hAnsiTheme="minorHAnsi"/>
                <w:b/>
                <w:sz w:val="22"/>
                <w:szCs w:val="22"/>
                <w:lang w:val="en-US"/>
              </w:rPr>
            </w:pPr>
            <w:r w:rsidRPr="00D4524C">
              <w:rPr>
                <w:rFonts w:asciiTheme="minorHAnsi" w:hAnsiTheme="minorHAnsi"/>
                <w:b/>
                <w:sz w:val="22"/>
                <w:szCs w:val="22"/>
                <w:lang w:val="en-US"/>
              </w:rPr>
              <w:t>Distribution of the CFQ-14 items˜</w:t>
            </w:r>
          </w:p>
        </w:tc>
        <w:tc>
          <w:tcPr>
            <w:tcW w:w="1615" w:type="dxa"/>
          </w:tcPr>
          <w:p w14:paraId="74D7D286" w14:textId="77777777" w:rsidR="004750AA" w:rsidRPr="00D4524C" w:rsidRDefault="004750AA" w:rsidP="00151D14">
            <w:pPr>
              <w:pStyle w:val="NoSpacing"/>
              <w:spacing w:line="276" w:lineRule="auto"/>
              <w:rPr>
                <w:rFonts w:asciiTheme="minorHAnsi" w:hAnsiTheme="minorHAnsi"/>
                <w:b/>
                <w:sz w:val="22"/>
                <w:szCs w:val="22"/>
                <w:lang w:val="en-US"/>
              </w:rPr>
            </w:pPr>
            <w:r w:rsidRPr="00D4524C">
              <w:rPr>
                <w:rFonts w:asciiTheme="minorHAnsi" w:hAnsiTheme="minorHAnsi"/>
                <w:b/>
                <w:sz w:val="22"/>
                <w:szCs w:val="22"/>
                <w:lang w:val="en-US"/>
              </w:rPr>
              <w:t>Proportion</w:t>
            </w:r>
          </w:p>
        </w:tc>
      </w:tr>
      <w:tr w:rsidR="004750AA" w:rsidRPr="00D4524C" w14:paraId="06DAA501" w14:textId="77777777" w:rsidTr="00151D14">
        <w:tc>
          <w:tcPr>
            <w:tcW w:w="2294" w:type="dxa"/>
          </w:tcPr>
          <w:p w14:paraId="1FB480EB" w14:textId="77777777" w:rsidR="004750AA" w:rsidRPr="00D4524C" w:rsidRDefault="004750AA" w:rsidP="00151D14">
            <w:pPr>
              <w:rPr>
                <w:rFonts w:asciiTheme="minorHAnsi" w:hAnsiTheme="minorHAnsi"/>
                <w:lang w:val="en-US"/>
              </w:rPr>
            </w:pPr>
            <w:r w:rsidRPr="00D4524C">
              <w:rPr>
                <w:rFonts w:asciiTheme="minorHAnsi" w:hAnsiTheme="minorHAnsi"/>
                <w:lang w:val="en-US"/>
              </w:rPr>
              <w:t>(1) Memory</w:t>
            </w:r>
          </w:p>
        </w:tc>
        <w:tc>
          <w:tcPr>
            <w:tcW w:w="1832" w:type="dxa"/>
          </w:tcPr>
          <w:p w14:paraId="6AC27D5A" w14:textId="77777777" w:rsidR="004750AA" w:rsidRPr="00D4524C" w:rsidRDefault="004750AA" w:rsidP="00151D14">
            <w:pPr>
              <w:rPr>
                <w:rFonts w:asciiTheme="minorHAnsi" w:hAnsiTheme="minorHAnsi"/>
                <w:lang w:val="en-US"/>
              </w:rPr>
            </w:pPr>
            <w:r w:rsidRPr="00D4524C">
              <w:rPr>
                <w:rFonts w:asciiTheme="minorHAnsi" w:hAnsiTheme="minorHAnsi"/>
                <w:lang w:val="en-US"/>
              </w:rPr>
              <w:t xml:space="preserve">3, </w:t>
            </w:r>
            <w:r w:rsidRPr="00D4524C">
              <w:rPr>
                <w:rFonts w:asciiTheme="minorHAnsi" w:hAnsiTheme="minorHAnsi"/>
                <w:b/>
                <w:i/>
                <w:lang w:val="en-US"/>
              </w:rPr>
              <w:t>6</w:t>
            </w:r>
            <w:r w:rsidRPr="00D4524C">
              <w:rPr>
                <w:rFonts w:asciiTheme="minorHAnsi" w:hAnsiTheme="minorHAnsi"/>
                <w:lang w:val="en-US"/>
              </w:rPr>
              <w:t xml:space="preserve">, </w:t>
            </w:r>
            <w:r w:rsidRPr="00D4524C">
              <w:rPr>
                <w:rFonts w:asciiTheme="minorHAnsi" w:hAnsiTheme="minorHAnsi"/>
                <w:b/>
                <w:i/>
                <w:lang w:val="en-US"/>
              </w:rPr>
              <w:t>12</w:t>
            </w:r>
            <w:r w:rsidRPr="00D4524C">
              <w:rPr>
                <w:rFonts w:asciiTheme="minorHAnsi" w:hAnsiTheme="minorHAnsi"/>
                <w:lang w:val="en-US"/>
              </w:rPr>
              <w:t xml:space="preserve">, 13, </w:t>
            </w:r>
            <w:r w:rsidRPr="00D4524C">
              <w:rPr>
                <w:rFonts w:asciiTheme="minorHAnsi" w:hAnsiTheme="minorHAnsi"/>
                <w:b/>
                <w:i/>
                <w:lang w:val="en-US"/>
              </w:rPr>
              <w:t>16</w:t>
            </w:r>
            <w:r w:rsidRPr="00D4524C">
              <w:rPr>
                <w:rFonts w:asciiTheme="minorHAnsi" w:hAnsiTheme="minorHAnsi"/>
                <w:lang w:val="en-US"/>
              </w:rPr>
              <w:t xml:space="preserve">, </w:t>
            </w:r>
            <w:r w:rsidRPr="00D4524C">
              <w:rPr>
                <w:rFonts w:asciiTheme="minorHAnsi" w:hAnsiTheme="minorHAnsi"/>
                <w:b/>
                <w:i/>
                <w:lang w:val="en-US"/>
              </w:rPr>
              <w:t>17</w:t>
            </w:r>
            <w:r w:rsidRPr="00D4524C">
              <w:rPr>
                <w:rFonts w:asciiTheme="minorHAnsi" w:hAnsiTheme="minorHAnsi"/>
                <w:lang w:val="en-US"/>
              </w:rPr>
              <w:t>, 18, 23</w:t>
            </w:r>
          </w:p>
        </w:tc>
        <w:tc>
          <w:tcPr>
            <w:tcW w:w="1715" w:type="dxa"/>
          </w:tcPr>
          <w:p w14:paraId="424FD890" w14:textId="77777777" w:rsidR="004750AA" w:rsidRPr="00D4524C" w:rsidRDefault="004750AA" w:rsidP="00151D14">
            <w:pPr>
              <w:pStyle w:val="NoSpacing"/>
              <w:spacing w:line="276" w:lineRule="auto"/>
              <w:rPr>
                <w:rFonts w:asciiTheme="minorHAnsi" w:hAnsiTheme="minorHAnsi"/>
                <w:sz w:val="22"/>
                <w:szCs w:val="22"/>
                <w:lang w:val="en-US"/>
              </w:rPr>
            </w:pPr>
            <w:r w:rsidRPr="00D4524C">
              <w:rPr>
                <w:rFonts w:asciiTheme="minorHAnsi" w:hAnsiTheme="minorHAnsi"/>
                <w:sz w:val="22"/>
                <w:szCs w:val="22"/>
                <w:lang w:val="en-US"/>
              </w:rPr>
              <w:t>8/26=31</w:t>
            </w:r>
          </w:p>
        </w:tc>
        <w:tc>
          <w:tcPr>
            <w:tcW w:w="1832" w:type="dxa"/>
          </w:tcPr>
          <w:p w14:paraId="0C33D140" w14:textId="77777777" w:rsidR="004750AA" w:rsidRPr="00D4524C" w:rsidRDefault="004750AA" w:rsidP="00151D14">
            <w:pPr>
              <w:pStyle w:val="NoSpacing"/>
              <w:spacing w:line="276" w:lineRule="auto"/>
              <w:rPr>
                <w:rFonts w:asciiTheme="minorHAnsi" w:hAnsiTheme="minorHAnsi"/>
                <w:b/>
                <w:i/>
                <w:sz w:val="22"/>
                <w:szCs w:val="22"/>
                <w:lang w:val="en-US"/>
              </w:rPr>
            </w:pPr>
            <w:r w:rsidRPr="00D4524C">
              <w:rPr>
                <w:rFonts w:asciiTheme="minorHAnsi" w:hAnsiTheme="minorHAnsi"/>
                <w:b/>
                <w:i/>
                <w:sz w:val="22"/>
                <w:szCs w:val="22"/>
                <w:lang w:val="en-US"/>
              </w:rPr>
              <w:t>6, 12, 16, 17</w:t>
            </w:r>
          </w:p>
        </w:tc>
        <w:tc>
          <w:tcPr>
            <w:tcW w:w="1615" w:type="dxa"/>
          </w:tcPr>
          <w:p w14:paraId="3AEF3BEC" w14:textId="77777777" w:rsidR="004750AA" w:rsidRPr="00D4524C" w:rsidRDefault="004750AA" w:rsidP="00151D14">
            <w:pPr>
              <w:pStyle w:val="NoSpacing"/>
              <w:spacing w:line="276" w:lineRule="auto"/>
              <w:rPr>
                <w:rFonts w:asciiTheme="minorHAnsi" w:hAnsiTheme="minorHAnsi"/>
                <w:sz w:val="22"/>
                <w:szCs w:val="22"/>
                <w:lang w:val="en-US"/>
              </w:rPr>
            </w:pPr>
            <w:r w:rsidRPr="00D4524C">
              <w:rPr>
                <w:rFonts w:asciiTheme="minorHAnsi" w:hAnsiTheme="minorHAnsi"/>
                <w:sz w:val="22"/>
                <w:szCs w:val="22"/>
                <w:lang w:val="en-US"/>
              </w:rPr>
              <w:t>4/14=29</w:t>
            </w:r>
          </w:p>
        </w:tc>
      </w:tr>
      <w:tr w:rsidR="004750AA" w:rsidRPr="00D4524C" w14:paraId="142FF95C" w14:textId="77777777" w:rsidTr="00151D14">
        <w:tc>
          <w:tcPr>
            <w:tcW w:w="2294" w:type="dxa"/>
          </w:tcPr>
          <w:p w14:paraId="0CF8C9CB" w14:textId="77777777" w:rsidR="004750AA" w:rsidRPr="00D4524C" w:rsidRDefault="004750AA" w:rsidP="00151D14">
            <w:pPr>
              <w:pStyle w:val="NoSpacing"/>
              <w:spacing w:line="276" w:lineRule="auto"/>
              <w:rPr>
                <w:rFonts w:asciiTheme="minorHAnsi" w:hAnsiTheme="minorHAnsi"/>
                <w:i/>
                <w:sz w:val="22"/>
                <w:szCs w:val="22"/>
                <w:lang w:val="en-US"/>
              </w:rPr>
            </w:pPr>
            <w:r w:rsidRPr="00D4524C">
              <w:rPr>
                <w:rFonts w:asciiTheme="minorHAnsi" w:hAnsiTheme="minorHAnsi"/>
                <w:sz w:val="22"/>
                <w:szCs w:val="22"/>
                <w:lang w:val="en-US"/>
              </w:rPr>
              <w:t>(2) Distractibility</w:t>
            </w:r>
          </w:p>
        </w:tc>
        <w:tc>
          <w:tcPr>
            <w:tcW w:w="1832" w:type="dxa"/>
          </w:tcPr>
          <w:p w14:paraId="3F622D97" w14:textId="77777777" w:rsidR="004750AA" w:rsidRPr="00D4524C" w:rsidRDefault="004750AA" w:rsidP="00151D14">
            <w:pPr>
              <w:rPr>
                <w:rFonts w:asciiTheme="minorHAnsi" w:hAnsiTheme="minorHAnsi"/>
                <w:i/>
                <w:lang w:val="en-US"/>
              </w:rPr>
            </w:pPr>
            <w:r w:rsidRPr="00D4524C">
              <w:rPr>
                <w:rFonts w:asciiTheme="minorHAnsi" w:hAnsiTheme="minorHAnsi"/>
                <w:lang w:val="en-US"/>
              </w:rPr>
              <w:t xml:space="preserve">1, </w:t>
            </w:r>
            <w:r w:rsidRPr="00D4524C">
              <w:rPr>
                <w:rFonts w:asciiTheme="minorHAnsi" w:hAnsiTheme="minorHAnsi"/>
                <w:b/>
                <w:i/>
                <w:lang w:val="en-US"/>
              </w:rPr>
              <w:t>2</w:t>
            </w:r>
            <w:r w:rsidRPr="00D4524C">
              <w:rPr>
                <w:rFonts w:asciiTheme="minorHAnsi" w:hAnsiTheme="minorHAnsi"/>
                <w:lang w:val="en-US"/>
              </w:rPr>
              <w:t>,</w:t>
            </w:r>
            <w:r w:rsidRPr="00D4524C">
              <w:rPr>
                <w:rFonts w:asciiTheme="minorHAnsi" w:hAnsiTheme="minorHAnsi"/>
                <w:i/>
                <w:lang w:val="en-US"/>
              </w:rPr>
              <w:t xml:space="preserve"> </w:t>
            </w:r>
            <w:r w:rsidRPr="00D4524C">
              <w:rPr>
                <w:rFonts w:asciiTheme="minorHAnsi" w:hAnsiTheme="minorHAnsi"/>
                <w:b/>
                <w:i/>
                <w:lang w:val="en-US"/>
              </w:rPr>
              <w:t>3</w:t>
            </w:r>
            <w:r w:rsidRPr="00D4524C">
              <w:rPr>
                <w:rFonts w:asciiTheme="minorHAnsi" w:hAnsiTheme="minorHAnsi"/>
                <w:lang w:val="en-US"/>
              </w:rPr>
              <w:t xml:space="preserve">, 4, </w:t>
            </w:r>
            <w:r w:rsidRPr="00D4524C">
              <w:rPr>
                <w:rFonts w:asciiTheme="minorHAnsi" w:hAnsiTheme="minorHAnsi"/>
                <w:b/>
                <w:i/>
                <w:lang w:val="en-US"/>
              </w:rPr>
              <w:t>15</w:t>
            </w:r>
            <w:r w:rsidRPr="00D4524C">
              <w:rPr>
                <w:rFonts w:asciiTheme="minorHAnsi" w:hAnsiTheme="minorHAnsi"/>
                <w:lang w:val="en-US"/>
              </w:rPr>
              <w:t xml:space="preserve">, 19, </w:t>
            </w:r>
            <w:r w:rsidRPr="00D4524C">
              <w:rPr>
                <w:rFonts w:asciiTheme="minorHAnsi" w:hAnsiTheme="minorHAnsi"/>
                <w:b/>
                <w:i/>
                <w:lang w:val="en-US"/>
              </w:rPr>
              <w:t>21</w:t>
            </w:r>
            <w:r w:rsidRPr="00D4524C">
              <w:rPr>
                <w:rFonts w:asciiTheme="minorHAnsi" w:hAnsiTheme="minorHAnsi"/>
                <w:lang w:val="en-US"/>
              </w:rPr>
              <w:t xml:space="preserve">, </w:t>
            </w:r>
            <w:r w:rsidRPr="00D4524C">
              <w:rPr>
                <w:rFonts w:asciiTheme="minorHAnsi" w:hAnsiTheme="minorHAnsi"/>
                <w:b/>
                <w:i/>
                <w:lang w:val="en-US"/>
              </w:rPr>
              <w:t>22</w:t>
            </w:r>
            <w:r w:rsidRPr="00D4524C">
              <w:rPr>
                <w:rFonts w:asciiTheme="minorHAnsi" w:hAnsiTheme="minorHAnsi"/>
                <w:lang w:val="en-US"/>
              </w:rPr>
              <w:t>, 25</w:t>
            </w:r>
          </w:p>
        </w:tc>
        <w:tc>
          <w:tcPr>
            <w:tcW w:w="1715" w:type="dxa"/>
          </w:tcPr>
          <w:p w14:paraId="347BC037" w14:textId="77777777" w:rsidR="004750AA" w:rsidRPr="00D4524C" w:rsidRDefault="004750AA" w:rsidP="00151D14">
            <w:pPr>
              <w:pStyle w:val="NoSpacing"/>
              <w:spacing w:line="276" w:lineRule="auto"/>
              <w:rPr>
                <w:rFonts w:asciiTheme="minorHAnsi" w:hAnsiTheme="minorHAnsi"/>
                <w:sz w:val="22"/>
                <w:szCs w:val="22"/>
                <w:lang w:val="en-US"/>
              </w:rPr>
            </w:pPr>
            <w:r w:rsidRPr="00D4524C">
              <w:rPr>
                <w:rFonts w:asciiTheme="minorHAnsi" w:hAnsiTheme="minorHAnsi"/>
                <w:sz w:val="22"/>
                <w:szCs w:val="22"/>
                <w:lang w:val="en-US"/>
              </w:rPr>
              <w:t>9/26=35</w:t>
            </w:r>
          </w:p>
        </w:tc>
        <w:tc>
          <w:tcPr>
            <w:tcW w:w="1832" w:type="dxa"/>
          </w:tcPr>
          <w:p w14:paraId="0A89C6F7" w14:textId="77777777" w:rsidR="004750AA" w:rsidRPr="00D4524C" w:rsidRDefault="004750AA" w:rsidP="00151D14">
            <w:pPr>
              <w:pStyle w:val="NoSpacing"/>
              <w:spacing w:line="276" w:lineRule="auto"/>
              <w:rPr>
                <w:rFonts w:asciiTheme="minorHAnsi" w:hAnsiTheme="minorHAnsi"/>
                <w:b/>
                <w:i/>
                <w:sz w:val="22"/>
                <w:szCs w:val="22"/>
                <w:lang w:val="en-US"/>
              </w:rPr>
            </w:pPr>
            <w:r w:rsidRPr="00D4524C">
              <w:rPr>
                <w:rFonts w:asciiTheme="minorHAnsi" w:hAnsiTheme="minorHAnsi"/>
                <w:b/>
                <w:i/>
                <w:sz w:val="22"/>
                <w:szCs w:val="22"/>
                <w:lang w:val="en-US"/>
              </w:rPr>
              <w:t>2, 3, 15, 21, 22</w:t>
            </w:r>
          </w:p>
        </w:tc>
        <w:tc>
          <w:tcPr>
            <w:tcW w:w="1615" w:type="dxa"/>
          </w:tcPr>
          <w:p w14:paraId="62A2A20F" w14:textId="77777777" w:rsidR="004750AA" w:rsidRPr="00D4524C" w:rsidRDefault="004750AA" w:rsidP="00151D14">
            <w:pPr>
              <w:pStyle w:val="NoSpacing"/>
              <w:spacing w:line="276" w:lineRule="auto"/>
              <w:rPr>
                <w:rFonts w:asciiTheme="minorHAnsi" w:hAnsiTheme="minorHAnsi"/>
                <w:sz w:val="22"/>
                <w:szCs w:val="22"/>
                <w:lang w:val="en-US"/>
              </w:rPr>
            </w:pPr>
            <w:r w:rsidRPr="00D4524C">
              <w:rPr>
                <w:rFonts w:asciiTheme="minorHAnsi" w:hAnsiTheme="minorHAnsi"/>
                <w:sz w:val="22"/>
                <w:szCs w:val="22"/>
                <w:lang w:val="en-US"/>
              </w:rPr>
              <w:t>5/14=36</w:t>
            </w:r>
          </w:p>
        </w:tc>
      </w:tr>
      <w:tr w:rsidR="004750AA" w:rsidRPr="00D4524C" w14:paraId="577720DF" w14:textId="77777777" w:rsidTr="00151D14">
        <w:tc>
          <w:tcPr>
            <w:tcW w:w="2294" w:type="dxa"/>
          </w:tcPr>
          <w:p w14:paraId="0F7E0515" w14:textId="77777777" w:rsidR="004750AA" w:rsidRPr="00D4524C" w:rsidRDefault="004750AA" w:rsidP="00151D14">
            <w:pPr>
              <w:pStyle w:val="NoSpacing"/>
              <w:spacing w:line="276" w:lineRule="auto"/>
              <w:rPr>
                <w:rFonts w:asciiTheme="minorHAnsi" w:hAnsiTheme="minorHAnsi"/>
                <w:i/>
                <w:sz w:val="22"/>
                <w:szCs w:val="22"/>
                <w:lang w:val="en-US"/>
              </w:rPr>
            </w:pPr>
            <w:r w:rsidRPr="00D4524C">
              <w:rPr>
                <w:rFonts w:asciiTheme="minorHAnsi" w:hAnsiTheme="minorHAnsi"/>
                <w:sz w:val="22"/>
                <w:szCs w:val="22"/>
                <w:lang w:val="en-US"/>
              </w:rPr>
              <w:t>(3) Blunders</w:t>
            </w:r>
          </w:p>
        </w:tc>
        <w:tc>
          <w:tcPr>
            <w:tcW w:w="1832" w:type="dxa"/>
          </w:tcPr>
          <w:p w14:paraId="7095B51E" w14:textId="77777777" w:rsidR="004750AA" w:rsidRPr="00D4524C" w:rsidRDefault="004750AA" w:rsidP="00151D14">
            <w:pPr>
              <w:pStyle w:val="NoSpacing"/>
              <w:spacing w:line="276" w:lineRule="auto"/>
              <w:rPr>
                <w:rFonts w:asciiTheme="minorHAnsi" w:hAnsiTheme="minorHAnsi"/>
                <w:i/>
                <w:sz w:val="22"/>
                <w:szCs w:val="22"/>
                <w:lang w:val="en-US"/>
              </w:rPr>
            </w:pPr>
            <w:r w:rsidRPr="00D4524C">
              <w:rPr>
                <w:rFonts w:asciiTheme="minorHAnsi" w:hAnsiTheme="minorHAnsi"/>
                <w:sz w:val="22"/>
                <w:szCs w:val="22"/>
                <w:lang w:val="en-US"/>
              </w:rPr>
              <w:t xml:space="preserve">5, 8, </w:t>
            </w:r>
            <w:r w:rsidRPr="00D4524C">
              <w:rPr>
                <w:rFonts w:asciiTheme="minorHAnsi" w:hAnsiTheme="minorHAnsi"/>
                <w:b/>
                <w:i/>
                <w:sz w:val="22"/>
                <w:szCs w:val="22"/>
                <w:lang w:val="en-US"/>
              </w:rPr>
              <w:t>9</w:t>
            </w:r>
            <w:r w:rsidRPr="00D4524C">
              <w:rPr>
                <w:rFonts w:asciiTheme="minorHAnsi" w:hAnsiTheme="minorHAnsi"/>
                <w:sz w:val="22"/>
                <w:szCs w:val="22"/>
                <w:lang w:val="en-US"/>
              </w:rPr>
              <w:t xml:space="preserve">, </w:t>
            </w:r>
            <w:r w:rsidRPr="00D4524C">
              <w:rPr>
                <w:rFonts w:asciiTheme="minorHAnsi" w:hAnsiTheme="minorHAnsi"/>
                <w:b/>
                <w:i/>
                <w:sz w:val="22"/>
                <w:szCs w:val="22"/>
                <w:lang w:val="en-US"/>
              </w:rPr>
              <w:t>10</w:t>
            </w:r>
            <w:r w:rsidRPr="00D4524C">
              <w:rPr>
                <w:rFonts w:asciiTheme="minorHAnsi" w:hAnsiTheme="minorHAnsi"/>
                <w:sz w:val="22"/>
                <w:szCs w:val="22"/>
                <w:lang w:val="en-US"/>
              </w:rPr>
              <w:t xml:space="preserve">, 11, </w:t>
            </w:r>
            <w:r w:rsidRPr="00D4524C">
              <w:rPr>
                <w:rFonts w:asciiTheme="minorHAnsi" w:hAnsiTheme="minorHAnsi"/>
                <w:b/>
                <w:i/>
                <w:sz w:val="22"/>
                <w:szCs w:val="22"/>
                <w:lang w:val="en-US"/>
              </w:rPr>
              <w:t>14</w:t>
            </w:r>
            <w:r w:rsidRPr="00D4524C">
              <w:rPr>
                <w:rFonts w:asciiTheme="minorHAnsi" w:hAnsiTheme="minorHAnsi"/>
                <w:sz w:val="22"/>
                <w:szCs w:val="22"/>
                <w:lang w:val="en-US"/>
              </w:rPr>
              <w:t xml:space="preserve">, </w:t>
            </w:r>
            <w:r w:rsidRPr="00D4524C">
              <w:rPr>
                <w:rFonts w:asciiTheme="minorHAnsi" w:hAnsiTheme="minorHAnsi"/>
                <w:b/>
                <w:i/>
                <w:sz w:val="22"/>
                <w:szCs w:val="22"/>
                <w:lang w:val="en-US"/>
              </w:rPr>
              <w:t>24</w:t>
            </w:r>
          </w:p>
        </w:tc>
        <w:tc>
          <w:tcPr>
            <w:tcW w:w="1715" w:type="dxa"/>
          </w:tcPr>
          <w:p w14:paraId="3A522C78" w14:textId="77777777" w:rsidR="004750AA" w:rsidRPr="00D4524C" w:rsidRDefault="004750AA" w:rsidP="00151D14">
            <w:pPr>
              <w:pStyle w:val="NoSpacing"/>
              <w:spacing w:line="276" w:lineRule="auto"/>
              <w:rPr>
                <w:rFonts w:asciiTheme="minorHAnsi" w:hAnsiTheme="minorHAnsi"/>
                <w:sz w:val="22"/>
                <w:szCs w:val="22"/>
                <w:lang w:val="en-US"/>
              </w:rPr>
            </w:pPr>
            <w:r w:rsidRPr="00D4524C">
              <w:rPr>
                <w:rFonts w:asciiTheme="minorHAnsi" w:hAnsiTheme="minorHAnsi"/>
                <w:sz w:val="22"/>
                <w:szCs w:val="22"/>
                <w:lang w:val="en-US"/>
              </w:rPr>
              <w:t>7/26=27</w:t>
            </w:r>
          </w:p>
        </w:tc>
        <w:tc>
          <w:tcPr>
            <w:tcW w:w="1832" w:type="dxa"/>
          </w:tcPr>
          <w:p w14:paraId="7D80D912" w14:textId="77777777" w:rsidR="004750AA" w:rsidRPr="00D4524C" w:rsidRDefault="004750AA" w:rsidP="00151D14">
            <w:pPr>
              <w:pStyle w:val="NoSpacing"/>
              <w:spacing w:line="276" w:lineRule="auto"/>
              <w:rPr>
                <w:rFonts w:asciiTheme="minorHAnsi" w:hAnsiTheme="minorHAnsi"/>
                <w:b/>
                <w:i/>
                <w:sz w:val="22"/>
                <w:szCs w:val="22"/>
                <w:lang w:val="en-US"/>
              </w:rPr>
            </w:pPr>
            <w:r w:rsidRPr="00D4524C">
              <w:rPr>
                <w:rFonts w:asciiTheme="minorHAnsi" w:hAnsiTheme="minorHAnsi"/>
                <w:b/>
                <w:i/>
                <w:sz w:val="22"/>
                <w:szCs w:val="22"/>
                <w:lang w:val="en-US"/>
              </w:rPr>
              <w:t>9, 10, 14, 24</w:t>
            </w:r>
          </w:p>
        </w:tc>
        <w:tc>
          <w:tcPr>
            <w:tcW w:w="1615" w:type="dxa"/>
          </w:tcPr>
          <w:p w14:paraId="531493CE" w14:textId="77777777" w:rsidR="004750AA" w:rsidRPr="00D4524C" w:rsidRDefault="004750AA" w:rsidP="00151D14">
            <w:pPr>
              <w:pStyle w:val="NoSpacing"/>
              <w:spacing w:line="276" w:lineRule="auto"/>
              <w:rPr>
                <w:rFonts w:asciiTheme="minorHAnsi" w:hAnsiTheme="minorHAnsi"/>
                <w:sz w:val="22"/>
                <w:szCs w:val="22"/>
                <w:lang w:val="en-US"/>
              </w:rPr>
            </w:pPr>
            <w:r w:rsidRPr="00D4524C">
              <w:rPr>
                <w:rFonts w:asciiTheme="minorHAnsi" w:hAnsiTheme="minorHAnsi"/>
                <w:sz w:val="22"/>
                <w:szCs w:val="22"/>
                <w:lang w:val="en-US"/>
              </w:rPr>
              <w:t>4/14=29</w:t>
            </w:r>
          </w:p>
        </w:tc>
      </w:tr>
      <w:tr w:rsidR="004750AA" w:rsidRPr="00D4524C" w14:paraId="025EB29E" w14:textId="77777777" w:rsidTr="00151D14">
        <w:tc>
          <w:tcPr>
            <w:tcW w:w="2294" w:type="dxa"/>
          </w:tcPr>
          <w:p w14:paraId="1034FF74" w14:textId="77777777" w:rsidR="004750AA" w:rsidRPr="00D4524C" w:rsidRDefault="004750AA" w:rsidP="00151D14">
            <w:pPr>
              <w:pStyle w:val="NoSpacing"/>
              <w:spacing w:line="276" w:lineRule="auto"/>
              <w:rPr>
                <w:rFonts w:asciiTheme="minorHAnsi" w:hAnsiTheme="minorHAnsi"/>
                <w:i/>
                <w:sz w:val="22"/>
                <w:szCs w:val="22"/>
                <w:lang w:val="en-US"/>
              </w:rPr>
            </w:pPr>
            <w:r w:rsidRPr="00D4524C">
              <w:rPr>
                <w:rFonts w:asciiTheme="minorHAnsi" w:hAnsiTheme="minorHAnsi"/>
                <w:sz w:val="22"/>
                <w:szCs w:val="22"/>
                <w:lang w:val="en-US"/>
              </w:rPr>
              <w:t>(4) Names</w:t>
            </w:r>
          </w:p>
        </w:tc>
        <w:tc>
          <w:tcPr>
            <w:tcW w:w="1832" w:type="dxa"/>
          </w:tcPr>
          <w:p w14:paraId="5C38C2F4" w14:textId="77777777" w:rsidR="004750AA" w:rsidRPr="00D4524C" w:rsidRDefault="004750AA" w:rsidP="00151D14">
            <w:pPr>
              <w:pStyle w:val="NoSpacing"/>
              <w:spacing w:line="276" w:lineRule="auto"/>
              <w:rPr>
                <w:rFonts w:asciiTheme="minorHAnsi" w:hAnsiTheme="minorHAnsi"/>
                <w:i/>
                <w:sz w:val="22"/>
                <w:szCs w:val="22"/>
                <w:lang w:val="en-US"/>
              </w:rPr>
            </w:pPr>
            <w:r w:rsidRPr="00D4524C">
              <w:rPr>
                <w:rFonts w:asciiTheme="minorHAnsi" w:hAnsiTheme="minorHAnsi"/>
                <w:b/>
                <w:i/>
                <w:sz w:val="22"/>
                <w:szCs w:val="22"/>
                <w:lang w:val="en-US"/>
              </w:rPr>
              <w:t>7</w:t>
            </w:r>
            <w:r w:rsidRPr="00D4524C">
              <w:rPr>
                <w:rFonts w:asciiTheme="minorHAnsi" w:hAnsiTheme="minorHAnsi"/>
                <w:i/>
                <w:sz w:val="22"/>
                <w:szCs w:val="22"/>
                <w:lang w:val="en-US"/>
              </w:rPr>
              <w:t xml:space="preserve"> </w:t>
            </w:r>
            <w:r w:rsidRPr="00D4524C">
              <w:rPr>
                <w:rFonts w:asciiTheme="minorHAnsi" w:hAnsiTheme="minorHAnsi"/>
                <w:sz w:val="22"/>
                <w:szCs w:val="22"/>
                <w:lang w:val="en-US"/>
              </w:rPr>
              <w:t>en 20</w:t>
            </w:r>
          </w:p>
        </w:tc>
        <w:tc>
          <w:tcPr>
            <w:tcW w:w="1715" w:type="dxa"/>
          </w:tcPr>
          <w:p w14:paraId="089C053A" w14:textId="77777777" w:rsidR="004750AA" w:rsidRPr="00D4524C" w:rsidRDefault="004750AA" w:rsidP="00151D14">
            <w:pPr>
              <w:pStyle w:val="NoSpacing"/>
              <w:spacing w:line="276" w:lineRule="auto"/>
              <w:rPr>
                <w:rFonts w:asciiTheme="minorHAnsi" w:hAnsiTheme="minorHAnsi"/>
                <w:sz w:val="22"/>
                <w:szCs w:val="22"/>
                <w:lang w:val="en-US"/>
              </w:rPr>
            </w:pPr>
            <w:r w:rsidRPr="00D4524C">
              <w:rPr>
                <w:rFonts w:asciiTheme="minorHAnsi" w:hAnsiTheme="minorHAnsi"/>
                <w:sz w:val="22"/>
                <w:szCs w:val="22"/>
                <w:lang w:val="en-US"/>
              </w:rPr>
              <w:t>2/26=8</w:t>
            </w:r>
          </w:p>
        </w:tc>
        <w:tc>
          <w:tcPr>
            <w:tcW w:w="1832" w:type="dxa"/>
          </w:tcPr>
          <w:p w14:paraId="64813BD7" w14:textId="77777777" w:rsidR="004750AA" w:rsidRPr="00D4524C" w:rsidRDefault="004750AA" w:rsidP="00151D14">
            <w:pPr>
              <w:pStyle w:val="NoSpacing"/>
              <w:spacing w:line="276" w:lineRule="auto"/>
              <w:rPr>
                <w:rFonts w:asciiTheme="minorHAnsi" w:hAnsiTheme="minorHAnsi"/>
                <w:b/>
                <w:i/>
                <w:sz w:val="22"/>
                <w:szCs w:val="22"/>
                <w:lang w:val="en-US"/>
              </w:rPr>
            </w:pPr>
            <w:r w:rsidRPr="00D4524C">
              <w:rPr>
                <w:rFonts w:asciiTheme="minorHAnsi" w:hAnsiTheme="minorHAnsi"/>
                <w:b/>
                <w:i/>
                <w:sz w:val="22"/>
                <w:szCs w:val="22"/>
                <w:lang w:val="en-US"/>
              </w:rPr>
              <w:t>7</w:t>
            </w:r>
          </w:p>
        </w:tc>
        <w:tc>
          <w:tcPr>
            <w:tcW w:w="1615" w:type="dxa"/>
          </w:tcPr>
          <w:p w14:paraId="4CE182AB" w14:textId="77777777" w:rsidR="004750AA" w:rsidRPr="00D4524C" w:rsidRDefault="004750AA" w:rsidP="00151D14">
            <w:pPr>
              <w:pStyle w:val="NoSpacing"/>
              <w:spacing w:line="276" w:lineRule="auto"/>
              <w:rPr>
                <w:rFonts w:asciiTheme="minorHAnsi" w:hAnsiTheme="minorHAnsi"/>
                <w:sz w:val="22"/>
                <w:szCs w:val="22"/>
                <w:lang w:val="en-US"/>
              </w:rPr>
            </w:pPr>
            <w:r w:rsidRPr="00D4524C">
              <w:rPr>
                <w:rFonts w:asciiTheme="minorHAnsi" w:hAnsiTheme="minorHAnsi"/>
                <w:sz w:val="22"/>
                <w:szCs w:val="22"/>
                <w:lang w:val="en-US"/>
              </w:rPr>
              <w:t>1/14=7</w:t>
            </w:r>
          </w:p>
        </w:tc>
      </w:tr>
    </w:tbl>
    <w:p w14:paraId="05F6F85F" w14:textId="77777777" w:rsidR="004750AA" w:rsidRPr="00D4524C" w:rsidRDefault="004750AA" w:rsidP="004750AA">
      <w:pPr>
        <w:pStyle w:val="NoSpacing"/>
        <w:rPr>
          <w:sz w:val="18"/>
          <w:szCs w:val="18"/>
          <w:vertAlign w:val="superscript"/>
          <w:lang w:val="en-US"/>
        </w:rPr>
      </w:pPr>
    </w:p>
    <w:p w14:paraId="6EA304FD" w14:textId="77777777" w:rsidR="004750AA" w:rsidRPr="00D4524C" w:rsidRDefault="004750AA" w:rsidP="004750AA">
      <w:pPr>
        <w:pStyle w:val="NoSpacing"/>
        <w:rPr>
          <w:sz w:val="18"/>
          <w:szCs w:val="18"/>
          <w:lang w:val="en-US"/>
        </w:rPr>
      </w:pPr>
      <w:r w:rsidRPr="00D4524C">
        <w:rPr>
          <w:sz w:val="18"/>
          <w:szCs w:val="18"/>
          <w:lang w:val="en-US"/>
        </w:rPr>
        <w:t>˜The items of the 14-item model are displayed in fat italic</w:t>
      </w:r>
    </w:p>
    <w:p w14:paraId="7F0362BF" w14:textId="77777777" w:rsidR="004750AA" w:rsidRPr="00D4524C" w:rsidRDefault="004750AA" w:rsidP="004750AA">
      <w:pPr>
        <w:pStyle w:val="NoSpacing"/>
        <w:rPr>
          <w:rFonts w:asciiTheme="minorHAnsi" w:hAnsiTheme="minorHAnsi"/>
          <w:sz w:val="18"/>
          <w:szCs w:val="18"/>
          <w:lang w:val="en-US"/>
        </w:rPr>
      </w:pPr>
      <w:r w:rsidRPr="00D4524C">
        <w:rPr>
          <w:rFonts w:asciiTheme="minorHAnsi" w:hAnsiTheme="minorHAnsi"/>
          <w:sz w:val="18"/>
          <w:szCs w:val="18"/>
          <w:lang w:val="en-US"/>
        </w:rPr>
        <w:t>*The number of CFQ items is 26, because item 3 is distributed over dimension 1 and 2 (18)</w:t>
      </w:r>
    </w:p>
    <w:p w14:paraId="3FF02C41" w14:textId="77777777" w:rsidR="004750AA" w:rsidRDefault="004750AA" w:rsidP="004750AA">
      <w:pPr>
        <w:pStyle w:val="NoSpacing"/>
        <w:rPr>
          <w:sz w:val="18"/>
          <w:szCs w:val="18"/>
          <w:lang w:val="en-US"/>
        </w:rPr>
      </w:pPr>
      <w:r w:rsidRPr="00D4524C">
        <w:rPr>
          <w:sz w:val="18"/>
          <w:szCs w:val="18"/>
          <w:lang w:val="en-US"/>
        </w:rPr>
        <w:t>The 15-item model would include the items of the 14-item model plus item 18</w:t>
      </w:r>
    </w:p>
    <w:p w14:paraId="7BDE7E9E" w14:textId="77777777" w:rsidR="004750AA" w:rsidRPr="00FD2FDD" w:rsidRDefault="004750AA" w:rsidP="004750AA">
      <w:pPr>
        <w:pStyle w:val="NoSpacing"/>
        <w:rPr>
          <w:rFonts w:asciiTheme="minorHAnsi" w:hAnsiTheme="minorHAnsi"/>
          <w:sz w:val="18"/>
          <w:szCs w:val="18"/>
          <w:lang w:val="en-US"/>
        </w:rPr>
      </w:pPr>
    </w:p>
    <w:p w14:paraId="21AC7EC4" w14:textId="77777777" w:rsidR="00884EF1" w:rsidRDefault="00884EF1">
      <w:pPr>
        <w:spacing w:after="0" w:line="480" w:lineRule="auto"/>
        <w:ind w:firstLine="284"/>
      </w:pPr>
      <w:r>
        <w:br w:type="page"/>
      </w:r>
    </w:p>
    <w:p w14:paraId="7187F958" w14:textId="77777777" w:rsidR="00884EF1" w:rsidRPr="008020A1" w:rsidRDefault="00884EF1" w:rsidP="00884EF1">
      <w:pPr>
        <w:pStyle w:val="NoSpacing"/>
        <w:spacing w:line="480" w:lineRule="auto"/>
        <w:rPr>
          <w:b/>
          <w:lang w:val="en-US"/>
        </w:rPr>
      </w:pPr>
      <w:r w:rsidRPr="008020A1">
        <w:rPr>
          <w:b/>
          <w:lang w:val="en-US"/>
        </w:rPr>
        <w:lastRenderedPageBreak/>
        <w:t xml:space="preserve">Appendix </w:t>
      </w:r>
      <w:r>
        <w:rPr>
          <w:b/>
          <w:lang w:val="en-US"/>
        </w:rPr>
        <w:t>1</w:t>
      </w:r>
      <w:r w:rsidRPr="008020A1">
        <w:rPr>
          <w:b/>
          <w:vertAlign w:val="superscript"/>
          <w:lang w:val="en-US"/>
        </w:rPr>
        <w:t>#</w:t>
      </w:r>
      <w:r w:rsidRPr="008020A1">
        <w:rPr>
          <w:b/>
          <w:lang w:val="en-US"/>
        </w:rPr>
        <w:t>: Cognitive Failures Questionnaire</w:t>
      </w:r>
    </w:p>
    <w:p w14:paraId="0875A480" w14:textId="77777777" w:rsidR="00884EF1" w:rsidRPr="000A50D7" w:rsidRDefault="00884EF1" w:rsidP="00884EF1">
      <w:pPr>
        <w:pStyle w:val="NoSpacing"/>
        <w:numPr>
          <w:ilvl w:val="0"/>
          <w:numId w:val="8"/>
        </w:numPr>
        <w:rPr>
          <w:lang w:val="en-US"/>
        </w:rPr>
      </w:pPr>
      <w:r w:rsidRPr="000A50D7">
        <w:rPr>
          <w:lang w:val="en-US"/>
        </w:rPr>
        <w:t>Do you read something and find you haven't been thinking about it and must read it again?</w:t>
      </w:r>
    </w:p>
    <w:p w14:paraId="24347BF9" w14:textId="77777777" w:rsidR="00884EF1" w:rsidRPr="000A50D7" w:rsidRDefault="00884EF1" w:rsidP="00884EF1">
      <w:pPr>
        <w:pStyle w:val="NoSpacing"/>
        <w:numPr>
          <w:ilvl w:val="0"/>
          <w:numId w:val="8"/>
        </w:numPr>
        <w:rPr>
          <w:i/>
          <w:lang w:val="en-US"/>
        </w:rPr>
      </w:pPr>
      <w:r w:rsidRPr="000A50D7">
        <w:rPr>
          <w:i/>
          <w:lang w:val="en-US"/>
        </w:rPr>
        <w:t>Do you find you forget why you went from one part of the house to the other?</w:t>
      </w:r>
    </w:p>
    <w:p w14:paraId="0C84BF26" w14:textId="77777777" w:rsidR="00884EF1" w:rsidRPr="000A50D7" w:rsidRDefault="00884EF1" w:rsidP="00884EF1">
      <w:pPr>
        <w:pStyle w:val="NoSpacing"/>
        <w:numPr>
          <w:ilvl w:val="0"/>
          <w:numId w:val="8"/>
        </w:numPr>
        <w:rPr>
          <w:i/>
          <w:lang w:val="en-US"/>
        </w:rPr>
      </w:pPr>
      <w:r w:rsidRPr="000A50D7">
        <w:rPr>
          <w:i/>
          <w:lang w:val="en-US"/>
        </w:rPr>
        <w:t>Do you fail to notice signposts on the road?</w:t>
      </w:r>
    </w:p>
    <w:p w14:paraId="5BA5D76A" w14:textId="77777777" w:rsidR="00884EF1" w:rsidRPr="000A50D7" w:rsidRDefault="00884EF1" w:rsidP="00884EF1">
      <w:pPr>
        <w:pStyle w:val="NoSpacing"/>
        <w:numPr>
          <w:ilvl w:val="0"/>
          <w:numId w:val="8"/>
        </w:numPr>
        <w:rPr>
          <w:lang w:val="en-US"/>
        </w:rPr>
      </w:pPr>
      <w:r w:rsidRPr="000A50D7">
        <w:rPr>
          <w:lang w:val="en-US"/>
        </w:rPr>
        <w:t>Do you find you confuse right and left when giving directions?</w:t>
      </w:r>
    </w:p>
    <w:p w14:paraId="0445E9B5" w14:textId="77777777" w:rsidR="00884EF1" w:rsidRPr="000A50D7" w:rsidRDefault="00884EF1" w:rsidP="00884EF1">
      <w:pPr>
        <w:pStyle w:val="NoSpacing"/>
        <w:numPr>
          <w:ilvl w:val="0"/>
          <w:numId w:val="8"/>
        </w:numPr>
        <w:rPr>
          <w:lang w:val="en-US"/>
        </w:rPr>
      </w:pPr>
      <w:r w:rsidRPr="000A50D7">
        <w:rPr>
          <w:lang w:val="en-US"/>
        </w:rPr>
        <w:t>Do you bump into people?</w:t>
      </w:r>
    </w:p>
    <w:p w14:paraId="09238353" w14:textId="77777777" w:rsidR="00884EF1" w:rsidRPr="000A50D7" w:rsidRDefault="00884EF1" w:rsidP="00884EF1">
      <w:pPr>
        <w:pStyle w:val="NoSpacing"/>
        <w:numPr>
          <w:ilvl w:val="0"/>
          <w:numId w:val="8"/>
        </w:numPr>
        <w:rPr>
          <w:i/>
          <w:lang w:val="en-US"/>
        </w:rPr>
      </w:pPr>
      <w:r w:rsidRPr="000A50D7">
        <w:rPr>
          <w:i/>
          <w:lang w:val="en-US"/>
        </w:rPr>
        <w:t>Do you find you forget whether you've turned off a light or a fire or locked the door?</w:t>
      </w:r>
    </w:p>
    <w:p w14:paraId="3271ADF7" w14:textId="77777777" w:rsidR="00884EF1" w:rsidRPr="000A50D7" w:rsidRDefault="00884EF1" w:rsidP="00884EF1">
      <w:pPr>
        <w:pStyle w:val="NoSpacing"/>
        <w:numPr>
          <w:ilvl w:val="0"/>
          <w:numId w:val="8"/>
        </w:numPr>
        <w:rPr>
          <w:i/>
          <w:lang w:val="en-US"/>
        </w:rPr>
      </w:pPr>
      <w:r w:rsidRPr="000A50D7">
        <w:rPr>
          <w:i/>
          <w:lang w:val="en-US"/>
        </w:rPr>
        <w:t>Do you fail to listen to people's names when you are meeting them?</w:t>
      </w:r>
    </w:p>
    <w:p w14:paraId="4E2BBA04" w14:textId="77777777" w:rsidR="00884EF1" w:rsidRPr="000A50D7" w:rsidRDefault="00884EF1" w:rsidP="00884EF1">
      <w:pPr>
        <w:pStyle w:val="NoSpacing"/>
        <w:numPr>
          <w:ilvl w:val="0"/>
          <w:numId w:val="8"/>
        </w:numPr>
        <w:rPr>
          <w:lang w:val="en-US"/>
        </w:rPr>
      </w:pPr>
      <w:r w:rsidRPr="000A50D7">
        <w:rPr>
          <w:lang w:val="en-US"/>
        </w:rPr>
        <w:t>Do you say something and realize afterwards that it might be taken as insulting?</w:t>
      </w:r>
    </w:p>
    <w:p w14:paraId="7E8C0AC2" w14:textId="77777777" w:rsidR="00884EF1" w:rsidRPr="000A50D7" w:rsidRDefault="00884EF1" w:rsidP="00884EF1">
      <w:pPr>
        <w:pStyle w:val="NoSpacing"/>
        <w:numPr>
          <w:ilvl w:val="0"/>
          <w:numId w:val="8"/>
        </w:numPr>
        <w:rPr>
          <w:rFonts w:cs="Courier New"/>
          <w:i/>
          <w:lang w:val="en-US"/>
        </w:rPr>
      </w:pPr>
      <w:r w:rsidRPr="000A50D7">
        <w:rPr>
          <w:i/>
          <w:lang w:val="en-US"/>
        </w:rPr>
        <w:t>Do you fail to hear people speaking to you when you are doing something else?</w:t>
      </w:r>
    </w:p>
    <w:p w14:paraId="5D85B67A" w14:textId="77777777" w:rsidR="00884EF1" w:rsidRPr="000A50D7" w:rsidRDefault="00884EF1" w:rsidP="00884EF1">
      <w:pPr>
        <w:pStyle w:val="NoSpacing"/>
        <w:numPr>
          <w:ilvl w:val="0"/>
          <w:numId w:val="8"/>
        </w:numPr>
        <w:rPr>
          <w:i/>
          <w:lang w:val="en-US"/>
        </w:rPr>
      </w:pPr>
      <w:r w:rsidRPr="000A50D7">
        <w:rPr>
          <w:i/>
          <w:lang w:val="en-US"/>
        </w:rPr>
        <w:t>Do you lose your temper and regret it?</w:t>
      </w:r>
    </w:p>
    <w:p w14:paraId="6DB645DA" w14:textId="77777777" w:rsidR="00884EF1" w:rsidRPr="000A50D7" w:rsidRDefault="00884EF1" w:rsidP="00884EF1">
      <w:pPr>
        <w:pStyle w:val="NoSpacing"/>
        <w:numPr>
          <w:ilvl w:val="0"/>
          <w:numId w:val="8"/>
        </w:numPr>
        <w:rPr>
          <w:lang w:val="en-US"/>
        </w:rPr>
      </w:pPr>
      <w:r w:rsidRPr="000A50D7">
        <w:rPr>
          <w:lang w:val="en-US"/>
        </w:rPr>
        <w:t>Do you leave important letters unanswered for days?</w:t>
      </w:r>
    </w:p>
    <w:p w14:paraId="04A2ACBE" w14:textId="77777777" w:rsidR="00884EF1" w:rsidRPr="000A50D7" w:rsidRDefault="00884EF1" w:rsidP="00884EF1">
      <w:pPr>
        <w:pStyle w:val="NoSpacing"/>
        <w:numPr>
          <w:ilvl w:val="0"/>
          <w:numId w:val="8"/>
        </w:numPr>
        <w:rPr>
          <w:i/>
          <w:lang w:val="en-US"/>
        </w:rPr>
      </w:pPr>
      <w:r w:rsidRPr="000A50D7">
        <w:rPr>
          <w:i/>
          <w:lang w:val="en-US"/>
        </w:rPr>
        <w:t>Do you find you forget which way to turn on a road you know well but rarely use?</w:t>
      </w:r>
    </w:p>
    <w:p w14:paraId="6FC9A1E7" w14:textId="77777777" w:rsidR="00884EF1" w:rsidRPr="000A50D7" w:rsidRDefault="00884EF1" w:rsidP="00884EF1">
      <w:pPr>
        <w:pStyle w:val="NoSpacing"/>
        <w:numPr>
          <w:ilvl w:val="0"/>
          <w:numId w:val="8"/>
        </w:numPr>
        <w:rPr>
          <w:lang w:val="en-US"/>
        </w:rPr>
      </w:pPr>
      <w:r w:rsidRPr="000A50D7">
        <w:rPr>
          <w:lang w:val="en-US"/>
        </w:rPr>
        <w:t>Do you fail to see what you want in a supermarket (although it's there)?</w:t>
      </w:r>
    </w:p>
    <w:p w14:paraId="2555138E" w14:textId="77777777" w:rsidR="00884EF1" w:rsidRPr="000A50D7" w:rsidRDefault="00884EF1" w:rsidP="00884EF1">
      <w:pPr>
        <w:pStyle w:val="NoSpacing"/>
        <w:numPr>
          <w:ilvl w:val="0"/>
          <w:numId w:val="8"/>
        </w:numPr>
        <w:rPr>
          <w:i/>
          <w:lang w:val="en-US"/>
        </w:rPr>
      </w:pPr>
      <w:r w:rsidRPr="000A50D7">
        <w:rPr>
          <w:i/>
          <w:lang w:val="en-US"/>
        </w:rPr>
        <w:t>Do you find yourself suddenly wondering whether you've used a word correctly?</w:t>
      </w:r>
    </w:p>
    <w:p w14:paraId="4BDBF325" w14:textId="77777777" w:rsidR="00884EF1" w:rsidRPr="000A50D7" w:rsidRDefault="00884EF1" w:rsidP="00884EF1">
      <w:pPr>
        <w:pStyle w:val="NoSpacing"/>
        <w:numPr>
          <w:ilvl w:val="0"/>
          <w:numId w:val="8"/>
        </w:numPr>
        <w:rPr>
          <w:i/>
          <w:lang w:val="en-US"/>
        </w:rPr>
      </w:pPr>
      <w:r w:rsidRPr="000A50D7">
        <w:rPr>
          <w:i/>
          <w:lang w:val="en-US"/>
        </w:rPr>
        <w:t>Do you have trouble making up your mind?</w:t>
      </w:r>
    </w:p>
    <w:p w14:paraId="500BB3FF" w14:textId="77777777" w:rsidR="00884EF1" w:rsidRPr="000A50D7" w:rsidRDefault="00884EF1" w:rsidP="00884EF1">
      <w:pPr>
        <w:pStyle w:val="NoSpacing"/>
        <w:numPr>
          <w:ilvl w:val="0"/>
          <w:numId w:val="8"/>
        </w:numPr>
        <w:rPr>
          <w:i/>
          <w:lang w:val="en-US"/>
        </w:rPr>
      </w:pPr>
      <w:r w:rsidRPr="000A50D7">
        <w:rPr>
          <w:i/>
          <w:lang w:val="en-US"/>
        </w:rPr>
        <w:t>Do you find you forget appointments?</w:t>
      </w:r>
    </w:p>
    <w:p w14:paraId="6C052A81" w14:textId="77777777" w:rsidR="00884EF1" w:rsidRPr="000A50D7" w:rsidRDefault="00884EF1" w:rsidP="00884EF1">
      <w:pPr>
        <w:pStyle w:val="NoSpacing"/>
        <w:numPr>
          <w:ilvl w:val="0"/>
          <w:numId w:val="8"/>
        </w:numPr>
        <w:rPr>
          <w:i/>
          <w:lang w:val="en-US"/>
        </w:rPr>
      </w:pPr>
      <w:r w:rsidRPr="000A50D7">
        <w:rPr>
          <w:i/>
          <w:lang w:val="en-US"/>
        </w:rPr>
        <w:t>Do you forget where you put something like a newspaper or a book?</w:t>
      </w:r>
    </w:p>
    <w:p w14:paraId="1D3C9425" w14:textId="77777777" w:rsidR="00884EF1" w:rsidRPr="000A50D7" w:rsidRDefault="00884EF1" w:rsidP="00884EF1">
      <w:pPr>
        <w:pStyle w:val="NoSpacing"/>
        <w:numPr>
          <w:ilvl w:val="0"/>
          <w:numId w:val="8"/>
        </w:numPr>
        <w:rPr>
          <w:lang w:val="en-US"/>
        </w:rPr>
      </w:pPr>
      <w:r w:rsidRPr="000A50D7">
        <w:rPr>
          <w:lang w:val="en-US"/>
        </w:rPr>
        <w:t>Do you find you accidentally throw away the thing you want and keep what you meant to throw away -- as in the example of throwing away the matchbox and putting the used match in your pocket?</w:t>
      </w:r>
    </w:p>
    <w:p w14:paraId="380C1DE4" w14:textId="77777777" w:rsidR="00884EF1" w:rsidRPr="000A50D7" w:rsidRDefault="00884EF1" w:rsidP="00884EF1">
      <w:pPr>
        <w:pStyle w:val="NoSpacing"/>
        <w:numPr>
          <w:ilvl w:val="0"/>
          <w:numId w:val="8"/>
        </w:numPr>
        <w:rPr>
          <w:lang w:val="en-US"/>
        </w:rPr>
      </w:pPr>
      <w:r w:rsidRPr="000A50D7">
        <w:rPr>
          <w:lang w:val="en-US"/>
        </w:rPr>
        <w:t>Do you daydream when you ought to be listening to something?</w:t>
      </w:r>
    </w:p>
    <w:p w14:paraId="43E3947C" w14:textId="77777777" w:rsidR="00884EF1" w:rsidRPr="000A50D7" w:rsidRDefault="00884EF1" w:rsidP="00884EF1">
      <w:pPr>
        <w:pStyle w:val="NoSpacing"/>
        <w:numPr>
          <w:ilvl w:val="0"/>
          <w:numId w:val="8"/>
        </w:numPr>
        <w:rPr>
          <w:lang w:val="en-US"/>
        </w:rPr>
      </w:pPr>
      <w:r w:rsidRPr="000A50D7">
        <w:rPr>
          <w:lang w:val="en-US"/>
        </w:rPr>
        <w:t>Do you find you forget people's names?</w:t>
      </w:r>
    </w:p>
    <w:p w14:paraId="0CC43F07" w14:textId="77777777" w:rsidR="00884EF1" w:rsidRPr="000A50D7" w:rsidRDefault="00884EF1" w:rsidP="00884EF1">
      <w:pPr>
        <w:pStyle w:val="NoSpacing"/>
        <w:numPr>
          <w:ilvl w:val="0"/>
          <w:numId w:val="8"/>
        </w:numPr>
        <w:rPr>
          <w:i/>
          <w:lang w:val="en-US"/>
        </w:rPr>
      </w:pPr>
      <w:r w:rsidRPr="000A50D7">
        <w:rPr>
          <w:i/>
          <w:lang w:val="en-US"/>
        </w:rPr>
        <w:t>Do you start doing one thing at home and get distracted into doing something else (unintentionally)?</w:t>
      </w:r>
    </w:p>
    <w:p w14:paraId="5FB2AB2F" w14:textId="77777777" w:rsidR="00884EF1" w:rsidRPr="000A50D7" w:rsidRDefault="00884EF1" w:rsidP="00884EF1">
      <w:pPr>
        <w:pStyle w:val="NoSpacing"/>
        <w:numPr>
          <w:ilvl w:val="0"/>
          <w:numId w:val="8"/>
        </w:numPr>
        <w:rPr>
          <w:i/>
          <w:lang w:val="en-US"/>
        </w:rPr>
      </w:pPr>
      <w:r w:rsidRPr="000A50D7">
        <w:rPr>
          <w:i/>
          <w:lang w:val="en-US"/>
        </w:rPr>
        <w:t>Do you find you can't quite remember something although it's "on the tip of your tongue"?</w:t>
      </w:r>
    </w:p>
    <w:p w14:paraId="645E1A64" w14:textId="77777777" w:rsidR="00884EF1" w:rsidRPr="000A50D7" w:rsidRDefault="00884EF1" w:rsidP="00884EF1">
      <w:pPr>
        <w:pStyle w:val="NoSpacing"/>
        <w:numPr>
          <w:ilvl w:val="0"/>
          <w:numId w:val="8"/>
        </w:numPr>
        <w:rPr>
          <w:lang w:val="en-US"/>
        </w:rPr>
      </w:pPr>
      <w:r w:rsidRPr="000A50D7">
        <w:rPr>
          <w:lang w:val="en-US"/>
        </w:rPr>
        <w:t>Do you find you forget what you came to the shops to buy?</w:t>
      </w:r>
    </w:p>
    <w:p w14:paraId="092752E3" w14:textId="77777777" w:rsidR="00884EF1" w:rsidRPr="000A50D7" w:rsidRDefault="00884EF1" w:rsidP="00884EF1">
      <w:pPr>
        <w:pStyle w:val="NoSpacing"/>
        <w:numPr>
          <w:ilvl w:val="0"/>
          <w:numId w:val="8"/>
        </w:numPr>
        <w:rPr>
          <w:i/>
          <w:lang w:val="en-US"/>
        </w:rPr>
      </w:pPr>
      <w:r w:rsidRPr="000A50D7">
        <w:rPr>
          <w:i/>
        </w:rPr>
        <w:t xml:space="preserve">Do </w:t>
      </w:r>
      <w:proofErr w:type="spellStart"/>
      <w:r w:rsidRPr="000A50D7">
        <w:rPr>
          <w:i/>
        </w:rPr>
        <w:t>you</w:t>
      </w:r>
      <w:proofErr w:type="spellEnd"/>
      <w:r w:rsidRPr="000A50D7">
        <w:rPr>
          <w:i/>
        </w:rPr>
        <w:t xml:space="preserve"> drop </w:t>
      </w:r>
      <w:proofErr w:type="spellStart"/>
      <w:r w:rsidRPr="000A50D7">
        <w:rPr>
          <w:i/>
        </w:rPr>
        <w:t>things</w:t>
      </w:r>
      <w:proofErr w:type="spellEnd"/>
      <w:r w:rsidRPr="000A50D7">
        <w:rPr>
          <w:i/>
        </w:rPr>
        <w:t>?</w:t>
      </w:r>
    </w:p>
    <w:p w14:paraId="44A378CD" w14:textId="77777777" w:rsidR="00884EF1" w:rsidRPr="000A50D7" w:rsidRDefault="00884EF1" w:rsidP="00884EF1">
      <w:pPr>
        <w:pStyle w:val="NoSpacing"/>
        <w:numPr>
          <w:ilvl w:val="0"/>
          <w:numId w:val="8"/>
        </w:numPr>
        <w:rPr>
          <w:lang w:val="en-US"/>
        </w:rPr>
      </w:pPr>
      <w:r w:rsidRPr="000A50D7">
        <w:rPr>
          <w:lang w:val="en-US"/>
        </w:rPr>
        <w:t>Do you find you can't think of anything to say?</w:t>
      </w:r>
    </w:p>
    <w:p w14:paraId="4E5E1C00" w14:textId="77777777" w:rsidR="00884EF1" w:rsidRPr="000A50D7" w:rsidRDefault="00884EF1" w:rsidP="00884EF1">
      <w:pPr>
        <w:pStyle w:val="NoSpacing"/>
        <w:rPr>
          <w:lang w:val="en-US"/>
        </w:rPr>
      </w:pPr>
    </w:p>
    <w:p w14:paraId="0B650970" w14:textId="77777777" w:rsidR="00884EF1" w:rsidRPr="000A50D7" w:rsidRDefault="00884EF1" w:rsidP="00884EF1">
      <w:pPr>
        <w:pStyle w:val="NoSpacing"/>
        <w:rPr>
          <w:sz w:val="18"/>
          <w:szCs w:val="18"/>
          <w:lang w:val="en-US"/>
        </w:rPr>
      </w:pPr>
      <w:r w:rsidRPr="000A50D7">
        <w:rPr>
          <w:sz w:val="18"/>
          <w:szCs w:val="18"/>
          <w:vertAlign w:val="superscript"/>
          <w:lang w:val="en-US"/>
        </w:rPr>
        <w:t>#</w:t>
      </w:r>
      <w:r w:rsidRPr="000A50D7">
        <w:rPr>
          <w:sz w:val="18"/>
          <w:szCs w:val="18"/>
          <w:lang w:val="en-US"/>
        </w:rPr>
        <w:t>Items included in the 14-item CFQ are displayed in italic</w:t>
      </w:r>
    </w:p>
    <w:p w14:paraId="3E27D492" w14:textId="77777777" w:rsidR="00884EF1" w:rsidRPr="0049701A" w:rsidRDefault="00884EF1" w:rsidP="00884EF1">
      <w:pPr>
        <w:rPr>
          <w:lang w:val="en-US"/>
        </w:rPr>
      </w:pPr>
    </w:p>
    <w:p w14:paraId="1912B870" w14:textId="77777777" w:rsidR="001F55C4" w:rsidRDefault="001F55C4"/>
    <w:sectPr w:rsidR="001F55C4" w:rsidSect="00F254FC">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E0221A" w14:textId="77777777" w:rsidR="00242D31" w:rsidRDefault="00242D31" w:rsidP="0031526B">
      <w:pPr>
        <w:spacing w:after="0" w:line="240" w:lineRule="auto"/>
      </w:pPr>
      <w:r>
        <w:separator/>
      </w:r>
    </w:p>
  </w:endnote>
  <w:endnote w:type="continuationSeparator" w:id="0">
    <w:p w14:paraId="33E48D82" w14:textId="77777777" w:rsidR="00242D31" w:rsidRDefault="00242D31" w:rsidP="00315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KhsmppAdvPTimes">
    <w:charset w:val="00"/>
    <w:family w:val="roman"/>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aarlemmer MT Medium OsF">
    <w:altName w:val="Constantia"/>
    <w:charset w:val="00"/>
    <w:family w:val="roman"/>
    <w:pitch w:val="variable"/>
    <w:sig w:usb0="00000003" w:usb1="00000000" w:usb2="00000000" w:usb3="00000000" w:csb0="00000001" w:csb1="00000000"/>
  </w:font>
  <w:font w:name="Consolas">
    <w:panose1 w:val="020B0609020204030204"/>
    <w:charset w:val="00"/>
    <w:family w:val="swiss"/>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roman"/>
    <w:pitch w:val="variable"/>
    <w:sig w:usb0="00000003" w:usb1="00000000" w:usb2="00000000" w:usb3="00000000" w:csb0="00000001" w:csb1="00000000"/>
  </w:font>
  <w:font w:name="Arial Unicode MS">
    <w:panose1 w:val="020B0604020202020204"/>
    <w:charset w:val="00"/>
    <w:family w:val="swiss"/>
    <w:pitch w:val="variable"/>
    <w:sig w:usb0="F7FFAFFF" w:usb1="E9DFFFFF" w:usb2="0000003F" w:usb3="00000000" w:csb0="003F01FF" w:csb1="00000000"/>
  </w:font>
  <w:font w:name="Clearface-Regular">
    <w:panose1 w:val="00000000000000000000"/>
    <w:charset w:val="00"/>
    <w:family w:val="roman"/>
    <w:notTrueType/>
    <w:pitch w:val="default"/>
    <w:sig w:usb0="00000003" w:usb1="00000000" w:usb2="00000000" w:usb3="00000000" w:csb0="00000001" w:csb1="00000000"/>
  </w:font>
  <w:font w:name="PhotinaMT">
    <w:charset w:val="00"/>
    <w:family w:val="roman"/>
    <w:pitch w:val="default"/>
    <w:sig w:usb0="00000003" w:usb1="00000000" w:usb2="00000000" w:usb3="00000000" w:csb0="00000001" w:csb1="00000000"/>
  </w:font>
  <w:font w:name="CdyrfrWarnockPro-Regular">
    <w:panose1 w:val="00000000000000000000"/>
    <w:charset w:val="00"/>
    <w:family w:val="roman"/>
    <w:notTrueType/>
    <w:pitch w:val="default"/>
    <w:sig w:usb0="00000003" w:usb1="00000000" w:usb2="00000000" w:usb3="00000000" w:csb0="00000001" w:csb1="00000000"/>
  </w:font>
  <w:font w:name="Times-Roman">
    <w:charset w:val="00"/>
    <w:family w:val="auto"/>
    <w:pitch w:val="variable"/>
    <w:sig w:usb0="00000003" w:usb1="00000000" w:usb2="00000000" w:usb3="00000000" w:csb0="00000001" w:csb1="00000000"/>
  </w:font>
  <w:font w:name="Universal-GreekwithMathPi">
    <w:charset w:val="00"/>
    <w:family w:val="auto"/>
    <w:pitch w:val="default"/>
    <w:sig w:usb0="00000003" w:usb1="00000000" w:usb2="00000000" w:usb3="00000000" w:csb0="00000001" w:csb1="00000000"/>
  </w:font>
  <w:font w:name="AdvOTd434b442">
    <w:panose1 w:val="00000000000000000000"/>
    <w:charset w:val="00"/>
    <w:family w:val="roman"/>
    <w:notTrueType/>
    <w:pitch w:val="default"/>
    <w:sig w:usb0="00000003" w:usb1="00000000" w:usb2="00000000" w:usb3="00000000" w:csb0="00000001" w:csb1="00000000"/>
  </w:font>
  <w:font w:name="AdvPSSAB-R">
    <w:panose1 w:val="00000000000000000000"/>
    <w:charset w:val="00"/>
    <w:family w:val="roman"/>
    <w:notTrueType/>
    <w:pitch w:val="default"/>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207FD" w14:textId="77777777" w:rsidR="00281869" w:rsidRDefault="00CE45A9">
    <w:pPr>
      <w:pStyle w:val="Footer"/>
      <w:jc w:val="right"/>
    </w:pPr>
    <w:r>
      <w:fldChar w:fldCharType="begin"/>
    </w:r>
    <w:r w:rsidR="006F627E">
      <w:instrText xml:space="preserve"> PAGE   \* MERGEFORMAT </w:instrText>
    </w:r>
    <w:r>
      <w:fldChar w:fldCharType="separate"/>
    </w:r>
    <w:r w:rsidR="00A43779">
      <w:rPr>
        <w:noProof/>
      </w:rPr>
      <w:t>7</w:t>
    </w:r>
    <w:r>
      <w:fldChar w:fldCharType="end"/>
    </w:r>
  </w:p>
  <w:p w14:paraId="62093379" w14:textId="77777777" w:rsidR="00281869" w:rsidRDefault="00242D3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3A955A" w14:textId="77777777" w:rsidR="00242D31" w:rsidRDefault="00242D31" w:rsidP="0031526B">
      <w:pPr>
        <w:spacing w:after="0" w:line="240" w:lineRule="auto"/>
      </w:pPr>
      <w:r>
        <w:separator/>
      </w:r>
    </w:p>
  </w:footnote>
  <w:footnote w:type="continuationSeparator" w:id="0">
    <w:p w14:paraId="217E038F" w14:textId="77777777" w:rsidR="00242D31" w:rsidRDefault="00242D31" w:rsidP="0031526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FDBA1" w14:textId="77777777" w:rsidR="00281869" w:rsidRPr="00E755EA" w:rsidRDefault="006F627E" w:rsidP="00472CF4">
    <w:pPr>
      <w:pStyle w:val="NoSpacing"/>
      <w:rPr>
        <w:sz w:val="18"/>
        <w:lang w:val="en-US"/>
      </w:rPr>
    </w:pPr>
    <w:r w:rsidRPr="00472CF4">
      <w:rPr>
        <w:sz w:val="18"/>
        <w:szCs w:val="18"/>
        <w:lang w:val="en-US"/>
      </w:rPr>
      <w:t>Development and validation of an abbreviated questionnaire to easily measure cognitive failure in Intensive Care Unit survivors: a multicenter study</w:t>
    </w:r>
  </w:p>
  <w:p w14:paraId="31796F2E" w14:textId="77777777" w:rsidR="00281869" w:rsidRPr="00C9057E" w:rsidRDefault="00242D31" w:rsidP="003F48C2">
    <w:pPr>
      <w:pStyle w:val="Header"/>
      <w:rPr>
        <w:lang w:val="en-US"/>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0590A"/>
    <w:multiLevelType w:val="multilevel"/>
    <w:tmpl w:val="59B4C3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952588"/>
    <w:multiLevelType w:val="hybridMultilevel"/>
    <w:tmpl w:val="1E420C88"/>
    <w:lvl w:ilvl="0" w:tplc="9EFCD9A4">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0C444205"/>
    <w:multiLevelType w:val="multilevel"/>
    <w:tmpl w:val="F90A9C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B71C22"/>
    <w:multiLevelType w:val="hybridMultilevel"/>
    <w:tmpl w:val="30B61CE8"/>
    <w:lvl w:ilvl="0" w:tplc="94BC8A6E">
      <w:numFmt w:val="bullet"/>
      <w:lvlText w:val="-"/>
      <w:lvlJc w:val="left"/>
      <w:pPr>
        <w:ind w:left="360" w:hanging="360"/>
      </w:pPr>
      <w:rPr>
        <w:rFonts w:ascii="Calibri" w:eastAsia="Calibri" w:hAnsi="Calibri"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241B4987"/>
    <w:multiLevelType w:val="hybridMultilevel"/>
    <w:tmpl w:val="2618CB7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263337DC"/>
    <w:multiLevelType w:val="hybridMultilevel"/>
    <w:tmpl w:val="CCA6B800"/>
    <w:lvl w:ilvl="0" w:tplc="0E0C1E24">
      <w:numFmt w:val="bullet"/>
      <w:lvlText w:val=""/>
      <w:lvlJc w:val="left"/>
      <w:pPr>
        <w:ind w:left="1065" w:hanging="360"/>
      </w:pPr>
      <w:rPr>
        <w:rFonts w:ascii="Symbol" w:eastAsia="Calibri" w:hAnsi="Symbol" w:cs="Times New Roman" w:hint="default"/>
      </w:rPr>
    </w:lvl>
    <w:lvl w:ilvl="1" w:tplc="04130003">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6">
    <w:nsid w:val="3114142D"/>
    <w:multiLevelType w:val="hybridMultilevel"/>
    <w:tmpl w:val="EC1A4E6C"/>
    <w:lvl w:ilvl="0" w:tplc="CA7A36A6">
      <w:numFmt w:val="bullet"/>
      <w:lvlText w:val=""/>
      <w:lvlJc w:val="left"/>
      <w:pPr>
        <w:ind w:left="720" w:hanging="360"/>
      </w:pPr>
      <w:rPr>
        <w:rFonts w:ascii="Wingdings" w:eastAsia="Times New Roman" w:hAnsi="Wingdings" w:cs="KhsmppAdvPTime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3BEC7ABE"/>
    <w:multiLevelType w:val="multilevel"/>
    <w:tmpl w:val="5F74557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440"/>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nsid w:val="45895576"/>
    <w:multiLevelType w:val="hybridMultilevel"/>
    <w:tmpl w:val="D220AF8E"/>
    <w:lvl w:ilvl="0" w:tplc="839A2E80">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4E596AFD"/>
    <w:multiLevelType w:val="hybridMultilevel"/>
    <w:tmpl w:val="61F68BE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nsid w:val="5B342FF5"/>
    <w:multiLevelType w:val="hybridMultilevel"/>
    <w:tmpl w:val="F518476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65110DD7"/>
    <w:multiLevelType w:val="hybridMultilevel"/>
    <w:tmpl w:val="3ACAB2FC"/>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
    <w:nsid w:val="65680E61"/>
    <w:multiLevelType w:val="multilevel"/>
    <w:tmpl w:val="7FB23E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69F3813"/>
    <w:multiLevelType w:val="multilevel"/>
    <w:tmpl w:val="BBC85F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16B7758"/>
    <w:multiLevelType w:val="hybridMultilevel"/>
    <w:tmpl w:val="69C62A38"/>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4"/>
  </w:num>
  <w:num w:numId="2">
    <w:abstractNumId w:val="8"/>
  </w:num>
  <w:num w:numId="3">
    <w:abstractNumId w:val="1"/>
  </w:num>
  <w:num w:numId="4">
    <w:abstractNumId w:val="7"/>
  </w:num>
  <w:num w:numId="5">
    <w:abstractNumId w:val="10"/>
  </w:num>
  <w:num w:numId="6">
    <w:abstractNumId w:val="5"/>
  </w:num>
  <w:num w:numId="7">
    <w:abstractNumId w:val="4"/>
  </w:num>
  <w:num w:numId="8">
    <w:abstractNumId w:val="9"/>
  </w:num>
  <w:num w:numId="9">
    <w:abstractNumId w:val="12"/>
  </w:num>
  <w:num w:numId="10">
    <w:abstractNumId w:val="13"/>
  </w:num>
  <w:num w:numId="11">
    <w:abstractNumId w:val="2"/>
  </w:num>
  <w:num w:numId="12">
    <w:abstractNumId w:val="0"/>
  </w:num>
  <w:num w:numId="13">
    <w:abstractNumId w:val="3"/>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D90265"/>
    <w:rsid w:val="001F55C4"/>
    <w:rsid w:val="00242D31"/>
    <w:rsid w:val="00295FE8"/>
    <w:rsid w:val="0031526B"/>
    <w:rsid w:val="003160BD"/>
    <w:rsid w:val="003C6898"/>
    <w:rsid w:val="00450BDE"/>
    <w:rsid w:val="004750AA"/>
    <w:rsid w:val="004E27FD"/>
    <w:rsid w:val="006F627E"/>
    <w:rsid w:val="00884EF1"/>
    <w:rsid w:val="008F1303"/>
    <w:rsid w:val="009A7CE9"/>
    <w:rsid w:val="00A43779"/>
    <w:rsid w:val="00AB37E0"/>
    <w:rsid w:val="00CE45A9"/>
    <w:rsid w:val="00CF58F7"/>
    <w:rsid w:val="00D90265"/>
    <w:rsid w:val="00E97F48"/>
    <w:rsid w:val="00FE12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A9F2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line="480" w:lineRule="auto"/>
        <w:ind w:firstLine="284"/>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90265"/>
    <w:pPr>
      <w:spacing w:after="200" w:line="276" w:lineRule="auto"/>
      <w:ind w:firstLine="0"/>
    </w:pPr>
    <w:rPr>
      <w:rFonts w:ascii="Calibri" w:eastAsia="Calibri" w:hAnsi="Calibri" w:cs="Times New Roman"/>
    </w:rPr>
  </w:style>
  <w:style w:type="paragraph" w:styleId="Heading1">
    <w:name w:val="heading 1"/>
    <w:basedOn w:val="Normal"/>
    <w:next w:val="Normal"/>
    <w:link w:val="Heading1Char"/>
    <w:qFormat/>
    <w:rsid w:val="00D90265"/>
    <w:pPr>
      <w:keepNext/>
      <w:numPr>
        <w:numId w:val="4"/>
      </w:numPr>
      <w:spacing w:before="240" w:after="240" w:line="320" w:lineRule="exact"/>
      <w:outlineLvl w:val="0"/>
    </w:pPr>
    <w:rPr>
      <w:rFonts w:ascii="Arial" w:eastAsia="Times New Roman" w:hAnsi="Arial"/>
      <w:b/>
      <w:kern w:val="28"/>
      <w:sz w:val="28"/>
      <w:szCs w:val="20"/>
      <w:lang w:eastAsia="nl-NL"/>
    </w:rPr>
  </w:style>
  <w:style w:type="paragraph" w:styleId="Heading2">
    <w:name w:val="heading 2"/>
    <w:basedOn w:val="Normal"/>
    <w:next w:val="Normal"/>
    <w:link w:val="Heading2Char"/>
    <w:qFormat/>
    <w:rsid w:val="00D90265"/>
    <w:pPr>
      <w:keepNext/>
      <w:numPr>
        <w:ilvl w:val="1"/>
        <w:numId w:val="4"/>
      </w:numPr>
      <w:spacing w:before="240" w:after="60" w:line="320" w:lineRule="exact"/>
      <w:outlineLvl w:val="1"/>
    </w:pPr>
    <w:rPr>
      <w:rFonts w:ascii="Arial" w:eastAsia="Times New Roman" w:hAnsi="Arial"/>
      <w:sz w:val="26"/>
      <w:szCs w:val="20"/>
      <w:lang w:eastAsia="nl-NL"/>
    </w:rPr>
  </w:style>
  <w:style w:type="paragraph" w:styleId="Heading3">
    <w:name w:val="heading 3"/>
    <w:basedOn w:val="Normal"/>
    <w:next w:val="Normal"/>
    <w:link w:val="Heading3Char"/>
    <w:qFormat/>
    <w:rsid w:val="00D90265"/>
    <w:pPr>
      <w:keepNext/>
      <w:numPr>
        <w:ilvl w:val="2"/>
        <w:numId w:val="4"/>
      </w:numPr>
      <w:spacing w:before="240" w:after="60" w:line="320" w:lineRule="exact"/>
      <w:outlineLvl w:val="2"/>
    </w:pPr>
    <w:rPr>
      <w:rFonts w:ascii="Arial" w:eastAsia="Times New Roman" w:hAnsi="Arial"/>
      <w:sz w:val="24"/>
      <w:szCs w:val="20"/>
      <w:lang w:eastAsia="nl-NL"/>
    </w:rPr>
  </w:style>
  <w:style w:type="paragraph" w:styleId="Heading4">
    <w:name w:val="heading 4"/>
    <w:basedOn w:val="Normal"/>
    <w:next w:val="Normal"/>
    <w:link w:val="Heading4Char"/>
    <w:qFormat/>
    <w:rsid w:val="00D90265"/>
    <w:pPr>
      <w:keepNext/>
      <w:numPr>
        <w:ilvl w:val="3"/>
        <w:numId w:val="4"/>
      </w:numPr>
      <w:spacing w:before="240" w:after="60" w:line="320" w:lineRule="exact"/>
      <w:outlineLvl w:val="3"/>
    </w:pPr>
    <w:rPr>
      <w:rFonts w:ascii="Arial" w:eastAsia="Times New Roman" w:hAnsi="Arial"/>
      <w:sz w:val="24"/>
      <w:szCs w:val="20"/>
      <w:lang w:eastAsia="nl-NL"/>
    </w:rPr>
  </w:style>
  <w:style w:type="paragraph" w:styleId="Heading5">
    <w:name w:val="heading 5"/>
    <w:basedOn w:val="Normal"/>
    <w:next w:val="Normal"/>
    <w:link w:val="Heading5Char"/>
    <w:qFormat/>
    <w:rsid w:val="00D90265"/>
    <w:pPr>
      <w:numPr>
        <w:ilvl w:val="4"/>
        <w:numId w:val="4"/>
      </w:numPr>
      <w:spacing w:before="240" w:after="60" w:line="320" w:lineRule="exact"/>
      <w:outlineLvl w:val="4"/>
    </w:pPr>
    <w:rPr>
      <w:rFonts w:ascii="Arial" w:eastAsia="Times New Roman" w:hAnsi="Arial"/>
      <w:kern w:val="28"/>
      <w:sz w:val="20"/>
      <w:szCs w:val="20"/>
      <w:lang w:eastAsia="nl-NL"/>
    </w:rPr>
  </w:style>
  <w:style w:type="paragraph" w:styleId="Heading6">
    <w:name w:val="heading 6"/>
    <w:basedOn w:val="Normal"/>
    <w:next w:val="Normal"/>
    <w:link w:val="Heading6Char"/>
    <w:qFormat/>
    <w:rsid w:val="00D90265"/>
    <w:pPr>
      <w:numPr>
        <w:ilvl w:val="5"/>
        <w:numId w:val="4"/>
      </w:numPr>
      <w:spacing w:before="240" w:after="60" w:line="320" w:lineRule="exact"/>
      <w:outlineLvl w:val="5"/>
    </w:pPr>
    <w:rPr>
      <w:rFonts w:ascii="Arial" w:eastAsia="Times New Roman" w:hAnsi="Arial"/>
      <w:i/>
      <w:kern w:val="28"/>
      <w:sz w:val="20"/>
      <w:szCs w:val="20"/>
      <w:lang w:eastAsia="nl-NL"/>
    </w:rPr>
  </w:style>
  <w:style w:type="paragraph" w:styleId="Heading7">
    <w:name w:val="heading 7"/>
    <w:basedOn w:val="Normal"/>
    <w:next w:val="Normal"/>
    <w:link w:val="Heading7Char"/>
    <w:qFormat/>
    <w:rsid w:val="00D90265"/>
    <w:pPr>
      <w:numPr>
        <w:ilvl w:val="6"/>
        <w:numId w:val="4"/>
      </w:numPr>
      <w:spacing w:before="240" w:after="60" w:line="320" w:lineRule="exact"/>
      <w:outlineLvl w:val="6"/>
    </w:pPr>
    <w:rPr>
      <w:rFonts w:ascii="Arial" w:eastAsia="Times New Roman" w:hAnsi="Arial"/>
      <w:kern w:val="28"/>
      <w:sz w:val="20"/>
      <w:szCs w:val="20"/>
      <w:lang w:eastAsia="nl-NL"/>
    </w:rPr>
  </w:style>
  <w:style w:type="paragraph" w:styleId="Heading8">
    <w:name w:val="heading 8"/>
    <w:basedOn w:val="Normal"/>
    <w:next w:val="Normal"/>
    <w:link w:val="Heading8Char"/>
    <w:qFormat/>
    <w:rsid w:val="00D90265"/>
    <w:pPr>
      <w:numPr>
        <w:ilvl w:val="7"/>
        <w:numId w:val="4"/>
      </w:numPr>
      <w:spacing w:before="240" w:after="60" w:line="320" w:lineRule="exact"/>
      <w:outlineLvl w:val="7"/>
    </w:pPr>
    <w:rPr>
      <w:rFonts w:ascii="Arial" w:eastAsia="Times New Roman" w:hAnsi="Arial"/>
      <w:i/>
      <w:kern w:val="28"/>
      <w:sz w:val="20"/>
      <w:szCs w:val="20"/>
      <w:lang w:eastAsia="nl-NL"/>
    </w:rPr>
  </w:style>
  <w:style w:type="paragraph" w:styleId="Heading9">
    <w:name w:val="heading 9"/>
    <w:basedOn w:val="Normal"/>
    <w:next w:val="Normal"/>
    <w:link w:val="Heading9Char"/>
    <w:qFormat/>
    <w:rsid w:val="00D90265"/>
    <w:pPr>
      <w:numPr>
        <w:ilvl w:val="8"/>
        <w:numId w:val="4"/>
      </w:numPr>
      <w:spacing w:before="240" w:after="60" w:line="320" w:lineRule="exact"/>
      <w:outlineLvl w:val="8"/>
    </w:pPr>
    <w:rPr>
      <w:rFonts w:ascii="Arial" w:eastAsia="Times New Roman" w:hAnsi="Arial"/>
      <w:i/>
      <w:kern w:val="28"/>
      <w:sz w:val="18"/>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90265"/>
    <w:rPr>
      <w:rFonts w:ascii="Arial" w:eastAsia="Times New Roman" w:hAnsi="Arial" w:cs="Times New Roman"/>
      <w:b/>
      <w:kern w:val="28"/>
      <w:sz w:val="28"/>
      <w:szCs w:val="20"/>
      <w:lang w:eastAsia="nl-NL"/>
    </w:rPr>
  </w:style>
  <w:style w:type="character" w:customStyle="1" w:styleId="Heading2Char">
    <w:name w:val="Heading 2 Char"/>
    <w:link w:val="Heading2"/>
    <w:rsid w:val="00D90265"/>
    <w:rPr>
      <w:rFonts w:ascii="Arial" w:eastAsia="Times New Roman" w:hAnsi="Arial" w:cs="Times New Roman"/>
      <w:sz w:val="26"/>
      <w:szCs w:val="20"/>
      <w:lang w:eastAsia="nl-NL"/>
    </w:rPr>
  </w:style>
  <w:style w:type="character" w:customStyle="1" w:styleId="Heading3Char">
    <w:name w:val="Heading 3 Char"/>
    <w:link w:val="Heading3"/>
    <w:rsid w:val="00D90265"/>
    <w:rPr>
      <w:rFonts w:ascii="Arial" w:eastAsia="Times New Roman" w:hAnsi="Arial" w:cs="Times New Roman"/>
      <w:sz w:val="24"/>
      <w:szCs w:val="20"/>
      <w:lang w:eastAsia="nl-NL"/>
    </w:rPr>
  </w:style>
  <w:style w:type="character" w:customStyle="1" w:styleId="Heading4Char">
    <w:name w:val="Heading 4 Char"/>
    <w:link w:val="Heading4"/>
    <w:rsid w:val="00D90265"/>
    <w:rPr>
      <w:rFonts w:ascii="Arial" w:eastAsia="Times New Roman" w:hAnsi="Arial" w:cs="Times New Roman"/>
      <w:sz w:val="24"/>
      <w:szCs w:val="20"/>
      <w:lang w:eastAsia="nl-NL"/>
    </w:rPr>
  </w:style>
  <w:style w:type="character" w:customStyle="1" w:styleId="Heading5Char">
    <w:name w:val="Heading 5 Char"/>
    <w:link w:val="Heading5"/>
    <w:rsid w:val="00D90265"/>
    <w:rPr>
      <w:rFonts w:ascii="Arial" w:eastAsia="Times New Roman" w:hAnsi="Arial" w:cs="Times New Roman"/>
      <w:kern w:val="28"/>
      <w:sz w:val="20"/>
      <w:szCs w:val="20"/>
      <w:lang w:eastAsia="nl-NL"/>
    </w:rPr>
  </w:style>
  <w:style w:type="character" w:customStyle="1" w:styleId="Heading6Char">
    <w:name w:val="Heading 6 Char"/>
    <w:link w:val="Heading6"/>
    <w:rsid w:val="00D90265"/>
    <w:rPr>
      <w:rFonts w:ascii="Arial" w:eastAsia="Times New Roman" w:hAnsi="Arial" w:cs="Times New Roman"/>
      <w:i/>
      <w:kern w:val="28"/>
      <w:sz w:val="20"/>
      <w:szCs w:val="20"/>
      <w:lang w:eastAsia="nl-NL"/>
    </w:rPr>
  </w:style>
  <w:style w:type="character" w:customStyle="1" w:styleId="Heading7Char">
    <w:name w:val="Heading 7 Char"/>
    <w:link w:val="Heading7"/>
    <w:rsid w:val="00D90265"/>
    <w:rPr>
      <w:rFonts w:ascii="Arial" w:eastAsia="Times New Roman" w:hAnsi="Arial" w:cs="Times New Roman"/>
      <w:kern w:val="28"/>
      <w:sz w:val="20"/>
      <w:szCs w:val="20"/>
      <w:lang w:eastAsia="nl-NL"/>
    </w:rPr>
  </w:style>
  <w:style w:type="character" w:customStyle="1" w:styleId="Heading8Char">
    <w:name w:val="Heading 8 Char"/>
    <w:link w:val="Heading8"/>
    <w:rsid w:val="00D90265"/>
    <w:rPr>
      <w:rFonts w:ascii="Arial" w:eastAsia="Times New Roman" w:hAnsi="Arial" w:cs="Times New Roman"/>
      <w:i/>
      <w:kern w:val="28"/>
      <w:sz w:val="20"/>
      <w:szCs w:val="20"/>
      <w:lang w:eastAsia="nl-NL"/>
    </w:rPr>
  </w:style>
  <w:style w:type="character" w:customStyle="1" w:styleId="Heading9Char">
    <w:name w:val="Heading 9 Char"/>
    <w:link w:val="Heading9"/>
    <w:rsid w:val="00D90265"/>
    <w:rPr>
      <w:rFonts w:ascii="Arial" w:eastAsia="Times New Roman" w:hAnsi="Arial" w:cs="Times New Roman"/>
      <w:i/>
      <w:kern w:val="28"/>
      <w:sz w:val="18"/>
      <w:szCs w:val="20"/>
      <w:lang w:eastAsia="nl-NL"/>
    </w:rPr>
  </w:style>
  <w:style w:type="paragraph" w:styleId="Header">
    <w:name w:val="header"/>
    <w:basedOn w:val="Normal"/>
    <w:link w:val="HeaderChar"/>
    <w:uiPriority w:val="99"/>
    <w:unhideWhenUsed/>
    <w:rsid w:val="00D90265"/>
    <w:pPr>
      <w:tabs>
        <w:tab w:val="center" w:pos="4536"/>
        <w:tab w:val="right" w:pos="9072"/>
      </w:tabs>
      <w:spacing w:after="0" w:line="240" w:lineRule="auto"/>
    </w:pPr>
  </w:style>
  <w:style w:type="character" w:customStyle="1" w:styleId="HeaderChar">
    <w:name w:val="Header Char"/>
    <w:basedOn w:val="DefaultParagraphFont"/>
    <w:link w:val="Header"/>
    <w:uiPriority w:val="99"/>
    <w:rsid w:val="00D90265"/>
    <w:rPr>
      <w:rFonts w:ascii="Calibri" w:eastAsia="Calibri" w:hAnsi="Calibri" w:cs="Times New Roman"/>
    </w:rPr>
  </w:style>
  <w:style w:type="paragraph" w:styleId="Footer">
    <w:name w:val="footer"/>
    <w:basedOn w:val="Normal"/>
    <w:link w:val="FooterChar"/>
    <w:uiPriority w:val="99"/>
    <w:unhideWhenUsed/>
    <w:rsid w:val="00D90265"/>
    <w:pPr>
      <w:tabs>
        <w:tab w:val="center" w:pos="4536"/>
        <w:tab w:val="right" w:pos="9072"/>
      </w:tabs>
      <w:spacing w:after="0" w:line="240" w:lineRule="auto"/>
    </w:pPr>
  </w:style>
  <w:style w:type="character" w:customStyle="1" w:styleId="FooterChar">
    <w:name w:val="Footer Char"/>
    <w:basedOn w:val="DefaultParagraphFont"/>
    <w:link w:val="Footer"/>
    <w:uiPriority w:val="99"/>
    <w:rsid w:val="00D90265"/>
    <w:rPr>
      <w:rFonts w:ascii="Calibri" w:eastAsia="Calibri" w:hAnsi="Calibri" w:cs="Times New Roman"/>
    </w:rPr>
  </w:style>
  <w:style w:type="paragraph" w:styleId="ListParagraph">
    <w:name w:val="List Paragraph"/>
    <w:basedOn w:val="Normal"/>
    <w:uiPriority w:val="34"/>
    <w:qFormat/>
    <w:rsid w:val="00D90265"/>
    <w:pPr>
      <w:ind w:left="720"/>
      <w:contextualSpacing/>
    </w:pPr>
  </w:style>
  <w:style w:type="paragraph" w:styleId="NoSpacing">
    <w:name w:val="No Spacing"/>
    <w:link w:val="NoSpacingChar"/>
    <w:qFormat/>
    <w:rsid w:val="00D90265"/>
    <w:pPr>
      <w:spacing w:line="240" w:lineRule="auto"/>
      <w:ind w:firstLine="0"/>
    </w:pPr>
    <w:rPr>
      <w:rFonts w:ascii="Calibri" w:eastAsia="Calibri" w:hAnsi="Calibri" w:cs="Times New Roman"/>
    </w:rPr>
  </w:style>
  <w:style w:type="character" w:styleId="Hyperlink">
    <w:name w:val="Hyperlink"/>
    <w:rsid w:val="00D90265"/>
    <w:rPr>
      <w:rFonts w:ascii="Haarlemmer MT Medium OsF" w:hAnsi="Haarlemmer MT Medium OsF"/>
      <w:color w:val="auto"/>
      <w:u w:val="single"/>
    </w:rPr>
  </w:style>
  <w:style w:type="paragraph" w:styleId="CommentText">
    <w:name w:val="annotation text"/>
    <w:basedOn w:val="Normal"/>
    <w:link w:val="CommentTextChar"/>
    <w:unhideWhenUsed/>
    <w:rsid w:val="00D90265"/>
    <w:pPr>
      <w:spacing w:after="0" w:line="240" w:lineRule="auto"/>
    </w:pPr>
    <w:rPr>
      <w:rFonts w:ascii="Arial" w:eastAsia="Times New Roman" w:hAnsi="Arial"/>
      <w:sz w:val="20"/>
      <w:szCs w:val="20"/>
      <w:lang w:eastAsia="nl-NL"/>
    </w:rPr>
  </w:style>
  <w:style w:type="character" w:customStyle="1" w:styleId="CommentTextChar">
    <w:name w:val="Comment Text Char"/>
    <w:link w:val="CommentText"/>
    <w:rsid w:val="00D90265"/>
    <w:rPr>
      <w:rFonts w:ascii="Arial" w:eastAsia="Times New Roman" w:hAnsi="Arial" w:cs="Times New Roman"/>
      <w:sz w:val="20"/>
      <w:szCs w:val="20"/>
      <w:lang w:eastAsia="nl-NL"/>
    </w:rPr>
  </w:style>
  <w:style w:type="character" w:customStyle="1" w:styleId="apple-style-span">
    <w:name w:val="apple-style-span"/>
    <w:rsid w:val="00D90265"/>
    <w:rPr>
      <w:rFonts w:cs="Times New Roman"/>
    </w:rPr>
  </w:style>
  <w:style w:type="character" w:styleId="Strong">
    <w:name w:val="Strong"/>
    <w:uiPriority w:val="99"/>
    <w:qFormat/>
    <w:rsid w:val="00D90265"/>
    <w:rPr>
      <w:b/>
      <w:bCs/>
    </w:rPr>
  </w:style>
  <w:style w:type="paragraph" w:styleId="FootnoteText">
    <w:name w:val="footnote text"/>
    <w:basedOn w:val="Normal"/>
    <w:link w:val="FootnoteTextChar"/>
    <w:uiPriority w:val="99"/>
    <w:unhideWhenUsed/>
    <w:rsid w:val="00D90265"/>
    <w:pPr>
      <w:spacing w:after="0" w:line="240" w:lineRule="auto"/>
    </w:pPr>
    <w:rPr>
      <w:rFonts w:ascii="Arial" w:eastAsia="Times New Roman" w:hAnsi="Arial"/>
      <w:sz w:val="20"/>
      <w:szCs w:val="20"/>
      <w:lang w:eastAsia="nl-NL"/>
    </w:rPr>
  </w:style>
  <w:style w:type="character" w:customStyle="1" w:styleId="FootnoteTextChar">
    <w:name w:val="Footnote Text Char"/>
    <w:link w:val="FootnoteText"/>
    <w:uiPriority w:val="99"/>
    <w:rsid w:val="00D90265"/>
    <w:rPr>
      <w:rFonts w:ascii="Arial" w:eastAsia="Times New Roman" w:hAnsi="Arial" w:cs="Times New Roman"/>
      <w:sz w:val="20"/>
      <w:szCs w:val="20"/>
      <w:lang w:eastAsia="nl-NL"/>
    </w:rPr>
  </w:style>
  <w:style w:type="paragraph" w:styleId="PlainText">
    <w:name w:val="Plain Text"/>
    <w:basedOn w:val="Normal"/>
    <w:link w:val="PlainTextChar"/>
    <w:uiPriority w:val="99"/>
    <w:unhideWhenUsed/>
    <w:rsid w:val="00D90265"/>
    <w:pPr>
      <w:spacing w:after="0" w:line="240" w:lineRule="auto"/>
    </w:pPr>
    <w:rPr>
      <w:rFonts w:ascii="Consolas" w:hAnsi="Consolas"/>
      <w:sz w:val="21"/>
      <w:szCs w:val="21"/>
    </w:rPr>
  </w:style>
  <w:style w:type="character" w:customStyle="1" w:styleId="PlainTextChar">
    <w:name w:val="Plain Text Char"/>
    <w:link w:val="PlainText"/>
    <w:uiPriority w:val="99"/>
    <w:rsid w:val="00D90265"/>
    <w:rPr>
      <w:rFonts w:ascii="Consolas" w:eastAsia="Calibri" w:hAnsi="Consolas" w:cs="Times New Roman"/>
      <w:sz w:val="21"/>
      <w:szCs w:val="21"/>
    </w:rPr>
  </w:style>
  <w:style w:type="character" w:customStyle="1" w:styleId="NoSpacingChar">
    <w:name w:val="No Spacing Char"/>
    <w:link w:val="NoSpacing"/>
    <w:rsid w:val="00D90265"/>
    <w:rPr>
      <w:rFonts w:ascii="Calibri" w:eastAsia="Calibri" w:hAnsi="Calibri" w:cs="Times New Roman"/>
    </w:rPr>
  </w:style>
  <w:style w:type="character" w:customStyle="1" w:styleId="affiliation1">
    <w:name w:val="affiliation1"/>
    <w:rsid w:val="00D90265"/>
    <w:rPr>
      <w:rFonts w:ascii="Arial" w:hAnsi="Arial" w:cs="Arial" w:hint="default"/>
      <w:sz w:val="20"/>
      <w:szCs w:val="20"/>
    </w:rPr>
  </w:style>
  <w:style w:type="character" w:styleId="CommentReference">
    <w:name w:val="annotation reference"/>
    <w:uiPriority w:val="99"/>
    <w:semiHidden/>
    <w:unhideWhenUsed/>
    <w:rsid w:val="00D90265"/>
    <w:rPr>
      <w:sz w:val="16"/>
      <w:szCs w:val="16"/>
    </w:rPr>
  </w:style>
  <w:style w:type="paragraph" w:styleId="CommentSubject">
    <w:name w:val="annotation subject"/>
    <w:basedOn w:val="CommentText"/>
    <w:next w:val="CommentText"/>
    <w:link w:val="CommentSubjectChar"/>
    <w:uiPriority w:val="99"/>
    <w:semiHidden/>
    <w:unhideWhenUsed/>
    <w:rsid w:val="00D90265"/>
    <w:pPr>
      <w:spacing w:after="200"/>
    </w:pPr>
    <w:rPr>
      <w:b/>
      <w:bCs/>
    </w:rPr>
  </w:style>
  <w:style w:type="character" w:customStyle="1" w:styleId="CommentSubjectChar">
    <w:name w:val="Comment Subject Char"/>
    <w:link w:val="CommentSubject"/>
    <w:uiPriority w:val="99"/>
    <w:semiHidden/>
    <w:rsid w:val="00D90265"/>
    <w:rPr>
      <w:rFonts w:ascii="Arial" w:eastAsia="Times New Roman" w:hAnsi="Arial" w:cs="Times New Roman"/>
      <w:b/>
      <w:bCs/>
      <w:sz w:val="20"/>
      <w:szCs w:val="20"/>
      <w:lang w:eastAsia="nl-NL"/>
    </w:rPr>
  </w:style>
  <w:style w:type="paragraph" w:styleId="BalloonText">
    <w:name w:val="Balloon Text"/>
    <w:basedOn w:val="Normal"/>
    <w:link w:val="BalloonTextChar"/>
    <w:uiPriority w:val="99"/>
    <w:semiHidden/>
    <w:unhideWhenUsed/>
    <w:rsid w:val="00D90265"/>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90265"/>
    <w:rPr>
      <w:rFonts w:ascii="Tahoma" w:eastAsia="Calibri" w:hAnsi="Tahoma" w:cs="Times New Roman"/>
      <w:sz w:val="16"/>
      <w:szCs w:val="16"/>
    </w:rPr>
  </w:style>
  <w:style w:type="paragraph" w:customStyle="1" w:styleId="EndNoteBibliographyTitle">
    <w:name w:val="EndNote Bibliography Title"/>
    <w:basedOn w:val="Normal"/>
    <w:link w:val="EndNoteBibliographyTitleChar"/>
    <w:rsid w:val="00D90265"/>
    <w:pPr>
      <w:spacing w:after="0"/>
      <w:jc w:val="center"/>
    </w:pPr>
    <w:rPr>
      <w:noProof/>
      <w:lang w:val="en-US"/>
    </w:rPr>
  </w:style>
  <w:style w:type="character" w:customStyle="1" w:styleId="EndNoteBibliographyTitleChar">
    <w:name w:val="EndNote Bibliography Title Char"/>
    <w:link w:val="EndNoteBibliographyTitle"/>
    <w:rsid w:val="00D90265"/>
    <w:rPr>
      <w:rFonts w:ascii="Calibri" w:eastAsia="Calibri" w:hAnsi="Calibri" w:cs="Times New Roman"/>
      <w:noProof/>
      <w:lang w:val="en-US"/>
    </w:rPr>
  </w:style>
  <w:style w:type="paragraph" w:customStyle="1" w:styleId="EndNoteBibliography">
    <w:name w:val="EndNote Bibliography"/>
    <w:basedOn w:val="Normal"/>
    <w:link w:val="EndNoteBibliographyChar"/>
    <w:rsid w:val="00D90265"/>
    <w:pPr>
      <w:spacing w:line="240" w:lineRule="auto"/>
    </w:pPr>
    <w:rPr>
      <w:noProof/>
      <w:lang w:val="en-US"/>
    </w:rPr>
  </w:style>
  <w:style w:type="character" w:customStyle="1" w:styleId="EndNoteBibliographyChar">
    <w:name w:val="EndNote Bibliography Char"/>
    <w:link w:val="EndNoteBibliography"/>
    <w:rsid w:val="00D90265"/>
    <w:rPr>
      <w:rFonts w:ascii="Calibri" w:eastAsia="Calibri" w:hAnsi="Calibri" w:cs="Times New Roman"/>
      <w:noProof/>
      <w:lang w:val="en-US"/>
    </w:rPr>
  </w:style>
  <w:style w:type="paragraph" w:styleId="Revision">
    <w:name w:val="Revision"/>
    <w:hidden/>
    <w:uiPriority w:val="99"/>
    <w:semiHidden/>
    <w:rsid w:val="00D90265"/>
    <w:pPr>
      <w:spacing w:line="240" w:lineRule="auto"/>
      <w:ind w:firstLine="0"/>
    </w:pPr>
    <w:rPr>
      <w:rFonts w:ascii="Calibri" w:eastAsia="Calibri" w:hAnsi="Calibri" w:cs="Times New Roman"/>
    </w:rPr>
  </w:style>
  <w:style w:type="character" w:customStyle="1" w:styleId="highlight2">
    <w:name w:val="highlight2"/>
    <w:basedOn w:val="DefaultParagraphFont"/>
    <w:rsid w:val="00D90265"/>
  </w:style>
  <w:style w:type="table" w:styleId="TableGrid">
    <w:name w:val="Table Grid"/>
    <w:basedOn w:val="TableNormal"/>
    <w:uiPriority w:val="59"/>
    <w:rsid w:val="00D90265"/>
    <w:pPr>
      <w:spacing w:line="240" w:lineRule="auto"/>
      <w:ind w:firstLine="0"/>
    </w:pPr>
    <w:rPr>
      <w:rFonts w:ascii="Calibri" w:eastAsia="Calibri" w:hAnsi="Calibri" w:cs="Times New Roman"/>
      <w:sz w:val="20"/>
      <w:szCs w:val="20"/>
      <w:lang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90265"/>
    <w:pPr>
      <w:spacing w:before="100" w:beforeAutospacing="1" w:after="100" w:afterAutospacing="1" w:line="240" w:lineRule="auto"/>
    </w:pPr>
    <w:rPr>
      <w:rFonts w:ascii="Times New Roman" w:eastAsia="Times New Roman" w:hAnsi="Times New Roman"/>
      <w:color w:val="000000"/>
      <w:sz w:val="24"/>
      <w:szCs w:val="24"/>
      <w:lang w:eastAsia="nl-NL"/>
    </w:rPr>
  </w:style>
  <w:style w:type="character" w:customStyle="1" w:styleId="Hyperlink1">
    <w:name w:val="Hyperlink.1"/>
    <w:rsid w:val="00D90265"/>
    <w:rPr>
      <w:rFonts w:ascii="Calibri" w:eastAsia="Calibri" w:hAnsi="Calibri" w:cs="Calibri"/>
      <w:b w:val="0"/>
      <w:bCs w:val="0"/>
      <w:i w:val="0"/>
      <w:iCs w:val="0"/>
      <w:color w:val="000000"/>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D.vanDijk@umcutrecht.nl" TargetMode="External"/><Relationship Id="rId12" Type="http://schemas.openxmlformats.org/officeDocument/2006/relationships/image" Target="media/image1.tiff"/><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Mark.vandenBoogaard@radboudumc.nl" TargetMode="External"/><Relationship Id="rId8" Type="http://schemas.openxmlformats.org/officeDocument/2006/relationships/hyperlink" Target="mailto:jorndereus@gmail.com" TargetMode="External"/><Relationship Id="rId9" Type="http://schemas.openxmlformats.org/officeDocument/2006/relationships/hyperlink" Target="mailto:O.L.Cremer@umcutrecht.nl" TargetMode="External"/><Relationship Id="rId10" Type="http://schemas.openxmlformats.org/officeDocument/2006/relationships/hyperlink" Target="mailto:D.W.deLange@umcutrecht.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4964</Words>
  <Characters>28300</Characters>
  <Application>Microsoft Macintosh Word</Application>
  <DocSecurity>0</DocSecurity>
  <Lines>235</Lines>
  <Paragraphs>66</Paragraphs>
  <ScaleCrop>false</ScaleCrop>
  <Company>UMC St Radboud</Company>
  <LinksUpToDate>false</LinksUpToDate>
  <CharactersWithSpaces>33198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Wassenaar</dc:creator>
  <cp:lastModifiedBy>Lisette Schoonhoven</cp:lastModifiedBy>
  <cp:revision>2</cp:revision>
  <dcterms:created xsi:type="dcterms:W3CDTF">2017-10-03T14:39:00Z</dcterms:created>
  <dcterms:modified xsi:type="dcterms:W3CDTF">2017-10-03T14:39:00Z</dcterms:modified>
</cp:coreProperties>
</file>