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CF1F3A" w14:textId="77777777" w:rsidR="0027251E" w:rsidRDefault="0015348F" w:rsidP="0027251E">
      <w:pPr>
        <w:spacing w:after="0" w:line="240" w:lineRule="auto"/>
        <w:jc w:val="center"/>
        <w:rPr>
          <w:rFonts w:ascii="Times New Roman" w:eastAsia="Times New Roman" w:hAnsi="Times New Roman" w:cs="Times New Roman"/>
          <w:b/>
          <w:sz w:val="32"/>
        </w:rPr>
      </w:pPr>
      <w:bookmarkStart w:id="0" w:name="_GoBack"/>
      <w:bookmarkEnd w:id="0"/>
      <w:r>
        <w:rPr>
          <w:rFonts w:ascii="Times New Roman" w:eastAsia="Times New Roman" w:hAnsi="Times New Roman" w:cs="Times New Roman"/>
          <w:b/>
          <w:sz w:val="32"/>
        </w:rPr>
        <w:t>Local-level imm</w:t>
      </w:r>
      <w:r w:rsidR="007D48E2">
        <w:rPr>
          <w:rFonts w:ascii="Times New Roman" w:eastAsia="Times New Roman" w:hAnsi="Times New Roman" w:cs="Times New Roman"/>
          <w:b/>
          <w:sz w:val="32"/>
        </w:rPr>
        <w:t xml:space="preserve">igration and life satisfaction: </w:t>
      </w:r>
    </w:p>
    <w:p w14:paraId="76EDE55C" w14:textId="77777777" w:rsidR="002672F0" w:rsidRPr="00072E69" w:rsidRDefault="0015348F" w:rsidP="0027251E">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The EU enlargement experience in </w:t>
      </w:r>
      <w:r w:rsidR="0004785F">
        <w:rPr>
          <w:rFonts w:ascii="Times New Roman" w:eastAsia="Times New Roman" w:hAnsi="Times New Roman" w:cs="Times New Roman"/>
          <w:b/>
          <w:sz w:val="32"/>
        </w:rPr>
        <w:t>England and Wales</w:t>
      </w:r>
    </w:p>
    <w:p w14:paraId="1F84ECD7" w14:textId="77777777" w:rsidR="002672F0" w:rsidRDefault="002672F0" w:rsidP="0027251E">
      <w:pPr>
        <w:spacing w:after="0" w:line="240" w:lineRule="auto"/>
        <w:jc w:val="center"/>
      </w:pPr>
    </w:p>
    <w:p w14:paraId="497EB5AB" w14:textId="77777777" w:rsidR="00E508B3" w:rsidRDefault="00E508B3" w:rsidP="0027251E">
      <w:pPr>
        <w:spacing w:after="0" w:line="240" w:lineRule="auto"/>
        <w:jc w:val="center"/>
      </w:pPr>
    </w:p>
    <w:p w14:paraId="1D0C387D" w14:textId="77777777" w:rsidR="00312DF5" w:rsidRDefault="00312DF5" w:rsidP="0027251E">
      <w:pPr>
        <w:spacing w:after="0" w:line="240" w:lineRule="auto"/>
        <w:jc w:val="center"/>
      </w:pPr>
    </w:p>
    <w:p w14:paraId="78DFE54E" w14:textId="77777777" w:rsidR="00F25F74" w:rsidRDefault="00F25F74" w:rsidP="00F25F74">
      <w:pPr>
        <w:spacing w:after="0" w:line="240" w:lineRule="auto"/>
        <w:rPr>
          <w:rFonts w:ascii="Times New Roman" w:eastAsia="Times New Roman" w:hAnsi="Times New Roman" w:cs="Times New Roman"/>
          <w:b/>
          <w:sz w:val="24"/>
        </w:rPr>
      </w:pPr>
    </w:p>
    <w:p w14:paraId="406CCFA1" w14:textId="77777777" w:rsidR="00F25F74" w:rsidRDefault="00F25F74" w:rsidP="00F25F74">
      <w:pPr>
        <w:spacing w:after="0" w:line="240" w:lineRule="auto"/>
        <w:rPr>
          <w:rFonts w:ascii="Times New Roman" w:eastAsia="Times New Roman" w:hAnsi="Times New Roman" w:cs="Times New Roman"/>
          <w:b/>
          <w:sz w:val="24"/>
        </w:rPr>
      </w:pPr>
    </w:p>
    <w:p w14:paraId="29663BB7" w14:textId="77777777" w:rsidR="00F25F74" w:rsidRDefault="00F25F74" w:rsidP="0010493E">
      <w:pPr>
        <w:spacing w:after="0" w:line="240" w:lineRule="auto"/>
        <w:rPr>
          <w:rFonts w:ascii="Times New Roman" w:eastAsia="Times New Roman" w:hAnsi="Times New Roman" w:cs="Times New Roman"/>
          <w:b/>
          <w:sz w:val="24"/>
        </w:rPr>
      </w:pPr>
      <w:r w:rsidRPr="00400622">
        <w:rPr>
          <w:rFonts w:ascii="Times New Roman" w:eastAsia="Times New Roman" w:hAnsi="Times New Roman" w:cs="Times New Roman"/>
          <w:b/>
          <w:sz w:val="24"/>
        </w:rPr>
        <w:t>Abstract</w:t>
      </w:r>
    </w:p>
    <w:p w14:paraId="520DA85B" w14:textId="77777777" w:rsidR="00F25F74" w:rsidRPr="00400622" w:rsidRDefault="00F25F74" w:rsidP="00F25F74">
      <w:pPr>
        <w:spacing w:after="0" w:line="240" w:lineRule="auto"/>
        <w:rPr>
          <w:b/>
        </w:rPr>
      </w:pPr>
    </w:p>
    <w:p w14:paraId="710092D5" w14:textId="19FE3197" w:rsidR="00F25F74" w:rsidRPr="00A72F43" w:rsidRDefault="00F25F74" w:rsidP="00090251">
      <w:pPr>
        <w:spacing w:after="0" w:line="360" w:lineRule="auto"/>
        <w:rPr>
          <w:rFonts w:ascii="Times New Roman" w:eastAsia="Times New Roman" w:hAnsi="Times New Roman" w:cs="Times New Roman"/>
          <w:sz w:val="24"/>
        </w:rPr>
      </w:pPr>
      <w:r w:rsidRPr="006472F4">
        <w:rPr>
          <w:rFonts w:ascii="Times New Roman" w:eastAsia="Times New Roman" w:hAnsi="Times New Roman" w:cs="Times New Roman"/>
          <w:sz w:val="24"/>
        </w:rPr>
        <w:t xml:space="preserve">The 2004 European Union enlargement resulted in an unprecedented wave of 1.5 million workers relocating from Eastern Europe to the UK. We study </w:t>
      </w:r>
      <w:r w:rsidR="00D56BDE">
        <w:rPr>
          <w:rFonts w:ascii="Times New Roman" w:eastAsia="Times New Roman" w:hAnsi="Times New Roman" w:cs="Times New Roman"/>
          <w:sz w:val="24"/>
        </w:rPr>
        <w:t>the links between this</w:t>
      </w:r>
      <w:r w:rsidRPr="006472F4">
        <w:rPr>
          <w:rFonts w:ascii="Times New Roman" w:eastAsia="Times New Roman" w:hAnsi="Times New Roman" w:cs="Times New Roman"/>
          <w:sz w:val="24"/>
        </w:rPr>
        <w:t xml:space="preserve"> migrant inflow </w:t>
      </w:r>
      <w:r w:rsidR="00D56BDE">
        <w:rPr>
          <w:rFonts w:ascii="Times New Roman" w:eastAsia="Times New Roman" w:hAnsi="Times New Roman" w:cs="Times New Roman"/>
          <w:sz w:val="24"/>
        </w:rPr>
        <w:t xml:space="preserve">and </w:t>
      </w:r>
      <w:r w:rsidRPr="006472F4">
        <w:rPr>
          <w:rFonts w:ascii="Times New Roman" w:eastAsia="Times New Roman" w:hAnsi="Times New Roman" w:cs="Times New Roman"/>
          <w:sz w:val="24"/>
        </w:rPr>
        <w:t xml:space="preserve">life satisfaction of native residents in England and Wales. Combining the British Household Panel Survey with the Local Authority level administrative data from the Worker Registration Scheme, we find that higher </w:t>
      </w:r>
      <w:r w:rsidR="004904B3" w:rsidRPr="006472F4">
        <w:rPr>
          <w:rFonts w:ascii="Times New Roman" w:eastAsia="Times New Roman" w:hAnsi="Times New Roman" w:cs="Times New Roman"/>
          <w:sz w:val="24"/>
        </w:rPr>
        <w:t xml:space="preserve">levels of local </w:t>
      </w:r>
      <w:r w:rsidRPr="006472F4">
        <w:rPr>
          <w:rFonts w:ascii="Times New Roman" w:eastAsia="Times New Roman" w:hAnsi="Times New Roman" w:cs="Times New Roman"/>
          <w:sz w:val="24"/>
        </w:rPr>
        <w:t>immigration</w:t>
      </w:r>
      <w:r w:rsidR="004904B3" w:rsidRPr="006472F4">
        <w:rPr>
          <w:rFonts w:ascii="Times New Roman" w:eastAsia="Times New Roman" w:hAnsi="Times New Roman" w:cs="Times New Roman"/>
          <w:sz w:val="24"/>
        </w:rPr>
        <w:t xml:space="preserve"> were associated with a decrease in life satisfaction among older, unemployed and lower-income people, and with an increase in life satisfaction among young</w:t>
      </w:r>
      <w:r w:rsidR="006472F4">
        <w:rPr>
          <w:rFonts w:ascii="Times New Roman" w:eastAsia="Times New Roman" w:hAnsi="Times New Roman" w:cs="Times New Roman"/>
          <w:sz w:val="24"/>
        </w:rPr>
        <w:t>er</w:t>
      </w:r>
      <w:r w:rsidR="004904B3" w:rsidRPr="006472F4">
        <w:rPr>
          <w:rFonts w:ascii="Times New Roman" w:eastAsia="Times New Roman" w:hAnsi="Times New Roman" w:cs="Times New Roman"/>
          <w:sz w:val="24"/>
        </w:rPr>
        <w:t>, employed, higher-income and better educated people. These</w:t>
      </w:r>
      <w:r w:rsidRPr="006472F4">
        <w:rPr>
          <w:rFonts w:ascii="Times New Roman" w:eastAsia="Times New Roman" w:hAnsi="Times New Roman" w:cs="Times New Roman"/>
          <w:sz w:val="24"/>
        </w:rPr>
        <w:t xml:space="preserve"> fi</w:t>
      </w:r>
      <w:r w:rsidR="004904B3" w:rsidRPr="006472F4">
        <w:rPr>
          <w:rFonts w:ascii="Times New Roman" w:eastAsia="Times New Roman" w:hAnsi="Times New Roman" w:cs="Times New Roman"/>
          <w:sz w:val="24"/>
        </w:rPr>
        <w:t>nding</w:t>
      </w:r>
      <w:r w:rsidR="00C94B2A">
        <w:rPr>
          <w:rFonts w:ascii="Times New Roman" w:eastAsia="Times New Roman" w:hAnsi="Times New Roman" w:cs="Times New Roman"/>
          <w:sz w:val="24"/>
        </w:rPr>
        <w:t>s</w:t>
      </w:r>
      <w:r w:rsidR="004904B3" w:rsidRPr="006472F4">
        <w:rPr>
          <w:rFonts w:ascii="Times New Roman" w:eastAsia="Times New Roman" w:hAnsi="Times New Roman" w:cs="Times New Roman"/>
          <w:sz w:val="24"/>
        </w:rPr>
        <w:t xml:space="preserve"> are</w:t>
      </w:r>
      <w:r w:rsidRPr="006472F4">
        <w:rPr>
          <w:rFonts w:ascii="Times New Roman" w:eastAsia="Times New Roman" w:hAnsi="Times New Roman" w:cs="Times New Roman"/>
          <w:sz w:val="24"/>
        </w:rPr>
        <w:t xml:space="preserve"> driven by</w:t>
      </w:r>
      <w:r w:rsidR="006472F4">
        <w:rPr>
          <w:rFonts w:ascii="Times New Roman" w:eastAsia="Times New Roman" w:hAnsi="Times New Roman" w:cs="Times New Roman"/>
          <w:sz w:val="24"/>
        </w:rPr>
        <w:t xml:space="preserve"> the initial ‘mi</w:t>
      </w:r>
      <w:r w:rsidR="00D56BDE">
        <w:rPr>
          <w:rFonts w:ascii="Times New Roman" w:eastAsia="Times New Roman" w:hAnsi="Times New Roman" w:cs="Times New Roman"/>
          <w:sz w:val="24"/>
        </w:rPr>
        <w:t xml:space="preserve">gration shock’ – </w:t>
      </w:r>
      <w:r w:rsidR="006472F4">
        <w:rPr>
          <w:rFonts w:ascii="Times New Roman" w:eastAsia="Times New Roman" w:hAnsi="Times New Roman" w:cs="Times New Roman"/>
          <w:sz w:val="24"/>
        </w:rPr>
        <w:t xml:space="preserve">the </w:t>
      </w:r>
      <w:r w:rsidRPr="006472F4">
        <w:rPr>
          <w:rFonts w:ascii="Times New Roman" w:eastAsia="Times New Roman" w:hAnsi="Times New Roman" w:cs="Times New Roman"/>
          <w:sz w:val="24"/>
        </w:rPr>
        <w:t>inflows that occurred in the first t</w:t>
      </w:r>
      <w:r w:rsidR="00A35408" w:rsidRPr="006472F4">
        <w:rPr>
          <w:rFonts w:ascii="Times New Roman" w:eastAsia="Times New Roman" w:hAnsi="Times New Roman" w:cs="Times New Roman"/>
          <w:sz w:val="24"/>
        </w:rPr>
        <w:t>wo years after the enlargement. Overall, our study highlights the importance of local-level immigration in shaping the life satisfa</w:t>
      </w:r>
      <w:r w:rsidR="006472F4">
        <w:rPr>
          <w:rFonts w:ascii="Times New Roman" w:eastAsia="Times New Roman" w:hAnsi="Times New Roman" w:cs="Times New Roman"/>
          <w:sz w:val="24"/>
        </w:rPr>
        <w:t xml:space="preserve">ction of receiving populations. We also argue that our results </w:t>
      </w:r>
      <w:r w:rsidR="00C83043" w:rsidRPr="006472F4">
        <w:rPr>
          <w:rFonts w:ascii="Times New Roman" w:eastAsia="Times New Roman" w:hAnsi="Times New Roman" w:cs="Times New Roman"/>
          <w:sz w:val="24"/>
        </w:rPr>
        <w:t>help explain</w:t>
      </w:r>
      <w:r w:rsidR="00A35408" w:rsidRPr="006472F4">
        <w:rPr>
          <w:rFonts w:ascii="Times New Roman" w:eastAsia="Times New Roman" w:hAnsi="Times New Roman" w:cs="Times New Roman"/>
          <w:sz w:val="24"/>
        </w:rPr>
        <w:t xml:space="preserve"> the socio-demographic patterns </w:t>
      </w:r>
      <w:r w:rsidR="006472F4">
        <w:rPr>
          <w:rFonts w:ascii="Times New Roman" w:eastAsia="Times New Roman" w:hAnsi="Times New Roman" w:cs="Times New Roman"/>
          <w:sz w:val="24"/>
        </w:rPr>
        <w:t xml:space="preserve">observed in </w:t>
      </w:r>
      <w:r w:rsidR="00A35408" w:rsidRPr="006472F4">
        <w:rPr>
          <w:rFonts w:ascii="Times New Roman" w:eastAsia="Times New Roman" w:hAnsi="Times New Roman" w:cs="Times New Roman"/>
          <w:sz w:val="24"/>
        </w:rPr>
        <w:t>the UK Brexit vote.</w:t>
      </w:r>
      <w:r w:rsidR="00A35408">
        <w:rPr>
          <w:rFonts w:ascii="Times New Roman" w:eastAsia="Times New Roman" w:hAnsi="Times New Roman" w:cs="Times New Roman"/>
          <w:sz w:val="24"/>
        </w:rPr>
        <w:t xml:space="preserve"> </w:t>
      </w:r>
    </w:p>
    <w:p w14:paraId="3E0DE52C" w14:textId="77777777" w:rsidR="00F25F74" w:rsidRDefault="00F25F74" w:rsidP="00090251">
      <w:pPr>
        <w:spacing w:after="0" w:line="360" w:lineRule="auto"/>
        <w:rPr>
          <w:rFonts w:ascii="Times New Roman" w:eastAsia="Times New Roman" w:hAnsi="Times New Roman" w:cs="Times New Roman"/>
          <w:b/>
          <w:sz w:val="24"/>
        </w:rPr>
      </w:pPr>
    </w:p>
    <w:p w14:paraId="361DA320" w14:textId="77777777" w:rsidR="00090251" w:rsidRDefault="00090251" w:rsidP="00090251">
      <w:pPr>
        <w:spacing w:after="0" w:line="240" w:lineRule="auto"/>
        <w:rPr>
          <w:rFonts w:ascii="Times New Roman" w:eastAsia="Times New Roman" w:hAnsi="Times New Roman" w:cs="Times New Roman"/>
          <w:sz w:val="24"/>
        </w:rPr>
      </w:pPr>
      <w:r w:rsidRPr="0027251E">
        <w:rPr>
          <w:rFonts w:ascii="Times New Roman" w:eastAsia="Times New Roman" w:hAnsi="Times New Roman" w:cs="Times New Roman"/>
          <w:b/>
          <w:sz w:val="24"/>
        </w:rPr>
        <w:t>Keywords:</w:t>
      </w:r>
      <w:r>
        <w:rPr>
          <w:rFonts w:ascii="Times New Roman" w:eastAsia="Times New Roman" w:hAnsi="Times New Roman" w:cs="Times New Roman"/>
          <w:sz w:val="24"/>
        </w:rPr>
        <w:t xml:space="preserve"> Immigration, life satisfaction, spatial correlation approach, United Kingdom, 2004 EU enlargement. </w:t>
      </w:r>
    </w:p>
    <w:p w14:paraId="2A07C9CF" w14:textId="77777777" w:rsidR="00F25F74" w:rsidRDefault="00F25F74" w:rsidP="0027251E">
      <w:pPr>
        <w:spacing w:after="0" w:line="480" w:lineRule="auto"/>
        <w:rPr>
          <w:rFonts w:ascii="Times New Roman" w:eastAsia="Times New Roman" w:hAnsi="Times New Roman" w:cs="Times New Roman"/>
          <w:b/>
          <w:sz w:val="24"/>
        </w:rPr>
      </w:pPr>
    </w:p>
    <w:p w14:paraId="07D5D31C" w14:textId="77777777" w:rsidR="00F25F74" w:rsidRDefault="00F25F74" w:rsidP="0027251E">
      <w:pPr>
        <w:spacing w:after="0" w:line="480" w:lineRule="auto"/>
        <w:rPr>
          <w:rFonts w:ascii="Times New Roman" w:eastAsia="Times New Roman" w:hAnsi="Times New Roman" w:cs="Times New Roman"/>
          <w:b/>
          <w:sz w:val="24"/>
        </w:rPr>
      </w:pPr>
    </w:p>
    <w:p w14:paraId="31108289" w14:textId="77777777" w:rsidR="00F25F74" w:rsidRDefault="00F25F74" w:rsidP="0027251E">
      <w:pPr>
        <w:spacing w:after="0" w:line="480" w:lineRule="auto"/>
        <w:rPr>
          <w:rFonts w:ascii="Times New Roman" w:eastAsia="Times New Roman" w:hAnsi="Times New Roman" w:cs="Times New Roman"/>
          <w:b/>
          <w:sz w:val="24"/>
        </w:rPr>
      </w:pPr>
    </w:p>
    <w:p w14:paraId="616C7F6F" w14:textId="77777777" w:rsidR="00F25F74" w:rsidRDefault="00F25F74" w:rsidP="0027251E">
      <w:pPr>
        <w:spacing w:after="0" w:line="480" w:lineRule="auto"/>
        <w:rPr>
          <w:rFonts w:ascii="Times New Roman" w:eastAsia="Times New Roman" w:hAnsi="Times New Roman" w:cs="Times New Roman"/>
          <w:b/>
          <w:sz w:val="24"/>
        </w:rPr>
      </w:pPr>
    </w:p>
    <w:p w14:paraId="1A61B1F9" w14:textId="77777777" w:rsidR="00F25F74" w:rsidRDefault="00F25F74" w:rsidP="0027251E">
      <w:pPr>
        <w:spacing w:after="0" w:line="480" w:lineRule="auto"/>
        <w:rPr>
          <w:rFonts w:ascii="Times New Roman" w:eastAsia="Times New Roman" w:hAnsi="Times New Roman" w:cs="Times New Roman"/>
          <w:b/>
          <w:sz w:val="24"/>
        </w:rPr>
      </w:pPr>
    </w:p>
    <w:p w14:paraId="30F55F78" w14:textId="77777777" w:rsidR="00F25F74" w:rsidRDefault="00F25F74" w:rsidP="0027251E">
      <w:pPr>
        <w:spacing w:after="0" w:line="480" w:lineRule="auto"/>
        <w:rPr>
          <w:rFonts w:ascii="Times New Roman" w:eastAsia="Times New Roman" w:hAnsi="Times New Roman" w:cs="Times New Roman"/>
          <w:b/>
          <w:sz w:val="24"/>
        </w:rPr>
      </w:pPr>
    </w:p>
    <w:p w14:paraId="505C5968" w14:textId="77777777" w:rsidR="00F25F74" w:rsidRDefault="00F25F74" w:rsidP="0027251E">
      <w:pPr>
        <w:spacing w:after="0" w:line="480" w:lineRule="auto"/>
        <w:rPr>
          <w:rFonts w:ascii="Times New Roman" w:eastAsia="Times New Roman" w:hAnsi="Times New Roman" w:cs="Times New Roman"/>
          <w:b/>
          <w:sz w:val="24"/>
        </w:rPr>
      </w:pPr>
    </w:p>
    <w:p w14:paraId="01DECA52" w14:textId="77777777" w:rsidR="00F25F74" w:rsidRDefault="00F25F74" w:rsidP="0027251E">
      <w:pPr>
        <w:spacing w:after="0" w:line="480" w:lineRule="auto"/>
        <w:rPr>
          <w:rFonts w:ascii="Times New Roman" w:eastAsia="Times New Roman" w:hAnsi="Times New Roman" w:cs="Times New Roman"/>
          <w:b/>
          <w:sz w:val="24"/>
        </w:rPr>
      </w:pPr>
    </w:p>
    <w:p w14:paraId="5C1B9190" w14:textId="77777777" w:rsidR="006472F4" w:rsidRDefault="006472F4" w:rsidP="00F16012">
      <w:pPr>
        <w:spacing w:after="0" w:line="480" w:lineRule="auto"/>
        <w:rPr>
          <w:rFonts w:ascii="Times New Roman" w:eastAsia="Times New Roman" w:hAnsi="Times New Roman" w:cs="Times New Roman"/>
          <w:b/>
          <w:sz w:val="24"/>
        </w:rPr>
      </w:pPr>
    </w:p>
    <w:p w14:paraId="28AC19BB" w14:textId="77777777" w:rsidR="006472F4" w:rsidRDefault="006472F4" w:rsidP="00F16012">
      <w:pPr>
        <w:spacing w:after="0" w:line="480" w:lineRule="auto"/>
        <w:rPr>
          <w:rFonts w:ascii="Times New Roman" w:eastAsia="Times New Roman" w:hAnsi="Times New Roman" w:cs="Times New Roman"/>
          <w:b/>
          <w:sz w:val="24"/>
        </w:rPr>
      </w:pPr>
    </w:p>
    <w:p w14:paraId="70DB9986" w14:textId="77777777" w:rsidR="00F16012" w:rsidRDefault="00F16012" w:rsidP="00F16012">
      <w:pPr>
        <w:spacing w:after="0" w:line="480" w:lineRule="auto"/>
        <w:rPr>
          <w:rFonts w:ascii="Times New Roman" w:eastAsia="Times New Roman" w:hAnsi="Times New Roman" w:cs="Times New Roman"/>
          <w:b/>
          <w:sz w:val="24"/>
        </w:rPr>
      </w:pPr>
      <w:r w:rsidRPr="00500205">
        <w:rPr>
          <w:rFonts w:ascii="Times New Roman" w:eastAsia="Times New Roman" w:hAnsi="Times New Roman" w:cs="Times New Roman"/>
          <w:b/>
          <w:sz w:val="24"/>
        </w:rPr>
        <w:lastRenderedPageBreak/>
        <w:t>1.</w:t>
      </w:r>
      <w:r>
        <w:rPr>
          <w:rFonts w:ascii="Times New Roman" w:eastAsia="Times New Roman" w:hAnsi="Times New Roman" w:cs="Times New Roman"/>
          <w:b/>
          <w:sz w:val="24"/>
        </w:rPr>
        <w:t xml:space="preserve"> </w:t>
      </w:r>
      <w:r w:rsidRPr="00500205">
        <w:rPr>
          <w:rFonts w:ascii="Times New Roman" w:eastAsia="Times New Roman" w:hAnsi="Times New Roman" w:cs="Times New Roman"/>
          <w:b/>
          <w:sz w:val="24"/>
        </w:rPr>
        <w:t>Introduction</w:t>
      </w:r>
    </w:p>
    <w:p w14:paraId="339DA5C3" w14:textId="77777777" w:rsidR="00F16012" w:rsidRDefault="00F16012" w:rsidP="00F16012">
      <w:pPr>
        <w:spacing w:after="0" w:line="480" w:lineRule="auto"/>
        <w:rPr>
          <w:b/>
        </w:rPr>
      </w:pPr>
    </w:p>
    <w:p w14:paraId="41ECFBE3" w14:textId="4BC34A63" w:rsidR="00F16012" w:rsidRPr="00400622"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On June 23, 2016, the United Kingdom (UK) held a historic referendum in which citizens voted, 52% to 48%, to leave the European Union (EU). The outcome of this vote has sent shockwaves around the world and is likely to change the course of British and European politics for years to come. It is widely recognized that immigration played a major role in the decision of the UK to leave the EU: immigration was a dominant theme in the pre-referendum debate and remains a key issue as the UK prepares its exit from the bloc (</w:t>
      </w:r>
      <w:r w:rsidRPr="00F62642">
        <w:rPr>
          <w:rFonts w:ascii="Times New Roman" w:eastAsia="Times New Roman" w:hAnsi="Times New Roman" w:cs="Times New Roman"/>
          <w:sz w:val="24"/>
        </w:rPr>
        <w:t>Gietel</w:t>
      </w:r>
      <w:r w:rsidRPr="00F62642">
        <w:rPr>
          <w:rFonts w:ascii="Cambria Math" w:eastAsia="Times New Roman" w:hAnsi="Cambria Math" w:cs="Cambria Math"/>
          <w:sz w:val="24"/>
        </w:rPr>
        <w:t>‐</w:t>
      </w:r>
      <w:r w:rsidR="00987161">
        <w:rPr>
          <w:rFonts w:ascii="Times New Roman" w:eastAsia="Times New Roman" w:hAnsi="Times New Roman" w:cs="Times New Roman"/>
          <w:sz w:val="24"/>
        </w:rPr>
        <w:t xml:space="preserve">Basten, </w:t>
      </w:r>
      <w:r w:rsidRPr="00F62642">
        <w:rPr>
          <w:rFonts w:ascii="Times New Roman" w:eastAsia="Times New Roman" w:hAnsi="Times New Roman" w:cs="Times New Roman"/>
          <w:sz w:val="24"/>
        </w:rPr>
        <w:t>2016</w:t>
      </w:r>
      <w:r w:rsidR="00987161">
        <w:rPr>
          <w:rFonts w:ascii="Times New Roman" w:eastAsia="Times New Roman" w:hAnsi="Times New Roman" w:cs="Times New Roman"/>
          <w:sz w:val="24"/>
        </w:rPr>
        <w:t>; Alfano et al.,</w:t>
      </w:r>
      <w:r w:rsidRPr="00973E53">
        <w:rPr>
          <w:rFonts w:ascii="Times New Roman" w:eastAsia="Times New Roman" w:hAnsi="Times New Roman" w:cs="Times New Roman"/>
          <w:sz w:val="24"/>
        </w:rPr>
        <w:t xml:space="preserve"> 2016)</w:t>
      </w:r>
      <w:r>
        <w:rPr>
          <w:rFonts w:ascii="Times New Roman" w:eastAsia="Times New Roman" w:hAnsi="Times New Roman" w:cs="Times New Roman"/>
          <w:sz w:val="24"/>
        </w:rPr>
        <w:t xml:space="preserve">. Specifically, the proponents of Brexit argued that the levels of immigration to the UK from other EU countries have become too high; exiting the EU would enable the country to control immigration from the EU. Slogans such as ‘immigrants take our jobs’ and ‘take back control of our borders’ have resonated well </w:t>
      </w:r>
      <w:r w:rsidR="00987161">
        <w:rPr>
          <w:rFonts w:ascii="Times New Roman" w:eastAsia="Times New Roman" w:hAnsi="Times New Roman" w:cs="Times New Roman"/>
          <w:sz w:val="24"/>
        </w:rPr>
        <w:t xml:space="preserve">with </w:t>
      </w:r>
      <w:r>
        <w:rPr>
          <w:rFonts w:ascii="Times New Roman" w:eastAsia="Times New Roman" w:hAnsi="Times New Roman" w:cs="Times New Roman"/>
          <w:sz w:val="24"/>
        </w:rPr>
        <w:t>the UK general public, for whom immigration has indeed become one of the biggest worries (</w:t>
      </w:r>
      <w:r w:rsidRPr="00987161">
        <w:rPr>
          <w:rFonts w:ascii="Times New Roman" w:eastAsia="Times New Roman" w:hAnsi="Times New Roman" w:cs="Times New Roman"/>
          <w:i/>
          <w:sz w:val="24"/>
        </w:rPr>
        <w:t>The Economist</w:t>
      </w:r>
      <w:r w:rsidR="00987161">
        <w:rPr>
          <w:rFonts w:ascii="Times New Roman" w:eastAsia="Times New Roman" w:hAnsi="Times New Roman" w:cs="Times New Roman"/>
          <w:sz w:val="24"/>
        </w:rPr>
        <w:t>,</w:t>
      </w:r>
      <w:r>
        <w:rPr>
          <w:rFonts w:ascii="Times New Roman" w:eastAsia="Times New Roman" w:hAnsi="Times New Roman" w:cs="Times New Roman"/>
          <w:sz w:val="24"/>
        </w:rPr>
        <w:t xml:space="preserve"> 2015). </w:t>
      </w:r>
    </w:p>
    <w:p w14:paraId="3B880955" w14:textId="77777777" w:rsidR="00F16012" w:rsidRDefault="00F16012" w:rsidP="00F16012">
      <w:pPr>
        <w:spacing w:after="0" w:line="480" w:lineRule="auto"/>
        <w:rPr>
          <w:rFonts w:ascii="Times New Roman" w:eastAsia="Times New Roman" w:hAnsi="Times New Roman" w:cs="Times New Roman"/>
          <w:sz w:val="24"/>
        </w:rPr>
      </w:pPr>
    </w:p>
    <w:p w14:paraId="6CDAE1DC" w14:textId="6E795109" w:rsidR="00F16012"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However, for some time scholars have been pointing that </w:t>
      </w:r>
      <w:r w:rsidRPr="00380C55">
        <w:rPr>
          <w:rFonts w:ascii="Times New Roman" w:eastAsia="Times New Roman" w:hAnsi="Times New Roman" w:cs="Times New Roman"/>
          <w:sz w:val="24"/>
        </w:rPr>
        <w:t>immigration</w:t>
      </w:r>
      <w:r>
        <w:rPr>
          <w:rFonts w:ascii="Times New Roman" w:eastAsia="Times New Roman" w:hAnsi="Times New Roman" w:cs="Times New Roman"/>
          <w:sz w:val="24"/>
        </w:rPr>
        <w:t xml:space="preserve"> has few, if any, adverse effects on the labor markets of migrant-receiving countries (Constant</w:t>
      </w:r>
      <w:r w:rsidR="00987161">
        <w:rPr>
          <w:rFonts w:ascii="Times New Roman" w:eastAsia="Times New Roman" w:hAnsi="Times New Roman" w:cs="Times New Roman"/>
          <w:sz w:val="24"/>
        </w:rPr>
        <w:t>,</w:t>
      </w:r>
      <w:r>
        <w:rPr>
          <w:rFonts w:ascii="Times New Roman" w:eastAsia="Times New Roman" w:hAnsi="Times New Roman" w:cs="Times New Roman"/>
          <w:sz w:val="24"/>
        </w:rPr>
        <w:t xml:space="preserve"> 2014; Peri</w:t>
      </w:r>
      <w:r w:rsidR="00987161">
        <w:rPr>
          <w:rFonts w:ascii="Times New Roman" w:eastAsia="Times New Roman" w:hAnsi="Times New Roman" w:cs="Times New Roman"/>
          <w:sz w:val="24"/>
        </w:rPr>
        <w:t>,</w:t>
      </w:r>
      <w:r>
        <w:rPr>
          <w:rFonts w:ascii="Times New Roman" w:eastAsia="Times New Roman" w:hAnsi="Times New Roman" w:cs="Times New Roman"/>
          <w:sz w:val="24"/>
        </w:rPr>
        <w:t xml:space="preserve"> 2014). Such findings, coupled with mounting worries over immigration levels, raise a question: in what ways does immigration affect the well-being of people in migrant-receiving countries – beyond the realm of the labor markets? In this paper, we explore the effects of immigration on the subjective well-being of local residents – a relationship that has so far received little attention in both the literature and public debate. </w:t>
      </w:r>
    </w:p>
    <w:p w14:paraId="2417A8EA" w14:textId="77777777" w:rsidR="00F16012" w:rsidRDefault="00F16012" w:rsidP="00F16012">
      <w:pPr>
        <w:spacing w:after="0" w:line="480" w:lineRule="auto"/>
        <w:rPr>
          <w:rFonts w:ascii="Times New Roman" w:eastAsia="Times New Roman" w:hAnsi="Times New Roman" w:cs="Times New Roman"/>
          <w:sz w:val="24"/>
        </w:rPr>
      </w:pPr>
    </w:p>
    <w:p w14:paraId="3AB7D361" w14:textId="39B44152" w:rsidR="00F16012" w:rsidRPr="00F521C3"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There are several reasons why it is important to study the effects of immigration on subjective well-being. First, subjective well-being, captured often (but not exclusively) by life </w:t>
      </w:r>
      <w:r>
        <w:rPr>
          <w:rFonts w:ascii="Times New Roman" w:eastAsia="Times New Roman" w:hAnsi="Times New Roman" w:cs="Times New Roman"/>
          <w:sz w:val="24"/>
        </w:rPr>
        <w:lastRenderedPageBreak/>
        <w:t>satisfaction and happiness, is a more integrated representation of individual utility and can reflect a broad range of real and perceived effects of immigration on individual welfare. This argument is in line with the increasing acceptance, in both academic and policy circles, of subjective well-being as a key variable to measure individual welfare and societal progress, and guide policymaking (OECD</w:t>
      </w:r>
      <w:r w:rsidR="00987161">
        <w:rPr>
          <w:rFonts w:ascii="Times New Roman" w:eastAsia="Times New Roman" w:hAnsi="Times New Roman" w:cs="Times New Roman"/>
          <w:sz w:val="24"/>
        </w:rPr>
        <w:t>,</w:t>
      </w:r>
      <w:r>
        <w:rPr>
          <w:rFonts w:ascii="Times New Roman" w:eastAsia="Times New Roman" w:hAnsi="Times New Roman" w:cs="Times New Roman"/>
          <w:sz w:val="24"/>
        </w:rPr>
        <w:t xml:space="preserve"> 2013; Office for National Statistics</w:t>
      </w:r>
      <w:r w:rsidR="00987161">
        <w:rPr>
          <w:rFonts w:ascii="Times New Roman" w:eastAsia="Times New Roman" w:hAnsi="Times New Roman" w:cs="Times New Roman"/>
          <w:sz w:val="24"/>
        </w:rPr>
        <w:t>,</w:t>
      </w:r>
      <w:r>
        <w:rPr>
          <w:rFonts w:ascii="Times New Roman" w:eastAsia="Times New Roman" w:hAnsi="Times New Roman" w:cs="Times New Roman"/>
          <w:sz w:val="24"/>
        </w:rPr>
        <w:t xml:space="preserve"> 2013;</w:t>
      </w:r>
      <w:r w:rsidRPr="00F84B99">
        <w:rPr>
          <w:rFonts w:ascii="Arial" w:hAnsi="Arial" w:cs="Arial"/>
          <w:szCs w:val="22"/>
        </w:rPr>
        <w:t xml:space="preserve"> </w:t>
      </w:r>
      <w:r w:rsidR="00987161">
        <w:rPr>
          <w:rFonts w:ascii="Times New Roman" w:eastAsia="Times New Roman" w:hAnsi="Times New Roman" w:cs="Times New Roman"/>
          <w:sz w:val="24"/>
        </w:rPr>
        <w:t>Sgroi et al.,</w:t>
      </w:r>
      <w:r w:rsidRPr="00F84B99">
        <w:rPr>
          <w:rFonts w:ascii="Times New Roman" w:eastAsia="Times New Roman" w:hAnsi="Times New Roman" w:cs="Times New Roman"/>
          <w:sz w:val="24"/>
        </w:rPr>
        <w:t xml:space="preserve"> 2017</w:t>
      </w:r>
      <w:r>
        <w:rPr>
          <w:rFonts w:ascii="Times New Roman" w:eastAsia="Times New Roman" w:hAnsi="Times New Roman" w:cs="Times New Roman"/>
          <w:sz w:val="24"/>
        </w:rPr>
        <w:t xml:space="preserve">). Second, it has been shown that higher levels of </w:t>
      </w:r>
      <w:r>
        <w:rPr>
          <w:rFonts w:ascii="Times New Roman" w:eastAsia="Times New Roman" w:hAnsi="Times New Roman" w:cs="Times New Roman"/>
          <w:i/>
          <w:sz w:val="24"/>
        </w:rPr>
        <w:t>subjective</w:t>
      </w:r>
      <w:r>
        <w:rPr>
          <w:rFonts w:ascii="Times New Roman" w:eastAsia="Times New Roman" w:hAnsi="Times New Roman" w:cs="Times New Roman"/>
          <w:sz w:val="24"/>
        </w:rPr>
        <w:t xml:space="preserve"> well-being have </w:t>
      </w:r>
      <w:r>
        <w:rPr>
          <w:rFonts w:ascii="Times New Roman" w:eastAsia="Times New Roman" w:hAnsi="Times New Roman" w:cs="Times New Roman"/>
          <w:i/>
          <w:sz w:val="24"/>
        </w:rPr>
        <w:t>objective</w:t>
      </w:r>
      <w:r>
        <w:rPr>
          <w:rFonts w:ascii="Times New Roman" w:eastAsia="Times New Roman" w:hAnsi="Times New Roman" w:cs="Times New Roman"/>
          <w:sz w:val="24"/>
        </w:rPr>
        <w:t xml:space="preserve"> benefits: happier and more life-satisfied people are healthier, more productive and creative (De Neve et al.</w:t>
      </w:r>
      <w:r w:rsidR="00987161">
        <w:rPr>
          <w:rFonts w:ascii="Times New Roman" w:eastAsia="Times New Roman" w:hAnsi="Times New Roman" w:cs="Times New Roman"/>
          <w:sz w:val="24"/>
        </w:rPr>
        <w:t>,</w:t>
      </w:r>
      <w:r>
        <w:rPr>
          <w:rFonts w:ascii="Times New Roman" w:eastAsia="Times New Roman" w:hAnsi="Times New Roman" w:cs="Times New Roman"/>
          <w:sz w:val="24"/>
        </w:rPr>
        <w:t xml:space="preserve"> 2013; </w:t>
      </w:r>
      <w:r w:rsidR="00987161">
        <w:rPr>
          <w:rFonts w:ascii="Times New Roman" w:hAnsi="Times New Roman" w:cs="Times New Roman"/>
          <w:sz w:val="24"/>
          <w:szCs w:val="22"/>
        </w:rPr>
        <w:t>Oswald et al.,</w:t>
      </w:r>
      <w:r>
        <w:rPr>
          <w:rFonts w:ascii="Times New Roman" w:hAnsi="Times New Roman" w:cs="Times New Roman"/>
          <w:sz w:val="24"/>
          <w:szCs w:val="22"/>
        </w:rPr>
        <w:t xml:space="preserve"> 2015); this means that happy people are an asset for society and it is </w:t>
      </w:r>
      <w:r w:rsidRPr="00F84B99">
        <w:rPr>
          <w:rFonts w:ascii="Times New Roman" w:hAnsi="Times New Roman" w:cs="Times New Roman"/>
          <w:sz w:val="24"/>
          <w:szCs w:val="24"/>
        </w:rPr>
        <w:t xml:space="preserve">crucial to understand whether </w:t>
      </w:r>
      <w:r>
        <w:rPr>
          <w:rFonts w:ascii="Times New Roman" w:hAnsi="Times New Roman" w:cs="Times New Roman"/>
          <w:sz w:val="24"/>
          <w:szCs w:val="24"/>
        </w:rPr>
        <w:t xml:space="preserve">factors such as </w:t>
      </w:r>
      <w:r w:rsidRPr="00F84B99">
        <w:rPr>
          <w:rFonts w:ascii="Times New Roman" w:hAnsi="Times New Roman" w:cs="Times New Roman"/>
          <w:sz w:val="24"/>
          <w:szCs w:val="24"/>
        </w:rPr>
        <w:t xml:space="preserve">immigration </w:t>
      </w:r>
      <w:r>
        <w:rPr>
          <w:rFonts w:ascii="Times New Roman" w:hAnsi="Times New Roman" w:cs="Times New Roman"/>
          <w:sz w:val="24"/>
          <w:szCs w:val="24"/>
        </w:rPr>
        <w:t>increase or reduce happiness</w:t>
      </w:r>
      <w:r w:rsidRPr="00F84B99">
        <w:rPr>
          <w:rFonts w:ascii="Times New Roman" w:hAnsi="Times New Roman" w:cs="Times New Roman"/>
          <w:sz w:val="24"/>
          <w:szCs w:val="24"/>
        </w:rPr>
        <w:t xml:space="preserve">. </w:t>
      </w:r>
      <w:r>
        <w:rPr>
          <w:rFonts w:ascii="Times New Roman" w:eastAsia="Times New Roman" w:hAnsi="Times New Roman" w:cs="Times New Roman"/>
          <w:sz w:val="24"/>
        </w:rPr>
        <w:t>Third, the politicians’ prospects of being re-elected may depend directly on how happy the voters are (Liberini et al.</w:t>
      </w:r>
      <w:r w:rsidR="00987161">
        <w:rPr>
          <w:rFonts w:ascii="Times New Roman" w:eastAsia="Times New Roman" w:hAnsi="Times New Roman" w:cs="Times New Roman"/>
          <w:sz w:val="24"/>
        </w:rPr>
        <w:t>,</w:t>
      </w:r>
      <w:r>
        <w:rPr>
          <w:rFonts w:ascii="Times New Roman" w:eastAsia="Times New Roman" w:hAnsi="Times New Roman" w:cs="Times New Roman"/>
          <w:sz w:val="24"/>
        </w:rPr>
        <w:t xml:space="preserve"> 2017; Ward</w:t>
      </w:r>
      <w:r w:rsidR="00987161">
        <w:rPr>
          <w:rFonts w:ascii="Times New Roman" w:eastAsia="Times New Roman" w:hAnsi="Times New Roman" w:cs="Times New Roman"/>
          <w:sz w:val="24"/>
        </w:rPr>
        <w:t>,</w:t>
      </w:r>
      <w:r>
        <w:rPr>
          <w:rFonts w:ascii="Times New Roman" w:eastAsia="Times New Roman" w:hAnsi="Times New Roman" w:cs="Times New Roman"/>
          <w:sz w:val="24"/>
        </w:rPr>
        <w:t xml:space="preserve"> 2015). Politicians willing to get re-elected may, therefore, be interested in how immigration affects voters’ subjective well-being.</w:t>
      </w:r>
    </w:p>
    <w:p w14:paraId="3934F6D2" w14:textId="77777777" w:rsidR="00F16012" w:rsidRDefault="00F16012" w:rsidP="00F16012">
      <w:pPr>
        <w:spacing w:after="0" w:line="480" w:lineRule="auto"/>
        <w:rPr>
          <w:rFonts w:ascii="Times New Roman" w:eastAsia="Times New Roman" w:hAnsi="Times New Roman" w:cs="Times New Roman"/>
          <w:sz w:val="24"/>
        </w:rPr>
      </w:pPr>
    </w:p>
    <w:p w14:paraId="3FEDB42D" w14:textId="5E91CD93" w:rsidR="00F16012" w:rsidRPr="0093784D"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To answer our research question – whether immigration affects the subjective wellbeing of resident</w:t>
      </w:r>
      <w:r w:rsidR="00B6744F">
        <w:rPr>
          <w:rFonts w:ascii="Times New Roman" w:eastAsia="Times New Roman" w:hAnsi="Times New Roman" w:cs="Times New Roman"/>
          <w:sz w:val="24"/>
        </w:rPr>
        <w:t>s</w:t>
      </w:r>
      <w:r>
        <w:rPr>
          <w:rFonts w:ascii="Times New Roman" w:eastAsia="Times New Roman" w:hAnsi="Times New Roman" w:cs="Times New Roman"/>
          <w:sz w:val="24"/>
        </w:rPr>
        <w:t xml:space="preserve"> in a host country – we focus on a recent immigration wave to the UK. Following the 2004 enlargement of the European Union, the UK opened its labor market to citizens of the new EU member states (Czech Republic, Estonia, Hungary, Latvia, Lithuania, Poland, Slovakia and Slovenia – also known as the accession or A8 countries). The resulting migrant inflow was the “biggest peacetime movement [of people] in European history”.</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Between </w:t>
      </w:r>
      <w:r>
        <w:rPr>
          <w:rFonts w:ascii="Times New Roman" w:eastAsia="Times New Roman" w:hAnsi="Times New Roman" w:cs="Times New Roman"/>
          <w:sz w:val="24"/>
        </w:rPr>
        <w:lastRenderedPageBreak/>
        <w:t>2004 and 2011, 1.5 million East Europeans started working in the UK.</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 xml:space="preserve"> In 2015, Poles – the largest group among the A8 migrants – became the largest foreign-born group in the UK, overtaking Indians, the Irish, Pakistani and Bangladeshi. </w:t>
      </w:r>
    </w:p>
    <w:p w14:paraId="1D25ECAE" w14:textId="77777777" w:rsidR="00F16012" w:rsidRDefault="00F16012" w:rsidP="00F16012">
      <w:pPr>
        <w:spacing w:after="0" w:line="480" w:lineRule="auto"/>
        <w:rPr>
          <w:rFonts w:ascii="Times New Roman" w:eastAsia="Times New Roman" w:hAnsi="Times New Roman" w:cs="Times New Roman"/>
          <w:sz w:val="24"/>
        </w:rPr>
      </w:pPr>
    </w:p>
    <w:p w14:paraId="52F589E1" w14:textId="24D206AD" w:rsidR="00F16012" w:rsidRPr="00400622"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It has been shown that this </w:t>
      </w:r>
      <w:r w:rsidR="00CC0034">
        <w:rPr>
          <w:rFonts w:ascii="Times New Roman" w:eastAsia="Times New Roman" w:hAnsi="Times New Roman" w:cs="Times New Roman"/>
          <w:sz w:val="24"/>
        </w:rPr>
        <w:t>unexpectedly large</w:t>
      </w:r>
      <w:r>
        <w:rPr>
          <w:rFonts w:ascii="Times New Roman" w:eastAsia="Times New Roman" w:hAnsi="Times New Roman" w:cs="Times New Roman"/>
          <w:sz w:val="24"/>
        </w:rPr>
        <w:t xml:space="preserve"> inflow of A8 migrants had no adverse effect on either UK wages or unemployment (Gilpin et al.</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2006; Lemos and Portes</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2013; Lemos</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2014).</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rPr>
        <w:t xml:space="preserve"> However, it has also been claimed that A8 immigrants have disadvantaged the UK’s low-skilled and young workers (Sumption and Somerville</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2010; MigrationWatch</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2012), strained the provision of local public services</w:t>
      </w:r>
      <w:r>
        <w:rPr>
          <w:rFonts w:ascii="Times New Roman" w:eastAsia="Times New Roman" w:hAnsi="Times New Roman" w:cs="Times New Roman"/>
          <w:sz w:val="24"/>
          <w:vertAlign w:val="superscript"/>
        </w:rPr>
        <w:footnoteReference w:id="4"/>
      </w:r>
      <w:r>
        <w:rPr>
          <w:rFonts w:ascii="Times New Roman" w:eastAsia="Times New Roman" w:hAnsi="Times New Roman" w:cs="Times New Roman"/>
          <w:sz w:val="24"/>
        </w:rPr>
        <w:t xml:space="preserve"> as well as been subject to exploitation and unfair treatment (</w:t>
      </w:r>
      <w:r>
        <w:rPr>
          <w:rFonts w:ascii="Times New Roman" w:eastAsia="Times New Roman" w:hAnsi="Times New Roman" w:cs="Times New Roman"/>
          <w:sz w:val="24"/>
          <w:highlight w:val="white"/>
        </w:rPr>
        <w:t>Jayaweera and Anderson</w:t>
      </w:r>
      <w:r w:rsidR="00375ACB">
        <w:rPr>
          <w:rFonts w:ascii="Times New Roman" w:eastAsia="Times New Roman" w:hAnsi="Times New Roman" w:cs="Times New Roman"/>
          <w:sz w:val="24"/>
          <w:highlight w:val="white"/>
        </w:rPr>
        <w:t>,</w:t>
      </w:r>
      <w:r w:rsidR="005B0055">
        <w:rPr>
          <w:rFonts w:ascii="Times New Roman" w:eastAsia="Times New Roman" w:hAnsi="Times New Roman" w:cs="Times New Roman"/>
          <w:sz w:val="24"/>
          <w:highlight w:val="white"/>
        </w:rPr>
        <w:t xml:space="preserve"> 2008</w:t>
      </w:r>
      <w:r>
        <w:rPr>
          <w:rFonts w:ascii="Times New Roman" w:eastAsia="Times New Roman" w:hAnsi="Times New Roman" w:cs="Times New Roman"/>
          <w:sz w:val="24"/>
          <w:highlight w:val="white"/>
        </w:rPr>
        <w:t xml:space="preserve">; </w:t>
      </w:r>
      <w:r>
        <w:rPr>
          <w:rFonts w:ascii="Times New Roman" w:eastAsia="Times New Roman" w:hAnsi="Times New Roman" w:cs="Times New Roman"/>
          <w:sz w:val="24"/>
        </w:rPr>
        <w:t>BBC</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2013). These reports, even if not always generalizable to the whole A8 migrant population, have received wide media coverage. Coupled with the extent of the A8 migration and the frustration over the EU internal labor mobility rules, they have contributed to the rising anti-immigration and anti-EU </w:t>
      </w:r>
      <w:r>
        <w:rPr>
          <w:rFonts w:ascii="Times New Roman" w:eastAsia="Times New Roman" w:hAnsi="Times New Roman" w:cs="Times New Roman"/>
          <w:sz w:val="24"/>
        </w:rPr>
        <w:lastRenderedPageBreak/>
        <w:t>sentiment in the UK, fueled support for the far-right political parties (Geddes</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2014; Lawless</w:t>
      </w:r>
      <w:r w:rsidR="00375AC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2015) and, ultimately, Brexit.   </w:t>
      </w:r>
    </w:p>
    <w:p w14:paraId="30B75F32" w14:textId="77777777" w:rsidR="00F16012" w:rsidRDefault="00F16012" w:rsidP="00F16012">
      <w:pPr>
        <w:spacing w:after="0" w:line="480" w:lineRule="auto"/>
        <w:rPr>
          <w:rFonts w:ascii="Times New Roman" w:eastAsia="Times New Roman" w:hAnsi="Times New Roman" w:cs="Times New Roman"/>
          <w:sz w:val="24"/>
        </w:rPr>
      </w:pPr>
    </w:p>
    <w:p w14:paraId="05CBCE92" w14:textId="7AEC5ED4" w:rsidR="00F16012" w:rsidRPr="00332742" w:rsidRDefault="00F16012" w:rsidP="00F16012">
      <w:pPr>
        <w:spacing w:after="0" w:line="480" w:lineRule="auto"/>
      </w:pPr>
      <w:r>
        <w:rPr>
          <w:rFonts w:ascii="Times New Roman" w:eastAsia="Times New Roman" w:hAnsi="Times New Roman" w:cs="Times New Roman"/>
          <w:sz w:val="24"/>
        </w:rPr>
        <w:t>We believe that the 2004 enlargement and the ensuing migrant inflows to the UK represent an instructive laboratory for the examination of the effects of immigration on the subjective well-being of local residents. Due to the sheer contribution of the new member states to the EU population (it increased by 20%) and the fact that only three countries – the UK, Ireland and Sweden – opened their borders to the new Europeans immediately upon accession, the 2004 enlargement has often been considered a natural experiment (Constant</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2012; Elsner</w:t>
      </w:r>
      <w:r w:rsidR="00375ACB">
        <w:rPr>
          <w:rFonts w:ascii="Times New Roman" w:eastAsia="Times New Roman" w:hAnsi="Times New Roman" w:cs="Times New Roman"/>
          <w:sz w:val="24"/>
        </w:rPr>
        <w:t xml:space="preserve">, </w:t>
      </w:r>
      <w:r>
        <w:rPr>
          <w:rFonts w:ascii="Times New Roman" w:eastAsia="Times New Roman" w:hAnsi="Times New Roman" w:cs="Times New Roman"/>
          <w:sz w:val="24"/>
        </w:rPr>
        <w:t>2013; Lemos and Portes</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2013, Kahanec et al.</w:t>
      </w:r>
      <w:r w:rsidR="00375ACB">
        <w:rPr>
          <w:rFonts w:ascii="Times New Roman" w:eastAsia="Times New Roman" w:hAnsi="Times New Roman" w:cs="Times New Roman"/>
          <w:sz w:val="24"/>
        </w:rPr>
        <w:t>,</w:t>
      </w:r>
      <w:r w:rsidR="005B0055">
        <w:rPr>
          <w:rFonts w:ascii="Times New Roman" w:eastAsia="Times New Roman" w:hAnsi="Times New Roman" w:cs="Times New Roman"/>
          <w:sz w:val="24"/>
        </w:rPr>
        <w:t xml:space="preserve"> 2016</w:t>
      </w:r>
      <w:r>
        <w:rPr>
          <w:rFonts w:ascii="Times New Roman" w:eastAsia="Times New Roman" w:hAnsi="Times New Roman" w:cs="Times New Roman"/>
          <w:sz w:val="24"/>
        </w:rPr>
        <w:t>).</w:t>
      </w:r>
      <w:r w:rsidRPr="00332742">
        <w:rPr>
          <w:rFonts w:ascii="Times New Roman" w:eastAsia="Times New Roman" w:hAnsi="Times New Roman" w:cs="Times New Roman"/>
          <w:sz w:val="24"/>
          <w:vertAlign w:val="superscript"/>
        </w:rPr>
        <w:footnoteReference w:id="5"/>
      </w:r>
      <w:r>
        <w:rPr>
          <w:rFonts w:ascii="Times New Roman" w:eastAsia="Times New Roman" w:hAnsi="Times New Roman" w:cs="Times New Roman"/>
          <w:sz w:val="24"/>
        </w:rPr>
        <w:t xml:space="preserve"> </w:t>
      </w:r>
      <w:r w:rsidRPr="00332742">
        <w:rPr>
          <w:rFonts w:ascii="Times New Roman" w:eastAsia="Times New Roman" w:hAnsi="Times New Roman" w:cs="Times New Roman"/>
          <w:sz w:val="24"/>
        </w:rPr>
        <w:t xml:space="preserve">In the context of our study, it is, for example, highly unlikely that the large and fast inflows of East Europeans were </w:t>
      </w:r>
      <w:r w:rsidRPr="00332742">
        <w:rPr>
          <w:rFonts w:ascii="Times New Roman" w:eastAsia="Times New Roman" w:hAnsi="Times New Roman" w:cs="Times New Roman"/>
          <w:i/>
          <w:sz w:val="24"/>
        </w:rPr>
        <w:t>driven</w:t>
      </w:r>
      <w:r w:rsidRPr="00332742">
        <w:rPr>
          <w:rFonts w:ascii="Times New Roman" w:eastAsia="Times New Roman" w:hAnsi="Times New Roman" w:cs="Times New Roman"/>
          <w:sz w:val="24"/>
        </w:rPr>
        <w:t xml:space="preserve"> by the subjective well-being (or their </w:t>
      </w:r>
      <w:r>
        <w:rPr>
          <w:rFonts w:ascii="Times New Roman" w:eastAsia="Times New Roman" w:hAnsi="Times New Roman" w:cs="Times New Roman"/>
          <w:sz w:val="24"/>
        </w:rPr>
        <w:t xml:space="preserve">expected </w:t>
      </w:r>
      <w:r w:rsidR="00375ACB">
        <w:rPr>
          <w:rFonts w:ascii="Times New Roman" w:eastAsia="Times New Roman" w:hAnsi="Times New Roman" w:cs="Times New Roman"/>
          <w:sz w:val="24"/>
        </w:rPr>
        <w:t>change</w:t>
      </w:r>
      <w:r w:rsidRPr="00332742">
        <w:rPr>
          <w:rFonts w:ascii="Times New Roman" w:eastAsia="Times New Roman" w:hAnsi="Times New Roman" w:cs="Times New Roman"/>
          <w:sz w:val="24"/>
        </w:rPr>
        <w:t xml:space="preserve">) of the UK residents; in other words, we can </w:t>
      </w:r>
      <w:r>
        <w:rPr>
          <w:rFonts w:ascii="Times New Roman" w:eastAsia="Times New Roman" w:hAnsi="Times New Roman" w:cs="Times New Roman"/>
          <w:sz w:val="24"/>
        </w:rPr>
        <w:t xml:space="preserve">by and large </w:t>
      </w:r>
      <w:r w:rsidRPr="00332742">
        <w:rPr>
          <w:rFonts w:ascii="Times New Roman" w:eastAsia="Times New Roman" w:hAnsi="Times New Roman" w:cs="Times New Roman"/>
          <w:sz w:val="24"/>
        </w:rPr>
        <w:t xml:space="preserve">exclude the possibility of reverse causality – one potential source of endogeneity. </w:t>
      </w:r>
    </w:p>
    <w:p w14:paraId="76C05C80" w14:textId="77777777" w:rsidR="00F16012" w:rsidRDefault="00F16012" w:rsidP="00F16012">
      <w:pPr>
        <w:spacing w:after="0" w:line="480" w:lineRule="auto"/>
        <w:rPr>
          <w:rFonts w:ascii="Times New Roman" w:eastAsia="Times New Roman" w:hAnsi="Times New Roman" w:cs="Times New Roman"/>
          <w:sz w:val="24"/>
        </w:rPr>
      </w:pPr>
    </w:p>
    <w:p w14:paraId="4CA993CF" w14:textId="22B5F27A" w:rsidR="00F16012" w:rsidRDefault="00F16012" w:rsidP="00F16012">
      <w:pPr>
        <w:spacing w:after="0" w:line="480" w:lineRule="auto"/>
        <w:rPr>
          <w:rFonts w:ascii="Times New Roman" w:eastAsia="Times New Roman" w:hAnsi="Times New Roman" w:cs="Times New Roman"/>
          <w:sz w:val="24"/>
        </w:rPr>
      </w:pPr>
      <w:r w:rsidRPr="00332742">
        <w:rPr>
          <w:rFonts w:ascii="Times New Roman" w:eastAsia="Times New Roman" w:hAnsi="Times New Roman" w:cs="Times New Roman"/>
          <w:sz w:val="24"/>
        </w:rPr>
        <w:t>Besides being fast</w:t>
      </w:r>
      <w:r w:rsidR="00384BDF">
        <w:rPr>
          <w:rFonts w:ascii="Times New Roman" w:eastAsia="Times New Roman" w:hAnsi="Times New Roman" w:cs="Times New Roman"/>
          <w:sz w:val="24"/>
        </w:rPr>
        <w:t xml:space="preserve"> and unexpectedly large</w:t>
      </w:r>
      <w:r w:rsidRPr="00332742">
        <w:rPr>
          <w:rFonts w:ascii="Times New Roman" w:eastAsia="Times New Roman" w:hAnsi="Times New Roman" w:cs="Times New Roman"/>
          <w:sz w:val="24"/>
        </w:rPr>
        <w:t>, the A8 migration to the UK was also geographically unevenly distributed (Figure 1). The demand for jobs in the geographically-concentrated, ‘migrant-intensive’ industries, such as agriculture, food processing and manufacturing, meant that that some UK communities were affected by the East European migration much more than others. Our identification strategy relies on this uneven geographical distribution of</w:t>
      </w:r>
      <w:r>
        <w:rPr>
          <w:rFonts w:ascii="Times New Roman" w:eastAsia="Times New Roman" w:hAnsi="Times New Roman" w:cs="Times New Roman"/>
          <w:sz w:val="24"/>
        </w:rPr>
        <w:t xml:space="preserve"> A8 immigration. In particular, we relate the local-level intensity of A8 migration to the changes in people’s life satisfaction over time. To capture the local-level migration intensity, we use data from the Worker Registration Scheme (WRS), which documented, between 2004 and 2011, the number of A8 workers starting a job in the UK at the local authority level. To capture changes in individual life satisfaction, we use the British Household Panel Survey (BHPS). Since the BHPS follows the same people over time, we can estimate fixed effects regression models that take account of the potentially confounding impact of time-invariant individual characteristics. </w:t>
      </w:r>
    </w:p>
    <w:p w14:paraId="2098490A" w14:textId="77777777" w:rsidR="00F16012" w:rsidRPr="0027251E" w:rsidRDefault="00F16012" w:rsidP="00F16012">
      <w:pPr>
        <w:spacing w:after="0" w:line="480" w:lineRule="auto"/>
        <w:rPr>
          <w:rFonts w:ascii="Times New Roman" w:eastAsia="Times New Roman" w:hAnsi="Times New Roman" w:cs="Times New Roman"/>
          <w:sz w:val="24"/>
        </w:rPr>
      </w:pPr>
    </w:p>
    <w:p w14:paraId="0D36BA23" w14:textId="77777777" w:rsidR="00F16012" w:rsidRDefault="00F16012" w:rsidP="00F16012">
      <w:pPr>
        <w:spacing w:after="0" w:line="240" w:lineRule="auto"/>
        <w:rPr>
          <w:rFonts w:ascii="Times New Roman" w:eastAsia="Times New Roman" w:hAnsi="Times New Roman" w:cs="Times New Roman"/>
          <w:b/>
          <w:sz w:val="24"/>
        </w:rPr>
      </w:pPr>
      <w:r w:rsidRPr="0027251E">
        <w:rPr>
          <w:rFonts w:ascii="Times New Roman" w:eastAsia="Times New Roman" w:hAnsi="Times New Roman" w:cs="Times New Roman"/>
          <w:b/>
          <w:sz w:val="24"/>
        </w:rPr>
        <w:t>Figure 1. Geographical distribution of A8 migration in England and Wales, 2004-2008, % of local population</w:t>
      </w:r>
    </w:p>
    <w:p w14:paraId="078F785B" w14:textId="77777777" w:rsidR="00F16012" w:rsidRPr="0027251E" w:rsidRDefault="00F16012" w:rsidP="00F16012">
      <w:pPr>
        <w:spacing w:after="0" w:line="480" w:lineRule="auto"/>
        <w:rPr>
          <w:rFonts w:ascii="Times New Roman" w:eastAsia="Times New Roman" w:hAnsi="Times New Roman" w:cs="Times New Roman"/>
          <w:b/>
          <w:sz w:val="24"/>
        </w:rPr>
      </w:pPr>
    </w:p>
    <w:p w14:paraId="2608F1E8" w14:textId="77777777" w:rsidR="00F16012" w:rsidRDefault="00F16012" w:rsidP="00F16012">
      <w:pPr>
        <w:spacing w:after="0" w:line="480" w:lineRule="auto"/>
      </w:pPr>
      <w:r>
        <w:rPr>
          <w:noProof/>
          <w:lang w:val="en-GB" w:eastAsia="zh-CN"/>
        </w:rPr>
        <w:drawing>
          <wp:inline distT="0" distB="0" distL="0" distR="0" wp14:anchorId="0E82E6FC" wp14:editId="4EE40911">
            <wp:extent cx="2524836" cy="301615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572" t="10285" r="52381" b="5523"/>
                    <a:stretch/>
                  </pic:blipFill>
                  <pic:spPr bwMode="auto">
                    <a:xfrm>
                      <a:off x="0" y="0"/>
                      <a:ext cx="2524594" cy="3015867"/>
                    </a:xfrm>
                    <a:prstGeom prst="rect">
                      <a:avLst/>
                    </a:prstGeom>
                    <a:ln>
                      <a:noFill/>
                    </a:ln>
                    <a:extLst>
                      <a:ext uri="{53640926-AAD7-44D8-BBD7-CCE9431645EC}">
                        <a14:shadowObscured xmlns:a14="http://schemas.microsoft.com/office/drawing/2010/main"/>
                      </a:ext>
                    </a:extLst>
                  </pic:spPr>
                </pic:pic>
              </a:graphicData>
            </a:graphic>
          </wp:inline>
        </w:drawing>
      </w:r>
    </w:p>
    <w:p w14:paraId="4035299F" w14:textId="77777777" w:rsidR="00F16012" w:rsidRDefault="00F16012" w:rsidP="00F16012">
      <w:pPr>
        <w:spacing w:after="0" w:line="480" w:lineRule="auto"/>
        <w:rPr>
          <w:rFonts w:ascii="Times New Roman" w:eastAsia="Times New Roman" w:hAnsi="Times New Roman" w:cs="Times New Roman"/>
        </w:rPr>
      </w:pPr>
    </w:p>
    <w:p w14:paraId="528A9885" w14:textId="1B2558E4" w:rsidR="00F16012" w:rsidRDefault="00F16012" w:rsidP="00F16012">
      <w:pPr>
        <w:spacing w:after="0" w:line="480" w:lineRule="auto"/>
      </w:pPr>
      <w:r>
        <w:rPr>
          <w:rFonts w:ascii="Times New Roman" w:eastAsia="Times New Roman" w:hAnsi="Times New Roman" w:cs="Times New Roman"/>
        </w:rPr>
        <w:t>Sou</w:t>
      </w:r>
      <w:r w:rsidR="00375ACB">
        <w:rPr>
          <w:rFonts w:ascii="Times New Roman" w:eastAsia="Times New Roman" w:hAnsi="Times New Roman" w:cs="Times New Roman"/>
        </w:rPr>
        <w:t xml:space="preserve">rce: Worker Registration Scheme and authors’ calculations. </w:t>
      </w:r>
    </w:p>
    <w:p w14:paraId="2A0A0567" w14:textId="77777777" w:rsidR="00F16012" w:rsidRDefault="00F16012" w:rsidP="00F16012">
      <w:pPr>
        <w:spacing w:after="0" w:line="480" w:lineRule="auto"/>
        <w:rPr>
          <w:rFonts w:ascii="Times New Roman" w:eastAsia="Times New Roman" w:hAnsi="Times New Roman" w:cs="Times New Roman"/>
          <w:sz w:val="24"/>
        </w:rPr>
      </w:pPr>
    </w:p>
    <w:p w14:paraId="5D7E0726" w14:textId="19566146" w:rsidR="00F16012" w:rsidRPr="00F44AB1" w:rsidRDefault="00F16012" w:rsidP="00F16012">
      <w:pPr>
        <w:spacing w:after="0" w:line="480" w:lineRule="auto"/>
        <w:rPr>
          <w:strike/>
        </w:rPr>
      </w:pPr>
      <w:r w:rsidRPr="004A3015">
        <w:rPr>
          <w:rFonts w:ascii="Times New Roman" w:eastAsia="Times New Roman" w:hAnsi="Times New Roman" w:cs="Times New Roman"/>
          <w:color w:val="000000" w:themeColor="text1"/>
          <w:sz w:val="24"/>
        </w:rPr>
        <w:t xml:space="preserve">Our paper contributes </w:t>
      </w:r>
      <w:r>
        <w:rPr>
          <w:rFonts w:ascii="Times New Roman" w:eastAsia="Times New Roman" w:hAnsi="Times New Roman" w:cs="Times New Roman"/>
          <w:sz w:val="24"/>
        </w:rPr>
        <w:t>to the nascent literature on the effects of immigration and diversity on the subjective well-being of native populations (Betz and Simpson</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2013; Longhi</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2014; Akay at al.</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2014; Akay et al., 2017), the detailed review of which we provide in the next section, as well as to the broader, rapidly growing literature on subjective well-being and migration.</w:t>
      </w:r>
      <w:r>
        <w:rPr>
          <w:rFonts w:ascii="Times New Roman" w:eastAsia="Times New Roman" w:hAnsi="Times New Roman" w:cs="Times New Roman"/>
          <w:sz w:val="24"/>
          <w:vertAlign w:val="superscript"/>
        </w:rPr>
        <w:footnoteReference w:id="6"/>
      </w:r>
      <w:r>
        <w:rPr>
          <w:rFonts w:ascii="Times New Roman" w:eastAsia="Times New Roman" w:hAnsi="Times New Roman" w:cs="Times New Roman"/>
          <w:sz w:val="24"/>
        </w:rPr>
        <w:t xml:space="preserve"> We also add</w:t>
      </w:r>
      <w:r w:rsidRPr="005F53AE">
        <w:rPr>
          <w:rFonts w:ascii="Times New Roman" w:eastAsia="Times New Roman" w:hAnsi="Times New Roman" w:cs="Times New Roman"/>
          <w:sz w:val="24"/>
        </w:rPr>
        <w:t xml:space="preserve"> to the literature studying the relative importance of individual and regional variation in subjective well-being, as well as the regional and local-level determinants of it. While some studies have found that, after controlling for individual-level factors, the role of geography in explaining well-being</w:t>
      </w:r>
      <w:r>
        <w:rPr>
          <w:rFonts w:ascii="Times New Roman" w:eastAsia="Times New Roman" w:hAnsi="Times New Roman" w:cs="Times New Roman"/>
          <w:sz w:val="24"/>
        </w:rPr>
        <w:t xml:space="preserve"> is limited (Ballas and Tranmer</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427D5E">
        <w:rPr>
          <w:rFonts w:ascii="Times New Roman" w:eastAsia="Times New Roman" w:hAnsi="Times New Roman" w:cs="Times New Roman"/>
          <w:sz w:val="24"/>
        </w:rPr>
        <w:t>2012</w:t>
      </w:r>
      <w:r w:rsidRPr="005F53AE">
        <w:rPr>
          <w:rFonts w:ascii="Times New Roman" w:eastAsia="Times New Roman" w:hAnsi="Times New Roman" w:cs="Times New Roman"/>
          <w:sz w:val="24"/>
        </w:rPr>
        <w:t>), others have found that the regi</w:t>
      </w:r>
      <w:r>
        <w:rPr>
          <w:rFonts w:ascii="Times New Roman" w:eastAsia="Times New Roman" w:hAnsi="Times New Roman" w:cs="Times New Roman"/>
          <w:sz w:val="24"/>
        </w:rPr>
        <w:t>o</w:t>
      </w:r>
      <w:r w:rsidRPr="005F53AE">
        <w:rPr>
          <w:rFonts w:ascii="Times New Roman" w:eastAsia="Times New Roman" w:hAnsi="Times New Roman" w:cs="Times New Roman"/>
          <w:sz w:val="24"/>
        </w:rPr>
        <w:t>nal dimension matters (</w:t>
      </w:r>
      <w:r>
        <w:rPr>
          <w:rFonts w:ascii="Times New Roman" w:eastAsia="Times New Roman" w:hAnsi="Times New Roman" w:cs="Times New Roman"/>
          <w:sz w:val="24"/>
        </w:rPr>
        <w:t>Aslam and Corrado</w:t>
      </w:r>
      <w:r w:rsidR="00375ACB">
        <w:rPr>
          <w:rFonts w:ascii="Times New Roman" w:eastAsia="Times New Roman" w:hAnsi="Times New Roman" w:cs="Times New Roman"/>
          <w:sz w:val="24"/>
        </w:rPr>
        <w:t>,</w:t>
      </w:r>
      <w:r w:rsidRPr="005F53AE">
        <w:rPr>
          <w:rFonts w:ascii="Times New Roman" w:eastAsia="Times New Roman" w:hAnsi="Times New Roman" w:cs="Times New Roman"/>
          <w:sz w:val="24"/>
        </w:rPr>
        <w:t xml:space="preserve"> 2012; Pit</w:t>
      </w:r>
      <w:r>
        <w:rPr>
          <w:rFonts w:ascii="Times New Roman" w:eastAsia="Times New Roman" w:hAnsi="Times New Roman" w:cs="Times New Roman"/>
          <w:sz w:val="24"/>
        </w:rPr>
        <w:t>tau et al.</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2010; Pierewan and Tampubolon</w:t>
      </w:r>
      <w:r w:rsidR="00375ACB">
        <w:rPr>
          <w:rFonts w:ascii="Times New Roman" w:eastAsia="Times New Roman" w:hAnsi="Times New Roman" w:cs="Times New Roman"/>
          <w:sz w:val="24"/>
        </w:rPr>
        <w:t>,</w:t>
      </w:r>
      <w:r w:rsidRPr="005F53AE">
        <w:rPr>
          <w:rFonts w:ascii="Times New Roman" w:eastAsia="Times New Roman" w:hAnsi="Times New Roman" w:cs="Times New Roman"/>
          <w:sz w:val="24"/>
        </w:rPr>
        <w:t xml:space="preserve"> 2014) and </w:t>
      </w:r>
      <w:r>
        <w:rPr>
          <w:rFonts w:ascii="Times New Roman" w:eastAsia="Times New Roman" w:hAnsi="Times New Roman" w:cs="Times New Roman"/>
          <w:sz w:val="24"/>
        </w:rPr>
        <w:t xml:space="preserve">that </w:t>
      </w:r>
      <w:r w:rsidRPr="005F53AE">
        <w:rPr>
          <w:rFonts w:ascii="Times New Roman" w:eastAsia="Times New Roman" w:hAnsi="Times New Roman" w:cs="Times New Roman"/>
          <w:sz w:val="24"/>
        </w:rPr>
        <w:t>contextual characteristics, such as the neighborhood levels of social support and socio-economic deprivation, can be important determinants of subjective well-being (</w:t>
      </w:r>
      <w:r>
        <w:rPr>
          <w:rFonts w:ascii="Times New Roman" w:eastAsia="Times New Roman" w:hAnsi="Times New Roman" w:cs="Times New Roman"/>
          <w:sz w:val="24"/>
        </w:rPr>
        <w:t>Shields</w:t>
      </w:r>
      <w:r w:rsidR="00427D5E">
        <w:rPr>
          <w:rFonts w:ascii="Times New Roman" w:eastAsia="Times New Roman" w:hAnsi="Times New Roman" w:cs="Times New Roman"/>
          <w:sz w:val="24"/>
        </w:rPr>
        <w:t xml:space="preserve"> et al.</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2009; Howley et al.</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2015; Tselios at al.</w:t>
      </w:r>
      <w:r w:rsidR="00375ACB">
        <w:rPr>
          <w:rFonts w:ascii="Times New Roman" w:eastAsia="Times New Roman" w:hAnsi="Times New Roman" w:cs="Times New Roman"/>
          <w:sz w:val="24"/>
        </w:rPr>
        <w:t>,</w:t>
      </w:r>
      <w:r>
        <w:rPr>
          <w:rFonts w:ascii="Times New Roman" w:eastAsia="Times New Roman" w:hAnsi="Times New Roman" w:cs="Times New Roman"/>
          <w:sz w:val="24"/>
        </w:rPr>
        <w:t xml:space="preserve"> 2015)</w:t>
      </w:r>
      <w:r w:rsidRPr="005F53AE">
        <w:rPr>
          <w:rFonts w:ascii="Times New Roman" w:eastAsia="Times New Roman" w:hAnsi="Times New Roman" w:cs="Times New Roman"/>
          <w:sz w:val="24"/>
        </w:rPr>
        <w:t>. Our findings support the importance of the regional dimension in explaining subjective well-being and suggest that local-level immigration inflows are an important predictor of the changes in individual life satisfaction</w:t>
      </w:r>
      <w:r>
        <w:rPr>
          <w:rFonts w:ascii="Times New Roman" w:eastAsia="Times New Roman" w:hAnsi="Times New Roman" w:cs="Times New Roman"/>
          <w:sz w:val="24"/>
        </w:rPr>
        <w:t>.</w:t>
      </w:r>
      <w:r w:rsidRPr="00F44AB1">
        <w:rPr>
          <w:rFonts w:ascii="Times New Roman" w:eastAsia="Times New Roman" w:hAnsi="Times New Roman" w:cs="Times New Roman"/>
          <w:strike/>
          <w:sz w:val="24"/>
        </w:rPr>
        <w:t xml:space="preserve"> </w:t>
      </w:r>
    </w:p>
    <w:p w14:paraId="46E528A0" w14:textId="77777777" w:rsidR="00F16012" w:rsidRDefault="00F16012" w:rsidP="00F16012">
      <w:pPr>
        <w:spacing w:after="0" w:line="480" w:lineRule="auto"/>
        <w:rPr>
          <w:rFonts w:ascii="Times New Roman" w:eastAsia="Times New Roman" w:hAnsi="Times New Roman" w:cs="Times New Roman"/>
          <w:sz w:val="24"/>
        </w:rPr>
      </w:pPr>
    </w:p>
    <w:p w14:paraId="60546A93" w14:textId="77777777" w:rsidR="00A52847"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remainder of the article is organized as follows. Section 2 reviews the related literature and outlines the channels through which immigration may affect the subjective well-being of receiving populations. Section 3 presents the data and estimation approach. Section 4 reports the results, while section 5 discusses them in more detail and concludes. </w:t>
      </w:r>
    </w:p>
    <w:p w14:paraId="6517D14D" w14:textId="77777777" w:rsidR="007D051D" w:rsidRDefault="007D051D" w:rsidP="00F16012">
      <w:pPr>
        <w:spacing w:after="0" w:line="480" w:lineRule="auto"/>
        <w:rPr>
          <w:rFonts w:ascii="Times New Roman" w:eastAsia="Times New Roman" w:hAnsi="Times New Roman" w:cs="Times New Roman"/>
          <w:b/>
          <w:sz w:val="24"/>
        </w:rPr>
      </w:pPr>
    </w:p>
    <w:p w14:paraId="47453577" w14:textId="77777777" w:rsidR="00375ACB" w:rsidRDefault="00375ACB" w:rsidP="00F16012">
      <w:pPr>
        <w:spacing w:after="0" w:line="480" w:lineRule="auto"/>
        <w:rPr>
          <w:rFonts w:ascii="Times New Roman" w:eastAsia="Times New Roman" w:hAnsi="Times New Roman" w:cs="Times New Roman"/>
          <w:b/>
          <w:sz w:val="24"/>
        </w:rPr>
      </w:pPr>
    </w:p>
    <w:p w14:paraId="4520EA9A" w14:textId="77777777" w:rsidR="00375ACB" w:rsidRDefault="00375ACB" w:rsidP="00F16012">
      <w:pPr>
        <w:spacing w:after="0" w:line="480" w:lineRule="auto"/>
        <w:rPr>
          <w:rFonts w:ascii="Times New Roman" w:eastAsia="Times New Roman" w:hAnsi="Times New Roman" w:cs="Times New Roman"/>
          <w:b/>
          <w:sz w:val="24"/>
        </w:rPr>
      </w:pPr>
    </w:p>
    <w:p w14:paraId="1AD4DDA7" w14:textId="77777777" w:rsidR="00375ACB" w:rsidRDefault="00375ACB" w:rsidP="00F16012">
      <w:pPr>
        <w:spacing w:after="0" w:line="480" w:lineRule="auto"/>
        <w:rPr>
          <w:rFonts w:ascii="Times New Roman" w:eastAsia="Times New Roman" w:hAnsi="Times New Roman" w:cs="Times New Roman"/>
          <w:b/>
          <w:sz w:val="24"/>
        </w:rPr>
      </w:pPr>
    </w:p>
    <w:p w14:paraId="734822FC" w14:textId="77777777" w:rsidR="00375ACB" w:rsidRDefault="00375ACB" w:rsidP="00F16012">
      <w:pPr>
        <w:spacing w:after="0" w:line="480" w:lineRule="auto"/>
        <w:rPr>
          <w:rFonts w:ascii="Times New Roman" w:eastAsia="Times New Roman" w:hAnsi="Times New Roman" w:cs="Times New Roman"/>
          <w:b/>
          <w:sz w:val="24"/>
        </w:rPr>
      </w:pPr>
    </w:p>
    <w:p w14:paraId="5DC5736D" w14:textId="77777777" w:rsidR="00F16012" w:rsidRPr="00A52847" w:rsidRDefault="00F16012" w:rsidP="00F16012">
      <w:pPr>
        <w:spacing w:after="0" w:line="480" w:lineRule="auto"/>
        <w:rPr>
          <w:rFonts w:ascii="Times New Roman" w:eastAsia="Times New Roman" w:hAnsi="Times New Roman" w:cs="Times New Roman"/>
          <w:sz w:val="24"/>
        </w:rPr>
      </w:pPr>
      <w:r w:rsidRPr="00EE1AD9">
        <w:rPr>
          <w:rFonts w:ascii="Times New Roman" w:eastAsia="Times New Roman" w:hAnsi="Times New Roman" w:cs="Times New Roman"/>
          <w:b/>
          <w:sz w:val="24"/>
        </w:rPr>
        <w:t>2. Immigration and subjective well-being: related literature and conceptual channels</w:t>
      </w:r>
    </w:p>
    <w:p w14:paraId="7AEA117C" w14:textId="77777777" w:rsidR="00F16012" w:rsidRDefault="00F16012" w:rsidP="00F16012">
      <w:pPr>
        <w:spacing w:after="0" w:line="480" w:lineRule="auto"/>
        <w:rPr>
          <w:rFonts w:ascii="Times New Roman" w:eastAsia="Times New Roman" w:hAnsi="Times New Roman" w:cs="Times New Roman"/>
          <w:sz w:val="24"/>
        </w:rPr>
      </w:pPr>
    </w:p>
    <w:p w14:paraId="00ADA9AD" w14:textId="77777777" w:rsidR="00F16012"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Our study is most closely related to the nascent literature on the effects of immigration and diversity on the subjective well-being of receiving populations. This subsection provides a brief overview of its main </w:t>
      </w:r>
      <w:r w:rsidR="00A53FFD">
        <w:rPr>
          <w:rFonts w:ascii="Times New Roman" w:eastAsia="Times New Roman" w:hAnsi="Times New Roman" w:cs="Times New Roman"/>
          <w:sz w:val="24"/>
        </w:rPr>
        <w:t xml:space="preserve">extant </w:t>
      </w:r>
      <w:r>
        <w:rPr>
          <w:rFonts w:ascii="Times New Roman" w:eastAsia="Times New Roman" w:hAnsi="Times New Roman" w:cs="Times New Roman"/>
          <w:sz w:val="24"/>
        </w:rPr>
        <w:t>contributions.</w:t>
      </w:r>
    </w:p>
    <w:p w14:paraId="21530D6B" w14:textId="77777777" w:rsidR="00F16012" w:rsidRDefault="00F16012" w:rsidP="00F16012">
      <w:pPr>
        <w:spacing w:after="0" w:line="480" w:lineRule="auto"/>
        <w:rPr>
          <w:rFonts w:ascii="Times New Roman" w:eastAsia="Times New Roman" w:hAnsi="Times New Roman" w:cs="Times New Roman"/>
          <w:sz w:val="24"/>
        </w:rPr>
      </w:pPr>
    </w:p>
    <w:p w14:paraId="0A3684DD" w14:textId="77777777" w:rsidR="00F16012"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Betz and Simpson (2013) study the relationship between the </w:t>
      </w:r>
      <w:r w:rsidRPr="004D1343">
        <w:rPr>
          <w:rFonts w:ascii="Times New Roman" w:eastAsia="Times New Roman" w:hAnsi="Times New Roman" w:cs="Times New Roman"/>
          <w:sz w:val="24"/>
        </w:rPr>
        <w:t>country-level immigrant flows</w:t>
      </w:r>
      <w:r>
        <w:rPr>
          <w:rFonts w:ascii="Times New Roman" w:eastAsia="Times New Roman" w:hAnsi="Times New Roman" w:cs="Times New Roman"/>
          <w:sz w:val="24"/>
        </w:rPr>
        <w:t xml:space="preserve"> and individual happiness in 26 European countries. Their analysis draws on the five waves (2002-2010) of the European Social Survey, which allows controlling for year and country, but not for individual fixed effects (the European Social Survey consists of repeated country cross-sections). They report a positive association between the recent (one-year lagged) immigration flows and the happiness of natives. Two-year lagged immigration has a smaller positive effect, and the effect of longer-term immigration flows is insignificant.  </w:t>
      </w:r>
    </w:p>
    <w:p w14:paraId="6893B9BC" w14:textId="77777777" w:rsidR="00F16012" w:rsidRDefault="00F16012" w:rsidP="00F16012">
      <w:pPr>
        <w:spacing w:after="0" w:line="480" w:lineRule="auto"/>
      </w:pPr>
    </w:p>
    <w:p w14:paraId="06494046" w14:textId="77777777" w:rsidR="00F16012" w:rsidRDefault="00F16012" w:rsidP="00F16012">
      <w:pPr>
        <w:spacing w:after="0" w:line="480" w:lineRule="auto"/>
        <w:rPr>
          <w:rFonts w:ascii="Times New Roman" w:eastAsia="Times New Roman" w:hAnsi="Times New Roman" w:cs="Times New Roman"/>
          <w:sz w:val="24"/>
        </w:rPr>
      </w:pPr>
      <w:r w:rsidRPr="005F53AE">
        <w:rPr>
          <w:rFonts w:ascii="Times New Roman" w:eastAsia="Times New Roman" w:hAnsi="Times New Roman" w:cs="Times New Roman"/>
          <w:sz w:val="24"/>
        </w:rPr>
        <w:t xml:space="preserve">While the analysis of Betz and Simpson (2013) draws on </w:t>
      </w:r>
      <w:r>
        <w:rPr>
          <w:rFonts w:ascii="Times New Roman" w:eastAsia="Times New Roman" w:hAnsi="Times New Roman" w:cs="Times New Roman"/>
          <w:sz w:val="24"/>
        </w:rPr>
        <w:t xml:space="preserve">the </w:t>
      </w:r>
      <w:r w:rsidRPr="005F53AE">
        <w:rPr>
          <w:rFonts w:ascii="Times New Roman" w:eastAsia="Times New Roman" w:hAnsi="Times New Roman" w:cs="Times New Roman"/>
          <w:sz w:val="24"/>
        </w:rPr>
        <w:t>country-level variation in immigrant flows, Longhi (2014) focuses on a single country (UK) and studies the relationship between life satisfaction and diversity (by country of birth, ethnicity and religion) at a geographically much more disaggregated level. Merging the 2009-10 wave of the Understanding Society survey with the local-authority-level diversity statistics from the 2011 UK Census, Longhi (2014) finds that people living in more diverse communities are less satisfied with life. The result, however, is statistically significant only for the white British population; the life satisfaction of the non-white British and the foreign-born is not affected by diversity.</w:t>
      </w:r>
      <w:r>
        <w:rPr>
          <w:rFonts w:ascii="Times New Roman" w:eastAsia="Times New Roman" w:hAnsi="Times New Roman" w:cs="Times New Roman"/>
          <w:sz w:val="24"/>
        </w:rPr>
        <w:t xml:space="preserve"> </w:t>
      </w:r>
    </w:p>
    <w:p w14:paraId="4333667E" w14:textId="77777777" w:rsidR="00F16012" w:rsidRPr="005F53AE" w:rsidRDefault="00F16012" w:rsidP="00F16012">
      <w:pPr>
        <w:spacing w:after="0" w:line="480" w:lineRule="auto"/>
        <w:rPr>
          <w:rFonts w:ascii="Times New Roman" w:eastAsia="Times New Roman" w:hAnsi="Times New Roman" w:cs="Times New Roman"/>
          <w:sz w:val="24"/>
        </w:rPr>
      </w:pPr>
    </w:p>
    <w:p w14:paraId="25EFB7EE" w14:textId="3E6F00E5" w:rsidR="00F16012"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Next, Akay et al. (2014) study the impact of immigration on the life satisfaction of natives in Germany. Relating changes in the share of immigrants in Germany’s 96 regions to changes in individual life satisfaction over 11 years (1998-2009), Akay et al. (2014) uncover a positive relationship between immigration and life satisfaction of natives. This effect is highest in regions with intermediate levels of immigrant assimilation and appears to be driven by satisfaction with dwelling and leisure. An important distinction from Betz and Simpson (2013) and Longhi (2014) is that Akay et al. (2014) use panel data (German Socio-Econ</w:t>
      </w:r>
      <w:r w:rsidR="00334F2F">
        <w:rPr>
          <w:rFonts w:ascii="Times New Roman" w:eastAsia="Times New Roman" w:hAnsi="Times New Roman" w:cs="Times New Roman"/>
          <w:sz w:val="24"/>
        </w:rPr>
        <w:t>omic Panel Survey), which allows</w:t>
      </w:r>
      <w:r>
        <w:rPr>
          <w:rFonts w:ascii="Times New Roman" w:eastAsia="Times New Roman" w:hAnsi="Times New Roman" w:cs="Times New Roman"/>
          <w:sz w:val="24"/>
        </w:rPr>
        <w:t xml:space="preserve"> them to control for unobserved individual-level heterogeneity. </w:t>
      </w:r>
    </w:p>
    <w:p w14:paraId="786FFC3A" w14:textId="77777777" w:rsidR="00F16012" w:rsidRDefault="00F16012" w:rsidP="00F16012">
      <w:pPr>
        <w:spacing w:after="0" w:line="480" w:lineRule="auto"/>
        <w:rPr>
          <w:rFonts w:ascii="Times New Roman" w:eastAsia="Times New Roman" w:hAnsi="Times New Roman" w:cs="Times New Roman"/>
          <w:sz w:val="24"/>
        </w:rPr>
      </w:pPr>
    </w:p>
    <w:p w14:paraId="7B2C23F2" w14:textId="77777777" w:rsidR="00F16012"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Finally, Akay et al. (2017), using the same context, dataset and </w:t>
      </w:r>
      <w:r w:rsidR="00A53FFD">
        <w:rPr>
          <w:rFonts w:ascii="Times New Roman" w:eastAsia="Times New Roman" w:hAnsi="Times New Roman" w:cs="Times New Roman"/>
          <w:sz w:val="24"/>
        </w:rPr>
        <w:t>methodology as Akay et al. (2014</w:t>
      </w:r>
      <w:r>
        <w:rPr>
          <w:rFonts w:ascii="Times New Roman" w:eastAsia="Times New Roman" w:hAnsi="Times New Roman" w:cs="Times New Roman"/>
          <w:sz w:val="24"/>
        </w:rPr>
        <w:t xml:space="preserve">), find that the local-level ethnic diversity, measured with the population register information on the nationalities of immigrants, increases the life satisfaction of natives. Importantly, the results are driven by the younger and mid-age respondent groups, while no statistically significant relationship between immigrant diversity and subjective wellbeing is found for older respondents (age 50+). </w:t>
      </w:r>
    </w:p>
    <w:p w14:paraId="676BE3E3" w14:textId="77777777" w:rsidR="00F16012" w:rsidRDefault="00F16012" w:rsidP="00F16012">
      <w:pPr>
        <w:spacing w:after="0" w:line="480" w:lineRule="auto"/>
        <w:rPr>
          <w:rFonts w:ascii="Times New Roman" w:eastAsia="Times New Roman" w:hAnsi="Times New Roman" w:cs="Times New Roman"/>
          <w:sz w:val="24"/>
        </w:rPr>
      </w:pPr>
    </w:p>
    <w:p w14:paraId="311267BD" w14:textId="438223FD" w:rsidR="00F16012" w:rsidRDefault="00F16012" w:rsidP="00F1601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Our study adopts a methodology similar to Akay et al. (2014) and Akay et al. (2017), although we exploit a </w:t>
      </w:r>
      <w:r w:rsidRPr="00DB4D07">
        <w:rPr>
          <w:rFonts w:ascii="Times New Roman" w:eastAsia="Times New Roman" w:hAnsi="Times New Roman" w:cs="Times New Roman"/>
          <w:sz w:val="24"/>
        </w:rPr>
        <w:t>more disaggregated spatial var</w:t>
      </w:r>
      <w:r w:rsidR="006921B7" w:rsidRPr="00DB4D07">
        <w:rPr>
          <w:rFonts w:ascii="Times New Roman" w:eastAsia="Times New Roman" w:hAnsi="Times New Roman" w:cs="Times New Roman"/>
          <w:sz w:val="24"/>
        </w:rPr>
        <w:t>iation in immigration rates (32</w:t>
      </w:r>
      <w:r w:rsidR="0077549D" w:rsidRPr="00DB4D07">
        <w:rPr>
          <w:rFonts w:ascii="Times New Roman" w:eastAsia="Times New Roman" w:hAnsi="Times New Roman" w:cs="Times New Roman"/>
          <w:sz w:val="24"/>
        </w:rPr>
        <w:t>0</w:t>
      </w:r>
      <w:r w:rsidRPr="00DB4D07">
        <w:rPr>
          <w:rFonts w:ascii="Times New Roman" w:eastAsia="Times New Roman" w:hAnsi="Times New Roman" w:cs="Times New Roman"/>
          <w:sz w:val="24"/>
        </w:rPr>
        <w:t xml:space="preserve"> local authority districts</w:t>
      </w:r>
      <w:r w:rsidR="006921B7" w:rsidRPr="00DB4D07">
        <w:rPr>
          <w:rFonts w:ascii="Times New Roman" w:eastAsia="Times New Roman" w:hAnsi="Times New Roman" w:cs="Times New Roman"/>
          <w:sz w:val="24"/>
        </w:rPr>
        <w:t xml:space="preserve"> of England and Wales</w:t>
      </w:r>
      <w:r w:rsidRPr="00DB4D07">
        <w:rPr>
          <w:rFonts w:ascii="Times New Roman" w:eastAsia="Times New Roman" w:hAnsi="Times New Roman" w:cs="Times New Roman"/>
          <w:sz w:val="24"/>
        </w:rPr>
        <w:t>)</w:t>
      </w:r>
      <w:r>
        <w:rPr>
          <w:rFonts w:ascii="Times New Roman" w:eastAsia="Times New Roman" w:hAnsi="Times New Roman" w:cs="Times New Roman"/>
          <w:sz w:val="24"/>
        </w:rPr>
        <w:t xml:space="preserve"> and concentrate on the effects on life satisfaction of a specific migration wave (A8 migration). We hypothesise that the A8 immigration may have affected </w:t>
      </w:r>
      <w:r w:rsidR="00334F2F">
        <w:rPr>
          <w:rFonts w:ascii="Times New Roman" w:eastAsia="Times New Roman" w:hAnsi="Times New Roman" w:cs="Times New Roman"/>
          <w:sz w:val="24"/>
        </w:rPr>
        <w:t xml:space="preserve">the </w:t>
      </w:r>
      <w:r>
        <w:rPr>
          <w:rFonts w:ascii="Times New Roman" w:eastAsia="Times New Roman" w:hAnsi="Times New Roman" w:cs="Times New Roman"/>
          <w:sz w:val="24"/>
        </w:rPr>
        <w:t xml:space="preserve">subjective well-being of UK residents through a number of channels: by increasing concerns about labour market competition and provision of public services (note that, even in the absence of real effects, people may still think immigration is harmful) and disrupting local ways of life through increased diversity. </w:t>
      </w:r>
    </w:p>
    <w:p w14:paraId="2A228332" w14:textId="77777777" w:rsidR="00F16012" w:rsidRDefault="00F16012" w:rsidP="00F16012">
      <w:pPr>
        <w:spacing w:after="0" w:line="480" w:lineRule="auto"/>
        <w:rPr>
          <w:rFonts w:ascii="Times New Roman" w:eastAsia="Times New Roman" w:hAnsi="Times New Roman" w:cs="Times New Roman"/>
          <w:sz w:val="24"/>
        </w:rPr>
      </w:pPr>
    </w:p>
    <w:p w14:paraId="090FDE39" w14:textId="40DB1CCF" w:rsidR="00A05A49" w:rsidRDefault="00F16012" w:rsidP="0027251E">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We are also interested in how immigration affects life satisfaction of different groups of people, such </w:t>
      </w:r>
      <w:r w:rsidR="00334F2F">
        <w:rPr>
          <w:rFonts w:ascii="Times New Roman" w:eastAsia="Times New Roman" w:hAnsi="Times New Roman" w:cs="Times New Roman"/>
          <w:sz w:val="24"/>
        </w:rPr>
        <w:t xml:space="preserve">as </w:t>
      </w:r>
      <w:r>
        <w:rPr>
          <w:rFonts w:ascii="Times New Roman" w:eastAsia="Times New Roman" w:hAnsi="Times New Roman" w:cs="Times New Roman"/>
          <w:sz w:val="24"/>
        </w:rPr>
        <w:t>younger and older residents, the employed and unemployed, as well as people with lower and higher levels of education</w:t>
      </w:r>
      <w:r w:rsidR="009B26D6">
        <w:rPr>
          <w:rFonts w:ascii="Times New Roman" w:eastAsia="Times New Roman" w:hAnsi="Times New Roman" w:cs="Times New Roman"/>
          <w:sz w:val="24"/>
        </w:rPr>
        <w:t xml:space="preserve"> and income</w:t>
      </w:r>
      <w:r>
        <w:rPr>
          <w:rFonts w:ascii="Times New Roman" w:eastAsia="Times New Roman" w:hAnsi="Times New Roman" w:cs="Times New Roman"/>
          <w:sz w:val="24"/>
        </w:rPr>
        <w:t xml:space="preserve">. One reason to focus on different subgroups is that immigration may affect their well-being differently. For example, one could argue </w:t>
      </w:r>
      <w:r w:rsidRPr="00332742">
        <w:rPr>
          <w:rFonts w:ascii="Times New Roman" w:eastAsia="Times New Roman" w:hAnsi="Times New Roman" w:cs="Times New Roman"/>
          <w:sz w:val="24"/>
        </w:rPr>
        <w:t xml:space="preserve">that younger </w:t>
      </w:r>
      <w:r>
        <w:rPr>
          <w:rFonts w:ascii="Times New Roman" w:eastAsia="Times New Roman" w:hAnsi="Times New Roman" w:cs="Times New Roman"/>
          <w:sz w:val="24"/>
        </w:rPr>
        <w:t xml:space="preserve">and more educated </w:t>
      </w:r>
      <w:r w:rsidRPr="00332742">
        <w:rPr>
          <w:rFonts w:ascii="Times New Roman" w:eastAsia="Times New Roman" w:hAnsi="Times New Roman" w:cs="Times New Roman"/>
          <w:sz w:val="24"/>
        </w:rPr>
        <w:t xml:space="preserve">people are more supportive of diversity, which is brought along by immigration, </w:t>
      </w:r>
      <w:r>
        <w:rPr>
          <w:rFonts w:ascii="Times New Roman" w:eastAsia="Times New Roman" w:hAnsi="Times New Roman" w:cs="Times New Roman"/>
          <w:sz w:val="24"/>
        </w:rPr>
        <w:t xml:space="preserve">while the unemployed are more </w:t>
      </w:r>
      <w:r w:rsidRPr="00332742">
        <w:rPr>
          <w:rFonts w:ascii="Times New Roman" w:eastAsia="Times New Roman" w:hAnsi="Times New Roman" w:cs="Times New Roman"/>
          <w:sz w:val="24"/>
        </w:rPr>
        <w:t xml:space="preserve">concerned about </w:t>
      </w:r>
      <w:r>
        <w:rPr>
          <w:rFonts w:ascii="Times New Roman" w:eastAsia="Times New Roman" w:hAnsi="Times New Roman" w:cs="Times New Roman"/>
          <w:sz w:val="24"/>
        </w:rPr>
        <w:t>labor market competition and o</w:t>
      </w:r>
      <w:r w:rsidRPr="00332742">
        <w:rPr>
          <w:rFonts w:ascii="Times New Roman" w:eastAsia="Times New Roman" w:hAnsi="Times New Roman" w:cs="Times New Roman"/>
          <w:sz w:val="24"/>
        </w:rPr>
        <w:t xml:space="preserve">lder people about the effects of immigration on the provision of public services (for example, health services). </w:t>
      </w:r>
      <w:r>
        <w:rPr>
          <w:rFonts w:ascii="Times New Roman" w:eastAsia="Times New Roman" w:hAnsi="Times New Roman" w:cs="Times New Roman"/>
          <w:sz w:val="24"/>
        </w:rPr>
        <w:t>Another reason to focus on subgroups is the demographic composition of the Brexit referendum vote. It has been shown, for example, that older and less educated voters in parti</w:t>
      </w:r>
      <w:r w:rsidR="00430959">
        <w:rPr>
          <w:rFonts w:ascii="Times New Roman" w:eastAsia="Times New Roman" w:hAnsi="Times New Roman" w:cs="Times New Roman"/>
          <w:sz w:val="24"/>
        </w:rPr>
        <w:t>cular were more likely to vote ‘L</w:t>
      </w:r>
      <w:r>
        <w:rPr>
          <w:rFonts w:ascii="Times New Roman" w:eastAsia="Times New Roman" w:hAnsi="Times New Roman" w:cs="Times New Roman"/>
          <w:sz w:val="24"/>
        </w:rPr>
        <w:t>eave</w:t>
      </w:r>
      <w:r w:rsidR="00430959">
        <w:rPr>
          <w:rFonts w:ascii="Times New Roman" w:eastAsia="Times New Roman" w:hAnsi="Times New Roman" w:cs="Times New Roman"/>
          <w:sz w:val="24"/>
        </w:rPr>
        <w:t>’</w:t>
      </w:r>
      <w:r>
        <w:rPr>
          <w:rFonts w:ascii="Times New Roman" w:eastAsia="Times New Roman" w:hAnsi="Times New Roman" w:cs="Times New Roman"/>
          <w:sz w:val="24"/>
        </w:rPr>
        <w:t xml:space="preserve"> (Becker et al., 2016; Goodwin and Heath, 2016; Rosenbaum, 2017) and, relative to their younger counterparts, older people place a higher importance on the issue of immigration as the UK negotiates its way out of the EU (Bulman, 2017). Our findings will show whether immigration-induced changes in subjective well-being are congruent with these voting and policy preference patterns. Finally, s</w:t>
      </w:r>
      <w:r w:rsidRPr="00332742">
        <w:rPr>
          <w:rFonts w:ascii="Times New Roman" w:eastAsia="Times New Roman" w:hAnsi="Times New Roman" w:cs="Times New Roman"/>
          <w:sz w:val="24"/>
        </w:rPr>
        <w:t xml:space="preserve">tudying how life satisfaction responds to immigration across </w:t>
      </w:r>
      <w:r>
        <w:rPr>
          <w:rFonts w:ascii="Times New Roman" w:eastAsia="Times New Roman" w:hAnsi="Times New Roman" w:cs="Times New Roman"/>
          <w:sz w:val="24"/>
        </w:rPr>
        <w:t>demographic groups is policy relevant because some groups, such as the elderly, ar</w:t>
      </w:r>
      <w:r w:rsidRPr="00332742">
        <w:rPr>
          <w:rFonts w:ascii="Times New Roman" w:eastAsia="Times New Roman" w:hAnsi="Times New Roman" w:cs="Times New Roman"/>
          <w:sz w:val="24"/>
        </w:rPr>
        <w:t xml:space="preserve">e </w:t>
      </w:r>
      <w:r>
        <w:rPr>
          <w:rFonts w:ascii="Times New Roman" w:eastAsia="Times New Roman" w:hAnsi="Times New Roman" w:cs="Times New Roman"/>
          <w:sz w:val="24"/>
        </w:rPr>
        <w:t xml:space="preserve">more </w:t>
      </w:r>
      <w:r w:rsidRPr="00332742">
        <w:rPr>
          <w:rFonts w:ascii="Times New Roman" w:eastAsia="Times New Roman" w:hAnsi="Times New Roman" w:cs="Times New Roman"/>
          <w:sz w:val="24"/>
        </w:rPr>
        <w:t xml:space="preserve">likely to vote and may thus have a greater say over the formation of immigration policy. </w:t>
      </w:r>
    </w:p>
    <w:p w14:paraId="40CCE801" w14:textId="77777777" w:rsidR="00F16012" w:rsidRPr="00F16012" w:rsidRDefault="00F16012" w:rsidP="0027251E">
      <w:pPr>
        <w:spacing w:after="0" w:line="480" w:lineRule="auto"/>
        <w:rPr>
          <w:rFonts w:ascii="Times New Roman" w:eastAsia="Times New Roman" w:hAnsi="Times New Roman" w:cs="Times New Roman"/>
          <w:sz w:val="24"/>
        </w:rPr>
      </w:pPr>
    </w:p>
    <w:p w14:paraId="0FED4A27" w14:textId="77777777" w:rsidR="0027251E" w:rsidRDefault="0027251E" w:rsidP="0027251E">
      <w:pPr>
        <w:spacing w:after="0" w:line="480" w:lineRule="auto"/>
      </w:pPr>
    </w:p>
    <w:p w14:paraId="1D428134" w14:textId="77777777" w:rsidR="001478E4" w:rsidRDefault="00F16012" w:rsidP="0027251E">
      <w:pPr>
        <w:spacing w:after="0" w:line="480" w:lineRule="auto"/>
        <w:rPr>
          <w:rFonts w:ascii="Times New Roman" w:eastAsia="Times New Roman" w:hAnsi="Times New Roman" w:cs="Times New Roman"/>
          <w:b/>
          <w:sz w:val="24"/>
        </w:rPr>
      </w:pPr>
      <w:r>
        <w:rPr>
          <w:rFonts w:ascii="Times New Roman" w:eastAsia="Times New Roman" w:hAnsi="Times New Roman" w:cs="Times New Roman"/>
          <w:b/>
          <w:sz w:val="24"/>
        </w:rPr>
        <w:t>3</w:t>
      </w:r>
      <w:r w:rsidR="00500205">
        <w:rPr>
          <w:rFonts w:ascii="Times New Roman" w:eastAsia="Times New Roman" w:hAnsi="Times New Roman" w:cs="Times New Roman"/>
          <w:b/>
          <w:sz w:val="24"/>
        </w:rPr>
        <w:t xml:space="preserve">. </w:t>
      </w:r>
      <w:r w:rsidR="00D22794" w:rsidRPr="001478E4">
        <w:rPr>
          <w:rFonts w:ascii="Times New Roman" w:eastAsia="Times New Roman" w:hAnsi="Times New Roman" w:cs="Times New Roman"/>
          <w:b/>
          <w:sz w:val="24"/>
        </w:rPr>
        <w:t xml:space="preserve">Data and </w:t>
      </w:r>
      <w:r w:rsidR="00AE0679" w:rsidRPr="001478E4">
        <w:rPr>
          <w:rFonts w:ascii="Times New Roman" w:eastAsia="Times New Roman" w:hAnsi="Times New Roman" w:cs="Times New Roman"/>
          <w:b/>
          <w:sz w:val="24"/>
        </w:rPr>
        <w:t>methods</w:t>
      </w:r>
    </w:p>
    <w:p w14:paraId="1B6362DD" w14:textId="77777777" w:rsidR="0027251E" w:rsidRPr="001478E4" w:rsidRDefault="0027251E" w:rsidP="0027251E">
      <w:pPr>
        <w:spacing w:after="0" w:line="480" w:lineRule="auto"/>
        <w:rPr>
          <w:rFonts w:ascii="Times New Roman" w:eastAsia="Times New Roman" w:hAnsi="Times New Roman" w:cs="Times New Roman"/>
          <w:b/>
          <w:sz w:val="24"/>
        </w:rPr>
      </w:pPr>
    </w:p>
    <w:p w14:paraId="4ED469E3" w14:textId="77777777" w:rsidR="001478E4" w:rsidRDefault="00F16012" w:rsidP="0027251E">
      <w:pPr>
        <w:spacing w:after="0" w:line="480" w:lineRule="auto"/>
        <w:rPr>
          <w:rFonts w:ascii="Times New Roman" w:eastAsia="Times New Roman" w:hAnsi="Times New Roman" w:cs="Times New Roman"/>
          <w:i/>
          <w:sz w:val="24"/>
        </w:rPr>
      </w:pPr>
      <w:r>
        <w:rPr>
          <w:rFonts w:ascii="Times New Roman" w:eastAsia="Times New Roman" w:hAnsi="Times New Roman" w:cs="Times New Roman"/>
          <w:i/>
          <w:sz w:val="24"/>
        </w:rPr>
        <w:t>3</w:t>
      </w:r>
      <w:r w:rsidR="00500205">
        <w:rPr>
          <w:rFonts w:ascii="Times New Roman" w:eastAsia="Times New Roman" w:hAnsi="Times New Roman" w:cs="Times New Roman"/>
          <w:i/>
          <w:sz w:val="24"/>
        </w:rPr>
        <w:t xml:space="preserve">.1 </w:t>
      </w:r>
      <w:r w:rsidR="00D22794">
        <w:rPr>
          <w:rFonts w:ascii="Times New Roman" w:eastAsia="Times New Roman" w:hAnsi="Times New Roman" w:cs="Times New Roman"/>
          <w:i/>
          <w:sz w:val="24"/>
        </w:rPr>
        <w:t>BHPS and life satisfaction</w:t>
      </w:r>
    </w:p>
    <w:p w14:paraId="45EF0CBF" w14:textId="77777777" w:rsidR="0027251E" w:rsidRPr="001478E4" w:rsidRDefault="0027251E" w:rsidP="0027251E">
      <w:pPr>
        <w:spacing w:after="0" w:line="480" w:lineRule="auto"/>
        <w:rPr>
          <w:rFonts w:ascii="Times New Roman" w:eastAsia="Times New Roman" w:hAnsi="Times New Roman" w:cs="Times New Roman"/>
          <w:i/>
          <w:sz w:val="24"/>
        </w:rPr>
      </w:pPr>
    </w:p>
    <w:p w14:paraId="7EC8C8B6" w14:textId="77777777" w:rsidR="001478E4" w:rsidRDefault="00D22794" w:rsidP="0027251E">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7F3CB4">
        <w:rPr>
          <w:rFonts w:ascii="Times New Roman" w:eastAsia="Times New Roman" w:hAnsi="Times New Roman" w:cs="Times New Roman"/>
          <w:sz w:val="24"/>
        </w:rPr>
        <w:t>individual</w:t>
      </w:r>
      <w:r w:rsidR="00C630DA">
        <w:rPr>
          <w:rFonts w:ascii="Times New Roman" w:eastAsia="Times New Roman" w:hAnsi="Times New Roman" w:cs="Times New Roman"/>
          <w:sz w:val="24"/>
        </w:rPr>
        <w:t xml:space="preserve">-level </w:t>
      </w:r>
      <w:r w:rsidR="007F3CB4">
        <w:rPr>
          <w:rFonts w:ascii="Times New Roman" w:eastAsia="Times New Roman" w:hAnsi="Times New Roman" w:cs="Times New Roman"/>
          <w:sz w:val="24"/>
        </w:rPr>
        <w:t>data used in</w:t>
      </w:r>
      <w:r>
        <w:rPr>
          <w:rFonts w:ascii="Times New Roman" w:eastAsia="Times New Roman" w:hAnsi="Times New Roman" w:cs="Times New Roman"/>
          <w:sz w:val="24"/>
        </w:rPr>
        <w:t xml:space="preserve"> the empirical analysis are from the British</w:t>
      </w:r>
      <w:r w:rsidR="007F3CB4">
        <w:rPr>
          <w:rFonts w:ascii="Times New Roman" w:eastAsia="Times New Roman" w:hAnsi="Times New Roman" w:cs="Times New Roman"/>
          <w:sz w:val="24"/>
        </w:rPr>
        <w:t xml:space="preserve"> Household Panel Survey (BHPS) – a </w:t>
      </w:r>
      <w:r>
        <w:rPr>
          <w:rFonts w:ascii="Times New Roman" w:eastAsia="Times New Roman" w:hAnsi="Times New Roman" w:cs="Times New Roman"/>
          <w:sz w:val="24"/>
        </w:rPr>
        <w:t>nationally representative surve</w:t>
      </w:r>
      <w:r w:rsidR="007936ED">
        <w:rPr>
          <w:rFonts w:ascii="Times New Roman" w:eastAsia="Times New Roman" w:hAnsi="Times New Roman" w:cs="Times New Roman"/>
          <w:sz w:val="24"/>
        </w:rPr>
        <w:t xml:space="preserve">y of </w:t>
      </w:r>
      <w:r w:rsidR="00B04BE6">
        <w:rPr>
          <w:rFonts w:ascii="Times New Roman" w:eastAsia="Times New Roman" w:hAnsi="Times New Roman" w:cs="Times New Roman"/>
          <w:sz w:val="24"/>
        </w:rPr>
        <w:t xml:space="preserve">the adult population (16+) of </w:t>
      </w:r>
      <w:r w:rsidR="007936ED">
        <w:rPr>
          <w:rFonts w:ascii="Times New Roman" w:eastAsia="Times New Roman" w:hAnsi="Times New Roman" w:cs="Times New Roman"/>
          <w:sz w:val="24"/>
        </w:rPr>
        <w:t xml:space="preserve">more than 5,000 households (containing </w:t>
      </w:r>
      <w:r>
        <w:rPr>
          <w:rFonts w:ascii="Times New Roman" w:eastAsia="Times New Roman" w:hAnsi="Times New Roman" w:cs="Times New Roman"/>
          <w:sz w:val="24"/>
        </w:rPr>
        <w:t xml:space="preserve">approximately 10,000 </w:t>
      </w:r>
      <w:r w:rsidR="00B04BE6">
        <w:rPr>
          <w:rFonts w:ascii="Times New Roman" w:eastAsia="Times New Roman" w:hAnsi="Times New Roman" w:cs="Times New Roman"/>
          <w:sz w:val="24"/>
        </w:rPr>
        <w:t>individuals</w:t>
      </w:r>
      <w:r w:rsidR="007936ED">
        <w:rPr>
          <w:rFonts w:ascii="Times New Roman" w:eastAsia="Times New Roman" w:hAnsi="Times New Roman" w:cs="Times New Roman"/>
          <w:sz w:val="24"/>
        </w:rPr>
        <w:t>)</w:t>
      </w:r>
      <w:r w:rsidR="00B04BE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 Great Britain, sampled in 1991 and followed </w:t>
      </w:r>
      <w:r w:rsidR="007936ED">
        <w:rPr>
          <w:rFonts w:ascii="Times New Roman" w:eastAsia="Times New Roman" w:hAnsi="Times New Roman" w:cs="Times New Roman"/>
          <w:sz w:val="24"/>
        </w:rPr>
        <w:t xml:space="preserve">annually </w:t>
      </w:r>
      <w:r>
        <w:rPr>
          <w:rFonts w:ascii="Times New Roman" w:eastAsia="Times New Roman" w:hAnsi="Times New Roman" w:cs="Times New Roman"/>
          <w:sz w:val="24"/>
        </w:rPr>
        <w:t>until 2008/2009</w:t>
      </w:r>
      <w:r w:rsidR="007936ED">
        <w:rPr>
          <w:rFonts w:ascii="Times New Roman" w:eastAsia="Times New Roman" w:hAnsi="Times New Roman" w:cs="Times New Roman"/>
          <w:sz w:val="24"/>
        </w:rPr>
        <w:t>.</w:t>
      </w:r>
      <w:r w:rsidR="007936ED">
        <w:rPr>
          <w:rStyle w:val="FootnoteReference"/>
          <w:rFonts w:ascii="Times New Roman" w:eastAsia="Times New Roman" w:hAnsi="Times New Roman" w:cs="Times New Roman"/>
          <w:sz w:val="24"/>
        </w:rPr>
        <w:footnoteReference w:id="7"/>
      </w:r>
      <w:r w:rsidR="007936ED">
        <w:rPr>
          <w:rFonts w:ascii="Times New Roman" w:eastAsia="Times New Roman" w:hAnsi="Times New Roman" w:cs="Times New Roman"/>
          <w:sz w:val="24"/>
        </w:rPr>
        <w:t xml:space="preserve"> </w:t>
      </w:r>
      <w:r>
        <w:rPr>
          <w:rFonts w:ascii="Times New Roman" w:eastAsia="Times New Roman" w:hAnsi="Times New Roman" w:cs="Times New Roman"/>
          <w:sz w:val="24"/>
        </w:rPr>
        <w:t>The BHPS contains</w:t>
      </w:r>
      <w:r w:rsidR="007F3CB4">
        <w:rPr>
          <w:rFonts w:ascii="Times New Roman" w:eastAsia="Times New Roman" w:hAnsi="Times New Roman" w:cs="Times New Roman"/>
          <w:sz w:val="24"/>
        </w:rPr>
        <w:t xml:space="preserve"> individual and household-level information</w:t>
      </w:r>
      <w:r>
        <w:rPr>
          <w:rFonts w:ascii="Times New Roman" w:eastAsia="Times New Roman" w:hAnsi="Times New Roman" w:cs="Times New Roman"/>
          <w:sz w:val="24"/>
        </w:rPr>
        <w:t xml:space="preserve"> </w:t>
      </w:r>
      <w:r w:rsidR="007F3CB4">
        <w:rPr>
          <w:rFonts w:ascii="Times New Roman" w:eastAsia="Times New Roman" w:hAnsi="Times New Roman" w:cs="Times New Roman"/>
          <w:sz w:val="24"/>
        </w:rPr>
        <w:t>on demographic</w:t>
      </w:r>
      <w:r>
        <w:rPr>
          <w:rFonts w:ascii="Times New Roman" w:eastAsia="Times New Roman" w:hAnsi="Times New Roman" w:cs="Times New Roman"/>
          <w:sz w:val="24"/>
        </w:rPr>
        <w:t xml:space="preserve"> characteristics, income, education</w:t>
      </w:r>
      <w:r w:rsidR="000F4AC6" w:rsidRPr="000F4AC6">
        <w:rPr>
          <w:rFonts w:ascii="Times New Roman" w:eastAsia="Times New Roman" w:hAnsi="Times New Roman" w:cs="Times New Roman"/>
          <w:sz w:val="24"/>
        </w:rPr>
        <w:t xml:space="preserve"> </w:t>
      </w:r>
      <w:r w:rsidR="000F4AC6">
        <w:rPr>
          <w:rFonts w:ascii="Times New Roman" w:eastAsia="Times New Roman" w:hAnsi="Times New Roman" w:cs="Times New Roman"/>
          <w:sz w:val="24"/>
        </w:rPr>
        <w:t xml:space="preserve">and training, </w:t>
      </w:r>
      <w:r w:rsidR="00875554">
        <w:rPr>
          <w:rFonts w:ascii="Times New Roman" w:eastAsia="Times New Roman" w:hAnsi="Times New Roman" w:cs="Times New Roman"/>
          <w:sz w:val="24"/>
        </w:rPr>
        <w:t xml:space="preserve">employment, </w:t>
      </w:r>
      <w:r>
        <w:rPr>
          <w:rFonts w:ascii="Times New Roman" w:eastAsia="Times New Roman" w:hAnsi="Times New Roman" w:cs="Times New Roman"/>
          <w:sz w:val="24"/>
        </w:rPr>
        <w:t>as well as values and opinions o</w:t>
      </w:r>
      <w:r w:rsidR="00875554">
        <w:rPr>
          <w:rFonts w:ascii="Times New Roman" w:eastAsia="Times New Roman" w:hAnsi="Times New Roman" w:cs="Times New Roman"/>
          <w:sz w:val="24"/>
        </w:rPr>
        <w:t xml:space="preserve">n social and political matters. </w:t>
      </w:r>
      <w:r w:rsidR="0069387E">
        <w:rPr>
          <w:rFonts w:ascii="Times New Roman" w:eastAsia="Times New Roman" w:hAnsi="Times New Roman" w:cs="Times New Roman"/>
          <w:sz w:val="24"/>
        </w:rPr>
        <w:t>Importantly for our study, a</w:t>
      </w:r>
      <w:r w:rsidR="00875554">
        <w:rPr>
          <w:rFonts w:ascii="Times New Roman" w:eastAsia="Times New Roman" w:hAnsi="Times New Roman" w:cs="Times New Roman"/>
          <w:sz w:val="24"/>
        </w:rPr>
        <w:t xml:space="preserve"> series of questions on hea</w:t>
      </w:r>
      <w:r w:rsidR="007F3CB4">
        <w:rPr>
          <w:rFonts w:ascii="Times New Roman" w:eastAsia="Times New Roman" w:hAnsi="Times New Roman" w:cs="Times New Roman"/>
          <w:sz w:val="24"/>
        </w:rPr>
        <w:t>lth and subjective well-being are</w:t>
      </w:r>
      <w:r w:rsidR="00875554">
        <w:rPr>
          <w:rFonts w:ascii="Times New Roman" w:eastAsia="Times New Roman" w:hAnsi="Times New Roman" w:cs="Times New Roman"/>
          <w:sz w:val="24"/>
        </w:rPr>
        <w:t xml:space="preserve"> also included in the survey. </w:t>
      </w:r>
    </w:p>
    <w:p w14:paraId="77C8D956" w14:textId="77777777" w:rsidR="0027251E" w:rsidRDefault="0027251E" w:rsidP="0027251E">
      <w:pPr>
        <w:spacing w:after="0" w:line="480" w:lineRule="auto"/>
      </w:pPr>
    </w:p>
    <w:p w14:paraId="6F46B5BF" w14:textId="77777777" w:rsidR="0001112E" w:rsidRDefault="001478E4" w:rsidP="0027251E">
      <w:pPr>
        <w:spacing w:after="0" w:line="480" w:lineRule="auto"/>
      </w:pPr>
      <w:r>
        <w:rPr>
          <w:rFonts w:ascii="Times New Roman" w:eastAsia="Times New Roman" w:hAnsi="Times New Roman" w:cs="Times New Roman"/>
          <w:sz w:val="24"/>
        </w:rPr>
        <w:t>I</w:t>
      </w:r>
      <w:r w:rsidR="00D22794">
        <w:rPr>
          <w:rFonts w:ascii="Times New Roman" w:eastAsia="Times New Roman" w:hAnsi="Times New Roman" w:cs="Times New Roman"/>
          <w:sz w:val="24"/>
        </w:rPr>
        <w:t xml:space="preserve">nformation on </w:t>
      </w:r>
      <w:r w:rsidR="007F3CB4">
        <w:rPr>
          <w:rFonts w:ascii="Times New Roman" w:eastAsia="Times New Roman" w:hAnsi="Times New Roman" w:cs="Times New Roman"/>
          <w:sz w:val="24"/>
        </w:rPr>
        <w:t xml:space="preserve">life </w:t>
      </w:r>
      <w:r w:rsidR="00034304">
        <w:rPr>
          <w:rFonts w:ascii="Times New Roman" w:eastAsia="Times New Roman" w:hAnsi="Times New Roman" w:cs="Times New Roman"/>
          <w:sz w:val="24"/>
        </w:rPr>
        <w:t>satisfaction</w:t>
      </w:r>
      <w:r w:rsidR="007F3CB4">
        <w:rPr>
          <w:rFonts w:ascii="Times New Roman" w:eastAsia="Times New Roman" w:hAnsi="Times New Roman" w:cs="Times New Roman"/>
          <w:sz w:val="24"/>
        </w:rPr>
        <w:t xml:space="preserve"> </w:t>
      </w:r>
      <w:r w:rsidR="0011551B">
        <w:rPr>
          <w:rFonts w:ascii="Times New Roman" w:eastAsia="Times New Roman" w:hAnsi="Times New Roman" w:cs="Times New Roman"/>
          <w:sz w:val="24"/>
        </w:rPr>
        <w:t xml:space="preserve">was collected </w:t>
      </w:r>
      <w:r w:rsidR="00D22794">
        <w:rPr>
          <w:rFonts w:ascii="Times New Roman" w:eastAsia="Times New Roman" w:hAnsi="Times New Roman" w:cs="Times New Roman"/>
          <w:sz w:val="24"/>
        </w:rPr>
        <w:t>during BHPS waves 6-10 (1996-2000) and 12-18 (2002-2008/2009)</w:t>
      </w:r>
      <w:r w:rsidR="0069387E">
        <w:rPr>
          <w:rFonts w:ascii="Times New Roman" w:eastAsia="Times New Roman" w:hAnsi="Times New Roman" w:cs="Times New Roman"/>
          <w:sz w:val="24"/>
        </w:rPr>
        <w:t>. In particular, individuals were</w:t>
      </w:r>
      <w:r w:rsidR="00D22794">
        <w:rPr>
          <w:rFonts w:ascii="Times New Roman" w:eastAsia="Times New Roman" w:hAnsi="Times New Roman" w:cs="Times New Roman"/>
          <w:sz w:val="24"/>
        </w:rPr>
        <w:t xml:space="preserve"> asked to reco</w:t>
      </w:r>
      <w:r w:rsidR="00A32470">
        <w:rPr>
          <w:rFonts w:ascii="Times New Roman" w:eastAsia="Times New Roman" w:hAnsi="Times New Roman" w:cs="Times New Roman"/>
          <w:sz w:val="24"/>
        </w:rPr>
        <w:t xml:space="preserve">rd </w:t>
      </w:r>
      <w:r w:rsidR="00D22794">
        <w:rPr>
          <w:rFonts w:ascii="Times New Roman" w:eastAsia="Times New Roman" w:hAnsi="Times New Roman" w:cs="Times New Roman"/>
          <w:sz w:val="24"/>
        </w:rPr>
        <w:t>on a 7-p</w:t>
      </w:r>
      <w:r w:rsidR="00A32470">
        <w:rPr>
          <w:rFonts w:ascii="Times New Roman" w:eastAsia="Times New Roman" w:hAnsi="Times New Roman" w:cs="Times New Roman"/>
          <w:sz w:val="24"/>
        </w:rPr>
        <w:t xml:space="preserve">oint Likert scale, </w:t>
      </w:r>
      <w:r w:rsidR="00B71FEA">
        <w:rPr>
          <w:rFonts w:ascii="Times New Roman" w:eastAsia="Times New Roman" w:hAnsi="Times New Roman" w:cs="Times New Roman"/>
          <w:sz w:val="24"/>
        </w:rPr>
        <w:t>ranging from ‘not satisfied at all’ to ‘completely satisfied’</w:t>
      </w:r>
      <w:r w:rsidR="00A32470">
        <w:rPr>
          <w:rFonts w:ascii="Times New Roman" w:eastAsia="Times New Roman" w:hAnsi="Times New Roman" w:cs="Times New Roman"/>
          <w:sz w:val="24"/>
        </w:rPr>
        <w:t>,</w:t>
      </w:r>
      <w:r w:rsidR="00D22794">
        <w:rPr>
          <w:rFonts w:ascii="Times New Roman" w:eastAsia="Times New Roman" w:hAnsi="Times New Roman" w:cs="Times New Roman"/>
          <w:sz w:val="24"/>
        </w:rPr>
        <w:t xml:space="preserve"> how dissatisfied or satisfied they are with their life </w:t>
      </w:r>
      <w:r w:rsidR="00D22794" w:rsidRPr="00A32470">
        <w:rPr>
          <w:rFonts w:ascii="Times New Roman" w:eastAsia="Times New Roman" w:hAnsi="Times New Roman" w:cs="Times New Roman"/>
          <w:sz w:val="24"/>
        </w:rPr>
        <w:t>overall</w:t>
      </w:r>
      <w:r w:rsidR="00454AC0">
        <w:rPr>
          <w:rFonts w:ascii="Times New Roman" w:eastAsia="Times New Roman" w:hAnsi="Times New Roman" w:cs="Times New Roman"/>
          <w:sz w:val="24"/>
        </w:rPr>
        <w:t xml:space="preserve">. </w:t>
      </w:r>
      <w:r w:rsidR="00A32470">
        <w:rPr>
          <w:rFonts w:ascii="Times New Roman" w:eastAsia="Times New Roman" w:hAnsi="Times New Roman" w:cs="Times New Roman"/>
          <w:sz w:val="24"/>
        </w:rPr>
        <w:t>The answers</w:t>
      </w:r>
      <w:r w:rsidR="00D22794">
        <w:rPr>
          <w:rFonts w:ascii="Times New Roman" w:eastAsia="Times New Roman" w:hAnsi="Times New Roman" w:cs="Times New Roman"/>
          <w:sz w:val="24"/>
        </w:rPr>
        <w:t xml:space="preserve"> to this question form </w:t>
      </w:r>
      <w:r w:rsidR="00A32470">
        <w:rPr>
          <w:rFonts w:ascii="Times New Roman" w:eastAsia="Times New Roman" w:hAnsi="Times New Roman" w:cs="Times New Roman"/>
          <w:sz w:val="24"/>
        </w:rPr>
        <w:t>the</w:t>
      </w:r>
      <w:r w:rsidR="00D22794">
        <w:rPr>
          <w:rFonts w:ascii="Times New Roman" w:eastAsia="Times New Roman" w:hAnsi="Times New Roman" w:cs="Times New Roman"/>
          <w:sz w:val="24"/>
        </w:rPr>
        <w:t xml:space="preserve"> </w:t>
      </w:r>
      <w:r w:rsidR="00A32470">
        <w:rPr>
          <w:rFonts w:ascii="Times New Roman" w:eastAsia="Times New Roman" w:hAnsi="Times New Roman" w:cs="Times New Roman"/>
          <w:sz w:val="24"/>
        </w:rPr>
        <w:t>dependent variable in our analysis</w:t>
      </w:r>
      <w:r w:rsidR="00D22794">
        <w:rPr>
          <w:rFonts w:ascii="Times New Roman" w:eastAsia="Times New Roman" w:hAnsi="Times New Roman" w:cs="Times New Roman"/>
          <w:sz w:val="24"/>
        </w:rPr>
        <w:t>.</w:t>
      </w:r>
      <w:r w:rsidR="00B14697">
        <w:rPr>
          <w:rFonts w:ascii="Times New Roman" w:eastAsia="Times New Roman" w:hAnsi="Times New Roman" w:cs="Times New Roman"/>
          <w:sz w:val="24"/>
        </w:rPr>
        <w:t xml:space="preserve"> </w:t>
      </w:r>
      <w:r w:rsidR="00D22794">
        <w:rPr>
          <w:rFonts w:ascii="Times New Roman" w:eastAsia="Times New Roman" w:hAnsi="Times New Roman" w:cs="Times New Roman"/>
          <w:sz w:val="24"/>
        </w:rPr>
        <w:t xml:space="preserve">  </w:t>
      </w:r>
    </w:p>
    <w:p w14:paraId="06B743D2" w14:textId="77777777" w:rsidR="00034304" w:rsidRDefault="00034304" w:rsidP="0027251E">
      <w:pPr>
        <w:spacing w:after="0" w:line="480" w:lineRule="auto"/>
      </w:pPr>
    </w:p>
    <w:p w14:paraId="3FB18444" w14:textId="77777777" w:rsidR="002672F0" w:rsidRPr="000164C8" w:rsidRDefault="00D22794" w:rsidP="000164C8">
      <w:pPr>
        <w:pStyle w:val="ListParagraph"/>
        <w:numPr>
          <w:ilvl w:val="1"/>
          <w:numId w:val="16"/>
        </w:numPr>
        <w:spacing w:after="0" w:line="480" w:lineRule="auto"/>
        <w:rPr>
          <w:rFonts w:ascii="Times New Roman" w:eastAsia="Times New Roman" w:hAnsi="Times New Roman" w:cs="Times New Roman"/>
          <w:i/>
          <w:sz w:val="24"/>
        </w:rPr>
      </w:pPr>
      <w:r w:rsidRPr="000164C8">
        <w:rPr>
          <w:rFonts w:ascii="Times New Roman" w:eastAsia="Times New Roman" w:hAnsi="Times New Roman" w:cs="Times New Roman"/>
          <w:i/>
          <w:sz w:val="24"/>
        </w:rPr>
        <w:t>Worker Registration Scheme and local migrant flows</w:t>
      </w:r>
    </w:p>
    <w:p w14:paraId="182BE84B" w14:textId="77777777" w:rsidR="0027251E" w:rsidRDefault="0027251E" w:rsidP="0027251E">
      <w:pPr>
        <w:spacing w:after="0" w:line="480" w:lineRule="auto"/>
      </w:pPr>
    </w:p>
    <w:p w14:paraId="677B3293" w14:textId="77777777" w:rsidR="00B24356" w:rsidRDefault="00D22794" w:rsidP="00B24356">
      <w:pPr>
        <w:spacing w:after="0" w:line="480" w:lineRule="auto"/>
        <w:rPr>
          <w:rFonts w:ascii="Times New Roman" w:eastAsia="Times New Roman" w:hAnsi="Times New Roman" w:cs="Times New Roman"/>
          <w:sz w:val="24"/>
        </w:rPr>
      </w:pPr>
      <w:r w:rsidRPr="00A52847">
        <w:rPr>
          <w:rFonts w:ascii="Times New Roman" w:eastAsia="Times New Roman" w:hAnsi="Times New Roman" w:cs="Times New Roman"/>
          <w:sz w:val="24"/>
        </w:rPr>
        <w:t>The Worker Registration Scheme (WRS), in operation between May 2004 and April 2011, was introduced by the British Government to monitor the inflows of the nationals of the eight East European states which joined the EU in 2004. Workers had to register for their first job taken in the UK (if working for more than one month), and re-register if they changed employer within the first 12 months; no further registration was necessary after one year of unin</w:t>
      </w:r>
      <w:r w:rsidR="008C5F2D" w:rsidRPr="00A52847">
        <w:rPr>
          <w:rFonts w:ascii="Times New Roman" w:eastAsia="Times New Roman" w:hAnsi="Times New Roman" w:cs="Times New Roman"/>
          <w:sz w:val="24"/>
        </w:rPr>
        <w:t xml:space="preserve">terrupted employment in the UK. </w:t>
      </w:r>
      <w:r w:rsidRPr="00A52847">
        <w:rPr>
          <w:rFonts w:ascii="Times New Roman" w:eastAsia="Times New Roman" w:hAnsi="Times New Roman" w:cs="Times New Roman"/>
          <w:sz w:val="24"/>
        </w:rPr>
        <w:t>The registration fee for the first job was £50 (eventually rising to £90), while re-registrations were free. The self-employed were exempt from registering.</w:t>
      </w:r>
    </w:p>
    <w:p w14:paraId="7C502D7B" w14:textId="77777777" w:rsidR="00B24356" w:rsidRDefault="00B24356" w:rsidP="00B24356">
      <w:pPr>
        <w:spacing w:after="0" w:line="480" w:lineRule="auto"/>
        <w:rPr>
          <w:rFonts w:ascii="Times New Roman" w:eastAsia="Times New Roman" w:hAnsi="Times New Roman" w:cs="Times New Roman"/>
          <w:sz w:val="24"/>
        </w:rPr>
      </w:pPr>
    </w:p>
    <w:p w14:paraId="2AEDC018" w14:textId="77777777" w:rsidR="001B1A1C" w:rsidRPr="001B1A1C" w:rsidRDefault="001B1A1C" w:rsidP="001B1A1C">
      <w:pPr>
        <w:spacing w:after="0" w:line="480" w:lineRule="auto"/>
      </w:pPr>
      <w:r w:rsidRPr="00145676">
        <w:rPr>
          <w:rFonts w:ascii="Times New Roman" w:eastAsia="Times New Roman" w:hAnsi="Times New Roman" w:cs="Times New Roman"/>
          <w:sz w:val="24"/>
        </w:rPr>
        <w:t>The WRS provides information on the nationality, gender and age of migrants, as well as their occupation, sector of employment, hours of work and hourly pay while taking up employment in the UK.</w:t>
      </w:r>
      <w:r w:rsidRPr="001B1A1C">
        <w:rPr>
          <w:rFonts w:ascii="Times New Roman" w:eastAsia="Times New Roman" w:hAnsi="Times New Roman" w:cs="Times New Roman"/>
          <w:sz w:val="24"/>
        </w:rPr>
        <w:t xml:space="preserve"> Crucially for our study, information is also available on the spatial (Local Authority District level; henceforth, LAD level) distribution of migrant registrations. </w:t>
      </w:r>
    </w:p>
    <w:p w14:paraId="7DEF2EA8" w14:textId="5DCE9984" w:rsidR="001B1A1C" w:rsidRDefault="001B1A1C" w:rsidP="001B1A1C">
      <w:pPr>
        <w:spacing w:after="0" w:line="480" w:lineRule="auto"/>
        <w:rPr>
          <w:rFonts w:ascii="Times New Roman" w:eastAsia="Times New Roman" w:hAnsi="Times New Roman" w:cs="Times New Roman"/>
          <w:sz w:val="24"/>
        </w:rPr>
      </w:pPr>
      <w:r w:rsidRPr="001B1A1C">
        <w:rPr>
          <w:rFonts w:ascii="Times New Roman" w:eastAsia="Times New Roman" w:hAnsi="Times New Roman" w:cs="Times New Roman"/>
          <w:sz w:val="24"/>
        </w:rPr>
        <w:t>Using the WRS statistics</w:t>
      </w:r>
      <w:r w:rsidR="00FD6E9A">
        <w:rPr>
          <w:rFonts w:ascii="Times New Roman" w:eastAsia="Times New Roman" w:hAnsi="Times New Roman" w:cs="Times New Roman"/>
          <w:sz w:val="24"/>
        </w:rPr>
        <w:t>,</w:t>
      </w:r>
      <w:r w:rsidRPr="001B1A1C">
        <w:rPr>
          <w:rFonts w:ascii="Times New Roman" w:eastAsia="Times New Roman" w:hAnsi="Times New Roman" w:cs="Times New Roman"/>
          <w:sz w:val="24"/>
        </w:rPr>
        <w:t xml:space="preserve"> we construct our regressor of interest – the A8 migrant inflow rate at the LAD level, which we express as total A8 migrant inflows as a percentage of the LAD population.</w:t>
      </w:r>
      <w:r w:rsidRPr="001B1A1C">
        <w:rPr>
          <w:rStyle w:val="FootnoteReference"/>
          <w:rFonts w:ascii="Times New Roman" w:eastAsia="Times New Roman" w:hAnsi="Times New Roman" w:cs="Times New Roman"/>
          <w:sz w:val="24"/>
        </w:rPr>
        <w:footnoteReference w:id="8"/>
      </w:r>
      <w:r w:rsidRPr="001B1A1C">
        <w:rPr>
          <w:rFonts w:ascii="Times New Roman" w:eastAsia="Times New Roman" w:hAnsi="Times New Roman" w:cs="Times New Roman"/>
          <w:sz w:val="24"/>
        </w:rPr>
        <w:t xml:space="preserve"> The LAD level WRS data are available for an aggregated time period between May 2004 and December 2005 (20 months) and for each year from 2006 until the end of the scheme (2011). Considering the A8 inflows as one big migration wave, we will use the aggregate 2004-2005 registrations to capture the inflows that occurred at the very beginning of this wave – the ‘migration shock’. The registrations from 2006 onwards will help identify longer-term effects, when migration becomes more established and natives have time to adapt to it. To combine the BHPS with the WRS data, the A8 migrant inflow rate for each LAD is matched with the LAD identifier that is available in the BHPS for each household and survey year. In our analysis, we focus on the period 2003-2008, assigning the value of zero to the migrant inflow rate in 2003</w:t>
      </w:r>
      <w:r w:rsidR="00BE6969">
        <w:rPr>
          <w:rStyle w:val="FootnoteReference"/>
          <w:rFonts w:ascii="Times New Roman" w:eastAsia="Times New Roman" w:hAnsi="Times New Roman" w:cs="Times New Roman"/>
          <w:sz w:val="24"/>
        </w:rPr>
        <w:footnoteReference w:id="9"/>
      </w:r>
      <w:r w:rsidRPr="001B1A1C">
        <w:rPr>
          <w:rFonts w:ascii="Times New Roman" w:eastAsia="Times New Roman" w:hAnsi="Times New Roman" w:cs="Times New Roman"/>
          <w:sz w:val="24"/>
        </w:rPr>
        <w:t xml:space="preserve"> and excluding year 2004 from our analysis due to the aggregated nature of the WRS data in 2004-2005.</w:t>
      </w:r>
    </w:p>
    <w:p w14:paraId="5BDDF058" w14:textId="77777777" w:rsidR="001B1A1C" w:rsidRDefault="001B1A1C" w:rsidP="00B24356">
      <w:pPr>
        <w:spacing w:after="0" w:line="480" w:lineRule="auto"/>
        <w:rPr>
          <w:rFonts w:ascii="Times New Roman" w:eastAsia="Times New Roman" w:hAnsi="Times New Roman" w:cs="Times New Roman"/>
          <w:sz w:val="24"/>
        </w:rPr>
      </w:pPr>
    </w:p>
    <w:p w14:paraId="6C5A4FFC" w14:textId="77777777" w:rsidR="00702B9C" w:rsidRPr="00AF7AF3" w:rsidRDefault="000164C8" w:rsidP="00B24356">
      <w:pPr>
        <w:spacing w:after="0" w:line="480" w:lineRule="auto"/>
        <w:rPr>
          <w:rFonts w:ascii="Times New Roman" w:hAnsi="Times New Roman" w:cs="Times New Roman"/>
          <w:color w:val="212121"/>
          <w:sz w:val="24"/>
          <w:szCs w:val="24"/>
        </w:rPr>
      </w:pPr>
      <w:r w:rsidRPr="00AF7AF3">
        <w:rPr>
          <w:rFonts w:ascii="Times New Roman" w:eastAsia="Times New Roman" w:hAnsi="Times New Roman" w:cs="Times New Roman"/>
          <w:sz w:val="24"/>
        </w:rPr>
        <w:t xml:space="preserve">At the outset, we want to </w:t>
      </w:r>
      <w:r w:rsidR="00B307BF">
        <w:rPr>
          <w:rFonts w:ascii="Times New Roman" w:eastAsia="Times New Roman" w:hAnsi="Times New Roman" w:cs="Times New Roman"/>
          <w:sz w:val="24"/>
        </w:rPr>
        <w:t>outline</w:t>
      </w:r>
      <w:r w:rsidRPr="00AF7AF3">
        <w:rPr>
          <w:rFonts w:ascii="Times New Roman" w:eastAsia="Times New Roman" w:hAnsi="Times New Roman" w:cs="Times New Roman"/>
          <w:sz w:val="24"/>
        </w:rPr>
        <w:t xml:space="preserve"> the strengths and limitations of the WRS data. First, WRS data represent a rare example of </w:t>
      </w:r>
      <w:r w:rsidR="00B24356" w:rsidRPr="00AF7AF3">
        <w:rPr>
          <w:rFonts w:ascii="Times New Roman" w:hAnsi="Times New Roman" w:cs="Times New Roman"/>
          <w:color w:val="212121"/>
          <w:sz w:val="24"/>
          <w:szCs w:val="24"/>
          <w:shd w:val="clear" w:color="auto" w:fill="FFFFFF"/>
        </w:rPr>
        <w:t xml:space="preserve">UK local-level </w:t>
      </w:r>
      <w:r w:rsidRPr="00AF7AF3">
        <w:rPr>
          <w:rFonts w:ascii="Times New Roman" w:hAnsi="Times New Roman" w:cs="Times New Roman"/>
          <w:color w:val="212121"/>
          <w:sz w:val="24"/>
          <w:szCs w:val="24"/>
          <w:shd w:val="clear" w:color="auto" w:fill="FFFFFF"/>
        </w:rPr>
        <w:t xml:space="preserve">immigration </w:t>
      </w:r>
      <w:r w:rsidR="00B24356" w:rsidRPr="00AF7AF3">
        <w:rPr>
          <w:rFonts w:ascii="Times New Roman" w:hAnsi="Times New Roman" w:cs="Times New Roman"/>
          <w:color w:val="212121"/>
          <w:sz w:val="24"/>
          <w:szCs w:val="24"/>
          <w:shd w:val="clear" w:color="auto" w:fill="FFFFFF"/>
        </w:rPr>
        <w:t>statistics</w:t>
      </w:r>
      <w:r w:rsidRPr="00AF7AF3">
        <w:rPr>
          <w:rFonts w:ascii="Times New Roman" w:hAnsi="Times New Roman" w:cs="Times New Roman"/>
          <w:color w:val="212121"/>
          <w:sz w:val="24"/>
          <w:szCs w:val="24"/>
          <w:shd w:val="clear" w:color="auto" w:fill="FFFFFF"/>
        </w:rPr>
        <w:t xml:space="preserve"> based on actual inflows rather than estimates. </w:t>
      </w:r>
      <w:r w:rsidR="001B1A1C" w:rsidRPr="00AF7AF3">
        <w:rPr>
          <w:rFonts w:ascii="Times New Roman" w:hAnsi="Times New Roman" w:cs="Times New Roman"/>
          <w:color w:val="212121"/>
          <w:sz w:val="24"/>
          <w:szCs w:val="24"/>
        </w:rPr>
        <w:t>Unlike</w:t>
      </w:r>
      <w:r w:rsidRPr="00AF7AF3">
        <w:rPr>
          <w:rFonts w:ascii="Times New Roman" w:hAnsi="Times New Roman" w:cs="Times New Roman"/>
          <w:color w:val="212121"/>
          <w:sz w:val="24"/>
          <w:szCs w:val="24"/>
        </w:rPr>
        <w:t xml:space="preserve"> many other countries, the UK does not keep a formal register of where immigrants live (especially immigrants coming from the EU)</w:t>
      </w:r>
      <w:r w:rsidR="00EA5F0E" w:rsidRPr="00EA5F0E">
        <w:rPr>
          <w:rFonts w:ascii="Times New Roman" w:hAnsi="Times New Roman" w:cs="Times New Roman"/>
          <w:color w:val="212121"/>
          <w:sz w:val="24"/>
          <w:szCs w:val="24"/>
          <w:lang w:val="en-GB"/>
        </w:rPr>
        <w:t xml:space="preserve">. </w:t>
      </w:r>
      <w:r w:rsidR="00EA5F0E">
        <w:rPr>
          <w:rFonts w:ascii="Times New Roman" w:hAnsi="Times New Roman" w:cs="Times New Roman"/>
          <w:color w:val="212121"/>
          <w:sz w:val="24"/>
          <w:szCs w:val="24"/>
          <w:lang w:val="en-GB"/>
        </w:rPr>
        <w:t>Hence,</w:t>
      </w:r>
      <w:r w:rsidR="00EA5F0E">
        <w:rPr>
          <w:rFonts w:ascii="Times New Roman" w:hAnsi="Times New Roman" w:cs="Times New Roman"/>
          <w:color w:val="212121"/>
          <w:sz w:val="24"/>
          <w:szCs w:val="24"/>
        </w:rPr>
        <w:t xml:space="preserve"> </w:t>
      </w:r>
      <w:r w:rsidRPr="00AF7AF3">
        <w:rPr>
          <w:rFonts w:ascii="Times New Roman" w:hAnsi="Times New Roman" w:cs="Times New Roman"/>
          <w:color w:val="212121"/>
          <w:sz w:val="24"/>
          <w:szCs w:val="24"/>
        </w:rPr>
        <w:t>most official immigration statistics are estimates based on 10-year censuses and country-level population surveys</w:t>
      </w:r>
      <w:r w:rsidR="009E3B15">
        <w:rPr>
          <w:rFonts w:ascii="Times New Roman" w:hAnsi="Times New Roman" w:cs="Times New Roman"/>
          <w:color w:val="212121"/>
          <w:sz w:val="24"/>
          <w:szCs w:val="24"/>
        </w:rPr>
        <w:t xml:space="preserve">, which </w:t>
      </w:r>
      <w:r w:rsidRPr="00AF7AF3">
        <w:rPr>
          <w:rFonts w:ascii="Times New Roman" w:hAnsi="Times New Roman" w:cs="Times New Roman"/>
          <w:color w:val="212121"/>
          <w:sz w:val="24"/>
          <w:szCs w:val="24"/>
        </w:rPr>
        <w:t xml:space="preserve">would </w:t>
      </w:r>
      <w:r w:rsidR="009E3B15">
        <w:rPr>
          <w:rFonts w:ascii="Times New Roman" w:hAnsi="Times New Roman" w:cs="Times New Roman"/>
          <w:color w:val="212121"/>
          <w:sz w:val="24"/>
          <w:szCs w:val="24"/>
        </w:rPr>
        <w:t xml:space="preserve">have </w:t>
      </w:r>
      <w:r w:rsidRPr="00AF7AF3">
        <w:rPr>
          <w:rFonts w:ascii="Times New Roman" w:hAnsi="Times New Roman" w:cs="Times New Roman"/>
          <w:color w:val="212121"/>
          <w:sz w:val="24"/>
          <w:szCs w:val="24"/>
        </w:rPr>
        <w:t>provide</w:t>
      </w:r>
      <w:r w:rsidR="009E3B15">
        <w:rPr>
          <w:rFonts w:ascii="Times New Roman" w:hAnsi="Times New Roman" w:cs="Times New Roman"/>
          <w:color w:val="212121"/>
          <w:sz w:val="24"/>
          <w:szCs w:val="24"/>
        </w:rPr>
        <w:t>d</w:t>
      </w:r>
      <w:r w:rsidRPr="00AF7AF3">
        <w:rPr>
          <w:rFonts w:ascii="Times New Roman" w:hAnsi="Times New Roman" w:cs="Times New Roman"/>
          <w:color w:val="212121"/>
          <w:sz w:val="24"/>
          <w:szCs w:val="24"/>
        </w:rPr>
        <w:t xml:space="preserve"> </w:t>
      </w:r>
      <w:r w:rsidR="009E3B15">
        <w:rPr>
          <w:rFonts w:ascii="Times New Roman" w:hAnsi="Times New Roman" w:cs="Times New Roman"/>
          <w:color w:val="212121"/>
          <w:sz w:val="24"/>
          <w:szCs w:val="24"/>
        </w:rPr>
        <w:t xml:space="preserve">us with imprecise data, particularly </w:t>
      </w:r>
      <w:r w:rsidRPr="00AF7AF3">
        <w:rPr>
          <w:rFonts w:ascii="Times New Roman" w:hAnsi="Times New Roman" w:cs="Times New Roman"/>
          <w:color w:val="212121"/>
          <w:sz w:val="24"/>
          <w:szCs w:val="24"/>
        </w:rPr>
        <w:t>at the local authority level</w:t>
      </w:r>
      <w:r w:rsidR="009E3B15">
        <w:rPr>
          <w:rFonts w:ascii="Times New Roman" w:hAnsi="Times New Roman" w:cs="Times New Roman"/>
          <w:color w:val="212121"/>
          <w:sz w:val="24"/>
          <w:szCs w:val="24"/>
        </w:rPr>
        <w:t>.</w:t>
      </w:r>
    </w:p>
    <w:p w14:paraId="5FBB6597" w14:textId="77777777" w:rsidR="00702B9C" w:rsidRPr="00A35A54" w:rsidRDefault="00702B9C" w:rsidP="00B24356">
      <w:pPr>
        <w:spacing w:after="0" w:line="480" w:lineRule="auto"/>
        <w:rPr>
          <w:rFonts w:ascii="Times New Roman" w:hAnsi="Times New Roman" w:cs="Times New Roman"/>
          <w:color w:val="212121"/>
          <w:sz w:val="24"/>
          <w:szCs w:val="24"/>
          <w:highlight w:val="cyan"/>
        </w:rPr>
      </w:pPr>
    </w:p>
    <w:p w14:paraId="1AF99068" w14:textId="71EA1392" w:rsidR="00240B53" w:rsidRPr="00DF5297" w:rsidRDefault="00B24356" w:rsidP="00B24356">
      <w:pPr>
        <w:spacing w:after="0" w:line="480" w:lineRule="auto"/>
      </w:pPr>
      <w:r w:rsidRPr="009E3B15">
        <w:rPr>
          <w:rFonts w:ascii="Times New Roman" w:eastAsia="Times New Roman" w:hAnsi="Times New Roman" w:cs="Times New Roman"/>
          <w:sz w:val="24"/>
        </w:rPr>
        <w:t>Second, not all migrants registered with the scheme – partly because there were no sanctions for non-compliance, partly because of the fee (McCollum</w:t>
      </w:r>
      <w:r w:rsidR="00DF5297">
        <w:rPr>
          <w:rFonts w:ascii="Times New Roman" w:eastAsia="Times New Roman" w:hAnsi="Times New Roman" w:cs="Times New Roman"/>
          <w:sz w:val="24"/>
        </w:rPr>
        <w:t>,</w:t>
      </w:r>
      <w:r w:rsidRPr="009E3B15">
        <w:rPr>
          <w:rFonts w:ascii="Times New Roman" w:eastAsia="Times New Roman" w:hAnsi="Times New Roman" w:cs="Times New Roman"/>
          <w:sz w:val="24"/>
        </w:rPr>
        <w:t xml:space="preserve"> 2012). </w:t>
      </w:r>
      <w:r w:rsidR="009E3B15" w:rsidRPr="009E3B15">
        <w:rPr>
          <w:rFonts w:ascii="Times New Roman" w:eastAsia="Times New Roman" w:hAnsi="Times New Roman" w:cs="Times New Roman"/>
          <w:sz w:val="24"/>
        </w:rPr>
        <w:t xml:space="preserve">However, </w:t>
      </w:r>
      <w:r w:rsidRPr="009E3B15">
        <w:rPr>
          <w:rFonts w:ascii="Times New Roman" w:hAnsi="Times New Roman" w:cs="Times New Roman"/>
          <w:color w:val="212121"/>
          <w:sz w:val="24"/>
          <w:szCs w:val="24"/>
          <w:shd w:val="clear" w:color="auto" w:fill="FFFFFF"/>
        </w:rPr>
        <w:t xml:space="preserve">there were </w:t>
      </w:r>
      <w:r w:rsidR="001B1A1C" w:rsidRPr="009E3B15">
        <w:rPr>
          <w:rFonts w:ascii="Times New Roman" w:hAnsi="Times New Roman" w:cs="Times New Roman"/>
          <w:color w:val="212121"/>
          <w:sz w:val="24"/>
          <w:szCs w:val="24"/>
          <w:shd w:val="clear" w:color="auto" w:fill="FFFFFF"/>
        </w:rPr>
        <w:t xml:space="preserve">also </w:t>
      </w:r>
      <w:r w:rsidRPr="009E3B15">
        <w:rPr>
          <w:rFonts w:ascii="Times New Roman" w:hAnsi="Times New Roman" w:cs="Times New Roman"/>
          <w:color w:val="212121"/>
          <w:sz w:val="24"/>
          <w:szCs w:val="24"/>
          <w:shd w:val="clear" w:color="auto" w:fill="FFFFFF"/>
        </w:rPr>
        <w:t xml:space="preserve">incentives to register: workers could access certain benefits, such as </w:t>
      </w:r>
      <w:r w:rsidR="009E3B15" w:rsidRPr="009E3B15">
        <w:rPr>
          <w:rFonts w:ascii="Times New Roman" w:hAnsi="Times New Roman" w:cs="Times New Roman"/>
          <w:color w:val="212121"/>
          <w:sz w:val="24"/>
          <w:szCs w:val="24"/>
          <w:shd w:val="clear" w:color="auto" w:fill="FFFFFF"/>
        </w:rPr>
        <w:t xml:space="preserve">the </w:t>
      </w:r>
      <w:r w:rsidRPr="009E3B15">
        <w:rPr>
          <w:rFonts w:ascii="Times New Roman" w:hAnsi="Times New Roman" w:cs="Times New Roman"/>
          <w:color w:val="212121"/>
          <w:sz w:val="24"/>
          <w:szCs w:val="24"/>
          <w:shd w:val="clear" w:color="auto" w:fill="FFFFFF"/>
        </w:rPr>
        <w:t xml:space="preserve">Housing Benefit, </w:t>
      </w:r>
      <w:r w:rsidR="009E3B15" w:rsidRPr="009E3B15">
        <w:rPr>
          <w:rFonts w:ascii="Times New Roman" w:hAnsi="Times New Roman" w:cs="Times New Roman"/>
          <w:color w:val="212121"/>
          <w:sz w:val="24"/>
          <w:szCs w:val="24"/>
          <w:shd w:val="clear" w:color="auto" w:fill="FFFFFF"/>
        </w:rPr>
        <w:t xml:space="preserve">the </w:t>
      </w:r>
      <w:r w:rsidRPr="009E3B15">
        <w:rPr>
          <w:rFonts w:ascii="Times New Roman" w:hAnsi="Times New Roman" w:cs="Times New Roman"/>
          <w:color w:val="212121"/>
          <w:sz w:val="24"/>
          <w:szCs w:val="24"/>
          <w:shd w:val="clear" w:color="auto" w:fill="FFFFFF"/>
        </w:rPr>
        <w:t xml:space="preserve">Council Tax Benefit and Tax Credits, only if they </w:t>
      </w:r>
      <w:r w:rsidR="009E3B15" w:rsidRPr="009E3B15">
        <w:rPr>
          <w:rFonts w:ascii="Times New Roman" w:hAnsi="Times New Roman" w:cs="Times New Roman"/>
          <w:color w:val="212121"/>
          <w:sz w:val="24"/>
          <w:szCs w:val="24"/>
          <w:shd w:val="clear" w:color="auto" w:fill="FFFFFF"/>
        </w:rPr>
        <w:t xml:space="preserve">have </w:t>
      </w:r>
      <w:r w:rsidR="00DF5297">
        <w:rPr>
          <w:rFonts w:ascii="Times New Roman" w:hAnsi="Times New Roman" w:cs="Times New Roman"/>
          <w:color w:val="212121"/>
          <w:sz w:val="24"/>
          <w:szCs w:val="24"/>
          <w:shd w:val="clear" w:color="auto" w:fill="FFFFFF"/>
        </w:rPr>
        <w:t xml:space="preserve">registered with the scheme. </w:t>
      </w:r>
      <w:r w:rsidR="004F7124" w:rsidRPr="009E3B15">
        <w:rPr>
          <w:rFonts w:ascii="Times New Roman" w:eastAsia="Times New Roman" w:hAnsi="Times New Roman" w:cs="Times New Roman"/>
          <w:sz w:val="24"/>
        </w:rPr>
        <w:t xml:space="preserve">To check how well the WRS data relate to data from other official data sources on immigration, we have used </w:t>
      </w:r>
      <w:r w:rsidR="004F7124" w:rsidRPr="009E3B15">
        <w:rPr>
          <w:rFonts w:ascii="Times New Roman" w:hAnsi="Times New Roman" w:cs="Times New Roman"/>
          <w:color w:val="212121"/>
          <w:sz w:val="24"/>
          <w:szCs w:val="24"/>
          <w:shd w:val="clear" w:color="auto" w:fill="FFFFFF"/>
        </w:rPr>
        <w:t>the 2001 and 2011 Population C</w:t>
      </w:r>
      <w:r w:rsidR="00240B53" w:rsidRPr="009E3B15">
        <w:rPr>
          <w:rFonts w:ascii="Times New Roman" w:hAnsi="Times New Roman" w:cs="Times New Roman"/>
          <w:color w:val="212121"/>
          <w:sz w:val="24"/>
          <w:szCs w:val="24"/>
          <w:shd w:val="clear" w:color="auto" w:fill="FFFFFF"/>
        </w:rPr>
        <w:t>ensuses</w:t>
      </w:r>
      <w:r w:rsidR="009E3B15">
        <w:rPr>
          <w:rFonts w:ascii="Times New Roman" w:hAnsi="Times New Roman" w:cs="Times New Roman"/>
          <w:color w:val="212121"/>
          <w:sz w:val="24"/>
          <w:szCs w:val="24"/>
          <w:shd w:val="clear" w:color="auto" w:fill="FFFFFF"/>
        </w:rPr>
        <w:t xml:space="preserve"> for a simple exercise. </w:t>
      </w:r>
      <w:r w:rsidR="00240B53" w:rsidRPr="009E3B15">
        <w:rPr>
          <w:rFonts w:ascii="Times New Roman" w:hAnsi="Times New Roman" w:cs="Times New Roman"/>
          <w:color w:val="212121"/>
          <w:sz w:val="24"/>
          <w:szCs w:val="24"/>
          <w:shd w:val="clear" w:color="auto" w:fill="FFFFFF"/>
        </w:rPr>
        <w:t>Spe</w:t>
      </w:r>
      <w:r w:rsidR="004F7124" w:rsidRPr="009E3B15">
        <w:rPr>
          <w:rFonts w:ascii="Times New Roman" w:hAnsi="Times New Roman" w:cs="Times New Roman"/>
          <w:color w:val="212121"/>
          <w:sz w:val="24"/>
          <w:szCs w:val="24"/>
          <w:shd w:val="clear" w:color="auto" w:fill="FFFFFF"/>
        </w:rPr>
        <w:t xml:space="preserve">cifically, we have </w:t>
      </w:r>
      <w:r w:rsidR="00702B9C" w:rsidRPr="009E3B15">
        <w:rPr>
          <w:rFonts w:ascii="Times New Roman" w:hAnsi="Times New Roman" w:cs="Times New Roman"/>
          <w:color w:val="212121"/>
          <w:sz w:val="24"/>
          <w:szCs w:val="24"/>
          <w:shd w:val="clear" w:color="auto" w:fill="FFFFFF"/>
        </w:rPr>
        <w:t xml:space="preserve">estimated a local-authority level regression, whereby the absolute change in the </w:t>
      </w:r>
      <w:r w:rsidR="009E3B15">
        <w:rPr>
          <w:rFonts w:ascii="Times New Roman" w:hAnsi="Times New Roman" w:cs="Times New Roman"/>
          <w:color w:val="212121"/>
          <w:sz w:val="24"/>
          <w:szCs w:val="24"/>
          <w:shd w:val="clear" w:color="auto" w:fill="FFFFFF"/>
        </w:rPr>
        <w:t xml:space="preserve">number of people born in Poland </w:t>
      </w:r>
      <w:r w:rsidR="00387F1B">
        <w:rPr>
          <w:rFonts w:ascii="Times New Roman" w:hAnsi="Times New Roman" w:cs="Times New Roman"/>
          <w:color w:val="212121"/>
          <w:sz w:val="24"/>
          <w:szCs w:val="24"/>
          <w:shd w:val="clear" w:color="auto" w:fill="FFFFFF"/>
        </w:rPr>
        <w:t>between 2001 and 201</w:t>
      </w:r>
      <w:r w:rsidR="00387F1B" w:rsidRPr="009E3B15">
        <w:rPr>
          <w:rFonts w:ascii="Times New Roman" w:hAnsi="Times New Roman" w:cs="Times New Roman"/>
          <w:color w:val="212121"/>
          <w:sz w:val="24"/>
          <w:szCs w:val="24"/>
          <w:shd w:val="clear" w:color="auto" w:fill="FFFFFF"/>
        </w:rPr>
        <w:t>1</w:t>
      </w:r>
      <w:r w:rsidR="002E3731">
        <w:rPr>
          <w:rFonts w:ascii="Times New Roman" w:hAnsi="Times New Roman" w:cs="Times New Roman"/>
          <w:color w:val="212121"/>
          <w:sz w:val="24"/>
          <w:szCs w:val="24"/>
          <w:shd w:val="clear" w:color="auto" w:fill="FFFFFF"/>
        </w:rPr>
        <w:t xml:space="preserve"> (taken from the censuses) </w:t>
      </w:r>
      <w:r w:rsidR="00702B9C" w:rsidRPr="009E3B15">
        <w:rPr>
          <w:rFonts w:ascii="Times New Roman" w:hAnsi="Times New Roman" w:cs="Times New Roman"/>
          <w:color w:val="212121"/>
          <w:sz w:val="24"/>
          <w:szCs w:val="24"/>
          <w:shd w:val="clear" w:color="auto" w:fill="FFFFFF"/>
        </w:rPr>
        <w:t xml:space="preserve">is </w:t>
      </w:r>
      <w:r w:rsidR="009E3B15">
        <w:rPr>
          <w:rFonts w:ascii="Times New Roman" w:hAnsi="Times New Roman" w:cs="Times New Roman"/>
          <w:color w:val="212121"/>
          <w:sz w:val="24"/>
          <w:szCs w:val="24"/>
          <w:shd w:val="clear" w:color="auto" w:fill="FFFFFF"/>
        </w:rPr>
        <w:t xml:space="preserve">regressed on </w:t>
      </w:r>
      <w:r w:rsidR="00240B53" w:rsidRPr="009E3B15">
        <w:rPr>
          <w:rFonts w:ascii="Times New Roman" w:hAnsi="Times New Roman" w:cs="Times New Roman"/>
          <w:color w:val="212121"/>
          <w:sz w:val="24"/>
          <w:szCs w:val="24"/>
          <w:shd w:val="clear" w:color="auto" w:fill="FFFFFF"/>
        </w:rPr>
        <w:t xml:space="preserve">the cumulative WRS immigrant inflows from Poland for the period 2004-2011 </w:t>
      </w:r>
      <w:r w:rsidR="00702B9C" w:rsidRPr="009E3B15">
        <w:rPr>
          <w:rFonts w:ascii="Times New Roman" w:hAnsi="Times New Roman" w:cs="Times New Roman"/>
          <w:color w:val="212121"/>
          <w:sz w:val="24"/>
          <w:szCs w:val="24"/>
          <w:shd w:val="clear" w:color="auto" w:fill="FFFFFF"/>
        </w:rPr>
        <w:t>(</w:t>
      </w:r>
      <w:r w:rsidR="00240B53" w:rsidRPr="009E3B15">
        <w:rPr>
          <w:rFonts w:ascii="Times New Roman" w:hAnsi="Times New Roman" w:cs="Times New Roman"/>
          <w:color w:val="212121"/>
          <w:sz w:val="24"/>
          <w:szCs w:val="24"/>
          <w:shd w:val="clear" w:color="auto" w:fill="FFFFFF"/>
        </w:rPr>
        <w:t>Poland is the only A8 country for which the census data at the local authority level are publicly available</w:t>
      </w:r>
      <w:r w:rsidR="009E3B15">
        <w:rPr>
          <w:rFonts w:ascii="Times New Roman" w:hAnsi="Times New Roman" w:cs="Times New Roman"/>
          <w:color w:val="212121"/>
          <w:sz w:val="24"/>
          <w:szCs w:val="24"/>
          <w:shd w:val="clear" w:color="auto" w:fill="FFFFFF"/>
        </w:rPr>
        <w:t>;</w:t>
      </w:r>
      <w:r w:rsidR="00240B53" w:rsidRPr="009E3B15">
        <w:rPr>
          <w:rFonts w:ascii="Times New Roman" w:hAnsi="Times New Roman" w:cs="Times New Roman"/>
          <w:color w:val="212121"/>
          <w:sz w:val="24"/>
          <w:szCs w:val="24"/>
          <w:shd w:val="clear" w:color="auto" w:fill="FFFFFF"/>
        </w:rPr>
        <w:t xml:space="preserve"> however, it is also the largest contributor to the A8 inflows, representing 62% of all A8 </w:t>
      </w:r>
      <w:r w:rsidR="009E3B15">
        <w:rPr>
          <w:rFonts w:ascii="Times New Roman" w:hAnsi="Times New Roman" w:cs="Times New Roman"/>
          <w:color w:val="212121"/>
          <w:sz w:val="24"/>
          <w:szCs w:val="24"/>
          <w:shd w:val="clear" w:color="auto" w:fill="FFFFFF"/>
        </w:rPr>
        <w:t xml:space="preserve">migrant </w:t>
      </w:r>
      <w:r w:rsidR="00240B53" w:rsidRPr="009E3B15">
        <w:rPr>
          <w:rFonts w:ascii="Times New Roman" w:hAnsi="Times New Roman" w:cs="Times New Roman"/>
          <w:color w:val="212121"/>
          <w:sz w:val="24"/>
          <w:szCs w:val="24"/>
          <w:shd w:val="clear" w:color="auto" w:fill="FFFFFF"/>
        </w:rPr>
        <w:t>inflows in 2004-2011</w:t>
      </w:r>
      <w:r w:rsidR="00702B9C" w:rsidRPr="009E3B15">
        <w:rPr>
          <w:rFonts w:ascii="Times New Roman" w:hAnsi="Times New Roman" w:cs="Times New Roman"/>
          <w:color w:val="212121"/>
          <w:sz w:val="24"/>
          <w:szCs w:val="24"/>
          <w:shd w:val="clear" w:color="auto" w:fill="FFFFFF"/>
        </w:rPr>
        <w:t>)</w:t>
      </w:r>
      <w:r w:rsidR="00240B53" w:rsidRPr="009E3B15">
        <w:rPr>
          <w:rFonts w:ascii="Times New Roman" w:hAnsi="Times New Roman" w:cs="Times New Roman"/>
          <w:color w:val="212121"/>
          <w:sz w:val="24"/>
          <w:szCs w:val="24"/>
          <w:shd w:val="clear" w:color="auto" w:fill="FFFFFF"/>
        </w:rPr>
        <w:t xml:space="preserve">. </w:t>
      </w:r>
      <w:r w:rsidR="00702B9C" w:rsidRPr="009E3B15">
        <w:rPr>
          <w:rFonts w:ascii="Times New Roman" w:hAnsi="Times New Roman" w:cs="Times New Roman"/>
          <w:color w:val="212121"/>
          <w:sz w:val="24"/>
          <w:szCs w:val="24"/>
          <w:shd w:val="clear" w:color="auto" w:fill="FFFFFF"/>
        </w:rPr>
        <w:t xml:space="preserve">We </w:t>
      </w:r>
      <w:r w:rsidR="00DF5297">
        <w:rPr>
          <w:rFonts w:ascii="Times New Roman" w:hAnsi="Times New Roman" w:cs="Times New Roman"/>
          <w:color w:val="212121"/>
          <w:sz w:val="24"/>
          <w:szCs w:val="24"/>
          <w:shd w:val="clear" w:color="auto" w:fill="FFFFFF"/>
        </w:rPr>
        <w:t>obtained</w:t>
      </w:r>
      <w:r w:rsidR="004537A2">
        <w:rPr>
          <w:rFonts w:ascii="Times New Roman" w:hAnsi="Times New Roman" w:cs="Times New Roman"/>
          <w:color w:val="212121"/>
          <w:sz w:val="24"/>
          <w:szCs w:val="24"/>
          <w:shd w:val="clear" w:color="auto" w:fill="FFFFFF"/>
        </w:rPr>
        <w:t xml:space="preserve"> a</w:t>
      </w:r>
      <w:r w:rsidR="00702B9C" w:rsidRPr="009E3B15">
        <w:rPr>
          <w:rFonts w:ascii="Times New Roman" w:hAnsi="Times New Roman" w:cs="Times New Roman"/>
          <w:color w:val="212121"/>
          <w:sz w:val="24"/>
          <w:szCs w:val="24"/>
          <w:shd w:val="clear" w:color="auto" w:fill="FFFFFF"/>
        </w:rPr>
        <w:t xml:space="preserve"> very </w:t>
      </w:r>
      <w:r w:rsidR="002E3731">
        <w:rPr>
          <w:rFonts w:ascii="Times New Roman" w:hAnsi="Times New Roman" w:cs="Times New Roman"/>
          <w:color w:val="212121"/>
          <w:sz w:val="24"/>
          <w:szCs w:val="24"/>
          <w:shd w:val="clear" w:color="auto" w:fill="FFFFFF"/>
        </w:rPr>
        <w:t xml:space="preserve">strong relationship </w:t>
      </w:r>
      <w:r w:rsidR="00702B9C" w:rsidRPr="009E3B15">
        <w:rPr>
          <w:rFonts w:ascii="Times New Roman" w:hAnsi="Times New Roman" w:cs="Times New Roman"/>
          <w:color w:val="212121"/>
          <w:sz w:val="24"/>
          <w:szCs w:val="24"/>
          <w:shd w:val="clear" w:color="auto" w:fill="FFFFFF"/>
        </w:rPr>
        <w:t xml:space="preserve">between the WRS and Census data. Specifically, one </w:t>
      </w:r>
      <w:r w:rsidR="002E3731">
        <w:rPr>
          <w:rFonts w:ascii="Times New Roman" w:hAnsi="Times New Roman" w:cs="Times New Roman"/>
          <w:color w:val="212121"/>
          <w:sz w:val="24"/>
          <w:szCs w:val="24"/>
          <w:shd w:val="clear" w:color="auto" w:fill="FFFFFF"/>
        </w:rPr>
        <w:t xml:space="preserve">additional </w:t>
      </w:r>
      <w:r w:rsidR="00702B9C" w:rsidRPr="009E3B15">
        <w:rPr>
          <w:rFonts w:ascii="Times New Roman" w:hAnsi="Times New Roman" w:cs="Times New Roman"/>
          <w:color w:val="212121"/>
          <w:sz w:val="24"/>
          <w:szCs w:val="24"/>
          <w:shd w:val="clear" w:color="auto" w:fill="FFFFFF"/>
        </w:rPr>
        <w:t xml:space="preserve">WRS registration from Poland was associated with </w:t>
      </w:r>
      <w:r w:rsidR="002E3731">
        <w:rPr>
          <w:rFonts w:ascii="Times New Roman" w:hAnsi="Times New Roman" w:cs="Times New Roman"/>
          <w:color w:val="212121"/>
          <w:sz w:val="24"/>
          <w:szCs w:val="24"/>
          <w:shd w:val="clear" w:color="auto" w:fill="FFFFFF"/>
        </w:rPr>
        <w:t xml:space="preserve">a </w:t>
      </w:r>
      <w:r w:rsidR="00702B9C" w:rsidRPr="009E3B15">
        <w:rPr>
          <w:rFonts w:ascii="Times New Roman" w:hAnsi="Times New Roman" w:cs="Times New Roman"/>
          <w:color w:val="212121"/>
          <w:sz w:val="24"/>
          <w:szCs w:val="24"/>
          <w:shd w:val="clear" w:color="auto" w:fill="FFFFFF"/>
        </w:rPr>
        <w:t xml:space="preserve">0.66 increase in the number of Polish-born between the two Censuses (or, using log transformations of the variables, </w:t>
      </w:r>
      <w:r w:rsidR="002E3731">
        <w:rPr>
          <w:rFonts w:ascii="Times New Roman" w:hAnsi="Times New Roman" w:cs="Times New Roman"/>
          <w:color w:val="212121"/>
          <w:sz w:val="24"/>
          <w:szCs w:val="24"/>
          <w:shd w:val="clear" w:color="auto" w:fill="FFFFFF"/>
        </w:rPr>
        <w:t xml:space="preserve">a </w:t>
      </w:r>
      <w:r w:rsidR="00702B9C" w:rsidRPr="009E3B15">
        <w:rPr>
          <w:rFonts w:ascii="Times New Roman" w:hAnsi="Times New Roman" w:cs="Times New Roman"/>
          <w:color w:val="212121"/>
          <w:sz w:val="24"/>
          <w:szCs w:val="24"/>
          <w:shd w:val="clear" w:color="auto" w:fill="FFFFFF"/>
        </w:rPr>
        <w:t xml:space="preserve">1% increase in the WRS registrations from Poland was associated with </w:t>
      </w:r>
      <w:r w:rsidR="002E3731">
        <w:rPr>
          <w:rFonts w:ascii="Times New Roman" w:hAnsi="Times New Roman" w:cs="Times New Roman"/>
          <w:color w:val="212121"/>
          <w:sz w:val="24"/>
          <w:szCs w:val="24"/>
          <w:shd w:val="clear" w:color="auto" w:fill="FFFFFF"/>
        </w:rPr>
        <w:t xml:space="preserve">a </w:t>
      </w:r>
      <w:r w:rsidR="00702B9C" w:rsidRPr="009E3B15">
        <w:rPr>
          <w:rFonts w:ascii="Times New Roman" w:hAnsi="Times New Roman" w:cs="Times New Roman"/>
          <w:color w:val="212121"/>
          <w:sz w:val="24"/>
          <w:szCs w:val="24"/>
          <w:shd w:val="clear" w:color="auto" w:fill="FFFFFF"/>
        </w:rPr>
        <w:t xml:space="preserve">0.95% increase in the number of Polish-born between the two Censuses). This provides us </w:t>
      </w:r>
      <w:r w:rsidR="002E3731">
        <w:rPr>
          <w:rFonts w:ascii="Times New Roman" w:hAnsi="Times New Roman" w:cs="Times New Roman"/>
          <w:color w:val="212121"/>
          <w:sz w:val="24"/>
          <w:szCs w:val="24"/>
          <w:shd w:val="clear" w:color="auto" w:fill="FFFFFF"/>
        </w:rPr>
        <w:t xml:space="preserve">with </w:t>
      </w:r>
      <w:r w:rsidR="00702B9C" w:rsidRPr="009E3B15">
        <w:rPr>
          <w:rFonts w:ascii="Times New Roman" w:hAnsi="Times New Roman" w:cs="Times New Roman"/>
          <w:color w:val="212121"/>
          <w:sz w:val="24"/>
          <w:szCs w:val="24"/>
          <w:shd w:val="clear" w:color="auto" w:fill="FFFFFF"/>
        </w:rPr>
        <w:t xml:space="preserve">further confidence that the WRS data are a good proxy for the actual inflows of A8 immigrants. </w:t>
      </w:r>
    </w:p>
    <w:p w14:paraId="7325A2B2" w14:textId="77777777" w:rsidR="00702B9C" w:rsidRPr="00A35A54" w:rsidRDefault="00702B9C" w:rsidP="00B24356">
      <w:pPr>
        <w:spacing w:after="0" w:line="480" w:lineRule="auto"/>
        <w:rPr>
          <w:rFonts w:ascii="Times New Roman" w:hAnsi="Times New Roman" w:cs="Times New Roman"/>
          <w:color w:val="212121"/>
          <w:sz w:val="24"/>
          <w:szCs w:val="24"/>
          <w:highlight w:val="cyan"/>
          <w:shd w:val="clear" w:color="auto" w:fill="FFFFFF"/>
        </w:rPr>
      </w:pPr>
    </w:p>
    <w:p w14:paraId="05DF7A5B" w14:textId="04F73355" w:rsidR="00B24356" w:rsidRPr="00B24356" w:rsidRDefault="00B24356" w:rsidP="00B24356">
      <w:pPr>
        <w:spacing w:after="0" w:line="480" w:lineRule="auto"/>
        <w:rPr>
          <w:rFonts w:ascii="Times New Roman" w:hAnsi="Times New Roman" w:cs="Times New Roman"/>
          <w:sz w:val="24"/>
          <w:szCs w:val="22"/>
        </w:rPr>
      </w:pPr>
      <w:r w:rsidRPr="002E3731">
        <w:rPr>
          <w:rFonts w:ascii="Times New Roman" w:eastAsia="Times New Roman" w:hAnsi="Times New Roman" w:cs="Times New Roman"/>
          <w:sz w:val="24"/>
        </w:rPr>
        <w:t>Third, migrants did not have to de-register when they stopped working – the data thus reflect migrant inflows rather than net migration. This, however, is not necessarily an issue for our study, as it can be argued that it is the inflow rate of new migrants that matters for the life satisfaction of receiving populations – regardless of whether migrants become permanent or not. Finally, to avoid double counting</w:t>
      </w:r>
      <w:r w:rsidR="00245401">
        <w:rPr>
          <w:rFonts w:ascii="Times New Roman" w:eastAsia="Times New Roman" w:hAnsi="Times New Roman" w:cs="Times New Roman"/>
          <w:sz w:val="24"/>
        </w:rPr>
        <w:t>,</w:t>
      </w:r>
      <w:r w:rsidRPr="002E3731">
        <w:rPr>
          <w:rFonts w:ascii="Times New Roman" w:eastAsia="Times New Roman" w:hAnsi="Times New Roman" w:cs="Times New Roman"/>
          <w:sz w:val="24"/>
        </w:rPr>
        <w:t xml:space="preserve"> the data refer only to first migrant registrations (Bauere</w:t>
      </w:r>
      <w:r w:rsidR="00427D5E">
        <w:rPr>
          <w:rFonts w:ascii="Times New Roman" w:eastAsia="Times New Roman" w:hAnsi="Times New Roman" w:cs="Times New Roman"/>
          <w:sz w:val="24"/>
        </w:rPr>
        <w:t xml:space="preserve"> et al.</w:t>
      </w:r>
      <w:r w:rsidR="00DF5297">
        <w:rPr>
          <w:rFonts w:ascii="Times New Roman" w:eastAsia="Times New Roman" w:hAnsi="Times New Roman" w:cs="Times New Roman"/>
          <w:sz w:val="24"/>
        </w:rPr>
        <w:t>,</w:t>
      </w:r>
      <w:r w:rsidRPr="002E3731">
        <w:rPr>
          <w:rFonts w:ascii="Times New Roman" w:eastAsia="Times New Roman" w:hAnsi="Times New Roman" w:cs="Times New Roman"/>
          <w:sz w:val="24"/>
        </w:rPr>
        <w:t xml:space="preserve"> 2007); they, therefore, cannot capture migrants’ spatial mobility. However, </w:t>
      </w:r>
      <w:r w:rsidRPr="002E3731">
        <w:rPr>
          <w:rFonts w:ascii="Times New Roman" w:eastAsia="Times New Roman" w:hAnsi="Times New Roman" w:cs="Times New Roman"/>
          <w:sz w:val="24"/>
          <w:szCs w:val="22"/>
        </w:rPr>
        <w:t>Bell et al. (2013) find that there is a very close correlation between the WRS registrations and the changes in corresponding migrant stocks across the (more aggregated) Police Force Areas, implying a limited spatial mobility of migrants.</w:t>
      </w:r>
      <w:r w:rsidRPr="00B24356">
        <w:rPr>
          <w:rFonts w:ascii="Times New Roman" w:eastAsia="Times New Roman" w:hAnsi="Times New Roman" w:cs="Times New Roman"/>
          <w:sz w:val="24"/>
          <w:szCs w:val="22"/>
        </w:rPr>
        <w:t xml:space="preserve"> </w:t>
      </w:r>
    </w:p>
    <w:p w14:paraId="6965B9EA" w14:textId="77777777" w:rsidR="00B509F1" w:rsidRDefault="00B509F1" w:rsidP="0027251E">
      <w:pPr>
        <w:spacing w:after="0" w:line="480" w:lineRule="auto"/>
      </w:pPr>
    </w:p>
    <w:p w14:paraId="7E9A436F" w14:textId="77777777" w:rsidR="002672F0" w:rsidRDefault="00F16012" w:rsidP="0027251E">
      <w:pPr>
        <w:spacing w:after="0" w:line="480" w:lineRule="auto"/>
        <w:rPr>
          <w:rFonts w:ascii="Times New Roman" w:eastAsia="Times New Roman" w:hAnsi="Times New Roman" w:cs="Times New Roman"/>
          <w:i/>
          <w:sz w:val="24"/>
        </w:rPr>
      </w:pPr>
      <w:r>
        <w:rPr>
          <w:rFonts w:ascii="Times New Roman" w:eastAsia="Times New Roman" w:hAnsi="Times New Roman" w:cs="Times New Roman"/>
          <w:i/>
          <w:sz w:val="24"/>
        </w:rPr>
        <w:t>3</w:t>
      </w:r>
      <w:r w:rsidR="00500205" w:rsidRPr="00500205">
        <w:rPr>
          <w:rFonts w:ascii="Times New Roman" w:eastAsia="Times New Roman" w:hAnsi="Times New Roman" w:cs="Times New Roman"/>
          <w:i/>
          <w:sz w:val="24"/>
        </w:rPr>
        <w:t>.3 Estimation strategy</w:t>
      </w:r>
    </w:p>
    <w:p w14:paraId="7F19FC12" w14:textId="77777777" w:rsidR="0027251E" w:rsidRPr="00DF5297" w:rsidRDefault="0027251E" w:rsidP="0027251E">
      <w:pPr>
        <w:spacing w:after="0" w:line="480" w:lineRule="auto"/>
      </w:pPr>
    </w:p>
    <w:p w14:paraId="22E83D65" w14:textId="65E8FFE3" w:rsidR="00312291" w:rsidRDefault="00312291" w:rsidP="0027251E">
      <w:pPr>
        <w:spacing w:after="0" w:line="48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w:t>
      </w:r>
      <w:r w:rsidR="004C1869">
        <w:rPr>
          <w:rFonts w:ascii="Times New Roman" w:eastAsia="Times New Roman" w:hAnsi="Times New Roman" w:cs="Times New Roman"/>
          <w:iCs/>
          <w:sz w:val="24"/>
          <w:szCs w:val="24"/>
        </w:rPr>
        <w:t xml:space="preserve">baseline </w:t>
      </w:r>
      <w:r>
        <w:rPr>
          <w:rFonts w:ascii="Times New Roman" w:eastAsia="Times New Roman" w:hAnsi="Times New Roman" w:cs="Times New Roman"/>
          <w:iCs/>
          <w:sz w:val="24"/>
          <w:szCs w:val="24"/>
        </w:rPr>
        <w:t>linear regression model explaining life satisfaction</w:t>
      </w:r>
      <w:r w:rsidR="00D0616B">
        <w:rPr>
          <w:rFonts w:ascii="Times New Roman" w:eastAsia="Times New Roman" w:hAnsi="Times New Roman" w:cs="Times New Roman"/>
          <w:iCs/>
          <w:sz w:val="24"/>
          <w:szCs w:val="24"/>
        </w:rPr>
        <w:t xml:space="preserve"> (</w:t>
      </w:r>
      <w:r w:rsidR="00D0616B" w:rsidRPr="00D0616B">
        <w:rPr>
          <w:rFonts w:ascii="Times New Roman" w:eastAsia="Times New Roman" w:hAnsi="Times New Roman" w:cs="Times New Roman"/>
          <w:i/>
          <w:iCs/>
          <w:sz w:val="24"/>
          <w:szCs w:val="24"/>
        </w:rPr>
        <w:t>LS</w:t>
      </w:r>
      <w:r w:rsidR="00D0616B">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for individual </w:t>
      </w:r>
      <w:r w:rsidRPr="00312291">
        <w:rPr>
          <w:rFonts w:ascii="Times New Roman" w:eastAsia="Times New Roman" w:hAnsi="Times New Roman" w:cs="Times New Roman"/>
          <w:i/>
          <w:iCs/>
          <w:sz w:val="24"/>
          <w:szCs w:val="24"/>
        </w:rPr>
        <w:t>i</w:t>
      </w:r>
      <w:r>
        <w:rPr>
          <w:rFonts w:ascii="Times New Roman" w:eastAsia="Times New Roman" w:hAnsi="Times New Roman" w:cs="Times New Roman"/>
          <w:iCs/>
          <w:sz w:val="24"/>
          <w:szCs w:val="24"/>
        </w:rPr>
        <w:t xml:space="preserve"> in local authority</w:t>
      </w:r>
      <w:r w:rsidR="008C5F2D">
        <w:rPr>
          <w:rFonts w:ascii="Times New Roman" w:eastAsia="Times New Roman" w:hAnsi="Times New Roman" w:cs="Times New Roman"/>
          <w:iCs/>
          <w:sz w:val="24"/>
          <w:szCs w:val="24"/>
        </w:rPr>
        <w:t xml:space="preserve"> district</w:t>
      </w:r>
      <w:r w:rsidR="005339F7">
        <w:rPr>
          <w:rFonts w:ascii="Times New Roman" w:eastAsia="Times New Roman" w:hAnsi="Times New Roman" w:cs="Times New Roman"/>
          <w:iCs/>
          <w:sz w:val="24"/>
          <w:szCs w:val="24"/>
        </w:rPr>
        <w:t xml:space="preserve"> (LAD)</w:t>
      </w:r>
      <w:r>
        <w:rPr>
          <w:rFonts w:ascii="Times New Roman" w:eastAsia="Times New Roman" w:hAnsi="Times New Roman" w:cs="Times New Roman"/>
          <w:iCs/>
          <w:sz w:val="24"/>
          <w:szCs w:val="24"/>
        </w:rPr>
        <w:t xml:space="preserve"> </w:t>
      </w:r>
      <w:r w:rsidRPr="00312291">
        <w:rPr>
          <w:rFonts w:ascii="Times New Roman" w:eastAsia="Times New Roman" w:hAnsi="Times New Roman" w:cs="Times New Roman"/>
          <w:i/>
          <w:iCs/>
          <w:sz w:val="24"/>
          <w:szCs w:val="24"/>
        </w:rPr>
        <w:t>j</w:t>
      </w:r>
      <w:r>
        <w:rPr>
          <w:rFonts w:ascii="Times New Roman" w:eastAsia="Times New Roman" w:hAnsi="Times New Roman" w:cs="Times New Roman"/>
          <w:iCs/>
          <w:sz w:val="24"/>
          <w:szCs w:val="24"/>
        </w:rPr>
        <w:t xml:space="preserve"> at year </w:t>
      </w:r>
      <w:r w:rsidRPr="00312291">
        <w:rPr>
          <w:rFonts w:ascii="Times New Roman" w:eastAsia="Times New Roman" w:hAnsi="Times New Roman" w:cs="Times New Roman"/>
          <w:i/>
          <w:iCs/>
          <w:sz w:val="24"/>
          <w:szCs w:val="24"/>
        </w:rPr>
        <w:t>t</w:t>
      </w:r>
      <w:r>
        <w:rPr>
          <w:rFonts w:ascii="Times New Roman" w:eastAsia="Times New Roman" w:hAnsi="Times New Roman" w:cs="Times New Roman"/>
          <w:iCs/>
          <w:sz w:val="24"/>
          <w:szCs w:val="24"/>
        </w:rPr>
        <w:t xml:space="preserve"> can be expressed as follows:  </w:t>
      </w:r>
    </w:p>
    <w:p w14:paraId="42881319" w14:textId="77777777" w:rsidR="00312291" w:rsidRPr="00312291" w:rsidRDefault="00312291" w:rsidP="0027251E">
      <w:pPr>
        <w:spacing w:after="0" w:line="480" w:lineRule="auto"/>
        <w:rPr>
          <w:rFonts w:ascii="Times New Roman" w:eastAsia="Times New Roman" w:hAnsi="Times New Roman" w:cs="Times New Roman"/>
          <w:iCs/>
          <w:sz w:val="24"/>
          <w:szCs w:val="24"/>
        </w:rPr>
      </w:pPr>
    </w:p>
    <w:p w14:paraId="795183E4" w14:textId="77777777" w:rsidR="00843A37" w:rsidRPr="00AA442B" w:rsidRDefault="00D0616B" w:rsidP="00AA442B">
      <w:pPr>
        <w:spacing w:after="0" w:line="240" w:lineRule="auto"/>
        <w:jc w:val="center"/>
        <w:rPr>
          <w:rFonts w:ascii="Times New Roman" w:eastAsia="Times New Roman" w:hAnsi="Times New Roman" w:cs="Times New Roman"/>
          <w:i/>
          <w:iCs/>
          <w:sz w:val="24"/>
          <w:szCs w:val="24"/>
        </w:rPr>
      </w:pPr>
      <w:r w:rsidRPr="00AC616F">
        <w:rPr>
          <w:rFonts w:ascii="Times New Roman" w:eastAsia="Times New Roman" w:hAnsi="Times New Roman" w:cs="Times New Roman"/>
          <w:i/>
          <w:iCs/>
          <w:sz w:val="24"/>
          <w:szCs w:val="24"/>
        </w:rPr>
        <w:t>LS</w:t>
      </w:r>
      <w:r w:rsidR="00312291" w:rsidRPr="00AC616F">
        <w:rPr>
          <w:rFonts w:ascii="Times New Roman" w:eastAsia="Times New Roman" w:hAnsi="Times New Roman" w:cs="Times New Roman"/>
          <w:i/>
          <w:iCs/>
          <w:sz w:val="24"/>
          <w:szCs w:val="24"/>
          <w:vertAlign w:val="subscript"/>
        </w:rPr>
        <w:t>ijt</w:t>
      </w:r>
      <w:r w:rsidR="00312291" w:rsidRPr="00AC616F">
        <w:rPr>
          <w:rFonts w:ascii="Times New Roman" w:eastAsia="Times New Roman" w:hAnsi="Times New Roman" w:cs="Times New Roman"/>
          <w:i/>
          <w:iCs/>
          <w:sz w:val="24"/>
          <w:szCs w:val="24"/>
        </w:rPr>
        <w:t xml:space="preserve"> =  </w:t>
      </w:r>
      <w:r w:rsidR="00843A37" w:rsidRPr="00AC616F">
        <w:rPr>
          <w:rFonts w:ascii="Times New Roman" w:eastAsia="Times New Roman" w:hAnsi="Times New Roman" w:cs="Times New Roman"/>
          <w:i/>
          <w:iCs/>
          <w:sz w:val="24"/>
          <w:szCs w:val="24"/>
        </w:rPr>
        <w:t>α</w:t>
      </w:r>
      <w:r w:rsidR="00843A37" w:rsidRPr="00AC616F">
        <w:rPr>
          <w:rFonts w:ascii="Times New Roman" w:eastAsia="Times New Roman" w:hAnsi="Times New Roman" w:cs="Times New Roman"/>
          <w:iCs/>
          <w:sz w:val="24"/>
          <w:szCs w:val="24"/>
          <w:vertAlign w:val="subscript"/>
        </w:rPr>
        <w:t>1</w:t>
      </w:r>
      <w:r w:rsidR="00AA442B" w:rsidRPr="00AC616F">
        <w:rPr>
          <w:rFonts w:ascii="Times New Roman" w:eastAsia="Times New Roman" w:hAnsi="Times New Roman" w:cs="Times New Roman"/>
          <w:i/>
          <w:iCs/>
          <w:sz w:val="24"/>
          <w:szCs w:val="24"/>
        </w:rPr>
        <w:t>MIR</w:t>
      </w:r>
      <w:r w:rsidR="00843A37" w:rsidRPr="00AC616F">
        <w:rPr>
          <w:rFonts w:ascii="Times New Roman" w:eastAsia="Times New Roman" w:hAnsi="Times New Roman" w:cs="Times New Roman"/>
          <w:i/>
          <w:iCs/>
          <w:sz w:val="24"/>
          <w:szCs w:val="24"/>
          <w:vertAlign w:val="subscript"/>
        </w:rPr>
        <w:t>j</w:t>
      </w:r>
      <w:r w:rsidR="00312291" w:rsidRPr="00AC616F">
        <w:rPr>
          <w:rFonts w:ascii="Times New Roman" w:eastAsia="Times New Roman" w:hAnsi="Times New Roman" w:cs="Times New Roman"/>
          <w:i/>
          <w:iCs/>
          <w:sz w:val="24"/>
          <w:szCs w:val="24"/>
          <w:vertAlign w:val="subscript"/>
        </w:rPr>
        <w:t>t</w:t>
      </w:r>
      <w:r w:rsidR="00843A37" w:rsidRPr="00AC616F">
        <w:rPr>
          <w:rFonts w:ascii="Times New Roman" w:eastAsia="Times New Roman" w:hAnsi="Times New Roman" w:cs="Times New Roman"/>
          <w:i/>
          <w:iCs/>
          <w:sz w:val="24"/>
          <w:szCs w:val="24"/>
        </w:rPr>
        <w:t xml:space="preserve"> +</w:t>
      </w:r>
      <w:r w:rsidR="00AA442B" w:rsidRPr="00AC616F">
        <w:rPr>
          <w:rFonts w:ascii="Times New Roman" w:eastAsia="Times New Roman" w:hAnsi="Times New Roman" w:cs="Times New Roman"/>
          <w:i/>
          <w:iCs/>
          <w:sz w:val="24"/>
          <w:szCs w:val="24"/>
        </w:rPr>
        <w:t xml:space="preserve"> </w:t>
      </w:r>
      <w:r w:rsidR="00843A37" w:rsidRPr="00AC616F">
        <w:rPr>
          <w:rFonts w:ascii="Times New Roman" w:eastAsia="Times New Roman" w:hAnsi="Times New Roman" w:cs="Times New Roman"/>
          <w:i/>
          <w:iCs/>
          <w:sz w:val="24"/>
          <w:szCs w:val="24"/>
        </w:rPr>
        <w:t>α</w:t>
      </w:r>
      <w:r w:rsidR="00843A37" w:rsidRPr="00AC616F">
        <w:rPr>
          <w:rFonts w:ascii="Times New Roman" w:eastAsia="Times New Roman" w:hAnsi="Times New Roman" w:cs="Times New Roman"/>
          <w:iCs/>
          <w:sz w:val="24"/>
          <w:szCs w:val="24"/>
          <w:vertAlign w:val="subscript"/>
        </w:rPr>
        <w:t>2</w:t>
      </w:r>
      <w:r w:rsidR="00AA442B" w:rsidRPr="00AC616F">
        <w:rPr>
          <w:rFonts w:ascii="Times New Roman" w:eastAsia="Times New Roman" w:hAnsi="Times New Roman" w:cs="Times New Roman"/>
          <w:i/>
          <w:iCs/>
          <w:sz w:val="24"/>
          <w:szCs w:val="24"/>
        </w:rPr>
        <w:t>Z</w:t>
      </w:r>
      <w:r w:rsidR="00843A37" w:rsidRPr="00AC616F">
        <w:rPr>
          <w:rFonts w:ascii="Times New Roman" w:eastAsia="Times New Roman" w:hAnsi="Times New Roman" w:cs="Times New Roman"/>
          <w:i/>
          <w:iCs/>
          <w:sz w:val="24"/>
          <w:szCs w:val="24"/>
          <w:vertAlign w:val="subscript"/>
        </w:rPr>
        <w:t>j</w:t>
      </w:r>
      <w:r w:rsidR="00312291" w:rsidRPr="00AC616F">
        <w:rPr>
          <w:rFonts w:ascii="Times New Roman" w:eastAsia="Times New Roman" w:hAnsi="Times New Roman" w:cs="Times New Roman"/>
          <w:i/>
          <w:iCs/>
          <w:sz w:val="24"/>
          <w:szCs w:val="24"/>
          <w:vertAlign w:val="subscript"/>
        </w:rPr>
        <w:t>t</w:t>
      </w:r>
      <w:r w:rsidR="00843A37" w:rsidRPr="00AC616F">
        <w:rPr>
          <w:rFonts w:ascii="Times New Roman" w:eastAsia="Times New Roman" w:hAnsi="Times New Roman" w:cs="Times New Roman"/>
          <w:i/>
          <w:iCs/>
          <w:sz w:val="24"/>
          <w:szCs w:val="24"/>
        </w:rPr>
        <w:t xml:space="preserve"> +α</w:t>
      </w:r>
      <w:r w:rsidR="00843A37" w:rsidRPr="00AC616F">
        <w:rPr>
          <w:rFonts w:ascii="Times New Roman" w:eastAsia="Times New Roman" w:hAnsi="Times New Roman" w:cs="Times New Roman"/>
          <w:iCs/>
          <w:sz w:val="24"/>
          <w:szCs w:val="24"/>
          <w:vertAlign w:val="subscript"/>
        </w:rPr>
        <w:t>3</w:t>
      </w:r>
      <w:r w:rsidR="00AA442B" w:rsidRPr="00AC616F">
        <w:rPr>
          <w:rFonts w:ascii="Times New Roman" w:eastAsia="Times New Roman" w:hAnsi="Times New Roman" w:cs="Times New Roman"/>
          <w:i/>
          <w:iCs/>
          <w:sz w:val="24"/>
          <w:szCs w:val="24"/>
        </w:rPr>
        <w:t>X</w:t>
      </w:r>
      <w:r w:rsidR="00312291" w:rsidRPr="00AC616F">
        <w:rPr>
          <w:rFonts w:ascii="Times New Roman" w:eastAsia="Times New Roman" w:hAnsi="Times New Roman" w:cs="Times New Roman"/>
          <w:i/>
          <w:iCs/>
          <w:sz w:val="24"/>
          <w:szCs w:val="24"/>
          <w:vertAlign w:val="subscript"/>
        </w:rPr>
        <w:t>ijt</w:t>
      </w:r>
      <w:r w:rsidR="00843A37" w:rsidRPr="00AC616F">
        <w:rPr>
          <w:rFonts w:ascii="Times New Roman" w:eastAsia="Times New Roman" w:hAnsi="Times New Roman" w:cs="Times New Roman"/>
          <w:i/>
          <w:iCs/>
          <w:sz w:val="24"/>
          <w:szCs w:val="24"/>
          <w:vertAlign w:val="subscript"/>
        </w:rPr>
        <w:t xml:space="preserve"> </w:t>
      </w:r>
      <w:r w:rsidR="00843A37" w:rsidRPr="00AC616F">
        <w:rPr>
          <w:rFonts w:ascii="Times New Roman" w:eastAsia="Times New Roman" w:hAnsi="Times New Roman" w:cs="Times New Roman"/>
          <w:i/>
          <w:iCs/>
          <w:sz w:val="24"/>
          <w:szCs w:val="24"/>
        </w:rPr>
        <w:t>+</w:t>
      </w:r>
      <w:r w:rsidR="00AA442B" w:rsidRPr="00AC616F">
        <w:rPr>
          <w:rFonts w:ascii="Times New Roman" w:eastAsia="Times New Roman" w:hAnsi="Times New Roman" w:cs="Times New Roman"/>
          <w:i/>
          <w:iCs/>
          <w:sz w:val="24"/>
          <w:szCs w:val="24"/>
        </w:rPr>
        <w:t xml:space="preserve"> </w:t>
      </w:r>
      <w:r w:rsidR="00312291" w:rsidRPr="00AC616F">
        <w:rPr>
          <w:rFonts w:ascii="Times New Roman" w:eastAsia="Times New Roman" w:hAnsi="Times New Roman" w:cs="Times New Roman"/>
          <w:i/>
          <w:iCs/>
          <w:sz w:val="24"/>
          <w:szCs w:val="24"/>
        </w:rPr>
        <w:t>α</w:t>
      </w:r>
      <w:r w:rsidR="00141FC6" w:rsidRPr="00AC616F">
        <w:rPr>
          <w:rFonts w:ascii="Times New Roman" w:eastAsia="Times New Roman" w:hAnsi="Times New Roman" w:cs="Times New Roman"/>
          <w:iCs/>
          <w:sz w:val="24"/>
          <w:szCs w:val="24"/>
          <w:vertAlign w:val="subscript"/>
        </w:rPr>
        <w:t>4</w:t>
      </w:r>
      <w:r w:rsidR="00A52847" w:rsidRPr="00AC616F">
        <w:rPr>
          <w:rFonts w:ascii="Times New Roman" w:eastAsia="Times New Roman" w:hAnsi="Times New Roman" w:cs="Times New Roman"/>
          <w:i/>
          <w:iCs/>
          <w:sz w:val="24"/>
          <w:szCs w:val="24"/>
          <w:lang w:val="en-GB"/>
        </w:rPr>
        <w:t>LAD</w:t>
      </w:r>
      <w:r w:rsidR="00141FC6" w:rsidRPr="00AC616F">
        <w:rPr>
          <w:rFonts w:ascii="Times New Roman" w:eastAsia="Times New Roman" w:hAnsi="Times New Roman" w:cs="Times New Roman"/>
          <w:i/>
          <w:iCs/>
          <w:sz w:val="24"/>
          <w:szCs w:val="24"/>
          <w:vertAlign w:val="subscript"/>
        </w:rPr>
        <w:t>j</w:t>
      </w:r>
      <w:r w:rsidR="00AA442B" w:rsidRPr="00AC616F">
        <w:rPr>
          <w:rFonts w:ascii="Times New Roman" w:eastAsia="Times New Roman" w:hAnsi="Times New Roman" w:cs="Times New Roman"/>
          <w:i/>
          <w:iCs/>
          <w:sz w:val="24"/>
          <w:szCs w:val="24"/>
          <w:vertAlign w:val="subscript"/>
        </w:rPr>
        <w:t xml:space="preserve"> </w:t>
      </w:r>
      <w:r w:rsidRPr="00AC616F">
        <w:rPr>
          <w:rFonts w:ascii="Times New Roman" w:eastAsia="Times New Roman" w:hAnsi="Times New Roman" w:cs="Times New Roman"/>
          <w:i/>
          <w:iCs/>
          <w:sz w:val="24"/>
          <w:szCs w:val="24"/>
        </w:rPr>
        <w:t xml:space="preserve">+ </w:t>
      </w:r>
      <w:r w:rsidR="00312291" w:rsidRPr="00AC616F">
        <w:rPr>
          <w:rFonts w:ascii="Times New Roman" w:eastAsia="Times New Roman" w:hAnsi="Times New Roman" w:cs="Times New Roman"/>
          <w:i/>
          <w:iCs/>
          <w:sz w:val="24"/>
          <w:szCs w:val="24"/>
        </w:rPr>
        <w:t>α</w:t>
      </w:r>
      <w:r w:rsidR="00CC01FF" w:rsidRPr="00AC616F">
        <w:rPr>
          <w:rFonts w:ascii="Times New Roman" w:eastAsia="Times New Roman" w:hAnsi="Times New Roman" w:cs="Times New Roman"/>
          <w:iCs/>
          <w:sz w:val="24"/>
          <w:szCs w:val="24"/>
          <w:vertAlign w:val="subscript"/>
        </w:rPr>
        <w:t>5</w:t>
      </w:r>
      <w:r w:rsidR="00AA442B" w:rsidRPr="00AC616F">
        <w:rPr>
          <w:rFonts w:ascii="Times New Roman" w:eastAsia="Times New Roman" w:hAnsi="Times New Roman" w:cs="Times New Roman"/>
          <w:i/>
          <w:iCs/>
          <w:sz w:val="24"/>
          <w:szCs w:val="24"/>
        </w:rPr>
        <w:t>T</w:t>
      </w:r>
      <w:r w:rsidR="00B509F1" w:rsidRPr="00AC616F">
        <w:rPr>
          <w:rFonts w:ascii="Times New Roman" w:eastAsia="Times New Roman" w:hAnsi="Times New Roman" w:cs="Times New Roman"/>
          <w:i/>
          <w:iCs/>
          <w:sz w:val="24"/>
          <w:szCs w:val="24"/>
          <w:vertAlign w:val="subscript"/>
        </w:rPr>
        <w:t>t</w:t>
      </w:r>
      <w:r w:rsidRPr="00AC616F">
        <w:rPr>
          <w:rFonts w:ascii="Times New Roman" w:eastAsia="Times New Roman" w:hAnsi="Times New Roman" w:cs="Times New Roman"/>
          <w:i/>
          <w:iCs/>
          <w:sz w:val="24"/>
          <w:szCs w:val="24"/>
          <w:vertAlign w:val="subscript"/>
        </w:rPr>
        <w:t xml:space="preserve"> </w:t>
      </w:r>
      <w:r w:rsidRPr="00AC616F">
        <w:rPr>
          <w:rFonts w:ascii="Times New Roman" w:eastAsia="Times New Roman" w:hAnsi="Times New Roman" w:cs="Times New Roman"/>
          <w:i/>
          <w:iCs/>
          <w:sz w:val="24"/>
          <w:szCs w:val="24"/>
        </w:rPr>
        <w:t xml:space="preserve">+ </w:t>
      </w:r>
      <w:r w:rsidRPr="00AC616F">
        <w:rPr>
          <w:rFonts w:ascii="Times New Roman" w:eastAsia="Times New Roman" w:hAnsi="Times New Roman" w:cs="Times New Roman"/>
          <w:i/>
          <w:iCs/>
          <w:sz w:val="24"/>
          <w:szCs w:val="24"/>
          <w:lang w:val="en-GB"/>
        </w:rPr>
        <w:t>u</w:t>
      </w:r>
      <w:r w:rsidRPr="00AC616F">
        <w:rPr>
          <w:rFonts w:ascii="Times New Roman" w:eastAsia="Times New Roman" w:hAnsi="Times New Roman" w:cs="Times New Roman"/>
          <w:i/>
          <w:iCs/>
          <w:sz w:val="24"/>
          <w:szCs w:val="24"/>
          <w:vertAlign w:val="subscript"/>
        </w:rPr>
        <w:t>i</w:t>
      </w:r>
      <w:r w:rsidRPr="00AC616F">
        <w:rPr>
          <w:rFonts w:ascii="Times New Roman" w:eastAsia="Times New Roman" w:hAnsi="Times New Roman" w:cs="Times New Roman"/>
          <w:i/>
          <w:iCs/>
          <w:sz w:val="24"/>
          <w:szCs w:val="24"/>
        </w:rPr>
        <w:t xml:space="preserve"> </w:t>
      </w:r>
      <w:r w:rsidR="00AA442B" w:rsidRPr="00AC616F">
        <w:rPr>
          <w:rFonts w:ascii="Times New Roman" w:eastAsia="Times New Roman" w:hAnsi="Times New Roman" w:cs="Times New Roman"/>
          <w:i/>
          <w:iCs/>
          <w:sz w:val="24"/>
          <w:szCs w:val="24"/>
        </w:rPr>
        <w:t xml:space="preserve">+ </w:t>
      </w:r>
      <w:r w:rsidR="00AA442B" w:rsidRPr="00AC616F">
        <w:rPr>
          <w:rFonts w:ascii="Times New Roman" w:eastAsia="Times New Roman" w:hAnsi="Times New Roman" w:cs="Times New Roman"/>
          <w:i/>
          <w:iCs/>
          <w:sz w:val="24"/>
          <w:szCs w:val="24"/>
          <w:lang w:val="el-GR"/>
        </w:rPr>
        <w:t>ε</w:t>
      </w:r>
      <w:r w:rsidR="00312291" w:rsidRPr="00AC616F">
        <w:rPr>
          <w:rFonts w:ascii="Times New Roman" w:eastAsia="Times New Roman" w:hAnsi="Times New Roman" w:cs="Times New Roman"/>
          <w:i/>
          <w:iCs/>
          <w:sz w:val="24"/>
          <w:szCs w:val="24"/>
          <w:vertAlign w:val="subscript"/>
        </w:rPr>
        <w:t>ijt</w:t>
      </w:r>
      <w:r w:rsidR="00AA442B" w:rsidRPr="00AC616F">
        <w:rPr>
          <w:rFonts w:ascii="Times New Roman" w:eastAsia="Times New Roman" w:hAnsi="Times New Roman" w:cs="Times New Roman"/>
          <w:iCs/>
          <w:sz w:val="24"/>
          <w:szCs w:val="24"/>
        </w:rPr>
        <w:t>,</w:t>
      </w:r>
      <w:r w:rsidR="00843A37" w:rsidRPr="00843A37">
        <w:rPr>
          <w:rFonts w:ascii="Times New Roman" w:eastAsia="Times New Roman" w:hAnsi="Times New Roman" w:cs="Times New Roman"/>
          <w:i/>
          <w:iCs/>
          <w:sz w:val="15"/>
          <w:szCs w:val="15"/>
          <w:vertAlign w:val="subscript"/>
        </w:rPr>
        <w:t>  </w:t>
      </w:r>
      <w:r w:rsidR="00CD7604">
        <w:rPr>
          <w:rFonts w:ascii="Times New Roman" w:eastAsia="Times New Roman" w:hAnsi="Times New Roman" w:cs="Times New Roman"/>
          <w:i/>
          <w:iCs/>
          <w:sz w:val="26"/>
          <w:szCs w:val="26"/>
        </w:rPr>
        <w:t xml:space="preserve">      </w:t>
      </w:r>
      <w:r w:rsidR="00AA442B">
        <w:rPr>
          <w:rFonts w:ascii="Times New Roman" w:eastAsia="Times New Roman" w:hAnsi="Times New Roman" w:cs="Times New Roman"/>
          <w:i/>
          <w:iCs/>
          <w:sz w:val="26"/>
          <w:szCs w:val="26"/>
        </w:rPr>
        <w:t xml:space="preserve"> </w:t>
      </w:r>
      <w:r w:rsidR="00AA442B" w:rsidRPr="00AA442B">
        <w:rPr>
          <w:rFonts w:ascii="Times New Roman" w:eastAsia="Times New Roman" w:hAnsi="Times New Roman" w:cs="Times New Roman"/>
          <w:iCs/>
          <w:sz w:val="26"/>
          <w:szCs w:val="26"/>
        </w:rPr>
        <w:t>(1)</w:t>
      </w:r>
    </w:p>
    <w:p w14:paraId="473DAB8D" w14:textId="77777777" w:rsidR="00D57F4C" w:rsidRDefault="00D57F4C" w:rsidP="0027251E">
      <w:pPr>
        <w:spacing w:after="0" w:line="480" w:lineRule="auto"/>
        <w:rPr>
          <w:rFonts w:ascii="Times New Roman" w:hAnsi="Times New Roman" w:cs="Times New Roman"/>
          <w:sz w:val="24"/>
          <w:szCs w:val="24"/>
        </w:rPr>
      </w:pPr>
    </w:p>
    <w:p w14:paraId="23EB2574" w14:textId="2DFB2CA1" w:rsidR="00CC01FF" w:rsidRDefault="00AA442B" w:rsidP="0027251E">
      <w:pPr>
        <w:spacing w:after="0" w:line="480" w:lineRule="auto"/>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lang w:val="en-GB"/>
        </w:rPr>
        <w:t xml:space="preserve">here </w:t>
      </w:r>
      <w:r w:rsidRPr="00AA442B">
        <w:rPr>
          <w:rFonts w:ascii="Times New Roman" w:hAnsi="Times New Roman" w:cs="Times New Roman"/>
          <w:i/>
          <w:sz w:val="24"/>
          <w:szCs w:val="24"/>
        </w:rPr>
        <w:t>MIR</w:t>
      </w:r>
      <w:r>
        <w:rPr>
          <w:rFonts w:ascii="Times New Roman" w:hAnsi="Times New Roman" w:cs="Times New Roman"/>
          <w:sz w:val="24"/>
          <w:szCs w:val="24"/>
        </w:rPr>
        <w:t xml:space="preserve"> is</w:t>
      </w:r>
      <w:r w:rsidR="004C1869">
        <w:rPr>
          <w:rFonts w:ascii="Times New Roman" w:hAnsi="Times New Roman" w:cs="Times New Roman"/>
          <w:sz w:val="24"/>
          <w:szCs w:val="24"/>
        </w:rPr>
        <w:t xml:space="preserve"> </w:t>
      </w:r>
      <w:r w:rsidR="00D0616B">
        <w:rPr>
          <w:rFonts w:ascii="Times New Roman" w:hAnsi="Times New Roman" w:cs="Times New Roman"/>
          <w:sz w:val="24"/>
          <w:szCs w:val="24"/>
        </w:rPr>
        <w:t xml:space="preserve">the </w:t>
      </w:r>
      <w:r>
        <w:rPr>
          <w:rFonts w:ascii="Times New Roman" w:hAnsi="Times New Roman" w:cs="Times New Roman"/>
          <w:sz w:val="24"/>
          <w:szCs w:val="24"/>
        </w:rPr>
        <w:t xml:space="preserve">migrant inflow rate at the LAD level, </w:t>
      </w:r>
      <w:r w:rsidRPr="00AA442B">
        <w:rPr>
          <w:rFonts w:ascii="Times New Roman" w:hAnsi="Times New Roman" w:cs="Times New Roman"/>
          <w:i/>
          <w:sz w:val="24"/>
          <w:szCs w:val="24"/>
        </w:rPr>
        <w:t>Z</w:t>
      </w:r>
      <w:r>
        <w:rPr>
          <w:rFonts w:ascii="Times New Roman" w:hAnsi="Times New Roman" w:cs="Times New Roman"/>
          <w:sz w:val="24"/>
          <w:szCs w:val="24"/>
        </w:rPr>
        <w:t xml:space="preserve"> is a vector of </w:t>
      </w:r>
      <w:r w:rsidR="001E46AD">
        <w:rPr>
          <w:rFonts w:ascii="Times New Roman" w:hAnsi="Times New Roman" w:cs="Times New Roman"/>
          <w:sz w:val="24"/>
          <w:szCs w:val="24"/>
        </w:rPr>
        <w:t>LAD-</w:t>
      </w:r>
      <w:r w:rsidR="00D0616B">
        <w:rPr>
          <w:rFonts w:ascii="Times New Roman" w:hAnsi="Times New Roman" w:cs="Times New Roman"/>
          <w:sz w:val="24"/>
          <w:szCs w:val="24"/>
        </w:rPr>
        <w:t>level control variables</w:t>
      </w:r>
      <w:r>
        <w:rPr>
          <w:rFonts w:ascii="Times New Roman" w:hAnsi="Times New Roman" w:cs="Times New Roman"/>
          <w:sz w:val="24"/>
          <w:szCs w:val="24"/>
        </w:rPr>
        <w:t xml:space="preserve">, </w:t>
      </w:r>
      <w:r w:rsidRPr="00AA442B">
        <w:rPr>
          <w:rFonts w:ascii="Times New Roman" w:hAnsi="Times New Roman" w:cs="Times New Roman"/>
          <w:i/>
          <w:sz w:val="24"/>
          <w:szCs w:val="24"/>
        </w:rPr>
        <w:t>X</w:t>
      </w:r>
      <w:r>
        <w:rPr>
          <w:rFonts w:ascii="Times New Roman" w:hAnsi="Times New Roman" w:cs="Times New Roman"/>
          <w:sz w:val="24"/>
          <w:szCs w:val="24"/>
        </w:rPr>
        <w:t xml:space="preserve"> a vector of </w:t>
      </w:r>
      <w:r w:rsidR="002A7397">
        <w:rPr>
          <w:rFonts w:ascii="Times New Roman" w:hAnsi="Times New Roman" w:cs="Times New Roman"/>
          <w:sz w:val="24"/>
          <w:szCs w:val="24"/>
        </w:rPr>
        <w:t xml:space="preserve">individual-level </w:t>
      </w:r>
      <w:r>
        <w:rPr>
          <w:rFonts w:ascii="Times New Roman" w:hAnsi="Times New Roman" w:cs="Times New Roman"/>
          <w:sz w:val="24"/>
          <w:szCs w:val="24"/>
        </w:rPr>
        <w:t>soc</w:t>
      </w:r>
      <w:r w:rsidR="00D0616B">
        <w:rPr>
          <w:rFonts w:ascii="Times New Roman" w:hAnsi="Times New Roman" w:cs="Times New Roman"/>
          <w:sz w:val="24"/>
          <w:szCs w:val="24"/>
        </w:rPr>
        <w:t>io-demographic characteristics</w:t>
      </w:r>
      <w:r>
        <w:rPr>
          <w:rFonts w:ascii="Times New Roman" w:eastAsia="Times New Roman" w:hAnsi="Times New Roman" w:cs="Times New Roman"/>
          <w:iCs/>
          <w:sz w:val="24"/>
          <w:szCs w:val="24"/>
        </w:rPr>
        <w:t xml:space="preserve">, </w:t>
      </w:r>
      <w:r w:rsidR="00A52847">
        <w:rPr>
          <w:rFonts w:ascii="Times New Roman" w:eastAsia="Times New Roman" w:hAnsi="Times New Roman" w:cs="Times New Roman"/>
          <w:i/>
          <w:iCs/>
          <w:sz w:val="24"/>
          <w:szCs w:val="24"/>
        </w:rPr>
        <w:t>LAD</w:t>
      </w:r>
      <w:r>
        <w:rPr>
          <w:rFonts w:ascii="Times New Roman" w:eastAsia="Times New Roman" w:hAnsi="Times New Roman" w:cs="Times New Roman"/>
          <w:iCs/>
          <w:sz w:val="24"/>
          <w:szCs w:val="24"/>
        </w:rPr>
        <w:t xml:space="preserve"> a vector of </w:t>
      </w:r>
      <w:r w:rsidR="00A52847">
        <w:rPr>
          <w:rFonts w:ascii="Times New Roman" w:eastAsia="Times New Roman" w:hAnsi="Times New Roman" w:cs="Times New Roman"/>
          <w:iCs/>
          <w:sz w:val="24"/>
          <w:szCs w:val="24"/>
        </w:rPr>
        <w:t>LAD</w:t>
      </w:r>
      <w:r>
        <w:rPr>
          <w:rFonts w:ascii="Times New Roman" w:eastAsia="Times New Roman" w:hAnsi="Times New Roman" w:cs="Times New Roman"/>
          <w:iCs/>
          <w:sz w:val="24"/>
          <w:szCs w:val="24"/>
        </w:rPr>
        <w:t xml:space="preserve"> dummies, </w:t>
      </w:r>
      <w:r w:rsidRPr="00AA442B">
        <w:rPr>
          <w:rFonts w:ascii="Times New Roman" w:eastAsia="Times New Roman" w:hAnsi="Times New Roman" w:cs="Times New Roman"/>
          <w:i/>
          <w:iCs/>
          <w:sz w:val="24"/>
          <w:szCs w:val="24"/>
        </w:rPr>
        <w:t>T</w:t>
      </w:r>
      <w:r>
        <w:rPr>
          <w:rFonts w:ascii="Times New Roman" w:eastAsia="Times New Roman" w:hAnsi="Times New Roman" w:cs="Times New Roman"/>
          <w:iCs/>
          <w:sz w:val="24"/>
          <w:szCs w:val="24"/>
        </w:rPr>
        <w:t xml:space="preserve"> a vector of year dummies, </w:t>
      </w:r>
      <w:r w:rsidR="00D0616B" w:rsidRPr="00DA6214">
        <w:rPr>
          <w:rFonts w:ascii="Times New Roman" w:eastAsia="Times New Roman" w:hAnsi="Times New Roman" w:cs="Times New Roman"/>
          <w:i/>
          <w:iCs/>
          <w:sz w:val="24"/>
          <w:szCs w:val="24"/>
        </w:rPr>
        <w:t>u</w:t>
      </w:r>
      <w:r w:rsidR="00D0616B">
        <w:rPr>
          <w:rFonts w:ascii="Times New Roman" w:eastAsia="Times New Roman" w:hAnsi="Times New Roman" w:cs="Times New Roman"/>
          <w:i/>
          <w:iCs/>
          <w:sz w:val="24"/>
          <w:szCs w:val="24"/>
          <w:vertAlign w:val="subscript"/>
        </w:rPr>
        <w:t xml:space="preserve">i </w:t>
      </w:r>
      <w:r w:rsidR="000241EA">
        <w:rPr>
          <w:rFonts w:ascii="Times New Roman" w:eastAsia="Times New Roman" w:hAnsi="Times New Roman" w:cs="Times New Roman"/>
          <w:iCs/>
          <w:sz w:val="24"/>
          <w:szCs w:val="24"/>
        </w:rPr>
        <w:t xml:space="preserve">the individual fixed </w:t>
      </w:r>
      <w:r w:rsidR="00D0616B">
        <w:rPr>
          <w:rFonts w:ascii="Times New Roman" w:eastAsia="Times New Roman" w:hAnsi="Times New Roman" w:cs="Times New Roman"/>
          <w:iCs/>
          <w:sz w:val="24"/>
          <w:szCs w:val="24"/>
        </w:rPr>
        <w:t xml:space="preserve">effect, </w:t>
      </w:r>
      <w:r>
        <w:rPr>
          <w:rFonts w:ascii="Times New Roman" w:eastAsia="Times New Roman" w:hAnsi="Times New Roman" w:cs="Times New Roman"/>
          <w:iCs/>
          <w:sz w:val="24"/>
          <w:szCs w:val="24"/>
        </w:rPr>
        <w:t xml:space="preserve">and </w:t>
      </w:r>
      <w:r w:rsidRPr="00AA442B">
        <w:rPr>
          <w:rFonts w:ascii="Times New Roman" w:eastAsia="Times New Roman" w:hAnsi="Times New Roman" w:cs="Times New Roman"/>
          <w:i/>
          <w:iCs/>
          <w:sz w:val="24"/>
          <w:szCs w:val="24"/>
          <w:lang w:val="el-GR"/>
        </w:rPr>
        <w:t>ε</w:t>
      </w:r>
      <w:r w:rsidRPr="00AA442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lang w:val="en-GB"/>
        </w:rPr>
        <w:t xml:space="preserve">the unobserved error term. </w:t>
      </w:r>
      <w:r w:rsidR="00DA6214">
        <w:rPr>
          <w:rFonts w:ascii="Times New Roman" w:eastAsia="Times New Roman" w:hAnsi="Times New Roman" w:cs="Times New Roman"/>
          <w:iCs/>
          <w:sz w:val="24"/>
          <w:szCs w:val="24"/>
          <w:lang w:val="en-GB"/>
        </w:rPr>
        <w:t xml:space="preserve">The </w:t>
      </w:r>
      <w:r w:rsidR="00DA6214" w:rsidRPr="00DA6214">
        <w:rPr>
          <w:rFonts w:ascii="Times New Roman" w:eastAsia="Times New Roman" w:hAnsi="Times New Roman" w:cs="Times New Roman"/>
          <w:i/>
          <w:iCs/>
          <w:sz w:val="24"/>
          <w:szCs w:val="24"/>
          <w:lang w:val="el-GR"/>
        </w:rPr>
        <w:t>α</w:t>
      </w:r>
      <w:r w:rsidR="00DA6214" w:rsidRPr="00DA6214">
        <w:rPr>
          <w:rFonts w:ascii="Times New Roman" w:eastAsia="Times New Roman" w:hAnsi="Times New Roman" w:cs="Times New Roman"/>
          <w:iCs/>
          <w:sz w:val="24"/>
          <w:szCs w:val="24"/>
        </w:rPr>
        <w:t>’</w:t>
      </w:r>
      <w:r w:rsidR="00DA6214">
        <w:rPr>
          <w:rFonts w:ascii="Times New Roman" w:eastAsia="Times New Roman" w:hAnsi="Times New Roman" w:cs="Times New Roman"/>
          <w:iCs/>
          <w:sz w:val="24"/>
          <w:szCs w:val="24"/>
          <w:lang w:val="en-GB"/>
        </w:rPr>
        <w:t>s are the coefficients to be estimate</w:t>
      </w:r>
      <w:r w:rsidR="00D0616B">
        <w:rPr>
          <w:rFonts w:ascii="Times New Roman" w:eastAsia="Times New Roman" w:hAnsi="Times New Roman" w:cs="Times New Roman"/>
          <w:iCs/>
          <w:sz w:val="24"/>
          <w:szCs w:val="24"/>
          <w:lang w:val="en-GB"/>
        </w:rPr>
        <w:t xml:space="preserve">d. </w:t>
      </w:r>
      <w:r>
        <w:rPr>
          <w:rFonts w:ascii="Times New Roman" w:hAnsi="Times New Roman" w:cs="Times New Roman"/>
          <w:sz w:val="24"/>
          <w:szCs w:val="24"/>
        </w:rPr>
        <w:t xml:space="preserve">We </w:t>
      </w:r>
      <w:r w:rsidR="00F24C79">
        <w:rPr>
          <w:rFonts w:ascii="Times New Roman" w:hAnsi="Times New Roman" w:cs="Times New Roman"/>
          <w:sz w:val="24"/>
          <w:szCs w:val="24"/>
        </w:rPr>
        <w:t>assume cardinality of</w:t>
      </w:r>
      <w:r w:rsidR="00034304">
        <w:rPr>
          <w:rFonts w:ascii="Times New Roman" w:hAnsi="Times New Roman" w:cs="Times New Roman"/>
          <w:sz w:val="24"/>
          <w:szCs w:val="24"/>
        </w:rPr>
        <w:t xml:space="preserve"> the life satisfaction measure – </w:t>
      </w:r>
      <w:r w:rsidR="00F24C79">
        <w:rPr>
          <w:rFonts w:ascii="Times New Roman" w:hAnsi="Times New Roman" w:cs="Times New Roman"/>
          <w:sz w:val="24"/>
          <w:szCs w:val="24"/>
        </w:rPr>
        <w:t xml:space="preserve">a </w:t>
      </w:r>
      <w:r w:rsidR="00034304">
        <w:rPr>
          <w:rFonts w:ascii="Times New Roman" w:hAnsi="Times New Roman" w:cs="Times New Roman"/>
          <w:sz w:val="24"/>
          <w:szCs w:val="24"/>
        </w:rPr>
        <w:t xml:space="preserve">common </w:t>
      </w:r>
      <w:r w:rsidR="00F24C79">
        <w:rPr>
          <w:rFonts w:ascii="Times New Roman" w:hAnsi="Times New Roman" w:cs="Times New Roman"/>
          <w:sz w:val="24"/>
          <w:szCs w:val="24"/>
        </w:rPr>
        <w:t>practice in the literature</w:t>
      </w:r>
      <w:r w:rsidR="00971B7E">
        <w:rPr>
          <w:rFonts w:ascii="Times New Roman" w:hAnsi="Times New Roman" w:cs="Times New Roman"/>
          <w:sz w:val="24"/>
          <w:szCs w:val="24"/>
        </w:rPr>
        <w:t xml:space="preserve"> on</w:t>
      </w:r>
      <w:r w:rsidR="00C15426">
        <w:rPr>
          <w:rFonts w:ascii="Times New Roman" w:hAnsi="Times New Roman" w:cs="Times New Roman"/>
          <w:sz w:val="24"/>
          <w:szCs w:val="24"/>
        </w:rPr>
        <w:t xml:space="preserve"> happiness/life satisfaction</w:t>
      </w:r>
      <w:r w:rsidR="00034304">
        <w:rPr>
          <w:rFonts w:ascii="Times New Roman" w:hAnsi="Times New Roman" w:cs="Times New Roman"/>
          <w:sz w:val="24"/>
          <w:szCs w:val="24"/>
        </w:rPr>
        <w:t xml:space="preserve"> (see, e.g., </w:t>
      </w:r>
      <w:r w:rsidR="00F24C79">
        <w:rPr>
          <w:rFonts w:ascii="Times New Roman" w:hAnsi="Times New Roman" w:cs="Times New Roman"/>
          <w:sz w:val="24"/>
          <w:szCs w:val="24"/>
        </w:rPr>
        <w:t>Ferrer-i</w:t>
      </w:r>
      <w:r w:rsidR="00427D5E">
        <w:rPr>
          <w:rFonts w:ascii="Times New Roman" w:hAnsi="Times New Roman" w:cs="Times New Roman"/>
          <w:sz w:val="24"/>
          <w:szCs w:val="24"/>
        </w:rPr>
        <w:t>-</w:t>
      </w:r>
      <w:r w:rsidR="00DA6214">
        <w:rPr>
          <w:rFonts w:ascii="Times New Roman" w:hAnsi="Times New Roman" w:cs="Times New Roman"/>
          <w:sz w:val="24"/>
          <w:szCs w:val="24"/>
        </w:rPr>
        <w:t xml:space="preserve">Carbonell and Frijters </w:t>
      </w:r>
      <w:r w:rsidR="008711BD">
        <w:rPr>
          <w:rFonts w:ascii="Times New Roman" w:hAnsi="Times New Roman" w:cs="Times New Roman"/>
          <w:sz w:val="24"/>
          <w:szCs w:val="24"/>
        </w:rPr>
        <w:t>2004</w:t>
      </w:r>
      <w:r w:rsidR="00034304">
        <w:rPr>
          <w:rFonts w:ascii="Times New Roman" w:hAnsi="Times New Roman" w:cs="Times New Roman"/>
          <w:sz w:val="24"/>
          <w:szCs w:val="24"/>
        </w:rPr>
        <w:t>)</w:t>
      </w:r>
      <w:r w:rsidR="004C1869">
        <w:rPr>
          <w:rFonts w:ascii="Times New Roman" w:hAnsi="Times New Roman" w:cs="Times New Roman"/>
          <w:sz w:val="24"/>
          <w:szCs w:val="24"/>
        </w:rPr>
        <w:t>.</w:t>
      </w:r>
      <w:r w:rsidR="00462860">
        <w:rPr>
          <w:rFonts w:ascii="Times New Roman" w:hAnsi="Times New Roman" w:cs="Times New Roman"/>
          <w:sz w:val="24"/>
          <w:szCs w:val="24"/>
        </w:rPr>
        <w:t xml:space="preserve"> This assumption enables </w:t>
      </w:r>
      <w:r w:rsidR="00C159DC">
        <w:rPr>
          <w:rFonts w:ascii="Times New Roman" w:hAnsi="Times New Roman" w:cs="Times New Roman"/>
          <w:sz w:val="24"/>
          <w:szCs w:val="24"/>
        </w:rPr>
        <w:t xml:space="preserve">us to run </w:t>
      </w:r>
      <w:r w:rsidR="003E35AE">
        <w:rPr>
          <w:rFonts w:ascii="Times New Roman" w:hAnsi="Times New Roman" w:cs="Times New Roman"/>
          <w:sz w:val="24"/>
          <w:szCs w:val="24"/>
        </w:rPr>
        <w:t xml:space="preserve">individual </w:t>
      </w:r>
      <w:r w:rsidR="00C159DC">
        <w:rPr>
          <w:rFonts w:ascii="Times New Roman" w:hAnsi="Times New Roman" w:cs="Times New Roman"/>
          <w:sz w:val="24"/>
          <w:szCs w:val="24"/>
        </w:rPr>
        <w:t xml:space="preserve">fixed </w:t>
      </w:r>
      <w:r w:rsidR="003E35AE">
        <w:rPr>
          <w:rFonts w:ascii="Times New Roman" w:hAnsi="Times New Roman" w:cs="Times New Roman"/>
          <w:sz w:val="24"/>
          <w:szCs w:val="24"/>
        </w:rPr>
        <w:t>effects OLS regression</w:t>
      </w:r>
      <w:r w:rsidR="00C159DC">
        <w:rPr>
          <w:rFonts w:ascii="Times New Roman" w:hAnsi="Times New Roman" w:cs="Times New Roman"/>
          <w:sz w:val="24"/>
          <w:szCs w:val="24"/>
        </w:rPr>
        <w:t>s</w:t>
      </w:r>
      <w:r w:rsidR="003E35AE">
        <w:rPr>
          <w:rFonts w:ascii="Times New Roman" w:hAnsi="Times New Roman" w:cs="Times New Roman"/>
          <w:sz w:val="24"/>
          <w:szCs w:val="24"/>
        </w:rPr>
        <w:t>,</w:t>
      </w:r>
      <w:r w:rsidR="00462860">
        <w:rPr>
          <w:rFonts w:ascii="Times New Roman" w:hAnsi="Times New Roman" w:cs="Times New Roman"/>
          <w:sz w:val="24"/>
          <w:szCs w:val="24"/>
        </w:rPr>
        <w:t xml:space="preserve"> </w:t>
      </w:r>
      <w:r w:rsidR="003E35AE">
        <w:rPr>
          <w:rFonts w:ascii="Times New Roman" w:hAnsi="Times New Roman" w:cs="Times New Roman"/>
          <w:sz w:val="24"/>
          <w:szCs w:val="24"/>
        </w:rPr>
        <w:t xml:space="preserve">which </w:t>
      </w:r>
      <w:r w:rsidR="00462860">
        <w:rPr>
          <w:rFonts w:ascii="Times New Roman" w:hAnsi="Times New Roman" w:cs="Times New Roman"/>
          <w:sz w:val="24"/>
          <w:szCs w:val="24"/>
        </w:rPr>
        <w:t xml:space="preserve">account for </w:t>
      </w:r>
      <w:r w:rsidR="00187114">
        <w:rPr>
          <w:rFonts w:ascii="Times New Roman" w:hAnsi="Times New Roman" w:cs="Times New Roman"/>
          <w:sz w:val="24"/>
          <w:szCs w:val="24"/>
        </w:rPr>
        <w:t xml:space="preserve">time-invariant </w:t>
      </w:r>
      <w:r w:rsidR="003E35AE">
        <w:rPr>
          <w:rFonts w:ascii="Times New Roman" w:hAnsi="Times New Roman" w:cs="Times New Roman"/>
          <w:sz w:val="24"/>
          <w:szCs w:val="24"/>
        </w:rPr>
        <w:t>individual</w:t>
      </w:r>
      <w:r w:rsidR="00462860">
        <w:rPr>
          <w:rFonts w:ascii="Times New Roman" w:hAnsi="Times New Roman" w:cs="Times New Roman"/>
          <w:sz w:val="24"/>
          <w:szCs w:val="24"/>
        </w:rPr>
        <w:t xml:space="preserve"> </w:t>
      </w:r>
      <w:r w:rsidR="001144FE">
        <w:rPr>
          <w:rFonts w:ascii="Times New Roman" w:hAnsi="Times New Roman" w:cs="Times New Roman"/>
          <w:sz w:val="24"/>
          <w:szCs w:val="24"/>
        </w:rPr>
        <w:t xml:space="preserve">unobserved </w:t>
      </w:r>
      <w:r w:rsidR="00187114">
        <w:rPr>
          <w:rFonts w:ascii="Times New Roman" w:hAnsi="Times New Roman" w:cs="Times New Roman"/>
          <w:sz w:val="24"/>
          <w:szCs w:val="24"/>
        </w:rPr>
        <w:t xml:space="preserve">heterogeneity </w:t>
      </w:r>
      <w:r w:rsidR="00462860">
        <w:rPr>
          <w:rFonts w:ascii="Times New Roman" w:hAnsi="Times New Roman" w:cs="Times New Roman"/>
          <w:sz w:val="24"/>
          <w:szCs w:val="24"/>
        </w:rPr>
        <w:t>in a simple way by using a standard within estimator</w:t>
      </w:r>
      <w:r w:rsidR="003E35AE">
        <w:rPr>
          <w:rFonts w:ascii="Times New Roman" w:hAnsi="Times New Roman" w:cs="Times New Roman"/>
          <w:sz w:val="24"/>
          <w:szCs w:val="24"/>
        </w:rPr>
        <w:t xml:space="preserve"> and </w:t>
      </w:r>
      <w:r w:rsidR="000241EA">
        <w:rPr>
          <w:rFonts w:ascii="Times New Roman" w:hAnsi="Times New Roman" w:cs="Times New Roman"/>
          <w:sz w:val="24"/>
          <w:szCs w:val="24"/>
        </w:rPr>
        <w:t>permit</w:t>
      </w:r>
      <w:r w:rsidR="00462860">
        <w:rPr>
          <w:rFonts w:ascii="Times New Roman" w:hAnsi="Times New Roman" w:cs="Times New Roman"/>
          <w:sz w:val="24"/>
          <w:szCs w:val="24"/>
        </w:rPr>
        <w:t xml:space="preserve"> </w:t>
      </w:r>
      <w:r w:rsidR="00F474B7">
        <w:rPr>
          <w:rFonts w:ascii="Times New Roman" w:hAnsi="Times New Roman" w:cs="Times New Roman"/>
          <w:sz w:val="24"/>
          <w:szCs w:val="24"/>
        </w:rPr>
        <w:t xml:space="preserve">a straightforward interpretation of the </w:t>
      </w:r>
      <w:r w:rsidR="00F474B7" w:rsidRPr="00900D56">
        <w:rPr>
          <w:rFonts w:ascii="Times New Roman" w:hAnsi="Times New Roman" w:cs="Times New Roman"/>
          <w:sz w:val="24"/>
          <w:szCs w:val="24"/>
        </w:rPr>
        <w:t>coeff</w:t>
      </w:r>
      <w:r w:rsidR="00462860" w:rsidRPr="00900D56">
        <w:rPr>
          <w:rFonts w:ascii="Times New Roman" w:hAnsi="Times New Roman" w:cs="Times New Roman"/>
          <w:sz w:val="24"/>
          <w:szCs w:val="24"/>
        </w:rPr>
        <w:t xml:space="preserve">icients of interest. </w:t>
      </w:r>
      <w:r w:rsidR="00B522B8">
        <w:rPr>
          <w:rFonts w:ascii="Times New Roman" w:hAnsi="Times New Roman" w:cs="Times New Roman"/>
          <w:sz w:val="24"/>
          <w:szCs w:val="24"/>
        </w:rPr>
        <w:t>Standard errors in all tables of results presented below are estimated assuming clustering at the individual level.</w:t>
      </w:r>
      <w:r w:rsidR="00A065F8">
        <w:rPr>
          <w:rStyle w:val="FootnoteReference"/>
          <w:rFonts w:ascii="Times New Roman" w:hAnsi="Times New Roman" w:cs="Times New Roman"/>
          <w:sz w:val="24"/>
          <w:szCs w:val="24"/>
        </w:rPr>
        <w:footnoteReference w:id="10"/>
      </w:r>
      <w:r w:rsidR="00B522B8">
        <w:rPr>
          <w:rFonts w:ascii="Times New Roman" w:hAnsi="Times New Roman" w:cs="Times New Roman"/>
          <w:sz w:val="24"/>
          <w:szCs w:val="24"/>
        </w:rPr>
        <w:t xml:space="preserve"> </w:t>
      </w:r>
    </w:p>
    <w:p w14:paraId="0F0895D5" w14:textId="77777777" w:rsidR="00A065F8" w:rsidRDefault="00A065F8" w:rsidP="0027251E">
      <w:pPr>
        <w:spacing w:after="0" w:line="480" w:lineRule="auto"/>
        <w:rPr>
          <w:rFonts w:ascii="Times New Roman" w:hAnsi="Times New Roman" w:cs="Times New Roman"/>
          <w:sz w:val="24"/>
          <w:szCs w:val="24"/>
        </w:rPr>
      </w:pPr>
    </w:p>
    <w:p w14:paraId="5768B2D1" w14:textId="060F6BB6" w:rsidR="001D32B8" w:rsidRDefault="00145A6B" w:rsidP="0027251E">
      <w:pPr>
        <w:spacing w:after="0" w:line="480" w:lineRule="auto"/>
        <w:rPr>
          <w:rFonts w:ascii="Times New Roman" w:hAnsi="Times New Roman" w:cs="Times New Roman"/>
          <w:sz w:val="24"/>
          <w:szCs w:val="24"/>
        </w:rPr>
      </w:pPr>
      <w:r w:rsidRPr="00900D56">
        <w:rPr>
          <w:rFonts w:ascii="Times New Roman" w:hAnsi="Times New Roman" w:cs="Times New Roman"/>
          <w:sz w:val="24"/>
          <w:szCs w:val="24"/>
        </w:rPr>
        <w:t xml:space="preserve">We </w:t>
      </w:r>
      <w:r>
        <w:rPr>
          <w:rFonts w:ascii="Times New Roman" w:hAnsi="Times New Roman" w:cs="Times New Roman"/>
          <w:sz w:val="24"/>
          <w:szCs w:val="24"/>
        </w:rPr>
        <w:t xml:space="preserve">control </w:t>
      </w:r>
      <w:r w:rsidRPr="00900D56">
        <w:rPr>
          <w:rFonts w:ascii="Times New Roman" w:hAnsi="Times New Roman" w:cs="Times New Roman"/>
          <w:sz w:val="24"/>
          <w:szCs w:val="24"/>
        </w:rPr>
        <w:t xml:space="preserve">for time-invariant spatial heterogeneity with the insertion of a </w:t>
      </w:r>
      <w:r>
        <w:rPr>
          <w:rFonts w:ascii="Times New Roman" w:hAnsi="Times New Roman" w:cs="Times New Roman"/>
          <w:sz w:val="24"/>
          <w:szCs w:val="24"/>
        </w:rPr>
        <w:t xml:space="preserve">full set </w:t>
      </w:r>
      <w:r w:rsidRPr="00900D56">
        <w:rPr>
          <w:rFonts w:ascii="Times New Roman" w:hAnsi="Times New Roman" w:cs="Times New Roman"/>
          <w:sz w:val="24"/>
          <w:szCs w:val="24"/>
        </w:rPr>
        <w:t xml:space="preserve">of </w:t>
      </w:r>
      <w:r w:rsidR="00652919">
        <w:rPr>
          <w:rFonts w:ascii="Times New Roman" w:hAnsi="Times New Roman" w:cs="Times New Roman"/>
          <w:sz w:val="24"/>
          <w:szCs w:val="24"/>
        </w:rPr>
        <w:t xml:space="preserve">320 </w:t>
      </w:r>
      <w:r>
        <w:rPr>
          <w:rFonts w:ascii="Times New Roman" w:hAnsi="Times New Roman" w:cs="Times New Roman"/>
          <w:sz w:val="24"/>
          <w:szCs w:val="24"/>
        </w:rPr>
        <w:t>LAD</w:t>
      </w:r>
      <w:r w:rsidRPr="00900D56">
        <w:rPr>
          <w:rFonts w:ascii="Times New Roman" w:hAnsi="Times New Roman" w:cs="Times New Roman"/>
          <w:sz w:val="24"/>
          <w:szCs w:val="24"/>
        </w:rPr>
        <w:t xml:space="preserve"> dummies</w:t>
      </w:r>
      <w:r>
        <w:rPr>
          <w:rFonts w:ascii="Times New Roman" w:hAnsi="Times New Roman" w:cs="Times New Roman"/>
          <w:sz w:val="24"/>
          <w:szCs w:val="24"/>
        </w:rPr>
        <w:t xml:space="preserve">. </w:t>
      </w:r>
      <w:r w:rsidR="00E9330A" w:rsidRPr="00900D56">
        <w:rPr>
          <w:rFonts w:ascii="Times New Roman" w:hAnsi="Times New Roman" w:cs="Times New Roman"/>
          <w:sz w:val="24"/>
          <w:szCs w:val="24"/>
        </w:rPr>
        <w:t>To account for t</w:t>
      </w:r>
      <w:r w:rsidR="006273BE" w:rsidRPr="00900D56">
        <w:rPr>
          <w:rFonts w:ascii="Times New Roman" w:hAnsi="Times New Roman" w:cs="Times New Roman"/>
          <w:sz w:val="24"/>
          <w:szCs w:val="24"/>
        </w:rPr>
        <w:t>ime-</w:t>
      </w:r>
      <w:r w:rsidR="00C15426" w:rsidRPr="004D57C1">
        <w:rPr>
          <w:rFonts w:ascii="Times New Roman" w:hAnsi="Times New Roman" w:cs="Times New Roman"/>
          <w:sz w:val="24"/>
          <w:szCs w:val="24"/>
        </w:rPr>
        <w:t xml:space="preserve">varying </w:t>
      </w:r>
      <w:r w:rsidR="0000777F" w:rsidRPr="004D57C1">
        <w:rPr>
          <w:rFonts w:ascii="Times New Roman" w:hAnsi="Times New Roman" w:cs="Times New Roman"/>
          <w:sz w:val="24"/>
          <w:szCs w:val="24"/>
        </w:rPr>
        <w:t xml:space="preserve">LAD </w:t>
      </w:r>
      <w:r w:rsidR="00E9330A" w:rsidRPr="004D57C1">
        <w:rPr>
          <w:rFonts w:ascii="Times New Roman" w:hAnsi="Times New Roman" w:cs="Times New Roman"/>
          <w:sz w:val="24"/>
          <w:szCs w:val="24"/>
        </w:rPr>
        <w:t>characteristics, which might</w:t>
      </w:r>
      <w:r w:rsidR="006B49C7" w:rsidRPr="004D57C1">
        <w:rPr>
          <w:rFonts w:ascii="Times New Roman" w:hAnsi="Times New Roman" w:cs="Times New Roman"/>
          <w:sz w:val="24"/>
          <w:szCs w:val="24"/>
        </w:rPr>
        <w:t xml:space="preserve"> be</w:t>
      </w:r>
      <w:r w:rsidR="00FE0BB5" w:rsidRPr="004D57C1">
        <w:rPr>
          <w:rFonts w:ascii="Times New Roman" w:hAnsi="Times New Roman" w:cs="Times New Roman"/>
          <w:sz w:val="24"/>
          <w:szCs w:val="24"/>
        </w:rPr>
        <w:t xml:space="preserve"> related to both life </w:t>
      </w:r>
      <w:r w:rsidR="006B49C7" w:rsidRPr="004D57C1">
        <w:rPr>
          <w:rFonts w:ascii="Times New Roman" w:hAnsi="Times New Roman" w:cs="Times New Roman"/>
          <w:sz w:val="24"/>
          <w:szCs w:val="24"/>
        </w:rPr>
        <w:t>satisfaction and migrant inflows,</w:t>
      </w:r>
      <w:r w:rsidR="00C15426" w:rsidRPr="004D57C1">
        <w:rPr>
          <w:rFonts w:ascii="Times New Roman" w:hAnsi="Times New Roman" w:cs="Times New Roman"/>
          <w:sz w:val="24"/>
          <w:szCs w:val="24"/>
        </w:rPr>
        <w:t xml:space="preserve"> </w:t>
      </w:r>
      <w:r w:rsidR="006B49C7" w:rsidRPr="004D57C1">
        <w:rPr>
          <w:rFonts w:ascii="Times New Roman" w:hAnsi="Times New Roman" w:cs="Times New Roman"/>
          <w:sz w:val="24"/>
          <w:szCs w:val="24"/>
        </w:rPr>
        <w:t xml:space="preserve">we include </w:t>
      </w:r>
      <w:r w:rsidR="00C15426" w:rsidRPr="004D57C1">
        <w:rPr>
          <w:rFonts w:ascii="Times New Roman" w:hAnsi="Times New Roman" w:cs="Times New Roman"/>
          <w:sz w:val="24"/>
          <w:szCs w:val="24"/>
        </w:rPr>
        <w:t xml:space="preserve">the </w:t>
      </w:r>
      <w:r w:rsidR="006B49C7" w:rsidRPr="004D57C1">
        <w:rPr>
          <w:rFonts w:ascii="Times New Roman" w:hAnsi="Times New Roman" w:cs="Times New Roman"/>
          <w:sz w:val="24"/>
          <w:szCs w:val="24"/>
        </w:rPr>
        <w:t xml:space="preserve">LAD-level </w:t>
      </w:r>
      <w:r w:rsidR="007A64C6" w:rsidRPr="004D57C1">
        <w:rPr>
          <w:rFonts w:ascii="Times New Roman" w:hAnsi="Times New Roman" w:cs="Times New Roman"/>
          <w:sz w:val="24"/>
          <w:szCs w:val="24"/>
        </w:rPr>
        <w:t xml:space="preserve">job claimant rate, </w:t>
      </w:r>
      <w:r w:rsidR="009F1178" w:rsidRPr="004D57C1">
        <w:rPr>
          <w:rFonts w:ascii="Times New Roman" w:hAnsi="Times New Roman" w:cs="Times New Roman"/>
          <w:sz w:val="24"/>
          <w:szCs w:val="24"/>
        </w:rPr>
        <w:t>the crime rate</w:t>
      </w:r>
      <w:r w:rsidR="00A35A54" w:rsidRPr="004D57C1">
        <w:rPr>
          <w:rFonts w:ascii="Times New Roman" w:hAnsi="Times New Roman" w:cs="Times New Roman"/>
          <w:sz w:val="24"/>
          <w:szCs w:val="24"/>
        </w:rPr>
        <w:t xml:space="preserve">, the rate of </w:t>
      </w:r>
      <w:r w:rsidR="007A64C6" w:rsidRPr="004D57C1">
        <w:rPr>
          <w:rFonts w:ascii="Times New Roman" w:hAnsi="Times New Roman" w:cs="Times New Roman"/>
          <w:sz w:val="24"/>
          <w:szCs w:val="24"/>
        </w:rPr>
        <w:t xml:space="preserve">migrant </w:t>
      </w:r>
      <w:r w:rsidR="00A065F8" w:rsidRPr="004D57C1">
        <w:rPr>
          <w:rFonts w:ascii="Times New Roman" w:hAnsi="Times New Roman" w:cs="Times New Roman"/>
          <w:sz w:val="24"/>
          <w:szCs w:val="24"/>
        </w:rPr>
        <w:t xml:space="preserve">registrations with general </w:t>
      </w:r>
      <w:r w:rsidR="00A35A54" w:rsidRPr="004D57C1">
        <w:rPr>
          <w:rFonts w:ascii="Times New Roman" w:hAnsi="Times New Roman" w:cs="Times New Roman"/>
          <w:sz w:val="24"/>
          <w:szCs w:val="24"/>
        </w:rPr>
        <w:t xml:space="preserve">health </w:t>
      </w:r>
      <w:r w:rsidR="00A065F8" w:rsidRPr="004D57C1">
        <w:rPr>
          <w:rFonts w:ascii="Times New Roman" w:hAnsi="Times New Roman" w:cs="Times New Roman"/>
          <w:sz w:val="24"/>
          <w:szCs w:val="24"/>
        </w:rPr>
        <w:t>practitioners (GP</w:t>
      </w:r>
      <w:r w:rsidR="00A35A54" w:rsidRPr="004D57C1">
        <w:rPr>
          <w:rFonts w:ascii="Times New Roman" w:hAnsi="Times New Roman" w:cs="Times New Roman"/>
          <w:sz w:val="24"/>
          <w:szCs w:val="24"/>
        </w:rPr>
        <w:t>s</w:t>
      </w:r>
      <w:r w:rsidR="00A065F8" w:rsidRPr="004D57C1">
        <w:rPr>
          <w:rFonts w:ascii="Times New Roman" w:hAnsi="Times New Roman" w:cs="Times New Roman"/>
          <w:sz w:val="24"/>
          <w:szCs w:val="24"/>
        </w:rPr>
        <w:t xml:space="preserve">) </w:t>
      </w:r>
      <w:r w:rsidR="009F1178" w:rsidRPr="004D57C1">
        <w:rPr>
          <w:rFonts w:ascii="Times New Roman" w:hAnsi="Times New Roman" w:cs="Times New Roman"/>
          <w:sz w:val="24"/>
          <w:szCs w:val="24"/>
        </w:rPr>
        <w:t>(</w:t>
      </w:r>
      <w:r w:rsidR="007A64C6" w:rsidRPr="004D57C1">
        <w:rPr>
          <w:rFonts w:ascii="Times New Roman" w:hAnsi="Times New Roman" w:cs="Times New Roman"/>
          <w:sz w:val="24"/>
          <w:szCs w:val="24"/>
        </w:rPr>
        <w:t xml:space="preserve">total job claimants, </w:t>
      </w:r>
      <w:r w:rsidR="009F1178" w:rsidRPr="004D57C1">
        <w:rPr>
          <w:rFonts w:ascii="Times New Roman" w:hAnsi="Times New Roman" w:cs="Times New Roman"/>
          <w:sz w:val="24"/>
          <w:szCs w:val="24"/>
        </w:rPr>
        <w:t>total crime count</w:t>
      </w:r>
      <w:r w:rsidR="00A35A54" w:rsidRPr="004D57C1">
        <w:rPr>
          <w:rFonts w:ascii="Times New Roman" w:hAnsi="Times New Roman" w:cs="Times New Roman"/>
          <w:sz w:val="24"/>
          <w:szCs w:val="24"/>
        </w:rPr>
        <w:t xml:space="preserve">, and </w:t>
      </w:r>
      <w:r w:rsidR="007A64C6" w:rsidRPr="004D57C1">
        <w:rPr>
          <w:rFonts w:ascii="Times New Roman" w:hAnsi="Times New Roman" w:cs="Times New Roman"/>
          <w:sz w:val="24"/>
          <w:szCs w:val="24"/>
        </w:rPr>
        <w:t>migrant registrations</w:t>
      </w:r>
      <w:r w:rsidR="004D57C1">
        <w:rPr>
          <w:rFonts w:ascii="Times New Roman" w:hAnsi="Times New Roman" w:cs="Times New Roman"/>
          <w:sz w:val="24"/>
          <w:szCs w:val="24"/>
        </w:rPr>
        <w:t xml:space="preserve"> with GPs</w:t>
      </w:r>
      <w:r w:rsidR="007A64C6" w:rsidRPr="004D57C1">
        <w:rPr>
          <w:rFonts w:ascii="Times New Roman" w:hAnsi="Times New Roman" w:cs="Times New Roman"/>
          <w:sz w:val="24"/>
          <w:szCs w:val="24"/>
        </w:rPr>
        <w:t xml:space="preserve">, all </w:t>
      </w:r>
      <w:r w:rsidR="009F1178" w:rsidRPr="004D57C1">
        <w:rPr>
          <w:rFonts w:ascii="Times New Roman" w:hAnsi="Times New Roman" w:cs="Times New Roman"/>
          <w:sz w:val="24"/>
          <w:szCs w:val="24"/>
        </w:rPr>
        <w:t>as a</w:t>
      </w:r>
      <w:r w:rsidR="009F1178">
        <w:rPr>
          <w:rFonts w:ascii="Times New Roman" w:hAnsi="Times New Roman" w:cs="Times New Roman"/>
          <w:sz w:val="24"/>
          <w:szCs w:val="24"/>
        </w:rPr>
        <w:t xml:space="preserve"> proportion of LAD population)</w:t>
      </w:r>
      <w:r w:rsidR="007A64C6">
        <w:rPr>
          <w:rFonts w:ascii="Times New Roman" w:hAnsi="Times New Roman" w:cs="Times New Roman"/>
          <w:sz w:val="24"/>
          <w:szCs w:val="24"/>
        </w:rPr>
        <w:t>, the log of median house price</w:t>
      </w:r>
      <w:r w:rsidR="00A35A54">
        <w:rPr>
          <w:rFonts w:ascii="Times New Roman" w:hAnsi="Times New Roman" w:cs="Times New Roman"/>
          <w:sz w:val="24"/>
          <w:szCs w:val="24"/>
        </w:rPr>
        <w:t>,</w:t>
      </w:r>
      <w:r w:rsidR="007A64C6">
        <w:rPr>
          <w:rFonts w:ascii="Times New Roman" w:hAnsi="Times New Roman" w:cs="Times New Roman"/>
          <w:sz w:val="24"/>
          <w:szCs w:val="24"/>
        </w:rPr>
        <w:t xml:space="preserve"> and the log of median gross annual salary by LAD</w:t>
      </w:r>
      <w:r w:rsidR="006B49C7">
        <w:rPr>
          <w:rFonts w:ascii="Times New Roman" w:hAnsi="Times New Roman" w:cs="Times New Roman"/>
          <w:sz w:val="24"/>
          <w:szCs w:val="24"/>
        </w:rPr>
        <w:t>.</w:t>
      </w:r>
      <w:r w:rsidR="006B49C7">
        <w:rPr>
          <w:rStyle w:val="FootnoteReference"/>
          <w:rFonts w:ascii="Times New Roman" w:hAnsi="Times New Roman" w:cs="Times New Roman"/>
          <w:sz w:val="24"/>
          <w:szCs w:val="24"/>
        </w:rPr>
        <w:footnoteReference w:id="11"/>
      </w:r>
      <w:r w:rsidR="006F223F">
        <w:rPr>
          <w:rFonts w:ascii="Times New Roman" w:hAnsi="Times New Roman" w:cs="Times New Roman"/>
          <w:sz w:val="24"/>
          <w:szCs w:val="24"/>
        </w:rPr>
        <w:t xml:space="preserve"> Crime, house prices, and salary data </w:t>
      </w:r>
      <w:r w:rsidR="006B49C7">
        <w:rPr>
          <w:rFonts w:ascii="Times New Roman" w:hAnsi="Times New Roman" w:cs="Times New Roman"/>
          <w:sz w:val="24"/>
          <w:szCs w:val="24"/>
        </w:rPr>
        <w:t>are only available for England and Wales, so ou</w:t>
      </w:r>
      <w:r w:rsidR="00720440">
        <w:rPr>
          <w:rFonts w:ascii="Times New Roman" w:hAnsi="Times New Roman" w:cs="Times New Roman"/>
          <w:sz w:val="24"/>
          <w:szCs w:val="24"/>
        </w:rPr>
        <w:t xml:space="preserve">r final sample excludes respondents interviewed in </w:t>
      </w:r>
      <w:r w:rsidR="006B49C7">
        <w:rPr>
          <w:rFonts w:ascii="Times New Roman" w:hAnsi="Times New Roman" w:cs="Times New Roman"/>
          <w:sz w:val="24"/>
          <w:szCs w:val="24"/>
        </w:rPr>
        <w:t>Scotland</w:t>
      </w:r>
      <w:r w:rsidR="00384BDF">
        <w:rPr>
          <w:rFonts w:ascii="Times New Roman" w:hAnsi="Times New Roman" w:cs="Times New Roman"/>
          <w:sz w:val="24"/>
          <w:szCs w:val="24"/>
        </w:rPr>
        <w:t xml:space="preserve"> and Northern Ireland</w:t>
      </w:r>
      <w:r w:rsidR="006B49C7">
        <w:rPr>
          <w:rFonts w:ascii="Times New Roman" w:hAnsi="Times New Roman" w:cs="Times New Roman"/>
          <w:sz w:val="24"/>
          <w:szCs w:val="24"/>
        </w:rPr>
        <w:t>.</w:t>
      </w:r>
      <w:r w:rsidR="007A0CF1">
        <w:rPr>
          <w:rStyle w:val="FootnoteReference"/>
          <w:rFonts w:ascii="Times New Roman" w:hAnsi="Times New Roman" w:cs="Times New Roman"/>
          <w:sz w:val="24"/>
          <w:szCs w:val="24"/>
        </w:rPr>
        <w:footnoteReference w:id="12"/>
      </w:r>
      <w:r w:rsidR="006B49C7" w:rsidRPr="006B49C7">
        <w:rPr>
          <w:rFonts w:ascii="Times New Roman" w:hAnsi="Times New Roman" w:cs="Times New Roman"/>
          <w:sz w:val="24"/>
          <w:szCs w:val="24"/>
        </w:rPr>
        <w:t xml:space="preserve"> </w:t>
      </w:r>
      <w:r w:rsidR="006B49C7">
        <w:rPr>
          <w:rFonts w:ascii="Times New Roman" w:hAnsi="Times New Roman" w:cs="Times New Roman"/>
          <w:sz w:val="24"/>
          <w:szCs w:val="24"/>
        </w:rPr>
        <w:t xml:space="preserve">All specifications </w:t>
      </w:r>
      <w:r w:rsidR="00AD2E1E">
        <w:rPr>
          <w:rFonts w:ascii="Times New Roman" w:hAnsi="Times New Roman" w:cs="Times New Roman"/>
          <w:sz w:val="24"/>
          <w:szCs w:val="24"/>
        </w:rPr>
        <w:t xml:space="preserve">also </w:t>
      </w:r>
      <w:r w:rsidR="006B49C7">
        <w:rPr>
          <w:rFonts w:ascii="Times New Roman" w:hAnsi="Times New Roman" w:cs="Times New Roman"/>
          <w:sz w:val="24"/>
          <w:szCs w:val="24"/>
        </w:rPr>
        <w:t xml:space="preserve">include a set of standard socio-demographic controls: log of household monthly income, </w:t>
      </w:r>
      <w:r w:rsidR="00BE5A7B">
        <w:rPr>
          <w:rFonts w:ascii="Times New Roman" w:hAnsi="Times New Roman" w:cs="Times New Roman"/>
          <w:sz w:val="24"/>
          <w:szCs w:val="24"/>
        </w:rPr>
        <w:t>labor</w:t>
      </w:r>
      <w:r w:rsidR="006B49C7">
        <w:rPr>
          <w:rFonts w:ascii="Times New Roman" w:hAnsi="Times New Roman" w:cs="Times New Roman"/>
          <w:sz w:val="24"/>
          <w:szCs w:val="24"/>
        </w:rPr>
        <w:t xml:space="preserve"> market status, subjective general health status, marital status, number of children, household size, housing tenure and highest education level attained. Finally, all year-specific influences on life satisfaction </w:t>
      </w:r>
      <w:r w:rsidR="004C0BFD">
        <w:rPr>
          <w:rFonts w:ascii="Times New Roman" w:hAnsi="Times New Roman" w:cs="Times New Roman"/>
          <w:sz w:val="24"/>
          <w:szCs w:val="24"/>
        </w:rPr>
        <w:t xml:space="preserve">are captured by year </w:t>
      </w:r>
      <w:r w:rsidR="009573E1">
        <w:rPr>
          <w:rFonts w:ascii="Times New Roman" w:hAnsi="Times New Roman" w:cs="Times New Roman"/>
          <w:sz w:val="24"/>
          <w:szCs w:val="24"/>
        </w:rPr>
        <w:t>dummies</w:t>
      </w:r>
      <w:r w:rsidR="00C15426">
        <w:rPr>
          <w:rFonts w:ascii="Times New Roman" w:hAnsi="Times New Roman" w:cs="Times New Roman"/>
          <w:sz w:val="24"/>
          <w:szCs w:val="24"/>
        </w:rPr>
        <w:t>.</w:t>
      </w:r>
      <w:r w:rsidR="00AD2E1E">
        <w:rPr>
          <w:rStyle w:val="FootnoteReference"/>
          <w:rFonts w:ascii="Times New Roman" w:hAnsi="Times New Roman" w:cs="Times New Roman"/>
          <w:sz w:val="24"/>
          <w:szCs w:val="24"/>
        </w:rPr>
        <w:footnoteReference w:id="13"/>
      </w:r>
      <w:r w:rsidR="00EF1C80">
        <w:rPr>
          <w:rFonts w:ascii="Times New Roman" w:hAnsi="Times New Roman" w:cs="Times New Roman"/>
          <w:sz w:val="24"/>
          <w:szCs w:val="24"/>
        </w:rPr>
        <w:t xml:space="preserve"> </w:t>
      </w:r>
    </w:p>
    <w:p w14:paraId="66A0DCBB" w14:textId="77777777" w:rsidR="0027251E" w:rsidRDefault="0027251E" w:rsidP="0027251E">
      <w:pPr>
        <w:spacing w:after="0" w:line="480" w:lineRule="auto"/>
        <w:rPr>
          <w:rFonts w:ascii="Times New Roman" w:hAnsi="Times New Roman" w:cs="Times New Roman"/>
          <w:sz w:val="24"/>
          <w:szCs w:val="24"/>
        </w:rPr>
      </w:pPr>
    </w:p>
    <w:p w14:paraId="4440E5D9" w14:textId="4B9DA3FE" w:rsidR="00135E6C" w:rsidRDefault="00E233E5" w:rsidP="0027251E">
      <w:pPr>
        <w:spacing w:after="0" w:line="480" w:lineRule="auto"/>
        <w:rPr>
          <w:rFonts w:ascii="Times New Roman" w:hAnsi="Times New Roman" w:cs="Times New Roman"/>
          <w:sz w:val="24"/>
          <w:szCs w:val="24"/>
        </w:rPr>
      </w:pPr>
      <w:r>
        <w:rPr>
          <w:rFonts w:ascii="Times New Roman" w:hAnsi="Times New Roman" w:cs="Times New Roman"/>
          <w:sz w:val="24"/>
          <w:szCs w:val="24"/>
        </w:rPr>
        <w:t>We proceed by presenting our baseline estimates for three time periods: the whole period (2003-20</w:t>
      </w:r>
      <w:r w:rsidR="00B71FEA">
        <w:rPr>
          <w:rFonts w:ascii="Times New Roman" w:hAnsi="Times New Roman" w:cs="Times New Roman"/>
          <w:sz w:val="24"/>
          <w:szCs w:val="24"/>
        </w:rPr>
        <w:t>08), the initial period of the ‘</w:t>
      </w:r>
      <w:r>
        <w:rPr>
          <w:rFonts w:ascii="Times New Roman" w:hAnsi="Times New Roman" w:cs="Times New Roman"/>
          <w:sz w:val="24"/>
          <w:szCs w:val="24"/>
        </w:rPr>
        <w:t xml:space="preserve">migration </w:t>
      </w:r>
      <w:r w:rsidR="00B71FEA">
        <w:rPr>
          <w:rFonts w:ascii="Times New Roman" w:hAnsi="Times New Roman" w:cs="Times New Roman"/>
          <w:sz w:val="24"/>
          <w:szCs w:val="24"/>
        </w:rPr>
        <w:t>shock’</w:t>
      </w:r>
      <w:r w:rsidR="00676BC5">
        <w:rPr>
          <w:rFonts w:ascii="Times New Roman" w:hAnsi="Times New Roman" w:cs="Times New Roman"/>
          <w:sz w:val="24"/>
          <w:szCs w:val="24"/>
        </w:rPr>
        <w:t xml:space="preserve"> (2003-2005), and the lat</w:t>
      </w:r>
      <w:r>
        <w:rPr>
          <w:rFonts w:ascii="Times New Roman" w:hAnsi="Times New Roman" w:cs="Times New Roman"/>
          <w:sz w:val="24"/>
          <w:szCs w:val="24"/>
        </w:rPr>
        <w:t>er</w:t>
      </w:r>
      <w:r w:rsidR="00676BC5" w:rsidRPr="00676BC5">
        <w:rPr>
          <w:rFonts w:ascii="Times New Roman" w:hAnsi="Times New Roman" w:cs="Times New Roman"/>
          <w:sz w:val="24"/>
          <w:szCs w:val="24"/>
        </w:rPr>
        <w:t>,</w:t>
      </w:r>
      <w:r w:rsidR="00B71FEA">
        <w:rPr>
          <w:rFonts w:ascii="Times New Roman" w:hAnsi="Times New Roman" w:cs="Times New Roman"/>
          <w:sz w:val="24"/>
          <w:szCs w:val="24"/>
        </w:rPr>
        <w:t xml:space="preserve"> ‘matured flows’</w:t>
      </w:r>
      <w:r w:rsidR="00024D18">
        <w:rPr>
          <w:rFonts w:ascii="Times New Roman" w:hAnsi="Times New Roman" w:cs="Times New Roman"/>
          <w:sz w:val="24"/>
          <w:szCs w:val="24"/>
        </w:rPr>
        <w:t xml:space="preserve"> </w:t>
      </w:r>
      <w:r>
        <w:rPr>
          <w:rFonts w:ascii="Times New Roman" w:hAnsi="Times New Roman" w:cs="Times New Roman"/>
          <w:sz w:val="24"/>
          <w:szCs w:val="24"/>
        </w:rPr>
        <w:t>period (2006-</w:t>
      </w:r>
      <w:r w:rsidRPr="00D32861">
        <w:rPr>
          <w:rFonts w:ascii="Times New Roman" w:hAnsi="Times New Roman" w:cs="Times New Roman"/>
          <w:sz w:val="24"/>
          <w:szCs w:val="24"/>
        </w:rPr>
        <w:t>2008).</w:t>
      </w:r>
      <w:r w:rsidR="00096016" w:rsidRPr="00D32861">
        <w:rPr>
          <w:rFonts w:ascii="Times New Roman" w:hAnsi="Times New Roman" w:cs="Times New Roman"/>
          <w:sz w:val="24"/>
          <w:szCs w:val="24"/>
        </w:rPr>
        <w:t xml:space="preserve"> </w:t>
      </w:r>
      <w:r w:rsidR="000E37D1" w:rsidRPr="00D32861">
        <w:rPr>
          <w:rFonts w:ascii="Times New Roman" w:hAnsi="Times New Roman" w:cs="Times New Roman"/>
          <w:sz w:val="24"/>
          <w:szCs w:val="24"/>
        </w:rPr>
        <w:t xml:space="preserve">To check whether immigration </w:t>
      </w:r>
      <w:r w:rsidR="00024D18">
        <w:rPr>
          <w:rFonts w:ascii="Times New Roman" w:hAnsi="Times New Roman" w:cs="Times New Roman"/>
          <w:sz w:val="24"/>
          <w:szCs w:val="24"/>
        </w:rPr>
        <w:t xml:space="preserve">is related to </w:t>
      </w:r>
      <w:r w:rsidR="000E37D1" w:rsidRPr="00D32861">
        <w:rPr>
          <w:rFonts w:ascii="Times New Roman" w:hAnsi="Times New Roman" w:cs="Times New Roman"/>
          <w:sz w:val="24"/>
          <w:szCs w:val="24"/>
        </w:rPr>
        <w:t xml:space="preserve">the life satisfaction of residents through other local-level variables, we estimate the models with and without the LAD-level controls. </w:t>
      </w:r>
      <w:r w:rsidR="00096016" w:rsidRPr="00D32861">
        <w:rPr>
          <w:rFonts w:ascii="Times New Roman" w:hAnsi="Times New Roman" w:cs="Times New Roman"/>
          <w:sz w:val="24"/>
          <w:szCs w:val="24"/>
        </w:rPr>
        <w:t>Also,</w:t>
      </w:r>
      <w:r w:rsidR="00CA7794" w:rsidRPr="00D32861">
        <w:rPr>
          <w:rFonts w:ascii="Times New Roman" w:hAnsi="Times New Roman" w:cs="Times New Roman"/>
          <w:sz w:val="24"/>
          <w:szCs w:val="24"/>
        </w:rPr>
        <w:t xml:space="preserve"> </w:t>
      </w:r>
      <w:r w:rsidR="00B71FEA" w:rsidRPr="00D32861">
        <w:rPr>
          <w:rFonts w:ascii="Times New Roman" w:hAnsi="Times New Roman" w:cs="Times New Roman"/>
          <w:sz w:val="24"/>
          <w:szCs w:val="24"/>
        </w:rPr>
        <w:t>as discussed above</w:t>
      </w:r>
      <w:r w:rsidR="00B71FEA">
        <w:rPr>
          <w:rFonts w:ascii="Times New Roman" w:hAnsi="Times New Roman" w:cs="Times New Roman"/>
          <w:sz w:val="24"/>
          <w:szCs w:val="24"/>
        </w:rPr>
        <w:t xml:space="preserve">, </w:t>
      </w:r>
      <w:r>
        <w:rPr>
          <w:rFonts w:ascii="Times New Roman" w:hAnsi="Times New Roman" w:cs="Times New Roman"/>
          <w:sz w:val="24"/>
          <w:szCs w:val="24"/>
        </w:rPr>
        <w:t xml:space="preserve">we are interested in </w:t>
      </w:r>
      <w:r w:rsidR="00135E6C">
        <w:rPr>
          <w:rFonts w:ascii="Times New Roman" w:hAnsi="Times New Roman" w:cs="Times New Roman"/>
          <w:sz w:val="24"/>
          <w:szCs w:val="24"/>
        </w:rPr>
        <w:t>whether the impact</w:t>
      </w:r>
      <w:r w:rsidR="00096016">
        <w:rPr>
          <w:rFonts w:ascii="Times New Roman" w:hAnsi="Times New Roman" w:cs="Times New Roman"/>
          <w:sz w:val="24"/>
          <w:szCs w:val="24"/>
        </w:rPr>
        <w:t xml:space="preserve"> of migration differs across</w:t>
      </w:r>
      <w:r w:rsidR="00135E6C">
        <w:rPr>
          <w:rFonts w:ascii="Times New Roman" w:hAnsi="Times New Roman" w:cs="Times New Roman"/>
          <w:sz w:val="24"/>
          <w:szCs w:val="24"/>
        </w:rPr>
        <w:t xml:space="preserve"> </w:t>
      </w:r>
      <w:r w:rsidR="00A71A6E">
        <w:rPr>
          <w:rFonts w:ascii="Times New Roman" w:hAnsi="Times New Roman" w:cs="Times New Roman"/>
          <w:sz w:val="24"/>
          <w:szCs w:val="24"/>
        </w:rPr>
        <w:t>different groups</w:t>
      </w:r>
      <w:r w:rsidR="007B2B3D">
        <w:rPr>
          <w:rFonts w:ascii="Times New Roman" w:hAnsi="Times New Roman" w:cs="Times New Roman"/>
          <w:sz w:val="24"/>
          <w:szCs w:val="24"/>
        </w:rPr>
        <w:t xml:space="preserve"> of people</w:t>
      </w:r>
      <w:r w:rsidR="00135E6C">
        <w:rPr>
          <w:rFonts w:ascii="Times New Roman" w:hAnsi="Times New Roman" w:cs="Times New Roman"/>
          <w:sz w:val="24"/>
          <w:szCs w:val="24"/>
        </w:rPr>
        <w:t xml:space="preserve">. For this reason, we report results from </w:t>
      </w:r>
      <w:r w:rsidR="00D32861" w:rsidRPr="007D4A0F">
        <w:rPr>
          <w:rFonts w:ascii="Times New Roman" w:hAnsi="Times New Roman" w:cs="Times New Roman"/>
          <w:sz w:val="24"/>
          <w:szCs w:val="24"/>
        </w:rPr>
        <w:t xml:space="preserve">(separate) </w:t>
      </w:r>
      <w:r w:rsidR="00135E6C" w:rsidRPr="007D4A0F">
        <w:rPr>
          <w:rFonts w:ascii="Times New Roman" w:hAnsi="Times New Roman" w:cs="Times New Roman"/>
          <w:sz w:val="24"/>
          <w:szCs w:val="24"/>
        </w:rPr>
        <w:t>specifications where the migrant inflow rate</w:t>
      </w:r>
      <w:r w:rsidR="00135E6C">
        <w:rPr>
          <w:rFonts w:ascii="Times New Roman" w:hAnsi="Times New Roman" w:cs="Times New Roman"/>
          <w:sz w:val="24"/>
          <w:szCs w:val="24"/>
        </w:rPr>
        <w:t xml:space="preserve"> is interacted with age</w:t>
      </w:r>
      <w:r w:rsidR="007B2B3D">
        <w:rPr>
          <w:rFonts w:ascii="Times New Roman" w:hAnsi="Times New Roman" w:cs="Times New Roman"/>
          <w:sz w:val="24"/>
          <w:szCs w:val="24"/>
        </w:rPr>
        <w:t>, employment status, household income, and education level</w:t>
      </w:r>
      <w:r w:rsidR="00135E6C">
        <w:rPr>
          <w:rFonts w:ascii="Times New Roman" w:hAnsi="Times New Roman" w:cs="Times New Roman"/>
          <w:sz w:val="24"/>
          <w:szCs w:val="24"/>
        </w:rPr>
        <w:t>.</w:t>
      </w:r>
      <w:r w:rsidR="00A71A6E">
        <w:rPr>
          <w:rStyle w:val="FootnoteReference"/>
          <w:rFonts w:ascii="Times New Roman" w:hAnsi="Times New Roman" w:cs="Times New Roman"/>
          <w:sz w:val="24"/>
          <w:szCs w:val="24"/>
        </w:rPr>
        <w:footnoteReference w:id="14"/>
      </w:r>
      <w:r w:rsidR="00135E6C">
        <w:rPr>
          <w:rFonts w:ascii="Times New Roman" w:hAnsi="Times New Roman" w:cs="Times New Roman"/>
          <w:sz w:val="24"/>
          <w:szCs w:val="24"/>
        </w:rPr>
        <w:t xml:space="preserve"> </w:t>
      </w:r>
    </w:p>
    <w:p w14:paraId="08BE8F9A" w14:textId="77777777" w:rsidR="0027251E" w:rsidRDefault="0027251E" w:rsidP="0027251E">
      <w:pPr>
        <w:spacing w:after="0" w:line="480" w:lineRule="auto"/>
        <w:rPr>
          <w:rFonts w:ascii="Times New Roman" w:hAnsi="Times New Roman" w:cs="Times New Roman"/>
          <w:sz w:val="24"/>
          <w:szCs w:val="24"/>
        </w:rPr>
      </w:pPr>
    </w:p>
    <w:p w14:paraId="1197AB4A" w14:textId="77777777" w:rsidR="00DC4E3B" w:rsidRPr="00B71FEA" w:rsidRDefault="00135E6C" w:rsidP="0027251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Our final sample, after dropping observations with missing information for any of the variables used in the </w:t>
      </w:r>
      <w:r w:rsidR="006655F1">
        <w:rPr>
          <w:rFonts w:ascii="Times New Roman" w:hAnsi="Times New Roman" w:cs="Times New Roman"/>
          <w:sz w:val="24"/>
          <w:szCs w:val="24"/>
        </w:rPr>
        <w:t xml:space="preserve">analysis </w:t>
      </w:r>
      <w:r>
        <w:rPr>
          <w:rFonts w:ascii="Times New Roman" w:hAnsi="Times New Roman" w:cs="Times New Roman"/>
          <w:sz w:val="24"/>
          <w:szCs w:val="24"/>
        </w:rPr>
        <w:t xml:space="preserve">and keeping only UK natives (i.e. people reporting that were born in the UK), consists of </w:t>
      </w:r>
      <w:r w:rsidR="006655F1">
        <w:rPr>
          <w:rFonts w:ascii="Times New Roman" w:hAnsi="Times New Roman" w:cs="Times New Roman"/>
          <w:sz w:val="24"/>
          <w:szCs w:val="24"/>
        </w:rPr>
        <w:t xml:space="preserve">30,448 </w:t>
      </w:r>
      <w:r>
        <w:rPr>
          <w:rFonts w:ascii="Times New Roman" w:hAnsi="Times New Roman" w:cs="Times New Roman"/>
          <w:sz w:val="24"/>
          <w:szCs w:val="24"/>
        </w:rPr>
        <w:t>observations</w:t>
      </w:r>
      <w:r w:rsidR="006655F1">
        <w:rPr>
          <w:rFonts w:ascii="Times New Roman" w:hAnsi="Times New Roman" w:cs="Times New Roman"/>
          <w:sz w:val="24"/>
          <w:szCs w:val="24"/>
        </w:rPr>
        <w:t xml:space="preserve">, across 8,252 </w:t>
      </w:r>
      <w:r>
        <w:rPr>
          <w:rFonts w:ascii="Times New Roman" w:hAnsi="Times New Roman" w:cs="Times New Roman"/>
          <w:sz w:val="24"/>
          <w:szCs w:val="24"/>
        </w:rPr>
        <w:t xml:space="preserve">persons and </w:t>
      </w:r>
      <w:r w:rsidR="006655F1">
        <w:rPr>
          <w:rFonts w:ascii="Times New Roman" w:hAnsi="Times New Roman" w:cs="Times New Roman"/>
          <w:sz w:val="24"/>
          <w:szCs w:val="24"/>
        </w:rPr>
        <w:t>320</w:t>
      </w:r>
      <w:r>
        <w:rPr>
          <w:rFonts w:ascii="Times New Roman" w:hAnsi="Times New Roman" w:cs="Times New Roman"/>
          <w:sz w:val="24"/>
          <w:szCs w:val="24"/>
        </w:rPr>
        <w:t xml:space="preserve"> local authorities</w:t>
      </w:r>
      <w:r w:rsidR="009730E3">
        <w:rPr>
          <w:rFonts w:ascii="Times New Roman" w:hAnsi="Times New Roman" w:cs="Times New Roman"/>
          <w:sz w:val="24"/>
          <w:szCs w:val="24"/>
        </w:rPr>
        <w:t xml:space="preserve"> in England and Wales, </w:t>
      </w:r>
      <w:r>
        <w:rPr>
          <w:rFonts w:ascii="Times New Roman" w:hAnsi="Times New Roman" w:cs="Times New Roman"/>
          <w:sz w:val="24"/>
          <w:szCs w:val="24"/>
        </w:rPr>
        <w:t>for the whole 2003-2008 period (excluding 2004, as was mentioned above</w:t>
      </w:r>
      <w:r w:rsidR="001A2349">
        <w:rPr>
          <w:rFonts w:ascii="Times New Roman" w:hAnsi="Times New Roman" w:cs="Times New Roman"/>
          <w:sz w:val="24"/>
          <w:szCs w:val="24"/>
        </w:rPr>
        <w:t>).</w:t>
      </w:r>
    </w:p>
    <w:p w14:paraId="0292ED09" w14:textId="77777777" w:rsidR="007D051D" w:rsidRDefault="007D051D" w:rsidP="0027251E">
      <w:pPr>
        <w:spacing w:after="0" w:line="480" w:lineRule="auto"/>
        <w:rPr>
          <w:rFonts w:ascii="Times New Roman" w:eastAsia="Times New Roman" w:hAnsi="Times New Roman" w:cs="Times New Roman"/>
          <w:b/>
          <w:sz w:val="24"/>
        </w:rPr>
      </w:pPr>
    </w:p>
    <w:p w14:paraId="599C19C1" w14:textId="77777777" w:rsidR="004F65E0" w:rsidRDefault="00F16012" w:rsidP="0027251E">
      <w:pPr>
        <w:spacing w:after="0" w:line="480" w:lineRule="auto"/>
        <w:rPr>
          <w:rFonts w:ascii="Times New Roman" w:eastAsia="Times New Roman" w:hAnsi="Times New Roman" w:cs="Times New Roman"/>
          <w:b/>
          <w:sz w:val="24"/>
        </w:rPr>
      </w:pPr>
      <w:r>
        <w:rPr>
          <w:rFonts w:ascii="Times New Roman" w:eastAsia="Times New Roman" w:hAnsi="Times New Roman" w:cs="Times New Roman"/>
          <w:b/>
          <w:sz w:val="24"/>
        </w:rPr>
        <w:t>4</w:t>
      </w:r>
      <w:r w:rsidR="00D22794" w:rsidRPr="004F65E0">
        <w:rPr>
          <w:rFonts w:ascii="Times New Roman" w:eastAsia="Times New Roman" w:hAnsi="Times New Roman" w:cs="Times New Roman"/>
          <w:b/>
          <w:sz w:val="24"/>
        </w:rPr>
        <w:t>. Results</w:t>
      </w:r>
    </w:p>
    <w:p w14:paraId="5494F6C1" w14:textId="77777777" w:rsidR="0027251E" w:rsidRPr="00CB6C24" w:rsidRDefault="0027251E" w:rsidP="0027251E">
      <w:pPr>
        <w:spacing w:after="0" w:line="480" w:lineRule="auto"/>
        <w:rPr>
          <w:rFonts w:ascii="Times New Roman" w:hAnsi="Times New Roman" w:cs="Times New Roman"/>
          <w:sz w:val="24"/>
          <w:szCs w:val="24"/>
        </w:rPr>
      </w:pPr>
    </w:p>
    <w:p w14:paraId="71CB1B55" w14:textId="77777777" w:rsidR="004F65E0" w:rsidRDefault="00F16012" w:rsidP="0027251E">
      <w:pPr>
        <w:spacing w:after="0" w:line="480" w:lineRule="auto"/>
        <w:rPr>
          <w:rFonts w:ascii="Times New Roman" w:eastAsia="Times New Roman" w:hAnsi="Times New Roman" w:cs="Times New Roman"/>
          <w:i/>
          <w:sz w:val="24"/>
        </w:rPr>
      </w:pPr>
      <w:r>
        <w:rPr>
          <w:rFonts w:ascii="Times New Roman" w:eastAsia="Times New Roman" w:hAnsi="Times New Roman" w:cs="Times New Roman"/>
          <w:i/>
          <w:sz w:val="24"/>
        </w:rPr>
        <w:t>4</w:t>
      </w:r>
      <w:r w:rsidR="004F65E0" w:rsidRPr="004F65E0">
        <w:rPr>
          <w:rFonts w:ascii="Times New Roman" w:eastAsia="Times New Roman" w:hAnsi="Times New Roman" w:cs="Times New Roman"/>
          <w:i/>
          <w:sz w:val="24"/>
        </w:rPr>
        <w:t>.1 Baseline estimates</w:t>
      </w:r>
    </w:p>
    <w:p w14:paraId="17E48830" w14:textId="77777777" w:rsidR="0027251E" w:rsidRDefault="0027251E" w:rsidP="0027251E">
      <w:pPr>
        <w:spacing w:after="0" w:line="480" w:lineRule="auto"/>
        <w:rPr>
          <w:rFonts w:ascii="Times New Roman" w:eastAsia="Times New Roman" w:hAnsi="Times New Roman" w:cs="Times New Roman"/>
          <w:i/>
          <w:sz w:val="24"/>
        </w:rPr>
      </w:pPr>
    </w:p>
    <w:p w14:paraId="35495A1A" w14:textId="130460D4" w:rsidR="0027251E" w:rsidRDefault="007E2FAB" w:rsidP="0027251E">
      <w:pPr>
        <w:spacing w:after="0" w:line="480" w:lineRule="auto"/>
        <w:rPr>
          <w:rFonts w:ascii="Times New Roman" w:eastAsia="Times New Roman" w:hAnsi="Times New Roman" w:cs="Times New Roman"/>
          <w:sz w:val="24"/>
        </w:rPr>
      </w:pPr>
      <w:r w:rsidRPr="0036619B">
        <w:rPr>
          <w:rFonts w:ascii="Times New Roman" w:eastAsia="Times New Roman" w:hAnsi="Times New Roman" w:cs="Times New Roman"/>
          <w:sz w:val="24"/>
        </w:rPr>
        <w:t xml:space="preserve">We start </w:t>
      </w:r>
      <w:r w:rsidR="00DC28A8" w:rsidRPr="0036619B">
        <w:rPr>
          <w:rFonts w:ascii="Times New Roman" w:eastAsia="Times New Roman" w:hAnsi="Times New Roman" w:cs="Times New Roman"/>
          <w:sz w:val="24"/>
        </w:rPr>
        <w:t xml:space="preserve">our analysis </w:t>
      </w:r>
      <w:r w:rsidRPr="0036619B">
        <w:rPr>
          <w:rFonts w:ascii="Times New Roman" w:eastAsia="Times New Roman" w:hAnsi="Times New Roman" w:cs="Times New Roman"/>
          <w:sz w:val="24"/>
        </w:rPr>
        <w:t xml:space="preserve">by </w:t>
      </w:r>
      <w:r w:rsidR="00583CF5" w:rsidRPr="0036619B">
        <w:rPr>
          <w:rFonts w:ascii="Times New Roman" w:eastAsia="Times New Roman" w:hAnsi="Times New Roman" w:cs="Times New Roman"/>
          <w:sz w:val="24"/>
        </w:rPr>
        <w:t xml:space="preserve">estimating </w:t>
      </w:r>
      <w:r w:rsidR="001B541A" w:rsidRPr="0036619B">
        <w:rPr>
          <w:rFonts w:ascii="Times New Roman" w:eastAsia="Times New Roman" w:hAnsi="Times New Roman" w:cs="Times New Roman"/>
          <w:sz w:val="24"/>
        </w:rPr>
        <w:t>the baseline</w:t>
      </w:r>
      <w:r w:rsidR="009E7E79" w:rsidRPr="0036619B">
        <w:rPr>
          <w:rFonts w:ascii="Times New Roman" w:eastAsia="Times New Roman" w:hAnsi="Times New Roman" w:cs="Times New Roman"/>
          <w:sz w:val="24"/>
        </w:rPr>
        <w:t xml:space="preserve"> model </w:t>
      </w:r>
      <w:r w:rsidRPr="0036619B">
        <w:rPr>
          <w:rFonts w:ascii="Times New Roman" w:eastAsia="Times New Roman" w:hAnsi="Times New Roman" w:cs="Times New Roman"/>
          <w:sz w:val="24"/>
        </w:rPr>
        <w:t xml:space="preserve">for </w:t>
      </w:r>
      <w:r w:rsidR="009E7E79" w:rsidRPr="0036619B">
        <w:rPr>
          <w:rFonts w:ascii="Times New Roman" w:eastAsia="Times New Roman" w:hAnsi="Times New Roman" w:cs="Times New Roman"/>
          <w:sz w:val="24"/>
        </w:rPr>
        <w:t xml:space="preserve">the three time periods: </w:t>
      </w:r>
      <w:r w:rsidR="00DC28A8" w:rsidRPr="0036619B">
        <w:rPr>
          <w:rFonts w:ascii="Times New Roman" w:eastAsia="Times New Roman" w:hAnsi="Times New Roman" w:cs="Times New Roman"/>
          <w:sz w:val="24"/>
        </w:rPr>
        <w:t>200</w:t>
      </w:r>
      <w:r w:rsidR="009E7E79" w:rsidRPr="0036619B">
        <w:rPr>
          <w:rFonts w:ascii="Times New Roman" w:eastAsia="Times New Roman" w:hAnsi="Times New Roman" w:cs="Times New Roman"/>
          <w:sz w:val="24"/>
        </w:rPr>
        <w:t>3-2008, 2003-2005 and 2006-2008</w:t>
      </w:r>
      <w:r w:rsidRPr="0036619B">
        <w:rPr>
          <w:rFonts w:ascii="Times New Roman" w:eastAsia="Times New Roman" w:hAnsi="Times New Roman" w:cs="Times New Roman"/>
          <w:sz w:val="24"/>
        </w:rPr>
        <w:t xml:space="preserve">. </w:t>
      </w:r>
      <w:r w:rsidR="00DC28A8" w:rsidRPr="0036619B">
        <w:rPr>
          <w:rFonts w:ascii="Times New Roman" w:eastAsia="Times New Roman" w:hAnsi="Times New Roman" w:cs="Times New Roman"/>
          <w:sz w:val="24"/>
        </w:rPr>
        <w:t xml:space="preserve">Estimates </w:t>
      </w:r>
      <w:r w:rsidR="009E7E79" w:rsidRPr="0036619B">
        <w:rPr>
          <w:rFonts w:ascii="Times New Roman" w:eastAsia="Times New Roman" w:hAnsi="Times New Roman" w:cs="Times New Roman"/>
          <w:sz w:val="24"/>
        </w:rPr>
        <w:t>from</w:t>
      </w:r>
      <w:r w:rsidR="00DC28A8" w:rsidRPr="0036619B">
        <w:rPr>
          <w:rFonts w:ascii="Times New Roman" w:eastAsia="Times New Roman" w:hAnsi="Times New Roman" w:cs="Times New Roman"/>
          <w:sz w:val="24"/>
        </w:rPr>
        <w:t xml:space="preserve"> two </w:t>
      </w:r>
      <w:r w:rsidRPr="0036619B">
        <w:rPr>
          <w:rFonts w:ascii="Times New Roman" w:eastAsia="Times New Roman" w:hAnsi="Times New Roman" w:cs="Times New Roman"/>
          <w:sz w:val="24"/>
        </w:rPr>
        <w:t>specifications</w:t>
      </w:r>
      <w:r w:rsidR="00DC28A8" w:rsidRPr="0036619B">
        <w:rPr>
          <w:rFonts w:ascii="Times New Roman" w:eastAsia="Times New Roman" w:hAnsi="Times New Roman" w:cs="Times New Roman"/>
          <w:sz w:val="24"/>
        </w:rPr>
        <w:t xml:space="preserve"> for each period</w:t>
      </w:r>
      <w:r w:rsidR="004E7825" w:rsidRPr="0036619B">
        <w:rPr>
          <w:rFonts w:ascii="Times New Roman" w:eastAsia="Times New Roman" w:hAnsi="Times New Roman" w:cs="Times New Roman"/>
          <w:sz w:val="24"/>
        </w:rPr>
        <w:t xml:space="preserve">, the first without the </w:t>
      </w:r>
      <w:r w:rsidR="00C34A9F" w:rsidRPr="0036619B">
        <w:rPr>
          <w:rFonts w:ascii="Times New Roman" w:eastAsia="Times New Roman" w:hAnsi="Times New Roman" w:cs="Times New Roman"/>
          <w:sz w:val="24"/>
        </w:rPr>
        <w:t>LAD-level controls</w:t>
      </w:r>
      <w:r w:rsidR="00DC28A8" w:rsidRPr="0036619B">
        <w:rPr>
          <w:rFonts w:ascii="Times New Roman" w:eastAsia="Times New Roman" w:hAnsi="Times New Roman" w:cs="Times New Roman"/>
          <w:sz w:val="24"/>
        </w:rPr>
        <w:t xml:space="preserve"> and the second including </w:t>
      </w:r>
      <w:r w:rsidR="0036619B">
        <w:rPr>
          <w:rFonts w:ascii="Times New Roman" w:eastAsia="Times New Roman" w:hAnsi="Times New Roman" w:cs="Times New Roman"/>
          <w:sz w:val="24"/>
        </w:rPr>
        <w:t xml:space="preserve">them, </w:t>
      </w:r>
      <w:r w:rsidR="00DA3112" w:rsidRPr="0036619B">
        <w:rPr>
          <w:rFonts w:ascii="Times New Roman" w:eastAsia="Times New Roman" w:hAnsi="Times New Roman" w:cs="Times New Roman"/>
          <w:sz w:val="24"/>
        </w:rPr>
        <w:t>are presented</w:t>
      </w:r>
      <w:r w:rsidR="00270F8A" w:rsidRPr="0036619B">
        <w:rPr>
          <w:rFonts w:ascii="Times New Roman" w:eastAsia="Times New Roman" w:hAnsi="Times New Roman" w:cs="Times New Roman"/>
          <w:sz w:val="24"/>
        </w:rPr>
        <w:t xml:space="preserve"> in Table 1. </w:t>
      </w:r>
      <w:r w:rsidR="000E37D1" w:rsidRPr="0036619B">
        <w:rPr>
          <w:rFonts w:ascii="Times New Roman" w:eastAsia="Times New Roman" w:hAnsi="Times New Roman" w:cs="Times New Roman"/>
          <w:sz w:val="24"/>
        </w:rPr>
        <w:t xml:space="preserve">On average, there is no significant relationship between local migrant inflows and the life satisfaction of UK nationals. All LAD-level controls, in the model specifications that include them (2, 4 and 6), are </w:t>
      </w:r>
      <w:r w:rsidR="0036619B">
        <w:rPr>
          <w:rFonts w:ascii="Times New Roman" w:eastAsia="Times New Roman" w:hAnsi="Times New Roman" w:cs="Times New Roman"/>
          <w:sz w:val="24"/>
        </w:rPr>
        <w:t xml:space="preserve">also </w:t>
      </w:r>
      <w:r w:rsidR="000E37D1" w:rsidRPr="0036619B">
        <w:rPr>
          <w:rFonts w:ascii="Times New Roman" w:eastAsia="Times New Roman" w:hAnsi="Times New Roman" w:cs="Times New Roman"/>
          <w:sz w:val="24"/>
        </w:rPr>
        <w:t xml:space="preserve">statistically insignificant. Importantly, their inclusion does not seem to </w:t>
      </w:r>
      <w:r w:rsidR="00006788">
        <w:rPr>
          <w:rFonts w:ascii="Times New Roman" w:eastAsia="Times New Roman" w:hAnsi="Times New Roman" w:cs="Times New Roman"/>
          <w:sz w:val="24"/>
        </w:rPr>
        <w:t xml:space="preserve">substantially </w:t>
      </w:r>
      <w:r w:rsidR="000E37D1" w:rsidRPr="0036619B">
        <w:rPr>
          <w:rFonts w:ascii="Times New Roman" w:eastAsia="Times New Roman" w:hAnsi="Times New Roman" w:cs="Times New Roman"/>
          <w:sz w:val="24"/>
        </w:rPr>
        <w:t>affect the estimate for the coefficient of</w:t>
      </w:r>
      <w:r w:rsidR="000E37D1">
        <w:rPr>
          <w:rFonts w:ascii="Times New Roman" w:eastAsia="Times New Roman" w:hAnsi="Times New Roman" w:cs="Times New Roman"/>
          <w:sz w:val="24"/>
        </w:rPr>
        <w:t xml:space="preserve"> our variable of interest, the migrant inflow rate. </w:t>
      </w:r>
      <w:r w:rsidR="0036619B">
        <w:rPr>
          <w:rFonts w:ascii="Times New Roman" w:eastAsia="Times New Roman" w:hAnsi="Times New Roman" w:cs="Times New Roman"/>
          <w:sz w:val="24"/>
        </w:rPr>
        <w:t>We also note that t</w:t>
      </w:r>
      <w:r w:rsidR="00B33A8C">
        <w:rPr>
          <w:rFonts w:ascii="Times New Roman" w:eastAsia="Times New Roman" w:hAnsi="Times New Roman" w:cs="Times New Roman"/>
          <w:sz w:val="24"/>
        </w:rPr>
        <w:t>he</w:t>
      </w:r>
      <w:r w:rsidR="0079050F">
        <w:rPr>
          <w:rFonts w:ascii="Times New Roman" w:eastAsia="Times New Roman" w:hAnsi="Times New Roman" w:cs="Times New Roman"/>
          <w:sz w:val="24"/>
        </w:rPr>
        <w:t xml:space="preserve"> </w:t>
      </w:r>
      <w:r w:rsidR="007C3F78">
        <w:rPr>
          <w:rFonts w:ascii="Times New Roman" w:eastAsia="Times New Roman" w:hAnsi="Times New Roman" w:cs="Times New Roman"/>
          <w:sz w:val="24"/>
        </w:rPr>
        <w:t xml:space="preserve">results for the </w:t>
      </w:r>
      <w:r w:rsidR="0079050F">
        <w:rPr>
          <w:rFonts w:ascii="Times New Roman" w:eastAsia="Times New Roman" w:hAnsi="Times New Roman" w:cs="Times New Roman"/>
          <w:sz w:val="24"/>
        </w:rPr>
        <w:t>coefficients of the control variables are broadly consistent with the findings reported in the related literature (e.g. Akay et al. 2014): married or cohabiting individuals are more satisfied with their lives than si</w:t>
      </w:r>
      <w:r w:rsidR="00B87FCB">
        <w:rPr>
          <w:rFonts w:ascii="Times New Roman" w:eastAsia="Times New Roman" w:hAnsi="Times New Roman" w:cs="Times New Roman"/>
          <w:sz w:val="24"/>
        </w:rPr>
        <w:t>milar never married or widowed/</w:t>
      </w:r>
      <w:r w:rsidR="0079050F">
        <w:rPr>
          <w:rFonts w:ascii="Times New Roman" w:eastAsia="Times New Roman" w:hAnsi="Times New Roman" w:cs="Times New Roman"/>
          <w:sz w:val="24"/>
        </w:rPr>
        <w:t>divorced/separated ones, the unemployed report significan</w:t>
      </w:r>
      <w:r w:rsidR="00CB0CA0">
        <w:rPr>
          <w:rFonts w:ascii="Times New Roman" w:eastAsia="Times New Roman" w:hAnsi="Times New Roman" w:cs="Times New Roman"/>
          <w:sz w:val="24"/>
        </w:rPr>
        <w:t xml:space="preserve">tly lower satisfaction than the </w:t>
      </w:r>
      <w:r w:rsidR="0079050F">
        <w:rPr>
          <w:rFonts w:ascii="Times New Roman" w:eastAsia="Times New Roman" w:hAnsi="Times New Roman" w:cs="Times New Roman"/>
          <w:sz w:val="24"/>
        </w:rPr>
        <w:t xml:space="preserve">employed or the inactive, while worse levels of health </w:t>
      </w:r>
      <w:r w:rsidR="007C3F78">
        <w:rPr>
          <w:rFonts w:ascii="Times New Roman" w:eastAsia="Times New Roman" w:hAnsi="Times New Roman" w:cs="Times New Roman"/>
          <w:sz w:val="24"/>
        </w:rPr>
        <w:t>are also associated with much lower life satisfaction</w:t>
      </w:r>
      <w:r w:rsidR="000E37D1">
        <w:rPr>
          <w:rFonts w:ascii="Times New Roman" w:eastAsia="Times New Roman" w:hAnsi="Times New Roman" w:cs="Times New Roman"/>
          <w:sz w:val="24"/>
        </w:rPr>
        <w:t xml:space="preserve">. </w:t>
      </w:r>
    </w:p>
    <w:p w14:paraId="5A1267EB" w14:textId="77777777" w:rsidR="0027251E" w:rsidRDefault="0027251E" w:rsidP="0027251E">
      <w:pPr>
        <w:spacing w:after="0" w:line="480" w:lineRule="auto"/>
        <w:rPr>
          <w:rFonts w:ascii="Times New Roman" w:eastAsia="Times New Roman" w:hAnsi="Times New Roman" w:cs="Times New Roman"/>
          <w:sz w:val="24"/>
        </w:rPr>
      </w:pPr>
    </w:p>
    <w:p w14:paraId="0F297F5C" w14:textId="77777777" w:rsidR="0027251E" w:rsidRDefault="0027251E" w:rsidP="0027251E">
      <w:pPr>
        <w:spacing w:after="0"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[Table 1 about here]</w:t>
      </w:r>
    </w:p>
    <w:p w14:paraId="4607AFDB" w14:textId="77777777" w:rsidR="007D051D" w:rsidRDefault="007D051D" w:rsidP="0027251E">
      <w:pPr>
        <w:spacing w:after="0" w:line="480" w:lineRule="auto"/>
        <w:rPr>
          <w:rFonts w:ascii="Times New Roman" w:eastAsia="Times New Roman" w:hAnsi="Times New Roman" w:cs="Times New Roman"/>
          <w:sz w:val="24"/>
        </w:rPr>
      </w:pPr>
    </w:p>
    <w:p w14:paraId="2FF250AE" w14:textId="77777777" w:rsidR="00731283" w:rsidRPr="00731283" w:rsidRDefault="00731283" w:rsidP="0027251E">
      <w:pPr>
        <w:spacing w:after="0" w:line="480" w:lineRule="auto"/>
        <w:rPr>
          <w:rFonts w:ascii="Times New Roman" w:eastAsia="Times New Roman" w:hAnsi="Times New Roman" w:cs="Times New Roman"/>
          <w:i/>
          <w:sz w:val="24"/>
        </w:rPr>
      </w:pPr>
      <w:r w:rsidRPr="00731283">
        <w:rPr>
          <w:rFonts w:ascii="Times New Roman" w:eastAsia="Times New Roman" w:hAnsi="Times New Roman" w:cs="Times New Roman"/>
          <w:i/>
          <w:sz w:val="24"/>
        </w:rPr>
        <w:t>4.2 Interactions</w:t>
      </w:r>
    </w:p>
    <w:p w14:paraId="7E0E012B" w14:textId="77777777" w:rsidR="00731283" w:rsidRDefault="00731283" w:rsidP="0027251E">
      <w:pPr>
        <w:spacing w:after="0" w:line="480" w:lineRule="auto"/>
        <w:rPr>
          <w:rFonts w:ascii="Times New Roman" w:eastAsia="Times New Roman" w:hAnsi="Times New Roman" w:cs="Times New Roman"/>
          <w:sz w:val="24"/>
        </w:rPr>
      </w:pPr>
    </w:p>
    <w:p w14:paraId="7A4FC647" w14:textId="63781ECE" w:rsidR="005739A1" w:rsidRDefault="002456A5" w:rsidP="004E5B41">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A different picture </w:t>
      </w:r>
      <w:r w:rsidR="009E7E79">
        <w:rPr>
          <w:rFonts w:ascii="Times New Roman" w:eastAsia="Times New Roman" w:hAnsi="Times New Roman" w:cs="Times New Roman"/>
          <w:sz w:val="24"/>
        </w:rPr>
        <w:t>emerges</w:t>
      </w:r>
      <w:r w:rsidR="007C7363">
        <w:rPr>
          <w:rFonts w:ascii="Times New Roman" w:eastAsia="Times New Roman" w:hAnsi="Times New Roman" w:cs="Times New Roman"/>
          <w:sz w:val="24"/>
        </w:rPr>
        <w:t xml:space="preserve"> </w:t>
      </w:r>
      <w:r w:rsidR="00324F6D">
        <w:rPr>
          <w:rFonts w:ascii="Times New Roman" w:eastAsia="Times New Roman" w:hAnsi="Times New Roman" w:cs="Times New Roman"/>
          <w:sz w:val="24"/>
        </w:rPr>
        <w:t>when</w:t>
      </w:r>
      <w:r w:rsidR="007C7363">
        <w:rPr>
          <w:rFonts w:ascii="Times New Roman" w:eastAsia="Times New Roman" w:hAnsi="Times New Roman" w:cs="Times New Roman"/>
          <w:sz w:val="24"/>
        </w:rPr>
        <w:t xml:space="preserve"> </w:t>
      </w:r>
      <w:r w:rsidR="00324F6D">
        <w:rPr>
          <w:rFonts w:ascii="Times New Roman" w:eastAsia="Times New Roman" w:hAnsi="Times New Roman" w:cs="Times New Roman"/>
          <w:sz w:val="24"/>
        </w:rPr>
        <w:t>the interaction term</w:t>
      </w:r>
      <w:r w:rsidR="00322E29">
        <w:rPr>
          <w:rFonts w:ascii="Times New Roman" w:eastAsia="Times New Roman" w:hAnsi="Times New Roman" w:cs="Times New Roman"/>
          <w:sz w:val="24"/>
        </w:rPr>
        <w:t>s</w:t>
      </w:r>
      <w:r w:rsidR="00324F6D">
        <w:rPr>
          <w:rFonts w:ascii="Times New Roman" w:eastAsia="Times New Roman" w:hAnsi="Times New Roman" w:cs="Times New Roman"/>
          <w:sz w:val="24"/>
        </w:rPr>
        <w:t xml:space="preserve"> between </w:t>
      </w:r>
      <w:r w:rsidR="000C3E1C">
        <w:rPr>
          <w:rFonts w:ascii="Times New Roman" w:eastAsia="Times New Roman" w:hAnsi="Times New Roman" w:cs="Times New Roman"/>
          <w:sz w:val="24"/>
        </w:rPr>
        <w:t xml:space="preserve">the </w:t>
      </w:r>
      <w:r w:rsidR="00324F6D">
        <w:rPr>
          <w:rFonts w:ascii="Times New Roman" w:eastAsia="Times New Roman" w:hAnsi="Times New Roman" w:cs="Times New Roman"/>
          <w:sz w:val="24"/>
        </w:rPr>
        <w:t xml:space="preserve">migrant inflow rate and </w:t>
      </w:r>
      <w:r w:rsidR="00322E29">
        <w:rPr>
          <w:rFonts w:ascii="Times New Roman" w:eastAsia="Times New Roman" w:hAnsi="Times New Roman" w:cs="Times New Roman"/>
          <w:sz w:val="24"/>
        </w:rPr>
        <w:t>various individual</w:t>
      </w:r>
      <w:r w:rsidR="004B2292">
        <w:rPr>
          <w:rFonts w:ascii="Times New Roman" w:eastAsia="Times New Roman" w:hAnsi="Times New Roman" w:cs="Times New Roman"/>
          <w:sz w:val="24"/>
        </w:rPr>
        <w:t>-level</w:t>
      </w:r>
      <w:r w:rsidR="00322E29">
        <w:rPr>
          <w:rFonts w:ascii="Times New Roman" w:eastAsia="Times New Roman" w:hAnsi="Times New Roman" w:cs="Times New Roman"/>
          <w:sz w:val="24"/>
        </w:rPr>
        <w:t xml:space="preserve"> characteristics are entered into the model</w:t>
      </w:r>
      <w:r w:rsidR="001B541A">
        <w:rPr>
          <w:rFonts w:ascii="Times New Roman" w:eastAsia="Times New Roman" w:hAnsi="Times New Roman" w:cs="Times New Roman"/>
          <w:sz w:val="24"/>
        </w:rPr>
        <w:t xml:space="preserve"> (</w:t>
      </w:r>
      <w:r w:rsidR="00322E29">
        <w:rPr>
          <w:rFonts w:ascii="Times New Roman" w:eastAsia="Times New Roman" w:hAnsi="Times New Roman" w:cs="Times New Roman"/>
          <w:sz w:val="24"/>
        </w:rPr>
        <w:t>Table 2</w:t>
      </w:r>
      <w:r w:rsidR="001B541A">
        <w:rPr>
          <w:rFonts w:ascii="Times New Roman" w:eastAsia="Times New Roman" w:hAnsi="Times New Roman" w:cs="Times New Roman"/>
          <w:sz w:val="24"/>
        </w:rPr>
        <w:t>)</w:t>
      </w:r>
      <w:r w:rsidR="007C7363">
        <w:rPr>
          <w:rFonts w:ascii="Times New Roman" w:eastAsia="Times New Roman" w:hAnsi="Times New Roman" w:cs="Times New Roman"/>
          <w:sz w:val="24"/>
        </w:rPr>
        <w:t>.</w:t>
      </w:r>
      <w:r w:rsidR="004E7825">
        <w:rPr>
          <w:rFonts w:ascii="Times New Roman" w:eastAsia="Times New Roman" w:hAnsi="Times New Roman" w:cs="Times New Roman"/>
          <w:sz w:val="24"/>
        </w:rPr>
        <w:t xml:space="preserve"> </w:t>
      </w:r>
      <w:r w:rsidR="00747D11">
        <w:rPr>
          <w:rFonts w:ascii="Times New Roman" w:eastAsia="Times New Roman" w:hAnsi="Times New Roman" w:cs="Times New Roman"/>
          <w:sz w:val="24"/>
        </w:rPr>
        <w:t>Starting with age</w:t>
      </w:r>
      <w:r w:rsidR="0077549D">
        <w:rPr>
          <w:rFonts w:ascii="Times New Roman" w:eastAsia="Times New Roman" w:hAnsi="Times New Roman" w:cs="Times New Roman"/>
          <w:sz w:val="24"/>
        </w:rPr>
        <w:t xml:space="preserve"> (Panel A)</w:t>
      </w:r>
      <w:r w:rsidR="00747D11">
        <w:rPr>
          <w:rFonts w:ascii="Times New Roman" w:eastAsia="Times New Roman" w:hAnsi="Times New Roman" w:cs="Times New Roman"/>
          <w:sz w:val="24"/>
        </w:rPr>
        <w:t>, f</w:t>
      </w:r>
      <w:r w:rsidR="00270F8A">
        <w:rPr>
          <w:rFonts w:ascii="Times New Roman" w:eastAsia="Times New Roman" w:hAnsi="Times New Roman" w:cs="Times New Roman"/>
          <w:sz w:val="24"/>
        </w:rPr>
        <w:t xml:space="preserve">or the </w:t>
      </w:r>
      <w:r w:rsidR="00CA613D">
        <w:rPr>
          <w:rFonts w:ascii="Times New Roman" w:eastAsia="Times New Roman" w:hAnsi="Times New Roman" w:cs="Times New Roman"/>
          <w:sz w:val="24"/>
        </w:rPr>
        <w:t xml:space="preserve">whole period of </w:t>
      </w:r>
      <w:r w:rsidR="00270F8A">
        <w:rPr>
          <w:rFonts w:ascii="Times New Roman" w:eastAsia="Times New Roman" w:hAnsi="Times New Roman" w:cs="Times New Roman"/>
          <w:sz w:val="24"/>
        </w:rPr>
        <w:t>2003-2008, the</w:t>
      </w:r>
      <w:r w:rsidR="00324F6D">
        <w:rPr>
          <w:rFonts w:ascii="Times New Roman" w:eastAsia="Times New Roman" w:hAnsi="Times New Roman" w:cs="Times New Roman"/>
          <w:sz w:val="24"/>
        </w:rPr>
        <w:t xml:space="preserve"> coefficient of the migrant inflow rate is positive </w:t>
      </w:r>
      <w:r w:rsidR="009F0DEE">
        <w:rPr>
          <w:rFonts w:ascii="Times New Roman" w:eastAsia="Times New Roman" w:hAnsi="Times New Roman" w:cs="Times New Roman"/>
          <w:sz w:val="24"/>
        </w:rPr>
        <w:t>and</w:t>
      </w:r>
      <w:r w:rsidR="00324F6D">
        <w:rPr>
          <w:rFonts w:ascii="Times New Roman" w:eastAsia="Times New Roman" w:hAnsi="Times New Roman" w:cs="Times New Roman"/>
          <w:sz w:val="24"/>
        </w:rPr>
        <w:t xml:space="preserve"> </w:t>
      </w:r>
      <w:r w:rsidR="004B2292">
        <w:rPr>
          <w:rFonts w:ascii="Times New Roman" w:eastAsia="Times New Roman" w:hAnsi="Times New Roman" w:cs="Times New Roman"/>
          <w:sz w:val="24"/>
        </w:rPr>
        <w:t xml:space="preserve">that of </w:t>
      </w:r>
      <w:r w:rsidR="00324F6D">
        <w:rPr>
          <w:rFonts w:ascii="Times New Roman" w:eastAsia="Times New Roman" w:hAnsi="Times New Roman" w:cs="Times New Roman"/>
          <w:sz w:val="24"/>
        </w:rPr>
        <w:t xml:space="preserve">the </w:t>
      </w:r>
      <w:r w:rsidR="009F0DEE">
        <w:rPr>
          <w:rFonts w:ascii="Times New Roman" w:eastAsia="Times New Roman" w:hAnsi="Times New Roman" w:cs="Times New Roman"/>
          <w:sz w:val="24"/>
        </w:rPr>
        <w:t>interaction term negative</w:t>
      </w:r>
      <w:r w:rsidR="00056C61">
        <w:rPr>
          <w:rFonts w:ascii="Times New Roman" w:eastAsia="Times New Roman" w:hAnsi="Times New Roman" w:cs="Times New Roman"/>
          <w:sz w:val="24"/>
        </w:rPr>
        <w:t xml:space="preserve">, </w:t>
      </w:r>
      <w:r w:rsidR="00747D11">
        <w:rPr>
          <w:rFonts w:ascii="Times New Roman" w:eastAsia="Times New Roman" w:hAnsi="Times New Roman" w:cs="Times New Roman"/>
          <w:sz w:val="24"/>
        </w:rPr>
        <w:t>while</w:t>
      </w:r>
      <w:r w:rsidR="00056C61">
        <w:rPr>
          <w:rFonts w:ascii="Times New Roman" w:eastAsia="Times New Roman" w:hAnsi="Times New Roman" w:cs="Times New Roman"/>
          <w:sz w:val="24"/>
        </w:rPr>
        <w:t xml:space="preserve"> both are </w:t>
      </w:r>
      <w:r w:rsidR="009F0DEE">
        <w:rPr>
          <w:rFonts w:ascii="Times New Roman" w:eastAsia="Times New Roman" w:hAnsi="Times New Roman" w:cs="Times New Roman"/>
          <w:sz w:val="24"/>
        </w:rPr>
        <w:t xml:space="preserve">significant at </w:t>
      </w:r>
      <w:r w:rsidR="000C3E1C">
        <w:rPr>
          <w:rFonts w:ascii="Times New Roman" w:eastAsia="Times New Roman" w:hAnsi="Times New Roman" w:cs="Times New Roman"/>
          <w:sz w:val="24"/>
        </w:rPr>
        <w:t xml:space="preserve">the </w:t>
      </w:r>
      <w:r w:rsidR="00056C61">
        <w:rPr>
          <w:rFonts w:ascii="Times New Roman" w:eastAsia="Times New Roman" w:hAnsi="Times New Roman" w:cs="Times New Roman"/>
          <w:sz w:val="24"/>
        </w:rPr>
        <w:t>99%</w:t>
      </w:r>
      <w:r w:rsidR="000C3E1C">
        <w:rPr>
          <w:rFonts w:ascii="Times New Roman" w:eastAsia="Times New Roman" w:hAnsi="Times New Roman" w:cs="Times New Roman"/>
          <w:sz w:val="24"/>
        </w:rPr>
        <w:t xml:space="preserve"> level</w:t>
      </w:r>
      <w:r w:rsidR="00747D11">
        <w:rPr>
          <w:rFonts w:ascii="Times New Roman" w:eastAsia="Times New Roman" w:hAnsi="Times New Roman" w:cs="Times New Roman"/>
          <w:sz w:val="24"/>
        </w:rPr>
        <w:t xml:space="preserve">. </w:t>
      </w:r>
      <w:r w:rsidR="009F0DEE">
        <w:rPr>
          <w:rFonts w:ascii="Times New Roman" w:eastAsia="Times New Roman" w:hAnsi="Times New Roman" w:cs="Times New Roman"/>
          <w:sz w:val="24"/>
        </w:rPr>
        <w:t xml:space="preserve">A positive coefficient of the migrant inflow rate and a negative </w:t>
      </w:r>
      <w:r w:rsidR="00276722">
        <w:rPr>
          <w:rFonts w:ascii="Times New Roman" w:eastAsia="Times New Roman" w:hAnsi="Times New Roman" w:cs="Times New Roman"/>
          <w:sz w:val="24"/>
        </w:rPr>
        <w:t xml:space="preserve">for the </w:t>
      </w:r>
      <w:r w:rsidR="009F0DEE">
        <w:rPr>
          <w:rFonts w:ascii="Times New Roman" w:eastAsia="Times New Roman" w:hAnsi="Times New Roman" w:cs="Times New Roman"/>
          <w:sz w:val="24"/>
        </w:rPr>
        <w:t xml:space="preserve">interaction term imply that young people become more satisfied </w:t>
      </w:r>
      <w:r w:rsidR="00276722">
        <w:rPr>
          <w:rFonts w:ascii="Times New Roman" w:eastAsia="Times New Roman" w:hAnsi="Times New Roman" w:cs="Times New Roman"/>
          <w:sz w:val="24"/>
        </w:rPr>
        <w:t xml:space="preserve">with life as </w:t>
      </w:r>
      <w:r w:rsidR="009F0DEE">
        <w:rPr>
          <w:rFonts w:ascii="Times New Roman" w:eastAsia="Times New Roman" w:hAnsi="Times New Roman" w:cs="Times New Roman"/>
          <w:sz w:val="24"/>
        </w:rPr>
        <w:t>immigration</w:t>
      </w:r>
      <w:r w:rsidR="00276722">
        <w:rPr>
          <w:rFonts w:ascii="Times New Roman" w:eastAsia="Times New Roman" w:hAnsi="Times New Roman" w:cs="Times New Roman"/>
          <w:sz w:val="24"/>
        </w:rPr>
        <w:t xml:space="preserve"> increases in their local authority, </w:t>
      </w:r>
      <w:r w:rsidR="009F0DEE">
        <w:rPr>
          <w:rFonts w:ascii="Times New Roman" w:eastAsia="Times New Roman" w:hAnsi="Times New Roman" w:cs="Times New Roman"/>
          <w:sz w:val="24"/>
        </w:rPr>
        <w:t>while old peo</w:t>
      </w:r>
      <w:r w:rsidR="007920B6">
        <w:rPr>
          <w:rFonts w:ascii="Times New Roman" w:eastAsia="Times New Roman" w:hAnsi="Times New Roman" w:cs="Times New Roman"/>
          <w:sz w:val="24"/>
        </w:rPr>
        <w:t>ple become less</w:t>
      </w:r>
      <w:r w:rsidR="00276722">
        <w:rPr>
          <w:rFonts w:ascii="Times New Roman" w:eastAsia="Times New Roman" w:hAnsi="Times New Roman" w:cs="Times New Roman"/>
          <w:sz w:val="24"/>
        </w:rPr>
        <w:t xml:space="preserve"> satisfied</w:t>
      </w:r>
      <w:r w:rsidR="00024D18">
        <w:rPr>
          <w:rFonts w:ascii="Times New Roman" w:eastAsia="Times New Roman" w:hAnsi="Times New Roman" w:cs="Times New Roman"/>
          <w:sz w:val="24"/>
        </w:rPr>
        <w:t>.</w:t>
      </w:r>
    </w:p>
    <w:p w14:paraId="61769524" w14:textId="77777777" w:rsidR="005739A1" w:rsidRDefault="005739A1" w:rsidP="0027251E">
      <w:pPr>
        <w:spacing w:after="0" w:line="480" w:lineRule="auto"/>
        <w:rPr>
          <w:rFonts w:ascii="Times New Roman" w:eastAsia="Times New Roman" w:hAnsi="Times New Roman" w:cs="Times New Roman"/>
          <w:sz w:val="24"/>
        </w:rPr>
      </w:pPr>
    </w:p>
    <w:p w14:paraId="1D446FF4" w14:textId="41344A29" w:rsidR="0027251E" w:rsidRPr="004E5B41" w:rsidRDefault="009F0DEE" w:rsidP="0027251E">
      <w:pPr>
        <w:spacing w:after="0" w:line="480" w:lineRule="auto"/>
        <w:rPr>
          <w:rFonts w:ascii="Times New Roman" w:eastAsia="Times New Roman" w:hAnsi="Times New Roman" w:cs="Times New Roman"/>
          <w:sz w:val="24"/>
        </w:rPr>
      </w:pPr>
      <w:r w:rsidRPr="004E5B41">
        <w:rPr>
          <w:rFonts w:ascii="Times New Roman" w:eastAsia="Times New Roman" w:hAnsi="Times New Roman" w:cs="Times New Roman"/>
          <w:sz w:val="24"/>
        </w:rPr>
        <w:t>Estimating the model for the two time periods reveals that this finding is driven by the initial</w:t>
      </w:r>
      <w:r w:rsidR="00ED3BA9" w:rsidRPr="004E5B41">
        <w:rPr>
          <w:rFonts w:ascii="Times New Roman" w:eastAsia="Times New Roman" w:hAnsi="Times New Roman" w:cs="Times New Roman"/>
          <w:sz w:val="24"/>
        </w:rPr>
        <w:t xml:space="preserve"> </w:t>
      </w:r>
      <w:r w:rsidR="007920B6" w:rsidRPr="004E5B41">
        <w:rPr>
          <w:rFonts w:ascii="Times New Roman" w:eastAsia="Times New Roman" w:hAnsi="Times New Roman" w:cs="Times New Roman"/>
          <w:sz w:val="24"/>
        </w:rPr>
        <w:t xml:space="preserve">2004-2005 </w:t>
      </w:r>
      <w:r w:rsidR="00B71FEA" w:rsidRPr="004E5B41">
        <w:rPr>
          <w:rFonts w:ascii="Times New Roman" w:eastAsia="Times New Roman" w:hAnsi="Times New Roman" w:cs="Times New Roman"/>
          <w:sz w:val="24"/>
        </w:rPr>
        <w:t>‘</w:t>
      </w:r>
      <w:r w:rsidR="00ED3BA9" w:rsidRPr="004E5B41">
        <w:rPr>
          <w:rFonts w:ascii="Times New Roman" w:eastAsia="Times New Roman" w:hAnsi="Times New Roman" w:cs="Times New Roman"/>
          <w:sz w:val="24"/>
        </w:rPr>
        <w:t>migra</w:t>
      </w:r>
      <w:r w:rsidR="004313F9" w:rsidRPr="004E5B41">
        <w:rPr>
          <w:rFonts w:ascii="Times New Roman" w:eastAsia="Times New Roman" w:hAnsi="Times New Roman" w:cs="Times New Roman"/>
          <w:sz w:val="24"/>
        </w:rPr>
        <w:t>tion</w:t>
      </w:r>
      <w:r w:rsidR="00B71FEA" w:rsidRPr="004E5B41">
        <w:rPr>
          <w:rFonts w:ascii="Times New Roman" w:eastAsia="Times New Roman" w:hAnsi="Times New Roman" w:cs="Times New Roman"/>
          <w:sz w:val="24"/>
        </w:rPr>
        <w:t xml:space="preserve"> shock’</w:t>
      </w:r>
      <w:r w:rsidR="00056C61" w:rsidRPr="004E5B41">
        <w:rPr>
          <w:rFonts w:ascii="Times New Roman" w:eastAsia="Times New Roman" w:hAnsi="Times New Roman" w:cs="Times New Roman"/>
          <w:sz w:val="24"/>
        </w:rPr>
        <w:t xml:space="preserve"> (column </w:t>
      </w:r>
      <w:r w:rsidR="00747D11" w:rsidRPr="004E5B41">
        <w:rPr>
          <w:rFonts w:ascii="Times New Roman" w:eastAsia="Times New Roman" w:hAnsi="Times New Roman" w:cs="Times New Roman"/>
          <w:sz w:val="24"/>
        </w:rPr>
        <w:t>2</w:t>
      </w:r>
      <w:r w:rsidR="00056C61" w:rsidRPr="004E5B41">
        <w:rPr>
          <w:rFonts w:ascii="Times New Roman" w:eastAsia="Times New Roman" w:hAnsi="Times New Roman" w:cs="Times New Roman"/>
          <w:sz w:val="24"/>
        </w:rPr>
        <w:t xml:space="preserve"> of </w:t>
      </w:r>
      <w:r w:rsidR="00DF72C2" w:rsidRPr="004E5B41">
        <w:rPr>
          <w:rFonts w:ascii="Times New Roman" w:eastAsia="Times New Roman" w:hAnsi="Times New Roman" w:cs="Times New Roman"/>
          <w:sz w:val="24"/>
        </w:rPr>
        <w:t>panel A in</w:t>
      </w:r>
      <w:r w:rsidR="00747D11" w:rsidRPr="004E5B41">
        <w:rPr>
          <w:rFonts w:ascii="Times New Roman" w:eastAsia="Times New Roman" w:hAnsi="Times New Roman" w:cs="Times New Roman"/>
          <w:sz w:val="24"/>
        </w:rPr>
        <w:t xml:space="preserve"> Table 2</w:t>
      </w:r>
      <w:r w:rsidR="00056C61" w:rsidRPr="004E5B41">
        <w:rPr>
          <w:rFonts w:ascii="Times New Roman" w:eastAsia="Times New Roman" w:hAnsi="Times New Roman" w:cs="Times New Roman"/>
          <w:sz w:val="24"/>
        </w:rPr>
        <w:t xml:space="preserve">), while </w:t>
      </w:r>
      <w:r w:rsidR="00E06E33" w:rsidRPr="004E5B41">
        <w:rPr>
          <w:rFonts w:ascii="Times New Roman" w:eastAsia="Times New Roman" w:hAnsi="Times New Roman" w:cs="Times New Roman"/>
          <w:sz w:val="24"/>
        </w:rPr>
        <w:t>the</w:t>
      </w:r>
      <w:r w:rsidR="00C50B7A" w:rsidRPr="004E5B41">
        <w:rPr>
          <w:rFonts w:ascii="Times New Roman" w:eastAsia="Times New Roman" w:hAnsi="Times New Roman" w:cs="Times New Roman"/>
          <w:sz w:val="24"/>
        </w:rPr>
        <w:t xml:space="preserve"> coefficients </w:t>
      </w:r>
      <w:r w:rsidR="00ED3BA9" w:rsidRPr="004E5B41">
        <w:rPr>
          <w:rFonts w:ascii="Times New Roman" w:eastAsia="Times New Roman" w:hAnsi="Times New Roman" w:cs="Times New Roman"/>
          <w:sz w:val="24"/>
        </w:rPr>
        <w:t xml:space="preserve">of interest </w:t>
      </w:r>
      <w:r w:rsidR="00C50B7A" w:rsidRPr="004E5B41">
        <w:rPr>
          <w:rFonts w:ascii="Times New Roman" w:eastAsia="Times New Roman" w:hAnsi="Times New Roman" w:cs="Times New Roman"/>
          <w:sz w:val="24"/>
        </w:rPr>
        <w:t xml:space="preserve">are </w:t>
      </w:r>
      <w:r w:rsidRPr="004E5B41">
        <w:rPr>
          <w:rFonts w:ascii="Times New Roman" w:eastAsia="Times New Roman" w:hAnsi="Times New Roman" w:cs="Times New Roman"/>
          <w:sz w:val="24"/>
        </w:rPr>
        <w:t>insignificant</w:t>
      </w:r>
      <w:r w:rsidR="00C50B7A" w:rsidRPr="004E5B41">
        <w:rPr>
          <w:rFonts w:ascii="Times New Roman" w:eastAsia="Times New Roman" w:hAnsi="Times New Roman" w:cs="Times New Roman"/>
          <w:sz w:val="24"/>
        </w:rPr>
        <w:t xml:space="preserve"> </w:t>
      </w:r>
      <w:r w:rsidR="007920B6" w:rsidRPr="004E5B41">
        <w:rPr>
          <w:rFonts w:ascii="Times New Roman" w:eastAsia="Times New Roman" w:hAnsi="Times New Roman" w:cs="Times New Roman"/>
          <w:sz w:val="24"/>
        </w:rPr>
        <w:t>for</w:t>
      </w:r>
      <w:r w:rsidR="005C3945" w:rsidRPr="004E5B41">
        <w:rPr>
          <w:rFonts w:ascii="Times New Roman" w:eastAsia="Times New Roman" w:hAnsi="Times New Roman" w:cs="Times New Roman"/>
          <w:sz w:val="24"/>
        </w:rPr>
        <w:t xml:space="preserve"> 2006-2008</w:t>
      </w:r>
      <w:r w:rsidR="00056C61" w:rsidRPr="004E5B41">
        <w:rPr>
          <w:rFonts w:ascii="Times New Roman" w:eastAsia="Times New Roman" w:hAnsi="Times New Roman" w:cs="Times New Roman"/>
          <w:sz w:val="24"/>
        </w:rPr>
        <w:t xml:space="preserve"> (column </w:t>
      </w:r>
      <w:r w:rsidR="00747D11" w:rsidRPr="004E5B41">
        <w:rPr>
          <w:rFonts w:ascii="Times New Roman" w:eastAsia="Times New Roman" w:hAnsi="Times New Roman" w:cs="Times New Roman"/>
          <w:sz w:val="24"/>
        </w:rPr>
        <w:t>3</w:t>
      </w:r>
      <w:r w:rsidR="000A1D15">
        <w:rPr>
          <w:rFonts w:ascii="Times New Roman" w:eastAsia="Times New Roman" w:hAnsi="Times New Roman" w:cs="Times New Roman"/>
          <w:sz w:val="24"/>
        </w:rPr>
        <w:t xml:space="preserve"> </w:t>
      </w:r>
      <w:r w:rsidR="000A1D15" w:rsidRPr="004E5B41">
        <w:rPr>
          <w:rFonts w:ascii="Times New Roman" w:eastAsia="Times New Roman" w:hAnsi="Times New Roman" w:cs="Times New Roman"/>
          <w:sz w:val="24"/>
        </w:rPr>
        <w:t>of panel A in Table 2</w:t>
      </w:r>
      <w:r w:rsidR="00056C61" w:rsidRPr="004E5B41">
        <w:rPr>
          <w:rFonts w:ascii="Times New Roman" w:eastAsia="Times New Roman" w:hAnsi="Times New Roman" w:cs="Times New Roman"/>
          <w:sz w:val="24"/>
        </w:rPr>
        <w:t>)</w:t>
      </w:r>
      <w:r w:rsidR="005C3945" w:rsidRPr="004E5B41">
        <w:rPr>
          <w:rFonts w:ascii="Times New Roman" w:eastAsia="Times New Roman" w:hAnsi="Times New Roman" w:cs="Times New Roman"/>
          <w:sz w:val="24"/>
        </w:rPr>
        <w:t>. This makes intuitive sense, since a large change in migration</w:t>
      </w:r>
      <w:r w:rsidR="00ED3BA9" w:rsidRPr="004E5B41">
        <w:rPr>
          <w:rFonts w:ascii="Times New Roman" w:eastAsia="Times New Roman" w:hAnsi="Times New Roman" w:cs="Times New Roman"/>
          <w:sz w:val="24"/>
        </w:rPr>
        <w:t xml:space="preserve">, like the one that took place between 2003 and 2005, </w:t>
      </w:r>
      <w:r w:rsidR="005C3945" w:rsidRPr="004E5B41">
        <w:rPr>
          <w:rFonts w:ascii="Times New Roman" w:eastAsia="Times New Roman" w:hAnsi="Times New Roman" w:cs="Times New Roman"/>
          <w:sz w:val="24"/>
        </w:rPr>
        <w:t xml:space="preserve">is generally needed for an effect to be </w:t>
      </w:r>
      <w:r w:rsidR="00ED3BA9" w:rsidRPr="004E5B41">
        <w:rPr>
          <w:rFonts w:ascii="Times New Roman" w:eastAsia="Times New Roman" w:hAnsi="Times New Roman" w:cs="Times New Roman"/>
          <w:sz w:val="24"/>
        </w:rPr>
        <w:t xml:space="preserve">more accurately </w:t>
      </w:r>
      <w:r w:rsidR="005C3945" w:rsidRPr="004E5B41">
        <w:rPr>
          <w:rFonts w:ascii="Times New Roman" w:eastAsia="Times New Roman" w:hAnsi="Times New Roman" w:cs="Times New Roman"/>
          <w:sz w:val="24"/>
        </w:rPr>
        <w:t>identified.</w:t>
      </w:r>
      <w:r w:rsidR="00717F7B">
        <w:rPr>
          <w:rStyle w:val="FootnoteReference"/>
          <w:rFonts w:ascii="Times New Roman" w:eastAsia="Times New Roman" w:hAnsi="Times New Roman" w:cs="Times New Roman"/>
          <w:sz w:val="24"/>
        </w:rPr>
        <w:footnoteReference w:id="15"/>
      </w:r>
      <w:r w:rsidR="005C3945" w:rsidRPr="004E5B41">
        <w:rPr>
          <w:rFonts w:ascii="Times New Roman" w:eastAsia="Times New Roman" w:hAnsi="Times New Roman" w:cs="Times New Roman"/>
          <w:sz w:val="24"/>
        </w:rPr>
        <w:t xml:space="preserve"> </w:t>
      </w:r>
    </w:p>
    <w:p w14:paraId="6587B05D" w14:textId="77777777" w:rsidR="00D772BF" w:rsidRPr="004E5B41" w:rsidRDefault="00D772BF" w:rsidP="0027251E">
      <w:pPr>
        <w:spacing w:after="0" w:line="480" w:lineRule="auto"/>
        <w:rPr>
          <w:rFonts w:ascii="Times New Roman" w:eastAsia="Times New Roman" w:hAnsi="Times New Roman" w:cs="Times New Roman"/>
          <w:sz w:val="24"/>
        </w:rPr>
      </w:pPr>
    </w:p>
    <w:p w14:paraId="2185DFFD" w14:textId="77777777" w:rsidR="00D772BF" w:rsidRPr="004E5B41" w:rsidRDefault="00D772BF" w:rsidP="00D772BF">
      <w:pPr>
        <w:spacing w:after="0" w:line="480" w:lineRule="auto"/>
        <w:jc w:val="center"/>
        <w:rPr>
          <w:rFonts w:ascii="Times New Roman" w:eastAsia="Times New Roman" w:hAnsi="Times New Roman" w:cs="Times New Roman"/>
          <w:sz w:val="24"/>
        </w:rPr>
      </w:pPr>
      <w:r w:rsidRPr="004E5B41">
        <w:rPr>
          <w:rFonts w:ascii="Times New Roman" w:eastAsia="Times New Roman" w:hAnsi="Times New Roman" w:cs="Times New Roman"/>
          <w:sz w:val="24"/>
        </w:rPr>
        <w:t>[Table 2 about here]</w:t>
      </w:r>
    </w:p>
    <w:p w14:paraId="27EEBE95" w14:textId="77777777" w:rsidR="0027251E" w:rsidRPr="004B2292" w:rsidRDefault="0027251E" w:rsidP="0027251E">
      <w:pPr>
        <w:spacing w:after="0" w:line="480" w:lineRule="auto"/>
        <w:rPr>
          <w:rFonts w:ascii="Times New Roman" w:eastAsia="Times New Roman" w:hAnsi="Times New Roman" w:cs="Times New Roman"/>
          <w:sz w:val="24"/>
        </w:rPr>
      </w:pPr>
    </w:p>
    <w:p w14:paraId="7EAB211B" w14:textId="77777777" w:rsidR="000A1D15" w:rsidRDefault="00351A1D" w:rsidP="000A1D15">
      <w:pPr>
        <w:spacing w:after="0" w:line="480" w:lineRule="auto"/>
        <w:rPr>
          <w:rFonts w:ascii="Times New Roman" w:eastAsia="Times New Roman" w:hAnsi="Times New Roman" w:cs="Times New Roman"/>
          <w:sz w:val="24"/>
        </w:rPr>
      </w:pPr>
      <w:r w:rsidRPr="004B2292">
        <w:rPr>
          <w:rFonts w:ascii="Times New Roman" w:eastAsia="Times New Roman" w:hAnsi="Times New Roman" w:cs="Times New Roman"/>
          <w:sz w:val="24"/>
        </w:rPr>
        <w:t>To get a clearer idea of the direction and size of the estimated relationships</w:t>
      </w:r>
      <w:r w:rsidR="00FE0BB5" w:rsidRPr="004B2292">
        <w:rPr>
          <w:rFonts w:ascii="Times New Roman" w:eastAsia="Times New Roman" w:hAnsi="Times New Roman" w:cs="Times New Roman"/>
          <w:sz w:val="24"/>
        </w:rPr>
        <w:t xml:space="preserve">, </w:t>
      </w:r>
      <w:r w:rsidR="004B2292" w:rsidRPr="004B2292">
        <w:rPr>
          <w:rFonts w:ascii="Times New Roman" w:eastAsia="Times New Roman" w:hAnsi="Times New Roman" w:cs="Times New Roman"/>
          <w:sz w:val="24"/>
        </w:rPr>
        <w:t xml:space="preserve">Panel 1 of Figure 2 plots </w:t>
      </w:r>
      <w:r w:rsidR="004B2292">
        <w:rPr>
          <w:rFonts w:ascii="Times New Roman" w:eastAsia="Times New Roman" w:hAnsi="Times New Roman" w:cs="Times New Roman"/>
          <w:sz w:val="24"/>
        </w:rPr>
        <w:t xml:space="preserve">the </w:t>
      </w:r>
      <w:r w:rsidR="0007415E" w:rsidRPr="004B2292">
        <w:rPr>
          <w:rFonts w:ascii="Times New Roman" w:eastAsia="Times New Roman" w:hAnsi="Times New Roman" w:cs="Times New Roman"/>
          <w:sz w:val="24"/>
        </w:rPr>
        <w:t>predicted life satisfaction as a function of the local immigration rate</w:t>
      </w:r>
      <w:r w:rsidR="00072D1F" w:rsidRPr="004B2292">
        <w:rPr>
          <w:rFonts w:ascii="Times New Roman" w:eastAsia="Times New Roman" w:hAnsi="Times New Roman" w:cs="Times New Roman"/>
          <w:sz w:val="24"/>
        </w:rPr>
        <w:t xml:space="preserve"> (ranging from 0% to the maxi</w:t>
      </w:r>
      <w:r w:rsidR="004B2292" w:rsidRPr="004B2292">
        <w:rPr>
          <w:rFonts w:ascii="Times New Roman" w:eastAsia="Times New Roman" w:hAnsi="Times New Roman" w:cs="Times New Roman"/>
          <w:sz w:val="24"/>
        </w:rPr>
        <w:t xml:space="preserve">mum value observed in the data, </w:t>
      </w:r>
      <w:r w:rsidR="00072D1F" w:rsidRPr="004B2292">
        <w:rPr>
          <w:rFonts w:ascii="Times New Roman" w:eastAsia="Times New Roman" w:hAnsi="Times New Roman" w:cs="Times New Roman"/>
          <w:sz w:val="24"/>
        </w:rPr>
        <w:t>5.65</w:t>
      </w:r>
      <w:r w:rsidR="004B2292" w:rsidRPr="004B2292">
        <w:rPr>
          <w:rFonts w:ascii="Times New Roman" w:eastAsia="Times New Roman" w:hAnsi="Times New Roman" w:cs="Times New Roman"/>
          <w:sz w:val="24"/>
        </w:rPr>
        <w:t>%</w:t>
      </w:r>
      <w:r w:rsidR="00072D1F" w:rsidRPr="004B2292">
        <w:rPr>
          <w:rFonts w:ascii="Times New Roman" w:eastAsia="Times New Roman" w:hAnsi="Times New Roman" w:cs="Times New Roman"/>
          <w:sz w:val="24"/>
        </w:rPr>
        <w:t>)</w:t>
      </w:r>
      <w:r w:rsidR="0007415E" w:rsidRPr="004B2292">
        <w:rPr>
          <w:rFonts w:ascii="Times New Roman" w:eastAsia="Times New Roman" w:hAnsi="Times New Roman" w:cs="Times New Roman"/>
          <w:sz w:val="24"/>
        </w:rPr>
        <w:t xml:space="preserve"> for respondents aged 20, 55</w:t>
      </w:r>
      <w:r w:rsidR="004B2292" w:rsidRPr="004B2292">
        <w:rPr>
          <w:rFonts w:ascii="Times New Roman" w:eastAsia="Times New Roman" w:hAnsi="Times New Roman" w:cs="Times New Roman"/>
          <w:sz w:val="24"/>
        </w:rPr>
        <w:t xml:space="preserve"> (the age-turning point</w:t>
      </w:r>
      <w:r w:rsidR="000A1D15">
        <w:rPr>
          <w:rFonts w:ascii="Times New Roman" w:eastAsia="Times New Roman" w:hAnsi="Times New Roman" w:cs="Times New Roman"/>
          <w:sz w:val="24"/>
        </w:rPr>
        <w:t xml:space="preserve"> at which the relationship between the migrant inflow rate and life satisfaction turns from positive to negative </w:t>
      </w:r>
      <w:r w:rsidR="004B2292" w:rsidRPr="004B2292">
        <w:rPr>
          <w:rFonts w:ascii="Times New Roman" w:eastAsia="Times New Roman" w:hAnsi="Times New Roman" w:cs="Times New Roman"/>
          <w:sz w:val="24"/>
        </w:rPr>
        <w:t>for the 2003-2005 specification)</w:t>
      </w:r>
      <w:r w:rsidR="0007415E" w:rsidRPr="004B2292">
        <w:rPr>
          <w:rFonts w:ascii="Times New Roman" w:eastAsia="Times New Roman" w:hAnsi="Times New Roman" w:cs="Times New Roman"/>
          <w:sz w:val="24"/>
        </w:rPr>
        <w:t xml:space="preserve"> and 80, based on </w:t>
      </w:r>
      <w:r w:rsidR="00415157" w:rsidRPr="004B2292">
        <w:rPr>
          <w:rFonts w:ascii="Times New Roman" w:eastAsia="Times New Roman" w:hAnsi="Times New Roman" w:cs="Times New Roman"/>
          <w:sz w:val="24"/>
        </w:rPr>
        <w:t xml:space="preserve">the </w:t>
      </w:r>
      <w:r w:rsidR="0007415E" w:rsidRPr="004B2292">
        <w:rPr>
          <w:rFonts w:ascii="Times New Roman" w:eastAsia="Times New Roman" w:hAnsi="Times New Roman" w:cs="Times New Roman"/>
          <w:sz w:val="24"/>
        </w:rPr>
        <w:t xml:space="preserve">2003-2005 </w:t>
      </w:r>
      <w:r w:rsidR="004B2292" w:rsidRPr="004B2292">
        <w:rPr>
          <w:rFonts w:ascii="Times New Roman" w:eastAsia="Times New Roman" w:hAnsi="Times New Roman" w:cs="Times New Roman"/>
          <w:sz w:val="24"/>
        </w:rPr>
        <w:t>results</w:t>
      </w:r>
      <w:r w:rsidR="0007415E" w:rsidRPr="004B2292">
        <w:rPr>
          <w:rFonts w:ascii="Times New Roman" w:eastAsia="Times New Roman" w:hAnsi="Times New Roman" w:cs="Times New Roman"/>
          <w:sz w:val="24"/>
        </w:rPr>
        <w:t xml:space="preserve"> (</w:t>
      </w:r>
      <w:r w:rsidR="004B2292" w:rsidRPr="004B2292">
        <w:rPr>
          <w:rFonts w:ascii="Times New Roman" w:eastAsia="Times New Roman" w:hAnsi="Times New Roman" w:cs="Times New Roman"/>
          <w:sz w:val="24"/>
        </w:rPr>
        <w:t>column 2 of panel A in Table 2</w:t>
      </w:r>
      <w:r w:rsidRPr="004B2292">
        <w:rPr>
          <w:rFonts w:ascii="Times New Roman" w:eastAsia="Times New Roman" w:hAnsi="Times New Roman" w:cs="Times New Roman"/>
          <w:sz w:val="24"/>
        </w:rPr>
        <w:t>).</w:t>
      </w:r>
      <w:r w:rsidR="0007415E" w:rsidRPr="004B2292">
        <w:rPr>
          <w:rFonts w:ascii="Times New Roman" w:eastAsia="Times New Roman" w:hAnsi="Times New Roman" w:cs="Times New Roman"/>
          <w:sz w:val="24"/>
        </w:rPr>
        <w:t xml:space="preserve"> </w:t>
      </w:r>
      <w:r w:rsidR="004B2292">
        <w:rPr>
          <w:rFonts w:ascii="Times New Roman" w:eastAsia="Times New Roman" w:hAnsi="Times New Roman" w:cs="Times New Roman"/>
          <w:sz w:val="24"/>
        </w:rPr>
        <w:t>Predicted</w:t>
      </w:r>
      <w:r w:rsidRPr="004B2292">
        <w:rPr>
          <w:rFonts w:ascii="Times New Roman" w:eastAsia="Times New Roman" w:hAnsi="Times New Roman" w:cs="Times New Roman"/>
          <w:sz w:val="24"/>
        </w:rPr>
        <w:t xml:space="preserve"> life satisfaction increases with the local immigration rate for a 20-years old and decreases with the local immigration rate for an 80-years old, while for someone aged 55 it </w:t>
      </w:r>
      <w:r w:rsidR="004B2292">
        <w:rPr>
          <w:rFonts w:ascii="Times New Roman" w:eastAsia="Times New Roman" w:hAnsi="Times New Roman" w:cs="Times New Roman"/>
          <w:sz w:val="24"/>
        </w:rPr>
        <w:t xml:space="preserve">is essentially a straight line. </w:t>
      </w:r>
      <w:r w:rsidR="0007415E" w:rsidRPr="004B2292">
        <w:rPr>
          <w:rFonts w:ascii="Times New Roman" w:eastAsia="Times New Roman" w:hAnsi="Times New Roman" w:cs="Times New Roman"/>
          <w:sz w:val="24"/>
        </w:rPr>
        <w:t>Additional calculations suggest that, f</w:t>
      </w:r>
      <w:r w:rsidR="00FE0BB5" w:rsidRPr="004B2292">
        <w:rPr>
          <w:rFonts w:ascii="Times New Roman" w:eastAsia="Times New Roman" w:hAnsi="Times New Roman" w:cs="Times New Roman"/>
          <w:sz w:val="24"/>
        </w:rPr>
        <w:t xml:space="preserve">or a 20-year old UK native living in England or Wales in 2005, an increase in the migrant inflow rate in her local authority from zero to the maximum value observed in the data (5.65%) </w:t>
      </w:r>
      <w:r w:rsidR="004B2292">
        <w:rPr>
          <w:rFonts w:ascii="Times New Roman" w:eastAsia="Times New Roman" w:hAnsi="Times New Roman" w:cs="Times New Roman"/>
          <w:sz w:val="24"/>
        </w:rPr>
        <w:t>is associated with</w:t>
      </w:r>
      <w:r w:rsidR="00FE0BB5" w:rsidRPr="004B2292">
        <w:rPr>
          <w:rFonts w:ascii="Times New Roman" w:eastAsia="Times New Roman" w:hAnsi="Times New Roman" w:cs="Times New Roman"/>
          <w:sz w:val="24"/>
        </w:rPr>
        <w:t xml:space="preserve"> an </w:t>
      </w:r>
      <w:r w:rsidR="00FE0BB5" w:rsidRPr="004B2292">
        <w:rPr>
          <w:rFonts w:ascii="Times New Roman" w:eastAsia="Times New Roman" w:hAnsi="Times New Roman" w:cs="Times New Roman"/>
          <w:i/>
          <w:sz w:val="24"/>
        </w:rPr>
        <w:t>increase</w:t>
      </w:r>
      <w:r w:rsidR="00FE0BB5" w:rsidRPr="004B2292">
        <w:rPr>
          <w:rFonts w:ascii="Times New Roman" w:eastAsia="Times New Roman" w:hAnsi="Times New Roman" w:cs="Times New Roman"/>
          <w:sz w:val="24"/>
        </w:rPr>
        <w:t xml:space="preserve"> in</w:t>
      </w:r>
      <w:r w:rsidR="00225041" w:rsidRPr="004B2292">
        <w:rPr>
          <w:rFonts w:ascii="Times New Roman" w:eastAsia="Times New Roman" w:hAnsi="Times New Roman" w:cs="Times New Roman"/>
          <w:sz w:val="24"/>
        </w:rPr>
        <w:t xml:space="preserve"> life satisfaction equal to 0.62</w:t>
      </w:r>
      <w:r w:rsidR="00FE0BB5" w:rsidRPr="004B2292">
        <w:rPr>
          <w:rFonts w:ascii="Times New Roman" w:eastAsia="Times New Roman" w:hAnsi="Times New Roman" w:cs="Times New Roman"/>
          <w:sz w:val="24"/>
        </w:rPr>
        <w:t xml:space="preserve"> of its standard deviation</w:t>
      </w:r>
      <w:r w:rsidR="003842CB" w:rsidRPr="004B2292">
        <w:rPr>
          <w:rFonts w:ascii="Times New Roman" w:eastAsia="Times New Roman" w:hAnsi="Times New Roman" w:cs="Times New Roman"/>
          <w:sz w:val="24"/>
        </w:rPr>
        <w:t xml:space="preserve">, </w:t>
      </w:r>
      <w:r w:rsidR="003842CB" w:rsidRPr="004B2292">
        <w:rPr>
          <w:rFonts w:ascii="Times New Roman" w:eastAsia="Times New Roman" w:hAnsi="Times New Roman" w:cs="Times New Roman"/>
          <w:i/>
          <w:sz w:val="24"/>
        </w:rPr>
        <w:t>ceteris paribus</w:t>
      </w:r>
      <w:r w:rsidR="00FE0BB5" w:rsidRPr="004B2292">
        <w:rPr>
          <w:rFonts w:ascii="Times New Roman" w:eastAsia="Times New Roman" w:hAnsi="Times New Roman" w:cs="Times New Roman"/>
          <w:sz w:val="24"/>
        </w:rPr>
        <w:t xml:space="preserve">. </w:t>
      </w:r>
      <w:r w:rsidR="00704518" w:rsidRPr="004B2292">
        <w:rPr>
          <w:rFonts w:ascii="Times New Roman" w:eastAsia="Times New Roman" w:hAnsi="Times New Roman" w:cs="Times New Roman"/>
          <w:sz w:val="24"/>
        </w:rPr>
        <w:t>The same increase in the</w:t>
      </w:r>
      <w:r w:rsidR="00FE0BB5" w:rsidRPr="004B2292">
        <w:rPr>
          <w:rFonts w:ascii="Times New Roman" w:eastAsia="Times New Roman" w:hAnsi="Times New Roman" w:cs="Times New Roman"/>
          <w:sz w:val="24"/>
        </w:rPr>
        <w:t xml:space="preserve"> migrant inflow </w:t>
      </w:r>
      <w:r w:rsidR="004B2292">
        <w:rPr>
          <w:rFonts w:ascii="Times New Roman" w:eastAsia="Times New Roman" w:hAnsi="Times New Roman" w:cs="Times New Roman"/>
          <w:sz w:val="24"/>
        </w:rPr>
        <w:t xml:space="preserve">rate is associated with </w:t>
      </w:r>
      <w:r w:rsidR="00FE0BB5" w:rsidRPr="004B2292">
        <w:rPr>
          <w:rFonts w:ascii="Times New Roman" w:eastAsia="Times New Roman" w:hAnsi="Times New Roman" w:cs="Times New Roman"/>
          <w:sz w:val="24"/>
        </w:rPr>
        <w:t xml:space="preserve">a </w:t>
      </w:r>
      <w:r w:rsidR="00FE0BB5" w:rsidRPr="004B2292">
        <w:rPr>
          <w:rFonts w:ascii="Times New Roman" w:eastAsia="Times New Roman" w:hAnsi="Times New Roman" w:cs="Times New Roman"/>
          <w:i/>
          <w:sz w:val="24"/>
        </w:rPr>
        <w:t>decrease</w:t>
      </w:r>
      <w:r w:rsidR="00FE0BB5" w:rsidRPr="004B2292">
        <w:rPr>
          <w:rFonts w:ascii="Times New Roman" w:eastAsia="Times New Roman" w:hAnsi="Times New Roman" w:cs="Times New Roman"/>
          <w:sz w:val="24"/>
        </w:rPr>
        <w:t xml:space="preserve"> </w:t>
      </w:r>
      <w:r w:rsidR="00704518" w:rsidRPr="004B2292">
        <w:rPr>
          <w:rFonts w:ascii="Times New Roman" w:eastAsia="Times New Roman" w:hAnsi="Times New Roman" w:cs="Times New Roman"/>
          <w:sz w:val="24"/>
        </w:rPr>
        <w:t>in life satisfaction equal to</w:t>
      </w:r>
      <w:r w:rsidR="00FE0BB5" w:rsidRPr="004B2292">
        <w:rPr>
          <w:rFonts w:ascii="Times New Roman" w:eastAsia="Times New Roman" w:hAnsi="Times New Roman" w:cs="Times New Roman"/>
          <w:sz w:val="24"/>
        </w:rPr>
        <w:t xml:space="preserve"> </w:t>
      </w:r>
      <w:r w:rsidR="00704518" w:rsidRPr="004B2292">
        <w:rPr>
          <w:rFonts w:ascii="Times New Roman" w:eastAsia="Times New Roman" w:hAnsi="Times New Roman" w:cs="Times New Roman"/>
          <w:sz w:val="24"/>
        </w:rPr>
        <w:t xml:space="preserve">0.44 of its </w:t>
      </w:r>
      <w:r w:rsidR="00FE0BB5" w:rsidRPr="004B2292">
        <w:rPr>
          <w:rFonts w:ascii="Times New Roman" w:eastAsia="Times New Roman" w:hAnsi="Times New Roman" w:cs="Times New Roman"/>
          <w:sz w:val="24"/>
        </w:rPr>
        <w:t>standard deviation for a</w:t>
      </w:r>
      <w:r w:rsidR="00704518" w:rsidRPr="004B2292">
        <w:rPr>
          <w:rFonts w:ascii="Times New Roman" w:eastAsia="Times New Roman" w:hAnsi="Times New Roman" w:cs="Times New Roman"/>
          <w:sz w:val="24"/>
        </w:rPr>
        <w:t xml:space="preserve">n </w:t>
      </w:r>
      <w:r w:rsidR="00135B4B" w:rsidRPr="004B2292">
        <w:rPr>
          <w:rFonts w:ascii="Times New Roman" w:eastAsia="Times New Roman" w:hAnsi="Times New Roman" w:cs="Times New Roman"/>
          <w:sz w:val="24"/>
        </w:rPr>
        <w:t>8</w:t>
      </w:r>
      <w:r w:rsidR="00EB762B" w:rsidRPr="004B2292">
        <w:rPr>
          <w:rFonts w:ascii="Times New Roman" w:eastAsia="Times New Roman" w:hAnsi="Times New Roman" w:cs="Times New Roman"/>
          <w:sz w:val="24"/>
        </w:rPr>
        <w:t>0</w:t>
      </w:r>
      <w:r w:rsidR="00FE0BB5" w:rsidRPr="004B2292">
        <w:rPr>
          <w:rFonts w:ascii="Times New Roman" w:eastAsia="Times New Roman" w:hAnsi="Times New Roman" w:cs="Times New Roman"/>
          <w:sz w:val="24"/>
        </w:rPr>
        <w:t>-year old</w:t>
      </w:r>
      <w:r w:rsidR="003842CB" w:rsidRPr="004B2292">
        <w:rPr>
          <w:rFonts w:ascii="Times New Roman" w:eastAsia="Times New Roman" w:hAnsi="Times New Roman" w:cs="Times New Roman"/>
          <w:sz w:val="24"/>
        </w:rPr>
        <w:t xml:space="preserve">, </w:t>
      </w:r>
      <w:r w:rsidR="003842CB" w:rsidRPr="004B2292">
        <w:rPr>
          <w:rFonts w:ascii="Times New Roman" w:eastAsia="Times New Roman" w:hAnsi="Times New Roman" w:cs="Times New Roman"/>
          <w:i/>
          <w:sz w:val="24"/>
        </w:rPr>
        <w:t>ceteris paribus</w:t>
      </w:r>
      <w:r w:rsidR="00FE0BB5" w:rsidRPr="004B2292">
        <w:rPr>
          <w:rFonts w:ascii="Times New Roman" w:eastAsia="Times New Roman" w:hAnsi="Times New Roman" w:cs="Times New Roman"/>
          <w:sz w:val="24"/>
        </w:rPr>
        <w:t>. These are substantial</w:t>
      </w:r>
      <w:r w:rsidR="003F6E71">
        <w:rPr>
          <w:rFonts w:ascii="Times New Roman" w:eastAsia="Times New Roman" w:hAnsi="Times New Roman" w:cs="Times New Roman"/>
          <w:sz w:val="24"/>
        </w:rPr>
        <w:t xml:space="preserve"> associations in size. </w:t>
      </w:r>
      <w:r w:rsidR="00FE0BB5" w:rsidRPr="004B2292">
        <w:rPr>
          <w:rFonts w:ascii="Times New Roman" w:eastAsia="Times New Roman" w:hAnsi="Times New Roman" w:cs="Times New Roman"/>
          <w:sz w:val="24"/>
        </w:rPr>
        <w:t xml:space="preserve">For comparison purposes, consider the </w:t>
      </w:r>
      <w:r w:rsidR="003F6E71">
        <w:rPr>
          <w:rFonts w:ascii="Times New Roman" w:eastAsia="Times New Roman" w:hAnsi="Times New Roman" w:cs="Times New Roman"/>
          <w:sz w:val="24"/>
        </w:rPr>
        <w:t xml:space="preserve">result we obtain for </w:t>
      </w:r>
      <w:r w:rsidR="00FE0BB5" w:rsidRPr="004B2292">
        <w:rPr>
          <w:rFonts w:ascii="Times New Roman" w:eastAsia="Times New Roman" w:hAnsi="Times New Roman" w:cs="Times New Roman"/>
          <w:sz w:val="24"/>
        </w:rPr>
        <w:t xml:space="preserve">one of the strongest (statistically and substantially) predictors of life satisfaction in our estimated equation – the subjective general health status of individuals. Based on our results, a person experiencing a deterioration of health from “excellent” (the highest health category) to “very poor” (the lowest health category) is estimated to expect a reduction of around </w:t>
      </w:r>
      <w:r w:rsidR="00EB762B" w:rsidRPr="004B2292">
        <w:rPr>
          <w:rFonts w:ascii="Times New Roman" w:eastAsia="Times New Roman" w:hAnsi="Times New Roman" w:cs="Times New Roman"/>
          <w:sz w:val="24"/>
        </w:rPr>
        <w:t>half its</w:t>
      </w:r>
      <w:r w:rsidR="003F6E71">
        <w:rPr>
          <w:rFonts w:ascii="Times New Roman" w:eastAsia="Times New Roman" w:hAnsi="Times New Roman" w:cs="Times New Roman"/>
          <w:sz w:val="24"/>
        </w:rPr>
        <w:t xml:space="preserve"> standard deviation</w:t>
      </w:r>
      <w:r w:rsidR="00FE0BB5" w:rsidRPr="004B2292">
        <w:rPr>
          <w:rFonts w:ascii="Times New Roman" w:eastAsia="Times New Roman" w:hAnsi="Times New Roman" w:cs="Times New Roman"/>
          <w:sz w:val="24"/>
        </w:rPr>
        <w:t xml:space="preserve"> in her well-being</w:t>
      </w:r>
      <w:r w:rsidR="003842CB" w:rsidRPr="004B2292">
        <w:rPr>
          <w:rFonts w:ascii="Times New Roman" w:eastAsia="Times New Roman" w:hAnsi="Times New Roman" w:cs="Times New Roman"/>
          <w:sz w:val="24"/>
        </w:rPr>
        <w:t xml:space="preserve">, </w:t>
      </w:r>
      <w:r w:rsidR="003842CB" w:rsidRPr="004B2292">
        <w:rPr>
          <w:rFonts w:ascii="Times New Roman" w:eastAsia="Times New Roman" w:hAnsi="Times New Roman" w:cs="Times New Roman"/>
          <w:i/>
          <w:sz w:val="24"/>
        </w:rPr>
        <w:t>ceteris paribus</w:t>
      </w:r>
      <w:r w:rsidR="002A5783" w:rsidRPr="004B2292">
        <w:rPr>
          <w:rFonts w:ascii="Times New Roman" w:eastAsia="Times New Roman" w:hAnsi="Times New Roman" w:cs="Times New Roman"/>
          <w:sz w:val="24"/>
        </w:rPr>
        <w:t>.</w:t>
      </w:r>
      <w:r w:rsidR="005739A1" w:rsidRPr="00351A1D">
        <w:rPr>
          <w:rFonts w:ascii="Times New Roman" w:eastAsia="Times New Roman" w:hAnsi="Times New Roman" w:cs="Times New Roman"/>
          <w:sz w:val="24"/>
        </w:rPr>
        <w:t xml:space="preserve"> </w:t>
      </w:r>
    </w:p>
    <w:p w14:paraId="64DA11BA" w14:textId="77777777" w:rsidR="000A1D15" w:rsidRDefault="000A1D15" w:rsidP="000A1D15">
      <w:pPr>
        <w:spacing w:after="0" w:line="480" w:lineRule="auto"/>
        <w:rPr>
          <w:rFonts w:ascii="Times New Roman" w:eastAsia="Times New Roman" w:hAnsi="Times New Roman" w:cs="Times New Roman"/>
          <w:sz w:val="24"/>
        </w:rPr>
      </w:pPr>
    </w:p>
    <w:p w14:paraId="31C01E3A" w14:textId="06221707" w:rsidR="000F5138" w:rsidRPr="000A1D15" w:rsidRDefault="000D0F04" w:rsidP="000A1D15">
      <w:pPr>
        <w:spacing w:after="0" w:line="480" w:lineRule="auto"/>
        <w:rPr>
          <w:rFonts w:ascii="Times New Roman" w:eastAsia="Times New Roman" w:hAnsi="Times New Roman" w:cs="Times New Roman"/>
          <w:sz w:val="24"/>
        </w:rPr>
      </w:pPr>
      <w:r w:rsidRPr="000D0F04">
        <w:rPr>
          <w:rFonts w:ascii="Times New Roman" w:eastAsia="Times New Roman" w:hAnsi="Times New Roman" w:cs="Times New Roman"/>
          <w:b/>
          <w:sz w:val="24"/>
        </w:rPr>
        <w:t>Figure</w:t>
      </w:r>
      <w:r w:rsidR="000F5138" w:rsidRPr="000D0F04">
        <w:rPr>
          <w:rFonts w:ascii="Times New Roman" w:eastAsia="Times New Roman" w:hAnsi="Times New Roman" w:cs="Times New Roman"/>
          <w:b/>
          <w:sz w:val="24"/>
        </w:rPr>
        <w:t xml:space="preserve"> </w:t>
      </w:r>
      <w:r w:rsidR="009137F0">
        <w:rPr>
          <w:rFonts w:ascii="Times New Roman" w:eastAsia="Times New Roman" w:hAnsi="Times New Roman" w:cs="Times New Roman"/>
          <w:b/>
          <w:sz w:val="24"/>
        </w:rPr>
        <w:t xml:space="preserve">2. Predicted life satisfaction </w:t>
      </w:r>
      <w:r w:rsidR="000F5138" w:rsidRPr="000D0F04">
        <w:rPr>
          <w:rFonts w:ascii="Times New Roman" w:eastAsia="Times New Roman" w:hAnsi="Times New Roman" w:cs="Times New Roman"/>
          <w:b/>
          <w:sz w:val="24"/>
        </w:rPr>
        <w:t xml:space="preserve">as a function of </w:t>
      </w:r>
      <w:r w:rsidR="009137F0">
        <w:rPr>
          <w:rFonts w:ascii="Times New Roman" w:eastAsia="Times New Roman" w:hAnsi="Times New Roman" w:cs="Times New Roman"/>
          <w:b/>
          <w:sz w:val="24"/>
        </w:rPr>
        <w:t xml:space="preserve">the local immigration rate </w:t>
      </w:r>
      <w:r w:rsidR="000F5138" w:rsidRPr="000D0F04">
        <w:rPr>
          <w:rFonts w:ascii="Times New Roman" w:eastAsia="Times New Roman" w:hAnsi="Times New Roman" w:cs="Times New Roman"/>
          <w:b/>
          <w:sz w:val="24"/>
        </w:rPr>
        <w:t>for respondents of different age, employment status, income and education</w:t>
      </w:r>
    </w:p>
    <w:p w14:paraId="325477F4" w14:textId="77777777" w:rsidR="000D0F04" w:rsidRPr="000D0F04" w:rsidRDefault="000D0F04" w:rsidP="000D0F04">
      <w:pPr>
        <w:spacing w:after="0" w:line="240" w:lineRule="auto"/>
        <w:rPr>
          <w:rFonts w:ascii="Times New Roman" w:eastAsia="Times New Roman" w:hAnsi="Times New Roman" w:cs="Times New Roman"/>
          <w:b/>
          <w:sz w:val="24"/>
        </w:rPr>
      </w:pPr>
    </w:p>
    <w:p w14:paraId="6D8AA028" w14:textId="77777777" w:rsidR="000F5138" w:rsidRPr="00114585" w:rsidRDefault="00351A1D" w:rsidP="00E32561">
      <w:pPr>
        <w:spacing w:after="0" w:line="240" w:lineRule="auto"/>
        <w:rPr>
          <w:noProof/>
          <w:lang w:val="en-GB"/>
        </w:rPr>
      </w:pPr>
      <w:r>
        <w:rPr>
          <w:noProof/>
          <w:lang w:val="en-GB" w:eastAsia="zh-CN"/>
        </w:rPr>
        <w:drawing>
          <wp:inline distT="0" distB="0" distL="0" distR="0" wp14:anchorId="1D3CC1DF" wp14:editId="3EE642AE">
            <wp:extent cx="2700000" cy="2520000"/>
            <wp:effectExtent l="0" t="0" r="571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0F5138" w:rsidRPr="000F5138">
        <w:rPr>
          <w:noProof/>
          <w:lang w:val="en-GB"/>
        </w:rPr>
        <w:t xml:space="preserve"> </w:t>
      </w:r>
      <w:r w:rsidR="00233518">
        <w:rPr>
          <w:noProof/>
          <w:lang w:val="en-GB" w:eastAsia="zh-CN"/>
        </w:rPr>
        <w:drawing>
          <wp:inline distT="0" distB="0" distL="0" distR="0" wp14:anchorId="2298EFAB" wp14:editId="602F4085">
            <wp:extent cx="2700000" cy="2520000"/>
            <wp:effectExtent l="0" t="0" r="5715"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33518">
        <w:rPr>
          <w:noProof/>
          <w:lang w:val="en-GB"/>
        </w:rPr>
        <w:t xml:space="preserve"> </w:t>
      </w:r>
    </w:p>
    <w:p w14:paraId="7A2F1A89" w14:textId="77777777" w:rsidR="00E32561" w:rsidRDefault="00E32561" w:rsidP="00E32561">
      <w:pPr>
        <w:spacing w:after="0" w:line="240" w:lineRule="auto"/>
        <w:rPr>
          <w:noProof/>
          <w:lang w:val="en-GB"/>
        </w:rPr>
      </w:pPr>
    </w:p>
    <w:p w14:paraId="7C19EB48" w14:textId="77777777" w:rsidR="000D0F04" w:rsidRDefault="00E32561" w:rsidP="00E32561">
      <w:pPr>
        <w:spacing w:after="0" w:line="240" w:lineRule="auto"/>
        <w:rPr>
          <w:noProof/>
          <w:lang w:val="en-GB"/>
        </w:rPr>
      </w:pPr>
      <w:r>
        <w:rPr>
          <w:noProof/>
          <w:lang w:val="en-GB" w:eastAsia="zh-CN"/>
        </w:rPr>
        <w:drawing>
          <wp:inline distT="0" distB="0" distL="0" distR="0" wp14:anchorId="0FCB2083" wp14:editId="7EAAEE2B">
            <wp:extent cx="2700000" cy="2520000"/>
            <wp:effectExtent l="0" t="0" r="5715"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32561">
        <w:rPr>
          <w:noProof/>
          <w:lang w:val="en-GB"/>
        </w:rPr>
        <w:t xml:space="preserve"> </w:t>
      </w:r>
      <w:r w:rsidR="00AC6780">
        <w:rPr>
          <w:noProof/>
          <w:lang w:val="en-GB" w:eastAsia="zh-CN"/>
        </w:rPr>
        <w:drawing>
          <wp:inline distT="0" distB="0" distL="0" distR="0" wp14:anchorId="7E7FEABE" wp14:editId="0C5D766F">
            <wp:extent cx="2700000" cy="2520000"/>
            <wp:effectExtent l="0" t="0" r="5715"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64308E" w14:textId="77777777" w:rsidR="00072D1F" w:rsidRDefault="00072D1F" w:rsidP="00072D1F">
      <w:pPr>
        <w:spacing w:after="0" w:line="240" w:lineRule="auto"/>
        <w:rPr>
          <w:rFonts w:ascii="Times New Roman" w:eastAsia="Times New Roman" w:hAnsi="Times New Roman" w:cs="Times New Roman"/>
          <w:sz w:val="20"/>
        </w:rPr>
      </w:pPr>
    </w:p>
    <w:p w14:paraId="63A773C0" w14:textId="73851BE9" w:rsidR="00072D1F" w:rsidRPr="00072D1F" w:rsidRDefault="00072D1F" w:rsidP="00072D1F">
      <w:pPr>
        <w:spacing w:after="0" w:line="240" w:lineRule="auto"/>
        <w:rPr>
          <w:rFonts w:ascii="Times New Roman" w:eastAsia="Times New Roman" w:hAnsi="Times New Roman" w:cs="Times New Roman"/>
          <w:sz w:val="20"/>
        </w:rPr>
      </w:pPr>
      <w:r w:rsidRPr="00072D1F">
        <w:rPr>
          <w:rFonts w:ascii="Times New Roman" w:eastAsia="Times New Roman" w:hAnsi="Times New Roman" w:cs="Times New Roman"/>
          <w:sz w:val="20"/>
        </w:rPr>
        <w:t>Source: Authors’ calculations</w:t>
      </w:r>
      <w:r w:rsidR="009137F0">
        <w:rPr>
          <w:rFonts w:ascii="Times New Roman" w:eastAsia="Times New Roman" w:hAnsi="Times New Roman" w:cs="Times New Roman"/>
          <w:sz w:val="20"/>
        </w:rPr>
        <w:t xml:space="preserve"> based on the results for t</w:t>
      </w:r>
      <w:r w:rsidR="009137F0" w:rsidRPr="009137F0">
        <w:rPr>
          <w:rFonts w:ascii="Times New Roman" w:eastAsia="Times New Roman" w:hAnsi="Times New Roman" w:cs="Times New Roman"/>
          <w:sz w:val="20"/>
        </w:rPr>
        <w:t>he 2003-05 specifications presented in Table 2</w:t>
      </w:r>
      <w:r w:rsidR="009137F0">
        <w:rPr>
          <w:rFonts w:ascii="Times New Roman" w:eastAsia="Times New Roman" w:hAnsi="Times New Roman" w:cs="Times New Roman"/>
          <w:sz w:val="20"/>
        </w:rPr>
        <w:t xml:space="preserve">. </w:t>
      </w:r>
    </w:p>
    <w:p w14:paraId="2A10877C" w14:textId="77777777" w:rsidR="00072D1F" w:rsidRPr="004E5B41" w:rsidRDefault="00072D1F" w:rsidP="000F5138">
      <w:pPr>
        <w:spacing w:after="0" w:line="480" w:lineRule="auto"/>
        <w:rPr>
          <w:rFonts w:ascii="Times New Roman" w:eastAsia="Times New Roman" w:hAnsi="Times New Roman" w:cs="Times New Roman"/>
          <w:sz w:val="24"/>
        </w:rPr>
      </w:pPr>
    </w:p>
    <w:p w14:paraId="572A67C1" w14:textId="4D428105" w:rsidR="002A5783" w:rsidRPr="00DF691F" w:rsidRDefault="003C0392" w:rsidP="0027251E">
      <w:pPr>
        <w:spacing w:after="0" w:line="480" w:lineRule="auto"/>
        <w:rPr>
          <w:rFonts w:ascii="Times New Roman" w:eastAsia="Times New Roman" w:hAnsi="Times New Roman" w:cs="Times New Roman"/>
          <w:sz w:val="24"/>
        </w:rPr>
      </w:pPr>
      <w:r w:rsidRPr="00DF691F">
        <w:rPr>
          <w:rFonts w:ascii="Times New Roman" w:eastAsia="Times New Roman" w:hAnsi="Times New Roman" w:cs="Times New Roman"/>
          <w:sz w:val="24"/>
          <w:lang w:val="en-GB"/>
        </w:rPr>
        <w:t xml:space="preserve">Differential effects of immigration </w:t>
      </w:r>
      <w:r w:rsidR="00DF691F" w:rsidRPr="00DF691F">
        <w:rPr>
          <w:rFonts w:ascii="Times New Roman" w:eastAsia="Times New Roman" w:hAnsi="Times New Roman" w:cs="Times New Roman"/>
          <w:sz w:val="24"/>
          <w:lang w:val="en-GB"/>
        </w:rPr>
        <w:t xml:space="preserve">are also evident </w:t>
      </w:r>
      <w:r w:rsidRPr="00DF691F">
        <w:rPr>
          <w:rFonts w:ascii="Times New Roman" w:eastAsia="Times New Roman" w:hAnsi="Times New Roman" w:cs="Times New Roman"/>
          <w:sz w:val="24"/>
          <w:lang w:val="en-GB"/>
        </w:rPr>
        <w:t>if we look at other socio-demographic variables.</w:t>
      </w:r>
      <w:r w:rsidRPr="00DF691F">
        <w:rPr>
          <w:rFonts w:ascii="Times New Roman" w:eastAsia="Times New Roman" w:hAnsi="Times New Roman" w:cs="Times New Roman"/>
          <w:sz w:val="24"/>
        </w:rPr>
        <w:t xml:space="preserve"> </w:t>
      </w:r>
      <w:r w:rsidR="005B2653" w:rsidRPr="00DF691F">
        <w:rPr>
          <w:rFonts w:ascii="Times New Roman" w:eastAsia="Times New Roman" w:hAnsi="Times New Roman" w:cs="Times New Roman"/>
          <w:sz w:val="24"/>
        </w:rPr>
        <w:t xml:space="preserve">Focusing on employment </w:t>
      </w:r>
      <w:r w:rsidRPr="00DF691F">
        <w:rPr>
          <w:rFonts w:ascii="Times New Roman" w:eastAsia="Times New Roman" w:hAnsi="Times New Roman" w:cs="Times New Roman"/>
          <w:sz w:val="24"/>
        </w:rPr>
        <w:t xml:space="preserve">status, </w:t>
      </w:r>
      <w:r w:rsidR="005B2653" w:rsidRPr="00DF691F">
        <w:rPr>
          <w:rFonts w:ascii="Times New Roman" w:eastAsia="Times New Roman" w:hAnsi="Times New Roman" w:cs="Times New Roman"/>
          <w:sz w:val="24"/>
        </w:rPr>
        <w:t>and on the ‘migration shock’ 2003-2005 period</w:t>
      </w:r>
      <w:r w:rsidR="00351A1D" w:rsidRPr="00DF691F">
        <w:rPr>
          <w:rFonts w:ascii="Times New Roman" w:eastAsia="Times New Roman" w:hAnsi="Times New Roman" w:cs="Times New Roman"/>
          <w:sz w:val="24"/>
        </w:rPr>
        <w:t xml:space="preserve"> (Column 5 of P</w:t>
      </w:r>
      <w:r w:rsidR="00DF72C2" w:rsidRPr="00DF691F">
        <w:rPr>
          <w:rFonts w:ascii="Times New Roman" w:eastAsia="Times New Roman" w:hAnsi="Times New Roman" w:cs="Times New Roman"/>
          <w:sz w:val="24"/>
        </w:rPr>
        <w:t>anel B in Table 2)</w:t>
      </w:r>
      <w:r w:rsidR="005B2653" w:rsidRPr="00DF691F">
        <w:rPr>
          <w:rFonts w:ascii="Times New Roman" w:eastAsia="Times New Roman" w:hAnsi="Times New Roman" w:cs="Times New Roman"/>
          <w:sz w:val="24"/>
        </w:rPr>
        <w:t xml:space="preserve">, </w:t>
      </w:r>
      <w:r w:rsidR="00DF72C2" w:rsidRPr="00DF691F">
        <w:rPr>
          <w:rFonts w:ascii="Times New Roman" w:eastAsia="Times New Roman" w:hAnsi="Times New Roman" w:cs="Times New Roman"/>
          <w:sz w:val="24"/>
        </w:rPr>
        <w:t xml:space="preserve">we can see that </w:t>
      </w:r>
      <w:r w:rsidR="005B2653" w:rsidRPr="00DF691F">
        <w:rPr>
          <w:rFonts w:ascii="Times New Roman" w:eastAsia="Times New Roman" w:hAnsi="Times New Roman" w:cs="Times New Roman"/>
          <w:sz w:val="24"/>
        </w:rPr>
        <w:t xml:space="preserve">the migrant inflow rate is positively </w:t>
      </w:r>
      <w:r w:rsidRPr="00DF691F">
        <w:rPr>
          <w:rFonts w:ascii="Times New Roman" w:eastAsia="Times New Roman" w:hAnsi="Times New Roman" w:cs="Times New Roman"/>
          <w:sz w:val="24"/>
        </w:rPr>
        <w:t xml:space="preserve">and significantly </w:t>
      </w:r>
      <w:r w:rsidR="005B2653" w:rsidRPr="00DF691F">
        <w:rPr>
          <w:rFonts w:ascii="Times New Roman" w:eastAsia="Times New Roman" w:hAnsi="Times New Roman" w:cs="Times New Roman"/>
          <w:sz w:val="24"/>
        </w:rPr>
        <w:t>related to life satisfaction for employed individuals</w:t>
      </w:r>
      <w:r w:rsidRPr="00DF691F">
        <w:rPr>
          <w:rFonts w:ascii="Times New Roman" w:eastAsia="Times New Roman" w:hAnsi="Times New Roman" w:cs="Times New Roman"/>
          <w:sz w:val="24"/>
        </w:rPr>
        <w:t xml:space="preserve">. Instead, the negative and significant interaction terms </w:t>
      </w:r>
      <w:r w:rsidR="001A3BD0" w:rsidRPr="00DF691F">
        <w:rPr>
          <w:rFonts w:ascii="Times New Roman" w:eastAsia="Times New Roman" w:hAnsi="Times New Roman" w:cs="Times New Roman"/>
          <w:sz w:val="24"/>
        </w:rPr>
        <w:t xml:space="preserve">for the unemployed and inactive people, imply </w:t>
      </w:r>
      <w:r w:rsidR="005739A1" w:rsidRPr="00DF691F">
        <w:rPr>
          <w:rFonts w:ascii="Times New Roman" w:eastAsia="Times New Roman" w:hAnsi="Times New Roman" w:cs="Times New Roman"/>
          <w:sz w:val="24"/>
        </w:rPr>
        <w:t xml:space="preserve">that their life satisfaction of these two groups decreased with the local immigration rate (see </w:t>
      </w:r>
      <w:r w:rsidR="00351A1D" w:rsidRPr="00DF691F">
        <w:rPr>
          <w:rFonts w:ascii="Times New Roman" w:eastAsia="Times New Roman" w:hAnsi="Times New Roman" w:cs="Times New Roman"/>
          <w:sz w:val="24"/>
        </w:rPr>
        <w:t xml:space="preserve">also Panel B of </w:t>
      </w:r>
      <w:r w:rsidR="00DF691F" w:rsidRPr="00DF691F">
        <w:rPr>
          <w:rFonts w:ascii="Times New Roman" w:eastAsia="Times New Roman" w:hAnsi="Times New Roman" w:cs="Times New Roman"/>
          <w:sz w:val="24"/>
        </w:rPr>
        <w:t>Figure</w:t>
      </w:r>
      <w:r w:rsidR="005739A1" w:rsidRPr="00DF691F">
        <w:rPr>
          <w:rFonts w:ascii="Times New Roman" w:eastAsia="Times New Roman" w:hAnsi="Times New Roman" w:cs="Times New Roman"/>
          <w:sz w:val="24"/>
        </w:rPr>
        <w:t xml:space="preserve"> 2). </w:t>
      </w:r>
      <w:r w:rsidR="00DF72C2" w:rsidRPr="00DF691F">
        <w:rPr>
          <w:rFonts w:ascii="Times New Roman" w:eastAsia="Times New Roman" w:hAnsi="Times New Roman" w:cs="Times New Roman"/>
          <w:sz w:val="24"/>
        </w:rPr>
        <w:t xml:space="preserve">The results are insignificant for the 2006-2008 period, as in the case of the specification with the age-interaction term. </w:t>
      </w:r>
    </w:p>
    <w:p w14:paraId="10DB2A70" w14:textId="77777777" w:rsidR="00DF72C2" w:rsidRPr="007D051D" w:rsidRDefault="00DF72C2" w:rsidP="0027251E">
      <w:pPr>
        <w:spacing w:after="0" w:line="480" w:lineRule="auto"/>
        <w:rPr>
          <w:rFonts w:ascii="Times New Roman" w:eastAsia="Times New Roman" w:hAnsi="Times New Roman" w:cs="Times New Roman"/>
          <w:sz w:val="24"/>
          <w:highlight w:val="yellow"/>
        </w:rPr>
      </w:pPr>
    </w:p>
    <w:p w14:paraId="42F7BD90" w14:textId="3350B954" w:rsidR="00AE76F8" w:rsidRDefault="00DF72C2" w:rsidP="00AC6780">
      <w:pPr>
        <w:spacing w:after="0" w:line="480" w:lineRule="auto"/>
        <w:rPr>
          <w:rFonts w:ascii="Times New Roman" w:eastAsia="Times New Roman" w:hAnsi="Times New Roman" w:cs="Times New Roman"/>
          <w:sz w:val="24"/>
          <w:highlight w:val="cyan"/>
        </w:rPr>
      </w:pPr>
      <w:r w:rsidRPr="00DF691F">
        <w:rPr>
          <w:rFonts w:ascii="Times New Roman" w:eastAsia="Times New Roman" w:hAnsi="Times New Roman" w:cs="Times New Roman"/>
          <w:sz w:val="24"/>
        </w:rPr>
        <w:t>Turning to household income, the results indicate</w:t>
      </w:r>
      <w:r w:rsidR="00563967" w:rsidRPr="00DF691F">
        <w:rPr>
          <w:rFonts w:ascii="Times New Roman" w:eastAsia="Times New Roman" w:hAnsi="Times New Roman" w:cs="Times New Roman"/>
          <w:sz w:val="24"/>
        </w:rPr>
        <w:t xml:space="preserve"> that, in the 2003-2005 period, life satisfaction increased with the local immigration rate in higher-income households</w:t>
      </w:r>
      <w:r w:rsidR="001555E3" w:rsidRPr="00DF691F">
        <w:rPr>
          <w:rFonts w:ascii="Times New Roman" w:eastAsia="Times New Roman" w:hAnsi="Times New Roman" w:cs="Times New Roman"/>
          <w:sz w:val="24"/>
        </w:rPr>
        <w:t xml:space="preserve"> and decreased with it in lower-income households (Panel C of Figure 2</w:t>
      </w:r>
      <w:r w:rsidR="00063788" w:rsidRPr="00DF691F">
        <w:rPr>
          <w:rFonts w:ascii="Times New Roman" w:eastAsia="Times New Roman" w:hAnsi="Times New Roman" w:cs="Times New Roman"/>
          <w:sz w:val="24"/>
        </w:rPr>
        <w:t>)</w:t>
      </w:r>
      <w:r w:rsidR="00DF691F" w:rsidRPr="00DF691F">
        <w:rPr>
          <w:rFonts w:ascii="Times New Roman" w:eastAsia="Times New Roman" w:hAnsi="Times New Roman" w:cs="Times New Roman"/>
          <w:sz w:val="24"/>
        </w:rPr>
        <w:t>. H</w:t>
      </w:r>
      <w:r w:rsidR="00063788" w:rsidRPr="00DF691F">
        <w:rPr>
          <w:rFonts w:ascii="Times New Roman" w:eastAsia="Times New Roman" w:hAnsi="Times New Roman" w:cs="Times New Roman"/>
          <w:sz w:val="24"/>
        </w:rPr>
        <w:t xml:space="preserve">owever, </w:t>
      </w:r>
      <w:r w:rsidR="001555E3" w:rsidRPr="00DF691F">
        <w:rPr>
          <w:rFonts w:ascii="Times New Roman" w:eastAsia="Times New Roman" w:hAnsi="Times New Roman" w:cs="Times New Roman"/>
          <w:sz w:val="24"/>
        </w:rPr>
        <w:t xml:space="preserve">the coefficient of the interaction variable </w:t>
      </w:r>
      <w:r w:rsidR="00063788" w:rsidRPr="00DF691F">
        <w:rPr>
          <w:rFonts w:ascii="Times New Roman" w:eastAsia="Times New Roman" w:hAnsi="Times New Roman" w:cs="Times New Roman"/>
          <w:sz w:val="24"/>
        </w:rPr>
        <w:t xml:space="preserve">is significant at only </w:t>
      </w:r>
      <w:r w:rsidR="00DF691F" w:rsidRPr="00DF691F">
        <w:rPr>
          <w:rFonts w:ascii="Times New Roman" w:eastAsia="Times New Roman" w:hAnsi="Times New Roman" w:cs="Times New Roman"/>
          <w:sz w:val="24"/>
        </w:rPr>
        <w:t xml:space="preserve">the </w:t>
      </w:r>
      <w:r w:rsidR="00063788" w:rsidRPr="00DF691F">
        <w:rPr>
          <w:rFonts w:ascii="Times New Roman" w:eastAsia="Times New Roman" w:hAnsi="Times New Roman" w:cs="Times New Roman"/>
          <w:sz w:val="24"/>
        </w:rPr>
        <w:t>10</w:t>
      </w:r>
      <w:r w:rsidR="00563967" w:rsidRPr="00DF691F">
        <w:rPr>
          <w:rFonts w:ascii="Times New Roman" w:eastAsia="Times New Roman" w:hAnsi="Times New Roman" w:cs="Times New Roman"/>
          <w:sz w:val="24"/>
        </w:rPr>
        <w:t>% level</w:t>
      </w:r>
      <w:r w:rsidR="00BE7B74" w:rsidRPr="00DF691F">
        <w:rPr>
          <w:rFonts w:ascii="Times New Roman" w:eastAsia="Times New Roman" w:hAnsi="Times New Roman" w:cs="Times New Roman"/>
          <w:sz w:val="24"/>
        </w:rPr>
        <w:t>. The relevant calcu</w:t>
      </w:r>
      <w:r w:rsidR="00563967" w:rsidRPr="00DF691F">
        <w:rPr>
          <w:rFonts w:ascii="Times New Roman" w:eastAsia="Times New Roman" w:hAnsi="Times New Roman" w:cs="Times New Roman"/>
          <w:sz w:val="24"/>
        </w:rPr>
        <w:t>lations using the results from C</w:t>
      </w:r>
      <w:r w:rsidR="00BE7B74" w:rsidRPr="00DF691F">
        <w:rPr>
          <w:rFonts w:ascii="Times New Roman" w:eastAsia="Times New Roman" w:hAnsi="Times New Roman" w:cs="Times New Roman"/>
          <w:sz w:val="24"/>
        </w:rPr>
        <w:t xml:space="preserve">olumn 2 in panel C of Table 2 show that the </w:t>
      </w:r>
      <w:r w:rsidR="00550CCB" w:rsidRPr="00DF691F">
        <w:rPr>
          <w:rFonts w:ascii="Times New Roman" w:eastAsia="Times New Roman" w:hAnsi="Times New Roman" w:cs="Times New Roman"/>
          <w:sz w:val="24"/>
        </w:rPr>
        <w:t>association between immigration and</w:t>
      </w:r>
      <w:r w:rsidR="00BE7B74" w:rsidRPr="00DF691F">
        <w:rPr>
          <w:rFonts w:ascii="Times New Roman" w:eastAsia="Times New Roman" w:hAnsi="Times New Roman" w:cs="Times New Roman"/>
          <w:sz w:val="24"/>
        </w:rPr>
        <w:t xml:space="preserve"> life satisfaction turns from negative to positive for income levels around the median of the log of income distribution. </w:t>
      </w:r>
      <w:r w:rsidR="001555E3" w:rsidRPr="00DF691F">
        <w:rPr>
          <w:rFonts w:ascii="Times New Roman" w:eastAsia="Times New Roman" w:hAnsi="Times New Roman" w:cs="Times New Roman"/>
          <w:sz w:val="24"/>
        </w:rPr>
        <w:t>W</w:t>
      </w:r>
      <w:r w:rsidR="00BE7B74" w:rsidRPr="00DF691F">
        <w:rPr>
          <w:rFonts w:ascii="Times New Roman" w:eastAsia="Times New Roman" w:hAnsi="Times New Roman" w:cs="Times New Roman"/>
          <w:sz w:val="24"/>
        </w:rPr>
        <w:t>he</w:t>
      </w:r>
      <w:r w:rsidR="00DF691F" w:rsidRPr="00DF691F">
        <w:rPr>
          <w:rFonts w:ascii="Times New Roman" w:eastAsia="Times New Roman" w:hAnsi="Times New Roman" w:cs="Times New Roman"/>
          <w:sz w:val="24"/>
        </w:rPr>
        <w:t>n</w:t>
      </w:r>
      <w:r w:rsidR="00F61451" w:rsidRPr="00DF691F">
        <w:rPr>
          <w:rFonts w:ascii="Times New Roman" w:eastAsia="Times New Roman" w:hAnsi="Times New Roman" w:cs="Times New Roman"/>
          <w:sz w:val="24"/>
        </w:rPr>
        <w:t xml:space="preserve"> the effect of immigration is allowed to vary acro</w:t>
      </w:r>
      <w:r w:rsidR="001555E3" w:rsidRPr="00DF691F">
        <w:rPr>
          <w:rFonts w:ascii="Times New Roman" w:eastAsia="Times New Roman" w:hAnsi="Times New Roman" w:cs="Times New Roman"/>
          <w:sz w:val="24"/>
        </w:rPr>
        <w:t>ss different education levels (Panel D of Table 2), t</w:t>
      </w:r>
      <w:r w:rsidR="00F61451" w:rsidRPr="00DF691F">
        <w:rPr>
          <w:rFonts w:ascii="Times New Roman" w:eastAsia="Times New Roman" w:hAnsi="Times New Roman" w:cs="Times New Roman"/>
          <w:sz w:val="24"/>
        </w:rPr>
        <w:t xml:space="preserve">he coefficient of the inflow rate is negative and insignificant, indicating no relationship between immigration and life satisfaction for people with no qualifications (the reference group). </w:t>
      </w:r>
      <w:r w:rsidR="00550CCB" w:rsidRPr="00DF691F">
        <w:rPr>
          <w:rFonts w:ascii="Times New Roman" w:eastAsia="Times New Roman" w:hAnsi="Times New Roman" w:cs="Times New Roman"/>
          <w:sz w:val="24"/>
        </w:rPr>
        <w:t>T</w:t>
      </w:r>
      <w:r w:rsidR="008E6943" w:rsidRPr="00DF691F">
        <w:rPr>
          <w:rFonts w:ascii="Times New Roman" w:eastAsia="Times New Roman" w:hAnsi="Times New Roman" w:cs="Times New Roman"/>
          <w:sz w:val="24"/>
        </w:rPr>
        <w:t xml:space="preserve">he interaction terms are positive </w:t>
      </w:r>
      <w:r w:rsidR="00550CCB" w:rsidRPr="00DF691F">
        <w:rPr>
          <w:rFonts w:ascii="Times New Roman" w:eastAsia="Times New Roman" w:hAnsi="Times New Roman" w:cs="Times New Roman"/>
          <w:sz w:val="24"/>
        </w:rPr>
        <w:t>and statistically</w:t>
      </w:r>
      <w:r w:rsidR="008E6943" w:rsidRPr="00DF691F">
        <w:rPr>
          <w:rFonts w:ascii="Times New Roman" w:eastAsia="Times New Roman" w:hAnsi="Times New Roman" w:cs="Times New Roman"/>
          <w:sz w:val="24"/>
        </w:rPr>
        <w:t xml:space="preserve"> significant</w:t>
      </w:r>
      <w:r w:rsidR="00550CCB" w:rsidRPr="00DF691F">
        <w:rPr>
          <w:rFonts w:ascii="Times New Roman" w:eastAsia="Times New Roman" w:hAnsi="Times New Roman" w:cs="Times New Roman"/>
          <w:sz w:val="24"/>
        </w:rPr>
        <w:t xml:space="preserve"> </w:t>
      </w:r>
      <w:r w:rsidR="00063788" w:rsidRPr="00DF691F">
        <w:rPr>
          <w:rFonts w:ascii="Times New Roman" w:eastAsia="Times New Roman" w:hAnsi="Times New Roman" w:cs="Times New Roman"/>
          <w:sz w:val="24"/>
        </w:rPr>
        <w:t xml:space="preserve">(at </w:t>
      </w:r>
      <w:r w:rsidR="00DF691F" w:rsidRPr="00DF691F">
        <w:rPr>
          <w:rFonts w:ascii="Times New Roman" w:eastAsia="Times New Roman" w:hAnsi="Times New Roman" w:cs="Times New Roman"/>
          <w:sz w:val="24"/>
        </w:rPr>
        <w:t xml:space="preserve">the </w:t>
      </w:r>
      <w:r w:rsidR="00063788" w:rsidRPr="00DF691F">
        <w:rPr>
          <w:rFonts w:ascii="Times New Roman" w:eastAsia="Times New Roman" w:hAnsi="Times New Roman" w:cs="Times New Roman"/>
          <w:sz w:val="24"/>
        </w:rPr>
        <w:t xml:space="preserve">10 and 5% level) </w:t>
      </w:r>
      <w:r w:rsidR="00DF691F" w:rsidRPr="00DF691F">
        <w:rPr>
          <w:rFonts w:ascii="Times New Roman" w:eastAsia="Times New Roman" w:hAnsi="Times New Roman" w:cs="Times New Roman"/>
          <w:sz w:val="24"/>
        </w:rPr>
        <w:t xml:space="preserve">in 2003-05 </w:t>
      </w:r>
      <w:r w:rsidR="00550CCB" w:rsidRPr="00DF691F">
        <w:rPr>
          <w:rFonts w:ascii="Times New Roman" w:eastAsia="Times New Roman" w:hAnsi="Times New Roman" w:cs="Times New Roman"/>
          <w:sz w:val="24"/>
        </w:rPr>
        <w:t>for respondents with further education and A levels</w:t>
      </w:r>
      <w:r w:rsidR="00DF691F" w:rsidRPr="00DF691F">
        <w:rPr>
          <w:rFonts w:ascii="Times New Roman" w:eastAsia="Times New Roman" w:hAnsi="Times New Roman" w:cs="Times New Roman"/>
          <w:sz w:val="24"/>
        </w:rPr>
        <w:t xml:space="preserve">, </w:t>
      </w:r>
      <w:r w:rsidR="00550CCB" w:rsidRPr="00DF691F">
        <w:rPr>
          <w:rFonts w:ascii="Times New Roman" w:eastAsia="Times New Roman" w:hAnsi="Times New Roman" w:cs="Times New Roman"/>
          <w:sz w:val="24"/>
        </w:rPr>
        <w:t>meaning that, for these groups,</w:t>
      </w:r>
      <w:r w:rsidR="00AC6780" w:rsidRPr="00DF691F">
        <w:rPr>
          <w:rFonts w:ascii="Times New Roman" w:eastAsia="Times New Roman" w:hAnsi="Times New Roman" w:cs="Times New Roman"/>
          <w:sz w:val="24"/>
        </w:rPr>
        <w:t xml:space="preserve"> life satisfaction increased</w:t>
      </w:r>
      <w:r w:rsidR="00550CCB" w:rsidRPr="00DF691F">
        <w:rPr>
          <w:rFonts w:ascii="Times New Roman" w:eastAsia="Times New Roman" w:hAnsi="Times New Roman" w:cs="Times New Roman"/>
          <w:sz w:val="24"/>
        </w:rPr>
        <w:t xml:space="preserve"> with the local immigration rate</w:t>
      </w:r>
      <w:r w:rsidR="00AC6780" w:rsidRPr="00DF691F">
        <w:rPr>
          <w:rFonts w:ascii="Times New Roman" w:eastAsia="Times New Roman" w:hAnsi="Times New Roman" w:cs="Times New Roman"/>
          <w:sz w:val="24"/>
        </w:rPr>
        <w:t xml:space="preserve"> (see also </w:t>
      </w:r>
      <w:r w:rsidR="00550CCB" w:rsidRPr="00DF691F">
        <w:rPr>
          <w:rFonts w:ascii="Times New Roman" w:eastAsia="Times New Roman" w:hAnsi="Times New Roman" w:cs="Times New Roman"/>
          <w:sz w:val="24"/>
        </w:rPr>
        <w:t xml:space="preserve">Panel D of </w:t>
      </w:r>
      <w:r w:rsidR="00DF691F" w:rsidRPr="00DF691F">
        <w:rPr>
          <w:rFonts w:ascii="Times New Roman" w:eastAsia="Times New Roman" w:hAnsi="Times New Roman" w:cs="Times New Roman"/>
          <w:sz w:val="24"/>
        </w:rPr>
        <w:t>Figure</w:t>
      </w:r>
      <w:r w:rsidR="00550CCB" w:rsidRPr="00DF691F">
        <w:rPr>
          <w:rFonts w:ascii="Times New Roman" w:eastAsia="Times New Roman" w:hAnsi="Times New Roman" w:cs="Times New Roman"/>
          <w:sz w:val="24"/>
        </w:rPr>
        <w:t xml:space="preserve"> 2</w:t>
      </w:r>
      <w:r w:rsidR="00DF691F" w:rsidRPr="00DF691F">
        <w:rPr>
          <w:rFonts w:ascii="Times New Roman" w:eastAsia="Times New Roman" w:hAnsi="Times New Roman" w:cs="Times New Roman"/>
          <w:sz w:val="24"/>
        </w:rPr>
        <w:t xml:space="preserve">). </w:t>
      </w:r>
      <w:r w:rsidR="00DF691F">
        <w:rPr>
          <w:rFonts w:ascii="Times New Roman" w:eastAsia="Times New Roman" w:hAnsi="Times New Roman" w:cs="Times New Roman"/>
          <w:sz w:val="24"/>
        </w:rPr>
        <w:t>Having said that</w:t>
      </w:r>
      <w:r w:rsidR="00AE76F8" w:rsidRPr="00DF691F">
        <w:rPr>
          <w:rFonts w:ascii="Times New Roman" w:eastAsia="Times New Roman" w:hAnsi="Times New Roman" w:cs="Times New Roman"/>
          <w:sz w:val="24"/>
        </w:rPr>
        <w:t xml:space="preserve">, </w:t>
      </w:r>
      <w:r w:rsidR="00072D1F" w:rsidRPr="00DF691F">
        <w:rPr>
          <w:rFonts w:ascii="Times New Roman" w:eastAsia="Times New Roman" w:hAnsi="Times New Roman" w:cs="Times New Roman"/>
          <w:sz w:val="24"/>
        </w:rPr>
        <w:t>we remain</w:t>
      </w:r>
      <w:r w:rsidR="00AE76F8" w:rsidRPr="00DF691F">
        <w:rPr>
          <w:rFonts w:ascii="Times New Roman" w:eastAsia="Times New Roman" w:hAnsi="Times New Roman" w:cs="Times New Roman"/>
          <w:sz w:val="24"/>
        </w:rPr>
        <w:t xml:space="preserve"> </w:t>
      </w:r>
      <w:r w:rsidR="00DF691F">
        <w:rPr>
          <w:rFonts w:ascii="Times New Roman" w:eastAsia="Times New Roman" w:hAnsi="Times New Roman" w:cs="Times New Roman"/>
          <w:sz w:val="24"/>
        </w:rPr>
        <w:t xml:space="preserve">quite </w:t>
      </w:r>
      <w:r w:rsidR="00AE76F8" w:rsidRPr="00DF691F">
        <w:rPr>
          <w:rFonts w:ascii="Times New Roman" w:eastAsia="Times New Roman" w:hAnsi="Times New Roman" w:cs="Times New Roman"/>
          <w:sz w:val="24"/>
        </w:rPr>
        <w:t xml:space="preserve">cautious about </w:t>
      </w:r>
      <w:r w:rsidR="00DF691F">
        <w:rPr>
          <w:rFonts w:ascii="Times New Roman" w:eastAsia="Times New Roman" w:hAnsi="Times New Roman" w:cs="Times New Roman"/>
          <w:sz w:val="24"/>
        </w:rPr>
        <w:t>putting too much weight on</w:t>
      </w:r>
      <w:r w:rsidR="00AE76F8" w:rsidRPr="00DF691F">
        <w:rPr>
          <w:rFonts w:ascii="Times New Roman" w:eastAsia="Times New Roman" w:hAnsi="Times New Roman" w:cs="Times New Roman"/>
          <w:sz w:val="24"/>
        </w:rPr>
        <w:t xml:space="preserve"> the estimates of the income and education interaction </w:t>
      </w:r>
      <w:r w:rsidR="00DF691F">
        <w:rPr>
          <w:rFonts w:ascii="Times New Roman" w:eastAsia="Times New Roman" w:hAnsi="Times New Roman" w:cs="Times New Roman"/>
          <w:sz w:val="24"/>
        </w:rPr>
        <w:t xml:space="preserve">terms </w:t>
      </w:r>
      <w:r w:rsidR="00AE76F8" w:rsidRPr="00DF691F">
        <w:rPr>
          <w:rFonts w:ascii="Times New Roman" w:eastAsia="Times New Roman" w:hAnsi="Times New Roman" w:cs="Times New Roman"/>
          <w:sz w:val="24"/>
        </w:rPr>
        <w:t xml:space="preserve">because of their </w:t>
      </w:r>
      <w:r w:rsidR="00072D1F" w:rsidRPr="00DF691F">
        <w:rPr>
          <w:rFonts w:ascii="Times New Roman" w:eastAsia="Times New Roman" w:hAnsi="Times New Roman" w:cs="Times New Roman"/>
          <w:sz w:val="24"/>
        </w:rPr>
        <w:t>relatively low</w:t>
      </w:r>
      <w:r w:rsidR="00AE76F8" w:rsidRPr="00DF691F">
        <w:rPr>
          <w:rFonts w:ascii="Times New Roman" w:eastAsia="Times New Roman" w:hAnsi="Times New Roman" w:cs="Times New Roman"/>
          <w:sz w:val="24"/>
        </w:rPr>
        <w:t xml:space="preserve"> levels of significance</w:t>
      </w:r>
      <w:r w:rsidR="00072D1F" w:rsidRPr="00DF691F">
        <w:rPr>
          <w:rFonts w:ascii="Times New Roman" w:eastAsia="Times New Roman" w:hAnsi="Times New Roman" w:cs="Times New Roman"/>
          <w:sz w:val="24"/>
        </w:rPr>
        <w:t xml:space="preserve"> (10%)</w:t>
      </w:r>
      <w:r w:rsidR="00DF691F">
        <w:rPr>
          <w:rFonts w:ascii="Times New Roman" w:eastAsia="Times New Roman" w:hAnsi="Times New Roman" w:cs="Times New Roman"/>
          <w:sz w:val="24"/>
        </w:rPr>
        <w:t xml:space="preserve">. </w:t>
      </w:r>
    </w:p>
    <w:p w14:paraId="353023F7" w14:textId="77777777" w:rsidR="00AC6780" w:rsidRPr="00AC6780" w:rsidRDefault="00AC6780" w:rsidP="00AC6780">
      <w:pPr>
        <w:spacing w:after="0" w:line="480" w:lineRule="auto"/>
        <w:rPr>
          <w:rFonts w:ascii="Times New Roman" w:eastAsia="Times New Roman" w:hAnsi="Times New Roman" w:cs="Times New Roman"/>
          <w:sz w:val="24"/>
          <w:highlight w:val="cyan"/>
        </w:rPr>
      </w:pPr>
    </w:p>
    <w:p w14:paraId="12E08EBA" w14:textId="77777777" w:rsidR="007D051D" w:rsidRPr="00AE30F7" w:rsidRDefault="007D051D" w:rsidP="007D051D">
      <w:pPr>
        <w:spacing w:after="0" w:line="480" w:lineRule="auto"/>
        <w:jc w:val="both"/>
        <w:rPr>
          <w:rFonts w:ascii="Times New Roman" w:eastAsia="Times New Roman" w:hAnsi="Times New Roman" w:cs="Times New Roman"/>
          <w:i/>
          <w:sz w:val="24"/>
        </w:rPr>
      </w:pPr>
      <w:r w:rsidRPr="00AE30F7">
        <w:rPr>
          <w:rFonts w:ascii="Times New Roman" w:eastAsia="Times New Roman" w:hAnsi="Times New Roman" w:cs="Times New Roman"/>
          <w:i/>
          <w:sz w:val="24"/>
        </w:rPr>
        <w:t>4.3 Further checks</w:t>
      </w:r>
      <w:r w:rsidR="008F6D54">
        <w:rPr>
          <w:rStyle w:val="FootnoteReference"/>
          <w:rFonts w:ascii="Times New Roman" w:eastAsia="Times New Roman" w:hAnsi="Times New Roman" w:cs="Times New Roman"/>
          <w:i/>
          <w:sz w:val="24"/>
        </w:rPr>
        <w:footnoteReference w:id="16"/>
      </w:r>
    </w:p>
    <w:p w14:paraId="4BD040CC" w14:textId="77777777" w:rsidR="007D051D" w:rsidRDefault="007D051D" w:rsidP="007D051D">
      <w:pPr>
        <w:spacing w:after="0" w:line="480" w:lineRule="auto"/>
        <w:rPr>
          <w:rFonts w:ascii="Times New Roman" w:hAnsi="Times New Roman" w:cs="Times New Roman"/>
          <w:sz w:val="20"/>
        </w:rPr>
      </w:pPr>
    </w:p>
    <w:p w14:paraId="0F52BA0A" w14:textId="77777777" w:rsidR="007D051D" w:rsidRPr="00AE30F7" w:rsidRDefault="007D051D" w:rsidP="007D051D">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To examine the robustness of our results</w:t>
      </w:r>
      <w:r w:rsidRPr="00AE30F7">
        <w:rPr>
          <w:rFonts w:ascii="Times New Roman" w:eastAsia="Times New Roman" w:hAnsi="Times New Roman" w:cs="Times New Roman"/>
          <w:sz w:val="24"/>
        </w:rPr>
        <w:t xml:space="preserve">, we </w:t>
      </w:r>
      <w:r>
        <w:rPr>
          <w:rFonts w:ascii="Times New Roman" w:eastAsia="Times New Roman" w:hAnsi="Times New Roman" w:cs="Times New Roman"/>
          <w:sz w:val="24"/>
        </w:rPr>
        <w:t xml:space="preserve">first </w:t>
      </w:r>
      <w:r w:rsidRPr="00AE30F7">
        <w:rPr>
          <w:rFonts w:ascii="Times New Roman" w:eastAsia="Times New Roman" w:hAnsi="Times New Roman" w:cs="Times New Roman"/>
          <w:sz w:val="24"/>
        </w:rPr>
        <w:t xml:space="preserve">estimate a variant of the </w:t>
      </w:r>
      <w:r>
        <w:rPr>
          <w:rFonts w:ascii="Times New Roman" w:eastAsia="Times New Roman" w:hAnsi="Times New Roman" w:cs="Times New Roman"/>
          <w:sz w:val="24"/>
        </w:rPr>
        <w:t>f</w:t>
      </w:r>
      <w:r w:rsidRPr="00AE30F7">
        <w:rPr>
          <w:rFonts w:ascii="Times New Roman" w:eastAsia="Times New Roman" w:hAnsi="Times New Roman" w:cs="Times New Roman"/>
          <w:sz w:val="24"/>
        </w:rPr>
        <w:t>ixed effects regression</w:t>
      </w:r>
      <w:r>
        <w:rPr>
          <w:rFonts w:ascii="Times New Roman" w:eastAsia="Times New Roman" w:hAnsi="Times New Roman" w:cs="Times New Roman"/>
          <w:sz w:val="24"/>
        </w:rPr>
        <w:t xml:space="preserve">s presented in Table 2 (for the 2003-2008 and 2003-2005 periods), </w:t>
      </w:r>
      <w:r w:rsidRPr="00AE30F7">
        <w:rPr>
          <w:rFonts w:ascii="Times New Roman" w:eastAsia="Times New Roman" w:hAnsi="Times New Roman" w:cs="Times New Roman"/>
          <w:sz w:val="24"/>
        </w:rPr>
        <w:t xml:space="preserve">where each person’s level </w:t>
      </w:r>
      <w:r>
        <w:rPr>
          <w:rFonts w:ascii="Times New Roman" w:eastAsia="Times New Roman" w:hAnsi="Times New Roman" w:cs="Times New Roman"/>
          <w:sz w:val="24"/>
        </w:rPr>
        <w:t xml:space="preserve">of life satisfaction in 2003 is </w:t>
      </w:r>
      <w:r w:rsidRPr="00AE30F7">
        <w:rPr>
          <w:rFonts w:ascii="Times New Roman" w:eastAsia="Times New Roman" w:hAnsi="Times New Roman" w:cs="Times New Roman"/>
          <w:sz w:val="24"/>
        </w:rPr>
        <w:t>replaced with the average life satisfaction for 2000-2003</w:t>
      </w:r>
      <w:r>
        <w:rPr>
          <w:rFonts w:ascii="Times New Roman" w:eastAsia="Times New Roman" w:hAnsi="Times New Roman" w:cs="Times New Roman"/>
          <w:sz w:val="24"/>
        </w:rPr>
        <w:t>.</w:t>
      </w:r>
      <w:r w:rsidRPr="00AE30F7">
        <w:rPr>
          <w:rFonts w:ascii="Times New Roman" w:eastAsia="Times New Roman" w:hAnsi="Times New Roman" w:cs="Times New Roman"/>
          <w:sz w:val="24"/>
          <w:vertAlign w:val="superscript"/>
        </w:rPr>
        <w:footnoteReference w:id="17"/>
      </w:r>
      <w:r>
        <w:rPr>
          <w:rFonts w:ascii="Times New Roman" w:eastAsia="Times New Roman" w:hAnsi="Times New Roman" w:cs="Times New Roman"/>
          <w:sz w:val="24"/>
        </w:rPr>
        <w:t xml:space="preserve"> </w:t>
      </w:r>
      <w:r w:rsidRPr="00AE30F7">
        <w:rPr>
          <w:rFonts w:ascii="Times New Roman" w:eastAsia="Times New Roman" w:hAnsi="Times New Roman" w:cs="Times New Roman"/>
          <w:sz w:val="24"/>
        </w:rPr>
        <w:t xml:space="preserve">We do this to ensure that our results are not driven by the way life satisfaction data were reported and recorded in a particular year (2003). The findings </w:t>
      </w:r>
      <w:r>
        <w:rPr>
          <w:rFonts w:ascii="Times New Roman" w:eastAsia="Times New Roman" w:hAnsi="Times New Roman" w:cs="Times New Roman"/>
          <w:sz w:val="24"/>
        </w:rPr>
        <w:t xml:space="preserve">are very similar to the ones presented in Table 2, </w:t>
      </w:r>
      <w:r w:rsidRPr="00AE30F7">
        <w:rPr>
          <w:rFonts w:ascii="Times New Roman" w:eastAsia="Times New Roman" w:hAnsi="Times New Roman" w:cs="Times New Roman"/>
          <w:sz w:val="24"/>
        </w:rPr>
        <w:t xml:space="preserve">although the estimated coefficients </w:t>
      </w:r>
      <w:r>
        <w:rPr>
          <w:rFonts w:ascii="Times New Roman" w:eastAsia="Times New Roman" w:hAnsi="Times New Roman" w:cs="Times New Roman"/>
          <w:sz w:val="24"/>
        </w:rPr>
        <w:t xml:space="preserve">for the migrant inflow rate and its interaction terms are generally smaller in (absolute) size. </w:t>
      </w:r>
    </w:p>
    <w:p w14:paraId="73B7C2A2" w14:textId="77777777" w:rsidR="007D051D" w:rsidRPr="00AE30F7" w:rsidRDefault="007D051D" w:rsidP="007D051D">
      <w:pPr>
        <w:spacing w:after="0" w:line="480" w:lineRule="auto"/>
        <w:rPr>
          <w:rFonts w:ascii="Times New Roman" w:eastAsia="Times New Roman" w:hAnsi="Times New Roman" w:cs="Times New Roman"/>
          <w:sz w:val="24"/>
        </w:rPr>
      </w:pPr>
    </w:p>
    <w:p w14:paraId="6BB2B91C" w14:textId="5DC0D26E" w:rsidR="007D051D" w:rsidRPr="00AE30F7" w:rsidRDefault="007D051D" w:rsidP="007D051D">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Second</w:t>
      </w:r>
      <w:r w:rsidRPr="00AE30F7">
        <w:rPr>
          <w:rFonts w:ascii="Times New Roman" w:eastAsia="Times New Roman" w:hAnsi="Times New Roman" w:cs="Times New Roman"/>
          <w:sz w:val="24"/>
        </w:rPr>
        <w:t>, we have used an alternative measure to capture subjective well-being – an index of psychological health, derived from the General Health Questionnaire (GHQ).</w:t>
      </w:r>
      <w:r w:rsidRPr="00AE30F7">
        <w:rPr>
          <w:rFonts w:ascii="Times New Roman" w:eastAsia="Times New Roman" w:hAnsi="Times New Roman" w:cs="Times New Roman"/>
          <w:sz w:val="24"/>
          <w:vertAlign w:val="superscript"/>
        </w:rPr>
        <w:footnoteReference w:id="18"/>
      </w:r>
      <w:r w:rsidRPr="00AE30F7">
        <w:rPr>
          <w:rFonts w:ascii="Times New Roman" w:eastAsia="Times New Roman" w:hAnsi="Times New Roman" w:cs="Times New Roman"/>
          <w:sz w:val="24"/>
        </w:rPr>
        <w:t xml:space="preserve"> </w:t>
      </w:r>
      <w:r w:rsidR="008F6D54">
        <w:rPr>
          <w:rFonts w:ascii="Times New Roman" w:eastAsia="Times New Roman" w:hAnsi="Times New Roman" w:cs="Times New Roman"/>
          <w:sz w:val="24"/>
        </w:rPr>
        <w:t xml:space="preserve">Both the migrant inflow rate and its interactions </w:t>
      </w:r>
      <w:r w:rsidR="00520A81">
        <w:rPr>
          <w:rFonts w:ascii="Times New Roman" w:eastAsia="Times New Roman" w:hAnsi="Times New Roman" w:cs="Times New Roman"/>
          <w:sz w:val="24"/>
        </w:rPr>
        <w:t xml:space="preserve">are </w:t>
      </w:r>
      <w:r w:rsidR="008F6D54">
        <w:rPr>
          <w:rFonts w:ascii="Times New Roman" w:eastAsia="Times New Roman" w:hAnsi="Times New Roman" w:cs="Times New Roman"/>
          <w:sz w:val="24"/>
        </w:rPr>
        <w:t>statistically insignificant i</w:t>
      </w:r>
      <w:r w:rsidR="00DF691F">
        <w:rPr>
          <w:rFonts w:ascii="Times New Roman" w:eastAsia="Times New Roman" w:hAnsi="Times New Roman" w:cs="Times New Roman"/>
          <w:sz w:val="24"/>
        </w:rPr>
        <w:t xml:space="preserve">n all specifications of Table 2 </w:t>
      </w:r>
      <w:r w:rsidR="008F6D54">
        <w:rPr>
          <w:rFonts w:ascii="Times New Roman" w:eastAsia="Times New Roman" w:hAnsi="Times New Roman" w:cs="Times New Roman"/>
          <w:sz w:val="24"/>
        </w:rPr>
        <w:t>when life satisfaction is replaced with this GHQ index</w:t>
      </w:r>
      <w:r w:rsidR="00520A81">
        <w:rPr>
          <w:rFonts w:ascii="Times New Roman" w:eastAsia="Times New Roman" w:hAnsi="Times New Roman" w:cs="Times New Roman"/>
          <w:sz w:val="24"/>
        </w:rPr>
        <w:t xml:space="preserve"> as the dependent variable in the models</w:t>
      </w:r>
      <w:r w:rsidR="008F6D54">
        <w:rPr>
          <w:rFonts w:ascii="Times New Roman" w:eastAsia="Times New Roman" w:hAnsi="Times New Roman" w:cs="Times New Roman"/>
          <w:sz w:val="24"/>
        </w:rPr>
        <w:t xml:space="preserve">. </w:t>
      </w:r>
      <w:r w:rsidRPr="00AE30F7">
        <w:rPr>
          <w:rFonts w:ascii="Times New Roman" w:eastAsia="Times New Roman" w:hAnsi="Times New Roman" w:cs="Times New Roman"/>
          <w:sz w:val="24"/>
        </w:rPr>
        <w:t>A plausible explanation is that life satisfaction and the GHQ index are not compar</w:t>
      </w:r>
      <w:r w:rsidR="008F6D54">
        <w:rPr>
          <w:rFonts w:ascii="Times New Roman" w:eastAsia="Times New Roman" w:hAnsi="Times New Roman" w:cs="Times New Roman"/>
          <w:sz w:val="24"/>
        </w:rPr>
        <w:t xml:space="preserve">able measures. The GHQ index is </w:t>
      </w:r>
      <w:r w:rsidRPr="00AE30F7">
        <w:rPr>
          <w:rFonts w:ascii="Times New Roman" w:eastAsia="Times New Roman" w:hAnsi="Times New Roman" w:cs="Times New Roman"/>
          <w:sz w:val="24"/>
        </w:rPr>
        <w:t xml:space="preserve">closely related to mental health issues, while life satisfaction is a broader measure of individual well-being. </w:t>
      </w:r>
    </w:p>
    <w:p w14:paraId="4274558B" w14:textId="77777777" w:rsidR="008F6D54" w:rsidRPr="00EA1787" w:rsidRDefault="008F6D54" w:rsidP="00EA1787">
      <w:pPr>
        <w:spacing w:after="0" w:line="480" w:lineRule="auto"/>
        <w:rPr>
          <w:rFonts w:ascii="Times New Roman" w:eastAsia="Times New Roman" w:hAnsi="Times New Roman" w:cs="Times New Roman"/>
          <w:sz w:val="24"/>
        </w:rPr>
      </w:pPr>
    </w:p>
    <w:p w14:paraId="04027E68" w14:textId="77777777" w:rsidR="002672F0" w:rsidRPr="00DF691F" w:rsidRDefault="00F16012" w:rsidP="0027251E">
      <w:pPr>
        <w:spacing w:after="0" w:line="480" w:lineRule="auto"/>
        <w:rPr>
          <w:rFonts w:ascii="Times New Roman" w:eastAsia="Times New Roman" w:hAnsi="Times New Roman" w:cs="Times New Roman"/>
          <w:b/>
          <w:sz w:val="24"/>
        </w:rPr>
      </w:pPr>
      <w:r w:rsidRPr="00DF691F">
        <w:rPr>
          <w:rFonts w:ascii="Times New Roman" w:eastAsia="Times New Roman" w:hAnsi="Times New Roman" w:cs="Times New Roman"/>
          <w:b/>
          <w:sz w:val="24"/>
        </w:rPr>
        <w:t>5</w:t>
      </w:r>
      <w:r w:rsidR="004F65E0" w:rsidRPr="00DF691F">
        <w:rPr>
          <w:rFonts w:ascii="Times New Roman" w:eastAsia="Times New Roman" w:hAnsi="Times New Roman" w:cs="Times New Roman"/>
          <w:b/>
          <w:sz w:val="24"/>
        </w:rPr>
        <w:t xml:space="preserve">. </w:t>
      </w:r>
      <w:r w:rsidR="00BE2ABC" w:rsidRPr="00DF691F">
        <w:rPr>
          <w:rFonts w:ascii="Times New Roman" w:eastAsia="Times New Roman" w:hAnsi="Times New Roman" w:cs="Times New Roman"/>
          <w:b/>
          <w:sz w:val="24"/>
        </w:rPr>
        <w:t>Discussion and conclusion</w:t>
      </w:r>
    </w:p>
    <w:p w14:paraId="6EB80524" w14:textId="77777777" w:rsidR="00072D1F" w:rsidRPr="0070547B" w:rsidRDefault="00072D1F" w:rsidP="0027251E">
      <w:pPr>
        <w:spacing w:after="0" w:line="480" w:lineRule="auto"/>
        <w:rPr>
          <w:rFonts w:ascii="Times New Roman" w:eastAsia="Times New Roman" w:hAnsi="Times New Roman" w:cs="Times New Roman"/>
          <w:b/>
          <w:sz w:val="24"/>
          <w:highlight w:val="yellow"/>
        </w:rPr>
      </w:pPr>
    </w:p>
    <w:p w14:paraId="24AA1A1C" w14:textId="77777777" w:rsidR="00072D1F" w:rsidRPr="00DF691F" w:rsidRDefault="00072D1F" w:rsidP="00072D1F">
      <w:pPr>
        <w:spacing w:after="0" w:line="480" w:lineRule="auto"/>
        <w:rPr>
          <w:rFonts w:ascii="Times New Roman" w:hAnsi="Times New Roman" w:cs="Times New Roman"/>
          <w:sz w:val="24"/>
        </w:rPr>
      </w:pPr>
      <w:r w:rsidRPr="00DF691F">
        <w:rPr>
          <w:rFonts w:ascii="Times New Roman" w:hAnsi="Times New Roman" w:cs="Times New Roman"/>
          <w:sz w:val="24"/>
        </w:rPr>
        <w:t>The 2004 European Union enlargement triggered an unprecedented wave of 1.5 million Eastern European workers relocating to the UK. While the evidence shows that this massive migrant inflow had a very modest impact on the UK labor market, its wider effects on the UK population are still underexplored. In this paper, we went beyond the standard labor market effects of migration and explored how A8 migration affected life satisfaction of the UK residents.</w:t>
      </w:r>
    </w:p>
    <w:p w14:paraId="2CB86A88" w14:textId="77777777" w:rsidR="00072D1F" w:rsidRPr="00A35408" w:rsidRDefault="00072D1F" w:rsidP="00072D1F">
      <w:pPr>
        <w:spacing w:after="0" w:line="480" w:lineRule="auto"/>
        <w:rPr>
          <w:rFonts w:ascii="Times New Roman" w:hAnsi="Times New Roman" w:cs="Times New Roman"/>
          <w:sz w:val="24"/>
          <w:highlight w:val="cyan"/>
        </w:rPr>
      </w:pPr>
    </w:p>
    <w:p w14:paraId="39DBAC63" w14:textId="312132DB" w:rsidR="00072D1F" w:rsidRPr="0093245C" w:rsidRDefault="00072D1F" w:rsidP="00072D1F">
      <w:pPr>
        <w:spacing w:after="0" w:line="480" w:lineRule="auto"/>
        <w:rPr>
          <w:rFonts w:ascii="Times New Roman" w:hAnsi="Times New Roman" w:cs="Times New Roman"/>
          <w:sz w:val="24"/>
        </w:rPr>
      </w:pPr>
      <w:r w:rsidRPr="0093245C">
        <w:rPr>
          <w:rFonts w:ascii="Times New Roman" w:hAnsi="Times New Roman" w:cs="Times New Roman"/>
          <w:sz w:val="24"/>
        </w:rPr>
        <w:t>Combining data from the British Household Panel Survey with the administrative, local authority level information on A8 migrant inflows in England and Wales, we relate the changes in individual life satisfaction with the intensity of local-level immigration. The results of the estimations, which account for unobserved individual heterogeneity</w:t>
      </w:r>
      <w:r w:rsidR="00DF691F" w:rsidRPr="0093245C">
        <w:rPr>
          <w:rFonts w:ascii="Times New Roman" w:hAnsi="Times New Roman" w:cs="Times New Roman"/>
          <w:sz w:val="24"/>
        </w:rPr>
        <w:t xml:space="preserve">, time-invariant, </w:t>
      </w:r>
      <w:r w:rsidRPr="0093245C">
        <w:rPr>
          <w:rFonts w:ascii="Times New Roman" w:hAnsi="Times New Roman" w:cs="Times New Roman"/>
          <w:sz w:val="24"/>
        </w:rPr>
        <w:t xml:space="preserve">and time-varying local-level characteristics, </w:t>
      </w:r>
      <w:r w:rsidRPr="0093245C">
        <w:rPr>
          <w:rFonts w:ascii="Times New Roman" w:eastAsia="Times New Roman" w:hAnsi="Times New Roman" w:cs="Times New Roman"/>
          <w:sz w:val="24"/>
        </w:rPr>
        <w:t xml:space="preserve">show that immigration from the A8 countries in the UK is not </w:t>
      </w:r>
      <w:r w:rsidRPr="0093245C">
        <w:rPr>
          <w:rFonts w:ascii="Times New Roman" w:eastAsia="Times New Roman" w:hAnsi="Times New Roman" w:cs="Times New Roman"/>
          <w:i/>
          <w:sz w:val="24"/>
        </w:rPr>
        <w:t>on average</w:t>
      </w:r>
      <w:r w:rsidRPr="0093245C">
        <w:rPr>
          <w:rFonts w:ascii="Times New Roman" w:eastAsia="Times New Roman" w:hAnsi="Times New Roman" w:cs="Times New Roman"/>
          <w:sz w:val="24"/>
        </w:rPr>
        <w:t xml:space="preserve"> related to the life satisfaction of UK nationals. However, </w:t>
      </w:r>
      <w:r w:rsidRPr="0093245C">
        <w:rPr>
          <w:rFonts w:ascii="Times New Roman" w:hAnsi="Times New Roman" w:cs="Times New Roman"/>
          <w:sz w:val="24"/>
        </w:rPr>
        <w:t xml:space="preserve">more intense local-level immigration was associated with </w:t>
      </w:r>
      <w:r w:rsidR="00320640" w:rsidRPr="0093245C">
        <w:rPr>
          <w:rFonts w:ascii="Times New Roman" w:hAnsi="Times New Roman" w:cs="Times New Roman"/>
          <w:sz w:val="24"/>
        </w:rPr>
        <w:t xml:space="preserve">lower life satisfaction among older people, as well as the unemployed and </w:t>
      </w:r>
      <w:r w:rsidR="00DF691F" w:rsidRPr="0093245C">
        <w:rPr>
          <w:rFonts w:ascii="Times New Roman" w:hAnsi="Times New Roman" w:cs="Times New Roman"/>
          <w:sz w:val="24"/>
        </w:rPr>
        <w:t xml:space="preserve">the </w:t>
      </w:r>
      <w:r w:rsidR="00320640" w:rsidRPr="0093245C">
        <w:rPr>
          <w:rFonts w:ascii="Times New Roman" w:hAnsi="Times New Roman" w:cs="Times New Roman"/>
          <w:sz w:val="24"/>
        </w:rPr>
        <w:t>economically inactive, while the life satisfaction of younger people and those in employment went up with local-level immigration</w:t>
      </w:r>
      <w:r w:rsidRPr="0093245C">
        <w:rPr>
          <w:rFonts w:ascii="Times New Roman" w:hAnsi="Times New Roman" w:cs="Times New Roman"/>
          <w:sz w:val="24"/>
        </w:rPr>
        <w:t>.</w:t>
      </w:r>
      <w:r w:rsidR="00320640" w:rsidRPr="0093245C">
        <w:rPr>
          <w:rFonts w:ascii="Times New Roman" w:hAnsi="Times New Roman" w:cs="Times New Roman"/>
          <w:sz w:val="24"/>
        </w:rPr>
        <w:t xml:space="preserve"> We have also obtained somewhat weaker evidence that the life satisfaction of better educated </w:t>
      </w:r>
      <w:r w:rsidR="0093245C">
        <w:rPr>
          <w:rFonts w:ascii="Times New Roman" w:hAnsi="Times New Roman" w:cs="Times New Roman"/>
          <w:sz w:val="24"/>
        </w:rPr>
        <w:t>UK nationals</w:t>
      </w:r>
      <w:r w:rsidR="00320640" w:rsidRPr="0093245C">
        <w:rPr>
          <w:rFonts w:ascii="Times New Roman" w:hAnsi="Times New Roman" w:cs="Times New Roman"/>
          <w:sz w:val="24"/>
        </w:rPr>
        <w:t xml:space="preserve"> and those with high</w:t>
      </w:r>
      <w:r w:rsidR="0093245C">
        <w:rPr>
          <w:rFonts w:ascii="Times New Roman" w:hAnsi="Times New Roman" w:cs="Times New Roman"/>
          <w:sz w:val="24"/>
        </w:rPr>
        <w:t>er</w:t>
      </w:r>
      <w:r w:rsidR="00320640" w:rsidRPr="0093245C">
        <w:rPr>
          <w:rFonts w:ascii="Times New Roman" w:hAnsi="Times New Roman" w:cs="Times New Roman"/>
          <w:sz w:val="24"/>
        </w:rPr>
        <w:t xml:space="preserve"> incomes increased with immigration, while the life satisfaction of people with low incomes decreased with it. </w:t>
      </w:r>
      <w:r w:rsidR="0093245C">
        <w:rPr>
          <w:rFonts w:ascii="Times New Roman" w:hAnsi="Times New Roman" w:cs="Times New Roman"/>
          <w:sz w:val="24"/>
        </w:rPr>
        <w:t>All t</w:t>
      </w:r>
      <w:r w:rsidRPr="0093245C">
        <w:rPr>
          <w:rFonts w:ascii="Times New Roman" w:hAnsi="Times New Roman" w:cs="Times New Roman"/>
          <w:sz w:val="24"/>
        </w:rPr>
        <w:t>hese</w:t>
      </w:r>
      <w:r w:rsidR="0093245C">
        <w:rPr>
          <w:rFonts w:ascii="Times New Roman" w:hAnsi="Times New Roman" w:cs="Times New Roman"/>
          <w:sz w:val="24"/>
        </w:rPr>
        <w:t xml:space="preserve"> above-mentioned</w:t>
      </w:r>
      <w:r w:rsidRPr="0093245C">
        <w:rPr>
          <w:rFonts w:ascii="Times New Roman" w:hAnsi="Times New Roman" w:cs="Times New Roman"/>
          <w:sz w:val="24"/>
        </w:rPr>
        <w:t xml:space="preserve"> </w:t>
      </w:r>
      <w:r w:rsidR="00320640" w:rsidRPr="0093245C">
        <w:rPr>
          <w:rFonts w:ascii="Times New Roman" w:hAnsi="Times New Roman" w:cs="Times New Roman"/>
          <w:sz w:val="24"/>
        </w:rPr>
        <w:t xml:space="preserve">associations </w:t>
      </w:r>
      <w:r w:rsidRPr="0093245C">
        <w:rPr>
          <w:rFonts w:ascii="Times New Roman" w:hAnsi="Times New Roman" w:cs="Times New Roman"/>
          <w:sz w:val="24"/>
        </w:rPr>
        <w:t xml:space="preserve">were pronounced in the ‘migration shock’ period – the first two years after the UK opened its labor market to the new Europeans – and became statistically insignificant in the longer term. </w:t>
      </w:r>
    </w:p>
    <w:p w14:paraId="3B7128A8" w14:textId="77777777" w:rsidR="00072D1F" w:rsidRPr="00A35408" w:rsidRDefault="00072D1F" w:rsidP="0027251E">
      <w:pPr>
        <w:spacing w:after="0" w:line="480" w:lineRule="auto"/>
        <w:rPr>
          <w:b/>
          <w:highlight w:val="cyan"/>
        </w:rPr>
      </w:pPr>
    </w:p>
    <w:p w14:paraId="7F3194F0" w14:textId="6DBC7950" w:rsidR="00BC0339" w:rsidRPr="004C6B5D" w:rsidRDefault="00A06C3D" w:rsidP="0027251E">
      <w:pPr>
        <w:spacing w:after="0" w:line="480" w:lineRule="auto"/>
        <w:rPr>
          <w:rFonts w:ascii="Times New Roman" w:eastAsia="Times New Roman" w:hAnsi="Times New Roman" w:cs="Times New Roman"/>
          <w:sz w:val="24"/>
        </w:rPr>
      </w:pPr>
      <w:r w:rsidRPr="004C6B5D">
        <w:rPr>
          <w:rFonts w:ascii="Times New Roman" w:hAnsi="Times New Roman" w:cs="Times New Roman"/>
          <w:sz w:val="24"/>
        </w:rPr>
        <w:t xml:space="preserve">How can one explain these results? </w:t>
      </w:r>
      <w:r w:rsidR="00D06A56" w:rsidRPr="004C6B5D">
        <w:rPr>
          <w:rFonts w:ascii="Times New Roman" w:hAnsi="Times New Roman" w:cs="Times New Roman"/>
          <w:sz w:val="24"/>
        </w:rPr>
        <w:t xml:space="preserve">A positive </w:t>
      </w:r>
      <w:r w:rsidR="00BC0339" w:rsidRPr="004C6B5D">
        <w:rPr>
          <w:rFonts w:ascii="Times New Roman" w:hAnsi="Times New Roman" w:cs="Times New Roman"/>
          <w:sz w:val="24"/>
        </w:rPr>
        <w:t>association between</w:t>
      </w:r>
      <w:r w:rsidR="00D06A56" w:rsidRPr="004C6B5D">
        <w:rPr>
          <w:rFonts w:ascii="Times New Roman" w:hAnsi="Times New Roman" w:cs="Times New Roman"/>
          <w:sz w:val="24"/>
        </w:rPr>
        <w:t xml:space="preserve"> immigration </w:t>
      </w:r>
      <w:r w:rsidR="00BC0339" w:rsidRPr="004C6B5D">
        <w:rPr>
          <w:rFonts w:ascii="Times New Roman" w:hAnsi="Times New Roman" w:cs="Times New Roman"/>
          <w:sz w:val="24"/>
        </w:rPr>
        <w:t>and</w:t>
      </w:r>
      <w:r w:rsidR="00D06A56" w:rsidRPr="004C6B5D">
        <w:rPr>
          <w:rFonts w:ascii="Times New Roman" w:hAnsi="Times New Roman" w:cs="Times New Roman"/>
          <w:sz w:val="24"/>
        </w:rPr>
        <w:t xml:space="preserve"> life satisfaction </w:t>
      </w:r>
      <w:r w:rsidR="00862858" w:rsidRPr="004C6B5D">
        <w:rPr>
          <w:rFonts w:ascii="Times New Roman" w:hAnsi="Times New Roman" w:cs="Times New Roman"/>
          <w:sz w:val="24"/>
        </w:rPr>
        <w:t xml:space="preserve">for </w:t>
      </w:r>
      <w:r w:rsidR="00B30065" w:rsidRPr="004C6B5D">
        <w:rPr>
          <w:rFonts w:ascii="Times New Roman" w:hAnsi="Times New Roman" w:cs="Times New Roman"/>
          <w:sz w:val="24"/>
        </w:rPr>
        <w:t xml:space="preserve">the young </w:t>
      </w:r>
      <w:r w:rsidR="00BC0339" w:rsidRPr="004C6B5D">
        <w:rPr>
          <w:rFonts w:ascii="Times New Roman" w:hAnsi="Times New Roman" w:cs="Times New Roman"/>
          <w:sz w:val="24"/>
        </w:rPr>
        <w:t xml:space="preserve">could be because </w:t>
      </w:r>
      <w:r w:rsidR="00BC0339" w:rsidRPr="004C6B5D">
        <w:rPr>
          <w:rFonts w:ascii="Times New Roman" w:eastAsia="Times New Roman" w:hAnsi="Times New Roman" w:cs="Times New Roman"/>
          <w:sz w:val="24"/>
        </w:rPr>
        <w:t>young people are in</w:t>
      </w:r>
      <w:r w:rsidR="00BC0339" w:rsidRPr="004C6B5D">
        <w:rPr>
          <w:rFonts w:ascii="Times New Roman" w:hAnsi="Times New Roman" w:cs="Times New Roman"/>
          <w:sz w:val="24"/>
        </w:rPr>
        <w:t xml:space="preserve"> favor of diversity brought about by immigration. In contrast, older people </w:t>
      </w:r>
      <w:r w:rsidR="00BC0339" w:rsidRPr="004C6B5D">
        <w:rPr>
          <w:rFonts w:ascii="Times New Roman" w:eastAsia="Times New Roman" w:hAnsi="Times New Roman" w:cs="Times New Roman"/>
          <w:sz w:val="24"/>
        </w:rPr>
        <w:t>might be particularly opposed to diversity and change, as well as be concerned with the (perceived) pressure immigrants put on local health services; this could explain why the elderly become less life-satisfied when larger immigrant inflows take place. Overall, the age group differences corroborate a finding from the literature on attitudes towards immigration that old people are more opposed to immigration than young people (Mayda</w:t>
      </w:r>
      <w:r w:rsidR="00820551">
        <w:rPr>
          <w:rFonts w:ascii="Times New Roman" w:eastAsia="Times New Roman" w:hAnsi="Times New Roman" w:cs="Times New Roman"/>
          <w:sz w:val="24"/>
        </w:rPr>
        <w:t>,</w:t>
      </w:r>
      <w:r w:rsidR="00BC0339" w:rsidRPr="004C6B5D">
        <w:rPr>
          <w:rFonts w:ascii="Times New Roman" w:eastAsia="Times New Roman" w:hAnsi="Times New Roman" w:cs="Times New Roman"/>
          <w:sz w:val="24"/>
        </w:rPr>
        <w:t xml:space="preserve"> 2006; Facchini and Mayda</w:t>
      </w:r>
      <w:r w:rsidR="00820551">
        <w:rPr>
          <w:rFonts w:ascii="Times New Roman" w:eastAsia="Times New Roman" w:hAnsi="Times New Roman" w:cs="Times New Roman"/>
          <w:sz w:val="24"/>
        </w:rPr>
        <w:t>,</w:t>
      </w:r>
      <w:r w:rsidR="00BC0339" w:rsidRPr="004C6B5D">
        <w:rPr>
          <w:rFonts w:ascii="Times New Roman" w:eastAsia="Times New Roman" w:hAnsi="Times New Roman" w:cs="Times New Roman"/>
          <w:sz w:val="24"/>
        </w:rPr>
        <w:t xml:space="preserve"> 2008; Malcow-M</w:t>
      </w:r>
      <w:r w:rsidR="001214C1">
        <w:rPr>
          <w:rFonts w:ascii="Times New Roman" w:hAnsi="Times New Roman" w:cs="Times New Roman"/>
          <w:sz w:val="24"/>
          <w:szCs w:val="24"/>
        </w:rPr>
        <w:t>ø</w:t>
      </w:r>
      <w:r w:rsidR="00BC0339" w:rsidRPr="004C6B5D">
        <w:rPr>
          <w:rFonts w:ascii="Times New Roman" w:eastAsia="Times New Roman" w:hAnsi="Times New Roman" w:cs="Times New Roman"/>
          <w:sz w:val="24"/>
        </w:rPr>
        <w:t>ller</w:t>
      </w:r>
      <w:r w:rsidR="001214C1">
        <w:rPr>
          <w:rFonts w:ascii="Times New Roman" w:eastAsia="Times New Roman" w:hAnsi="Times New Roman" w:cs="Times New Roman"/>
          <w:sz w:val="24"/>
        </w:rPr>
        <w:t xml:space="preserve"> et al.</w:t>
      </w:r>
      <w:r w:rsidR="00820551">
        <w:rPr>
          <w:rFonts w:ascii="Times New Roman" w:eastAsia="Times New Roman" w:hAnsi="Times New Roman" w:cs="Times New Roman"/>
          <w:sz w:val="24"/>
        </w:rPr>
        <w:t>,</w:t>
      </w:r>
      <w:r w:rsidR="00BC0339" w:rsidRPr="004C6B5D">
        <w:rPr>
          <w:rFonts w:ascii="Times New Roman" w:eastAsia="Times New Roman" w:hAnsi="Times New Roman" w:cs="Times New Roman"/>
          <w:sz w:val="24"/>
        </w:rPr>
        <w:t xml:space="preserve"> 2008).</w:t>
      </w:r>
      <w:r w:rsidR="00BC0339" w:rsidRPr="004C6B5D">
        <w:rPr>
          <w:rStyle w:val="FootnoteReference"/>
          <w:rFonts w:ascii="Times New Roman" w:eastAsia="Times New Roman" w:hAnsi="Times New Roman" w:cs="Times New Roman"/>
          <w:sz w:val="24"/>
        </w:rPr>
        <w:footnoteReference w:id="19"/>
      </w:r>
      <w:r w:rsidR="00BC0339" w:rsidRPr="004C6B5D">
        <w:rPr>
          <w:rFonts w:ascii="Times New Roman" w:eastAsia="Times New Roman" w:hAnsi="Times New Roman" w:cs="Times New Roman"/>
          <w:sz w:val="24"/>
        </w:rPr>
        <w:t xml:space="preserve"> It is thus likely that people’s attitudes towards immigration, possibly strengthened by actual encounters with immigrants, feed into life satisfaction.</w:t>
      </w:r>
    </w:p>
    <w:p w14:paraId="2C2BA836" w14:textId="77777777" w:rsidR="00BC0339" w:rsidRPr="00A35408" w:rsidRDefault="00BC0339" w:rsidP="0027251E">
      <w:pPr>
        <w:spacing w:after="0" w:line="480" w:lineRule="auto"/>
        <w:rPr>
          <w:rFonts w:ascii="Times New Roman" w:eastAsia="Times New Roman" w:hAnsi="Times New Roman" w:cs="Times New Roman"/>
          <w:sz w:val="24"/>
          <w:highlight w:val="cyan"/>
        </w:rPr>
      </w:pPr>
    </w:p>
    <w:p w14:paraId="21E0DE2F" w14:textId="00222E45" w:rsidR="00BC0339" w:rsidRPr="004C6B5D" w:rsidRDefault="00BC0339" w:rsidP="0027251E">
      <w:pPr>
        <w:spacing w:after="0" w:line="480" w:lineRule="auto"/>
        <w:rPr>
          <w:rFonts w:ascii="Times New Roman" w:eastAsia="Times New Roman" w:hAnsi="Times New Roman" w:cs="Times New Roman"/>
          <w:sz w:val="24"/>
        </w:rPr>
      </w:pPr>
      <w:r w:rsidRPr="004C6B5D">
        <w:rPr>
          <w:rFonts w:ascii="Times New Roman" w:eastAsia="Times New Roman" w:hAnsi="Times New Roman" w:cs="Times New Roman"/>
          <w:sz w:val="24"/>
        </w:rPr>
        <w:t xml:space="preserve">The negative association between the local immigration rate and </w:t>
      </w:r>
      <w:r w:rsidR="00336F9A" w:rsidRPr="004C6B5D">
        <w:rPr>
          <w:rFonts w:ascii="Times New Roman" w:eastAsia="Times New Roman" w:hAnsi="Times New Roman" w:cs="Times New Roman"/>
          <w:sz w:val="24"/>
        </w:rPr>
        <w:t xml:space="preserve">life satisfaction among the unemployed could mean that people in this group feel that their </w:t>
      </w:r>
      <w:r w:rsidR="00040B6B" w:rsidRPr="004C6B5D">
        <w:rPr>
          <w:rFonts w:ascii="Times New Roman" w:eastAsia="Times New Roman" w:hAnsi="Times New Roman" w:cs="Times New Roman"/>
          <w:sz w:val="24"/>
        </w:rPr>
        <w:t xml:space="preserve">chances of getting back </w:t>
      </w:r>
      <w:r w:rsidR="004C6B5D">
        <w:rPr>
          <w:rFonts w:ascii="Times New Roman" w:eastAsia="Times New Roman" w:hAnsi="Times New Roman" w:cs="Times New Roman"/>
          <w:sz w:val="24"/>
        </w:rPr>
        <w:t xml:space="preserve">to work </w:t>
      </w:r>
      <w:r w:rsidR="00820551">
        <w:rPr>
          <w:rFonts w:ascii="Times New Roman" w:eastAsia="Times New Roman" w:hAnsi="Times New Roman" w:cs="Times New Roman"/>
          <w:sz w:val="24"/>
        </w:rPr>
        <w:t>and</w:t>
      </w:r>
      <w:r w:rsidR="004C6B5D">
        <w:rPr>
          <w:rFonts w:ascii="Times New Roman" w:eastAsia="Times New Roman" w:hAnsi="Times New Roman" w:cs="Times New Roman"/>
          <w:sz w:val="24"/>
        </w:rPr>
        <w:t xml:space="preserve"> their labour </w:t>
      </w:r>
      <w:r w:rsidR="00040B6B" w:rsidRPr="004C6B5D">
        <w:rPr>
          <w:rFonts w:ascii="Times New Roman" w:eastAsia="Times New Roman" w:hAnsi="Times New Roman" w:cs="Times New Roman"/>
          <w:sz w:val="24"/>
        </w:rPr>
        <w:t xml:space="preserve">market </w:t>
      </w:r>
      <w:r w:rsidR="00336F9A" w:rsidRPr="004C6B5D">
        <w:rPr>
          <w:rFonts w:ascii="Times New Roman" w:eastAsia="Times New Roman" w:hAnsi="Times New Roman" w:cs="Times New Roman"/>
          <w:sz w:val="24"/>
        </w:rPr>
        <w:t>bargaining power</w:t>
      </w:r>
      <w:r w:rsidR="00820551">
        <w:rPr>
          <w:rFonts w:ascii="Times New Roman" w:eastAsia="Times New Roman" w:hAnsi="Times New Roman" w:cs="Times New Roman"/>
          <w:sz w:val="24"/>
        </w:rPr>
        <w:t xml:space="preserve"> </w:t>
      </w:r>
      <w:r w:rsidR="00336F9A" w:rsidRPr="004C6B5D">
        <w:rPr>
          <w:rFonts w:ascii="Times New Roman" w:eastAsia="Times New Roman" w:hAnsi="Times New Roman" w:cs="Times New Roman"/>
          <w:sz w:val="24"/>
        </w:rPr>
        <w:t xml:space="preserve">get </w:t>
      </w:r>
      <w:r w:rsidR="00820551">
        <w:rPr>
          <w:rFonts w:ascii="Times New Roman" w:eastAsia="Times New Roman" w:hAnsi="Times New Roman" w:cs="Times New Roman"/>
          <w:sz w:val="24"/>
        </w:rPr>
        <w:t>weaker</w:t>
      </w:r>
      <w:r w:rsidR="004C6B5D">
        <w:rPr>
          <w:rFonts w:ascii="Times New Roman" w:eastAsia="Times New Roman" w:hAnsi="Times New Roman" w:cs="Times New Roman"/>
          <w:sz w:val="24"/>
        </w:rPr>
        <w:t xml:space="preserve"> </w:t>
      </w:r>
      <w:r w:rsidR="00336F9A" w:rsidRPr="004C6B5D">
        <w:rPr>
          <w:rFonts w:ascii="Times New Roman" w:eastAsia="Times New Roman" w:hAnsi="Times New Roman" w:cs="Times New Roman"/>
          <w:sz w:val="24"/>
        </w:rPr>
        <w:t>with</w:t>
      </w:r>
      <w:r w:rsidR="00040B6B" w:rsidRPr="004C6B5D">
        <w:rPr>
          <w:rFonts w:ascii="Times New Roman" w:eastAsia="Times New Roman" w:hAnsi="Times New Roman" w:cs="Times New Roman"/>
          <w:sz w:val="24"/>
        </w:rPr>
        <w:t xml:space="preserve"> higher levels of</w:t>
      </w:r>
      <w:r w:rsidR="004C6B5D">
        <w:rPr>
          <w:rFonts w:ascii="Times New Roman" w:eastAsia="Times New Roman" w:hAnsi="Times New Roman" w:cs="Times New Roman"/>
          <w:sz w:val="24"/>
        </w:rPr>
        <w:t xml:space="preserve"> immigration – a </w:t>
      </w:r>
      <w:r w:rsidR="00336F9A" w:rsidRPr="004C6B5D">
        <w:rPr>
          <w:rFonts w:ascii="Times New Roman" w:eastAsia="Times New Roman" w:hAnsi="Times New Roman" w:cs="Times New Roman"/>
          <w:sz w:val="24"/>
        </w:rPr>
        <w:t>form</w:t>
      </w:r>
      <w:r w:rsidR="004C6B5D">
        <w:rPr>
          <w:rFonts w:ascii="Times New Roman" w:eastAsia="Times New Roman" w:hAnsi="Times New Roman" w:cs="Times New Roman"/>
          <w:sz w:val="24"/>
        </w:rPr>
        <w:t xml:space="preserve"> of labour market competition. </w:t>
      </w:r>
      <w:r w:rsidR="00336F9A" w:rsidRPr="004C6B5D">
        <w:rPr>
          <w:rFonts w:ascii="Times New Roman" w:eastAsia="Times New Roman" w:hAnsi="Times New Roman" w:cs="Times New Roman"/>
          <w:sz w:val="24"/>
        </w:rPr>
        <w:t>At the same time, those in employment do not seem to be threatened by labour market competition, as their life satisfaction increases with the le</w:t>
      </w:r>
      <w:r w:rsidR="004C6B5D">
        <w:rPr>
          <w:rFonts w:ascii="Times New Roman" w:eastAsia="Times New Roman" w:hAnsi="Times New Roman" w:cs="Times New Roman"/>
          <w:sz w:val="24"/>
        </w:rPr>
        <w:t>vels of local immigration. This i</w:t>
      </w:r>
      <w:r w:rsidR="00336F9A" w:rsidRPr="004C6B5D">
        <w:rPr>
          <w:rFonts w:ascii="Times New Roman" w:hAnsi="Times New Roman" w:cs="Times New Roman"/>
          <w:sz w:val="24"/>
        </w:rPr>
        <w:t>s consistent with the evidence that the post-enlargement immigration did not have adverse effects on UK wages and unemployment (</w:t>
      </w:r>
      <w:r w:rsidR="00336F9A" w:rsidRPr="004C6B5D">
        <w:rPr>
          <w:rFonts w:ascii="Times New Roman" w:eastAsia="Times New Roman" w:hAnsi="Times New Roman" w:cs="Times New Roman"/>
          <w:sz w:val="24"/>
        </w:rPr>
        <w:t>Gilpin et al.</w:t>
      </w:r>
      <w:r w:rsidR="00820551">
        <w:rPr>
          <w:rFonts w:ascii="Times New Roman" w:eastAsia="Times New Roman" w:hAnsi="Times New Roman" w:cs="Times New Roman"/>
          <w:sz w:val="24"/>
        </w:rPr>
        <w:t>,</w:t>
      </w:r>
      <w:r w:rsidR="00336F9A" w:rsidRPr="004C6B5D">
        <w:rPr>
          <w:rFonts w:ascii="Times New Roman" w:eastAsia="Times New Roman" w:hAnsi="Times New Roman" w:cs="Times New Roman"/>
          <w:sz w:val="24"/>
        </w:rPr>
        <w:t xml:space="preserve"> 2006; Lem</w:t>
      </w:r>
      <w:r w:rsidR="004C6B5D">
        <w:rPr>
          <w:rFonts w:ascii="Times New Roman" w:eastAsia="Times New Roman" w:hAnsi="Times New Roman" w:cs="Times New Roman"/>
          <w:sz w:val="24"/>
        </w:rPr>
        <w:t>os and Portes</w:t>
      </w:r>
      <w:r w:rsidR="00820551">
        <w:rPr>
          <w:rFonts w:ascii="Times New Roman" w:eastAsia="Times New Roman" w:hAnsi="Times New Roman" w:cs="Times New Roman"/>
          <w:sz w:val="24"/>
        </w:rPr>
        <w:t>,</w:t>
      </w:r>
      <w:r w:rsidR="004C6B5D">
        <w:rPr>
          <w:rFonts w:ascii="Times New Roman" w:eastAsia="Times New Roman" w:hAnsi="Times New Roman" w:cs="Times New Roman"/>
          <w:sz w:val="24"/>
        </w:rPr>
        <w:t xml:space="preserve"> 2013; Lemos</w:t>
      </w:r>
      <w:r w:rsidR="00820551">
        <w:rPr>
          <w:rFonts w:ascii="Times New Roman" w:eastAsia="Times New Roman" w:hAnsi="Times New Roman" w:cs="Times New Roman"/>
          <w:sz w:val="24"/>
        </w:rPr>
        <w:t>,</w:t>
      </w:r>
      <w:r w:rsidR="004C6B5D">
        <w:rPr>
          <w:rFonts w:ascii="Times New Roman" w:eastAsia="Times New Roman" w:hAnsi="Times New Roman" w:cs="Times New Roman"/>
          <w:sz w:val="24"/>
        </w:rPr>
        <w:t xml:space="preserve"> 2014), </w:t>
      </w:r>
      <w:r w:rsidR="00336F9A" w:rsidRPr="004C6B5D">
        <w:rPr>
          <w:rFonts w:ascii="Times New Roman" w:eastAsia="Times New Roman" w:hAnsi="Times New Roman" w:cs="Times New Roman"/>
          <w:sz w:val="24"/>
        </w:rPr>
        <w:t xml:space="preserve">as well as </w:t>
      </w:r>
      <w:r w:rsidR="004C6B5D">
        <w:rPr>
          <w:rFonts w:ascii="Times New Roman" w:eastAsia="Times New Roman" w:hAnsi="Times New Roman" w:cs="Times New Roman"/>
          <w:sz w:val="24"/>
        </w:rPr>
        <w:t xml:space="preserve">the </w:t>
      </w:r>
      <w:r w:rsidR="00336F9A" w:rsidRPr="004C6B5D">
        <w:rPr>
          <w:rFonts w:ascii="Times New Roman" w:eastAsia="Times New Roman" w:hAnsi="Times New Roman" w:cs="Times New Roman"/>
          <w:sz w:val="24"/>
        </w:rPr>
        <w:t xml:space="preserve">evidence that natives move to </w:t>
      </w:r>
      <w:r w:rsidR="00040B6B" w:rsidRPr="004C6B5D">
        <w:rPr>
          <w:rFonts w:ascii="Times New Roman" w:eastAsia="Times New Roman" w:hAnsi="Times New Roman" w:cs="Times New Roman"/>
          <w:sz w:val="24"/>
        </w:rPr>
        <w:t>other, potentially more desirable, types of job</w:t>
      </w:r>
      <w:r w:rsidR="004C6B5D">
        <w:rPr>
          <w:rFonts w:ascii="Times New Roman" w:eastAsia="Times New Roman" w:hAnsi="Times New Roman" w:cs="Times New Roman"/>
          <w:sz w:val="24"/>
        </w:rPr>
        <w:t>s</w:t>
      </w:r>
      <w:r w:rsidR="00040B6B" w:rsidRPr="004C6B5D">
        <w:rPr>
          <w:rFonts w:ascii="Times New Roman" w:eastAsia="Times New Roman" w:hAnsi="Times New Roman" w:cs="Times New Roman"/>
          <w:sz w:val="24"/>
        </w:rPr>
        <w:t xml:space="preserve"> (such as communication-intensive jobs) as immigrants come in (Peri, 2014). The negative association between the local </w:t>
      </w:r>
      <w:r w:rsidR="00014B82" w:rsidRPr="004C6B5D">
        <w:rPr>
          <w:rFonts w:ascii="Times New Roman" w:eastAsia="Times New Roman" w:hAnsi="Times New Roman" w:cs="Times New Roman"/>
          <w:sz w:val="24"/>
        </w:rPr>
        <w:t xml:space="preserve">immigration rate and life satisfaction among the economically inactive </w:t>
      </w:r>
      <w:r w:rsidR="00A90580" w:rsidRPr="004C6B5D">
        <w:rPr>
          <w:rFonts w:ascii="Times New Roman" w:eastAsia="Times New Roman" w:hAnsi="Times New Roman" w:cs="Times New Roman"/>
          <w:sz w:val="24"/>
        </w:rPr>
        <w:t xml:space="preserve">echoes the negative association between the two variables among the elderly: the latter are </w:t>
      </w:r>
      <w:r w:rsidR="00C9776F">
        <w:rPr>
          <w:rFonts w:ascii="Times New Roman" w:eastAsia="Times New Roman" w:hAnsi="Times New Roman" w:cs="Times New Roman"/>
          <w:sz w:val="24"/>
        </w:rPr>
        <w:t xml:space="preserve">retired </w:t>
      </w:r>
      <w:r w:rsidR="004C6B5D">
        <w:rPr>
          <w:rFonts w:ascii="Times New Roman" w:eastAsia="Times New Roman" w:hAnsi="Times New Roman" w:cs="Times New Roman"/>
          <w:sz w:val="24"/>
        </w:rPr>
        <w:t xml:space="preserve">and </w:t>
      </w:r>
      <w:r w:rsidR="00A90580" w:rsidRPr="004C6B5D">
        <w:rPr>
          <w:rFonts w:ascii="Times New Roman" w:eastAsia="Times New Roman" w:hAnsi="Times New Roman" w:cs="Times New Roman"/>
          <w:sz w:val="24"/>
        </w:rPr>
        <w:t>less likely to participate in the labour force</w:t>
      </w:r>
      <w:r w:rsidR="004C6B5D">
        <w:rPr>
          <w:rFonts w:ascii="Times New Roman" w:eastAsia="Times New Roman" w:hAnsi="Times New Roman" w:cs="Times New Roman"/>
          <w:sz w:val="24"/>
        </w:rPr>
        <w:t xml:space="preserve">, while the largest part </w:t>
      </w:r>
      <w:r w:rsidR="00C9776F">
        <w:rPr>
          <w:rFonts w:ascii="Times New Roman" w:eastAsia="Times New Roman" w:hAnsi="Times New Roman" w:cs="Times New Roman"/>
          <w:sz w:val="24"/>
        </w:rPr>
        <w:t xml:space="preserve">(around 60%) </w:t>
      </w:r>
      <w:r w:rsidR="004C6B5D">
        <w:rPr>
          <w:rFonts w:ascii="Times New Roman" w:eastAsia="Times New Roman" w:hAnsi="Times New Roman" w:cs="Times New Roman"/>
          <w:sz w:val="24"/>
        </w:rPr>
        <w:t xml:space="preserve">of inactive people in our </w:t>
      </w:r>
      <w:r w:rsidR="00820551">
        <w:rPr>
          <w:rFonts w:ascii="Times New Roman" w:eastAsia="Times New Roman" w:hAnsi="Times New Roman" w:cs="Times New Roman"/>
          <w:sz w:val="24"/>
        </w:rPr>
        <w:t>sample</w:t>
      </w:r>
      <w:r w:rsidR="004C6B5D">
        <w:rPr>
          <w:rFonts w:ascii="Times New Roman" w:eastAsia="Times New Roman" w:hAnsi="Times New Roman" w:cs="Times New Roman"/>
          <w:sz w:val="24"/>
        </w:rPr>
        <w:t xml:space="preserve"> consists </w:t>
      </w:r>
      <w:r w:rsidR="00820551">
        <w:rPr>
          <w:rFonts w:ascii="Times New Roman" w:eastAsia="Times New Roman" w:hAnsi="Times New Roman" w:cs="Times New Roman"/>
          <w:sz w:val="24"/>
        </w:rPr>
        <w:t>of</w:t>
      </w:r>
      <w:r w:rsidR="00C9776F">
        <w:rPr>
          <w:rFonts w:ascii="Times New Roman" w:eastAsia="Times New Roman" w:hAnsi="Times New Roman" w:cs="Times New Roman"/>
          <w:sz w:val="24"/>
        </w:rPr>
        <w:t xml:space="preserve"> retired people</w:t>
      </w:r>
      <w:r w:rsidR="00A90580" w:rsidRPr="004C6B5D">
        <w:rPr>
          <w:rFonts w:ascii="Times New Roman" w:eastAsia="Times New Roman" w:hAnsi="Times New Roman" w:cs="Times New Roman"/>
          <w:sz w:val="24"/>
        </w:rPr>
        <w:t xml:space="preserve">. </w:t>
      </w:r>
    </w:p>
    <w:p w14:paraId="4AB87E40" w14:textId="77777777" w:rsidR="00A90580" w:rsidRPr="00A35408" w:rsidRDefault="00A90580" w:rsidP="0027251E">
      <w:pPr>
        <w:spacing w:after="0" w:line="480" w:lineRule="auto"/>
        <w:rPr>
          <w:rFonts w:ascii="Times New Roman" w:eastAsia="Times New Roman" w:hAnsi="Times New Roman" w:cs="Times New Roman"/>
          <w:sz w:val="24"/>
          <w:highlight w:val="cyan"/>
        </w:rPr>
      </w:pPr>
    </w:p>
    <w:p w14:paraId="22D03A8A" w14:textId="3D676227" w:rsidR="00BD61A8" w:rsidRPr="00444F17" w:rsidRDefault="00800A76" w:rsidP="00BD61A8">
      <w:pPr>
        <w:spacing w:after="0" w:line="480" w:lineRule="auto"/>
        <w:rPr>
          <w:rFonts w:ascii="Times New Roman" w:eastAsia="Times New Roman" w:hAnsi="Times New Roman" w:cs="Times New Roman"/>
          <w:sz w:val="24"/>
        </w:rPr>
      </w:pPr>
      <w:r w:rsidRPr="00444F17">
        <w:rPr>
          <w:rFonts w:ascii="Times New Roman" w:eastAsia="Times New Roman" w:hAnsi="Times New Roman" w:cs="Times New Roman"/>
          <w:sz w:val="24"/>
        </w:rPr>
        <w:t>The finding</w:t>
      </w:r>
      <w:r w:rsidR="000B6464" w:rsidRPr="00444F17">
        <w:rPr>
          <w:rFonts w:ascii="Times New Roman" w:eastAsia="Times New Roman" w:hAnsi="Times New Roman" w:cs="Times New Roman"/>
          <w:sz w:val="24"/>
        </w:rPr>
        <w:t xml:space="preserve"> </w:t>
      </w:r>
      <w:r w:rsidR="00A90580" w:rsidRPr="00444F17">
        <w:rPr>
          <w:rFonts w:ascii="Times New Roman" w:eastAsia="Times New Roman" w:hAnsi="Times New Roman" w:cs="Times New Roman"/>
          <w:sz w:val="24"/>
        </w:rPr>
        <w:t xml:space="preserve">that life satisfaction increases with local-level immigration among those with high incomes and relatively </w:t>
      </w:r>
      <w:r w:rsidR="000B6464" w:rsidRPr="00444F17">
        <w:rPr>
          <w:rFonts w:ascii="Times New Roman" w:eastAsia="Times New Roman" w:hAnsi="Times New Roman" w:cs="Times New Roman"/>
          <w:sz w:val="24"/>
        </w:rPr>
        <w:t xml:space="preserve">high levels of education, </w:t>
      </w:r>
      <w:r w:rsidR="00444F17" w:rsidRPr="00444F17">
        <w:rPr>
          <w:rFonts w:ascii="Times New Roman" w:eastAsia="Times New Roman" w:hAnsi="Times New Roman" w:cs="Times New Roman"/>
          <w:sz w:val="24"/>
        </w:rPr>
        <w:t xml:space="preserve">even </w:t>
      </w:r>
      <w:r w:rsidR="000B6464" w:rsidRPr="00444F17">
        <w:rPr>
          <w:rFonts w:ascii="Times New Roman" w:eastAsia="Times New Roman" w:hAnsi="Times New Roman" w:cs="Times New Roman"/>
          <w:sz w:val="24"/>
        </w:rPr>
        <w:t xml:space="preserve">if of weaker significance than the age and employment status interactions, </w:t>
      </w:r>
      <w:r w:rsidR="00A90580" w:rsidRPr="00444F17">
        <w:rPr>
          <w:rFonts w:ascii="Times New Roman" w:eastAsia="Times New Roman" w:hAnsi="Times New Roman" w:cs="Times New Roman"/>
          <w:sz w:val="24"/>
        </w:rPr>
        <w:t>could indicate that these groups do not perceive Eastern European migrants as labour market competitors (which is consistent with the fact that the A8 migrants are concentrated in low-skilled sectors/occupations)</w:t>
      </w:r>
      <w:r w:rsidR="000B6464" w:rsidRPr="00444F17">
        <w:rPr>
          <w:rFonts w:ascii="Times New Roman" w:eastAsia="Times New Roman" w:hAnsi="Times New Roman" w:cs="Times New Roman"/>
          <w:sz w:val="24"/>
        </w:rPr>
        <w:t xml:space="preserve">. Instead, the wealthier and better educated could be gaining in life </w:t>
      </w:r>
      <w:r w:rsidR="00A90580" w:rsidRPr="00444F17">
        <w:rPr>
          <w:rFonts w:ascii="Times New Roman" w:eastAsia="Times New Roman" w:hAnsi="Times New Roman" w:cs="Times New Roman"/>
          <w:sz w:val="24"/>
        </w:rPr>
        <w:t>satisfaction</w:t>
      </w:r>
      <w:r w:rsidR="00444F17">
        <w:rPr>
          <w:rFonts w:ascii="Times New Roman" w:eastAsia="Times New Roman" w:hAnsi="Times New Roman" w:cs="Times New Roman"/>
          <w:sz w:val="24"/>
        </w:rPr>
        <w:t xml:space="preserve"> through, for example, </w:t>
      </w:r>
      <w:r w:rsidR="000B6464" w:rsidRPr="00444F17">
        <w:rPr>
          <w:rFonts w:ascii="Times New Roman" w:eastAsia="Times New Roman" w:hAnsi="Times New Roman" w:cs="Times New Roman"/>
          <w:sz w:val="24"/>
        </w:rPr>
        <w:t>enhanced social life (many A8 migrants are emplo</w:t>
      </w:r>
      <w:r w:rsidR="00444F17">
        <w:rPr>
          <w:rFonts w:ascii="Times New Roman" w:eastAsia="Times New Roman" w:hAnsi="Times New Roman" w:cs="Times New Roman"/>
          <w:sz w:val="24"/>
        </w:rPr>
        <w:t xml:space="preserve">yed in the hospitality industry, </w:t>
      </w:r>
      <w:r w:rsidR="000B6464" w:rsidRPr="00444F17">
        <w:rPr>
          <w:rFonts w:ascii="Times New Roman" w:eastAsia="Times New Roman" w:hAnsi="Times New Roman" w:cs="Times New Roman"/>
          <w:sz w:val="24"/>
        </w:rPr>
        <w:t>keeping its product prices low) or satisfaction with hous</w:t>
      </w:r>
      <w:r w:rsidR="00BD61A8" w:rsidRPr="00444F17">
        <w:rPr>
          <w:rFonts w:ascii="Times New Roman" w:eastAsia="Times New Roman" w:hAnsi="Times New Roman" w:cs="Times New Roman"/>
          <w:sz w:val="24"/>
        </w:rPr>
        <w:t>e or family life</w:t>
      </w:r>
      <w:r w:rsidR="000B6464" w:rsidRPr="00444F17">
        <w:rPr>
          <w:rFonts w:ascii="Times New Roman" w:eastAsia="Times New Roman" w:hAnsi="Times New Roman" w:cs="Times New Roman"/>
          <w:sz w:val="24"/>
        </w:rPr>
        <w:t xml:space="preserve"> (A8 migrants </w:t>
      </w:r>
      <w:r w:rsidR="00BD61A8" w:rsidRPr="00444F17">
        <w:rPr>
          <w:rFonts w:ascii="Times New Roman" w:eastAsia="Times New Roman" w:hAnsi="Times New Roman" w:cs="Times New Roman"/>
          <w:sz w:val="24"/>
        </w:rPr>
        <w:t xml:space="preserve">increased the supply of cheap household services). These conjectures echo the results by Akay et al. (2014), who show that immigration increases satisfaction with dwelling </w:t>
      </w:r>
      <w:r w:rsidR="00444F17" w:rsidRPr="00444F17">
        <w:rPr>
          <w:rFonts w:ascii="Times New Roman" w:eastAsia="Times New Roman" w:hAnsi="Times New Roman" w:cs="Times New Roman"/>
          <w:sz w:val="24"/>
        </w:rPr>
        <w:t xml:space="preserve">among respondents </w:t>
      </w:r>
      <w:r w:rsidR="00BD61A8" w:rsidRPr="00444F17">
        <w:rPr>
          <w:rFonts w:ascii="Times New Roman" w:eastAsia="Times New Roman" w:hAnsi="Times New Roman" w:cs="Times New Roman"/>
          <w:sz w:val="24"/>
        </w:rPr>
        <w:t xml:space="preserve">in Germany. </w:t>
      </w:r>
    </w:p>
    <w:p w14:paraId="29627914" w14:textId="77777777" w:rsidR="00A90580" w:rsidRPr="00444F17" w:rsidRDefault="00A90580" w:rsidP="0027251E">
      <w:pPr>
        <w:spacing w:after="0" w:line="480" w:lineRule="auto"/>
        <w:rPr>
          <w:rFonts w:ascii="Times New Roman" w:eastAsia="Times New Roman" w:hAnsi="Times New Roman" w:cs="Times New Roman"/>
          <w:sz w:val="24"/>
        </w:rPr>
      </w:pPr>
    </w:p>
    <w:p w14:paraId="41CBCFE7" w14:textId="39FA7AB6" w:rsidR="005619D7" w:rsidRDefault="00A90580" w:rsidP="0027251E">
      <w:pPr>
        <w:spacing w:after="0" w:line="480" w:lineRule="auto"/>
        <w:rPr>
          <w:rFonts w:ascii="Times New Roman" w:eastAsia="Times New Roman" w:hAnsi="Times New Roman" w:cs="Times New Roman"/>
          <w:sz w:val="24"/>
        </w:rPr>
      </w:pPr>
      <w:r w:rsidRPr="00444F17">
        <w:rPr>
          <w:rFonts w:ascii="Times New Roman" w:eastAsia="Times New Roman" w:hAnsi="Times New Roman" w:cs="Times New Roman"/>
          <w:sz w:val="24"/>
        </w:rPr>
        <w:t>Overall, t</w:t>
      </w:r>
      <w:r w:rsidR="001869E6" w:rsidRPr="00444F17">
        <w:rPr>
          <w:rFonts w:ascii="Times New Roman" w:eastAsia="Times New Roman" w:hAnsi="Times New Roman" w:cs="Times New Roman"/>
          <w:sz w:val="24"/>
        </w:rPr>
        <w:t>he</w:t>
      </w:r>
      <w:r w:rsidR="00E81EC1" w:rsidRPr="00444F17">
        <w:rPr>
          <w:rFonts w:ascii="Times New Roman" w:eastAsia="Times New Roman" w:hAnsi="Times New Roman" w:cs="Times New Roman"/>
          <w:sz w:val="24"/>
        </w:rPr>
        <w:t xml:space="preserve"> results of our paper suggest </w:t>
      </w:r>
      <w:r w:rsidR="00BD61A8" w:rsidRPr="00444F17">
        <w:rPr>
          <w:rFonts w:ascii="Times New Roman" w:eastAsia="Times New Roman" w:hAnsi="Times New Roman" w:cs="Times New Roman"/>
          <w:sz w:val="24"/>
        </w:rPr>
        <w:t>that immigration does not affect the well-being of different groups of people in the same way and that labour market considerations are unlikely to be a dominant factor in explain</w:t>
      </w:r>
      <w:r w:rsidR="00444F17">
        <w:rPr>
          <w:rFonts w:ascii="Times New Roman" w:eastAsia="Times New Roman" w:hAnsi="Times New Roman" w:cs="Times New Roman"/>
          <w:sz w:val="24"/>
        </w:rPr>
        <w:t>ing</w:t>
      </w:r>
      <w:r w:rsidR="00BD61A8" w:rsidRPr="00444F17">
        <w:rPr>
          <w:rFonts w:ascii="Times New Roman" w:eastAsia="Times New Roman" w:hAnsi="Times New Roman" w:cs="Times New Roman"/>
          <w:sz w:val="24"/>
        </w:rPr>
        <w:t xml:space="preserve"> the links between immigration and natives</w:t>
      </w:r>
      <w:r w:rsidR="00444F17">
        <w:rPr>
          <w:rFonts w:ascii="Times New Roman" w:eastAsia="Times New Roman" w:hAnsi="Times New Roman" w:cs="Times New Roman"/>
          <w:sz w:val="24"/>
        </w:rPr>
        <w:t>’</w:t>
      </w:r>
      <w:r w:rsidR="00BD61A8" w:rsidRPr="00444F17">
        <w:rPr>
          <w:rFonts w:ascii="Times New Roman" w:eastAsia="Times New Roman" w:hAnsi="Times New Roman" w:cs="Times New Roman"/>
          <w:sz w:val="24"/>
        </w:rPr>
        <w:t xml:space="preserve"> well-being. </w:t>
      </w:r>
      <w:r w:rsidR="00850C2D" w:rsidRPr="00444F17">
        <w:rPr>
          <w:rFonts w:ascii="Times New Roman" w:eastAsia="Times New Roman" w:hAnsi="Times New Roman" w:cs="Times New Roman"/>
          <w:sz w:val="24"/>
        </w:rPr>
        <w:t>In addition, t</w:t>
      </w:r>
      <w:r w:rsidR="00BD61A8" w:rsidRPr="00444F17">
        <w:rPr>
          <w:rFonts w:ascii="Times New Roman" w:eastAsia="Times New Roman" w:hAnsi="Times New Roman" w:cs="Times New Roman"/>
          <w:sz w:val="24"/>
        </w:rPr>
        <w:t xml:space="preserve">he fact that the life satisfaction of </w:t>
      </w:r>
      <w:r w:rsidR="00850C2D" w:rsidRPr="00444F17">
        <w:rPr>
          <w:rFonts w:ascii="Times New Roman" w:eastAsia="Times New Roman" w:hAnsi="Times New Roman" w:cs="Times New Roman"/>
          <w:sz w:val="24"/>
        </w:rPr>
        <w:t>particular groups, such as the</w:t>
      </w:r>
      <w:r w:rsidR="00BD61A8" w:rsidRPr="00444F17">
        <w:rPr>
          <w:rFonts w:ascii="Times New Roman" w:eastAsia="Times New Roman" w:hAnsi="Times New Roman" w:cs="Times New Roman"/>
          <w:sz w:val="24"/>
        </w:rPr>
        <w:t xml:space="preserve"> elderly</w:t>
      </w:r>
      <w:r w:rsidR="00D64ACA" w:rsidRPr="00444F17">
        <w:rPr>
          <w:rFonts w:ascii="Times New Roman" w:eastAsia="Times New Roman" w:hAnsi="Times New Roman" w:cs="Times New Roman"/>
          <w:sz w:val="24"/>
        </w:rPr>
        <w:t>,</w:t>
      </w:r>
      <w:r w:rsidR="00BD61A8" w:rsidRPr="00444F17">
        <w:rPr>
          <w:rFonts w:ascii="Times New Roman" w:eastAsia="Times New Roman" w:hAnsi="Times New Roman" w:cs="Times New Roman"/>
          <w:sz w:val="24"/>
        </w:rPr>
        <w:t xml:space="preserve"> </w:t>
      </w:r>
      <w:r w:rsidR="00D64ACA" w:rsidRPr="00444F17">
        <w:rPr>
          <w:rFonts w:ascii="Times New Roman" w:eastAsia="Times New Roman" w:hAnsi="Times New Roman" w:cs="Times New Roman"/>
          <w:sz w:val="24"/>
        </w:rPr>
        <w:t>decreases with immigration has</w:t>
      </w:r>
      <w:r w:rsidR="00797F27" w:rsidRPr="00444F17">
        <w:rPr>
          <w:rFonts w:ascii="Times New Roman" w:eastAsia="Times New Roman" w:hAnsi="Times New Roman" w:cs="Times New Roman"/>
          <w:sz w:val="24"/>
        </w:rPr>
        <w:t xml:space="preserve"> implications for the formati</w:t>
      </w:r>
      <w:r w:rsidR="001869E6" w:rsidRPr="00444F17">
        <w:rPr>
          <w:rFonts w:ascii="Times New Roman" w:eastAsia="Times New Roman" w:hAnsi="Times New Roman" w:cs="Times New Roman"/>
          <w:sz w:val="24"/>
        </w:rPr>
        <w:t>on of immigration policy in</w:t>
      </w:r>
      <w:r w:rsidR="00797F27" w:rsidRPr="00444F17">
        <w:rPr>
          <w:rFonts w:ascii="Times New Roman" w:eastAsia="Times New Roman" w:hAnsi="Times New Roman" w:cs="Times New Roman"/>
          <w:sz w:val="24"/>
        </w:rPr>
        <w:t xml:space="preserve"> most developed immigration-receiving countries, where populations are aging and older people are generally more likely to vote</w:t>
      </w:r>
      <w:r w:rsidR="001869E6" w:rsidRPr="00444F17">
        <w:rPr>
          <w:rFonts w:ascii="Times New Roman" w:eastAsia="Times New Roman" w:hAnsi="Times New Roman" w:cs="Times New Roman"/>
          <w:sz w:val="24"/>
        </w:rPr>
        <w:t xml:space="preserve"> </w:t>
      </w:r>
      <w:r w:rsidR="00D64ACA" w:rsidRPr="00444F17">
        <w:rPr>
          <w:rFonts w:ascii="Times New Roman" w:eastAsia="Times New Roman" w:hAnsi="Times New Roman" w:cs="Times New Roman"/>
          <w:sz w:val="24"/>
        </w:rPr>
        <w:t>(</w:t>
      </w:r>
      <w:r w:rsidR="002C69E0" w:rsidRPr="00444F17">
        <w:rPr>
          <w:rFonts w:ascii="Times New Roman" w:eastAsia="Times New Roman" w:hAnsi="Times New Roman" w:cs="Times New Roman"/>
          <w:sz w:val="24"/>
        </w:rPr>
        <w:t>Melo and Stockemer</w:t>
      </w:r>
      <w:r w:rsidR="00820551">
        <w:rPr>
          <w:rFonts w:ascii="Times New Roman" w:eastAsia="Times New Roman" w:hAnsi="Times New Roman" w:cs="Times New Roman"/>
          <w:sz w:val="24"/>
        </w:rPr>
        <w:t>,</w:t>
      </w:r>
      <w:r w:rsidR="002C69E0" w:rsidRPr="00444F17">
        <w:rPr>
          <w:rFonts w:ascii="Times New Roman" w:eastAsia="Times New Roman" w:hAnsi="Times New Roman" w:cs="Times New Roman"/>
          <w:sz w:val="24"/>
        </w:rPr>
        <w:t xml:space="preserve"> </w:t>
      </w:r>
      <w:r w:rsidR="001869E6" w:rsidRPr="00444F17">
        <w:rPr>
          <w:rFonts w:ascii="Times New Roman" w:eastAsia="Times New Roman" w:hAnsi="Times New Roman" w:cs="Times New Roman"/>
          <w:sz w:val="24"/>
        </w:rPr>
        <w:t>2014)</w:t>
      </w:r>
      <w:r w:rsidR="00797F27" w:rsidRPr="00444F17">
        <w:rPr>
          <w:rFonts w:ascii="Times New Roman" w:eastAsia="Times New Roman" w:hAnsi="Times New Roman" w:cs="Times New Roman"/>
          <w:sz w:val="24"/>
        </w:rPr>
        <w:t>.</w:t>
      </w:r>
      <w:r w:rsidR="00757F93" w:rsidRPr="00444F17">
        <w:rPr>
          <w:rFonts w:ascii="Times New Roman" w:eastAsia="Times New Roman" w:hAnsi="Times New Roman" w:cs="Times New Roman"/>
          <w:sz w:val="24"/>
        </w:rPr>
        <w:t xml:space="preserve"> </w:t>
      </w:r>
      <w:r w:rsidR="00D64ACA" w:rsidRPr="00444F17">
        <w:rPr>
          <w:rFonts w:ascii="Times New Roman" w:eastAsia="Times New Roman" w:hAnsi="Times New Roman" w:cs="Times New Roman"/>
          <w:sz w:val="24"/>
        </w:rPr>
        <w:t>From this perspective</w:t>
      </w:r>
      <w:r w:rsidR="00005148" w:rsidRPr="00444F17">
        <w:rPr>
          <w:rFonts w:ascii="Times New Roman" w:eastAsia="Times New Roman" w:hAnsi="Times New Roman" w:cs="Times New Roman"/>
          <w:sz w:val="24"/>
        </w:rPr>
        <w:t>, the recent</w:t>
      </w:r>
      <w:r w:rsidR="00D64ACA" w:rsidRPr="00444F17">
        <w:rPr>
          <w:rFonts w:ascii="Times New Roman" w:eastAsia="Times New Roman" w:hAnsi="Times New Roman" w:cs="Times New Roman"/>
          <w:sz w:val="24"/>
        </w:rPr>
        <w:t xml:space="preserve"> decision of the UK to leave the EU </w:t>
      </w:r>
      <w:r w:rsidR="00211B48" w:rsidRPr="00444F17">
        <w:rPr>
          <w:rFonts w:ascii="Times New Roman" w:eastAsia="Times New Roman" w:hAnsi="Times New Roman" w:cs="Times New Roman"/>
          <w:sz w:val="24"/>
        </w:rPr>
        <w:t xml:space="preserve">could well be explained by the negative </w:t>
      </w:r>
      <w:r w:rsidR="00820551">
        <w:rPr>
          <w:rFonts w:ascii="Times New Roman" w:eastAsia="Times New Roman" w:hAnsi="Times New Roman" w:cs="Times New Roman"/>
          <w:sz w:val="24"/>
        </w:rPr>
        <w:t>association between</w:t>
      </w:r>
      <w:r w:rsidR="00211B48" w:rsidRPr="00444F17">
        <w:rPr>
          <w:rFonts w:ascii="Times New Roman" w:eastAsia="Times New Roman" w:hAnsi="Times New Roman" w:cs="Times New Roman"/>
          <w:sz w:val="24"/>
        </w:rPr>
        <w:t xml:space="preserve"> A8 immigration </w:t>
      </w:r>
      <w:r w:rsidR="00820551">
        <w:rPr>
          <w:rFonts w:ascii="Times New Roman" w:eastAsia="Times New Roman" w:hAnsi="Times New Roman" w:cs="Times New Roman"/>
          <w:sz w:val="24"/>
        </w:rPr>
        <w:t>and</w:t>
      </w:r>
      <w:r w:rsidR="00211B48" w:rsidRPr="00444F17">
        <w:rPr>
          <w:rFonts w:ascii="Times New Roman" w:eastAsia="Times New Roman" w:hAnsi="Times New Roman" w:cs="Times New Roman"/>
          <w:sz w:val="24"/>
        </w:rPr>
        <w:t xml:space="preserve"> </w:t>
      </w:r>
      <w:r w:rsidR="00444F17">
        <w:rPr>
          <w:rFonts w:ascii="Times New Roman" w:eastAsia="Times New Roman" w:hAnsi="Times New Roman" w:cs="Times New Roman"/>
          <w:sz w:val="24"/>
        </w:rPr>
        <w:t xml:space="preserve">the </w:t>
      </w:r>
      <w:r w:rsidR="00211B48" w:rsidRPr="00444F17">
        <w:rPr>
          <w:rFonts w:ascii="Times New Roman" w:eastAsia="Times New Roman" w:hAnsi="Times New Roman" w:cs="Times New Roman"/>
          <w:sz w:val="24"/>
        </w:rPr>
        <w:t xml:space="preserve">life satisfaction of </w:t>
      </w:r>
      <w:r w:rsidR="00FB4209" w:rsidRPr="00444F17">
        <w:rPr>
          <w:rFonts w:ascii="Times New Roman" w:eastAsia="Times New Roman" w:hAnsi="Times New Roman" w:cs="Times New Roman"/>
          <w:sz w:val="24"/>
        </w:rPr>
        <w:t>older people in the UK</w:t>
      </w:r>
      <w:r w:rsidR="00211B48" w:rsidRPr="00444F17">
        <w:rPr>
          <w:rFonts w:ascii="Times New Roman" w:eastAsia="Times New Roman" w:hAnsi="Times New Roman" w:cs="Times New Roman"/>
          <w:sz w:val="24"/>
        </w:rPr>
        <w:t>.</w:t>
      </w:r>
      <w:r w:rsidR="00D64ACA" w:rsidRPr="00444F17">
        <w:rPr>
          <w:rFonts w:ascii="Times New Roman" w:eastAsia="Times New Roman" w:hAnsi="Times New Roman" w:cs="Times New Roman"/>
          <w:sz w:val="24"/>
        </w:rPr>
        <w:t xml:space="preserve"> This contention, however, hinges on the assumption</w:t>
      </w:r>
      <w:r w:rsidR="00850C2D" w:rsidRPr="00444F17">
        <w:rPr>
          <w:rFonts w:ascii="Times New Roman" w:eastAsia="Times New Roman" w:hAnsi="Times New Roman" w:cs="Times New Roman"/>
          <w:sz w:val="24"/>
        </w:rPr>
        <w:t>s</w:t>
      </w:r>
      <w:r w:rsidR="00D64ACA" w:rsidRPr="00444F17">
        <w:rPr>
          <w:rFonts w:ascii="Times New Roman" w:eastAsia="Times New Roman" w:hAnsi="Times New Roman" w:cs="Times New Roman"/>
          <w:sz w:val="24"/>
        </w:rPr>
        <w:t xml:space="preserve"> that </w:t>
      </w:r>
      <w:r w:rsidR="00850C2D" w:rsidRPr="00444F17">
        <w:rPr>
          <w:rFonts w:ascii="Times New Roman" w:eastAsia="Times New Roman" w:hAnsi="Times New Roman" w:cs="Times New Roman"/>
          <w:sz w:val="24"/>
        </w:rPr>
        <w:t xml:space="preserve">1) the Brexit referendum vote was </w:t>
      </w:r>
      <w:r w:rsidR="00444F17">
        <w:rPr>
          <w:rFonts w:ascii="Times New Roman" w:eastAsia="Times New Roman" w:hAnsi="Times New Roman" w:cs="Times New Roman"/>
          <w:sz w:val="24"/>
        </w:rPr>
        <w:t xml:space="preserve">indeed largely </w:t>
      </w:r>
      <w:r w:rsidR="00850C2D" w:rsidRPr="00444F17">
        <w:rPr>
          <w:rFonts w:ascii="Times New Roman" w:eastAsia="Times New Roman" w:hAnsi="Times New Roman" w:cs="Times New Roman"/>
          <w:sz w:val="24"/>
        </w:rPr>
        <w:t>about restricting immigration</w:t>
      </w:r>
      <w:r w:rsidR="00444F17">
        <w:rPr>
          <w:rFonts w:ascii="Times New Roman" w:eastAsia="Times New Roman" w:hAnsi="Times New Roman" w:cs="Times New Roman"/>
          <w:sz w:val="24"/>
        </w:rPr>
        <w:t>,</w:t>
      </w:r>
      <w:r w:rsidR="00850C2D" w:rsidRPr="00444F17">
        <w:rPr>
          <w:rFonts w:ascii="Times New Roman" w:eastAsia="Times New Roman" w:hAnsi="Times New Roman" w:cs="Times New Roman"/>
          <w:sz w:val="24"/>
        </w:rPr>
        <w:t xml:space="preserve"> and 2) life satisfaction affects people’s immigration policy preferences. The second assumption, in particular, has received little attention in the literature and, as such, represents a fruitful avenue for future research</w:t>
      </w:r>
      <w:r w:rsidR="00D64ACA" w:rsidRPr="00444F17">
        <w:rPr>
          <w:rFonts w:ascii="Times New Roman" w:eastAsia="Times New Roman" w:hAnsi="Times New Roman" w:cs="Times New Roman"/>
          <w:sz w:val="24"/>
        </w:rPr>
        <w:t>.</w:t>
      </w:r>
      <w:r w:rsidR="00D64ACA">
        <w:rPr>
          <w:rFonts w:ascii="Times New Roman" w:eastAsia="Times New Roman" w:hAnsi="Times New Roman" w:cs="Times New Roman"/>
          <w:sz w:val="24"/>
        </w:rPr>
        <w:t xml:space="preserve"> </w:t>
      </w:r>
    </w:p>
    <w:p w14:paraId="6C321A8B" w14:textId="77777777" w:rsidR="00717F7B" w:rsidRDefault="00717F7B" w:rsidP="0027251E">
      <w:pPr>
        <w:spacing w:after="0" w:line="480" w:lineRule="auto"/>
        <w:rPr>
          <w:rFonts w:ascii="Times New Roman" w:eastAsia="Times New Roman" w:hAnsi="Times New Roman" w:cs="Times New Roman"/>
          <w:sz w:val="24"/>
        </w:rPr>
      </w:pPr>
    </w:p>
    <w:p w14:paraId="790C2235" w14:textId="77777777" w:rsidR="009D72B9" w:rsidRDefault="009D72B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9C23C74" w14:textId="312F2787" w:rsidR="00EA1787" w:rsidRPr="00820551" w:rsidRDefault="009D72B9" w:rsidP="0027251E">
      <w:pPr>
        <w:spacing w:after="0" w:line="480" w:lineRule="auto"/>
        <w:rPr>
          <w:rFonts w:ascii="Times New Roman" w:hAnsi="Times New Roman" w:cs="Times New Roman"/>
          <w:sz w:val="24"/>
        </w:rPr>
      </w:pPr>
      <w:r>
        <w:rPr>
          <w:rFonts w:ascii="Times New Roman" w:eastAsia="Times New Roman" w:hAnsi="Times New Roman" w:cs="Times New Roman"/>
          <w:b/>
          <w:sz w:val="24"/>
          <w:szCs w:val="24"/>
        </w:rPr>
        <w:t>R</w:t>
      </w:r>
      <w:r w:rsidR="00EA1787">
        <w:rPr>
          <w:rFonts w:ascii="Times New Roman" w:eastAsia="Times New Roman" w:hAnsi="Times New Roman" w:cs="Times New Roman"/>
          <w:b/>
          <w:sz w:val="24"/>
          <w:szCs w:val="24"/>
        </w:rPr>
        <w:t>EFERENCES</w:t>
      </w:r>
    </w:p>
    <w:p w14:paraId="4B95DEFE" w14:textId="334266AB" w:rsidR="004D4A8E" w:rsidRDefault="00820551"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Akay A</w:t>
      </w:r>
      <w:r w:rsidR="004D4A8E" w:rsidRPr="000E50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Constant A and Giulietti C</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D4A8E">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xml:space="preserve"> The impact of immigration on the well-being of natives. </w:t>
      </w:r>
      <w:r w:rsidR="004D4A8E" w:rsidRPr="000E50F8">
        <w:rPr>
          <w:rFonts w:ascii="Times New Roman" w:eastAsia="Times New Roman" w:hAnsi="Times New Roman" w:cs="Times New Roman"/>
          <w:i/>
          <w:sz w:val="24"/>
          <w:szCs w:val="24"/>
        </w:rPr>
        <w:t>Journal of Economic Behavior and Organization</w:t>
      </w:r>
      <w:r>
        <w:rPr>
          <w:rFonts w:ascii="Times New Roman" w:eastAsia="Times New Roman" w:hAnsi="Times New Roman" w:cs="Times New Roman"/>
          <w:sz w:val="24"/>
          <w:szCs w:val="24"/>
        </w:rPr>
        <w:t xml:space="preserve"> 103: </w:t>
      </w:r>
      <w:r w:rsidR="004D4A8E" w:rsidRPr="000E50F8">
        <w:rPr>
          <w:rFonts w:ascii="Times New Roman" w:eastAsia="Times New Roman" w:hAnsi="Times New Roman" w:cs="Times New Roman"/>
          <w:sz w:val="24"/>
          <w:szCs w:val="24"/>
        </w:rPr>
        <w:t xml:space="preserve">72-92. </w:t>
      </w:r>
    </w:p>
    <w:p w14:paraId="4F98A099" w14:textId="6B319270" w:rsidR="004D4A8E" w:rsidRPr="00372A02" w:rsidRDefault="00820551"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lang w:val="en-GB"/>
        </w:rPr>
        <w:t>Akay A, Constant A, Giulietti C, Guzi M (</w:t>
      </w:r>
      <w:r w:rsidR="004D4A8E" w:rsidRPr="00372A02">
        <w:rPr>
          <w:rFonts w:ascii="Times New Roman" w:eastAsia="Times New Roman" w:hAnsi="Times New Roman" w:cs="Times New Roman"/>
          <w:color w:val="333333"/>
          <w:sz w:val="24"/>
          <w:szCs w:val="24"/>
          <w:lang w:val="en-GB"/>
        </w:rPr>
        <w:t>2</w:t>
      </w:r>
      <w:r>
        <w:rPr>
          <w:rFonts w:ascii="Times New Roman" w:eastAsia="Times New Roman" w:hAnsi="Times New Roman" w:cs="Times New Roman"/>
          <w:color w:val="333333"/>
          <w:sz w:val="24"/>
          <w:szCs w:val="24"/>
          <w:lang w:val="en-GB"/>
        </w:rPr>
        <w:t>017)</w:t>
      </w:r>
      <w:r w:rsidR="00372A02">
        <w:rPr>
          <w:rFonts w:ascii="Times New Roman" w:eastAsia="Times New Roman" w:hAnsi="Times New Roman" w:cs="Times New Roman"/>
          <w:color w:val="333333"/>
          <w:sz w:val="24"/>
          <w:szCs w:val="24"/>
          <w:lang w:val="en-GB"/>
        </w:rPr>
        <w:t xml:space="preserve"> Ethnic diversity</w:t>
      </w:r>
      <w:r>
        <w:rPr>
          <w:rFonts w:ascii="Times New Roman" w:eastAsia="Times New Roman" w:hAnsi="Times New Roman" w:cs="Times New Roman"/>
          <w:color w:val="333333"/>
          <w:sz w:val="24"/>
          <w:szCs w:val="24"/>
          <w:lang w:val="en-GB"/>
        </w:rPr>
        <w:t xml:space="preserve"> and well-being</w:t>
      </w:r>
      <w:r w:rsidR="00372A02">
        <w:rPr>
          <w:rFonts w:ascii="Times New Roman" w:eastAsia="Times New Roman" w:hAnsi="Times New Roman" w:cs="Times New Roman"/>
          <w:color w:val="333333"/>
          <w:sz w:val="24"/>
          <w:szCs w:val="24"/>
          <w:lang w:val="en-GB"/>
        </w:rPr>
        <w:t xml:space="preserve">. </w:t>
      </w:r>
      <w:r w:rsidR="004D4A8E" w:rsidRPr="00372A02">
        <w:rPr>
          <w:rFonts w:ascii="Times New Roman" w:eastAsia="Times New Roman" w:hAnsi="Times New Roman" w:cs="Times New Roman"/>
          <w:i/>
          <w:iCs/>
          <w:color w:val="333333"/>
          <w:sz w:val="24"/>
          <w:szCs w:val="24"/>
          <w:lang w:val="en-GB"/>
        </w:rPr>
        <w:t>J</w:t>
      </w:r>
      <w:r>
        <w:rPr>
          <w:rFonts w:ascii="Times New Roman" w:eastAsia="Times New Roman" w:hAnsi="Times New Roman" w:cs="Times New Roman"/>
          <w:i/>
          <w:iCs/>
          <w:color w:val="333333"/>
          <w:sz w:val="24"/>
          <w:szCs w:val="24"/>
          <w:lang w:val="en-GB"/>
        </w:rPr>
        <w:t xml:space="preserve">ournal of Population Economics </w:t>
      </w:r>
      <w:r w:rsidR="00372A02">
        <w:rPr>
          <w:rFonts w:ascii="Times New Roman" w:eastAsia="Times New Roman" w:hAnsi="Times New Roman" w:cs="Times New Roman"/>
          <w:color w:val="333333"/>
          <w:sz w:val="24"/>
          <w:szCs w:val="24"/>
          <w:lang w:val="en-GB"/>
        </w:rPr>
        <w:t>30(1):</w:t>
      </w:r>
      <w:r w:rsidR="004D4A8E" w:rsidRPr="00372A02">
        <w:rPr>
          <w:rFonts w:ascii="Times New Roman" w:eastAsia="Times New Roman" w:hAnsi="Times New Roman" w:cs="Times New Roman"/>
          <w:color w:val="333333"/>
          <w:sz w:val="24"/>
          <w:szCs w:val="24"/>
          <w:lang w:val="en-GB"/>
        </w:rPr>
        <w:t xml:space="preserve"> 265-306.</w:t>
      </w:r>
    </w:p>
    <w:p w14:paraId="2D55DDC2" w14:textId="007E6C3B" w:rsidR="004D4A8E" w:rsidRPr="00372A02" w:rsidRDefault="00820551" w:rsidP="004D4A8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Alfano M, Dustmann C and Frattini T</w:t>
      </w:r>
      <w:r w:rsidR="00372A02">
        <w:rPr>
          <w:rFonts w:ascii="Times New Roman" w:hAnsi="Times New Roman" w:cs="Times New Roman"/>
          <w:sz w:val="24"/>
          <w:szCs w:val="24"/>
        </w:rPr>
        <w:t xml:space="preserve"> </w:t>
      </w:r>
      <w:r>
        <w:rPr>
          <w:rFonts w:ascii="Times New Roman" w:hAnsi="Times New Roman" w:cs="Times New Roman"/>
          <w:sz w:val="24"/>
          <w:szCs w:val="24"/>
        </w:rPr>
        <w:t>(2016)</w:t>
      </w:r>
      <w:r w:rsidR="00372A02">
        <w:rPr>
          <w:rFonts w:ascii="Times New Roman" w:hAnsi="Times New Roman" w:cs="Times New Roman"/>
          <w:sz w:val="24"/>
          <w:szCs w:val="24"/>
        </w:rPr>
        <w:t xml:space="preserve"> </w:t>
      </w:r>
      <w:r w:rsidR="004D4A8E" w:rsidRPr="00372A02">
        <w:rPr>
          <w:rFonts w:ascii="Times New Roman" w:hAnsi="Times New Roman" w:cs="Times New Roman"/>
          <w:i/>
          <w:sz w:val="24"/>
          <w:szCs w:val="24"/>
        </w:rPr>
        <w:t>Immigration and the UK: Reflections After Brexit</w:t>
      </w:r>
      <w:r w:rsidR="004D4A8E" w:rsidRPr="00372A02">
        <w:rPr>
          <w:rFonts w:ascii="Times New Roman" w:hAnsi="Times New Roman" w:cs="Times New Roman"/>
          <w:sz w:val="24"/>
          <w:szCs w:val="24"/>
        </w:rPr>
        <w:t>. CREAM Discussion Paper 23/16</w:t>
      </w:r>
      <w:r w:rsidR="00372A02">
        <w:rPr>
          <w:rFonts w:ascii="Times New Roman" w:hAnsi="Times New Roman" w:cs="Times New Roman"/>
          <w:sz w:val="24"/>
          <w:szCs w:val="24"/>
        </w:rPr>
        <w:t xml:space="preserve">. </w:t>
      </w:r>
    </w:p>
    <w:p w14:paraId="0E3AA0C7" w14:textId="52E66F65" w:rsidR="004D4A8E" w:rsidRPr="00940BEE" w:rsidRDefault="007F4346" w:rsidP="004D4A8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Aslam A</w:t>
      </w:r>
      <w:r w:rsidR="004D4A8E">
        <w:rPr>
          <w:rFonts w:ascii="Times New Roman" w:hAnsi="Times New Roman" w:cs="Times New Roman"/>
          <w:sz w:val="24"/>
          <w:szCs w:val="24"/>
        </w:rPr>
        <w:t xml:space="preserve"> </w:t>
      </w:r>
      <w:r>
        <w:rPr>
          <w:rFonts w:ascii="Times New Roman" w:hAnsi="Times New Roman" w:cs="Times New Roman"/>
          <w:sz w:val="24"/>
          <w:szCs w:val="24"/>
        </w:rPr>
        <w:t>and Corrado L</w:t>
      </w:r>
      <w:r w:rsidR="004D4A8E">
        <w:rPr>
          <w:rFonts w:ascii="Times New Roman" w:hAnsi="Times New Roman" w:cs="Times New Roman"/>
          <w:sz w:val="24"/>
          <w:szCs w:val="24"/>
        </w:rPr>
        <w:t xml:space="preserve"> </w:t>
      </w:r>
      <w:r>
        <w:rPr>
          <w:rFonts w:ascii="Times New Roman" w:hAnsi="Times New Roman" w:cs="Times New Roman"/>
          <w:sz w:val="24"/>
          <w:szCs w:val="24"/>
        </w:rPr>
        <w:t xml:space="preserve">(2012) </w:t>
      </w:r>
      <w:r w:rsidR="004D4A8E" w:rsidRPr="00643999">
        <w:rPr>
          <w:rFonts w:ascii="Times New Roman" w:hAnsi="Times New Roman" w:cs="Times New Roman"/>
          <w:sz w:val="24"/>
          <w:szCs w:val="24"/>
        </w:rPr>
        <w:t xml:space="preserve">The geography of wellbeing. </w:t>
      </w:r>
      <w:r w:rsidR="004D4A8E" w:rsidRPr="00643999">
        <w:rPr>
          <w:rFonts w:ascii="Times New Roman" w:hAnsi="Times New Roman" w:cs="Times New Roman"/>
          <w:i/>
          <w:sz w:val="24"/>
          <w:szCs w:val="24"/>
        </w:rPr>
        <w:t>Journal of Economic Geography</w:t>
      </w:r>
      <w:r w:rsidR="004D4A8E" w:rsidRPr="00643999">
        <w:rPr>
          <w:rFonts w:ascii="Times New Roman" w:hAnsi="Times New Roman" w:cs="Times New Roman"/>
          <w:sz w:val="24"/>
          <w:szCs w:val="24"/>
        </w:rPr>
        <w:t xml:space="preserve"> 12: 627-649.</w:t>
      </w:r>
    </w:p>
    <w:p w14:paraId="7A36B68D" w14:textId="120F446E" w:rsidR="004D4A8E" w:rsidRPr="00DE11FE" w:rsidRDefault="007F4346" w:rsidP="004D4A8E">
      <w:pPr>
        <w:spacing w:after="0" w:line="480" w:lineRule="auto"/>
        <w:ind w:left="720" w:hanging="720"/>
        <w:rPr>
          <w:rFonts w:ascii="Times New Roman" w:eastAsia="Times New Roman" w:hAnsi="Times New Roman" w:cs="Times New Roman"/>
          <w:sz w:val="24"/>
          <w:szCs w:val="24"/>
        </w:rPr>
      </w:pPr>
      <w:r>
        <w:rPr>
          <w:rFonts w:ascii="Times New Roman" w:hAnsi="Times New Roman" w:cs="Times New Roman"/>
          <w:sz w:val="24"/>
          <w:szCs w:val="24"/>
        </w:rPr>
        <w:t>Ballas D and Tranmer M (2012)</w:t>
      </w:r>
      <w:r w:rsidR="004D4A8E">
        <w:rPr>
          <w:rFonts w:ascii="Times New Roman" w:hAnsi="Times New Roman" w:cs="Times New Roman"/>
          <w:sz w:val="24"/>
          <w:szCs w:val="24"/>
        </w:rPr>
        <w:t xml:space="preserve"> </w:t>
      </w:r>
      <w:r w:rsidR="004D4A8E" w:rsidRPr="00DE11FE">
        <w:rPr>
          <w:rFonts w:ascii="Times New Roman" w:hAnsi="Times New Roman" w:cs="Times New Roman"/>
          <w:sz w:val="24"/>
          <w:szCs w:val="24"/>
        </w:rPr>
        <w:t xml:space="preserve">Happy People or Happy Places? A Multilevel Modeling Approach to the Analysis of Happiness and Well-Being. </w:t>
      </w:r>
      <w:r w:rsidR="004D4A8E" w:rsidRPr="00DE11FE">
        <w:rPr>
          <w:rFonts w:ascii="Times New Roman" w:hAnsi="Times New Roman" w:cs="Times New Roman"/>
          <w:i/>
          <w:sz w:val="24"/>
          <w:szCs w:val="24"/>
        </w:rPr>
        <w:t xml:space="preserve">International Regional Science Review </w:t>
      </w:r>
      <w:r w:rsidR="004D4A8E" w:rsidRPr="00DE11FE">
        <w:rPr>
          <w:rFonts w:ascii="Times New Roman" w:hAnsi="Times New Roman" w:cs="Times New Roman"/>
          <w:sz w:val="24"/>
          <w:szCs w:val="24"/>
        </w:rPr>
        <w:t>35(1): 70-102.</w:t>
      </w:r>
    </w:p>
    <w:p w14:paraId="20062B46" w14:textId="7E99B36C" w:rsidR="004D4A8E" w:rsidRPr="000E50F8" w:rsidRDefault="007F4346" w:rsidP="004D4A8E">
      <w:pPr>
        <w:spacing w:after="0" w:line="480" w:lineRule="auto"/>
        <w:ind w:left="720" w:hanging="720"/>
        <w:rPr>
          <w:sz w:val="24"/>
          <w:szCs w:val="24"/>
        </w:rPr>
      </w:pPr>
      <w:r>
        <w:rPr>
          <w:rFonts w:ascii="Times New Roman" w:eastAsia="Times New Roman" w:hAnsi="Times New Roman" w:cs="Times New Roman"/>
          <w:sz w:val="24"/>
          <w:szCs w:val="24"/>
        </w:rPr>
        <w:t>Bauere V</w:t>
      </w:r>
      <w:r w:rsidR="004D4A8E" w:rsidRPr="000E50F8">
        <w:rPr>
          <w:rFonts w:ascii="Times New Roman" w:eastAsia="Times New Roman" w:hAnsi="Times New Roman" w:cs="Times New Roman"/>
          <w:sz w:val="24"/>
          <w:szCs w:val="24"/>
        </w:rPr>
        <w:t>, Densham</w:t>
      </w:r>
      <w:r>
        <w:rPr>
          <w:rFonts w:ascii="Times New Roman" w:eastAsia="Times New Roman" w:hAnsi="Times New Roman" w:cs="Times New Roman"/>
          <w:sz w:val="24"/>
          <w:szCs w:val="24"/>
        </w:rPr>
        <w:t xml:space="preserve"> </w:t>
      </w:r>
      <w:r w:rsidR="004D4A8E">
        <w:rPr>
          <w:rFonts w:ascii="Times New Roman" w:eastAsia="Times New Roman" w:hAnsi="Times New Roman" w:cs="Times New Roman"/>
          <w:sz w:val="24"/>
          <w:szCs w:val="24"/>
        </w:rPr>
        <w:t>P</w:t>
      </w:r>
      <w:r>
        <w:rPr>
          <w:rFonts w:ascii="Times New Roman" w:eastAsia="Times New Roman" w:hAnsi="Times New Roman" w:cs="Times New Roman"/>
          <w:sz w:val="24"/>
          <w:szCs w:val="24"/>
        </w:rPr>
        <w:t>, Millar J and Salt J</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(2007) </w:t>
      </w:r>
      <w:r w:rsidR="004D4A8E" w:rsidRPr="000E50F8">
        <w:rPr>
          <w:rFonts w:ascii="Times New Roman" w:eastAsia="Times New Roman" w:hAnsi="Times New Roman" w:cs="Times New Roman"/>
          <w:sz w:val="24"/>
          <w:szCs w:val="24"/>
        </w:rPr>
        <w:t xml:space="preserve">Migrants from Central and Eastern Europe: Local geographies. </w:t>
      </w:r>
      <w:r w:rsidR="004D4A8E" w:rsidRPr="000E50F8">
        <w:rPr>
          <w:rFonts w:ascii="Times New Roman" w:eastAsia="Times New Roman" w:hAnsi="Times New Roman" w:cs="Times New Roman"/>
          <w:i/>
          <w:sz w:val="24"/>
          <w:szCs w:val="24"/>
        </w:rPr>
        <w:t>Population Trends</w:t>
      </w:r>
      <w:r w:rsidR="004D4A8E" w:rsidRPr="000E50F8">
        <w:rPr>
          <w:rFonts w:ascii="Times New Roman" w:eastAsia="Times New Roman" w:hAnsi="Times New Roman" w:cs="Times New Roman"/>
          <w:sz w:val="24"/>
          <w:szCs w:val="24"/>
        </w:rPr>
        <w:t xml:space="preserve"> 129: 7–19.</w:t>
      </w:r>
    </w:p>
    <w:p w14:paraId="27B6CD36" w14:textId="5443CCE7" w:rsidR="004D4A8E" w:rsidRDefault="007F4346" w:rsidP="004D4A8E">
      <w:pPr>
        <w:spacing w:after="0" w:line="480" w:lineRule="auto"/>
        <w:ind w:left="720" w:hanging="720"/>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BBC (2013)</w:t>
      </w:r>
      <w:r w:rsidR="004D4A8E" w:rsidRPr="000E50F8">
        <w:rPr>
          <w:rFonts w:ascii="Times New Roman" w:eastAsia="Times New Roman" w:hAnsi="Times New Roman" w:cs="Times New Roman"/>
          <w:sz w:val="24"/>
          <w:szCs w:val="24"/>
        </w:rPr>
        <w:t xml:space="preserve"> Fe</w:t>
      </w:r>
      <w:r>
        <w:rPr>
          <w:rFonts w:ascii="Times New Roman" w:eastAsia="Times New Roman" w:hAnsi="Times New Roman" w:cs="Times New Roman"/>
          <w:sz w:val="24"/>
          <w:szCs w:val="24"/>
        </w:rPr>
        <w:t xml:space="preserve">ns migrant workers 'exploited', BBC finds. </w:t>
      </w:r>
      <w:r w:rsidR="004D4A8E" w:rsidRPr="000E50F8">
        <w:rPr>
          <w:rFonts w:ascii="Times New Roman" w:eastAsia="Times New Roman" w:hAnsi="Times New Roman" w:cs="Times New Roman"/>
          <w:sz w:val="24"/>
          <w:szCs w:val="24"/>
        </w:rPr>
        <w:t>Available at</w:t>
      </w:r>
      <w:r>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xml:space="preserve"> </w:t>
      </w:r>
      <w:hyperlink r:id="rId13">
        <w:r w:rsidR="004D4A8E" w:rsidRPr="000E50F8">
          <w:rPr>
            <w:rFonts w:ascii="Times New Roman" w:eastAsia="Times New Roman" w:hAnsi="Times New Roman" w:cs="Times New Roman"/>
            <w:color w:val="0000FF"/>
            <w:sz w:val="24"/>
            <w:szCs w:val="24"/>
            <w:u w:val="single"/>
          </w:rPr>
          <w:t>http://www.bbc.co.uk/news/uk-england-24108665</w:t>
        </w:r>
      </w:hyperlink>
    </w:p>
    <w:p w14:paraId="2AEB4D9C" w14:textId="15E6E429" w:rsidR="004D4A8E" w:rsidRPr="00903A3D" w:rsidRDefault="007F4346"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Becker S, Fetzer T and Novy D</w:t>
      </w:r>
      <w:r w:rsidR="004D4A8E">
        <w:rPr>
          <w:rFonts w:ascii="Times New Roman" w:eastAsia="Times New Roman" w:hAnsi="Times New Roman" w:cs="Times New Roman"/>
          <w:sz w:val="24"/>
          <w:szCs w:val="24"/>
        </w:rPr>
        <w:t xml:space="preserve"> (2016) </w:t>
      </w:r>
      <w:r w:rsidR="004D4A8E" w:rsidRPr="007F4346">
        <w:rPr>
          <w:rFonts w:ascii="Times New Roman" w:eastAsia="Times New Roman" w:hAnsi="Times New Roman" w:cs="Times New Roman"/>
          <w:i/>
          <w:sz w:val="24"/>
          <w:szCs w:val="24"/>
        </w:rPr>
        <w:t>Who Voted for Brexit? A Comprehensive District-Level Analysis</w:t>
      </w:r>
      <w:r w:rsidR="004D4A8E" w:rsidRPr="00903A3D">
        <w:rPr>
          <w:rFonts w:ascii="Times New Roman" w:eastAsia="Times New Roman" w:hAnsi="Times New Roman" w:cs="Times New Roman"/>
          <w:sz w:val="24"/>
          <w:szCs w:val="24"/>
        </w:rPr>
        <w:t>. CAGE Working Paper 305/2016.</w:t>
      </w:r>
    </w:p>
    <w:p w14:paraId="200D2DF8" w14:textId="008B4BE7" w:rsidR="004D4A8E" w:rsidRPr="000E50F8" w:rsidRDefault="007F4346" w:rsidP="004D4A8E">
      <w:pPr>
        <w:spacing w:after="0" w:line="480" w:lineRule="auto"/>
        <w:ind w:left="720" w:hanging="720"/>
        <w:rPr>
          <w:sz w:val="24"/>
          <w:szCs w:val="24"/>
        </w:rPr>
      </w:pPr>
      <w:r>
        <w:rPr>
          <w:rFonts w:ascii="Times New Roman" w:eastAsia="Times New Roman" w:hAnsi="Times New Roman" w:cs="Times New Roman"/>
          <w:sz w:val="24"/>
          <w:szCs w:val="24"/>
        </w:rPr>
        <w:t>Bell B, Fasani F and Machin S</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 </w:t>
      </w:r>
      <w:r w:rsidR="004D4A8E" w:rsidRPr="000E50F8">
        <w:rPr>
          <w:rFonts w:ascii="Times New Roman" w:eastAsia="Times New Roman" w:hAnsi="Times New Roman" w:cs="Times New Roman"/>
          <w:sz w:val="24"/>
          <w:szCs w:val="24"/>
        </w:rPr>
        <w:t xml:space="preserve">Crime and Immigration: Evidence From Large Immigrant Waves. </w:t>
      </w:r>
      <w:r w:rsidR="004D4A8E" w:rsidRPr="00AD76A8">
        <w:rPr>
          <w:rFonts w:ascii="Times New Roman" w:eastAsia="Times New Roman" w:hAnsi="Times New Roman" w:cs="Times New Roman"/>
          <w:i/>
          <w:sz w:val="24"/>
          <w:szCs w:val="24"/>
        </w:rPr>
        <w:t>Review of Economics and Statistics</w:t>
      </w:r>
      <w:r w:rsidR="004D4A8E">
        <w:rPr>
          <w:rFonts w:ascii="Times New Roman" w:eastAsia="Times New Roman" w:hAnsi="Times New Roman" w:cs="Times New Roman"/>
          <w:sz w:val="24"/>
          <w:szCs w:val="24"/>
        </w:rPr>
        <w:t> 95(</w:t>
      </w:r>
      <w:r w:rsidR="004D4A8E" w:rsidRPr="000E50F8">
        <w:rPr>
          <w:rFonts w:ascii="Times New Roman" w:eastAsia="Times New Roman" w:hAnsi="Times New Roman" w:cs="Times New Roman"/>
          <w:sz w:val="24"/>
          <w:szCs w:val="24"/>
        </w:rPr>
        <w:t>4</w:t>
      </w:r>
      <w:r w:rsidR="004D4A8E">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1278-1290.</w:t>
      </w:r>
    </w:p>
    <w:p w14:paraId="34A943D5" w14:textId="15A1D58C" w:rsidR="004D4A8E" w:rsidRPr="000E50F8" w:rsidRDefault="007F4346" w:rsidP="004D4A8E">
      <w:pPr>
        <w:spacing w:after="0" w:line="480" w:lineRule="auto"/>
        <w:ind w:left="720" w:hanging="720"/>
        <w:rPr>
          <w:sz w:val="24"/>
          <w:szCs w:val="24"/>
        </w:rPr>
      </w:pPr>
      <w:r>
        <w:rPr>
          <w:rFonts w:ascii="Times New Roman" w:eastAsia="Times New Roman" w:hAnsi="Times New Roman" w:cs="Times New Roman"/>
          <w:sz w:val="24"/>
          <w:szCs w:val="24"/>
        </w:rPr>
        <w:t>Betz W and Simpson NB</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004D4A8E" w:rsidRPr="000E50F8">
        <w:rPr>
          <w:rFonts w:ascii="Times New Roman" w:eastAsia="Times New Roman" w:hAnsi="Times New Roman" w:cs="Times New Roman"/>
          <w:sz w:val="24"/>
          <w:szCs w:val="24"/>
        </w:rPr>
        <w:t xml:space="preserve"> The effects of international migration on the well-being of native populations in Europe. </w:t>
      </w:r>
      <w:r>
        <w:rPr>
          <w:rFonts w:ascii="Times New Roman" w:eastAsia="Times New Roman" w:hAnsi="Times New Roman" w:cs="Times New Roman"/>
          <w:i/>
          <w:sz w:val="24"/>
          <w:szCs w:val="24"/>
        </w:rPr>
        <w:t>IZA Journal of Migration</w:t>
      </w:r>
      <w:r w:rsidR="004D4A8E" w:rsidRPr="000E50F8">
        <w:rPr>
          <w:rFonts w:ascii="Times New Roman" w:eastAsia="Times New Roman" w:hAnsi="Times New Roman" w:cs="Times New Roman"/>
          <w:i/>
          <w:sz w:val="24"/>
          <w:szCs w:val="24"/>
        </w:rPr>
        <w:t xml:space="preserve"> </w:t>
      </w:r>
      <w:r w:rsidR="004D4A8E" w:rsidRPr="000E50F8">
        <w:rPr>
          <w:rFonts w:ascii="Times New Roman" w:eastAsia="Times New Roman" w:hAnsi="Times New Roman" w:cs="Times New Roman"/>
          <w:sz w:val="24"/>
          <w:szCs w:val="24"/>
        </w:rPr>
        <w:t>2:12.</w:t>
      </w:r>
    </w:p>
    <w:p w14:paraId="6B976627" w14:textId="438B71A9" w:rsidR="004D4A8E" w:rsidRDefault="007F4346" w:rsidP="004D4A8E">
      <w:pPr>
        <w:spacing w:after="0" w:line="480" w:lineRule="auto"/>
        <w:ind w:left="720" w:hanging="720"/>
        <w:rPr>
          <w:sz w:val="24"/>
          <w:szCs w:val="24"/>
        </w:rPr>
      </w:pPr>
      <w:r>
        <w:rPr>
          <w:rFonts w:ascii="Times New Roman" w:eastAsia="Times New Roman" w:hAnsi="Times New Roman" w:cs="Times New Roman"/>
          <w:sz w:val="24"/>
          <w:szCs w:val="24"/>
        </w:rPr>
        <w:t>Brücker</w:t>
      </w:r>
      <w:r w:rsidR="004D4A8E" w:rsidRPr="000E50F8">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 xml:space="preserve"> and Damelang A</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(2009)</w:t>
      </w:r>
      <w:r w:rsidR="004D4A8E" w:rsidRPr="000E50F8">
        <w:rPr>
          <w:rFonts w:ascii="Times New Roman" w:eastAsia="Times New Roman" w:hAnsi="Times New Roman" w:cs="Times New Roman"/>
          <w:sz w:val="24"/>
          <w:szCs w:val="24"/>
        </w:rPr>
        <w:t xml:space="preserve"> </w:t>
      </w:r>
      <w:r w:rsidR="004D4A8E">
        <w:rPr>
          <w:rFonts w:ascii="Times New Roman" w:eastAsia="Times New Roman" w:hAnsi="Times New Roman" w:cs="Times New Roman"/>
          <w:sz w:val="24"/>
          <w:szCs w:val="24"/>
        </w:rPr>
        <w:t>Labour</w:t>
      </w:r>
      <w:r w:rsidR="004D4A8E" w:rsidRPr="000E50F8">
        <w:rPr>
          <w:rFonts w:ascii="Times New Roman" w:eastAsia="Times New Roman" w:hAnsi="Times New Roman" w:cs="Times New Roman"/>
          <w:sz w:val="24"/>
          <w:szCs w:val="24"/>
        </w:rPr>
        <w:t xml:space="preserve"> Mobility within the EU in the Context of Enlargement and the Functioning of the Transitional Arrangements: Analysis of the Scale, Direction and structure of Labour Mobility. Background Report, IAB, Nürnberg.</w:t>
      </w:r>
      <w:r w:rsidR="004D4A8E" w:rsidRPr="000E50F8">
        <w:rPr>
          <w:sz w:val="24"/>
          <w:szCs w:val="24"/>
        </w:rPr>
        <w:t xml:space="preserve"> </w:t>
      </w:r>
    </w:p>
    <w:p w14:paraId="2A36D058" w14:textId="7F80E5A2" w:rsidR="004D4A8E" w:rsidRDefault="007F4346" w:rsidP="004D4A8E">
      <w:pPr>
        <w:spacing w:after="0" w:line="480" w:lineRule="auto"/>
        <w:ind w:left="720" w:hanging="720"/>
        <w:rPr>
          <w:sz w:val="24"/>
          <w:szCs w:val="24"/>
        </w:rPr>
      </w:pPr>
      <w:r>
        <w:rPr>
          <w:rFonts w:ascii="Times New Roman" w:hAnsi="Times New Roman" w:cs="Times New Roman"/>
          <w:color w:val="281E1E"/>
          <w:sz w:val="24"/>
          <w:szCs w:val="24"/>
        </w:rPr>
        <w:t>Bulman M</w:t>
      </w:r>
      <w:r w:rsidR="004D4A8E" w:rsidRPr="00CB5873">
        <w:rPr>
          <w:rFonts w:ascii="Times New Roman" w:hAnsi="Times New Roman" w:cs="Times New Roman"/>
          <w:color w:val="281E1E"/>
          <w:sz w:val="24"/>
          <w:szCs w:val="24"/>
        </w:rPr>
        <w:t xml:space="preserve"> (2017) Young people consider immigration 'least important issue' in Brexit negotiations, survey finds. Available at</w:t>
      </w:r>
      <w:r>
        <w:rPr>
          <w:rFonts w:ascii="Times New Roman" w:hAnsi="Times New Roman" w:cs="Times New Roman"/>
          <w:color w:val="281E1E"/>
          <w:sz w:val="24"/>
          <w:szCs w:val="24"/>
        </w:rPr>
        <w:t>:</w:t>
      </w:r>
      <w:r w:rsidR="004D4A8E" w:rsidRPr="00CB5873">
        <w:rPr>
          <w:rFonts w:ascii="Times New Roman" w:hAnsi="Times New Roman" w:cs="Times New Roman"/>
          <w:color w:val="281E1E"/>
          <w:sz w:val="24"/>
          <w:szCs w:val="24"/>
        </w:rPr>
        <w:t xml:space="preserve"> </w:t>
      </w:r>
      <w:hyperlink r:id="rId14" w:history="1">
        <w:r w:rsidR="004D4A8E" w:rsidRPr="00CB5873">
          <w:rPr>
            <w:rStyle w:val="Hyperlink"/>
            <w:rFonts w:ascii="Times New Roman" w:hAnsi="Times New Roman" w:cs="Times New Roman"/>
            <w:sz w:val="24"/>
            <w:szCs w:val="24"/>
          </w:rPr>
          <w:t>http://www.independent.co.uk/news/uk/home-news/brexit-young-people-immigration-reducing-least-important-a7539506.html</w:t>
        </w:r>
      </w:hyperlink>
      <w:r w:rsidR="004D4A8E" w:rsidRPr="00CB5873">
        <w:rPr>
          <w:rFonts w:ascii="Times New Roman" w:hAnsi="Times New Roman" w:cs="Times New Roman"/>
          <w:color w:val="281E1E"/>
          <w:sz w:val="24"/>
          <w:szCs w:val="24"/>
        </w:rPr>
        <w:t xml:space="preserve"> </w:t>
      </w:r>
    </w:p>
    <w:p w14:paraId="1A09D47B" w14:textId="572FB202" w:rsidR="004D4A8E" w:rsidRPr="000E50F8" w:rsidRDefault="004D4A8E" w:rsidP="004D4A8E">
      <w:pPr>
        <w:spacing w:after="0" w:line="480" w:lineRule="auto"/>
        <w:ind w:left="720" w:hanging="720"/>
        <w:rPr>
          <w:sz w:val="24"/>
          <w:szCs w:val="24"/>
        </w:rPr>
      </w:pPr>
      <w:r w:rsidRPr="000E50F8">
        <w:rPr>
          <w:rFonts w:ascii="Times New Roman" w:eastAsia="Times New Roman" w:hAnsi="Times New Roman" w:cs="Times New Roman"/>
          <w:sz w:val="24"/>
          <w:szCs w:val="24"/>
        </w:rPr>
        <w:t>Constant</w:t>
      </w:r>
      <w:r w:rsidR="007F434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w:t>
      </w:r>
      <w:r w:rsidR="007F4346">
        <w:rPr>
          <w:rFonts w:ascii="Times New Roman" w:eastAsia="Times New Roman" w:hAnsi="Times New Roman" w:cs="Times New Roman"/>
          <w:sz w:val="24"/>
          <w:szCs w:val="24"/>
        </w:rPr>
        <w:t>(2012)</w:t>
      </w:r>
      <w:r w:rsidRPr="000E50F8">
        <w:rPr>
          <w:rFonts w:ascii="Times New Roman" w:eastAsia="Times New Roman" w:hAnsi="Times New Roman" w:cs="Times New Roman"/>
          <w:sz w:val="24"/>
          <w:szCs w:val="24"/>
        </w:rPr>
        <w:t xml:space="preserve"> Sizing It Up: Labor Migration Less</w:t>
      </w:r>
      <w:r>
        <w:rPr>
          <w:rFonts w:ascii="Times New Roman" w:eastAsia="Times New Roman" w:hAnsi="Times New Roman" w:cs="Times New Roman"/>
          <w:sz w:val="24"/>
          <w:szCs w:val="24"/>
        </w:rPr>
        <w:t>ons of the EU Enlargement to 27. In</w:t>
      </w:r>
      <w:r w:rsidR="007F4346">
        <w:rPr>
          <w:rFonts w:ascii="Times New Roman" w:eastAsia="Times New Roman" w:hAnsi="Times New Roman" w:cs="Times New Roman"/>
          <w:sz w:val="24"/>
          <w:szCs w:val="24"/>
        </w:rPr>
        <w:t>:</w:t>
      </w:r>
      <w:r w:rsidRPr="000E50F8">
        <w:rPr>
          <w:rFonts w:ascii="Times New Roman" w:eastAsia="Times New Roman" w:hAnsi="Times New Roman" w:cs="Times New Roman"/>
          <w:sz w:val="24"/>
          <w:szCs w:val="24"/>
        </w:rPr>
        <w:t xml:space="preserve"> </w:t>
      </w:r>
      <w:r w:rsidR="007F4346">
        <w:rPr>
          <w:rFonts w:ascii="Times New Roman" w:eastAsia="Times New Roman" w:hAnsi="Times New Roman" w:cs="Times New Roman"/>
          <w:sz w:val="24"/>
          <w:szCs w:val="24"/>
        </w:rPr>
        <w:t xml:space="preserve">Gortázar C, Parra C, Segaert B and Timmerman C (eds) </w:t>
      </w:r>
      <w:r w:rsidRPr="00AA71BE">
        <w:rPr>
          <w:rFonts w:ascii="Times New Roman" w:eastAsia="Times New Roman" w:hAnsi="Times New Roman" w:cs="Times New Roman"/>
          <w:i/>
          <w:sz w:val="24"/>
          <w:szCs w:val="24"/>
        </w:rPr>
        <w:t>European Migration and Asylum Policies: Coherence or Contradiction</w:t>
      </w:r>
      <w:r w:rsidR="00756DD7">
        <w:rPr>
          <w:rFonts w:ascii="Times New Roman" w:eastAsia="Times New Roman" w:hAnsi="Times New Roman" w:cs="Times New Roman"/>
          <w:sz w:val="24"/>
          <w:szCs w:val="24"/>
        </w:rPr>
        <w:t>. Bruylant: Belgium, pp.</w:t>
      </w:r>
      <w:r w:rsidRPr="000E50F8">
        <w:rPr>
          <w:rFonts w:ascii="Times New Roman" w:eastAsia="Times New Roman" w:hAnsi="Times New Roman" w:cs="Times New Roman"/>
          <w:sz w:val="24"/>
          <w:szCs w:val="24"/>
        </w:rPr>
        <w:t>49-77.</w:t>
      </w:r>
    </w:p>
    <w:p w14:paraId="062941BD" w14:textId="519D878D" w:rsidR="004D4A8E" w:rsidRDefault="00756DD7" w:rsidP="004D4A8E">
      <w:pPr>
        <w:spacing w:after="0" w:line="480"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sz w:val="24"/>
          <w:szCs w:val="24"/>
        </w:rPr>
        <w:t>Constant A</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(2014) </w:t>
      </w:r>
      <w:r w:rsidR="004D4A8E" w:rsidRPr="000E50F8">
        <w:rPr>
          <w:rFonts w:ascii="Times New Roman" w:eastAsia="Times New Roman" w:hAnsi="Times New Roman" w:cs="Times New Roman"/>
          <w:sz w:val="24"/>
          <w:szCs w:val="24"/>
        </w:rPr>
        <w:t xml:space="preserve">Do migrants take the jobs of native workers?  </w:t>
      </w:r>
      <w:r w:rsidR="004D4A8E" w:rsidRPr="000E50F8">
        <w:rPr>
          <w:rFonts w:ascii="Times New Roman" w:eastAsia="Times New Roman" w:hAnsi="Times New Roman" w:cs="Times New Roman"/>
          <w:i/>
          <w:sz w:val="24"/>
          <w:szCs w:val="24"/>
        </w:rPr>
        <w:t xml:space="preserve">IZA World of Labor </w:t>
      </w:r>
      <w:r w:rsidR="004D4A8E" w:rsidRPr="000E50F8">
        <w:rPr>
          <w:rFonts w:ascii="Times New Roman" w:eastAsia="Times New Roman" w:hAnsi="Times New Roman" w:cs="Times New Roman"/>
          <w:sz w:val="24"/>
          <w:szCs w:val="24"/>
        </w:rPr>
        <w:t>2014: 10.</w:t>
      </w:r>
      <w:r w:rsidR="004D4A8E" w:rsidRPr="000E50F8">
        <w:rPr>
          <w:rFonts w:ascii="Times New Roman" w:eastAsia="Times New Roman" w:hAnsi="Times New Roman" w:cs="Times New Roman"/>
          <w:i/>
          <w:sz w:val="24"/>
          <w:szCs w:val="24"/>
        </w:rPr>
        <w:t xml:space="preserve"> </w:t>
      </w:r>
    </w:p>
    <w:p w14:paraId="581EFFD4" w14:textId="4D3E64DA" w:rsidR="004D4A8E" w:rsidRPr="00F42560" w:rsidRDefault="001229CD"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Dawson C, Veliziotis M, Pacheco G and Webber DJ</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004D4A8E">
        <w:rPr>
          <w:rFonts w:ascii="Times New Roman" w:eastAsia="Times New Roman" w:hAnsi="Times New Roman" w:cs="Times New Roman"/>
          <w:sz w:val="24"/>
          <w:szCs w:val="24"/>
        </w:rPr>
        <w:t xml:space="preserve"> </w:t>
      </w:r>
      <w:r w:rsidR="004D4A8E" w:rsidRPr="00F42560">
        <w:rPr>
          <w:rFonts w:ascii="Times New Roman" w:eastAsia="Times New Roman" w:hAnsi="Times New Roman" w:cs="Times New Roman"/>
          <w:sz w:val="24"/>
          <w:szCs w:val="24"/>
        </w:rPr>
        <w:t>Is temporary employment a caus</w:t>
      </w:r>
      <w:r w:rsidR="004D4A8E">
        <w:rPr>
          <w:rFonts w:ascii="Times New Roman" w:eastAsia="Times New Roman" w:hAnsi="Times New Roman" w:cs="Times New Roman"/>
          <w:sz w:val="24"/>
          <w:szCs w:val="24"/>
        </w:rPr>
        <w:t xml:space="preserve">e or consequence of poor mental </w:t>
      </w:r>
      <w:r w:rsidR="004D4A8E" w:rsidRPr="00F42560">
        <w:rPr>
          <w:rFonts w:ascii="Times New Roman" w:eastAsia="Times New Roman" w:hAnsi="Times New Roman" w:cs="Times New Roman"/>
          <w:sz w:val="24"/>
          <w:szCs w:val="24"/>
        </w:rPr>
        <w:t>health? A panel data analysis</w:t>
      </w:r>
      <w:r w:rsidR="004D4A8E">
        <w:rPr>
          <w:rFonts w:ascii="Times New Roman" w:eastAsia="Times New Roman" w:hAnsi="Times New Roman" w:cs="Times New Roman"/>
          <w:sz w:val="24"/>
          <w:szCs w:val="24"/>
        </w:rPr>
        <w:t xml:space="preserve">. </w:t>
      </w:r>
      <w:r w:rsidR="004D4A8E" w:rsidRPr="00F42560">
        <w:rPr>
          <w:rFonts w:ascii="Times New Roman" w:eastAsia="Times New Roman" w:hAnsi="Times New Roman" w:cs="Times New Roman"/>
          <w:i/>
          <w:sz w:val="24"/>
          <w:szCs w:val="24"/>
        </w:rPr>
        <w:t>Social Science and Medicine</w:t>
      </w:r>
      <w:r w:rsidR="004D4A8E">
        <w:rPr>
          <w:rFonts w:ascii="Times New Roman" w:eastAsia="Times New Roman" w:hAnsi="Times New Roman" w:cs="Times New Roman"/>
          <w:sz w:val="24"/>
          <w:szCs w:val="24"/>
        </w:rPr>
        <w:t xml:space="preserve"> 134: 50-58. </w:t>
      </w:r>
    </w:p>
    <w:p w14:paraId="38494D18" w14:textId="0DA0A438" w:rsidR="004D4A8E" w:rsidRPr="000E50F8" w:rsidRDefault="001229CD" w:rsidP="004D4A8E">
      <w:pPr>
        <w:spacing w:after="0" w:line="480" w:lineRule="auto"/>
        <w:ind w:left="720" w:hanging="720"/>
        <w:rPr>
          <w:sz w:val="24"/>
          <w:szCs w:val="24"/>
        </w:rPr>
      </w:pPr>
      <w:r>
        <w:rPr>
          <w:rFonts w:ascii="Times New Roman" w:eastAsia="Times New Roman" w:hAnsi="Times New Roman" w:cs="Times New Roman"/>
          <w:sz w:val="24"/>
          <w:szCs w:val="24"/>
        </w:rPr>
        <w:t>De Neve J-E</w:t>
      </w:r>
      <w:r w:rsidR="004D4A8E" w:rsidRPr="000E50F8">
        <w:rPr>
          <w:rFonts w:ascii="Times New Roman" w:eastAsia="Times New Roman" w:hAnsi="Times New Roman" w:cs="Times New Roman"/>
          <w:sz w:val="24"/>
          <w:szCs w:val="24"/>
        </w:rPr>
        <w:t>, Diene</w:t>
      </w:r>
      <w:r>
        <w:rPr>
          <w:rFonts w:ascii="Times New Roman" w:eastAsia="Times New Roman" w:hAnsi="Times New Roman" w:cs="Times New Roman"/>
          <w:sz w:val="24"/>
          <w:szCs w:val="24"/>
        </w:rPr>
        <w:t>r</w:t>
      </w:r>
      <w:r w:rsidR="004D4A8E">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Tay L and Xuereb C</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004D4A8E" w:rsidRPr="000E50F8">
        <w:rPr>
          <w:rFonts w:ascii="Times New Roman" w:eastAsia="Times New Roman" w:hAnsi="Times New Roman" w:cs="Times New Roman"/>
          <w:sz w:val="24"/>
          <w:szCs w:val="24"/>
        </w:rPr>
        <w:t xml:space="preserve"> The Objective Be</w:t>
      </w:r>
      <w:r>
        <w:rPr>
          <w:rFonts w:ascii="Times New Roman" w:eastAsia="Times New Roman" w:hAnsi="Times New Roman" w:cs="Times New Roman"/>
          <w:sz w:val="24"/>
          <w:szCs w:val="24"/>
        </w:rPr>
        <w:t xml:space="preserve">nefits of Subjective Well-Being. </w:t>
      </w:r>
      <w:r w:rsidR="004D4A8E" w:rsidRPr="000E50F8">
        <w:rPr>
          <w:rFonts w:ascii="Times New Roman" w:eastAsia="Times New Roman" w:hAnsi="Times New Roman" w:cs="Times New Roman"/>
          <w:sz w:val="24"/>
          <w:szCs w:val="24"/>
        </w:rPr>
        <w:t>In</w:t>
      </w:r>
      <w:r>
        <w:rPr>
          <w:rFonts w:ascii="Times New Roman" w:eastAsia="Times New Roman" w:hAnsi="Times New Roman" w:cs="Times New Roman"/>
          <w:sz w:val="24"/>
          <w:szCs w:val="24"/>
        </w:rPr>
        <w:t>: Helliwell J, Layard</w:t>
      </w:r>
      <w:r w:rsidR="004D4A8E" w:rsidRPr="000E50F8">
        <w:rPr>
          <w:rFonts w:ascii="Times New Roman" w:eastAsia="Times New Roman" w:hAnsi="Times New Roman" w:cs="Times New Roman"/>
          <w:sz w:val="24"/>
          <w:szCs w:val="24"/>
        </w:rPr>
        <w:t xml:space="preserve"> R </w:t>
      </w:r>
      <w:r>
        <w:rPr>
          <w:rFonts w:ascii="Times New Roman" w:eastAsia="Times New Roman" w:hAnsi="Times New Roman" w:cs="Times New Roman"/>
          <w:sz w:val="24"/>
          <w:szCs w:val="24"/>
        </w:rPr>
        <w:t>and Sachs J</w:t>
      </w:r>
      <w:r w:rsidR="004D4A8E" w:rsidRPr="000E50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(eds)</w:t>
      </w:r>
      <w:r w:rsidR="004D4A8E" w:rsidRPr="000E50F8">
        <w:rPr>
          <w:rFonts w:ascii="Times New Roman" w:eastAsia="Times New Roman" w:hAnsi="Times New Roman" w:cs="Times New Roman"/>
          <w:sz w:val="24"/>
          <w:szCs w:val="24"/>
        </w:rPr>
        <w:t xml:space="preserve"> </w:t>
      </w:r>
      <w:r w:rsidR="004D4A8E" w:rsidRPr="000E50F8">
        <w:rPr>
          <w:rFonts w:ascii="Times New Roman" w:eastAsia="Times New Roman" w:hAnsi="Times New Roman" w:cs="Times New Roman"/>
          <w:i/>
          <w:sz w:val="24"/>
          <w:szCs w:val="24"/>
        </w:rPr>
        <w:t>World Happiness Report 2013</w:t>
      </w:r>
      <w:r w:rsidR="004D4A8E" w:rsidRPr="000E50F8">
        <w:rPr>
          <w:rFonts w:ascii="Times New Roman" w:eastAsia="Times New Roman" w:hAnsi="Times New Roman" w:cs="Times New Roman"/>
          <w:sz w:val="24"/>
          <w:szCs w:val="24"/>
        </w:rPr>
        <w:t>. New York: UN Sustainable Development Solutions Network</w:t>
      </w:r>
      <w:r>
        <w:rPr>
          <w:rFonts w:ascii="Times New Roman" w:eastAsia="Times New Roman" w:hAnsi="Times New Roman" w:cs="Times New Roman"/>
          <w:sz w:val="24"/>
          <w:szCs w:val="24"/>
        </w:rPr>
        <w:t xml:space="preserve">. </w:t>
      </w:r>
    </w:p>
    <w:p w14:paraId="6F1F6CD4" w14:textId="1B6757CF" w:rsidR="004D4A8E" w:rsidRPr="000E50F8" w:rsidRDefault="001229CD" w:rsidP="004D4A8E">
      <w:pPr>
        <w:spacing w:after="0" w:line="480" w:lineRule="auto"/>
        <w:ind w:left="720" w:hanging="720"/>
        <w:rPr>
          <w:sz w:val="24"/>
          <w:szCs w:val="24"/>
        </w:rPr>
      </w:pPr>
      <w:r>
        <w:rPr>
          <w:rFonts w:ascii="Times New Roman" w:eastAsia="Times New Roman" w:hAnsi="Times New Roman" w:cs="Times New Roman"/>
          <w:sz w:val="24"/>
          <w:szCs w:val="24"/>
        </w:rPr>
        <w:t>Dustmann</w:t>
      </w:r>
      <w:r w:rsidR="004D4A8E" w:rsidRPr="000E50F8">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 Frattini T and Halls C</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D4A8E">
        <w:rPr>
          <w:rFonts w:ascii="Times New Roman" w:eastAsia="Times New Roman" w:hAnsi="Times New Roman" w:cs="Times New Roman"/>
          <w:sz w:val="24"/>
          <w:szCs w:val="24"/>
        </w:rPr>
        <w:t>2010</w:t>
      </w:r>
      <w:r>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xml:space="preserve"> Assessing the Fiscal Costs and Benefits of A8 Migration to the UK. </w:t>
      </w:r>
      <w:r w:rsidR="004D4A8E" w:rsidRPr="000E50F8">
        <w:rPr>
          <w:rFonts w:ascii="Times New Roman" w:eastAsia="Times New Roman" w:hAnsi="Times New Roman" w:cs="Times New Roman"/>
          <w:i/>
          <w:sz w:val="24"/>
          <w:szCs w:val="24"/>
        </w:rPr>
        <w:t>Fiscal Studies</w:t>
      </w:r>
      <w:r>
        <w:rPr>
          <w:rFonts w:ascii="Times New Roman" w:eastAsia="Times New Roman" w:hAnsi="Times New Roman" w:cs="Times New Roman"/>
          <w:sz w:val="24"/>
          <w:szCs w:val="24"/>
        </w:rPr>
        <w:t xml:space="preserve"> </w:t>
      </w:r>
      <w:r w:rsidR="004D4A8E" w:rsidRPr="000E50F8">
        <w:rPr>
          <w:rFonts w:ascii="Times New Roman" w:eastAsia="Times New Roman" w:hAnsi="Times New Roman" w:cs="Times New Roman"/>
          <w:sz w:val="24"/>
          <w:szCs w:val="24"/>
        </w:rPr>
        <w:t xml:space="preserve">31(1): 1-41. </w:t>
      </w:r>
    </w:p>
    <w:p w14:paraId="239EFC6D" w14:textId="10707C5E" w:rsidR="004D4A8E" w:rsidRDefault="001229CD"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Elsner B</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004D4A8E" w:rsidRPr="000E50F8">
        <w:rPr>
          <w:rFonts w:ascii="Times New Roman" w:eastAsia="Times New Roman" w:hAnsi="Times New Roman" w:cs="Times New Roman"/>
          <w:sz w:val="24"/>
          <w:szCs w:val="24"/>
        </w:rPr>
        <w:t xml:space="preserve"> Emigration and Wages: The EU </w:t>
      </w:r>
      <w:r w:rsidR="004D4A8E">
        <w:rPr>
          <w:rFonts w:ascii="Times New Roman" w:eastAsia="Times New Roman" w:hAnsi="Times New Roman" w:cs="Times New Roman"/>
          <w:sz w:val="24"/>
          <w:szCs w:val="24"/>
        </w:rPr>
        <w:t xml:space="preserve">Enlargement Experiment. </w:t>
      </w:r>
      <w:r w:rsidR="004D4A8E" w:rsidRPr="001C7549">
        <w:rPr>
          <w:rFonts w:ascii="Times New Roman" w:eastAsia="Times New Roman" w:hAnsi="Times New Roman" w:cs="Times New Roman"/>
          <w:i/>
          <w:sz w:val="24"/>
          <w:szCs w:val="24"/>
        </w:rPr>
        <w:t>Journal of International Economics</w:t>
      </w:r>
      <w:r w:rsidR="004D4A8E" w:rsidRPr="000E50F8">
        <w:rPr>
          <w:rFonts w:ascii="Times New Roman" w:eastAsia="Times New Roman" w:hAnsi="Times New Roman" w:cs="Times New Roman"/>
          <w:sz w:val="24"/>
          <w:szCs w:val="24"/>
        </w:rPr>
        <w:t xml:space="preserve"> 91(1): 154-163. </w:t>
      </w:r>
    </w:p>
    <w:p w14:paraId="25469B5F" w14:textId="7099501C" w:rsidR="004D4A8E" w:rsidRDefault="001229CD" w:rsidP="004D4A8E">
      <w:pPr>
        <w:spacing w:after="0" w:line="480" w:lineRule="auto"/>
        <w:ind w:left="720" w:hanging="720"/>
        <w:rPr>
          <w:rFonts w:ascii="Times New Roman" w:eastAsia="Times New Roman" w:hAnsi="Times New Roman" w:cs="Times New Roman"/>
          <w:sz w:val="24"/>
          <w:szCs w:val="24"/>
        </w:rPr>
      </w:pPr>
      <w:r>
        <w:rPr>
          <w:rFonts w:ascii="Times New Roman" w:hAnsi="Times New Roman" w:cs="Times New Roman"/>
          <w:sz w:val="24"/>
          <w:szCs w:val="24"/>
        </w:rPr>
        <w:t>Facchini G and Mayda AM</w:t>
      </w:r>
      <w:r w:rsidR="004D4A8E">
        <w:rPr>
          <w:rFonts w:ascii="Times New Roman" w:hAnsi="Times New Roman" w:cs="Times New Roman"/>
          <w:sz w:val="24"/>
          <w:szCs w:val="24"/>
        </w:rPr>
        <w:t xml:space="preserve"> </w:t>
      </w:r>
      <w:r>
        <w:rPr>
          <w:rFonts w:ascii="Times New Roman" w:hAnsi="Times New Roman" w:cs="Times New Roman"/>
          <w:sz w:val="24"/>
          <w:szCs w:val="24"/>
        </w:rPr>
        <w:t>(</w:t>
      </w:r>
      <w:r w:rsidR="004D4A8E" w:rsidRPr="007E0701">
        <w:rPr>
          <w:rFonts w:ascii="Times New Roman" w:hAnsi="Times New Roman" w:cs="Times New Roman"/>
          <w:sz w:val="24"/>
          <w:szCs w:val="24"/>
        </w:rPr>
        <w:t>2008</w:t>
      </w:r>
      <w:r>
        <w:rPr>
          <w:rFonts w:ascii="Times New Roman" w:hAnsi="Times New Roman" w:cs="Times New Roman"/>
          <w:sz w:val="24"/>
          <w:szCs w:val="24"/>
        </w:rPr>
        <w:t>)</w:t>
      </w:r>
      <w:r w:rsidR="004D4A8E" w:rsidRPr="007E0701">
        <w:rPr>
          <w:rFonts w:ascii="Times New Roman" w:hAnsi="Times New Roman" w:cs="Times New Roman"/>
          <w:sz w:val="24"/>
          <w:szCs w:val="24"/>
        </w:rPr>
        <w:t xml:space="preserve"> From individual attitudes to immigrati</w:t>
      </w:r>
      <w:r w:rsidR="004D4A8E">
        <w:rPr>
          <w:rFonts w:ascii="Times New Roman" w:hAnsi="Times New Roman" w:cs="Times New Roman"/>
          <w:sz w:val="24"/>
          <w:szCs w:val="24"/>
        </w:rPr>
        <w:t>on policy: theory and evidence.</w:t>
      </w:r>
      <w:r w:rsidR="004D4A8E" w:rsidRPr="007E0701">
        <w:rPr>
          <w:rFonts w:ascii="Times New Roman" w:hAnsi="Times New Roman" w:cs="Times New Roman"/>
          <w:sz w:val="24"/>
          <w:szCs w:val="24"/>
        </w:rPr>
        <w:t xml:space="preserve"> </w:t>
      </w:r>
      <w:r w:rsidR="004D4A8E" w:rsidRPr="007E0701">
        <w:rPr>
          <w:rFonts w:ascii="Times New Roman" w:hAnsi="Times New Roman" w:cs="Times New Roman"/>
          <w:i/>
          <w:sz w:val="24"/>
          <w:szCs w:val="24"/>
        </w:rPr>
        <w:t>Economic Policy</w:t>
      </w:r>
      <w:r>
        <w:rPr>
          <w:rFonts w:ascii="Times New Roman" w:hAnsi="Times New Roman" w:cs="Times New Roman"/>
          <w:sz w:val="24"/>
          <w:szCs w:val="24"/>
        </w:rPr>
        <w:t xml:space="preserve"> 56:</w:t>
      </w:r>
      <w:r w:rsidR="004D4A8E" w:rsidRPr="007E0701">
        <w:rPr>
          <w:rFonts w:ascii="Times New Roman" w:hAnsi="Times New Roman" w:cs="Times New Roman"/>
          <w:sz w:val="24"/>
          <w:szCs w:val="24"/>
        </w:rPr>
        <w:t xml:space="preserve"> 651–713.</w:t>
      </w:r>
    </w:p>
    <w:p w14:paraId="20C340B7" w14:textId="1A1B2D58" w:rsidR="004D4A8E" w:rsidRPr="00372A02" w:rsidRDefault="001229CD"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Ferrer-i-Carbonell A and Frijters P</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(2004)</w:t>
      </w:r>
      <w:r w:rsidR="004D4A8E">
        <w:rPr>
          <w:rFonts w:ascii="Times New Roman" w:eastAsia="Times New Roman" w:hAnsi="Times New Roman" w:cs="Times New Roman"/>
          <w:sz w:val="24"/>
          <w:szCs w:val="24"/>
        </w:rPr>
        <w:t xml:space="preserve"> How important is methodology for the estimates </w:t>
      </w:r>
      <w:r w:rsidR="004D4A8E" w:rsidRPr="00372A02">
        <w:rPr>
          <w:rFonts w:ascii="Times New Roman" w:eastAsia="Times New Roman" w:hAnsi="Times New Roman" w:cs="Times New Roman"/>
          <w:sz w:val="24"/>
          <w:szCs w:val="24"/>
        </w:rPr>
        <w:t xml:space="preserve">of the determinants of happiness? </w:t>
      </w:r>
      <w:r w:rsidR="004D4A8E" w:rsidRPr="00372A02">
        <w:rPr>
          <w:rFonts w:ascii="Times New Roman" w:eastAsia="Times New Roman" w:hAnsi="Times New Roman" w:cs="Times New Roman"/>
          <w:i/>
          <w:sz w:val="24"/>
          <w:szCs w:val="24"/>
        </w:rPr>
        <w:t>The Economic Journal</w:t>
      </w:r>
      <w:r w:rsidR="004D4A8E" w:rsidRPr="00372A02">
        <w:rPr>
          <w:rFonts w:ascii="Times New Roman" w:eastAsia="Times New Roman" w:hAnsi="Times New Roman" w:cs="Times New Roman"/>
          <w:sz w:val="24"/>
          <w:szCs w:val="24"/>
        </w:rPr>
        <w:t xml:space="preserve"> 114(497): 641-659. </w:t>
      </w:r>
    </w:p>
    <w:p w14:paraId="7D965E9B" w14:textId="53C2F84B" w:rsidR="004D4A8E" w:rsidRPr="00372A02" w:rsidRDefault="001229CD"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Geddes A</w:t>
      </w:r>
      <w:r w:rsidR="004D4A8E" w:rsidRPr="00372A0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(2014)</w:t>
      </w:r>
      <w:r w:rsidR="004D4A8E" w:rsidRPr="00372A02">
        <w:rPr>
          <w:rFonts w:ascii="Times New Roman" w:eastAsia="Times New Roman" w:hAnsi="Times New Roman" w:cs="Times New Roman"/>
          <w:sz w:val="24"/>
          <w:szCs w:val="24"/>
          <w:highlight w:val="white"/>
        </w:rPr>
        <w:t xml:space="preserve"> The EU, UKIP and the Politics of Immigration in Britain. </w:t>
      </w:r>
      <w:r w:rsidR="004D4A8E" w:rsidRPr="00372A02">
        <w:rPr>
          <w:rFonts w:ascii="Times New Roman" w:eastAsia="Times New Roman" w:hAnsi="Times New Roman" w:cs="Times New Roman"/>
          <w:i/>
          <w:sz w:val="24"/>
          <w:szCs w:val="24"/>
          <w:highlight w:val="white"/>
        </w:rPr>
        <w:t>The Political Quarterly</w:t>
      </w:r>
      <w:r w:rsidR="004D4A8E" w:rsidRPr="00372A02">
        <w:rPr>
          <w:rFonts w:ascii="Times New Roman" w:eastAsia="Times New Roman" w:hAnsi="Times New Roman" w:cs="Times New Roman"/>
          <w:sz w:val="24"/>
          <w:szCs w:val="24"/>
          <w:highlight w:val="white"/>
        </w:rPr>
        <w:t xml:space="preserve"> 85(3): 289–295. </w:t>
      </w:r>
    </w:p>
    <w:p w14:paraId="0CB84E02" w14:textId="099FCEF6" w:rsidR="004D4A8E" w:rsidRPr="00372A02" w:rsidRDefault="00130528"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lang w:val="en-GB"/>
        </w:rPr>
        <w:t>Gietel-</w:t>
      </w:r>
      <w:r w:rsidR="001229CD">
        <w:rPr>
          <w:rFonts w:ascii="Times New Roman" w:eastAsia="Times New Roman" w:hAnsi="Times New Roman" w:cs="Times New Roman"/>
          <w:color w:val="333333"/>
          <w:sz w:val="24"/>
          <w:szCs w:val="24"/>
          <w:lang w:val="en-GB"/>
        </w:rPr>
        <w:t>Basten S</w:t>
      </w:r>
      <w:r w:rsidR="00372A02">
        <w:rPr>
          <w:rFonts w:ascii="Times New Roman" w:eastAsia="Times New Roman" w:hAnsi="Times New Roman" w:cs="Times New Roman"/>
          <w:color w:val="333333"/>
          <w:sz w:val="24"/>
          <w:szCs w:val="24"/>
          <w:lang w:val="en-GB"/>
        </w:rPr>
        <w:t xml:space="preserve"> </w:t>
      </w:r>
      <w:r w:rsidR="001229CD">
        <w:rPr>
          <w:rFonts w:ascii="Times New Roman" w:eastAsia="Times New Roman" w:hAnsi="Times New Roman" w:cs="Times New Roman"/>
          <w:color w:val="333333"/>
          <w:sz w:val="24"/>
          <w:szCs w:val="24"/>
          <w:lang w:val="en-GB"/>
        </w:rPr>
        <w:t>(2016)</w:t>
      </w:r>
      <w:r w:rsidR="00372A02">
        <w:rPr>
          <w:rFonts w:ascii="Times New Roman" w:eastAsia="Times New Roman" w:hAnsi="Times New Roman" w:cs="Times New Roman"/>
          <w:color w:val="333333"/>
          <w:sz w:val="24"/>
          <w:szCs w:val="24"/>
          <w:lang w:val="en-GB"/>
        </w:rPr>
        <w:t xml:space="preserve"> </w:t>
      </w:r>
      <w:r w:rsidR="004D4A8E" w:rsidRPr="00372A02">
        <w:rPr>
          <w:rFonts w:ascii="Times New Roman" w:eastAsia="Times New Roman" w:hAnsi="Times New Roman" w:cs="Times New Roman"/>
          <w:color w:val="333333"/>
          <w:sz w:val="24"/>
          <w:szCs w:val="24"/>
          <w:lang w:val="en-GB"/>
        </w:rPr>
        <w:t>Why Brexit? The Toxic Mi</w:t>
      </w:r>
      <w:r w:rsidR="00372A02">
        <w:rPr>
          <w:rFonts w:ascii="Times New Roman" w:eastAsia="Times New Roman" w:hAnsi="Times New Roman" w:cs="Times New Roman"/>
          <w:color w:val="333333"/>
          <w:sz w:val="24"/>
          <w:szCs w:val="24"/>
          <w:lang w:val="en-GB"/>
        </w:rPr>
        <w:t xml:space="preserve">x of Immigration and Austerity. </w:t>
      </w:r>
      <w:r w:rsidR="004D4A8E" w:rsidRPr="00372A02">
        <w:rPr>
          <w:rFonts w:ascii="Times New Roman" w:eastAsia="Times New Roman" w:hAnsi="Times New Roman" w:cs="Times New Roman"/>
          <w:i/>
          <w:iCs/>
          <w:color w:val="333333"/>
          <w:sz w:val="24"/>
          <w:szCs w:val="24"/>
          <w:lang w:val="en-GB"/>
        </w:rPr>
        <w:t>Po</w:t>
      </w:r>
      <w:r w:rsidR="00372A02">
        <w:rPr>
          <w:rFonts w:ascii="Times New Roman" w:eastAsia="Times New Roman" w:hAnsi="Times New Roman" w:cs="Times New Roman"/>
          <w:i/>
          <w:iCs/>
          <w:color w:val="333333"/>
          <w:sz w:val="24"/>
          <w:szCs w:val="24"/>
          <w:lang w:val="en-GB"/>
        </w:rPr>
        <w:t>pulation and Development Review</w:t>
      </w:r>
      <w:r w:rsidR="004D4A8E" w:rsidRPr="00372A02">
        <w:rPr>
          <w:rFonts w:ascii="Times New Roman" w:eastAsia="Times New Roman" w:hAnsi="Times New Roman" w:cs="Times New Roman"/>
          <w:i/>
          <w:iCs/>
          <w:color w:val="333333"/>
          <w:sz w:val="24"/>
          <w:szCs w:val="24"/>
          <w:lang w:val="en-GB"/>
        </w:rPr>
        <w:t> </w:t>
      </w:r>
      <w:r w:rsidR="00372A02">
        <w:rPr>
          <w:rFonts w:ascii="Times New Roman" w:eastAsia="Times New Roman" w:hAnsi="Times New Roman" w:cs="Times New Roman"/>
          <w:color w:val="333333"/>
          <w:sz w:val="24"/>
          <w:szCs w:val="24"/>
          <w:lang w:val="en-GB"/>
        </w:rPr>
        <w:t>42(4):</w:t>
      </w:r>
      <w:r w:rsidR="004D4A8E" w:rsidRPr="00372A02">
        <w:rPr>
          <w:rFonts w:ascii="Times New Roman" w:eastAsia="Times New Roman" w:hAnsi="Times New Roman" w:cs="Times New Roman"/>
          <w:color w:val="333333"/>
          <w:sz w:val="24"/>
          <w:szCs w:val="24"/>
          <w:lang w:val="en-GB"/>
        </w:rPr>
        <w:t xml:space="preserve"> 673-680.</w:t>
      </w:r>
    </w:p>
    <w:p w14:paraId="15955335" w14:textId="69E183CC" w:rsidR="004D4A8E" w:rsidRDefault="001229CD"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Gilpin N, </w:t>
      </w:r>
      <w:r w:rsidR="004D4A8E" w:rsidRPr="00372A02">
        <w:rPr>
          <w:rFonts w:ascii="Times New Roman" w:eastAsia="Times New Roman" w:hAnsi="Times New Roman" w:cs="Times New Roman"/>
          <w:sz w:val="24"/>
          <w:szCs w:val="24"/>
        </w:rPr>
        <w:t>Henty</w:t>
      </w:r>
      <w:r>
        <w:rPr>
          <w:rFonts w:ascii="Times New Roman" w:eastAsia="Times New Roman" w:hAnsi="Times New Roman" w:cs="Times New Roman"/>
          <w:sz w:val="24"/>
          <w:szCs w:val="24"/>
        </w:rPr>
        <w:t xml:space="preserve"> M,</w:t>
      </w:r>
      <w:r w:rsidR="004D4A8E" w:rsidRPr="00372A02">
        <w:rPr>
          <w:rFonts w:ascii="Times New Roman" w:eastAsia="Times New Roman" w:hAnsi="Times New Roman" w:cs="Times New Roman"/>
          <w:sz w:val="24"/>
          <w:szCs w:val="24"/>
        </w:rPr>
        <w:t xml:space="preserve"> Lemos</w:t>
      </w:r>
      <w:r>
        <w:rPr>
          <w:rFonts w:ascii="Times New Roman" w:eastAsia="Times New Roman" w:hAnsi="Times New Roman" w:cs="Times New Roman"/>
          <w:sz w:val="24"/>
          <w:szCs w:val="24"/>
        </w:rPr>
        <w:t xml:space="preserve"> S,</w:t>
      </w:r>
      <w:r w:rsidR="004D4A8E" w:rsidRPr="00372A02">
        <w:rPr>
          <w:rFonts w:ascii="Times New Roman" w:eastAsia="Times New Roman" w:hAnsi="Times New Roman" w:cs="Times New Roman"/>
          <w:sz w:val="24"/>
          <w:szCs w:val="24"/>
        </w:rPr>
        <w:t xml:space="preserve"> Portes</w:t>
      </w:r>
      <w:r>
        <w:rPr>
          <w:rFonts w:ascii="Times New Roman" w:eastAsia="Times New Roman" w:hAnsi="Times New Roman" w:cs="Times New Roman"/>
          <w:sz w:val="24"/>
          <w:szCs w:val="24"/>
        </w:rPr>
        <w:t xml:space="preserve"> J and Bullen C</w:t>
      </w:r>
      <w:r w:rsidR="004D4A8E" w:rsidRPr="00372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(2006)</w:t>
      </w:r>
      <w:r w:rsidR="004D4A8E" w:rsidRPr="00372A02">
        <w:rPr>
          <w:rFonts w:ascii="Times New Roman" w:eastAsia="Times New Roman" w:hAnsi="Times New Roman" w:cs="Times New Roman"/>
          <w:sz w:val="24"/>
          <w:szCs w:val="24"/>
        </w:rPr>
        <w:t xml:space="preserve"> </w:t>
      </w:r>
      <w:r w:rsidR="004D4A8E" w:rsidRPr="001229CD">
        <w:rPr>
          <w:rFonts w:ascii="Times New Roman" w:eastAsia="Times New Roman" w:hAnsi="Times New Roman" w:cs="Times New Roman"/>
          <w:i/>
          <w:sz w:val="24"/>
          <w:szCs w:val="24"/>
        </w:rPr>
        <w:t>The Impact of Free Movement of Workers from Central and Eastern Europe on the UK Labour Market</w:t>
      </w:r>
      <w:r w:rsidR="004D4A8E" w:rsidRPr="000E50F8">
        <w:rPr>
          <w:rFonts w:ascii="Times New Roman" w:eastAsia="Times New Roman" w:hAnsi="Times New Roman" w:cs="Times New Roman"/>
          <w:sz w:val="24"/>
          <w:szCs w:val="24"/>
        </w:rPr>
        <w:t xml:space="preserve">.  Department for Work and Pensions Working Paper No. 29. </w:t>
      </w:r>
    </w:p>
    <w:p w14:paraId="1CA5DFBD" w14:textId="53664C7E" w:rsidR="004D4A8E" w:rsidRPr="00FC04F7" w:rsidRDefault="001229CD"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4D4A8E" w:rsidRPr="00FC04F7">
        <w:rPr>
          <w:rFonts w:ascii="Times New Roman" w:eastAsia="Times New Roman" w:hAnsi="Times New Roman" w:cs="Times New Roman"/>
          <w:sz w:val="24"/>
          <w:szCs w:val="24"/>
        </w:rPr>
        <w:t xml:space="preserve">oodwin </w:t>
      </w:r>
      <w:r>
        <w:rPr>
          <w:rFonts w:ascii="Times New Roman" w:eastAsia="Times New Roman" w:hAnsi="Times New Roman" w:cs="Times New Roman"/>
          <w:sz w:val="24"/>
          <w:szCs w:val="24"/>
        </w:rPr>
        <w:t xml:space="preserve">MJ and </w:t>
      </w:r>
      <w:r w:rsidR="004D4A8E" w:rsidRPr="00FC04F7">
        <w:rPr>
          <w:rFonts w:ascii="Times New Roman" w:eastAsia="Times New Roman" w:hAnsi="Times New Roman" w:cs="Times New Roman"/>
          <w:sz w:val="24"/>
          <w:szCs w:val="24"/>
        </w:rPr>
        <w:t xml:space="preserve">Heath </w:t>
      </w:r>
      <w:r>
        <w:rPr>
          <w:rFonts w:ascii="Times New Roman" w:eastAsia="Times New Roman" w:hAnsi="Times New Roman" w:cs="Times New Roman"/>
          <w:sz w:val="24"/>
          <w:szCs w:val="24"/>
        </w:rPr>
        <w:t xml:space="preserve">O (2016). </w:t>
      </w:r>
      <w:r w:rsidR="004D4A8E" w:rsidRPr="00FC04F7">
        <w:rPr>
          <w:rFonts w:ascii="Times New Roman" w:eastAsia="Times New Roman" w:hAnsi="Times New Roman" w:cs="Times New Roman"/>
          <w:sz w:val="24"/>
          <w:szCs w:val="24"/>
        </w:rPr>
        <w:t xml:space="preserve">The 2016 referendum, Brexit and the Left Behind: An aggregate-level analysis of the result. </w:t>
      </w:r>
      <w:r w:rsidR="004D4A8E" w:rsidRPr="00FC04F7">
        <w:rPr>
          <w:rFonts w:ascii="Times New Roman" w:eastAsia="Times New Roman" w:hAnsi="Times New Roman" w:cs="Times New Roman"/>
          <w:i/>
          <w:sz w:val="24"/>
          <w:szCs w:val="24"/>
        </w:rPr>
        <w:t>The Political Quaterly</w:t>
      </w:r>
      <w:r w:rsidR="004D4A8E" w:rsidRPr="00FC04F7">
        <w:rPr>
          <w:rFonts w:ascii="Times New Roman" w:eastAsia="Times New Roman" w:hAnsi="Times New Roman" w:cs="Times New Roman"/>
          <w:sz w:val="24"/>
          <w:szCs w:val="24"/>
        </w:rPr>
        <w:t xml:space="preserve"> 87(3): 323–332</w:t>
      </w:r>
      <w:r>
        <w:rPr>
          <w:rFonts w:ascii="Times New Roman" w:eastAsia="Times New Roman" w:hAnsi="Times New Roman" w:cs="Times New Roman"/>
          <w:sz w:val="24"/>
          <w:szCs w:val="24"/>
        </w:rPr>
        <w:t>.</w:t>
      </w:r>
    </w:p>
    <w:p w14:paraId="22851414" w14:textId="2A99DDCB" w:rsidR="004D4A8E" w:rsidRDefault="001229CD" w:rsidP="004D4A8E">
      <w:pPr>
        <w:spacing w:after="0" w:line="480" w:lineRule="auto"/>
        <w:ind w:left="720" w:hanging="720"/>
        <w:rPr>
          <w:rFonts w:ascii="Times New Roman" w:eastAsia="Times New Roman" w:hAnsi="Times New Roman" w:cs="Times New Roman"/>
          <w:color w:val="333333"/>
          <w:sz w:val="24"/>
          <w:szCs w:val="24"/>
          <w:lang w:val="en-GB"/>
        </w:rPr>
      </w:pPr>
      <w:r>
        <w:rPr>
          <w:rFonts w:ascii="Times New Roman" w:eastAsia="Times New Roman" w:hAnsi="Times New Roman" w:cs="Times New Roman"/>
          <w:color w:val="333333"/>
          <w:sz w:val="24"/>
          <w:szCs w:val="24"/>
          <w:lang w:val="en-GB"/>
        </w:rPr>
        <w:t>Howley P, Neill S</w:t>
      </w:r>
      <w:r w:rsidR="004D4A8E" w:rsidRPr="00283CCE">
        <w:rPr>
          <w:rFonts w:ascii="Times New Roman" w:eastAsia="Times New Roman" w:hAnsi="Times New Roman" w:cs="Times New Roman"/>
          <w:color w:val="333333"/>
          <w:sz w:val="24"/>
          <w:szCs w:val="24"/>
          <w:lang w:val="en-GB"/>
        </w:rPr>
        <w:t xml:space="preserve"> </w:t>
      </w:r>
      <w:r>
        <w:rPr>
          <w:rFonts w:ascii="Times New Roman" w:eastAsia="Times New Roman" w:hAnsi="Times New Roman" w:cs="Times New Roman"/>
          <w:color w:val="333333"/>
          <w:sz w:val="24"/>
          <w:szCs w:val="24"/>
          <w:lang w:val="en-GB"/>
        </w:rPr>
        <w:t>and Atkinson R</w:t>
      </w:r>
      <w:r w:rsidR="004D4A8E" w:rsidRPr="00283CCE">
        <w:rPr>
          <w:rFonts w:ascii="Times New Roman" w:eastAsia="Times New Roman" w:hAnsi="Times New Roman" w:cs="Times New Roman"/>
          <w:color w:val="333333"/>
          <w:sz w:val="24"/>
          <w:szCs w:val="24"/>
          <w:lang w:val="en-GB"/>
        </w:rPr>
        <w:t xml:space="preserve"> </w:t>
      </w:r>
      <w:r>
        <w:rPr>
          <w:rFonts w:ascii="Times New Roman" w:eastAsia="Times New Roman" w:hAnsi="Times New Roman" w:cs="Times New Roman"/>
          <w:color w:val="333333"/>
          <w:sz w:val="24"/>
          <w:szCs w:val="24"/>
          <w:lang w:val="en-GB"/>
        </w:rPr>
        <w:t xml:space="preserve">(2015) </w:t>
      </w:r>
      <w:r w:rsidR="004D4A8E" w:rsidRPr="00283CCE">
        <w:rPr>
          <w:rFonts w:ascii="Times New Roman" w:eastAsia="Times New Roman" w:hAnsi="Times New Roman" w:cs="Times New Roman"/>
          <w:color w:val="333333"/>
          <w:sz w:val="24"/>
          <w:szCs w:val="24"/>
          <w:lang w:val="en-GB"/>
        </w:rPr>
        <w:t>Who needs good neighbors? </w:t>
      </w:r>
      <w:r w:rsidR="004D4A8E" w:rsidRPr="00283CCE">
        <w:rPr>
          <w:rFonts w:ascii="Times New Roman" w:eastAsia="Times New Roman" w:hAnsi="Times New Roman" w:cs="Times New Roman"/>
          <w:i/>
          <w:iCs/>
          <w:color w:val="333333"/>
          <w:sz w:val="24"/>
          <w:szCs w:val="24"/>
          <w:lang w:val="en-GB"/>
        </w:rPr>
        <w:t xml:space="preserve">Environment and Planning A </w:t>
      </w:r>
      <w:r>
        <w:rPr>
          <w:rFonts w:ascii="Times New Roman" w:eastAsia="Times New Roman" w:hAnsi="Times New Roman" w:cs="Times New Roman"/>
          <w:color w:val="333333"/>
          <w:sz w:val="24"/>
          <w:szCs w:val="24"/>
          <w:lang w:val="en-GB"/>
        </w:rPr>
        <w:t>47(4):</w:t>
      </w:r>
      <w:r w:rsidR="004D4A8E" w:rsidRPr="00283CCE">
        <w:rPr>
          <w:rFonts w:ascii="Times New Roman" w:eastAsia="Times New Roman" w:hAnsi="Times New Roman" w:cs="Times New Roman"/>
          <w:color w:val="333333"/>
          <w:sz w:val="24"/>
          <w:szCs w:val="24"/>
          <w:lang w:val="en-GB"/>
        </w:rPr>
        <w:t xml:space="preserve"> 939-956.</w:t>
      </w:r>
    </w:p>
    <w:p w14:paraId="66600281" w14:textId="012AF201" w:rsidR="004D4A8E" w:rsidRPr="00AB46EA" w:rsidRDefault="001229CD" w:rsidP="004D4A8E">
      <w:pPr>
        <w:spacing w:after="0" w:line="480" w:lineRule="auto"/>
        <w:ind w:left="720" w:hanging="720"/>
        <w:rPr>
          <w:rFonts w:ascii="Times New Roman" w:eastAsia="Times New Roman" w:hAnsi="Times New Roman" w:cs="Times New Roman"/>
          <w:color w:val="333333"/>
          <w:sz w:val="32"/>
          <w:szCs w:val="24"/>
          <w:lang w:val="en-GB"/>
        </w:rPr>
      </w:pPr>
      <w:r>
        <w:rPr>
          <w:rFonts w:ascii="Times New Roman" w:eastAsia="Times New Roman" w:hAnsi="Times New Roman" w:cs="Times New Roman"/>
          <w:color w:val="333333"/>
          <w:sz w:val="24"/>
          <w:lang w:val="en-GB"/>
        </w:rPr>
        <w:t>Iammarino S</w:t>
      </w:r>
      <w:r w:rsidR="004D4A8E" w:rsidRPr="00AB46EA">
        <w:rPr>
          <w:rFonts w:ascii="Times New Roman" w:eastAsia="Times New Roman" w:hAnsi="Times New Roman" w:cs="Times New Roman"/>
          <w:color w:val="333333"/>
          <w:sz w:val="24"/>
          <w:lang w:val="en-GB"/>
        </w:rPr>
        <w:t xml:space="preserve"> </w:t>
      </w:r>
      <w:r>
        <w:rPr>
          <w:rFonts w:ascii="Times New Roman" w:eastAsia="Times New Roman" w:hAnsi="Times New Roman" w:cs="Times New Roman"/>
          <w:color w:val="333333"/>
          <w:sz w:val="24"/>
          <w:lang w:val="en-GB"/>
        </w:rPr>
        <w:t>and Marinelli E</w:t>
      </w:r>
      <w:r w:rsidR="004D4A8E" w:rsidRPr="00AB46EA">
        <w:rPr>
          <w:rFonts w:ascii="Times New Roman" w:eastAsia="Times New Roman" w:hAnsi="Times New Roman" w:cs="Times New Roman"/>
          <w:color w:val="333333"/>
          <w:sz w:val="24"/>
          <w:lang w:val="en-GB"/>
        </w:rPr>
        <w:t xml:space="preserve"> </w:t>
      </w:r>
      <w:r>
        <w:rPr>
          <w:rFonts w:ascii="Times New Roman" w:eastAsia="Times New Roman" w:hAnsi="Times New Roman" w:cs="Times New Roman"/>
          <w:color w:val="333333"/>
          <w:sz w:val="24"/>
          <w:lang w:val="en-GB"/>
        </w:rPr>
        <w:t>(2011)</w:t>
      </w:r>
      <w:r w:rsidR="004D4A8E" w:rsidRPr="00AB46EA">
        <w:rPr>
          <w:rFonts w:ascii="Times New Roman" w:eastAsia="Times New Roman" w:hAnsi="Times New Roman" w:cs="Times New Roman"/>
          <w:color w:val="333333"/>
          <w:sz w:val="24"/>
          <w:lang w:val="en-GB"/>
        </w:rPr>
        <w:t xml:space="preserve"> Is the grass greener on the other side of the fence? Graduate mobility and job satisfaction in Italy. </w:t>
      </w:r>
      <w:r w:rsidR="004D4A8E" w:rsidRPr="00AB46EA">
        <w:rPr>
          <w:rFonts w:ascii="Times New Roman" w:eastAsia="Times New Roman" w:hAnsi="Times New Roman" w:cs="Times New Roman"/>
          <w:i/>
          <w:iCs/>
          <w:color w:val="333333"/>
          <w:sz w:val="24"/>
          <w:lang w:val="en-GB"/>
        </w:rPr>
        <w:t xml:space="preserve">Environment and Planning A </w:t>
      </w:r>
      <w:r w:rsidR="004D4A8E" w:rsidRPr="00AB46EA">
        <w:rPr>
          <w:rFonts w:ascii="Times New Roman" w:eastAsia="Times New Roman" w:hAnsi="Times New Roman" w:cs="Times New Roman"/>
          <w:color w:val="333333"/>
          <w:sz w:val="24"/>
          <w:lang w:val="en-GB"/>
        </w:rPr>
        <w:t>43(11): 2761-2777.</w:t>
      </w:r>
    </w:p>
    <w:p w14:paraId="0C4CF465" w14:textId="15C212FE" w:rsidR="004D4A8E" w:rsidRDefault="001229CD" w:rsidP="004D4A8E">
      <w:pPr>
        <w:spacing w:after="0" w:line="48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Ivlevs A (</w:t>
      </w:r>
      <w:r w:rsidR="004D4A8E">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xml:space="preserve"> </w:t>
      </w:r>
      <w:r w:rsidR="004D4A8E" w:rsidRPr="008A7C63">
        <w:rPr>
          <w:rStyle w:val="Strong"/>
          <w:rFonts w:ascii="Times New Roman" w:hAnsi="Times New Roman" w:cs="Times New Roman"/>
          <w:b w:val="0"/>
          <w:bCs w:val="0"/>
          <w:sz w:val="24"/>
          <w:szCs w:val="24"/>
          <w:shd w:val="clear" w:color="auto" w:fill="FFFFFF"/>
        </w:rPr>
        <w:t>Happy moves? Assessing the link between life satisfac</w:t>
      </w:r>
      <w:r w:rsidR="004D4A8E">
        <w:rPr>
          <w:rStyle w:val="Strong"/>
          <w:rFonts w:ascii="Times New Roman" w:hAnsi="Times New Roman" w:cs="Times New Roman"/>
          <w:b w:val="0"/>
          <w:bCs w:val="0"/>
          <w:sz w:val="24"/>
          <w:szCs w:val="24"/>
          <w:shd w:val="clear" w:color="auto" w:fill="FFFFFF"/>
        </w:rPr>
        <w:t>tion and emigration intentions.</w:t>
      </w:r>
      <w:r w:rsidR="004D4A8E" w:rsidRPr="008A7C63">
        <w:rPr>
          <w:rStyle w:val="apple-converted-space"/>
          <w:rFonts w:ascii="Times New Roman" w:hAnsi="Times New Roman" w:cs="Times New Roman"/>
          <w:sz w:val="24"/>
          <w:szCs w:val="24"/>
          <w:shd w:val="clear" w:color="auto" w:fill="FFFFFF"/>
        </w:rPr>
        <w:t> </w:t>
      </w:r>
      <w:r w:rsidR="004D4A8E" w:rsidRPr="008A7C63">
        <w:rPr>
          <w:rStyle w:val="Emphasis"/>
          <w:rFonts w:ascii="Times New Roman" w:hAnsi="Times New Roman" w:cs="Times New Roman"/>
          <w:sz w:val="24"/>
          <w:szCs w:val="24"/>
          <w:shd w:val="clear" w:color="auto" w:fill="FFFFFF"/>
        </w:rPr>
        <w:t xml:space="preserve">Kyklos </w:t>
      </w:r>
      <w:r w:rsidR="004D4A8E" w:rsidRPr="008A7C63">
        <w:rPr>
          <w:rStyle w:val="Strong"/>
          <w:rFonts w:ascii="Times New Roman" w:hAnsi="Times New Roman" w:cs="Times New Roman"/>
          <w:b w:val="0"/>
          <w:bCs w:val="0"/>
          <w:sz w:val="24"/>
          <w:szCs w:val="24"/>
          <w:shd w:val="clear" w:color="auto" w:fill="FFFFFF"/>
        </w:rPr>
        <w:t>68(3): 335-356</w:t>
      </w:r>
      <w:r w:rsidR="004D4A8E" w:rsidRPr="008A7C63">
        <w:rPr>
          <w:rStyle w:val="Strong"/>
          <w:rFonts w:ascii="Times New Roman" w:hAnsi="Times New Roman" w:cs="Times New Roman"/>
          <w:b w:val="0"/>
          <w:bCs w:val="0"/>
          <w:i/>
          <w:iCs/>
          <w:sz w:val="24"/>
          <w:szCs w:val="24"/>
          <w:shd w:val="clear" w:color="auto" w:fill="FFFFFF"/>
        </w:rPr>
        <w:t>.</w:t>
      </w:r>
      <w:r w:rsidR="004D4A8E" w:rsidRPr="000E50F8">
        <w:rPr>
          <w:rFonts w:ascii="Times New Roman" w:eastAsia="Times New Roman" w:hAnsi="Times New Roman" w:cs="Times New Roman"/>
          <w:sz w:val="24"/>
          <w:szCs w:val="24"/>
          <w:highlight w:val="white"/>
        </w:rPr>
        <w:t xml:space="preserve"> </w:t>
      </w:r>
    </w:p>
    <w:p w14:paraId="7F487EE2" w14:textId="365D87C8" w:rsidR="004D4A8E" w:rsidRPr="000E50F8" w:rsidRDefault="001229CD" w:rsidP="004D4A8E">
      <w:pPr>
        <w:spacing w:after="0" w:line="480" w:lineRule="auto"/>
        <w:ind w:left="720" w:hanging="720"/>
        <w:rPr>
          <w:sz w:val="24"/>
          <w:szCs w:val="24"/>
        </w:rPr>
      </w:pPr>
      <w:r>
        <w:rPr>
          <w:rFonts w:ascii="Times New Roman" w:eastAsia="Times New Roman" w:hAnsi="Times New Roman" w:cs="Times New Roman"/>
          <w:sz w:val="24"/>
          <w:szCs w:val="24"/>
          <w:highlight w:val="white"/>
        </w:rPr>
        <w:t>Jayaweera H and Anderson B</w:t>
      </w:r>
      <w:r w:rsidR="004D4A8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(2008)</w:t>
      </w:r>
      <w:r w:rsidR="004D4A8E">
        <w:rPr>
          <w:rFonts w:ascii="Times New Roman" w:eastAsia="Times New Roman" w:hAnsi="Times New Roman" w:cs="Times New Roman"/>
          <w:sz w:val="24"/>
          <w:szCs w:val="24"/>
          <w:highlight w:val="white"/>
        </w:rPr>
        <w:t xml:space="preserve"> </w:t>
      </w:r>
      <w:r w:rsidR="004D4A8E" w:rsidRPr="001229CD">
        <w:rPr>
          <w:rFonts w:ascii="Times New Roman" w:eastAsia="Times New Roman" w:hAnsi="Times New Roman" w:cs="Times New Roman"/>
          <w:i/>
          <w:sz w:val="24"/>
          <w:szCs w:val="24"/>
        </w:rPr>
        <w:t>Migrant workers and vulnerable employment: a review of existing data</w:t>
      </w:r>
      <w:r w:rsidR="004D4A8E" w:rsidRPr="000E50F8">
        <w:rPr>
          <w:rFonts w:ascii="Times New Roman" w:eastAsia="Times New Roman" w:hAnsi="Times New Roman" w:cs="Times New Roman"/>
          <w:sz w:val="24"/>
          <w:szCs w:val="24"/>
        </w:rPr>
        <w:t xml:space="preserve">. </w:t>
      </w:r>
      <w:r w:rsidR="005B0055">
        <w:rPr>
          <w:rFonts w:ascii="Times New Roman" w:eastAsia="Times New Roman" w:hAnsi="Times New Roman" w:cs="Times New Roman"/>
          <w:sz w:val="24"/>
          <w:szCs w:val="24"/>
        </w:rPr>
        <w:t xml:space="preserve">Report for </w:t>
      </w:r>
      <w:r w:rsidR="004D4A8E" w:rsidRPr="000E50F8">
        <w:rPr>
          <w:rFonts w:ascii="Times New Roman" w:eastAsia="Times New Roman" w:hAnsi="Times New Roman" w:cs="Times New Roman"/>
          <w:sz w:val="24"/>
          <w:szCs w:val="24"/>
          <w:highlight w:val="white"/>
        </w:rPr>
        <w:t xml:space="preserve">TUC Commission on Vulnerable Employment. </w:t>
      </w:r>
    </w:p>
    <w:p w14:paraId="1B38AD26" w14:textId="661F1971" w:rsidR="004D4A8E" w:rsidRPr="000E50F8" w:rsidRDefault="001229CD" w:rsidP="004D4A8E">
      <w:pPr>
        <w:spacing w:after="0" w:line="480" w:lineRule="auto"/>
        <w:ind w:left="720" w:hanging="720"/>
        <w:rPr>
          <w:sz w:val="24"/>
          <w:szCs w:val="24"/>
        </w:rPr>
      </w:pPr>
      <w:r>
        <w:rPr>
          <w:rFonts w:ascii="Times New Roman" w:eastAsia="Times New Roman" w:hAnsi="Times New Roman" w:cs="Times New Roman"/>
          <w:sz w:val="24"/>
          <w:szCs w:val="24"/>
        </w:rPr>
        <w:t>Kahanec M</w:t>
      </w:r>
      <w:r w:rsidR="004D4A8E">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xml:space="preserve"> Pytlikova</w:t>
      </w:r>
      <w:r>
        <w:rPr>
          <w:rFonts w:ascii="Times New Roman" w:eastAsia="Times New Roman" w:hAnsi="Times New Roman" w:cs="Times New Roman"/>
          <w:sz w:val="24"/>
          <w:szCs w:val="24"/>
        </w:rPr>
        <w:t xml:space="preserve"> M</w:t>
      </w:r>
      <w:r w:rsidR="004D4A8E" w:rsidRPr="000E50F8">
        <w:rPr>
          <w:rFonts w:ascii="Times New Roman" w:eastAsia="Times New Roman" w:hAnsi="Times New Roman" w:cs="Times New Roman"/>
          <w:sz w:val="24"/>
          <w:szCs w:val="24"/>
        </w:rPr>
        <w:t xml:space="preserve"> and Zimmermann</w:t>
      </w:r>
      <w:r>
        <w:rPr>
          <w:rFonts w:ascii="Times New Roman" w:eastAsia="Times New Roman" w:hAnsi="Times New Roman" w:cs="Times New Roman"/>
          <w:sz w:val="24"/>
          <w:szCs w:val="24"/>
        </w:rPr>
        <w:t xml:space="preserve"> K</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(2016)</w:t>
      </w:r>
      <w:r w:rsidR="004D4A8E">
        <w:rPr>
          <w:rFonts w:ascii="Times New Roman" w:eastAsia="Times New Roman" w:hAnsi="Times New Roman" w:cs="Times New Roman"/>
          <w:sz w:val="24"/>
          <w:szCs w:val="24"/>
        </w:rPr>
        <w:t xml:space="preserve"> </w:t>
      </w:r>
      <w:r w:rsidR="004D4A8E" w:rsidRPr="000E50F8">
        <w:rPr>
          <w:rFonts w:ascii="Times New Roman" w:eastAsia="Times New Roman" w:hAnsi="Times New Roman" w:cs="Times New Roman"/>
          <w:sz w:val="24"/>
          <w:szCs w:val="24"/>
        </w:rPr>
        <w:t>The Free Movement of Workers in an Enlarged European Union: Institutional Under</w:t>
      </w:r>
      <w:r w:rsidR="004D4A8E">
        <w:rPr>
          <w:rFonts w:ascii="Times New Roman" w:eastAsia="Times New Roman" w:hAnsi="Times New Roman" w:cs="Times New Roman"/>
          <w:sz w:val="24"/>
          <w:szCs w:val="24"/>
        </w:rPr>
        <w:t>pinnings of Economic Adjustment. In</w:t>
      </w:r>
      <w:r>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xml:space="preserve"> </w:t>
      </w:r>
      <w:r w:rsidRPr="000E50F8">
        <w:rPr>
          <w:rFonts w:ascii="Times New Roman" w:eastAsia="Times New Roman" w:hAnsi="Times New Roman" w:cs="Times New Roman"/>
          <w:sz w:val="24"/>
          <w:szCs w:val="24"/>
        </w:rPr>
        <w:t>Kah</w:t>
      </w:r>
      <w:r>
        <w:rPr>
          <w:rFonts w:ascii="Times New Roman" w:eastAsia="Times New Roman" w:hAnsi="Times New Roman" w:cs="Times New Roman"/>
          <w:sz w:val="24"/>
          <w:szCs w:val="24"/>
        </w:rPr>
        <w:t xml:space="preserve">anec M and Zimmermann KF (eds) </w:t>
      </w:r>
      <w:r w:rsidR="004D4A8E" w:rsidRPr="00AA71BE">
        <w:rPr>
          <w:rFonts w:ascii="Times New Roman" w:eastAsia="Times New Roman" w:hAnsi="Times New Roman" w:cs="Times New Roman"/>
          <w:i/>
          <w:sz w:val="24"/>
          <w:szCs w:val="24"/>
        </w:rPr>
        <w:t>Labor Migration, EU Enlargement, and the Great Recession</w:t>
      </w:r>
      <w:r>
        <w:rPr>
          <w:rFonts w:ascii="Times New Roman" w:eastAsia="Times New Roman" w:hAnsi="Times New Roman" w:cs="Times New Roman"/>
          <w:sz w:val="24"/>
          <w:szCs w:val="24"/>
        </w:rPr>
        <w:t>.</w:t>
      </w:r>
      <w:r w:rsidR="004D4A8E">
        <w:rPr>
          <w:rFonts w:ascii="Times New Roman" w:eastAsia="Times New Roman" w:hAnsi="Times New Roman" w:cs="Times New Roman"/>
          <w:sz w:val="24"/>
          <w:szCs w:val="24"/>
        </w:rPr>
        <w:t xml:space="preserve"> </w:t>
      </w:r>
      <w:r w:rsidR="004D4A8E" w:rsidRPr="00AA71BE">
        <w:rPr>
          <w:rFonts w:ascii="Times New Roman" w:eastAsia="Times New Roman" w:hAnsi="Times New Roman" w:cs="Times New Roman"/>
          <w:sz w:val="24"/>
          <w:szCs w:val="24"/>
        </w:rPr>
        <w:t>Springer: Berlin</w:t>
      </w:r>
      <w:r w:rsidR="004D4A8E">
        <w:rPr>
          <w:rFonts w:ascii="Times New Roman" w:eastAsia="Times New Roman" w:hAnsi="Times New Roman" w:cs="Times New Roman"/>
          <w:sz w:val="24"/>
          <w:szCs w:val="24"/>
        </w:rPr>
        <w:t xml:space="preserve">. </w:t>
      </w:r>
    </w:p>
    <w:p w14:paraId="685746D2" w14:textId="43F03B65" w:rsidR="004D4A8E" w:rsidRPr="000E50F8" w:rsidRDefault="001229CD" w:rsidP="004D4A8E">
      <w:pPr>
        <w:spacing w:after="0" w:line="480" w:lineRule="auto"/>
        <w:ind w:left="720" w:hanging="720"/>
        <w:rPr>
          <w:sz w:val="24"/>
          <w:szCs w:val="24"/>
        </w:rPr>
      </w:pPr>
      <w:r>
        <w:rPr>
          <w:rFonts w:ascii="Times New Roman" w:eastAsia="Times New Roman" w:hAnsi="Times New Roman" w:cs="Times New Roman"/>
          <w:sz w:val="24"/>
          <w:szCs w:val="24"/>
        </w:rPr>
        <w:t>Lawless J</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004D4A8E">
        <w:rPr>
          <w:rFonts w:ascii="Times New Roman" w:eastAsia="Times New Roman" w:hAnsi="Times New Roman" w:cs="Times New Roman"/>
          <w:sz w:val="24"/>
          <w:szCs w:val="24"/>
        </w:rPr>
        <w:t xml:space="preserve"> </w:t>
      </w:r>
      <w:r w:rsidR="004D4A8E" w:rsidRPr="000E50F8">
        <w:rPr>
          <w:rFonts w:ascii="Times New Roman" w:eastAsia="Times New Roman" w:hAnsi="Times New Roman" w:cs="Times New Roman"/>
          <w:sz w:val="24"/>
          <w:szCs w:val="24"/>
        </w:rPr>
        <w:t>In an English market town, a political battle over immigration. Available at</w:t>
      </w:r>
      <w:r>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xml:space="preserve"> </w:t>
      </w:r>
      <w:hyperlink r:id="rId15" w:history="1">
        <w:r w:rsidR="004D4A8E" w:rsidRPr="00B704D2">
          <w:rPr>
            <w:rStyle w:val="Hyperlink"/>
            <w:rFonts w:ascii="Times New Roman" w:eastAsia="Times New Roman" w:hAnsi="Times New Roman" w:cs="Times New Roman"/>
            <w:sz w:val="24"/>
            <w:szCs w:val="24"/>
          </w:rPr>
          <w:t>http://www.macleans.ca/politics/worldpolitics/in-an-english-market-town-a-political-battle-over-immigration/</w:t>
        </w:r>
      </w:hyperlink>
      <w:hyperlink r:id="rId16"/>
    </w:p>
    <w:p w14:paraId="7744D315" w14:textId="797CE118" w:rsidR="004D4A8E" w:rsidRPr="00372A02" w:rsidRDefault="001229CD" w:rsidP="004D4A8E">
      <w:pPr>
        <w:spacing w:after="0" w:line="480"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t>Lemos S and Portes J</w:t>
      </w:r>
      <w:r w:rsidR="004D4A8E" w:rsidRPr="000E50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004D4A8E" w:rsidRPr="000E50F8">
        <w:rPr>
          <w:rFonts w:ascii="Times New Roman" w:eastAsia="Times New Roman" w:hAnsi="Times New Roman" w:cs="Times New Roman"/>
          <w:sz w:val="24"/>
          <w:szCs w:val="24"/>
        </w:rPr>
        <w:t xml:space="preserve"> New Labour? The Effects of Migration from Central and Eastern Europe on Unemployment and Wages in the UK. </w:t>
      </w:r>
      <w:r w:rsidR="004D4A8E" w:rsidRPr="000E50F8">
        <w:rPr>
          <w:rFonts w:ascii="Times New Roman" w:eastAsia="Times New Roman" w:hAnsi="Times New Roman" w:cs="Times New Roman"/>
          <w:i/>
          <w:sz w:val="24"/>
          <w:szCs w:val="24"/>
        </w:rPr>
        <w:t xml:space="preserve">The B.E. Journal of </w:t>
      </w:r>
      <w:r w:rsidR="004D4A8E" w:rsidRPr="00372A02">
        <w:rPr>
          <w:rFonts w:ascii="Times New Roman" w:eastAsia="Times New Roman" w:hAnsi="Times New Roman" w:cs="Times New Roman"/>
          <w:i/>
          <w:sz w:val="24"/>
          <w:szCs w:val="24"/>
        </w:rPr>
        <w:t>Economic Analysis and Policy</w:t>
      </w:r>
      <w:r>
        <w:rPr>
          <w:rFonts w:ascii="Times New Roman" w:eastAsia="Times New Roman" w:hAnsi="Times New Roman" w:cs="Times New Roman"/>
          <w:sz w:val="24"/>
          <w:szCs w:val="24"/>
        </w:rPr>
        <w:t xml:space="preserve"> 14(1): </w:t>
      </w:r>
      <w:r w:rsidR="004D4A8E" w:rsidRPr="00372A02">
        <w:rPr>
          <w:rFonts w:ascii="Times New Roman" w:eastAsia="Times New Roman" w:hAnsi="Times New Roman" w:cs="Times New Roman"/>
          <w:sz w:val="24"/>
          <w:szCs w:val="24"/>
        </w:rPr>
        <w:t xml:space="preserve">299-338. </w:t>
      </w:r>
    </w:p>
    <w:p w14:paraId="2662C2F1" w14:textId="15291699" w:rsidR="004D4A8E" w:rsidRPr="00372A02" w:rsidRDefault="001229CD" w:rsidP="004D4A8E">
      <w:pPr>
        <w:spacing w:after="0" w:line="480"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t>Lemos S (</w:t>
      </w:r>
      <w:r w:rsidR="004D4A8E" w:rsidRPr="00372A02">
        <w:rPr>
          <w:rFonts w:ascii="Times New Roman" w:eastAsia="Times New Roman" w:hAnsi="Times New Roman" w:cs="Times New Roman"/>
          <w:sz w:val="24"/>
          <w:szCs w:val="24"/>
        </w:rPr>
        <w:t>2</w:t>
      </w:r>
      <w:r>
        <w:rPr>
          <w:rFonts w:ascii="Times New Roman" w:eastAsia="Times New Roman" w:hAnsi="Times New Roman" w:cs="Times New Roman"/>
          <w:sz w:val="24"/>
          <w:szCs w:val="24"/>
        </w:rPr>
        <w:t>014)</w:t>
      </w:r>
      <w:r w:rsidR="004D4A8E" w:rsidRPr="00372A02">
        <w:rPr>
          <w:rFonts w:ascii="Times New Roman" w:eastAsia="Times New Roman" w:hAnsi="Times New Roman" w:cs="Times New Roman"/>
          <w:sz w:val="24"/>
          <w:szCs w:val="24"/>
        </w:rPr>
        <w:t xml:space="preserve"> Labour Market Effects of Eastern European Migration in Wales. </w:t>
      </w:r>
      <w:r w:rsidR="004D4A8E" w:rsidRPr="00372A02">
        <w:rPr>
          <w:rFonts w:ascii="Times New Roman" w:eastAsia="Times New Roman" w:hAnsi="Times New Roman" w:cs="Times New Roman"/>
          <w:i/>
          <w:sz w:val="24"/>
          <w:szCs w:val="24"/>
        </w:rPr>
        <w:t>The Manchester School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82</w:t>
      </w:r>
      <w:r w:rsidR="004D4A8E" w:rsidRPr="00372A02">
        <w:rPr>
          <w:rFonts w:ascii="Times New Roman" w:eastAsia="Times New Roman" w:hAnsi="Times New Roman" w:cs="Times New Roman"/>
          <w:sz w:val="24"/>
          <w:szCs w:val="24"/>
        </w:rPr>
        <w:t>(5): 524-548.</w:t>
      </w:r>
    </w:p>
    <w:p w14:paraId="35DD6A33" w14:textId="3D9FAF03" w:rsidR="004D4A8E" w:rsidRPr="00372A02" w:rsidRDefault="001229CD" w:rsidP="004D4A8E">
      <w:pPr>
        <w:spacing w:after="0" w:line="480" w:lineRule="auto"/>
        <w:ind w:left="720" w:hanging="720"/>
        <w:rPr>
          <w:rFonts w:ascii="Times New Roman" w:hAnsi="Times New Roman" w:cs="Times New Roman"/>
          <w:sz w:val="24"/>
          <w:szCs w:val="24"/>
        </w:rPr>
      </w:pPr>
      <w:r>
        <w:rPr>
          <w:rFonts w:ascii="Times New Roman" w:eastAsia="Times New Roman" w:hAnsi="Times New Roman" w:cs="Times New Roman"/>
          <w:color w:val="333333"/>
          <w:sz w:val="24"/>
          <w:szCs w:val="24"/>
          <w:lang w:val="en-GB"/>
        </w:rPr>
        <w:t>Liberini F, Redoano M and Proto E</w:t>
      </w:r>
      <w:r w:rsidR="00372A02">
        <w:rPr>
          <w:rFonts w:ascii="Times New Roman" w:eastAsia="Times New Roman" w:hAnsi="Times New Roman" w:cs="Times New Roman"/>
          <w:color w:val="333333"/>
          <w:sz w:val="24"/>
          <w:szCs w:val="24"/>
          <w:lang w:val="en-GB"/>
        </w:rPr>
        <w:t xml:space="preserve"> </w:t>
      </w:r>
      <w:r>
        <w:rPr>
          <w:rFonts w:ascii="Times New Roman" w:eastAsia="Times New Roman" w:hAnsi="Times New Roman" w:cs="Times New Roman"/>
          <w:color w:val="333333"/>
          <w:sz w:val="24"/>
          <w:szCs w:val="24"/>
          <w:lang w:val="en-GB"/>
        </w:rPr>
        <w:t xml:space="preserve">(2017) </w:t>
      </w:r>
      <w:r w:rsidR="004D4A8E" w:rsidRPr="00372A02">
        <w:rPr>
          <w:rFonts w:ascii="Times New Roman" w:eastAsia="Times New Roman" w:hAnsi="Times New Roman" w:cs="Times New Roman"/>
          <w:color w:val="333333"/>
          <w:sz w:val="24"/>
          <w:szCs w:val="24"/>
          <w:lang w:val="en-GB"/>
        </w:rPr>
        <w:t xml:space="preserve">Happy </w:t>
      </w:r>
      <w:r w:rsidR="00372A02">
        <w:rPr>
          <w:rFonts w:ascii="Times New Roman" w:eastAsia="Times New Roman" w:hAnsi="Times New Roman" w:cs="Times New Roman"/>
          <w:color w:val="333333"/>
          <w:sz w:val="24"/>
          <w:szCs w:val="24"/>
          <w:lang w:val="en-GB"/>
        </w:rPr>
        <w:t xml:space="preserve">voters. </w:t>
      </w:r>
      <w:r w:rsidR="00CD71F5">
        <w:rPr>
          <w:rFonts w:ascii="Times New Roman" w:eastAsia="Times New Roman" w:hAnsi="Times New Roman" w:cs="Times New Roman"/>
          <w:i/>
          <w:iCs/>
          <w:color w:val="333333"/>
          <w:sz w:val="24"/>
          <w:szCs w:val="24"/>
          <w:lang w:val="en-GB"/>
        </w:rPr>
        <w:t>Journal of Public Economics</w:t>
      </w:r>
      <w:r w:rsidR="004D4A8E" w:rsidRPr="00372A02">
        <w:rPr>
          <w:rFonts w:ascii="Times New Roman" w:eastAsia="Times New Roman" w:hAnsi="Times New Roman" w:cs="Times New Roman"/>
          <w:i/>
          <w:iCs/>
          <w:color w:val="333333"/>
          <w:sz w:val="24"/>
          <w:szCs w:val="24"/>
          <w:lang w:val="en-GB"/>
        </w:rPr>
        <w:t> </w:t>
      </w:r>
      <w:r w:rsidR="00372A02">
        <w:rPr>
          <w:rFonts w:ascii="Times New Roman" w:eastAsia="Times New Roman" w:hAnsi="Times New Roman" w:cs="Times New Roman"/>
          <w:color w:val="333333"/>
          <w:sz w:val="24"/>
          <w:szCs w:val="24"/>
          <w:lang w:val="en-GB"/>
        </w:rPr>
        <w:t xml:space="preserve">146: </w:t>
      </w:r>
      <w:r w:rsidR="004D4A8E" w:rsidRPr="00372A02">
        <w:rPr>
          <w:rFonts w:ascii="Times New Roman" w:eastAsia="Times New Roman" w:hAnsi="Times New Roman" w:cs="Times New Roman"/>
          <w:color w:val="333333"/>
          <w:sz w:val="24"/>
          <w:szCs w:val="24"/>
          <w:lang w:val="en-GB"/>
        </w:rPr>
        <w:t>41-57.</w:t>
      </w:r>
    </w:p>
    <w:p w14:paraId="0A3FE76B" w14:textId="667B3E61" w:rsidR="004D4A8E" w:rsidRPr="00372A02" w:rsidRDefault="001229CD"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Longhi S</w:t>
      </w:r>
      <w:r w:rsidR="004D4A8E" w:rsidRPr="00372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(2014) </w:t>
      </w:r>
      <w:r w:rsidR="004D4A8E" w:rsidRPr="00372A02">
        <w:rPr>
          <w:rFonts w:ascii="Times New Roman" w:eastAsia="Times New Roman" w:hAnsi="Times New Roman" w:cs="Times New Roman"/>
          <w:sz w:val="24"/>
          <w:szCs w:val="24"/>
        </w:rPr>
        <w:t xml:space="preserve">Cultural diversity and subjective well-being. </w:t>
      </w:r>
      <w:r w:rsidR="004D4A8E" w:rsidRPr="00372A02">
        <w:rPr>
          <w:rFonts w:ascii="Times New Roman" w:eastAsia="Times New Roman" w:hAnsi="Times New Roman" w:cs="Times New Roman"/>
          <w:i/>
          <w:sz w:val="24"/>
          <w:szCs w:val="24"/>
        </w:rPr>
        <w:t>IZA Journal of Migration</w:t>
      </w:r>
      <w:r w:rsidR="00CD71F5">
        <w:rPr>
          <w:rFonts w:ascii="Times New Roman" w:eastAsia="Times New Roman" w:hAnsi="Times New Roman" w:cs="Times New Roman"/>
          <w:sz w:val="24"/>
          <w:szCs w:val="24"/>
        </w:rPr>
        <w:t xml:space="preserve"> </w:t>
      </w:r>
      <w:r w:rsidR="004D4A8E" w:rsidRPr="00372A02">
        <w:rPr>
          <w:rFonts w:ascii="Times New Roman" w:eastAsia="Times New Roman" w:hAnsi="Times New Roman" w:cs="Times New Roman"/>
          <w:sz w:val="24"/>
          <w:szCs w:val="24"/>
        </w:rPr>
        <w:t>3:13.</w:t>
      </w:r>
    </w:p>
    <w:p w14:paraId="74EC59E9" w14:textId="52482BBA" w:rsidR="004D4A8E" w:rsidRDefault="00CD71F5" w:rsidP="004D4A8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Malchow-Møller N, Munch JR</w:t>
      </w:r>
      <w:r w:rsidR="004D4A8E" w:rsidRPr="007E0701">
        <w:rPr>
          <w:rFonts w:ascii="Times New Roman" w:hAnsi="Times New Roman" w:cs="Times New Roman"/>
          <w:sz w:val="24"/>
          <w:szCs w:val="24"/>
        </w:rPr>
        <w:t xml:space="preserve">, </w:t>
      </w:r>
      <w:r>
        <w:rPr>
          <w:rFonts w:ascii="Times New Roman" w:hAnsi="Times New Roman" w:cs="Times New Roman"/>
          <w:sz w:val="24"/>
          <w:szCs w:val="24"/>
        </w:rPr>
        <w:t>Schroll S and Rose Skaksen J</w:t>
      </w:r>
      <w:r w:rsidR="004D4A8E">
        <w:rPr>
          <w:rFonts w:ascii="Times New Roman" w:hAnsi="Times New Roman" w:cs="Times New Roman"/>
          <w:sz w:val="24"/>
          <w:szCs w:val="24"/>
        </w:rPr>
        <w:t xml:space="preserve"> </w:t>
      </w:r>
      <w:r>
        <w:rPr>
          <w:rFonts w:ascii="Times New Roman" w:hAnsi="Times New Roman" w:cs="Times New Roman"/>
          <w:sz w:val="24"/>
          <w:szCs w:val="24"/>
        </w:rPr>
        <w:t>(2008)</w:t>
      </w:r>
      <w:r w:rsidR="004D4A8E" w:rsidRPr="007E0701">
        <w:rPr>
          <w:rFonts w:ascii="Times New Roman" w:hAnsi="Times New Roman" w:cs="Times New Roman"/>
          <w:sz w:val="24"/>
          <w:szCs w:val="24"/>
        </w:rPr>
        <w:t xml:space="preserve"> Attitudes towards immigration: perceived conseque</w:t>
      </w:r>
      <w:r>
        <w:rPr>
          <w:rFonts w:ascii="Times New Roman" w:hAnsi="Times New Roman" w:cs="Times New Roman"/>
          <w:sz w:val="24"/>
          <w:szCs w:val="24"/>
        </w:rPr>
        <w:t>nces and economic self-interest.</w:t>
      </w:r>
      <w:r w:rsidR="004D4A8E" w:rsidRPr="007E0701">
        <w:rPr>
          <w:rFonts w:ascii="Times New Roman" w:hAnsi="Times New Roman" w:cs="Times New Roman"/>
          <w:sz w:val="24"/>
          <w:szCs w:val="24"/>
        </w:rPr>
        <w:t xml:space="preserve"> </w:t>
      </w:r>
      <w:r w:rsidR="004D4A8E" w:rsidRPr="007E0701">
        <w:rPr>
          <w:rFonts w:ascii="Times New Roman" w:hAnsi="Times New Roman" w:cs="Times New Roman"/>
          <w:i/>
          <w:sz w:val="24"/>
          <w:szCs w:val="24"/>
        </w:rPr>
        <w:t>Economics Letters</w:t>
      </w:r>
      <w:r w:rsidR="004D4A8E" w:rsidRPr="007E0701">
        <w:rPr>
          <w:rFonts w:ascii="Times New Roman" w:hAnsi="Times New Roman" w:cs="Times New Roman"/>
          <w:sz w:val="24"/>
          <w:szCs w:val="24"/>
        </w:rPr>
        <w:t xml:space="preserve"> 100</w:t>
      </w:r>
      <w:r w:rsidR="004D4A8E">
        <w:rPr>
          <w:rFonts w:ascii="Times New Roman" w:hAnsi="Times New Roman" w:cs="Times New Roman"/>
          <w:sz w:val="24"/>
          <w:szCs w:val="24"/>
        </w:rPr>
        <w:t xml:space="preserve">: </w:t>
      </w:r>
      <w:r w:rsidR="004D4A8E" w:rsidRPr="007E0701">
        <w:rPr>
          <w:rFonts w:ascii="Times New Roman" w:hAnsi="Times New Roman" w:cs="Times New Roman"/>
          <w:sz w:val="24"/>
          <w:szCs w:val="24"/>
        </w:rPr>
        <w:t>254–257.</w:t>
      </w:r>
    </w:p>
    <w:p w14:paraId="2A424791" w14:textId="3DBA5655" w:rsidR="004D4A8E" w:rsidRPr="00AB3754" w:rsidRDefault="00CD71F5" w:rsidP="004D4A8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shd w:val="clear" w:color="auto" w:fill="FFFFFF"/>
        </w:rPr>
        <w:t>Mayda AM (2006)</w:t>
      </w:r>
      <w:r w:rsidR="004D4A8E">
        <w:rPr>
          <w:rFonts w:ascii="Times New Roman" w:hAnsi="Times New Roman" w:cs="Times New Roman"/>
          <w:sz w:val="24"/>
          <w:szCs w:val="24"/>
          <w:shd w:val="clear" w:color="auto" w:fill="FFFFFF"/>
        </w:rPr>
        <w:t xml:space="preserve"> </w:t>
      </w:r>
      <w:r w:rsidR="004D4A8E" w:rsidRPr="00AB3754">
        <w:rPr>
          <w:rFonts w:ascii="Times New Roman" w:hAnsi="Times New Roman" w:cs="Times New Roman"/>
          <w:sz w:val="24"/>
          <w:szCs w:val="24"/>
          <w:shd w:val="clear" w:color="auto" w:fill="FFFFFF"/>
        </w:rPr>
        <w:t xml:space="preserve">Who is against immigration?  A cross-country investigation of individual attitudes toward immigrants. </w:t>
      </w:r>
      <w:r w:rsidR="004D4A8E" w:rsidRPr="00AB3754">
        <w:rPr>
          <w:rFonts w:ascii="Times New Roman" w:hAnsi="Times New Roman" w:cs="Times New Roman"/>
          <w:bCs/>
          <w:i/>
          <w:iCs/>
          <w:sz w:val="24"/>
          <w:szCs w:val="24"/>
          <w:shd w:val="clear" w:color="auto" w:fill="FFFFFF"/>
        </w:rPr>
        <w:t>Review of Economics and Statistics</w:t>
      </w:r>
      <w:r w:rsidR="004D4A8E">
        <w:rPr>
          <w:rFonts w:ascii="Times New Roman" w:hAnsi="Times New Roman" w:cs="Times New Roman"/>
          <w:sz w:val="24"/>
          <w:szCs w:val="24"/>
          <w:shd w:val="clear" w:color="auto" w:fill="FFFFFF"/>
        </w:rPr>
        <w:t xml:space="preserve"> </w:t>
      </w:r>
      <w:r w:rsidR="004D4A8E" w:rsidRPr="00AB3754">
        <w:rPr>
          <w:rFonts w:ascii="Times New Roman" w:hAnsi="Times New Roman" w:cs="Times New Roman"/>
          <w:sz w:val="24"/>
          <w:szCs w:val="24"/>
          <w:shd w:val="clear" w:color="auto" w:fill="FFFFFF"/>
        </w:rPr>
        <w:t>88(3): 510-530.</w:t>
      </w:r>
    </w:p>
    <w:p w14:paraId="4BC04C55" w14:textId="4EA28715" w:rsidR="004D4A8E" w:rsidRDefault="00CD71F5"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McCollum D</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D4A8E">
        <w:rPr>
          <w:rFonts w:ascii="Times New Roman" w:eastAsia="Times New Roman" w:hAnsi="Times New Roman" w:cs="Times New Roman"/>
          <w:sz w:val="24"/>
          <w:szCs w:val="24"/>
        </w:rPr>
        <w:t>20</w:t>
      </w:r>
      <w:r>
        <w:rPr>
          <w:rFonts w:ascii="Times New Roman" w:eastAsia="Times New Roman" w:hAnsi="Times New Roman" w:cs="Times New Roman"/>
          <w:sz w:val="24"/>
          <w:szCs w:val="24"/>
        </w:rPr>
        <w:t>12)</w:t>
      </w:r>
      <w:r w:rsidR="004D4A8E" w:rsidRPr="000E50F8">
        <w:rPr>
          <w:rFonts w:ascii="Times New Roman" w:eastAsia="Times New Roman" w:hAnsi="Times New Roman" w:cs="Times New Roman"/>
          <w:sz w:val="24"/>
          <w:szCs w:val="24"/>
        </w:rPr>
        <w:t xml:space="preserve"> Investigating A8 migration using data from the Worker Registration Scheme: Temporal, spatial and sectoral trends. </w:t>
      </w:r>
      <w:r>
        <w:rPr>
          <w:rFonts w:ascii="Times New Roman" w:eastAsia="Times New Roman" w:hAnsi="Times New Roman" w:cs="Times New Roman"/>
          <w:i/>
          <w:sz w:val="24"/>
          <w:szCs w:val="24"/>
        </w:rPr>
        <w:t xml:space="preserve">Land Economy </w:t>
      </w:r>
      <w:r w:rsidR="004D4A8E" w:rsidRPr="000E50F8">
        <w:rPr>
          <w:rFonts w:ascii="Times New Roman" w:eastAsia="Times New Roman" w:hAnsi="Times New Roman" w:cs="Times New Roman"/>
          <w:sz w:val="24"/>
          <w:szCs w:val="24"/>
        </w:rPr>
        <w:t>28(1)</w:t>
      </w:r>
      <w:r>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xml:space="preserve"> 35–50. </w:t>
      </w:r>
    </w:p>
    <w:p w14:paraId="2B3D3DBC" w14:textId="621D7552" w:rsidR="004D4A8E" w:rsidRPr="001869E6" w:rsidRDefault="00CD71F5" w:rsidP="004D4A8E">
      <w:pPr>
        <w:spacing w:after="0" w:line="480" w:lineRule="auto"/>
        <w:ind w:left="720" w:hanging="720"/>
        <w:rPr>
          <w:rFonts w:ascii="Times New Roman" w:eastAsia="Times New Roman" w:hAnsi="Times New Roman" w:cs="Times New Roman"/>
          <w:sz w:val="24"/>
          <w:szCs w:val="24"/>
        </w:rPr>
      </w:pPr>
      <w:r>
        <w:rPr>
          <w:rStyle w:val="journalname"/>
          <w:rFonts w:ascii="Times New Roman" w:hAnsi="Times New Roman" w:cs="Times New Roman"/>
          <w:iCs/>
          <w:sz w:val="24"/>
          <w:szCs w:val="24"/>
          <w:shd w:val="clear" w:color="auto" w:fill="FFFFFF"/>
        </w:rPr>
        <w:t>Melo D and Stockemer D</w:t>
      </w:r>
      <w:r w:rsidR="004D4A8E">
        <w:rPr>
          <w:rStyle w:val="journalname"/>
          <w:rFonts w:ascii="Times New Roman" w:hAnsi="Times New Roman" w:cs="Times New Roman"/>
          <w:iCs/>
          <w:sz w:val="24"/>
          <w:szCs w:val="24"/>
          <w:shd w:val="clear" w:color="auto" w:fill="FFFFFF"/>
        </w:rPr>
        <w:t xml:space="preserve"> </w:t>
      </w:r>
      <w:r>
        <w:rPr>
          <w:rStyle w:val="journalname"/>
          <w:rFonts w:ascii="Times New Roman" w:hAnsi="Times New Roman" w:cs="Times New Roman"/>
          <w:iCs/>
          <w:sz w:val="24"/>
          <w:szCs w:val="24"/>
          <w:shd w:val="clear" w:color="auto" w:fill="FFFFFF"/>
        </w:rPr>
        <w:t>(2014)</w:t>
      </w:r>
      <w:r w:rsidR="004D4A8E" w:rsidRPr="001869E6">
        <w:rPr>
          <w:rStyle w:val="journalname"/>
          <w:rFonts w:ascii="Times New Roman" w:hAnsi="Times New Roman" w:cs="Times New Roman"/>
          <w:i/>
          <w:iCs/>
          <w:sz w:val="24"/>
          <w:szCs w:val="24"/>
          <w:shd w:val="clear" w:color="auto" w:fill="FFFFFF"/>
        </w:rPr>
        <w:t xml:space="preserve"> </w:t>
      </w:r>
      <w:r w:rsidR="004D4A8E" w:rsidRPr="001869E6">
        <w:rPr>
          <w:rFonts w:ascii="Times New Roman" w:hAnsi="Times New Roman" w:cs="Times New Roman"/>
          <w:bCs/>
          <w:sz w:val="24"/>
          <w:szCs w:val="24"/>
        </w:rPr>
        <w:t xml:space="preserve">Age and political participation in Germany, France and the UK: A comparative analysis. </w:t>
      </w:r>
      <w:r w:rsidR="004D4A8E" w:rsidRPr="001869E6">
        <w:rPr>
          <w:rStyle w:val="journalname"/>
          <w:rFonts w:ascii="Times New Roman" w:hAnsi="Times New Roman" w:cs="Times New Roman"/>
          <w:i/>
          <w:iCs/>
          <w:sz w:val="24"/>
          <w:szCs w:val="24"/>
          <w:shd w:val="clear" w:color="auto" w:fill="FFFFFF"/>
        </w:rPr>
        <w:t>Comparative European Politics</w:t>
      </w:r>
      <w:r w:rsidR="004D4A8E" w:rsidRPr="001869E6">
        <w:rPr>
          <w:rStyle w:val="apple-converted-space"/>
          <w:rFonts w:ascii="Times New Roman" w:hAnsi="Times New Roman" w:cs="Times New Roman"/>
          <w:sz w:val="24"/>
          <w:szCs w:val="24"/>
          <w:shd w:val="clear" w:color="auto" w:fill="FFFFFF"/>
        </w:rPr>
        <w:t> </w:t>
      </w:r>
      <w:r w:rsidR="004D4A8E" w:rsidRPr="001869E6">
        <w:rPr>
          <w:rFonts w:ascii="Times New Roman" w:hAnsi="Times New Roman" w:cs="Times New Roman"/>
          <w:bCs/>
          <w:sz w:val="24"/>
          <w:szCs w:val="24"/>
          <w:shd w:val="clear" w:color="auto" w:fill="FFFFFF"/>
        </w:rPr>
        <w:t>12</w:t>
      </w:r>
      <w:r w:rsidR="004D4A8E" w:rsidRPr="001869E6">
        <w:rPr>
          <w:rFonts w:ascii="Times New Roman" w:hAnsi="Times New Roman" w:cs="Times New Roman"/>
          <w:sz w:val="24"/>
          <w:szCs w:val="24"/>
          <w:shd w:val="clear" w:color="auto" w:fill="FFFFFF"/>
        </w:rPr>
        <w:t xml:space="preserve">: 33-53. </w:t>
      </w:r>
    </w:p>
    <w:p w14:paraId="67761B81" w14:textId="1462A51F" w:rsidR="004D4A8E" w:rsidRDefault="00CD71F5"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MigrationWatch</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004D4A8E" w:rsidRPr="000E50F8">
        <w:rPr>
          <w:rFonts w:ascii="Times New Roman" w:eastAsia="Times New Roman" w:hAnsi="Times New Roman" w:cs="Times New Roman"/>
          <w:sz w:val="24"/>
          <w:szCs w:val="24"/>
        </w:rPr>
        <w:t xml:space="preserve"> Youth Unemployment and Immigration from the A8 Countries. </w:t>
      </w:r>
      <w:r w:rsidR="004D4A8E" w:rsidRPr="00CD71F5">
        <w:rPr>
          <w:rFonts w:ascii="Times New Roman" w:eastAsia="Times New Roman" w:hAnsi="Times New Roman" w:cs="Times New Roman"/>
          <w:sz w:val="24"/>
          <w:szCs w:val="24"/>
        </w:rPr>
        <w:t>Migration Watch Briefing Paper</w:t>
      </w:r>
      <w:r w:rsidR="004D4A8E">
        <w:rPr>
          <w:rFonts w:ascii="Times New Roman" w:eastAsia="Times New Roman" w:hAnsi="Times New Roman" w:cs="Times New Roman"/>
          <w:sz w:val="24"/>
          <w:szCs w:val="24"/>
        </w:rPr>
        <w:t xml:space="preserve"> 3.16.</w:t>
      </w:r>
    </w:p>
    <w:p w14:paraId="50790700" w14:textId="28939220" w:rsidR="004D4A8E" w:rsidRDefault="00CD71F5"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Nikolova M and</w:t>
      </w:r>
      <w:r w:rsidR="004D4A8E">
        <w:rPr>
          <w:rFonts w:ascii="Times New Roman" w:eastAsia="Times New Roman" w:hAnsi="Times New Roman" w:cs="Times New Roman"/>
          <w:sz w:val="24"/>
          <w:szCs w:val="24"/>
        </w:rPr>
        <w:t xml:space="preserve"> Graham</w:t>
      </w:r>
      <w:r>
        <w:rPr>
          <w:rFonts w:ascii="Times New Roman" w:eastAsia="Times New Roman" w:hAnsi="Times New Roman" w:cs="Times New Roman"/>
          <w:sz w:val="24"/>
          <w:szCs w:val="24"/>
        </w:rPr>
        <w:t xml:space="preserve"> C</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D4A8E">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004D4A8E" w:rsidRPr="000E50F8">
        <w:rPr>
          <w:rFonts w:ascii="Times New Roman" w:eastAsia="Times New Roman" w:hAnsi="Times New Roman" w:cs="Times New Roman"/>
          <w:sz w:val="24"/>
          <w:szCs w:val="24"/>
        </w:rPr>
        <w:t xml:space="preserve"> In transit: the well-being of migrants from transition and post-transition countries. </w:t>
      </w:r>
      <w:r w:rsidR="004D4A8E" w:rsidRPr="000E50F8">
        <w:rPr>
          <w:rFonts w:ascii="Times New Roman" w:eastAsia="Times New Roman" w:hAnsi="Times New Roman" w:cs="Times New Roman"/>
          <w:i/>
          <w:sz w:val="24"/>
          <w:szCs w:val="24"/>
        </w:rPr>
        <w:t xml:space="preserve">Journal of Economic Behavior and Organization </w:t>
      </w:r>
      <w:r w:rsidR="004D4A8E" w:rsidRPr="000E50F8">
        <w:rPr>
          <w:rFonts w:ascii="Times New Roman" w:eastAsia="Times New Roman" w:hAnsi="Times New Roman" w:cs="Times New Roman"/>
          <w:sz w:val="24"/>
          <w:szCs w:val="24"/>
        </w:rPr>
        <w:t>112: 164-186.</w:t>
      </w:r>
    </w:p>
    <w:p w14:paraId="4E0E6A29" w14:textId="7387AE25" w:rsidR="004D4A8E" w:rsidRPr="00090251" w:rsidRDefault="00CD71F5" w:rsidP="004D4A8E">
      <w:pPr>
        <w:spacing w:after="0" w:line="480" w:lineRule="auto"/>
        <w:ind w:left="720" w:hanging="720"/>
        <w:rPr>
          <w:rFonts w:ascii="Times New Roman" w:eastAsia="Times New Roman" w:hAnsi="Times New Roman" w:cs="Times New Roman"/>
          <w:sz w:val="32"/>
          <w:szCs w:val="24"/>
        </w:rPr>
      </w:pPr>
      <w:r>
        <w:rPr>
          <w:rFonts w:ascii="Times New Roman" w:eastAsia="Times New Roman" w:hAnsi="Times New Roman" w:cs="Times New Roman"/>
          <w:color w:val="333333"/>
          <w:sz w:val="24"/>
          <w:lang w:val="en-GB"/>
        </w:rPr>
        <w:t>Nowok</w:t>
      </w:r>
      <w:r w:rsidR="004D4A8E" w:rsidRPr="00090251">
        <w:rPr>
          <w:rFonts w:ascii="Times New Roman" w:eastAsia="Times New Roman" w:hAnsi="Times New Roman" w:cs="Times New Roman"/>
          <w:color w:val="333333"/>
          <w:sz w:val="24"/>
          <w:lang w:val="en-GB"/>
        </w:rPr>
        <w:t xml:space="preserve"> </w:t>
      </w:r>
      <w:r>
        <w:rPr>
          <w:rFonts w:ascii="Times New Roman" w:eastAsia="Times New Roman" w:hAnsi="Times New Roman" w:cs="Times New Roman"/>
          <w:color w:val="333333"/>
          <w:sz w:val="24"/>
          <w:lang w:val="en-GB"/>
        </w:rPr>
        <w:t>B, van Ham M, Findlay A and Gayle V</w:t>
      </w:r>
      <w:r w:rsidR="004D4A8E" w:rsidRPr="00090251">
        <w:rPr>
          <w:rFonts w:ascii="Times New Roman" w:eastAsia="Times New Roman" w:hAnsi="Times New Roman" w:cs="Times New Roman"/>
          <w:color w:val="333333"/>
          <w:sz w:val="24"/>
          <w:lang w:val="en-GB"/>
        </w:rPr>
        <w:t xml:space="preserve"> </w:t>
      </w:r>
      <w:r>
        <w:rPr>
          <w:rFonts w:ascii="Times New Roman" w:eastAsia="Times New Roman" w:hAnsi="Times New Roman" w:cs="Times New Roman"/>
          <w:color w:val="333333"/>
          <w:sz w:val="24"/>
          <w:lang w:val="en-GB"/>
        </w:rPr>
        <w:t xml:space="preserve">(2013) </w:t>
      </w:r>
      <w:r w:rsidR="004D4A8E" w:rsidRPr="00090251">
        <w:rPr>
          <w:rFonts w:ascii="Times New Roman" w:eastAsia="Times New Roman" w:hAnsi="Times New Roman" w:cs="Times New Roman"/>
          <w:color w:val="333333"/>
          <w:sz w:val="24"/>
          <w:lang w:val="en-GB"/>
        </w:rPr>
        <w:t xml:space="preserve">Does migration make you happy? A longitudinal study of internal migration and subjective well-being. </w:t>
      </w:r>
      <w:r w:rsidR="004D4A8E" w:rsidRPr="00090251">
        <w:rPr>
          <w:rFonts w:ascii="Times New Roman" w:eastAsia="Times New Roman" w:hAnsi="Times New Roman" w:cs="Times New Roman"/>
          <w:i/>
          <w:iCs/>
          <w:color w:val="333333"/>
          <w:sz w:val="24"/>
          <w:lang w:val="en-GB"/>
        </w:rPr>
        <w:t xml:space="preserve">Environment and Planning A </w:t>
      </w:r>
      <w:r w:rsidR="004D4A8E" w:rsidRPr="00090251">
        <w:rPr>
          <w:rFonts w:ascii="Times New Roman" w:eastAsia="Times New Roman" w:hAnsi="Times New Roman" w:cs="Times New Roman"/>
          <w:color w:val="333333"/>
          <w:sz w:val="24"/>
          <w:lang w:val="en-GB"/>
        </w:rPr>
        <w:t>45(4): 986-1002.</w:t>
      </w:r>
    </w:p>
    <w:p w14:paraId="1A0B7499" w14:textId="6942D9D0" w:rsidR="004D4A8E" w:rsidRPr="000E50F8" w:rsidRDefault="00CD71F5" w:rsidP="004D4A8E">
      <w:pPr>
        <w:spacing w:after="0" w:line="480" w:lineRule="auto"/>
        <w:ind w:left="720" w:hanging="720"/>
        <w:rPr>
          <w:sz w:val="24"/>
          <w:szCs w:val="24"/>
        </w:rPr>
      </w:pPr>
      <w:r>
        <w:rPr>
          <w:rFonts w:ascii="Times New Roman" w:eastAsia="Times New Roman" w:hAnsi="Times New Roman" w:cs="Times New Roman"/>
          <w:sz w:val="24"/>
          <w:szCs w:val="24"/>
        </w:rPr>
        <w:t>OECD</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004D4A8E" w:rsidRPr="000E50F8">
        <w:rPr>
          <w:rFonts w:ascii="Times New Roman" w:eastAsia="Times New Roman" w:hAnsi="Times New Roman" w:cs="Times New Roman"/>
          <w:sz w:val="24"/>
          <w:szCs w:val="24"/>
        </w:rPr>
        <w:t xml:space="preserve"> </w:t>
      </w:r>
      <w:r w:rsidR="004D4A8E" w:rsidRPr="000E50F8">
        <w:rPr>
          <w:rFonts w:ascii="Times New Roman" w:eastAsia="Times New Roman" w:hAnsi="Times New Roman" w:cs="Times New Roman"/>
          <w:i/>
          <w:sz w:val="24"/>
          <w:szCs w:val="24"/>
        </w:rPr>
        <w:t>Guidelines on measuring subjective well-being</w:t>
      </w:r>
      <w:r w:rsidR="004D4A8E" w:rsidRPr="000E50F8">
        <w:rPr>
          <w:rFonts w:ascii="Times New Roman" w:eastAsia="Times New Roman" w:hAnsi="Times New Roman" w:cs="Times New Roman"/>
          <w:sz w:val="24"/>
          <w:szCs w:val="24"/>
        </w:rPr>
        <w:t>. Pari</w:t>
      </w:r>
      <w:r>
        <w:rPr>
          <w:rFonts w:ascii="Times New Roman" w:eastAsia="Times New Roman" w:hAnsi="Times New Roman" w:cs="Times New Roman"/>
          <w:sz w:val="24"/>
          <w:szCs w:val="24"/>
        </w:rPr>
        <w:t xml:space="preserve">s: OECD. </w:t>
      </w:r>
    </w:p>
    <w:p w14:paraId="4484D2EB" w14:textId="50B2E7C2" w:rsidR="004D4A8E" w:rsidRDefault="00CD71F5"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for National Statistics</w:t>
      </w:r>
      <w:r w:rsidR="004D4A8E" w:rsidRPr="00372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004D4A8E" w:rsidRPr="00372A02">
        <w:rPr>
          <w:rFonts w:ascii="Times New Roman" w:eastAsia="Times New Roman" w:hAnsi="Times New Roman" w:cs="Times New Roman"/>
          <w:sz w:val="24"/>
          <w:szCs w:val="24"/>
        </w:rPr>
        <w:t xml:space="preserve"> </w:t>
      </w:r>
      <w:r w:rsidR="004D4A8E" w:rsidRPr="00CD71F5">
        <w:rPr>
          <w:rFonts w:ascii="Times New Roman" w:eastAsia="Times New Roman" w:hAnsi="Times New Roman" w:cs="Times New Roman"/>
          <w:i/>
          <w:sz w:val="24"/>
          <w:szCs w:val="24"/>
        </w:rPr>
        <w:t>Personal Well-being in the UK, 2012/13</w:t>
      </w:r>
      <w:r w:rsidR="004D4A8E" w:rsidRPr="00372A02">
        <w:rPr>
          <w:rFonts w:ascii="Times New Roman" w:eastAsia="Times New Roman" w:hAnsi="Times New Roman" w:cs="Times New Roman"/>
          <w:sz w:val="24"/>
          <w:szCs w:val="24"/>
        </w:rPr>
        <w:t xml:space="preserve">. United Kingdom: Office for National Statistics. </w:t>
      </w:r>
    </w:p>
    <w:p w14:paraId="0795257D" w14:textId="497C5090" w:rsidR="00372A02" w:rsidRPr="00372A02" w:rsidRDefault="00CD71F5"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Oswald AJ, Proto E and Sgroi D</w:t>
      </w:r>
      <w:r w:rsidR="00372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00372A02">
        <w:rPr>
          <w:rFonts w:ascii="Times New Roman" w:eastAsia="Times New Roman" w:hAnsi="Times New Roman" w:cs="Times New Roman"/>
          <w:sz w:val="24"/>
          <w:szCs w:val="24"/>
        </w:rPr>
        <w:t xml:space="preserve"> Happiness and Productivity. </w:t>
      </w:r>
      <w:r w:rsidR="00372A02" w:rsidRPr="00372A02">
        <w:rPr>
          <w:rFonts w:ascii="Times New Roman" w:eastAsia="Times New Roman" w:hAnsi="Times New Roman" w:cs="Times New Roman"/>
          <w:i/>
          <w:sz w:val="24"/>
          <w:szCs w:val="24"/>
        </w:rPr>
        <w:t>Journal of Labor Economics</w:t>
      </w:r>
      <w:r>
        <w:rPr>
          <w:rFonts w:ascii="Times New Roman" w:eastAsia="Times New Roman" w:hAnsi="Times New Roman" w:cs="Times New Roman"/>
          <w:i/>
          <w:sz w:val="24"/>
          <w:szCs w:val="24"/>
        </w:rPr>
        <w:t xml:space="preserve"> </w:t>
      </w:r>
      <w:r w:rsidR="00372A02">
        <w:rPr>
          <w:rFonts w:ascii="Times New Roman" w:eastAsia="Times New Roman" w:hAnsi="Times New Roman" w:cs="Times New Roman"/>
          <w:sz w:val="24"/>
          <w:szCs w:val="24"/>
        </w:rPr>
        <w:t xml:space="preserve">33(4): 789-822. </w:t>
      </w:r>
    </w:p>
    <w:p w14:paraId="29A2DE6D" w14:textId="64A1298C" w:rsidR="004D4A8E" w:rsidRPr="00372A02" w:rsidRDefault="00CD71F5"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Peri G</w:t>
      </w:r>
      <w:r w:rsidR="004D4A8E" w:rsidRPr="00372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w:t>
      </w:r>
      <w:r w:rsidR="004D4A8E" w:rsidRPr="00372A02">
        <w:rPr>
          <w:rFonts w:ascii="Times New Roman" w:eastAsia="Times New Roman" w:hAnsi="Times New Roman" w:cs="Times New Roman"/>
          <w:sz w:val="24"/>
          <w:szCs w:val="24"/>
        </w:rPr>
        <w:t xml:space="preserve"> Do immigrant workers depress the wages of native workers? </w:t>
      </w:r>
      <w:r w:rsidR="004D4A8E" w:rsidRPr="00372A02">
        <w:rPr>
          <w:rFonts w:ascii="Times New Roman" w:eastAsia="Times New Roman" w:hAnsi="Times New Roman" w:cs="Times New Roman"/>
          <w:i/>
          <w:sz w:val="24"/>
          <w:szCs w:val="24"/>
        </w:rPr>
        <w:t xml:space="preserve">IZA World of Labor </w:t>
      </w:r>
      <w:r w:rsidR="004D4A8E" w:rsidRPr="00372A02">
        <w:rPr>
          <w:rFonts w:ascii="Times New Roman" w:eastAsia="Times New Roman" w:hAnsi="Times New Roman" w:cs="Times New Roman"/>
          <w:sz w:val="24"/>
          <w:szCs w:val="24"/>
        </w:rPr>
        <w:t>2014: 42.</w:t>
      </w:r>
    </w:p>
    <w:p w14:paraId="683BC267" w14:textId="774E6333" w:rsidR="004D4A8E" w:rsidRPr="00452CE5" w:rsidRDefault="004D4A8E" w:rsidP="004D4A8E">
      <w:pPr>
        <w:spacing w:after="0" w:line="480" w:lineRule="auto"/>
        <w:ind w:left="720" w:hanging="720"/>
        <w:rPr>
          <w:rFonts w:ascii="Times New Roman" w:eastAsia="Times New Roman" w:hAnsi="Times New Roman" w:cs="Times New Roman"/>
          <w:sz w:val="24"/>
          <w:szCs w:val="24"/>
        </w:rPr>
      </w:pPr>
      <w:r w:rsidRPr="00452CE5">
        <w:rPr>
          <w:rFonts w:ascii="Times New Roman" w:eastAsia="Times New Roman" w:hAnsi="Times New Roman" w:cs="Times New Roman"/>
          <w:sz w:val="24"/>
          <w:szCs w:val="24"/>
        </w:rPr>
        <w:t>Pierewan AC</w:t>
      </w:r>
      <w:r w:rsidR="00CD71F5">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sidRPr="00452CE5">
        <w:rPr>
          <w:rFonts w:ascii="Times New Roman" w:eastAsia="Times New Roman" w:hAnsi="Times New Roman" w:cs="Times New Roman"/>
          <w:sz w:val="24"/>
          <w:szCs w:val="24"/>
        </w:rPr>
        <w:t>Tampubolon</w:t>
      </w:r>
      <w:r w:rsidR="00CD71F5">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 xml:space="preserve"> </w:t>
      </w:r>
      <w:r w:rsidR="00CD71F5">
        <w:rPr>
          <w:rFonts w:ascii="Times New Roman" w:eastAsia="Times New Roman" w:hAnsi="Times New Roman" w:cs="Times New Roman"/>
          <w:sz w:val="24"/>
          <w:szCs w:val="24"/>
        </w:rPr>
        <w:t>(</w:t>
      </w:r>
      <w:r>
        <w:rPr>
          <w:rFonts w:ascii="Times New Roman" w:eastAsia="Times New Roman" w:hAnsi="Times New Roman" w:cs="Times New Roman"/>
          <w:sz w:val="24"/>
          <w:szCs w:val="24"/>
        </w:rPr>
        <w:t>2014</w:t>
      </w:r>
      <w:r w:rsidR="00CD71F5">
        <w:rPr>
          <w:rFonts w:ascii="Times New Roman" w:eastAsia="Times New Roman" w:hAnsi="Times New Roman" w:cs="Times New Roman"/>
          <w:sz w:val="24"/>
          <w:szCs w:val="24"/>
        </w:rPr>
        <w:t>)</w:t>
      </w:r>
      <w:r w:rsidRPr="00452CE5">
        <w:rPr>
          <w:rFonts w:ascii="Times New Roman" w:eastAsia="Times New Roman" w:hAnsi="Times New Roman" w:cs="Times New Roman"/>
          <w:sz w:val="24"/>
          <w:szCs w:val="24"/>
        </w:rPr>
        <w:t xml:space="preserve"> Spatial dependence multilevel model of well-being across regions in Europe</w:t>
      </w:r>
      <w:r>
        <w:rPr>
          <w:rFonts w:ascii="Times New Roman" w:eastAsia="Times New Roman" w:hAnsi="Times New Roman" w:cs="Times New Roman"/>
          <w:sz w:val="24"/>
          <w:szCs w:val="24"/>
        </w:rPr>
        <w:t xml:space="preserve">. </w:t>
      </w:r>
      <w:r w:rsidRPr="00452CE5">
        <w:rPr>
          <w:rFonts w:ascii="Times New Roman" w:eastAsia="Times New Roman" w:hAnsi="Times New Roman" w:cs="Times New Roman"/>
          <w:i/>
          <w:sz w:val="24"/>
          <w:szCs w:val="24"/>
        </w:rPr>
        <w:t>Applied Geography</w:t>
      </w:r>
      <w:r>
        <w:rPr>
          <w:rFonts w:ascii="Times New Roman" w:eastAsia="Times New Roman" w:hAnsi="Times New Roman" w:cs="Times New Roman"/>
          <w:sz w:val="24"/>
          <w:szCs w:val="24"/>
        </w:rPr>
        <w:t xml:space="preserve"> 47:</w:t>
      </w:r>
      <w:r w:rsidRPr="00452CE5">
        <w:rPr>
          <w:rFonts w:ascii="Times New Roman" w:eastAsia="Times New Roman" w:hAnsi="Times New Roman" w:cs="Times New Roman"/>
          <w:sz w:val="24"/>
          <w:szCs w:val="24"/>
        </w:rPr>
        <w:t xml:space="preserve"> 168-176</w:t>
      </w:r>
      <w:r>
        <w:rPr>
          <w:rFonts w:ascii="Times New Roman" w:eastAsia="Times New Roman" w:hAnsi="Times New Roman" w:cs="Times New Roman"/>
          <w:sz w:val="24"/>
          <w:szCs w:val="24"/>
        </w:rPr>
        <w:t>.</w:t>
      </w:r>
    </w:p>
    <w:p w14:paraId="579DDC35" w14:textId="7BEFC722" w:rsidR="004D4A8E" w:rsidRPr="00FC19A8" w:rsidRDefault="004D4A8E" w:rsidP="004D4A8E">
      <w:pPr>
        <w:spacing w:after="0" w:line="480" w:lineRule="auto"/>
        <w:ind w:left="720" w:hanging="720"/>
        <w:rPr>
          <w:rFonts w:ascii="Times New Roman" w:eastAsia="Times New Roman" w:hAnsi="Times New Roman" w:cs="Times New Roman"/>
          <w:sz w:val="24"/>
          <w:szCs w:val="24"/>
        </w:rPr>
      </w:pPr>
      <w:r w:rsidRPr="00FC19A8">
        <w:rPr>
          <w:rFonts w:ascii="Times New Roman" w:eastAsia="Times New Roman" w:hAnsi="Times New Roman" w:cs="Times New Roman"/>
          <w:sz w:val="24"/>
          <w:szCs w:val="24"/>
        </w:rPr>
        <w:t>Pittau</w:t>
      </w:r>
      <w:r w:rsidR="00CD71F5">
        <w:rPr>
          <w:rFonts w:ascii="Times New Roman" w:eastAsia="Times New Roman" w:hAnsi="Times New Roman" w:cs="Times New Roman"/>
          <w:sz w:val="24"/>
          <w:szCs w:val="24"/>
        </w:rPr>
        <w:t xml:space="preserve"> MG, Zelli R and Gelman A</w:t>
      </w:r>
      <w:r>
        <w:rPr>
          <w:rFonts w:ascii="Times New Roman" w:eastAsia="Times New Roman" w:hAnsi="Times New Roman" w:cs="Times New Roman"/>
          <w:sz w:val="24"/>
          <w:szCs w:val="24"/>
        </w:rPr>
        <w:t xml:space="preserve"> </w:t>
      </w:r>
      <w:r w:rsidR="00CD71F5">
        <w:rPr>
          <w:rFonts w:ascii="Times New Roman" w:eastAsia="Times New Roman" w:hAnsi="Times New Roman" w:cs="Times New Roman"/>
          <w:sz w:val="24"/>
          <w:szCs w:val="24"/>
        </w:rPr>
        <w:t>(2010)</w:t>
      </w:r>
      <w:r>
        <w:rPr>
          <w:rFonts w:ascii="Times New Roman" w:eastAsia="Times New Roman" w:hAnsi="Times New Roman" w:cs="Times New Roman"/>
          <w:sz w:val="24"/>
          <w:szCs w:val="24"/>
        </w:rPr>
        <w:t xml:space="preserve"> </w:t>
      </w:r>
      <w:r w:rsidRPr="00FC19A8">
        <w:rPr>
          <w:rFonts w:ascii="Times New Roman" w:eastAsia="Times New Roman" w:hAnsi="Times New Roman" w:cs="Times New Roman"/>
          <w:sz w:val="24"/>
          <w:szCs w:val="24"/>
        </w:rPr>
        <w:t xml:space="preserve">Economic Disparities and Life Satisfaction in European Regions. </w:t>
      </w:r>
      <w:r w:rsidRPr="00FC19A8">
        <w:rPr>
          <w:rFonts w:ascii="Times New Roman" w:eastAsia="Times New Roman" w:hAnsi="Times New Roman" w:cs="Times New Roman"/>
          <w:i/>
          <w:sz w:val="24"/>
          <w:szCs w:val="24"/>
        </w:rPr>
        <w:t>Social Indicators Research</w:t>
      </w:r>
      <w:r w:rsidRPr="00FC19A8">
        <w:rPr>
          <w:rFonts w:ascii="Times New Roman" w:eastAsia="Times New Roman" w:hAnsi="Times New Roman" w:cs="Times New Roman"/>
          <w:sz w:val="24"/>
          <w:szCs w:val="24"/>
        </w:rPr>
        <w:t xml:space="preserve"> 96</w:t>
      </w:r>
      <w:r>
        <w:rPr>
          <w:rFonts w:ascii="Times New Roman" w:eastAsia="Times New Roman" w:hAnsi="Times New Roman" w:cs="Times New Roman"/>
          <w:sz w:val="24"/>
          <w:szCs w:val="24"/>
        </w:rPr>
        <w:t>:</w:t>
      </w:r>
      <w:r w:rsidRPr="00FC19A8">
        <w:rPr>
          <w:rFonts w:ascii="Times New Roman" w:eastAsia="Times New Roman" w:hAnsi="Times New Roman" w:cs="Times New Roman"/>
          <w:sz w:val="24"/>
          <w:szCs w:val="24"/>
        </w:rPr>
        <w:t xml:space="preserve"> 339–361.</w:t>
      </w:r>
    </w:p>
    <w:p w14:paraId="5E15C195" w14:textId="60E43D42" w:rsidR="004D4A8E" w:rsidRDefault="00CD71F5"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Rhys A, Boyne GA, Meier KJ</w:t>
      </w:r>
      <w:r w:rsidR="004D4A8E" w:rsidRPr="000E50F8">
        <w:rPr>
          <w:rFonts w:ascii="Times New Roman" w:eastAsia="Times New Roman" w:hAnsi="Times New Roman" w:cs="Times New Roman"/>
          <w:sz w:val="24"/>
          <w:szCs w:val="24"/>
        </w:rPr>
        <w:t>, O</w:t>
      </w:r>
      <w:r>
        <w:rPr>
          <w:rFonts w:ascii="Times New Roman" w:eastAsia="Times New Roman" w:hAnsi="Times New Roman" w:cs="Times New Roman"/>
          <w:sz w:val="24"/>
          <w:szCs w:val="24"/>
        </w:rPr>
        <w:t>'Toole LJ and Walker RM</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(2009) </w:t>
      </w:r>
      <w:r w:rsidR="004D4A8E" w:rsidRPr="000E50F8">
        <w:rPr>
          <w:rFonts w:ascii="Times New Roman" w:eastAsia="Times New Roman" w:hAnsi="Times New Roman" w:cs="Times New Roman"/>
          <w:sz w:val="24"/>
          <w:szCs w:val="24"/>
        </w:rPr>
        <w:t xml:space="preserve">European Union Accession and Public Service Performance. </w:t>
      </w:r>
      <w:r w:rsidR="004D4A8E" w:rsidRPr="000E50F8">
        <w:rPr>
          <w:rFonts w:ascii="Times New Roman" w:eastAsia="Times New Roman" w:hAnsi="Times New Roman" w:cs="Times New Roman"/>
          <w:i/>
          <w:sz w:val="24"/>
          <w:szCs w:val="24"/>
        </w:rPr>
        <w:t>Policy &amp; Politics</w:t>
      </w:r>
      <w:r w:rsidR="004D4A8E">
        <w:rPr>
          <w:rFonts w:ascii="Times New Roman" w:eastAsia="Times New Roman" w:hAnsi="Times New Roman" w:cs="Times New Roman"/>
          <w:sz w:val="24"/>
          <w:szCs w:val="24"/>
        </w:rPr>
        <w:t xml:space="preserve"> 37(1): 19-37.</w:t>
      </w:r>
    </w:p>
    <w:p w14:paraId="03B0534A" w14:textId="0E631BEB" w:rsidR="004D4A8E" w:rsidRPr="003E3A96" w:rsidRDefault="004D4A8E" w:rsidP="004D4A8E">
      <w:pPr>
        <w:spacing w:after="0" w:line="480" w:lineRule="auto"/>
        <w:ind w:left="720" w:hanging="720"/>
        <w:rPr>
          <w:rFonts w:ascii="Times New Roman" w:eastAsia="Times New Roman" w:hAnsi="Times New Roman" w:cs="Times New Roman"/>
          <w:sz w:val="24"/>
          <w:szCs w:val="24"/>
        </w:rPr>
      </w:pPr>
      <w:r w:rsidRPr="003E3A96">
        <w:rPr>
          <w:rFonts w:ascii="Times New Roman" w:eastAsia="Times New Roman" w:hAnsi="Times New Roman" w:cs="Times New Roman"/>
          <w:sz w:val="24"/>
          <w:szCs w:val="24"/>
        </w:rPr>
        <w:t>Rosenbaun</w:t>
      </w:r>
      <w:r w:rsidR="00CD71F5">
        <w:rPr>
          <w:rFonts w:ascii="Times New Roman" w:eastAsia="Times New Roman" w:hAnsi="Times New Roman" w:cs="Times New Roman"/>
          <w:sz w:val="24"/>
          <w:szCs w:val="24"/>
        </w:rPr>
        <w:t xml:space="preserve"> M </w:t>
      </w:r>
      <w:r w:rsidRPr="003E3A96">
        <w:rPr>
          <w:rFonts w:ascii="Times New Roman" w:eastAsia="Times New Roman" w:hAnsi="Times New Roman" w:cs="Times New Roman"/>
          <w:sz w:val="24"/>
          <w:szCs w:val="24"/>
        </w:rPr>
        <w:t xml:space="preserve">(2017) </w:t>
      </w:r>
      <w:r w:rsidRPr="003E3A96">
        <w:rPr>
          <w:rFonts w:ascii="Times New Roman" w:hAnsi="Times New Roman"/>
          <w:sz w:val="24"/>
          <w:szCs w:val="24"/>
        </w:rPr>
        <w:t>Local voting figures shed new light</w:t>
      </w:r>
      <w:r w:rsidR="00CD71F5">
        <w:rPr>
          <w:rFonts w:ascii="Times New Roman" w:hAnsi="Times New Roman"/>
          <w:sz w:val="24"/>
          <w:szCs w:val="24"/>
        </w:rPr>
        <w:t xml:space="preserve"> on EU referendum. Available at: </w:t>
      </w:r>
      <w:hyperlink r:id="rId17" w:history="1">
        <w:r w:rsidRPr="003E3A96">
          <w:rPr>
            <w:rFonts w:ascii="Times New Roman" w:hAnsi="Times New Roman"/>
            <w:sz w:val="24"/>
            <w:szCs w:val="24"/>
          </w:rPr>
          <w:t>http://www.bbc.co.uk/news/uk-politics-38762034</w:t>
        </w:r>
      </w:hyperlink>
      <w:r w:rsidR="00CD71F5">
        <w:rPr>
          <w:rFonts w:ascii="Times New Roman" w:hAnsi="Times New Roman"/>
          <w:sz w:val="24"/>
          <w:szCs w:val="24"/>
        </w:rPr>
        <w:t xml:space="preserve">. </w:t>
      </w:r>
    </w:p>
    <w:p w14:paraId="7BAF38F3" w14:textId="49DEC120" w:rsidR="004D4A8E" w:rsidRPr="00372A02" w:rsidRDefault="00CD71F5" w:rsidP="004D4A8E">
      <w:pPr>
        <w:spacing w:after="0" w:line="480" w:lineRule="auto"/>
        <w:ind w:left="720" w:hanging="720"/>
        <w:rPr>
          <w:rFonts w:ascii="Times New Roman" w:eastAsia="Times New Roman" w:hAnsi="Times New Roman" w:cs="Times New Roman"/>
          <w:sz w:val="24"/>
          <w:szCs w:val="24"/>
        </w:rPr>
      </w:pPr>
      <w:r>
        <w:rPr>
          <w:rFonts w:ascii="Times New Roman" w:hAnsi="Times New Roman" w:cs="Times New Roman"/>
          <w:sz w:val="24"/>
          <w:szCs w:val="24"/>
        </w:rPr>
        <w:t>Sgroi</w:t>
      </w:r>
      <w:r w:rsidR="004D4A8E" w:rsidRPr="00372A02">
        <w:rPr>
          <w:rFonts w:ascii="Times New Roman" w:hAnsi="Times New Roman" w:cs="Times New Roman"/>
          <w:sz w:val="24"/>
          <w:szCs w:val="24"/>
        </w:rPr>
        <w:t xml:space="preserve"> D</w:t>
      </w:r>
      <w:r>
        <w:rPr>
          <w:rFonts w:ascii="Times New Roman" w:hAnsi="Times New Roman" w:cs="Times New Roman"/>
          <w:sz w:val="24"/>
          <w:szCs w:val="24"/>
        </w:rPr>
        <w:t>, Hills</w:t>
      </w:r>
      <w:r w:rsidR="004D4A8E" w:rsidRPr="00372A02">
        <w:rPr>
          <w:rFonts w:ascii="Times New Roman" w:hAnsi="Times New Roman" w:cs="Times New Roman"/>
          <w:sz w:val="24"/>
          <w:szCs w:val="24"/>
        </w:rPr>
        <w:t xml:space="preserve"> </w:t>
      </w:r>
      <w:r>
        <w:rPr>
          <w:rFonts w:ascii="Times New Roman" w:hAnsi="Times New Roman" w:cs="Times New Roman"/>
          <w:sz w:val="24"/>
          <w:szCs w:val="24"/>
        </w:rPr>
        <w:t>T</w:t>
      </w:r>
      <w:r w:rsidR="00372A02">
        <w:rPr>
          <w:rFonts w:ascii="Times New Roman" w:hAnsi="Times New Roman" w:cs="Times New Roman"/>
          <w:sz w:val="24"/>
          <w:szCs w:val="24"/>
        </w:rPr>
        <w:t xml:space="preserve">, </w:t>
      </w:r>
      <w:r>
        <w:rPr>
          <w:rFonts w:ascii="Times New Roman" w:hAnsi="Times New Roman" w:cs="Times New Roman"/>
          <w:sz w:val="24"/>
          <w:szCs w:val="24"/>
        </w:rPr>
        <w:t>Donnell G, Oswald A and Proto E</w:t>
      </w:r>
      <w:r w:rsidR="00372A02">
        <w:rPr>
          <w:rFonts w:ascii="Times New Roman" w:hAnsi="Times New Roman" w:cs="Times New Roman"/>
          <w:sz w:val="24"/>
          <w:szCs w:val="24"/>
        </w:rPr>
        <w:t xml:space="preserve"> </w:t>
      </w:r>
      <w:r>
        <w:rPr>
          <w:rFonts w:ascii="Times New Roman" w:hAnsi="Times New Roman" w:cs="Times New Roman"/>
          <w:sz w:val="24"/>
          <w:szCs w:val="24"/>
        </w:rPr>
        <w:t>(2017)</w:t>
      </w:r>
      <w:r w:rsidR="004D4A8E" w:rsidRPr="00372A02">
        <w:rPr>
          <w:rFonts w:ascii="Times New Roman" w:hAnsi="Times New Roman" w:cs="Times New Roman"/>
          <w:sz w:val="24"/>
          <w:szCs w:val="24"/>
        </w:rPr>
        <w:t xml:space="preserve"> </w:t>
      </w:r>
      <w:r w:rsidR="004D4A8E" w:rsidRPr="00CD71F5">
        <w:rPr>
          <w:rFonts w:ascii="Times New Roman" w:hAnsi="Times New Roman" w:cs="Times New Roman"/>
          <w:sz w:val="24"/>
          <w:szCs w:val="24"/>
        </w:rPr>
        <w:t>Understanding Happiness: A CAGE Policy Report</w:t>
      </w:r>
      <w:r w:rsidR="00372A02" w:rsidRPr="00CD71F5">
        <w:rPr>
          <w:rFonts w:ascii="Times New Roman" w:hAnsi="Times New Roman" w:cs="Times New Roman"/>
          <w:sz w:val="24"/>
          <w:szCs w:val="24"/>
        </w:rPr>
        <w:t>.</w:t>
      </w:r>
      <w:r w:rsidR="00372A02">
        <w:rPr>
          <w:rFonts w:ascii="Times New Roman" w:hAnsi="Times New Roman" w:cs="Times New Roman"/>
          <w:sz w:val="24"/>
          <w:szCs w:val="24"/>
        </w:rPr>
        <w:t xml:space="preserve"> </w:t>
      </w:r>
      <w:r w:rsidR="004D4A8E" w:rsidRPr="00372A02">
        <w:rPr>
          <w:rFonts w:ascii="Times New Roman" w:hAnsi="Times New Roman" w:cs="Times New Roman"/>
          <w:sz w:val="24"/>
          <w:szCs w:val="24"/>
        </w:rPr>
        <w:t>Lo</w:t>
      </w:r>
      <w:r w:rsidR="00372A02">
        <w:rPr>
          <w:rFonts w:ascii="Times New Roman" w:hAnsi="Times New Roman" w:cs="Times New Roman"/>
          <w:sz w:val="24"/>
          <w:szCs w:val="24"/>
        </w:rPr>
        <w:t xml:space="preserve">ndon: Social Market Foundation. </w:t>
      </w:r>
    </w:p>
    <w:p w14:paraId="0C28AD34" w14:textId="31518E76" w:rsidR="004D4A8E" w:rsidRPr="00F42575" w:rsidRDefault="00CD71F5"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Shields M, </w:t>
      </w:r>
      <w:r w:rsidR="00427D5E" w:rsidRPr="00427D5E">
        <w:rPr>
          <w:rFonts w:ascii="Times New Roman" w:eastAsia="Times New Roman" w:hAnsi="Times New Roman" w:cs="Times New Roman"/>
          <w:sz w:val="24"/>
          <w:szCs w:val="24"/>
        </w:rPr>
        <w:t xml:space="preserve">Wheatley </w:t>
      </w:r>
      <w:r w:rsidR="00427D5E">
        <w:rPr>
          <w:rFonts w:ascii="Times New Roman" w:eastAsia="Times New Roman" w:hAnsi="Times New Roman" w:cs="Times New Roman"/>
          <w:sz w:val="24"/>
          <w:szCs w:val="24"/>
        </w:rPr>
        <w:t xml:space="preserve">Price </w:t>
      </w:r>
      <w:r>
        <w:rPr>
          <w:rFonts w:ascii="Times New Roman" w:eastAsia="Times New Roman" w:hAnsi="Times New Roman" w:cs="Times New Roman"/>
          <w:sz w:val="24"/>
          <w:szCs w:val="24"/>
        </w:rPr>
        <w:t>S and Wooden M</w:t>
      </w:r>
      <w:r w:rsidR="004D4A8E" w:rsidRPr="00372A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(2009)</w:t>
      </w:r>
      <w:r w:rsidR="004D4A8E" w:rsidRPr="00372A02">
        <w:rPr>
          <w:rFonts w:ascii="Times New Roman" w:eastAsia="Times New Roman" w:hAnsi="Times New Roman" w:cs="Times New Roman"/>
          <w:sz w:val="24"/>
          <w:szCs w:val="24"/>
        </w:rPr>
        <w:t> Life satisfaction and the economic and social characteristics of neighborhoods</w:t>
      </w:r>
      <w:r w:rsidR="004D4A8E" w:rsidRPr="00F42575">
        <w:rPr>
          <w:rFonts w:ascii="Times New Roman" w:eastAsia="Times New Roman" w:hAnsi="Times New Roman" w:cs="Times New Roman"/>
          <w:sz w:val="24"/>
          <w:szCs w:val="24"/>
        </w:rPr>
        <w:t xml:space="preserve">. </w:t>
      </w:r>
      <w:r w:rsidR="004D4A8E" w:rsidRPr="00F42575">
        <w:rPr>
          <w:rFonts w:ascii="Times New Roman" w:eastAsia="Times New Roman" w:hAnsi="Times New Roman" w:cs="Times New Roman"/>
          <w:i/>
          <w:sz w:val="24"/>
          <w:szCs w:val="24"/>
        </w:rPr>
        <w:t>Journal of Population Economics</w:t>
      </w:r>
      <w:r w:rsidR="004D4A8E" w:rsidRPr="00F42575">
        <w:rPr>
          <w:rFonts w:ascii="Times New Roman" w:eastAsia="Times New Roman" w:hAnsi="Times New Roman" w:cs="Times New Roman"/>
          <w:sz w:val="24"/>
          <w:szCs w:val="24"/>
        </w:rPr>
        <w:t xml:space="preserve"> 22(2): 421-443. </w:t>
      </w:r>
    </w:p>
    <w:p w14:paraId="0F895F2A" w14:textId="34976520" w:rsidR="004D4A8E" w:rsidRPr="000E50F8" w:rsidRDefault="00CD71F5" w:rsidP="004D4A8E">
      <w:pPr>
        <w:spacing w:after="0" w:line="480" w:lineRule="auto"/>
        <w:ind w:left="720" w:hanging="720"/>
        <w:rPr>
          <w:sz w:val="24"/>
          <w:szCs w:val="24"/>
        </w:rPr>
      </w:pPr>
      <w:r>
        <w:rPr>
          <w:rFonts w:ascii="Times New Roman" w:eastAsia="Times New Roman" w:hAnsi="Times New Roman" w:cs="Times New Roman"/>
          <w:sz w:val="24"/>
          <w:szCs w:val="24"/>
        </w:rPr>
        <w:t>Simpson N</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004D4A8E" w:rsidRPr="000E50F8">
        <w:rPr>
          <w:rFonts w:ascii="Times New Roman" w:eastAsia="Times New Roman" w:hAnsi="Times New Roman" w:cs="Times New Roman"/>
          <w:sz w:val="24"/>
          <w:szCs w:val="24"/>
        </w:rPr>
        <w:t xml:space="preserve"> </w:t>
      </w:r>
      <w:hyperlink r:id="rId18">
        <w:r w:rsidR="004D4A8E" w:rsidRPr="000E50F8">
          <w:rPr>
            <w:rFonts w:ascii="Times New Roman" w:eastAsia="Times New Roman" w:hAnsi="Times New Roman" w:cs="Times New Roman"/>
            <w:sz w:val="24"/>
            <w:szCs w:val="24"/>
          </w:rPr>
          <w:t>Happiness and Migration</w:t>
        </w:r>
      </w:hyperlink>
      <w:r>
        <w:rPr>
          <w:rFonts w:ascii="Times New Roman" w:eastAsia="Times New Roman" w:hAnsi="Times New Roman" w:cs="Times New Roman"/>
          <w:sz w:val="24"/>
          <w:szCs w:val="24"/>
        </w:rPr>
        <w:t xml:space="preserve">. </w:t>
      </w:r>
      <w:r w:rsidR="004D4A8E" w:rsidRPr="000E50F8">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Zimmerman K and Constant AF (eds) </w:t>
      </w:r>
      <w:r w:rsidR="004D4A8E" w:rsidRPr="000E50F8">
        <w:rPr>
          <w:rFonts w:ascii="Times New Roman" w:eastAsia="Times New Roman" w:hAnsi="Times New Roman" w:cs="Times New Roman"/>
          <w:i/>
          <w:sz w:val="24"/>
          <w:szCs w:val="24"/>
        </w:rPr>
        <w:t>International Handbook on the Economics of Migration</w:t>
      </w:r>
      <w:r w:rsidR="004D4A8E" w:rsidRPr="000E50F8">
        <w:rPr>
          <w:rFonts w:ascii="Times New Roman" w:eastAsia="Times New Roman" w:hAnsi="Times New Roman" w:cs="Times New Roman"/>
          <w:sz w:val="24"/>
          <w:szCs w:val="24"/>
        </w:rPr>
        <w:t xml:space="preserve">. </w:t>
      </w:r>
      <w:r w:rsidRPr="00CD71F5">
        <w:rPr>
          <w:rFonts w:ascii="Times New Roman" w:eastAsia="Times New Roman" w:hAnsi="Times New Roman" w:cs="Times New Roman"/>
          <w:sz w:val="24"/>
          <w:szCs w:val="24"/>
        </w:rPr>
        <w:t>Cheltenham</w:t>
      </w:r>
      <w:r>
        <w:rPr>
          <w:rFonts w:ascii="Times New Roman" w:eastAsia="Times New Roman" w:hAnsi="Times New Roman" w:cs="Times New Roman"/>
          <w:sz w:val="24"/>
          <w:szCs w:val="24"/>
        </w:rPr>
        <w:t xml:space="preserve">: </w:t>
      </w:r>
      <w:r w:rsidR="004D4A8E" w:rsidRPr="000E50F8">
        <w:rPr>
          <w:rFonts w:ascii="Times New Roman" w:eastAsia="Times New Roman" w:hAnsi="Times New Roman" w:cs="Times New Roman"/>
          <w:sz w:val="24"/>
          <w:szCs w:val="24"/>
        </w:rPr>
        <w:t>Edward Elgar.</w:t>
      </w:r>
    </w:p>
    <w:p w14:paraId="2414755F" w14:textId="7645D817" w:rsidR="004D4A8E" w:rsidRPr="000E50F8" w:rsidRDefault="00104EB1" w:rsidP="004D4A8E">
      <w:pPr>
        <w:spacing w:after="0" w:line="480" w:lineRule="auto"/>
        <w:ind w:left="720" w:hanging="720"/>
        <w:rPr>
          <w:sz w:val="24"/>
          <w:szCs w:val="24"/>
        </w:rPr>
      </w:pPr>
      <w:r>
        <w:rPr>
          <w:rFonts w:ascii="Times New Roman" w:eastAsia="Times New Roman" w:hAnsi="Times New Roman" w:cs="Times New Roman"/>
          <w:sz w:val="24"/>
          <w:szCs w:val="24"/>
        </w:rPr>
        <w:t>Sumption M</w:t>
      </w:r>
      <w:r w:rsidR="004D4A8E" w:rsidRPr="000E50F8">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Somerville W</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(2010) The UK’s New Europeans:</w:t>
      </w:r>
      <w:r w:rsidR="004D4A8E" w:rsidRPr="000E50F8">
        <w:rPr>
          <w:rFonts w:ascii="Times New Roman" w:eastAsia="Times New Roman" w:hAnsi="Times New Roman" w:cs="Times New Roman"/>
          <w:sz w:val="24"/>
          <w:szCs w:val="24"/>
        </w:rPr>
        <w:t xml:space="preserve"> Progress and Challenges Five Years After Accession. Manchester: Equality and Human Rights Commission.</w:t>
      </w:r>
    </w:p>
    <w:p w14:paraId="3FE7904F" w14:textId="626FF5F9" w:rsidR="004D4A8E" w:rsidRPr="000E50F8" w:rsidRDefault="00104EB1" w:rsidP="004D4A8E">
      <w:pPr>
        <w:spacing w:after="0" w:line="480" w:lineRule="auto"/>
        <w:ind w:left="720" w:hanging="720"/>
        <w:rPr>
          <w:sz w:val="24"/>
          <w:szCs w:val="24"/>
        </w:rPr>
      </w:pPr>
      <w:r>
        <w:rPr>
          <w:rFonts w:ascii="Times New Roman" w:eastAsia="Times New Roman" w:hAnsi="Times New Roman" w:cs="Times New Roman"/>
          <w:sz w:val="24"/>
          <w:szCs w:val="24"/>
          <w:highlight w:val="white"/>
        </w:rPr>
        <w:t>The Economist (2015)</w:t>
      </w:r>
      <w:r w:rsidR="004D4A8E" w:rsidRPr="000E50F8">
        <w:rPr>
          <w:rFonts w:ascii="Times New Roman" w:eastAsia="Times New Roman" w:hAnsi="Times New Roman" w:cs="Times New Roman"/>
          <w:sz w:val="24"/>
          <w:szCs w:val="24"/>
          <w:highlight w:val="white"/>
        </w:rPr>
        <w:t xml:space="preserve"> The recent numbers on immigration pushed the issue to the top of voters' concerns. How they vote is a different matter. </w:t>
      </w:r>
      <w:r w:rsidR="004D4A8E" w:rsidRPr="001C7549">
        <w:rPr>
          <w:rFonts w:ascii="Times New Roman" w:eastAsia="Times New Roman" w:hAnsi="Times New Roman" w:cs="Times New Roman"/>
          <w:i/>
          <w:sz w:val="24"/>
          <w:szCs w:val="24"/>
          <w:highlight w:val="white"/>
        </w:rPr>
        <w:t>The Economist</w:t>
      </w:r>
      <w:r w:rsidR="004D4A8E" w:rsidRPr="000E50F8">
        <w:rPr>
          <w:rFonts w:ascii="Times New Roman" w:eastAsia="Times New Roman" w:hAnsi="Times New Roman" w:cs="Times New Roman"/>
          <w:sz w:val="24"/>
          <w:szCs w:val="24"/>
          <w:highlight w:val="white"/>
        </w:rPr>
        <w:t>, 19 March.</w:t>
      </w:r>
    </w:p>
    <w:p w14:paraId="3197F586" w14:textId="2C028F56" w:rsidR="004D4A8E" w:rsidRDefault="00104EB1"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The Guardian (2010)</w:t>
      </w:r>
      <w:r w:rsidR="004D4A8E" w:rsidRPr="000E50F8">
        <w:rPr>
          <w:rFonts w:ascii="Times New Roman" w:eastAsia="Times New Roman" w:hAnsi="Times New Roman" w:cs="Times New Roman"/>
          <w:sz w:val="24"/>
          <w:szCs w:val="24"/>
        </w:rPr>
        <w:t xml:space="preserve"> Young, self-reliant, educated: portrait of UK's eastern Europ</w:t>
      </w:r>
      <w:r>
        <w:rPr>
          <w:rFonts w:ascii="Times New Roman" w:eastAsia="Times New Roman" w:hAnsi="Times New Roman" w:cs="Times New Roman"/>
          <w:sz w:val="24"/>
          <w:szCs w:val="24"/>
        </w:rPr>
        <w:t xml:space="preserve">ean migrants. </w:t>
      </w:r>
      <w:r w:rsidR="004D4A8E" w:rsidRPr="000E50F8">
        <w:rPr>
          <w:rFonts w:ascii="Times New Roman" w:eastAsia="Times New Roman" w:hAnsi="Times New Roman" w:cs="Times New Roman"/>
          <w:sz w:val="24"/>
          <w:szCs w:val="24"/>
        </w:rPr>
        <w:t xml:space="preserve">Available at: </w:t>
      </w:r>
      <w:hyperlink r:id="rId19">
        <w:r w:rsidR="004D4A8E" w:rsidRPr="000E50F8">
          <w:rPr>
            <w:rFonts w:ascii="Times New Roman" w:eastAsia="Times New Roman" w:hAnsi="Times New Roman" w:cs="Times New Roman"/>
            <w:color w:val="0000FF"/>
            <w:sz w:val="24"/>
            <w:szCs w:val="24"/>
            <w:u w:val="single"/>
          </w:rPr>
          <w:t>http://www.theguardian.com/uk/2010/jan/17/eastern-european-uk-migrants</w:t>
        </w:r>
      </w:hyperlink>
      <w:r w:rsidR="004D4A8E" w:rsidRPr="000E50F8">
        <w:rPr>
          <w:rFonts w:ascii="Times New Roman" w:eastAsia="Times New Roman" w:hAnsi="Times New Roman" w:cs="Times New Roman"/>
          <w:sz w:val="24"/>
          <w:szCs w:val="24"/>
        </w:rPr>
        <w:t xml:space="preserve"> </w:t>
      </w:r>
    </w:p>
    <w:p w14:paraId="2DB2F2D1" w14:textId="2222E8C4" w:rsidR="004D4A8E" w:rsidRPr="003C1D51" w:rsidRDefault="00104EB1"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lang w:val="en-GB"/>
        </w:rPr>
        <w:t>Tselios V, Noback I, McCann P and van Dijk J</w:t>
      </w:r>
      <w:r w:rsidR="004D4A8E" w:rsidRPr="003C1D51">
        <w:rPr>
          <w:rFonts w:ascii="Times New Roman" w:eastAsia="Times New Roman" w:hAnsi="Times New Roman" w:cs="Times New Roman"/>
          <w:color w:val="333333"/>
          <w:sz w:val="24"/>
          <w:szCs w:val="24"/>
          <w:lang w:val="en-GB"/>
        </w:rPr>
        <w:t xml:space="preserve"> </w:t>
      </w:r>
      <w:r>
        <w:rPr>
          <w:rFonts w:ascii="Times New Roman" w:eastAsia="Times New Roman" w:hAnsi="Times New Roman" w:cs="Times New Roman"/>
          <w:color w:val="333333"/>
          <w:sz w:val="24"/>
          <w:szCs w:val="24"/>
          <w:lang w:val="en-GB"/>
        </w:rPr>
        <w:t>(2015)</w:t>
      </w:r>
      <w:r w:rsidR="004D4A8E" w:rsidRPr="003C1D51">
        <w:rPr>
          <w:rFonts w:ascii="Times New Roman" w:eastAsia="Times New Roman" w:hAnsi="Times New Roman" w:cs="Times New Roman"/>
          <w:color w:val="333333"/>
          <w:sz w:val="24"/>
          <w:szCs w:val="24"/>
          <w:lang w:val="en-GB"/>
        </w:rPr>
        <w:t xml:space="preserve"> Local social engagement, satisfaction, and embed</w:t>
      </w:r>
      <w:r>
        <w:rPr>
          <w:rFonts w:ascii="Times New Roman" w:eastAsia="Times New Roman" w:hAnsi="Times New Roman" w:cs="Times New Roman"/>
          <w:color w:val="333333"/>
          <w:sz w:val="24"/>
          <w:szCs w:val="24"/>
          <w:lang w:val="en-GB"/>
        </w:rPr>
        <w:t>de</w:t>
      </w:r>
      <w:r w:rsidR="004D4A8E" w:rsidRPr="003C1D51">
        <w:rPr>
          <w:rFonts w:ascii="Times New Roman" w:eastAsia="Times New Roman" w:hAnsi="Times New Roman" w:cs="Times New Roman"/>
          <w:color w:val="333333"/>
          <w:sz w:val="24"/>
          <w:szCs w:val="24"/>
          <w:lang w:val="en-GB"/>
        </w:rPr>
        <w:t xml:space="preserve">dness in the Netherlands: which effects matter and for whom? </w:t>
      </w:r>
      <w:r w:rsidR="004D4A8E" w:rsidRPr="003C1D51">
        <w:rPr>
          <w:rFonts w:ascii="Times New Roman" w:eastAsia="Times New Roman" w:hAnsi="Times New Roman" w:cs="Times New Roman"/>
          <w:i/>
          <w:iCs/>
          <w:color w:val="333333"/>
          <w:sz w:val="24"/>
          <w:szCs w:val="24"/>
          <w:lang w:val="en-GB"/>
        </w:rPr>
        <w:t xml:space="preserve">Environment and Planning A </w:t>
      </w:r>
      <w:r w:rsidR="004D4A8E" w:rsidRPr="003C1D51">
        <w:rPr>
          <w:rFonts w:ascii="Times New Roman" w:eastAsia="Times New Roman" w:hAnsi="Times New Roman" w:cs="Times New Roman"/>
          <w:color w:val="333333"/>
          <w:sz w:val="24"/>
          <w:szCs w:val="24"/>
          <w:lang w:val="en-GB"/>
        </w:rPr>
        <w:t>47(5): 1132-1154.</w:t>
      </w:r>
    </w:p>
    <w:p w14:paraId="137D007E" w14:textId="0D93BFB7" w:rsidR="004D4A8E" w:rsidRPr="00104EB1" w:rsidRDefault="00104EB1"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Ward G</w:t>
      </w:r>
      <w:r w:rsidR="004D4A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(2015)</w:t>
      </w:r>
      <w:r w:rsidR="004D4A8E" w:rsidRPr="009C2467">
        <w:rPr>
          <w:rFonts w:ascii="Times New Roman" w:eastAsia="Times New Roman" w:hAnsi="Times New Roman" w:cs="Times New Roman"/>
          <w:sz w:val="24"/>
          <w:szCs w:val="24"/>
        </w:rPr>
        <w:t xml:space="preserve"> </w:t>
      </w:r>
      <w:r w:rsidR="004D4A8E" w:rsidRPr="00104EB1">
        <w:rPr>
          <w:rFonts w:ascii="Times New Roman" w:eastAsia="Times New Roman" w:hAnsi="Times New Roman" w:cs="Times New Roman"/>
          <w:i/>
          <w:sz w:val="24"/>
          <w:szCs w:val="24"/>
        </w:rPr>
        <w:t>Is Happiness a Predictor of Election Results?</w:t>
      </w:r>
      <w:r w:rsidR="004D4A8E" w:rsidRPr="00104EB1">
        <w:rPr>
          <w:rFonts w:ascii="Times New Roman" w:eastAsia="Times New Roman" w:hAnsi="Times New Roman" w:cs="Times New Roman"/>
          <w:sz w:val="24"/>
          <w:szCs w:val="24"/>
        </w:rPr>
        <w:t xml:space="preserve"> CEP Discussion Paper No. 1343.</w:t>
      </w:r>
    </w:p>
    <w:p w14:paraId="41BA05E7" w14:textId="16DDBBDC" w:rsidR="00E32762" w:rsidRPr="00E32762" w:rsidRDefault="00104EB1" w:rsidP="004D4A8E">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Wooldridge A (2006)</w:t>
      </w:r>
      <w:r w:rsidR="00E32762">
        <w:rPr>
          <w:rFonts w:ascii="Times New Roman" w:eastAsia="Times New Roman" w:hAnsi="Times New Roman" w:cs="Times New Roman"/>
          <w:sz w:val="24"/>
          <w:szCs w:val="24"/>
        </w:rPr>
        <w:t xml:space="preserve"> </w:t>
      </w:r>
      <w:r w:rsidR="00E32762" w:rsidRPr="00E32762">
        <w:rPr>
          <w:rFonts w:ascii="Times New Roman" w:eastAsia="Times New Roman" w:hAnsi="Times New Roman" w:cs="Times New Roman"/>
          <w:i/>
          <w:sz w:val="24"/>
          <w:szCs w:val="24"/>
        </w:rPr>
        <w:t>Introductory Econometrics: A Modern Approach</w:t>
      </w:r>
      <w:r w:rsidR="00E32762">
        <w:rPr>
          <w:rFonts w:ascii="Times New Roman" w:eastAsia="Times New Roman" w:hAnsi="Times New Roman" w:cs="Times New Roman"/>
          <w:sz w:val="24"/>
          <w:szCs w:val="24"/>
        </w:rPr>
        <w:t xml:space="preserve">. (Third Edition). Mason, OH: Thomson Higher Education. </w:t>
      </w:r>
    </w:p>
    <w:p w14:paraId="3D889A1F" w14:textId="77777777" w:rsidR="004D4A8E" w:rsidRDefault="004D4A8E" w:rsidP="004D4A8E">
      <w:pPr>
        <w:spacing w:after="0" w:line="480" w:lineRule="auto"/>
        <w:ind w:left="720" w:hanging="720"/>
        <w:rPr>
          <w:rFonts w:ascii="Times New Roman" w:eastAsia="Times New Roman" w:hAnsi="Times New Roman" w:cs="Times New Roman"/>
          <w:sz w:val="24"/>
          <w:szCs w:val="24"/>
        </w:rPr>
      </w:pPr>
    </w:p>
    <w:p w14:paraId="3C8D6184" w14:textId="77777777" w:rsidR="00351B42" w:rsidRDefault="00351B42" w:rsidP="0027251E">
      <w:pPr>
        <w:spacing w:after="0" w:line="480" w:lineRule="auto"/>
        <w:ind w:left="720" w:hanging="720"/>
        <w:rPr>
          <w:rFonts w:ascii="Times New Roman" w:eastAsia="Times New Roman" w:hAnsi="Times New Roman" w:cs="Times New Roman"/>
          <w:sz w:val="24"/>
          <w:szCs w:val="24"/>
        </w:rPr>
      </w:pPr>
    </w:p>
    <w:p w14:paraId="16E2DF05" w14:textId="77777777" w:rsidR="00351B42" w:rsidRDefault="00351B42" w:rsidP="0027251E">
      <w:pPr>
        <w:spacing w:after="0" w:line="480" w:lineRule="auto"/>
        <w:ind w:left="720" w:hanging="720"/>
        <w:rPr>
          <w:rFonts w:ascii="Times New Roman" w:eastAsia="Times New Roman" w:hAnsi="Times New Roman" w:cs="Times New Roman"/>
          <w:sz w:val="24"/>
          <w:szCs w:val="24"/>
        </w:rPr>
      </w:pPr>
    </w:p>
    <w:p w14:paraId="18928308" w14:textId="77777777" w:rsidR="00EA1787" w:rsidRDefault="00EA1787" w:rsidP="00EA1787">
      <w:pPr>
        <w:spacing w:after="0" w:line="480" w:lineRule="auto"/>
        <w:rPr>
          <w:rFonts w:ascii="Times New Roman" w:eastAsia="Times New Roman" w:hAnsi="Times New Roman" w:cs="Times New Roman"/>
          <w:b/>
          <w:sz w:val="24"/>
          <w:szCs w:val="24"/>
        </w:rPr>
      </w:pPr>
    </w:p>
    <w:p w14:paraId="47B996EF" w14:textId="77777777" w:rsidR="00EA1787" w:rsidRDefault="00EA1787" w:rsidP="00EA1787">
      <w:pPr>
        <w:spacing w:after="0" w:line="480" w:lineRule="auto"/>
        <w:rPr>
          <w:rFonts w:ascii="Times New Roman" w:eastAsia="Times New Roman" w:hAnsi="Times New Roman" w:cs="Times New Roman"/>
          <w:b/>
          <w:sz w:val="24"/>
          <w:szCs w:val="24"/>
        </w:rPr>
      </w:pPr>
    </w:p>
    <w:p w14:paraId="537CA317" w14:textId="77777777" w:rsidR="00104EB1" w:rsidRDefault="00104EB1" w:rsidP="00EA1787">
      <w:pPr>
        <w:spacing w:after="0" w:line="480" w:lineRule="auto"/>
        <w:rPr>
          <w:rFonts w:ascii="Times New Roman" w:eastAsia="Times New Roman" w:hAnsi="Times New Roman" w:cs="Times New Roman"/>
          <w:b/>
          <w:sz w:val="24"/>
          <w:szCs w:val="24"/>
        </w:rPr>
      </w:pPr>
    </w:p>
    <w:p w14:paraId="6F897DB9" w14:textId="77777777" w:rsidR="00104EB1" w:rsidRDefault="00104EB1" w:rsidP="00EA1787">
      <w:pPr>
        <w:spacing w:after="0" w:line="480" w:lineRule="auto"/>
        <w:rPr>
          <w:rFonts w:ascii="Times New Roman" w:eastAsia="Times New Roman" w:hAnsi="Times New Roman" w:cs="Times New Roman"/>
          <w:b/>
          <w:sz w:val="24"/>
          <w:szCs w:val="24"/>
        </w:rPr>
      </w:pPr>
    </w:p>
    <w:p w14:paraId="08A91048" w14:textId="77777777" w:rsidR="00104EB1" w:rsidRDefault="00104EB1" w:rsidP="00EA1787">
      <w:pPr>
        <w:spacing w:after="0" w:line="480" w:lineRule="auto"/>
        <w:rPr>
          <w:rFonts w:ascii="Times New Roman" w:eastAsia="Times New Roman" w:hAnsi="Times New Roman" w:cs="Times New Roman"/>
          <w:b/>
          <w:sz w:val="24"/>
          <w:szCs w:val="24"/>
        </w:rPr>
      </w:pPr>
    </w:p>
    <w:p w14:paraId="58E24730" w14:textId="77777777" w:rsidR="00104EB1" w:rsidRDefault="00104EB1" w:rsidP="00EA1787">
      <w:pPr>
        <w:spacing w:after="0" w:line="480" w:lineRule="auto"/>
        <w:rPr>
          <w:rFonts w:ascii="Times New Roman" w:eastAsia="Times New Roman" w:hAnsi="Times New Roman" w:cs="Times New Roman"/>
          <w:b/>
          <w:sz w:val="24"/>
          <w:szCs w:val="24"/>
        </w:rPr>
      </w:pPr>
    </w:p>
    <w:p w14:paraId="7BD1DCA4" w14:textId="77777777" w:rsidR="00104EB1" w:rsidRDefault="00104EB1" w:rsidP="00EA1787">
      <w:pPr>
        <w:spacing w:after="0" w:line="480" w:lineRule="auto"/>
        <w:rPr>
          <w:rFonts w:ascii="Times New Roman" w:eastAsia="Times New Roman" w:hAnsi="Times New Roman" w:cs="Times New Roman"/>
          <w:b/>
          <w:sz w:val="24"/>
          <w:szCs w:val="24"/>
        </w:rPr>
      </w:pPr>
    </w:p>
    <w:p w14:paraId="65E5D386" w14:textId="77777777" w:rsidR="00372A02" w:rsidRDefault="00372A02" w:rsidP="00C337E6">
      <w:pPr>
        <w:spacing w:after="0" w:line="480" w:lineRule="auto"/>
        <w:rPr>
          <w:rFonts w:ascii="Times New Roman" w:eastAsia="Times New Roman" w:hAnsi="Times New Roman" w:cs="Times New Roman"/>
          <w:b/>
          <w:sz w:val="24"/>
          <w:szCs w:val="24"/>
        </w:rPr>
      </w:pPr>
    </w:p>
    <w:p w14:paraId="640BB0FB" w14:textId="77777777" w:rsidR="005B74F0" w:rsidRDefault="005B74F0" w:rsidP="00C337E6">
      <w:pPr>
        <w:spacing w:after="0" w:line="480" w:lineRule="auto"/>
        <w:rPr>
          <w:rFonts w:ascii="Times New Roman" w:eastAsia="Times New Roman" w:hAnsi="Times New Roman" w:cs="Times New Roman"/>
          <w:b/>
          <w:sz w:val="24"/>
          <w:szCs w:val="24"/>
        </w:rPr>
      </w:pPr>
    </w:p>
    <w:p w14:paraId="57593BDC" w14:textId="77777777" w:rsidR="0050191E" w:rsidRDefault="0050191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7AA15CA" w14:textId="55DE9725" w:rsidR="00C337E6" w:rsidRPr="00C337E6" w:rsidRDefault="00C337E6" w:rsidP="00C337E6">
      <w:pPr>
        <w:spacing w:after="0" w:line="480" w:lineRule="auto"/>
        <w:rPr>
          <w:rFonts w:ascii="Times New Roman" w:eastAsia="Times New Roman" w:hAnsi="Times New Roman" w:cs="Times New Roman"/>
          <w:b/>
          <w:sz w:val="24"/>
          <w:szCs w:val="24"/>
        </w:rPr>
      </w:pPr>
      <w:r w:rsidRPr="00C337E6">
        <w:rPr>
          <w:rFonts w:ascii="Times New Roman" w:hAnsi="Times New Roman" w:cs="Times New Roman"/>
          <w:b/>
          <w:sz w:val="24"/>
          <w:szCs w:val="24"/>
        </w:rPr>
        <w:t>Table 1. Migrant inflows and life satisfaction, OLS fixed effects estimates</w:t>
      </w:r>
    </w:p>
    <w:tbl>
      <w:tblPr>
        <w:tblW w:w="9639" w:type="dxa"/>
        <w:jc w:val="center"/>
        <w:tblLayout w:type="fixed"/>
        <w:tblLook w:val="04A0" w:firstRow="1" w:lastRow="0" w:firstColumn="1" w:lastColumn="0" w:noHBand="0" w:noVBand="1"/>
      </w:tblPr>
      <w:tblGrid>
        <w:gridCol w:w="3166"/>
        <w:gridCol w:w="1078"/>
        <w:gridCol w:w="1079"/>
        <w:gridCol w:w="1079"/>
        <w:gridCol w:w="1079"/>
        <w:gridCol w:w="1079"/>
        <w:gridCol w:w="1079"/>
      </w:tblGrid>
      <w:tr w:rsidR="00C337E6" w:rsidRPr="00C337E6" w14:paraId="5756DEB6" w14:textId="77777777" w:rsidTr="007D051D">
        <w:trPr>
          <w:trHeight w:val="258"/>
          <w:jc w:val="center"/>
        </w:trPr>
        <w:tc>
          <w:tcPr>
            <w:tcW w:w="3166" w:type="dxa"/>
            <w:tcBorders>
              <w:top w:val="single" w:sz="4" w:space="0" w:color="auto"/>
              <w:left w:val="nil"/>
              <w:right w:val="nil"/>
            </w:tcBorders>
            <w:shd w:val="clear" w:color="auto" w:fill="auto"/>
            <w:noWrap/>
            <w:vAlign w:val="center"/>
            <w:hideMark/>
          </w:tcPr>
          <w:p w14:paraId="4312BA3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2157" w:type="dxa"/>
            <w:gridSpan w:val="2"/>
            <w:tcBorders>
              <w:top w:val="single" w:sz="4" w:space="0" w:color="auto"/>
              <w:left w:val="nil"/>
              <w:bottom w:val="single" w:sz="4" w:space="0" w:color="auto"/>
            </w:tcBorders>
            <w:shd w:val="clear" w:color="auto" w:fill="auto"/>
            <w:noWrap/>
            <w:vAlign w:val="center"/>
            <w:hideMark/>
          </w:tcPr>
          <w:p w14:paraId="407F26B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Full sample (2003-08)</w:t>
            </w:r>
          </w:p>
        </w:tc>
        <w:tc>
          <w:tcPr>
            <w:tcW w:w="2158" w:type="dxa"/>
            <w:gridSpan w:val="2"/>
            <w:tcBorders>
              <w:top w:val="single" w:sz="4" w:space="0" w:color="auto"/>
              <w:bottom w:val="single" w:sz="4" w:space="0" w:color="auto"/>
            </w:tcBorders>
            <w:vAlign w:val="center"/>
          </w:tcPr>
          <w:p w14:paraId="68FD775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2003-05</w:t>
            </w:r>
          </w:p>
        </w:tc>
        <w:tc>
          <w:tcPr>
            <w:tcW w:w="2158" w:type="dxa"/>
            <w:gridSpan w:val="2"/>
            <w:tcBorders>
              <w:top w:val="single" w:sz="4" w:space="0" w:color="auto"/>
              <w:bottom w:val="single" w:sz="4" w:space="0" w:color="auto"/>
            </w:tcBorders>
            <w:vAlign w:val="center"/>
          </w:tcPr>
          <w:p w14:paraId="5ED9747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2006-08</w:t>
            </w:r>
          </w:p>
        </w:tc>
      </w:tr>
      <w:tr w:rsidR="00C337E6" w:rsidRPr="00C337E6" w14:paraId="47E62888" w14:textId="77777777" w:rsidTr="007D051D">
        <w:trPr>
          <w:trHeight w:val="258"/>
          <w:jc w:val="center"/>
        </w:trPr>
        <w:tc>
          <w:tcPr>
            <w:tcW w:w="3166" w:type="dxa"/>
            <w:tcBorders>
              <w:left w:val="nil"/>
              <w:bottom w:val="single" w:sz="4" w:space="0" w:color="auto"/>
              <w:right w:val="nil"/>
            </w:tcBorders>
            <w:shd w:val="clear" w:color="auto" w:fill="auto"/>
            <w:noWrap/>
            <w:vAlign w:val="center"/>
            <w:hideMark/>
          </w:tcPr>
          <w:p w14:paraId="3AAADD42"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8" w:type="dxa"/>
            <w:tcBorders>
              <w:top w:val="single" w:sz="4" w:space="0" w:color="auto"/>
              <w:left w:val="nil"/>
              <w:bottom w:val="single" w:sz="4" w:space="0" w:color="auto"/>
              <w:right w:val="nil"/>
            </w:tcBorders>
            <w:shd w:val="clear" w:color="auto" w:fill="auto"/>
            <w:noWrap/>
            <w:vAlign w:val="center"/>
            <w:hideMark/>
          </w:tcPr>
          <w:p w14:paraId="47F71175"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(1)</w:t>
            </w:r>
          </w:p>
        </w:tc>
        <w:tc>
          <w:tcPr>
            <w:tcW w:w="1079" w:type="dxa"/>
            <w:tcBorders>
              <w:top w:val="single" w:sz="4" w:space="0" w:color="auto"/>
              <w:left w:val="nil"/>
              <w:bottom w:val="single" w:sz="4" w:space="0" w:color="auto"/>
            </w:tcBorders>
            <w:shd w:val="clear" w:color="auto" w:fill="auto"/>
            <w:noWrap/>
            <w:vAlign w:val="center"/>
            <w:hideMark/>
          </w:tcPr>
          <w:p w14:paraId="6C657F3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(2)</w:t>
            </w:r>
          </w:p>
        </w:tc>
        <w:tc>
          <w:tcPr>
            <w:tcW w:w="1079" w:type="dxa"/>
            <w:tcBorders>
              <w:top w:val="single" w:sz="4" w:space="0" w:color="auto"/>
              <w:bottom w:val="single" w:sz="4" w:space="0" w:color="auto"/>
            </w:tcBorders>
            <w:vAlign w:val="center"/>
          </w:tcPr>
          <w:p w14:paraId="0CCEF07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(3)</w:t>
            </w:r>
          </w:p>
        </w:tc>
        <w:tc>
          <w:tcPr>
            <w:tcW w:w="1079" w:type="dxa"/>
            <w:tcBorders>
              <w:top w:val="single" w:sz="4" w:space="0" w:color="auto"/>
              <w:bottom w:val="single" w:sz="4" w:space="0" w:color="auto"/>
            </w:tcBorders>
            <w:vAlign w:val="center"/>
          </w:tcPr>
          <w:p w14:paraId="79EB228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(4)</w:t>
            </w:r>
          </w:p>
        </w:tc>
        <w:tc>
          <w:tcPr>
            <w:tcW w:w="1079" w:type="dxa"/>
            <w:tcBorders>
              <w:top w:val="single" w:sz="4" w:space="0" w:color="auto"/>
              <w:bottom w:val="single" w:sz="4" w:space="0" w:color="auto"/>
            </w:tcBorders>
            <w:vAlign w:val="center"/>
          </w:tcPr>
          <w:p w14:paraId="4C994C98"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(5)</w:t>
            </w:r>
          </w:p>
        </w:tc>
        <w:tc>
          <w:tcPr>
            <w:tcW w:w="1079" w:type="dxa"/>
            <w:tcBorders>
              <w:top w:val="single" w:sz="4" w:space="0" w:color="auto"/>
              <w:bottom w:val="single" w:sz="4" w:space="0" w:color="auto"/>
            </w:tcBorders>
            <w:vAlign w:val="center"/>
          </w:tcPr>
          <w:p w14:paraId="301C474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(6)</w:t>
            </w:r>
          </w:p>
        </w:tc>
      </w:tr>
      <w:tr w:rsidR="00C337E6" w:rsidRPr="00C337E6" w14:paraId="3ED2ADA8" w14:textId="77777777" w:rsidTr="007D051D">
        <w:trPr>
          <w:trHeight w:val="258"/>
          <w:jc w:val="center"/>
        </w:trPr>
        <w:tc>
          <w:tcPr>
            <w:tcW w:w="3166" w:type="dxa"/>
            <w:tcBorders>
              <w:top w:val="single" w:sz="4" w:space="0" w:color="auto"/>
              <w:left w:val="nil"/>
              <w:right w:val="nil"/>
            </w:tcBorders>
            <w:shd w:val="clear" w:color="auto" w:fill="auto"/>
            <w:noWrap/>
            <w:vAlign w:val="bottom"/>
          </w:tcPr>
          <w:p w14:paraId="63ADD1C8" w14:textId="77777777" w:rsidR="00C337E6" w:rsidRPr="00C337E6" w:rsidRDefault="00C337E6" w:rsidP="00C337E6">
            <w:pPr>
              <w:spacing w:after="0" w:line="240" w:lineRule="auto"/>
              <w:rPr>
                <w:rFonts w:ascii="Times New Roman" w:eastAsia="Times New Roman" w:hAnsi="Times New Roman" w:cs="Times New Roman"/>
                <w:sz w:val="18"/>
                <w:szCs w:val="18"/>
              </w:rPr>
            </w:pPr>
          </w:p>
        </w:tc>
        <w:tc>
          <w:tcPr>
            <w:tcW w:w="1078" w:type="dxa"/>
            <w:tcBorders>
              <w:top w:val="single" w:sz="4" w:space="0" w:color="auto"/>
              <w:left w:val="nil"/>
              <w:right w:val="nil"/>
            </w:tcBorders>
            <w:shd w:val="clear" w:color="auto" w:fill="auto"/>
            <w:noWrap/>
            <w:vAlign w:val="bottom"/>
          </w:tcPr>
          <w:p w14:paraId="1E55C079"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top w:val="single" w:sz="4" w:space="0" w:color="auto"/>
              <w:left w:val="nil"/>
            </w:tcBorders>
            <w:shd w:val="clear" w:color="auto" w:fill="auto"/>
            <w:noWrap/>
            <w:vAlign w:val="bottom"/>
          </w:tcPr>
          <w:p w14:paraId="5AC59B2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top w:val="single" w:sz="4" w:space="0" w:color="auto"/>
            </w:tcBorders>
            <w:vAlign w:val="bottom"/>
          </w:tcPr>
          <w:p w14:paraId="69DD0B2A"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1079" w:type="dxa"/>
            <w:tcBorders>
              <w:top w:val="single" w:sz="4" w:space="0" w:color="auto"/>
            </w:tcBorders>
            <w:vAlign w:val="bottom"/>
          </w:tcPr>
          <w:p w14:paraId="600243B7"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1079" w:type="dxa"/>
            <w:tcBorders>
              <w:top w:val="single" w:sz="4" w:space="0" w:color="auto"/>
            </w:tcBorders>
            <w:vAlign w:val="bottom"/>
          </w:tcPr>
          <w:p w14:paraId="51ECAE2D"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1079" w:type="dxa"/>
            <w:tcBorders>
              <w:top w:val="single" w:sz="4" w:space="0" w:color="auto"/>
            </w:tcBorders>
            <w:vAlign w:val="bottom"/>
          </w:tcPr>
          <w:p w14:paraId="7FE2E75C" w14:textId="77777777" w:rsidR="00C337E6" w:rsidRPr="00C337E6" w:rsidRDefault="00C337E6" w:rsidP="00C337E6">
            <w:pPr>
              <w:spacing w:after="0" w:line="240" w:lineRule="auto"/>
              <w:jc w:val="center"/>
              <w:rPr>
                <w:rFonts w:ascii="Times New Roman" w:hAnsi="Times New Roman" w:cs="Times New Roman"/>
                <w:sz w:val="18"/>
                <w:szCs w:val="18"/>
              </w:rPr>
            </w:pPr>
          </w:p>
        </w:tc>
      </w:tr>
      <w:tr w:rsidR="00C337E6" w:rsidRPr="00C337E6" w14:paraId="20F53BB3" w14:textId="77777777" w:rsidTr="007D051D">
        <w:trPr>
          <w:trHeight w:val="258"/>
          <w:jc w:val="center"/>
        </w:trPr>
        <w:tc>
          <w:tcPr>
            <w:tcW w:w="3166" w:type="dxa"/>
            <w:tcBorders>
              <w:left w:val="nil"/>
              <w:right w:val="nil"/>
            </w:tcBorders>
            <w:shd w:val="clear" w:color="auto" w:fill="auto"/>
            <w:noWrap/>
            <w:vAlign w:val="bottom"/>
          </w:tcPr>
          <w:p w14:paraId="335CDBFA" w14:textId="77777777" w:rsidR="00C337E6" w:rsidRPr="00C337E6" w:rsidRDefault="00C337E6" w:rsidP="00C337E6">
            <w:pPr>
              <w:spacing w:after="0" w:line="240" w:lineRule="auto"/>
              <w:rPr>
                <w:rFonts w:ascii="Times New Roman" w:eastAsia="Times New Roman" w:hAnsi="Times New Roman" w:cs="Times New Roman"/>
                <w:i/>
                <w:sz w:val="18"/>
                <w:szCs w:val="18"/>
                <w:u w:val="single"/>
              </w:rPr>
            </w:pPr>
            <w:r w:rsidRPr="00C337E6">
              <w:rPr>
                <w:rFonts w:ascii="Times New Roman" w:eastAsia="Times New Roman" w:hAnsi="Times New Roman" w:cs="Times New Roman"/>
                <w:i/>
                <w:sz w:val="18"/>
                <w:szCs w:val="18"/>
                <w:u w:val="single"/>
              </w:rPr>
              <w:t>Local authority level variables</w:t>
            </w:r>
          </w:p>
        </w:tc>
        <w:tc>
          <w:tcPr>
            <w:tcW w:w="1078" w:type="dxa"/>
            <w:tcBorders>
              <w:left w:val="nil"/>
              <w:right w:val="nil"/>
            </w:tcBorders>
            <w:shd w:val="clear" w:color="auto" w:fill="auto"/>
            <w:noWrap/>
            <w:vAlign w:val="center"/>
          </w:tcPr>
          <w:p w14:paraId="0C6FC669"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left w:val="nil"/>
            </w:tcBorders>
            <w:shd w:val="clear" w:color="auto" w:fill="auto"/>
            <w:noWrap/>
            <w:vAlign w:val="center"/>
          </w:tcPr>
          <w:p w14:paraId="371B73A6" w14:textId="77777777" w:rsidR="00C337E6" w:rsidRPr="00C337E6" w:rsidRDefault="00C337E6" w:rsidP="00C337E6">
            <w:pPr>
              <w:spacing w:after="0"/>
              <w:jc w:val="center"/>
              <w:rPr>
                <w:rFonts w:ascii="Times New Roman" w:eastAsia="Times New Roman" w:hAnsi="Times New Roman" w:cs="Times New Roman"/>
                <w:sz w:val="18"/>
                <w:szCs w:val="18"/>
              </w:rPr>
            </w:pPr>
          </w:p>
        </w:tc>
        <w:tc>
          <w:tcPr>
            <w:tcW w:w="1079" w:type="dxa"/>
            <w:vAlign w:val="center"/>
          </w:tcPr>
          <w:p w14:paraId="3330886A" w14:textId="77777777" w:rsidR="00C337E6" w:rsidRPr="00C337E6" w:rsidRDefault="00C337E6" w:rsidP="00C337E6">
            <w:pPr>
              <w:spacing w:after="0"/>
              <w:jc w:val="center"/>
              <w:rPr>
                <w:rFonts w:ascii="Times New Roman" w:eastAsia="Times New Roman" w:hAnsi="Times New Roman" w:cs="Times New Roman"/>
                <w:sz w:val="18"/>
                <w:szCs w:val="18"/>
              </w:rPr>
            </w:pPr>
          </w:p>
        </w:tc>
        <w:tc>
          <w:tcPr>
            <w:tcW w:w="1079" w:type="dxa"/>
            <w:vAlign w:val="center"/>
          </w:tcPr>
          <w:p w14:paraId="67EE0D91" w14:textId="77777777" w:rsidR="00C337E6" w:rsidRPr="00C337E6" w:rsidRDefault="00C337E6" w:rsidP="00C337E6">
            <w:pPr>
              <w:spacing w:after="0"/>
              <w:jc w:val="center"/>
              <w:rPr>
                <w:rFonts w:ascii="Times New Roman" w:eastAsia="Times New Roman" w:hAnsi="Times New Roman" w:cs="Times New Roman"/>
                <w:sz w:val="18"/>
                <w:szCs w:val="18"/>
              </w:rPr>
            </w:pPr>
          </w:p>
        </w:tc>
        <w:tc>
          <w:tcPr>
            <w:tcW w:w="1079" w:type="dxa"/>
            <w:vAlign w:val="center"/>
          </w:tcPr>
          <w:p w14:paraId="328B6352" w14:textId="77777777" w:rsidR="00C337E6" w:rsidRPr="00C337E6" w:rsidRDefault="00C337E6" w:rsidP="00C337E6">
            <w:pPr>
              <w:spacing w:after="0"/>
              <w:jc w:val="center"/>
              <w:rPr>
                <w:rFonts w:ascii="Times New Roman" w:eastAsia="Times New Roman" w:hAnsi="Times New Roman" w:cs="Times New Roman"/>
                <w:sz w:val="18"/>
                <w:szCs w:val="18"/>
              </w:rPr>
            </w:pPr>
          </w:p>
        </w:tc>
        <w:tc>
          <w:tcPr>
            <w:tcW w:w="1079" w:type="dxa"/>
            <w:vAlign w:val="center"/>
          </w:tcPr>
          <w:p w14:paraId="286E0CFE" w14:textId="77777777" w:rsidR="00C337E6" w:rsidRPr="00C337E6" w:rsidRDefault="00C337E6" w:rsidP="00C337E6">
            <w:pPr>
              <w:spacing w:after="0"/>
              <w:jc w:val="center"/>
              <w:rPr>
                <w:rFonts w:ascii="Times New Roman" w:eastAsia="Times New Roman" w:hAnsi="Times New Roman" w:cs="Times New Roman"/>
                <w:sz w:val="18"/>
                <w:szCs w:val="18"/>
              </w:rPr>
            </w:pPr>
          </w:p>
        </w:tc>
      </w:tr>
      <w:tr w:rsidR="00C337E6" w:rsidRPr="00C337E6" w14:paraId="5B7DB4FB" w14:textId="77777777" w:rsidTr="007D051D">
        <w:trPr>
          <w:trHeight w:val="258"/>
          <w:jc w:val="center"/>
        </w:trPr>
        <w:tc>
          <w:tcPr>
            <w:tcW w:w="3166" w:type="dxa"/>
            <w:tcBorders>
              <w:left w:val="nil"/>
              <w:right w:val="nil"/>
            </w:tcBorders>
            <w:shd w:val="clear" w:color="auto" w:fill="auto"/>
            <w:noWrap/>
            <w:vAlign w:val="bottom"/>
          </w:tcPr>
          <w:p w14:paraId="7B000A2E" w14:textId="77777777" w:rsidR="00C337E6" w:rsidRPr="00C337E6" w:rsidRDefault="00C337E6" w:rsidP="00C337E6">
            <w:pPr>
              <w:spacing w:after="0" w:line="240" w:lineRule="auto"/>
              <w:ind w:firstLine="318"/>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w:t>
            </w:r>
          </w:p>
        </w:tc>
        <w:tc>
          <w:tcPr>
            <w:tcW w:w="1078" w:type="dxa"/>
            <w:tcBorders>
              <w:left w:val="nil"/>
              <w:right w:val="nil"/>
            </w:tcBorders>
            <w:shd w:val="clear" w:color="auto" w:fill="auto"/>
            <w:noWrap/>
            <w:vAlign w:val="center"/>
          </w:tcPr>
          <w:p w14:paraId="4B9383D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0.363</w:t>
            </w:r>
          </w:p>
        </w:tc>
        <w:tc>
          <w:tcPr>
            <w:tcW w:w="1079" w:type="dxa"/>
            <w:tcBorders>
              <w:left w:val="nil"/>
            </w:tcBorders>
            <w:shd w:val="clear" w:color="auto" w:fill="auto"/>
            <w:noWrap/>
            <w:vAlign w:val="center"/>
          </w:tcPr>
          <w:p w14:paraId="7535B621" w14:textId="77777777" w:rsidR="00C337E6" w:rsidRPr="00C337E6" w:rsidRDefault="00C337E6" w:rsidP="00C337E6">
            <w:pPr>
              <w:spacing w:after="0"/>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1.215</w:t>
            </w:r>
          </w:p>
        </w:tc>
        <w:tc>
          <w:tcPr>
            <w:tcW w:w="1079" w:type="dxa"/>
            <w:vAlign w:val="center"/>
          </w:tcPr>
          <w:p w14:paraId="289906D4" w14:textId="77777777" w:rsidR="00C337E6" w:rsidRPr="00C337E6" w:rsidRDefault="00C337E6" w:rsidP="00C337E6">
            <w:pPr>
              <w:spacing w:after="0"/>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1.206</w:t>
            </w:r>
          </w:p>
        </w:tc>
        <w:tc>
          <w:tcPr>
            <w:tcW w:w="1079" w:type="dxa"/>
            <w:vAlign w:val="center"/>
          </w:tcPr>
          <w:p w14:paraId="11A7A9CB" w14:textId="77777777" w:rsidR="00C337E6" w:rsidRPr="00C337E6" w:rsidRDefault="00C337E6" w:rsidP="00C337E6">
            <w:pPr>
              <w:spacing w:after="0"/>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2.337</w:t>
            </w:r>
          </w:p>
        </w:tc>
        <w:tc>
          <w:tcPr>
            <w:tcW w:w="1079" w:type="dxa"/>
            <w:vAlign w:val="center"/>
          </w:tcPr>
          <w:p w14:paraId="68297BC1" w14:textId="77777777" w:rsidR="00C337E6" w:rsidRPr="00C337E6" w:rsidRDefault="00C337E6" w:rsidP="00C337E6">
            <w:pPr>
              <w:spacing w:after="0"/>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4.623</w:t>
            </w:r>
          </w:p>
        </w:tc>
        <w:tc>
          <w:tcPr>
            <w:tcW w:w="1079" w:type="dxa"/>
            <w:vAlign w:val="center"/>
          </w:tcPr>
          <w:p w14:paraId="1A7D7EFF"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eastAsia="Times New Roman" w:hAnsi="Times New Roman" w:cs="Times New Roman"/>
                <w:color w:val="auto"/>
                <w:sz w:val="18"/>
                <w:szCs w:val="18"/>
                <w:lang w:val="en-GB"/>
              </w:rPr>
              <w:t>4.682</w:t>
            </w:r>
          </w:p>
        </w:tc>
      </w:tr>
      <w:tr w:rsidR="00C337E6" w:rsidRPr="00C337E6" w14:paraId="74BCBDB6" w14:textId="77777777" w:rsidTr="007D051D">
        <w:trPr>
          <w:trHeight w:val="258"/>
          <w:jc w:val="center"/>
        </w:trPr>
        <w:tc>
          <w:tcPr>
            <w:tcW w:w="3166" w:type="dxa"/>
            <w:tcBorders>
              <w:left w:val="nil"/>
              <w:right w:val="nil"/>
            </w:tcBorders>
            <w:shd w:val="clear" w:color="auto" w:fill="auto"/>
            <w:noWrap/>
            <w:vAlign w:val="bottom"/>
          </w:tcPr>
          <w:p w14:paraId="0094F1CE" w14:textId="77777777" w:rsidR="00C337E6" w:rsidRPr="00C337E6" w:rsidRDefault="00C337E6" w:rsidP="00C337E6">
            <w:pPr>
              <w:spacing w:after="0" w:line="240" w:lineRule="auto"/>
              <w:ind w:firstLine="318"/>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Job claimants rate</w:t>
            </w:r>
          </w:p>
        </w:tc>
        <w:tc>
          <w:tcPr>
            <w:tcW w:w="1078" w:type="dxa"/>
            <w:tcBorders>
              <w:left w:val="nil"/>
              <w:right w:val="nil"/>
            </w:tcBorders>
            <w:shd w:val="clear" w:color="auto" w:fill="auto"/>
            <w:noWrap/>
            <w:vAlign w:val="bottom"/>
          </w:tcPr>
          <w:p w14:paraId="6D0D1F8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tcBorders>
              <w:left w:val="nil"/>
            </w:tcBorders>
            <w:shd w:val="clear" w:color="auto" w:fill="auto"/>
            <w:noWrap/>
            <w:vAlign w:val="bottom"/>
          </w:tcPr>
          <w:p w14:paraId="2B7FB15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-0.036</w:t>
            </w:r>
          </w:p>
        </w:tc>
        <w:tc>
          <w:tcPr>
            <w:tcW w:w="1079" w:type="dxa"/>
            <w:vAlign w:val="bottom"/>
          </w:tcPr>
          <w:p w14:paraId="5CC37BF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5277D4BA"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-0.083</w:t>
            </w:r>
          </w:p>
        </w:tc>
        <w:tc>
          <w:tcPr>
            <w:tcW w:w="1079" w:type="dxa"/>
            <w:vAlign w:val="bottom"/>
          </w:tcPr>
          <w:p w14:paraId="5A28B22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66480A3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0.020</w:t>
            </w:r>
          </w:p>
        </w:tc>
      </w:tr>
      <w:tr w:rsidR="00C337E6" w:rsidRPr="00C337E6" w14:paraId="13D0AE08" w14:textId="77777777" w:rsidTr="007D051D">
        <w:trPr>
          <w:trHeight w:val="258"/>
          <w:jc w:val="center"/>
        </w:trPr>
        <w:tc>
          <w:tcPr>
            <w:tcW w:w="3166" w:type="dxa"/>
            <w:tcBorders>
              <w:left w:val="nil"/>
              <w:right w:val="nil"/>
            </w:tcBorders>
            <w:shd w:val="clear" w:color="auto" w:fill="auto"/>
            <w:noWrap/>
            <w:vAlign w:val="bottom"/>
          </w:tcPr>
          <w:p w14:paraId="07C6F83D" w14:textId="77777777" w:rsidR="00C337E6" w:rsidRPr="00C337E6" w:rsidRDefault="00C337E6" w:rsidP="00C337E6">
            <w:pPr>
              <w:spacing w:after="0" w:line="240" w:lineRule="auto"/>
              <w:ind w:firstLine="318"/>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Crime rate</w:t>
            </w:r>
          </w:p>
        </w:tc>
        <w:tc>
          <w:tcPr>
            <w:tcW w:w="1078" w:type="dxa"/>
            <w:tcBorders>
              <w:left w:val="nil"/>
              <w:right w:val="nil"/>
            </w:tcBorders>
            <w:shd w:val="clear" w:color="auto" w:fill="auto"/>
            <w:noWrap/>
            <w:vAlign w:val="bottom"/>
          </w:tcPr>
          <w:p w14:paraId="772DFF3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tcBorders>
              <w:left w:val="nil"/>
            </w:tcBorders>
            <w:shd w:val="clear" w:color="auto" w:fill="auto"/>
            <w:noWrap/>
            <w:vAlign w:val="bottom"/>
          </w:tcPr>
          <w:p w14:paraId="3AA4F6F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0.759</w:t>
            </w:r>
          </w:p>
        </w:tc>
        <w:tc>
          <w:tcPr>
            <w:tcW w:w="1079" w:type="dxa"/>
            <w:vAlign w:val="bottom"/>
          </w:tcPr>
          <w:p w14:paraId="65A4144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62AA2BB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0.740</w:t>
            </w:r>
          </w:p>
        </w:tc>
        <w:tc>
          <w:tcPr>
            <w:tcW w:w="1079" w:type="dxa"/>
            <w:vAlign w:val="bottom"/>
          </w:tcPr>
          <w:p w14:paraId="355B584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0C577FD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-0.580</w:t>
            </w:r>
          </w:p>
        </w:tc>
      </w:tr>
      <w:tr w:rsidR="00C337E6" w:rsidRPr="00C337E6" w14:paraId="1134D9EA" w14:textId="77777777" w:rsidTr="007D051D">
        <w:trPr>
          <w:trHeight w:val="258"/>
          <w:jc w:val="center"/>
        </w:trPr>
        <w:tc>
          <w:tcPr>
            <w:tcW w:w="3166" w:type="dxa"/>
            <w:tcBorders>
              <w:left w:val="nil"/>
              <w:right w:val="nil"/>
            </w:tcBorders>
            <w:shd w:val="clear" w:color="auto" w:fill="auto"/>
            <w:noWrap/>
            <w:vAlign w:val="bottom"/>
          </w:tcPr>
          <w:p w14:paraId="47B12898" w14:textId="77777777" w:rsidR="00C337E6" w:rsidRPr="00C337E6" w:rsidRDefault="00C337E6" w:rsidP="00C337E6">
            <w:pPr>
              <w:spacing w:after="0"/>
              <w:ind w:firstLine="318"/>
              <w:rPr>
                <w:rFonts w:ascii="Times New Roman" w:hAnsi="Times New Roman" w:cs="Times New Roman"/>
                <w:sz w:val="18"/>
                <w:szCs w:val="18"/>
              </w:rPr>
            </w:pPr>
            <w:r w:rsidRPr="00C337E6">
              <w:rPr>
                <w:rFonts w:ascii="Times New Roman" w:hAnsi="Times New Roman" w:cs="Times New Roman"/>
                <w:sz w:val="18"/>
                <w:szCs w:val="18"/>
              </w:rPr>
              <w:t>Log of average house price</w:t>
            </w:r>
          </w:p>
        </w:tc>
        <w:tc>
          <w:tcPr>
            <w:tcW w:w="1078" w:type="dxa"/>
            <w:tcBorders>
              <w:left w:val="nil"/>
              <w:right w:val="nil"/>
            </w:tcBorders>
            <w:shd w:val="clear" w:color="auto" w:fill="auto"/>
            <w:noWrap/>
            <w:vAlign w:val="bottom"/>
          </w:tcPr>
          <w:p w14:paraId="726F383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tcBorders>
              <w:left w:val="nil"/>
            </w:tcBorders>
            <w:shd w:val="clear" w:color="auto" w:fill="auto"/>
            <w:noWrap/>
            <w:vAlign w:val="bottom"/>
          </w:tcPr>
          <w:p w14:paraId="2FCB9C00"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0.037</w:t>
            </w:r>
          </w:p>
        </w:tc>
        <w:tc>
          <w:tcPr>
            <w:tcW w:w="1079" w:type="dxa"/>
            <w:vAlign w:val="bottom"/>
          </w:tcPr>
          <w:p w14:paraId="312C6A9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100109D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0.113</w:t>
            </w:r>
          </w:p>
        </w:tc>
        <w:tc>
          <w:tcPr>
            <w:tcW w:w="1079" w:type="dxa"/>
            <w:vAlign w:val="bottom"/>
          </w:tcPr>
          <w:p w14:paraId="12E3CD7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484EC6F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0.282</w:t>
            </w:r>
          </w:p>
        </w:tc>
      </w:tr>
      <w:tr w:rsidR="00C337E6" w:rsidRPr="00C337E6" w14:paraId="3D05A0D6" w14:textId="77777777" w:rsidTr="007D051D">
        <w:trPr>
          <w:trHeight w:val="258"/>
          <w:jc w:val="center"/>
        </w:trPr>
        <w:tc>
          <w:tcPr>
            <w:tcW w:w="3166" w:type="dxa"/>
            <w:tcBorders>
              <w:left w:val="nil"/>
              <w:right w:val="nil"/>
            </w:tcBorders>
            <w:shd w:val="clear" w:color="auto" w:fill="auto"/>
            <w:noWrap/>
            <w:vAlign w:val="bottom"/>
          </w:tcPr>
          <w:p w14:paraId="33989F1B" w14:textId="77777777" w:rsidR="00C337E6" w:rsidRPr="00C337E6" w:rsidRDefault="00C337E6" w:rsidP="00C337E6">
            <w:pPr>
              <w:spacing w:after="0"/>
              <w:ind w:firstLine="318"/>
              <w:rPr>
                <w:rFonts w:ascii="Times New Roman" w:hAnsi="Times New Roman" w:cs="Times New Roman"/>
                <w:sz w:val="18"/>
                <w:szCs w:val="18"/>
              </w:rPr>
            </w:pPr>
            <w:r w:rsidRPr="00C337E6">
              <w:rPr>
                <w:rFonts w:ascii="Times New Roman" w:hAnsi="Times New Roman" w:cs="Times New Roman"/>
                <w:sz w:val="18"/>
                <w:szCs w:val="18"/>
              </w:rPr>
              <w:t>Log of average salary</w:t>
            </w:r>
          </w:p>
        </w:tc>
        <w:tc>
          <w:tcPr>
            <w:tcW w:w="1078" w:type="dxa"/>
            <w:tcBorders>
              <w:left w:val="nil"/>
              <w:right w:val="nil"/>
            </w:tcBorders>
            <w:shd w:val="clear" w:color="auto" w:fill="auto"/>
            <w:noWrap/>
            <w:vAlign w:val="bottom"/>
          </w:tcPr>
          <w:p w14:paraId="011C9206"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tcBorders>
              <w:left w:val="nil"/>
            </w:tcBorders>
            <w:shd w:val="clear" w:color="auto" w:fill="auto"/>
            <w:noWrap/>
            <w:vAlign w:val="bottom"/>
          </w:tcPr>
          <w:p w14:paraId="401AA10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-0.254</w:t>
            </w:r>
          </w:p>
        </w:tc>
        <w:tc>
          <w:tcPr>
            <w:tcW w:w="1079" w:type="dxa"/>
            <w:vAlign w:val="bottom"/>
          </w:tcPr>
          <w:p w14:paraId="58A09A3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2449A51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-0.136</w:t>
            </w:r>
          </w:p>
        </w:tc>
        <w:tc>
          <w:tcPr>
            <w:tcW w:w="1079" w:type="dxa"/>
            <w:vAlign w:val="bottom"/>
          </w:tcPr>
          <w:p w14:paraId="384E8300"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37045A36"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-0.253</w:t>
            </w:r>
          </w:p>
        </w:tc>
      </w:tr>
      <w:tr w:rsidR="00C337E6" w:rsidRPr="00C337E6" w14:paraId="28C147FA" w14:textId="77777777" w:rsidTr="007D051D">
        <w:trPr>
          <w:trHeight w:val="258"/>
          <w:jc w:val="center"/>
        </w:trPr>
        <w:tc>
          <w:tcPr>
            <w:tcW w:w="3166" w:type="dxa"/>
            <w:tcBorders>
              <w:left w:val="nil"/>
              <w:right w:val="nil"/>
            </w:tcBorders>
            <w:shd w:val="clear" w:color="auto" w:fill="auto"/>
            <w:noWrap/>
            <w:vAlign w:val="bottom"/>
          </w:tcPr>
          <w:p w14:paraId="1BF7F5B4" w14:textId="77777777" w:rsidR="00C337E6" w:rsidRPr="00C337E6" w:rsidRDefault="00C337E6" w:rsidP="00C337E6">
            <w:pPr>
              <w:spacing w:after="0"/>
              <w:ind w:firstLine="318"/>
              <w:rPr>
                <w:rFonts w:ascii="Times New Roman" w:hAnsi="Times New Roman" w:cs="Times New Roman"/>
                <w:sz w:val="18"/>
                <w:szCs w:val="18"/>
              </w:rPr>
            </w:pPr>
            <w:r w:rsidRPr="00C337E6">
              <w:rPr>
                <w:rFonts w:ascii="Times New Roman" w:hAnsi="Times New Roman" w:cs="Times New Roman"/>
                <w:sz w:val="18"/>
                <w:szCs w:val="18"/>
              </w:rPr>
              <w:t>GP rate</w:t>
            </w:r>
          </w:p>
        </w:tc>
        <w:tc>
          <w:tcPr>
            <w:tcW w:w="1078" w:type="dxa"/>
            <w:tcBorders>
              <w:left w:val="nil"/>
              <w:right w:val="nil"/>
            </w:tcBorders>
            <w:shd w:val="clear" w:color="auto" w:fill="auto"/>
            <w:noWrap/>
            <w:vAlign w:val="bottom"/>
          </w:tcPr>
          <w:p w14:paraId="1299CA9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tcBorders>
              <w:left w:val="nil"/>
            </w:tcBorders>
            <w:shd w:val="clear" w:color="auto" w:fill="auto"/>
            <w:noWrap/>
            <w:vAlign w:val="bottom"/>
          </w:tcPr>
          <w:p w14:paraId="30FCDDCA"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-0.550</w:t>
            </w:r>
          </w:p>
        </w:tc>
        <w:tc>
          <w:tcPr>
            <w:tcW w:w="1079" w:type="dxa"/>
            <w:vAlign w:val="bottom"/>
          </w:tcPr>
          <w:p w14:paraId="6FD5624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68290E9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-0.088</w:t>
            </w:r>
          </w:p>
        </w:tc>
        <w:tc>
          <w:tcPr>
            <w:tcW w:w="1079" w:type="dxa"/>
            <w:vAlign w:val="bottom"/>
          </w:tcPr>
          <w:p w14:paraId="0A21C95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1079" w:type="dxa"/>
            <w:vAlign w:val="bottom"/>
          </w:tcPr>
          <w:p w14:paraId="4D35EC9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-1.558</w:t>
            </w:r>
          </w:p>
        </w:tc>
      </w:tr>
      <w:tr w:rsidR="00C337E6" w:rsidRPr="00C337E6" w14:paraId="4C1372A3" w14:textId="77777777" w:rsidTr="007D051D">
        <w:trPr>
          <w:trHeight w:val="461"/>
          <w:jc w:val="center"/>
        </w:trPr>
        <w:tc>
          <w:tcPr>
            <w:tcW w:w="3166" w:type="dxa"/>
            <w:tcBorders>
              <w:left w:val="nil"/>
              <w:right w:val="nil"/>
            </w:tcBorders>
            <w:shd w:val="clear" w:color="auto" w:fill="auto"/>
            <w:noWrap/>
            <w:vAlign w:val="bottom"/>
          </w:tcPr>
          <w:p w14:paraId="19F2F85F" w14:textId="77777777" w:rsidR="00C337E6" w:rsidRPr="00C337E6" w:rsidRDefault="00C337E6" w:rsidP="00C337E6">
            <w:pPr>
              <w:spacing w:after="0"/>
              <w:rPr>
                <w:rFonts w:ascii="Times New Roman" w:hAnsi="Times New Roman" w:cs="Times New Roman"/>
                <w:i/>
                <w:sz w:val="18"/>
                <w:szCs w:val="18"/>
                <w:u w:val="single"/>
              </w:rPr>
            </w:pPr>
            <w:r w:rsidRPr="00C337E6">
              <w:rPr>
                <w:rFonts w:ascii="Times New Roman" w:hAnsi="Times New Roman" w:cs="Times New Roman"/>
                <w:i/>
                <w:sz w:val="18"/>
                <w:szCs w:val="18"/>
                <w:u w:val="single"/>
              </w:rPr>
              <w:t>Individual-level control variables</w:t>
            </w:r>
          </w:p>
        </w:tc>
        <w:tc>
          <w:tcPr>
            <w:tcW w:w="1078" w:type="dxa"/>
            <w:tcBorders>
              <w:left w:val="nil"/>
              <w:right w:val="nil"/>
            </w:tcBorders>
            <w:shd w:val="clear" w:color="auto" w:fill="auto"/>
            <w:noWrap/>
            <w:vAlign w:val="bottom"/>
          </w:tcPr>
          <w:p w14:paraId="192F10FB" w14:textId="77777777" w:rsidR="00C337E6" w:rsidRPr="00C337E6" w:rsidRDefault="00C337E6" w:rsidP="00C337E6">
            <w:pPr>
              <w:spacing w:after="0"/>
              <w:jc w:val="center"/>
              <w:rPr>
                <w:rFonts w:ascii="Times New Roman" w:hAnsi="Times New Roman" w:cs="Times New Roman"/>
                <w:sz w:val="18"/>
                <w:szCs w:val="18"/>
              </w:rPr>
            </w:pPr>
          </w:p>
        </w:tc>
        <w:tc>
          <w:tcPr>
            <w:tcW w:w="1079" w:type="dxa"/>
            <w:tcBorders>
              <w:left w:val="nil"/>
            </w:tcBorders>
            <w:shd w:val="clear" w:color="auto" w:fill="auto"/>
            <w:noWrap/>
            <w:vAlign w:val="bottom"/>
          </w:tcPr>
          <w:p w14:paraId="3DAB3710" w14:textId="77777777" w:rsidR="00C337E6" w:rsidRPr="00C337E6" w:rsidRDefault="00C337E6" w:rsidP="00C337E6">
            <w:pPr>
              <w:spacing w:after="0"/>
              <w:jc w:val="center"/>
              <w:rPr>
                <w:rFonts w:ascii="Times New Roman" w:hAnsi="Times New Roman" w:cs="Times New Roman"/>
                <w:sz w:val="18"/>
                <w:szCs w:val="18"/>
              </w:rPr>
            </w:pPr>
          </w:p>
        </w:tc>
        <w:tc>
          <w:tcPr>
            <w:tcW w:w="1079" w:type="dxa"/>
            <w:vAlign w:val="bottom"/>
          </w:tcPr>
          <w:p w14:paraId="6C6C3E65" w14:textId="77777777" w:rsidR="00C337E6" w:rsidRPr="00C337E6" w:rsidRDefault="00C337E6" w:rsidP="00C337E6">
            <w:pPr>
              <w:spacing w:after="0"/>
              <w:jc w:val="center"/>
              <w:rPr>
                <w:rFonts w:ascii="Times New Roman" w:hAnsi="Times New Roman" w:cs="Times New Roman"/>
                <w:sz w:val="18"/>
                <w:szCs w:val="18"/>
              </w:rPr>
            </w:pPr>
          </w:p>
        </w:tc>
        <w:tc>
          <w:tcPr>
            <w:tcW w:w="1079" w:type="dxa"/>
            <w:vAlign w:val="bottom"/>
          </w:tcPr>
          <w:p w14:paraId="0FA2A3E0" w14:textId="77777777" w:rsidR="00C337E6" w:rsidRPr="00C337E6" w:rsidRDefault="00C337E6" w:rsidP="00C337E6">
            <w:pPr>
              <w:spacing w:after="0"/>
              <w:jc w:val="center"/>
              <w:rPr>
                <w:rFonts w:ascii="Times New Roman" w:hAnsi="Times New Roman" w:cs="Times New Roman"/>
                <w:sz w:val="18"/>
                <w:szCs w:val="18"/>
              </w:rPr>
            </w:pPr>
          </w:p>
        </w:tc>
        <w:tc>
          <w:tcPr>
            <w:tcW w:w="1079" w:type="dxa"/>
            <w:vAlign w:val="bottom"/>
          </w:tcPr>
          <w:p w14:paraId="6D759387" w14:textId="77777777" w:rsidR="00C337E6" w:rsidRPr="00C337E6" w:rsidRDefault="00C337E6" w:rsidP="00C337E6">
            <w:pPr>
              <w:spacing w:after="0"/>
              <w:jc w:val="center"/>
              <w:rPr>
                <w:rFonts w:ascii="Times New Roman" w:hAnsi="Times New Roman" w:cs="Times New Roman"/>
                <w:sz w:val="18"/>
                <w:szCs w:val="18"/>
              </w:rPr>
            </w:pPr>
          </w:p>
        </w:tc>
        <w:tc>
          <w:tcPr>
            <w:tcW w:w="1079" w:type="dxa"/>
            <w:vAlign w:val="bottom"/>
          </w:tcPr>
          <w:p w14:paraId="52A98300" w14:textId="77777777" w:rsidR="00C337E6" w:rsidRPr="00C337E6" w:rsidRDefault="00C337E6" w:rsidP="00C337E6">
            <w:pPr>
              <w:spacing w:after="0"/>
              <w:jc w:val="center"/>
              <w:rPr>
                <w:rFonts w:ascii="Times New Roman" w:hAnsi="Times New Roman" w:cs="Times New Roman"/>
                <w:sz w:val="18"/>
                <w:szCs w:val="18"/>
              </w:rPr>
            </w:pPr>
          </w:p>
        </w:tc>
      </w:tr>
      <w:tr w:rsidR="00C337E6" w:rsidRPr="00C337E6" w14:paraId="39EEAECA" w14:textId="77777777" w:rsidTr="007D051D">
        <w:trPr>
          <w:trHeight w:val="258"/>
          <w:jc w:val="center"/>
        </w:trPr>
        <w:tc>
          <w:tcPr>
            <w:tcW w:w="3166" w:type="dxa"/>
            <w:tcBorders>
              <w:left w:val="nil"/>
              <w:right w:val="nil"/>
            </w:tcBorders>
            <w:shd w:val="clear" w:color="auto" w:fill="auto"/>
            <w:noWrap/>
            <w:vAlign w:val="bottom"/>
          </w:tcPr>
          <w:p w14:paraId="2121B6AD"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Marital status (Base: Never married)</w:t>
            </w:r>
          </w:p>
        </w:tc>
        <w:tc>
          <w:tcPr>
            <w:tcW w:w="1078" w:type="dxa"/>
            <w:tcBorders>
              <w:left w:val="nil"/>
              <w:right w:val="nil"/>
            </w:tcBorders>
            <w:shd w:val="clear" w:color="auto" w:fill="auto"/>
            <w:noWrap/>
            <w:vAlign w:val="center"/>
          </w:tcPr>
          <w:p w14:paraId="2569CE0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left w:val="nil"/>
            </w:tcBorders>
            <w:shd w:val="clear" w:color="auto" w:fill="auto"/>
            <w:noWrap/>
            <w:vAlign w:val="center"/>
          </w:tcPr>
          <w:p w14:paraId="6712ECA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5C0E2014"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24F195C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630CC0F2"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7B52FE32"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r>
      <w:tr w:rsidR="00C337E6" w:rsidRPr="00C337E6" w14:paraId="5C1EBAB0" w14:textId="77777777" w:rsidTr="007D051D">
        <w:trPr>
          <w:trHeight w:val="258"/>
          <w:jc w:val="center"/>
        </w:trPr>
        <w:tc>
          <w:tcPr>
            <w:tcW w:w="3166" w:type="dxa"/>
            <w:tcBorders>
              <w:left w:val="nil"/>
              <w:right w:val="nil"/>
            </w:tcBorders>
            <w:shd w:val="clear" w:color="auto" w:fill="auto"/>
            <w:noWrap/>
            <w:vAlign w:val="bottom"/>
            <w:hideMark/>
          </w:tcPr>
          <w:p w14:paraId="14B44125"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Married or Cohabiting</w:t>
            </w:r>
          </w:p>
        </w:tc>
        <w:tc>
          <w:tcPr>
            <w:tcW w:w="1078" w:type="dxa"/>
            <w:tcBorders>
              <w:left w:val="nil"/>
              <w:right w:val="nil"/>
            </w:tcBorders>
            <w:shd w:val="clear" w:color="auto" w:fill="auto"/>
            <w:noWrap/>
            <w:vAlign w:val="center"/>
            <w:hideMark/>
          </w:tcPr>
          <w:p w14:paraId="6233E009"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0.202***</w:t>
            </w:r>
          </w:p>
        </w:tc>
        <w:tc>
          <w:tcPr>
            <w:tcW w:w="1079" w:type="dxa"/>
            <w:tcBorders>
              <w:left w:val="nil"/>
            </w:tcBorders>
            <w:shd w:val="clear" w:color="auto" w:fill="auto"/>
            <w:noWrap/>
            <w:vAlign w:val="center"/>
            <w:hideMark/>
          </w:tcPr>
          <w:p w14:paraId="7B26B0E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0.203***</w:t>
            </w:r>
          </w:p>
        </w:tc>
        <w:tc>
          <w:tcPr>
            <w:tcW w:w="1079" w:type="dxa"/>
            <w:vAlign w:val="center"/>
          </w:tcPr>
          <w:p w14:paraId="165E7760"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0.193*</w:t>
            </w:r>
          </w:p>
        </w:tc>
        <w:tc>
          <w:tcPr>
            <w:tcW w:w="1079" w:type="dxa"/>
            <w:vAlign w:val="center"/>
          </w:tcPr>
          <w:p w14:paraId="41165A5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0.196**</w:t>
            </w:r>
          </w:p>
        </w:tc>
        <w:tc>
          <w:tcPr>
            <w:tcW w:w="1079" w:type="dxa"/>
            <w:vAlign w:val="center"/>
          </w:tcPr>
          <w:p w14:paraId="1194ABDA"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0.198**</w:t>
            </w:r>
          </w:p>
        </w:tc>
        <w:tc>
          <w:tcPr>
            <w:tcW w:w="1079" w:type="dxa"/>
            <w:vAlign w:val="center"/>
          </w:tcPr>
          <w:p w14:paraId="0F91816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0.197**</w:t>
            </w:r>
          </w:p>
        </w:tc>
      </w:tr>
      <w:tr w:rsidR="00C337E6" w:rsidRPr="00C337E6" w14:paraId="1F18C16F" w14:textId="77777777" w:rsidTr="007D051D">
        <w:trPr>
          <w:trHeight w:val="258"/>
          <w:jc w:val="center"/>
        </w:trPr>
        <w:tc>
          <w:tcPr>
            <w:tcW w:w="3166" w:type="dxa"/>
            <w:tcBorders>
              <w:left w:val="nil"/>
              <w:right w:val="nil"/>
            </w:tcBorders>
            <w:shd w:val="clear" w:color="auto" w:fill="auto"/>
            <w:noWrap/>
            <w:vAlign w:val="bottom"/>
            <w:hideMark/>
          </w:tcPr>
          <w:p w14:paraId="21ECE375"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Widowed, Divorced or Separated</w:t>
            </w:r>
          </w:p>
        </w:tc>
        <w:tc>
          <w:tcPr>
            <w:tcW w:w="1078" w:type="dxa"/>
            <w:tcBorders>
              <w:left w:val="nil"/>
              <w:right w:val="nil"/>
            </w:tcBorders>
            <w:shd w:val="clear" w:color="auto" w:fill="auto"/>
            <w:noWrap/>
            <w:vAlign w:val="center"/>
            <w:hideMark/>
          </w:tcPr>
          <w:p w14:paraId="17DEBA1A"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-0.056</w:t>
            </w:r>
          </w:p>
        </w:tc>
        <w:tc>
          <w:tcPr>
            <w:tcW w:w="1079" w:type="dxa"/>
            <w:tcBorders>
              <w:left w:val="nil"/>
            </w:tcBorders>
            <w:shd w:val="clear" w:color="auto" w:fill="auto"/>
            <w:noWrap/>
            <w:vAlign w:val="center"/>
            <w:hideMark/>
          </w:tcPr>
          <w:p w14:paraId="56962C92"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-0.054</w:t>
            </w:r>
          </w:p>
        </w:tc>
        <w:tc>
          <w:tcPr>
            <w:tcW w:w="1079" w:type="dxa"/>
            <w:vAlign w:val="center"/>
          </w:tcPr>
          <w:p w14:paraId="5A38AE8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0.091</w:t>
            </w:r>
          </w:p>
        </w:tc>
        <w:tc>
          <w:tcPr>
            <w:tcW w:w="1079" w:type="dxa"/>
            <w:vAlign w:val="center"/>
          </w:tcPr>
          <w:p w14:paraId="4B8D95C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0.095</w:t>
            </w:r>
          </w:p>
        </w:tc>
        <w:tc>
          <w:tcPr>
            <w:tcW w:w="1079" w:type="dxa"/>
            <w:vAlign w:val="center"/>
          </w:tcPr>
          <w:p w14:paraId="11B756A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-0.021</w:t>
            </w:r>
          </w:p>
        </w:tc>
        <w:tc>
          <w:tcPr>
            <w:tcW w:w="1079" w:type="dxa"/>
            <w:vAlign w:val="center"/>
          </w:tcPr>
          <w:p w14:paraId="4184CF7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-0.024</w:t>
            </w:r>
          </w:p>
        </w:tc>
      </w:tr>
      <w:tr w:rsidR="00C337E6" w:rsidRPr="00C337E6" w14:paraId="0C3C10E3" w14:textId="77777777" w:rsidTr="007D051D">
        <w:trPr>
          <w:trHeight w:val="258"/>
          <w:jc w:val="center"/>
        </w:trPr>
        <w:tc>
          <w:tcPr>
            <w:tcW w:w="3166" w:type="dxa"/>
            <w:tcBorders>
              <w:left w:val="nil"/>
              <w:right w:val="nil"/>
            </w:tcBorders>
            <w:shd w:val="clear" w:color="auto" w:fill="auto"/>
            <w:noWrap/>
            <w:vAlign w:val="bottom"/>
            <w:hideMark/>
          </w:tcPr>
          <w:p w14:paraId="13C17CB2"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Number of children in the household</w:t>
            </w:r>
          </w:p>
        </w:tc>
        <w:tc>
          <w:tcPr>
            <w:tcW w:w="1078" w:type="dxa"/>
            <w:tcBorders>
              <w:left w:val="nil"/>
              <w:right w:val="nil"/>
            </w:tcBorders>
            <w:shd w:val="clear" w:color="auto" w:fill="auto"/>
            <w:noWrap/>
            <w:vAlign w:val="center"/>
            <w:hideMark/>
          </w:tcPr>
          <w:p w14:paraId="00D96314"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0.003</w:t>
            </w:r>
          </w:p>
        </w:tc>
        <w:tc>
          <w:tcPr>
            <w:tcW w:w="1079" w:type="dxa"/>
            <w:tcBorders>
              <w:left w:val="nil"/>
            </w:tcBorders>
            <w:shd w:val="clear" w:color="auto" w:fill="auto"/>
            <w:noWrap/>
            <w:vAlign w:val="center"/>
            <w:hideMark/>
          </w:tcPr>
          <w:p w14:paraId="2EBAA266"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0.004</w:t>
            </w:r>
          </w:p>
        </w:tc>
        <w:tc>
          <w:tcPr>
            <w:tcW w:w="1079" w:type="dxa"/>
            <w:vAlign w:val="center"/>
          </w:tcPr>
          <w:p w14:paraId="48F4FC5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-0.000</w:t>
            </w:r>
          </w:p>
        </w:tc>
        <w:tc>
          <w:tcPr>
            <w:tcW w:w="1079" w:type="dxa"/>
            <w:vAlign w:val="center"/>
          </w:tcPr>
          <w:p w14:paraId="79829B4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0.001</w:t>
            </w:r>
          </w:p>
        </w:tc>
        <w:tc>
          <w:tcPr>
            <w:tcW w:w="1079" w:type="dxa"/>
            <w:vAlign w:val="center"/>
          </w:tcPr>
          <w:p w14:paraId="228B84A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0.049</w:t>
            </w:r>
          </w:p>
        </w:tc>
        <w:tc>
          <w:tcPr>
            <w:tcW w:w="1079" w:type="dxa"/>
            <w:vAlign w:val="center"/>
          </w:tcPr>
          <w:p w14:paraId="5D6BD0F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0.050</w:t>
            </w:r>
          </w:p>
        </w:tc>
      </w:tr>
      <w:tr w:rsidR="00C337E6" w:rsidRPr="00C337E6" w14:paraId="4895879D" w14:textId="77777777" w:rsidTr="007D051D">
        <w:trPr>
          <w:trHeight w:val="258"/>
          <w:jc w:val="center"/>
        </w:trPr>
        <w:tc>
          <w:tcPr>
            <w:tcW w:w="3166" w:type="dxa"/>
            <w:tcBorders>
              <w:left w:val="nil"/>
              <w:right w:val="nil"/>
            </w:tcBorders>
            <w:shd w:val="clear" w:color="auto" w:fill="auto"/>
            <w:noWrap/>
            <w:vAlign w:val="bottom"/>
            <w:hideMark/>
          </w:tcPr>
          <w:p w14:paraId="77608BAF"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Household size</w:t>
            </w:r>
          </w:p>
        </w:tc>
        <w:tc>
          <w:tcPr>
            <w:tcW w:w="1078" w:type="dxa"/>
            <w:tcBorders>
              <w:left w:val="nil"/>
              <w:right w:val="nil"/>
            </w:tcBorders>
            <w:shd w:val="clear" w:color="auto" w:fill="auto"/>
            <w:noWrap/>
            <w:vAlign w:val="center"/>
            <w:hideMark/>
          </w:tcPr>
          <w:p w14:paraId="4DDBB3C1"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-0.001</w:t>
            </w:r>
          </w:p>
        </w:tc>
        <w:tc>
          <w:tcPr>
            <w:tcW w:w="1079" w:type="dxa"/>
            <w:tcBorders>
              <w:left w:val="nil"/>
            </w:tcBorders>
            <w:shd w:val="clear" w:color="auto" w:fill="auto"/>
            <w:noWrap/>
            <w:vAlign w:val="center"/>
            <w:hideMark/>
          </w:tcPr>
          <w:p w14:paraId="008BE4A2"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-0.002</w:t>
            </w:r>
          </w:p>
        </w:tc>
        <w:tc>
          <w:tcPr>
            <w:tcW w:w="1079" w:type="dxa"/>
            <w:vAlign w:val="center"/>
          </w:tcPr>
          <w:p w14:paraId="11CED57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0.016</w:t>
            </w:r>
          </w:p>
        </w:tc>
        <w:tc>
          <w:tcPr>
            <w:tcW w:w="1079" w:type="dxa"/>
            <w:vAlign w:val="center"/>
          </w:tcPr>
          <w:p w14:paraId="46DF51E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0.013</w:t>
            </w:r>
          </w:p>
        </w:tc>
        <w:tc>
          <w:tcPr>
            <w:tcW w:w="1079" w:type="dxa"/>
            <w:vAlign w:val="center"/>
          </w:tcPr>
          <w:p w14:paraId="0055E7F2"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-0.006</w:t>
            </w:r>
          </w:p>
        </w:tc>
        <w:tc>
          <w:tcPr>
            <w:tcW w:w="1079" w:type="dxa"/>
            <w:vAlign w:val="center"/>
          </w:tcPr>
          <w:p w14:paraId="7AAFE29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-0.007</w:t>
            </w:r>
          </w:p>
        </w:tc>
      </w:tr>
      <w:tr w:rsidR="00C337E6" w:rsidRPr="00C337E6" w14:paraId="56BCDA75" w14:textId="77777777" w:rsidTr="007D051D">
        <w:trPr>
          <w:trHeight w:val="258"/>
          <w:jc w:val="center"/>
        </w:trPr>
        <w:tc>
          <w:tcPr>
            <w:tcW w:w="3166" w:type="dxa"/>
            <w:tcBorders>
              <w:left w:val="nil"/>
              <w:right w:val="nil"/>
            </w:tcBorders>
            <w:shd w:val="clear" w:color="auto" w:fill="auto"/>
            <w:noWrap/>
            <w:vAlign w:val="bottom"/>
          </w:tcPr>
          <w:p w14:paraId="2B806D86"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Labor market status (Base: Employed)</w:t>
            </w:r>
          </w:p>
        </w:tc>
        <w:tc>
          <w:tcPr>
            <w:tcW w:w="1078" w:type="dxa"/>
            <w:tcBorders>
              <w:left w:val="nil"/>
              <w:right w:val="nil"/>
            </w:tcBorders>
            <w:shd w:val="clear" w:color="auto" w:fill="auto"/>
            <w:noWrap/>
            <w:vAlign w:val="center"/>
          </w:tcPr>
          <w:p w14:paraId="78F67F3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left w:val="nil"/>
            </w:tcBorders>
            <w:shd w:val="clear" w:color="auto" w:fill="auto"/>
            <w:noWrap/>
            <w:vAlign w:val="center"/>
          </w:tcPr>
          <w:p w14:paraId="237AB958"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36253B83"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1079" w:type="dxa"/>
            <w:vAlign w:val="center"/>
          </w:tcPr>
          <w:p w14:paraId="4D68E290"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1079" w:type="dxa"/>
            <w:vAlign w:val="center"/>
          </w:tcPr>
          <w:p w14:paraId="4BC87D36"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1079" w:type="dxa"/>
            <w:vAlign w:val="center"/>
          </w:tcPr>
          <w:p w14:paraId="657864B8" w14:textId="77777777" w:rsidR="00C337E6" w:rsidRPr="00C337E6" w:rsidRDefault="00C337E6" w:rsidP="00C337E6">
            <w:pPr>
              <w:spacing w:after="0" w:line="240" w:lineRule="auto"/>
              <w:jc w:val="center"/>
              <w:rPr>
                <w:rFonts w:ascii="Times New Roman" w:hAnsi="Times New Roman" w:cs="Times New Roman"/>
                <w:sz w:val="18"/>
                <w:szCs w:val="18"/>
              </w:rPr>
            </w:pPr>
          </w:p>
        </w:tc>
      </w:tr>
      <w:tr w:rsidR="00C337E6" w:rsidRPr="00C337E6" w14:paraId="2B5174F5" w14:textId="77777777" w:rsidTr="007D051D">
        <w:trPr>
          <w:trHeight w:val="258"/>
          <w:jc w:val="center"/>
        </w:trPr>
        <w:tc>
          <w:tcPr>
            <w:tcW w:w="3166" w:type="dxa"/>
            <w:tcBorders>
              <w:left w:val="nil"/>
              <w:right w:val="nil"/>
            </w:tcBorders>
            <w:shd w:val="clear" w:color="auto" w:fill="auto"/>
            <w:noWrap/>
            <w:vAlign w:val="bottom"/>
            <w:hideMark/>
          </w:tcPr>
          <w:p w14:paraId="26159EC3"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 xml:space="preserve">Unemployed </w:t>
            </w:r>
          </w:p>
        </w:tc>
        <w:tc>
          <w:tcPr>
            <w:tcW w:w="1078" w:type="dxa"/>
            <w:tcBorders>
              <w:left w:val="nil"/>
              <w:right w:val="nil"/>
            </w:tcBorders>
            <w:shd w:val="clear" w:color="auto" w:fill="auto"/>
            <w:noWrap/>
            <w:vAlign w:val="center"/>
            <w:hideMark/>
          </w:tcPr>
          <w:p w14:paraId="267853AB"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-0.221***</w:t>
            </w:r>
          </w:p>
        </w:tc>
        <w:tc>
          <w:tcPr>
            <w:tcW w:w="1079" w:type="dxa"/>
            <w:tcBorders>
              <w:left w:val="nil"/>
            </w:tcBorders>
            <w:shd w:val="clear" w:color="auto" w:fill="auto"/>
            <w:noWrap/>
            <w:vAlign w:val="center"/>
            <w:hideMark/>
          </w:tcPr>
          <w:p w14:paraId="712E7CC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-0.218***</w:t>
            </w:r>
          </w:p>
        </w:tc>
        <w:tc>
          <w:tcPr>
            <w:tcW w:w="1079" w:type="dxa"/>
            <w:vAlign w:val="center"/>
          </w:tcPr>
          <w:p w14:paraId="1F756D8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-0.268**</w:t>
            </w:r>
          </w:p>
        </w:tc>
        <w:tc>
          <w:tcPr>
            <w:tcW w:w="1079" w:type="dxa"/>
            <w:vAlign w:val="center"/>
          </w:tcPr>
          <w:p w14:paraId="76F6C2E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-0.265**</w:t>
            </w:r>
          </w:p>
        </w:tc>
        <w:tc>
          <w:tcPr>
            <w:tcW w:w="1079" w:type="dxa"/>
            <w:vAlign w:val="center"/>
          </w:tcPr>
          <w:p w14:paraId="73A01E56"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-0.233***</w:t>
            </w:r>
          </w:p>
        </w:tc>
        <w:tc>
          <w:tcPr>
            <w:tcW w:w="1079" w:type="dxa"/>
            <w:vAlign w:val="center"/>
          </w:tcPr>
          <w:p w14:paraId="60B8C45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-0.233***</w:t>
            </w:r>
          </w:p>
        </w:tc>
      </w:tr>
      <w:tr w:rsidR="00C337E6" w:rsidRPr="00C337E6" w14:paraId="19BB39B8" w14:textId="77777777" w:rsidTr="007D051D">
        <w:trPr>
          <w:trHeight w:val="258"/>
          <w:jc w:val="center"/>
        </w:trPr>
        <w:tc>
          <w:tcPr>
            <w:tcW w:w="3166" w:type="dxa"/>
            <w:tcBorders>
              <w:left w:val="nil"/>
              <w:right w:val="nil"/>
            </w:tcBorders>
            <w:shd w:val="clear" w:color="auto" w:fill="auto"/>
            <w:noWrap/>
            <w:vAlign w:val="bottom"/>
            <w:hideMark/>
          </w:tcPr>
          <w:p w14:paraId="6F00A0AF"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Inactive</w:t>
            </w:r>
          </w:p>
        </w:tc>
        <w:tc>
          <w:tcPr>
            <w:tcW w:w="1078" w:type="dxa"/>
            <w:tcBorders>
              <w:left w:val="nil"/>
              <w:right w:val="nil"/>
            </w:tcBorders>
            <w:shd w:val="clear" w:color="auto" w:fill="auto"/>
            <w:noWrap/>
            <w:vAlign w:val="center"/>
            <w:hideMark/>
          </w:tcPr>
          <w:p w14:paraId="062156EF"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-0.034</w:t>
            </w:r>
          </w:p>
        </w:tc>
        <w:tc>
          <w:tcPr>
            <w:tcW w:w="1079" w:type="dxa"/>
            <w:tcBorders>
              <w:left w:val="nil"/>
            </w:tcBorders>
            <w:shd w:val="clear" w:color="auto" w:fill="auto"/>
            <w:noWrap/>
            <w:vAlign w:val="center"/>
            <w:hideMark/>
          </w:tcPr>
          <w:p w14:paraId="4810BDF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-0.034</w:t>
            </w:r>
          </w:p>
        </w:tc>
        <w:tc>
          <w:tcPr>
            <w:tcW w:w="1079" w:type="dxa"/>
            <w:vAlign w:val="center"/>
          </w:tcPr>
          <w:p w14:paraId="45541D2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-0.045</w:t>
            </w:r>
          </w:p>
        </w:tc>
        <w:tc>
          <w:tcPr>
            <w:tcW w:w="1079" w:type="dxa"/>
            <w:vAlign w:val="center"/>
          </w:tcPr>
          <w:p w14:paraId="46EEF6A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-0.045</w:t>
            </w:r>
          </w:p>
        </w:tc>
        <w:tc>
          <w:tcPr>
            <w:tcW w:w="1079" w:type="dxa"/>
            <w:vAlign w:val="center"/>
          </w:tcPr>
          <w:p w14:paraId="587A035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-0.054</w:t>
            </w:r>
          </w:p>
        </w:tc>
        <w:tc>
          <w:tcPr>
            <w:tcW w:w="1079" w:type="dxa"/>
            <w:vAlign w:val="center"/>
          </w:tcPr>
          <w:p w14:paraId="5BDF1F2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-0.054</w:t>
            </w:r>
          </w:p>
        </w:tc>
      </w:tr>
      <w:tr w:rsidR="00C337E6" w:rsidRPr="00C337E6" w14:paraId="0BCDAF4B" w14:textId="77777777" w:rsidTr="007D051D">
        <w:trPr>
          <w:trHeight w:val="258"/>
          <w:jc w:val="center"/>
        </w:trPr>
        <w:tc>
          <w:tcPr>
            <w:tcW w:w="3166" w:type="dxa"/>
            <w:tcBorders>
              <w:left w:val="nil"/>
              <w:right w:val="nil"/>
            </w:tcBorders>
            <w:shd w:val="clear" w:color="auto" w:fill="auto"/>
            <w:noWrap/>
            <w:vAlign w:val="bottom"/>
            <w:hideMark/>
          </w:tcPr>
          <w:p w14:paraId="3EA208CF"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xml:space="preserve">Log of Monthly Household Income </w:t>
            </w:r>
          </w:p>
        </w:tc>
        <w:tc>
          <w:tcPr>
            <w:tcW w:w="1078" w:type="dxa"/>
            <w:tcBorders>
              <w:left w:val="nil"/>
              <w:right w:val="nil"/>
            </w:tcBorders>
            <w:shd w:val="clear" w:color="auto" w:fill="auto"/>
            <w:noWrap/>
            <w:vAlign w:val="center"/>
            <w:hideMark/>
          </w:tcPr>
          <w:p w14:paraId="6938B32E"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0.007</w:t>
            </w:r>
          </w:p>
        </w:tc>
        <w:tc>
          <w:tcPr>
            <w:tcW w:w="1079" w:type="dxa"/>
            <w:tcBorders>
              <w:left w:val="nil"/>
            </w:tcBorders>
            <w:shd w:val="clear" w:color="auto" w:fill="auto"/>
            <w:noWrap/>
            <w:vAlign w:val="center"/>
            <w:hideMark/>
          </w:tcPr>
          <w:p w14:paraId="3F3EDE9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0.007</w:t>
            </w:r>
          </w:p>
        </w:tc>
        <w:tc>
          <w:tcPr>
            <w:tcW w:w="1079" w:type="dxa"/>
            <w:vAlign w:val="center"/>
          </w:tcPr>
          <w:p w14:paraId="69ED98B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0.008</w:t>
            </w:r>
          </w:p>
        </w:tc>
        <w:tc>
          <w:tcPr>
            <w:tcW w:w="1079" w:type="dxa"/>
            <w:vAlign w:val="center"/>
          </w:tcPr>
          <w:p w14:paraId="5B07E910"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0.009</w:t>
            </w:r>
          </w:p>
        </w:tc>
        <w:tc>
          <w:tcPr>
            <w:tcW w:w="1079" w:type="dxa"/>
            <w:vAlign w:val="center"/>
          </w:tcPr>
          <w:p w14:paraId="5984E31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-0.004</w:t>
            </w:r>
          </w:p>
        </w:tc>
        <w:tc>
          <w:tcPr>
            <w:tcW w:w="1079" w:type="dxa"/>
            <w:vAlign w:val="center"/>
          </w:tcPr>
          <w:p w14:paraId="5A084F0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-0.003</w:t>
            </w:r>
          </w:p>
        </w:tc>
      </w:tr>
      <w:tr w:rsidR="00C337E6" w:rsidRPr="00C337E6" w14:paraId="36EDD104" w14:textId="77777777" w:rsidTr="007D051D">
        <w:trPr>
          <w:trHeight w:val="258"/>
          <w:jc w:val="center"/>
        </w:trPr>
        <w:tc>
          <w:tcPr>
            <w:tcW w:w="3166" w:type="dxa"/>
            <w:tcBorders>
              <w:left w:val="nil"/>
              <w:right w:val="nil"/>
            </w:tcBorders>
            <w:shd w:val="clear" w:color="auto" w:fill="auto"/>
            <w:noWrap/>
            <w:vAlign w:val="bottom"/>
          </w:tcPr>
          <w:p w14:paraId="6CCA969A"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Education (Base: No qualifications)</w:t>
            </w:r>
          </w:p>
        </w:tc>
        <w:tc>
          <w:tcPr>
            <w:tcW w:w="1078" w:type="dxa"/>
            <w:tcBorders>
              <w:left w:val="nil"/>
              <w:right w:val="nil"/>
            </w:tcBorders>
            <w:shd w:val="clear" w:color="auto" w:fill="auto"/>
            <w:noWrap/>
            <w:vAlign w:val="center"/>
          </w:tcPr>
          <w:p w14:paraId="3300814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left w:val="nil"/>
            </w:tcBorders>
            <w:shd w:val="clear" w:color="auto" w:fill="auto"/>
            <w:noWrap/>
            <w:vAlign w:val="center"/>
          </w:tcPr>
          <w:p w14:paraId="356CCAB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29AA090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7B2A1C7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1994401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676C0AF9"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r>
      <w:tr w:rsidR="00C337E6" w:rsidRPr="00C337E6" w14:paraId="5DD98DE3" w14:textId="77777777" w:rsidTr="007D051D">
        <w:trPr>
          <w:trHeight w:val="258"/>
          <w:jc w:val="center"/>
        </w:trPr>
        <w:tc>
          <w:tcPr>
            <w:tcW w:w="3166" w:type="dxa"/>
            <w:tcBorders>
              <w:left w:val="nil"/>
              <w:right w:val="nil"/>
            </w:tcBorders>
            <w:shd w:val="clear" w:color="auto" w:fill="auto"/>
            <w:noWrap/>
            <w:vAlign w:val="bottom"/>
            <w:hideMark/>
          </w:tcPr>
          <w:p w14:paraId="5C786922"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 xml:space="preserve">Degree </w:t>
            </w:r>
          </w:p>
        </w:tc>
        <w:tc>
          <w:tcPr>
            <w:tcW w:w="1078" w:type="dxa"/>
            <w:tcBorders>
              <w:left w:val="nil"/>
              <w:right w:val="nil"/>
            </w:tcBorders>
            <w:shd w:val="clear" w:color="auto" w:fill="auto"/>
            <w:noWrap/>
            <w:vAlign w:val="center"/>
            <w:hideMark/>
          </w:tcPr>
          <w:p w14:paraId="12661FA9"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-0.119</w:t>
            </w:r>
          </w:p>
        </w:tc>
        <w:tc>
          <w:tcPr>
            <w:tcW w:w="1079" w:type="dxa"/>
            <w:tcBorders>
              <w:left w:val="nil"/>
            </w:tcBorders>
            <w:shd w:val="clear" w:color="auto" w:fill="auto"/>
            <w:noWrap/>
            <w:vAlign w:val="center"/>
            <w:hideMark/>
          </w:tcPr>
          <w:p w14:paraId="72D955D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-0.117</w:t>
            </w:r>
          </w:p>
        </w:tc>
        <w:tc>
          <w:tcPr>
            <w:tcW w:w="1079" w:type="dxa"/>
            <w:vAlign w:val="center"/>
          </w:tcPr>
          <w:p w14:paraId="16BFACF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0.217</w:t>
            </w:r>
          </w:p>
        </w:tc>
        <w:tc>
          <w:tcPr>
            <w:tcW w:w="1079" w:type="dxa"/>
            <w:vAlign w:val="center"/>
          </w:tcPr>
          <w:p w14:paraId="525C5E9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0.213</w:t>
            </w:r>
          </w:p>
        </w:tc>
        <w:tc>
          <w:tcPr>
            <w:tcW w:w="1079" w:type="dxa"/>
            <w:vAlign w:val="center"/>
          </w:tcPr>
          <w:p w14:paraId="3CA6C52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-0.342*</w:t>
            </w:r>
          </w:p>
        </w:tc>
        <w:tc>
          <w:tcPr>
            <w:tcW w:w="1079" w:type="dxa"/>
            <w:vAlign w:val="center"/>
          </w:tcPr>
          <w:p w14:paraId="64E5C59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-0.352*</w:t>
            </w:r>
          </w:p>
        </w:tc>
      </w:tr>
      <w:tr w:rsidR="00C337E6" w:rsidRPr="00C337E6" w14:paraId="5CCBC225" w14:textId="77777777" w:rsidTr="007D051D">
        <w:trPr>
          <w:trHeight w:val="258"/>
          <w:jc w:val="center"/>
        </w:trPr>
        <w:tc>
          <w:tcPr>
            <w:tcW w:w="3166" w:type="dxa"/>
            <w:tcBorders>
              <w:left w:val="nil"/>
              <w:right w:val="nil"/>
            </w:tcBorders>
            <w:shd w:val="clear" w:color="auto" w:fill="auto"/>
            <w:noWrap/>
            <w:vAlign w:val="bottom"/>
            <w:hideMark/>
          </w:tcPr>
          <w:p w14:paraId="7E253678"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Further Education</w:t>
            </w:r>
          </w:p>
        </w:tc>
        <w:tc>
          <w:tcPr>
            <w:tcW w:w="1078" w:type="dxa"/>
            <w:tcBorders>
              <w:left w:val="nil"/>
              <w:right w:val="nil"/>
            </w:tcBorders>
            <w:shd w:val="clear" w:color="auto" w:fill="auto"/>
            <w:noWrap/>
            <w:vAlign w:val="center"/>
            <w:hideMark/>
          </w:tcPr>
          <w:p w14:paraId="74A7A735"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0.083</w:t>
            </w:r>
          </w:p>
        </w:tc>
        <w:tc>
          <w:tcPr>
            <w:tcW w:w="1079" w:type="dxa"/>
            <w:tcBorders>
              <w:left w:val="nil"/>
            </w:tcBorders>
            <w:shd w:val="clear" w:color="auto" w:fill="auto"/>
            <w:noWrap/>
            <w:vAlign w:val="center"/>
            <w:hideMark/>
          </w:tcPr>
          <w:p w14:paraId="5EC681C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0.085</w:t>
            </w:r>
          </w:p>
        </w:tc>
        <w:tc>
          <w:tcPr>
            <w:tcW w:w="1079" w:type="dxa"/>
            <w:vAlign w:val="center"/>
          </w:tcPr>
          <w:p w14:paraId="006DB44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0.204</w:t>
            </w:r>
          </w:p>
        </w:tc>
        <w:tc>
          <w:tcPr>
            <w:tcW w:w="1079" w:type="dxa"/>
            <w:vAlign w:val="center"/>
          </w:tcPr>
          <w:p w14:paraId="0BAA648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0.209</w:t>
            </w:r>
          </w:p>
        </w:tc>
        <w:tc>
          <w:tcPr>
            <w:tcW w:w="1079" w:type="dxa"/>
            <w:vAlign w:val="center"/>
          </w:tcPr>
          <w:p w14:paraId="22DF939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-0.008</w:t>
            </w:r>
          </w:p>
        </w:tc>
        <w:tc>
          <w:tcPr>
            <w:tcW w:w="1079" w:type="dxa"/>
            <w:vAlign w:val="center"/>
          </w:tcPr>
          <w:p w14:paraId="762DF98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-0.014</w:t>
            </w:r>
          </w:p>
        </w:tc>
      </w:tr>
      <w:tr w:rsidR="00C337E6" w:rsidRPr="00C337E6" w14:paraId="483AA165" w14:textId="77777777" w:rsidTr="007D051D">
        <w:trPr>
          <w:trHeight w:val="258"/>
          <w:jc w:val="center"/>
        </w:trPr>
        <w:tc>
          <w:tcPr>
            <w:tcW w:w="3166" w:type="dxa"/>
            <w:tcBorders>
              <w:left w:val="nil"/>
              <w:right w:val="nil"/>
            </w:tcBorders>
            <w:shd w:val="clear" w:color="auto" w:fill="auto"/>
            <w:noWrap/>
            <w:vAlign w:val="bottom"/>
            <w:hideMark/>
          </w:tcPr>
          <w:p w14:paraId="0FE3E9EC"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A Levels</w:t>
            </w:r>
          </w:p>
        </w:tc>
        <w:tc>
          <w:tcPr>
            <w:tcW w:w="1078" w:type="dxa"/>
            <w:tcBorders>
              <w:left w:val="nil"/>
              <w:right w:val="nil"/>
            </w:tcBorders>
            <w:shd w:val="clear" w:color="auto" w:fill="auto"/>
            <w:noWrap/>
            <w:vAlign w:val="center"/>
            <w:hideMark/>
          </w:tcPr>
          <w:p w14:paraId="3591CC77"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0.001</w:t>
            </w:r>
          </w:p>
        </w:tc>
        <w:tc>
          <w:tcPr>
            <w:tcW w:w="1079" w:type="dxa"/>
            <w:tcBorders>
              <w:left w:val="nil"/>
            </w:tcBorders>
            <w:shd w:val="clear" w:color="auto" w:fill="auto"/>
            <w:noWrap/>
            <w:vAlign w:val="center"/>
            <w:hideMark/>
          </w:tcPr>
          <w:p w14:paraId="355DC0E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0.003</w:t>
            </w:r>
          </w:p>
        </w:tc>
        <w:tc>
          <w:tcPr>
            <w:tcW w:w="1079" w:type="dxa"/>
            <w:vAlign w:val="center"/>
          </w:tcPr>
          <w:p w14:paraId="68BD54C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0.107</w:t>
            </w:r>
          </w:p>
        </w:tc>
        <w:tc>
          <w:tcPr>
            <w:tcW w:w="1079" w:type="dxa"/>
            <w:vAlign w:val="center"/>
          </w:tcPr>
          <w:p w14:paraId="426B06E0"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0.111</w:t>
            </w:r>
          </w:p>
        </w:tc>
        <w:tc>
          <w:tcPr>
            <w:tcW w:w="1079" w:type="dxa"/>
            <w:vAlign w:val="center"/>
          </w:tcPr>
          <w:p w14:paraId="1EF3A76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-0.151</w:t>
            </w:r>
          </w:p>
        </w:tc>
        <w:tc>
          <w:tcPr>
            <w:tcW w:w="1079" w:type="dxa"/>
            <w:vAlign w:val="center"/>
          </w:tcPr>
          <w:p w14:paraId="0468EC3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-0.157</w:t>
            </w:r>
          </w:p>
        </w:tc>
      </w:tr>
      <w:tr w:rsidR="00C337E6" w:rsidRPr="00C337E6" w14:paraId="0A25ADF7" w14:textId="77777777" w:rsidTr="007D051D">
        <w:trPr>
          <w:trHeight w:val="258"/>
          <w:jc w:val="center"/>
        </w:trPr>
        <w:tc>
          <w:tcPr>
            <w:tcW w:w="3166" w:type="dxa"/>
            <w:tcBorders>
              <w:left w:val="nil"/>
              <w:right w:val="nil"/>
            </w:tcBorders>
            <w:shd w:val="clear" w:color="auto" w:fill="auto"/>
            <w:noWrap/>
            <w:vAlign w:val="bottom"/>
            <w:hideMark/>
          </w:tcPr>
          <w:p w14:paraId="0C4E6800"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O Levels</w:t>
            </w:r>
          </w:p>
        </w:tc>
        <w:tc>
          <w:tcPr>
            <w:tcW w:w="1078" w:type="dxa"/>
            <w:tcBorders>
              <w:left w:val="nil"/>
              <w:right w:val="nil"/>
            </w:tcBorders>
            <w:shd w:val="clear" w:color="auto" w:fill="auto"/>
            <w:noWrap/>
            <w:vAlign w:val="center"/>
            <w:hideMark/>
          </w:tcPr>
          <w:p w14:paraId="36F88657"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0.011</w:t>
            </w:r>
          </w:p>
        </w:tc>
        <w:tc>
          <w:tcPr>
            <w:tcW w:w="1079" w:type="dxa"/>
            <w:tcBorders>
              <w:left w:val="nil"/>
            </w:tcBorders>
            <w:shd w:val="clear" w:color="auto" w:fill="auto"/>
            <w:noWrap/>
            <w:vAlign w:val="center"/>
            <w:hideMark/>
          </w:tcPr>
          <w:p w14:paraId="7746963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0.013</w:t>
            </w:r>
          </w:p>
        </w:tc>
        <w:tc>
          <w:tcPr>
            <w:tcW w:w="1079" w:type="dxa"/>
            <w:vAlign w:val="center"/>
          </w:tcPr>
          <w:p w14:paraId="69FE8BC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-0.158</w:t>
            </w:r>
          </w:p>
        </w:tc>
        <w:tc>
          <w:tcPr>
            <w:tcW w:w="1079" w:type="dxa"/>
            <w:vAlign w:val="center"/>
          </w:tcPr>
          <w:p w14:paraId="6546628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-0.153</w:t>
            </w:r>
          </w:p>
        </w:tc>
        <w:tc>
          <w:tcPr>
            <w:tcW w:w="1079" w:type="dxa"/>
            <w:vAlign w:val="center"/>
          </w:tcPr>
          <w:p w14:paraId="583EEF8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0.018</w:t>
            </w:r>
          </w:p>
        </w:tc>
        <w:tc>
          <w:tcPr>
            <w:tcW w:w="1079" w:type="dxa"/>
            <w:vAlign w:val="center"/>
          </w:tcPr>
          <w:p w14:paraId="0178962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0.014</w:t>
            </w:r>
          </w:p>
        </w:tc>
      </w:tr>
      <w:tr w:rsidR="00C337E6" w:rsidRPr="00C337E6" w14:paraId="4160AE17" w14:textId="77777777" w:rsidTr="007D051D">
        <w:trPr>
          <w:trHeight w:val="258"/>
          <w:jc w:val="center"/>
        </w:trPr>
        <w:tc>
          <w:tcPr>
            <w:tcW w:w="3166" w:type="dxa"/>
            <w:tcBorders>
              <w:left w:val="nil"/>
              <w:right w:val="nil"/>
            </w:tcBorders>
            <w:shd w:val="clear" w:color="auto" w:fill="auto"/>
            <w:noWrap/>
            <w:vAlign w:val="bottom"/>
            <w:hideMark/>
          </w:tcPr>
          <w:p w14:paraId="628F9500"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Other Qualifications</w:t>
            </w:r>
          </w:p>
        </w:tc>
        <w:tc>
          <w:tcPr>
            <w:tcW w:w="1078" w:type="dxa"/>
            <w:tcBorders>
              <w:left w:val="nil"/>
              <w:right w:val="nil"/>
            </w:tcBorders>
            <w:shd w:val="clear" w:color="auto" w:fill="auto"/>
            <w:noWrap/>
            <w:vAlign w:val="center"/>
            <w:hideMark/>
          </w:tcPr>
          <w:p w14:paraId="39541627"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-0.014</w:t>
            </w:r>
          </w:p>
        </w:tc>
        <w:tc>
          <w:tcPr>
            <w:tcW w:w="1079" w:type="dxa"/>
            <w:tcBorders>
              <w:left w:val="nil"/>
            </w:tcBorders>
            <w:shd w:val="clear" w:color="auto" w:fill="auto"/>
            <w:noWrap/>
            <w:vAlign w:val="center"/>
            <w:hideMark/>
          </w:tcPr>
          <w:p w14:paraId="69E29C9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-0.015</w:t>
            </w:r>
          </w:p>
        </w:tc>
        <w:tc>
          <w:tcPr>
            <w:tcW w:w="1079" w:type="dxa"/>
            <w:vAlign w:val="center"/>
          </w:tcPr>
          <w:p w14:paraId="359E8FE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-0.181</w:t>
            </w:r>
          </w:p>
        </w:tc>
        <w:tc>
          <w:tcPr>
            <w:tcW w:w="1079" w:type="dxa"/>
            <w:vAlign w:val="center"/>
          </w:tcPr>
          <w:p w14:paraId="1F0316C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-0.177</w:t>
            </w:r>
          </w:p>
        </w:tc>
        <w:tc>
          <w:tcPr>
            <w:tcW w:w="1079" w:type="dxa"/>
            <w:vAlign w:val="center"/>
          </w:tcPr>
          <w:p w14:paraId="548D171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-0.358</w:t>
            </w:r>
          </w:p>
        </w:tc>
        <w:tc>
          <w:tcPr>
            <w:tcW w:w="1079" w:type="dxa"/>
            <w:vAlign w:val="center"/>
          </w:tcPr>
          <w:p w14:paraId="43BCE9C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-0.363</w:t>
            </w:r>
          </w:p>
        </w:tc>
      </w:tr>
      <w:tr w:rsidR="00C337E6" w:rsidRPr="00C337E6" w14:paraId="65E432BB" w14:textId="77777777" w:rsidTr="007D051D">
        <w:trPr>
          <w:trHeight w:val="258"/>
          <w:jc w:val="center"/>
        </w:trPr>
        <w:tc>
          <w:tcPr>
            <w:tcW w:w="3166" w:type="dxa"/>
            <w:tcBorders>
              <w:left w:val="nil"/>
              <w:right w:val="nil"/>
            </w:tcBorders>
            <w:shd w:val="clear" w:color="auto" w:fill="auto"/>
            <w:noWrap/>
            <w:vAlign w:val="bottom"/>
          </w:tcPr>
          <w:p w14:paraId="35037070"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Health status (Base: Excellent)</w:t>
            </w:r>
          </w:p>
        </w:tc>
        <w:tc>
          <w:tcPr>
            <w:tcW w:w="1078" w:type="dxa"/>
            <w:tcBorders>
              <w:left w:val="nil"/>
              <w:right w:val="nil"/>
            </w:tcBorders>
            <w:shd w:val="clear" w:color="auto" w:fill="auto"/>
            <w:noWrap/>
            <w:vAlign w:val="center"/>
          </w:tcPr>
          <w:p w14:paraId="5FFD487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left w:val="nil"/>
            </w:tcBorders>
            <w:shd w:val="clear" w:color="auto" w:fill="auto"/>
            <w:noWrap/>
            <w:vAlign w:val="center"/>
          </w:tcPr>
          <w:p w14:paraId="12D2A80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3685968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3DEC551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2E884478"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center"/>
          </w:tcPr>
          <w:p w14:paraId="3CB77A8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r>
      <w:tr w:rsidR="00C337E6" w:rsidRPr="00C337E6" w14:paraId="67E5A82C" w14:textId="77777777" w:rsidTr="007D051D">
        <w:trPr>
          <w:trHeight w:val="258"/>
          <w:jc w:val="center"/>
        </w:trPr>
        <w:tc>
          <w:tcPr>
            <w:tcW w:w="3166" w:type="dxa"/>
            <w:tcBorders>
              <w:left w:val="nil"/>
              <w:right w:val="nil"/>
            </w:tcBorders>
            <w:shd w:val="clear" w:color="auto" w:fill="auto"/>
            <w:noWrap/>
            <w:vAlign w:val="bottom"/>
            <w:hideMark/>
          </w:tcPr>
          <w:p w14:paraId="7E7B17C8"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Good</w:t>
            </w:r>
          </w:p>
        </w:tc>
        <w:tc>
          <w:tcPr>
            <w:tcW w:w="1078" w:type="dxa"/>
            <w:tcBorders>
              <w:left w:val="nil"/>
              <w:right w:val="nil"/>
            </w:tcBorders>
            <w:shd w:val="clear" w:color="auto" w:fill="auto"/>
            <w:noWrap/>
            <w:vAlign w:val="center"/>
            <w:hideMark/>
          </w:tcPr>
          <w:p w14:paraId="534C4A6B"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-0.133***</w:t>
            </w:r>
          </w:p>
        </w:tc>
        <w:tc>
          <w:tcPr>
            <w:tcW w:w="1079" w:type="dxa"/>
            <w:tcBorders>
              <w:left w:val="nil"/>
            </w:tcBorders>
            <w:shd w:val="clear" w:color="auto" w:fill="auto"/>
            <w:noWrap/>
            <w:vAlign w:val="center"/>
            <w:hideMark/>
          </w:tcPr>
          <w:p w14:paraId="30CFC0F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-0.133***</w:t>
            </w:r>
          </w:p>
        </w:tc>
        <w:tc>
          <w:tcPr>
            <w:tcW w:w="1079" w:type="dxa"/>
            <w:vAlign w:val="center"/>
          </w:tcPr>
          <w:p w14:paraId="2D2A9242"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-0.097***</w:t>
            </w:r>
          </w:p>
        </w:tc>
        <w:tc>
          <w:tcPr>
            <w:tcW w:w="1079" w:type="dxa"/>
            <w:vAlign w:val="center"/>
          </w:tcPr>
          <w:p w14:paraId="5539AF3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-0.097***</w:t>
            </w:r>
          </w:p>
        </w:tc>
        <w:tc>
          <w:tcPr>
            <w:tcW w:w="1079" w:type="dxa"/>
            <w:vAlign w:val="center"/>
          </w:tcPr>
          <w:p w14:paraId="2104990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-0.095***</w:t>
            </w:r>
          </w:p>
        </w:tc>
        <w:tc>
          <w:tcPr>
            <w:tcW w:w="1079" w:type="dxa"/>
            <w:vAlign w:val="center"/>
          </w:tcPr>
          <w:p w14:paraId="486F10D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-0.096***</w:t>
            </w:r>
          </w:p>
        </w:tc>
      </w:tr>
      <w:tr w:rsidR="00C337E6" w:rsidRPr="00C337E6" w14:paraId="48687D4E" w14:textId="77777777" w:rsidTr="007D051D">
        <w:trPr>
          <w:trHeight w:val="258"/>
          <w:jc w:val="center"/>
        </w:trPr>
        <w:tc>
          <w:tcPr>
            <w:tcW w:w="3166" w:type="dxa"/>
            <w:tcBorders>
              <w:left w:val="nil"/>
              <w:right w:val="nil"/>
            </w:tcBorders>
            <w:shd w:val="clear" w:color="auto" w:fill="auto"/>
            <w:noWrap/>
            <w:vAlign w:val="bottom"/>
            <w:hideMark/>
          </w:tcPr>
          <w:p w14:paraId="7071964B"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Fair</w:t>
            </w:r>
          </w:p>
        </w:tc>
        <w:tc>
          <w:tcPr>
            <w:tcW w:w="1078" w:type="dxa"/>
            <w:tcBorders>
              <w:left w:val="nil"/>
              <w:right w:val="nil"/>
            </w:tcBorders>
            <w:shd w:val="clear" w:color="auto" w:fill="auto"/>
            <w:noWrap/>
            <w:vAlign w:val="center"/>
            <w:hideMark/>
          </w:tcPr>
          <w:p w14:paraId="509FB42E"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-0.318***</w:t>
            </w:r>
          </w:p>
        </w:tc>
        <w:tc>
          <w:tcPr>
            <w:tcW w:w="1079" w:type="dxa"/>
            <w:tcBorders>
              <w:left w:val="nil"/>
            </w:tcBorders>
            <w:shd w:val="clear" w:color="auto" w:fill="auto"/>
            <w:noWrap/>
            <w:vAlign w:val="center"/>
            <w:hideMark/>
          </w:tcPr>
          <w:p w14:paraId="19D0292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-0.318***</w:t>
            </w:r>
          </w:p>
        </w:tc>
        <w:tc>
          <w:tcPr>
            <w:tcW w:w="1079" w:type="dxa"/>
            <w:vAlign w:val="center"/>
          </w:tcPr>
          <w:p w14:paraId="61C7418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-0.295***</w:t>
            </w:r>
          </w:p>
        </w:tc>
        <w:tc>
          <w:tcPr>
            <w:tcW w:w="1079" w:type="dxa"/>
            <w:vAlign w:val="center"/>
          </w:tcPr>
          <w:p w14:paraId="34292CF6"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-0.296***</w:t>
            </w:r>
          </w:p>
        </w:tc>
        <w:tc>
          <w:tcPr>
            <w:tcW w:w="1079" w:type="dxa"/>
            <w:vAlign w:val="center"/>
          </w:tcPr>
          <w:p w14:paraId="2AAEA23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-0.254***</w:t>
            </w:r>
          </w:p>
        </w:tc>
        <w:tc>
          <w:tcPr>
            <w:tcW w:w="1079" w:type="dxa"/>
            <w:vAlign w:val="center"/>
          </w:tcPr>
          <w:p w14:paraId="0891474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-0.255***</w:t>
            </w:r>
          </w:p>
        </w:tc>
      </w:tr>
      <w:tr w:rsidR="00C337E6" w:rsidRPr="00C337E6" w14:paraId="289C9813" w14:textId="77777777" w:rsidTr="007D051D">
        <w:trPr>
          <w:trHeight w:val="258"/>
          <w:jc w:val="center"/>
        </w:trPr>
        <w:tc>
          <w:tcPr>
            <w:tcW w:w="3166" w:type="dxa"/>
            <w:tcBorders>
              <w:left w:val="nil"/>
              <w:right w:val="nil"/>
            </w:tcBorders>
            <w:shd w:val="clear" w:color="auto" w:fill="auto"/>
            <w:noWrap/>
            <w:vAlign w:val="bottom"/>
            <w:hideMark/>
          </w:tcPr>
          <w:p w14:paraId="6B9C059B"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Poor</w:t>
            </w:r>
          </w:p>
        </w:tc>
        <w:tc>
          <w:tcPr>
            <w:tcW w:w="1078" w:type="dxa"/>
            <w:tcBorders>
              <w:left w:val="nil"/>
              <w:right w:val="nil"/>
            </w:tcBorders>
            <w:shd w:val="clear" w:color="auto" w:fill="auto"/>
            <w:noWrap/>
            <w:vAlign w:val="center"/>
            <w:hideMark/>
          </w:tcPr>
          <w:p w14:paraId="5B8FF734"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-0.585***</w:t>
            </w:r>
          </w:p>
        </w:tc>
        <w:tc>
          <w:tcPr>
            <w:tcW w:w="1079" w:type="dxa"/>
            <w:tcBorders>
              <w:left w:val="nil"/>
            </w:tcBorders>
            <w:shd w:val="clear" w:color="auto" w:fill="auto"/>
            <w:noWrap/>
            <w:vAlign w:val="center"/>
            <w:hideMark/>
          </w:tcPr>
          <w:p w14:paraId="3D0B754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-0.585***</w:t>
            </w:r>
          </w:p>
        </w:tc>
        <w:tc>
          <w:tcPr>
            <w:tcW w:w="1079" w:type="dxa"/>
            <w:vAlign w:val="center"/>
          </w:tcPr>
          <w:p w14:paraId="7BA0355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-0.452***</w:t>
            </w:r>
          </w:p>
        </w:tc>
        <w:tc>
          <w:tcPr>
            <w:tcW w:w="1079" w:type="dxa"/>
            <w:vAlign w:val="center"/>
          </w:tcPr>
          <w:p w14:paraId="4C2BE63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-0.454***</w:t>
            </w:r>
          </w:p>
        </w:tc>
        <w:tc>
          <w:tcPr>
            <w:tcW w:w="1079" w:type="dxa"/>
            <w:vAlign w:val="center"/>
          </w:tcPr>
          <w:p w14:paraId="4B2B6CB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-0.492***</w:t>
            </w:r>
          </w:p>
        </w:tc>
        <w:tc>
          <w:tcPr>
            <w:tcW w:w="1079" w:type="dxa"/>
            <w:vAlign w:val="center"/>
          </w:tcPr>
          <w:p w14:paraId="5BF6DD8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-0.492***</w:t>
            </w:r>
          </w:p>
        </w:tc>
      </w:tr>
      <w:tr w:rsidR="00C337E6" w:rsidRPr="00C337E6" w14:paraId="03C9B54B" w14:textId="77777777" w:rsidTr="007D051D">
        <w:trPr>
          <w:trHeight w:val="258"/>
          <w:jc w:val="center"/>
        </w:trPr>
        <w:tc>
          <w:tcPr>
            <w:tcW w:w="3166" w:type="dxa"/>
            <w:tcBorders>
              <w:left w:val="nil"/>
              <w:right w:val="nil"/>
            </w:tcBorders>
            <w:shd w:val="clear" w:color="auto" w:fill="auto"/>
            <w:noWrap/>
            <w:vAlign w:val="bottom"/>
            <w:hideMark/>
          </w:tcPr>
          <w:p w14:paraId="1A82CE32"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Very Poor</w:t>
            </w:r>
          </w:p>
        </w:tc>
        <w:tc>
          <w:tcPr>
            <w:tcW w:w="1078" w:type="dxa"/>
            <w:tcBorders>
              <w:left w:val="nil"/>
              <w:right w:val="nil"/>
            </w:tcBorders>
            <w:shd w:val="clear" w:color="auto" w:fill="auto"/>
            <w:noWrap/>
            <w:vAlign w:val="center"/>
            <w:hideMark/>
          </w:tcPr>
          <w:p w14:paraId="272D1DF8"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-0.857***</w:t>
            </w:r>
          </w:p>
        </w:tc>
        <w:tc>
          <w:tcPr>
            <w:tcW w:w="1079" w:type="dxa"/>
            <w:tcBorders>
              <w:left w:val="nil"/>
            </w:tcBorders>
            <w:shd w:val="clear" w:color="auto" w:fill="auto"/>
            <w:noWrap/>
            <w:vAlign w:val="center"/>
            <w:hideMark/>
          </w:tcPr>
          <w:p w14:paraId="08E389B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-0.858***</w:t>
            </w:r>
          </w:p>
        </w:tc>
        <w:tc>
          <w:tcPr>
            <w:tcW w:w="1079" w:type="dxa"/>
            <w:vAlign w:val="center"/>
          </w:tcPr>
          <w:p w14:paraId="1C26E40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-0.604***</w:t>
            </w:r>
          </w:p>
        </w:tc>
        <w:tc>
          <w:tcPr>
            <w:tcW w:w="1079" w:type="dxa"/>
            <w:vAlign w:val="center"/>
          </w:tcPr>
          <w:p w14:paraId="1B07DE3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-0.602***</w:t>
            </w:r>
          </w:p>
        </w:tc>
        <w:tc>
          <w:tcPr>
            <w:tcW w:w="1079" w:type="dxa"/>
            <w:vAlign w:val="center"/>
          </w:tcPr>
          <w:p w14:paraId="17E53B8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-0.765***</w:t>
            </w:r>
          </w:p>
        </w:tc>
        <w:tc>
          <w:tcPr>
            <w:tcW w:w="1079" w:type="dxa"/>
            <w:vAlign w:val="center"/>
          </w:tcPr>
          <w:p w14:paraId="502A59F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-0.764***</w:t>
            </w:r>
          </w:p>
        </w:tc>
      </w:tr>
      <w:tr w:rsidR="00C337E6" w:rsidRPr="00C337E6" w14:paraId="5DEBFE8D" w14:textId="77777777" w:rsidTr="007D051D">
        <w:trPr>
          <w:trHeight w:val="258"/>
          <w:jc w:val="center"/>
        </w:trPr>
        <w:tc>
          <w:tcPr>
            <w:tcW w:w="3166" w:type="dxa"/>
            <w:tcBorders>
              <w:left w:val="nil"/>
              <w:right w:val="nil"/>
            </w:tcBorders>
            <w:shd w:val="clear" w:color="auto" w:fill="auto"/>
            <w:noWrap/>
            <w:vAlign w:val="bottom"/>
          </w:tcPr>
          <w:p w14:paraId="6C3CB4F1"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Home ownership (Base: Social Housing)</w:t>
            </w:r>
          </w:p>
        </w:tc>
        <w:tc>
          <w:tcPr>
            <w:tcW w:w="1078" w:type="dxa"/>
            <w:tcBorders>
              <w:left w:val="nil"/>
              <w:right w:val="nil"/>
            </w:tcBorders>
            <w:shd w:val="clear" w:color="auto" w:fill="auto"/>
            <w:noWrap/>
            <w:vAlign w:val="bottom"/>
          </w:tcPr>
          <w:p w14:paraId="6FF6725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left w:val="nil"/>
            </w:tcBorders>
            <w:shd w:val="clear" w:color="auto" w:fill="auto"/>
            <w:noWrap/>
            <w:vAlign w:val="bottom"/>
          </w:tcPr>
          <w:p w14:paraId="5C8C758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bottom"/>
          </w:tcPr>
          <w:p w14:paraId="138494E2"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bottom"/>
          </w:tcPr>
          <w:p w14:paraId="60504C5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bottom"/>
          </w:tcPr>
          <w:p w14:paraId="038E5059"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bottom"/>
          </w:tcPr>
          <w:p w14:paraId="05AD218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r>
      <w:tr w:rsidR="00C337E6" w:rsidRPr="00C337E6" w14:paraId="20599E3D" w14:textId="77777777" w:rsidTr="007D051D">
        <w:trPr>
          <w:trHeight w:val="258"/>
          <w:jc w:val="center"/>
        </w:trPr>
        <w:tc>
          <w:tcPr>
            <w:tcW w:w="3166" w:type="dxa"/>
            <w:tcBorders>
              <w:left w:val="nil"/>
              <w:right w:val="nil"/>
            </w:tcBorders>
            <w:shd w:val="clear" w:color="auto" w:fill="auto"/>
            <w:noWrap/>
            <w:vAlign w:val="bottom"/>
            <w:hideMark/>
          </w:tcPr>
          <w:p w14:paraId="41913E24"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 xml:space="preserve">Outright House Owner </w:t>
            </w:r>
          </w:p>
        </w:tc>
        <w:tc>
          <w:tcPr>
            <w:tcW w:w="1078" w:type="dxa"/>
            <w:tcBorders>
              <w:left w:val="nil"/>
              <w:right w:val="nil"/>
            </w:tcBorders>
            <w:shd w:val="clear" w:color="auto" w:fill="auto"/>
            <w:noWrap/>
            <w:vAlign w:val="bottom"/>
            <w:hideMark/>
          </w:tcPr>
          <w:p w14:paraId="7C09B986"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0.014</w:t>
            </w:r>
          </w:p>
        </w:tc>
        <w:tc>
          <w:tcPr>
            <w:tcW w:w="1079" w:type="dxa"/>
            <w:tcBorders>
              <w:left w:val="nil"/>
            </w:tcBorders>
            <w:shd w:val="clear" w:color="auto" w:fill="auto"/>
            <w:noWrap/>
            <w:vAlign w:val="bottom"/>
            <w:hideMark/>
          </w:tcPr>
          <w:p w14:paraId="1C1F50B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0.016</w:t>
            </w:r>
          </w:p>
        </w:tc>
        <w:tc>
          <w:tcPr>
            <w:tcW w:w="1079" w:type="dxa"/>
            <w:vAlign w:val="bottom"/>
          </w:tcPr>
          <w:p w14:paraId="7867C92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0.124</w:t>
            </w:r>
          </w:p>
        </w:tc>
        <w:tc>
          <w:tcPr>
            <w:tcW w:w="1079" w:type="dxa"/>
            <w:vAlign w:val="bottom"/>
          </w:tcPr>
          <w:p w14:paraId="409CCD1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0.127</w:t>
            </w:r>
          </w:p>
        </w:tc>
        <w:tc>
          <w:tcPr>
            <w:tcW w:w="1079" w:type="dxa"/>
            <w:vAlign w:val="bottom"/>
          </w:tcPr>
          <w:p w14:paraId="5A75936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-0.011</w:t>
            </w:r>
          </w:p>
        </w:tc>
        <w:tc>
          <w:tcPr>
            <w:tcW w:w="1079" w:type="dxa"/>
            <w:vAlign w:val="bottom"/>
          </w:tcPr>
          <w:p w14:paraId="6BA47CE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-0.010</w:t>
            </w:r>
          </w:p>
        </w:tc>
      </w:tr>
      <w:tr w:rsidR="00C337E6" w:rsidRPr="00C337E6" w14:paraId="5473202B" w14:textId="77777777" w:rsidTr="007D051D">
        <w:trPr>
          <w:trHeight w:val="258"/>
          <w:jc w:val="center"/>
        </w:trPr>
        <w:tc>
          <w:tcPr>
            <w:tcW w:w="3166" w:type="dxa"/>
            <w:tcBorders>
              <w:left w:val="nil"/>
              <w:right w:val="nil"/>
            </w:tcBorders>
            <w:shd w:val="clear" w:color="auto" w:fill="auto"/>
            <w:noWrap/>
            <w:vAlign w:val="bottom"/>
            <w:hideMark/>
          </w:tcPr>
          <w:p w14:paraId="291853AB"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House Owner with Mortgage</w:t>
            </w:r>
          </w:p>
        </w:tc>
        <w:tc>
          <w:tcPr>
            <w:tcW w:w="1078" w:type="dxa"/>
            <w:tcBorders>
              <w:left w:val="nil"/>
              <w:right w:val="nil"/>
            </w:tcBorders>
            <w:shd w:val="clear" w:color="auto" w:fill="auto"/>
            <w:noWrap/>
            <w:vAlign w:val="bottom"/>
            <w:hideMark/>
          </w:tcPr>
          <w:p w14:paraId="254E81DE"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-0.046</w:t>
            </w:r>
          </w:p>
        </w:tc>
        <w:tc>
          <w:tcPr>
            <w:tcW w:w="1079" w:type="dxa"/>
            <w:tcBorders>
              <w:left w:val="nil"/>
            </w:tcBorders>
            <w:shd w:val="clear" w:color="auto" w:fill="auto"/>
            <w:noWrap/>
            <w:vAlign w:val="bottom"/>
            <w:hideMark/>
          </w:tcPr>
          <w:p w14:paraId="4FD8E4B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-0.046</w:t>
            </w:r>
          </w:p>
        </w:tc>
        <w:tc>
          <w:tcPr>
            <w:tcW w:w="1079" w:type="dxa"/>
            <w:vAlign w:val="bottom"/>
          </w:tcPr>
          <w:p w14:paraId="4ECAE36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0.117</w:t>
            </w:r>
          </w:p>
        </w:tc>
        <w:tc>
          <w:tcPr>
            <w:tcW w:w="1079" w:type="dxa"/>
            <w:vAlign w:val="bottom"/>
          </w:tcPr>
          <w:p w14:paraId="58828C4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0.116</w:t>
            </w:r>
          </w:p>
        </w:tc>
        <w:tc>
          <w:tcPr>
            <w:tcW w:w="1079" w:type="dxa"/>
            <w:vAlign w:val="bottom"/>
          </w:tcPr>
          <w:p w14:paraId="234B8F6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-0.051</w:t>
            </w:r>
          </w:p>
        </w:tc>
        <w:tc>
          <w:tcPr>
            <w:tcW w:w="1079" w:type="dxa"/>
            <w:vAlign w:val="bottom"/>
          </w:tcPr>
          <w:p w14:paraId="24C92A9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-0.050</w:t>
            </w:r>
          </w:p>
        </w:tc>
      </w:tr>
      <w:tr w:rsidR="00C337E6" w:rsidRPr="00C337E6" w14:paraId="127E4814" w14:textId="77777777" w:rsidTr="007D051D">
        <w:trPr>
          <w:trHeight w:val="258"/>
          <w:jc w:val="center"/>
        </w:trPr>
        <w:tc>
          <w:tcPr>
            <w:tcW w:w="3166" w:type="dxa"/>
            <w:tcBorders>
              <w:left w:val="nil"/>
              <w:right w:val="nil"/>
            </w:tcBorders>
            <w:shd w:val="clear" w:color="auto" w:fill="auto"/>
            <w:noWrap/>
            <w:vAlign w:val="bottom"/>
            <w:hideMark/>
          </w:tcPr>
          <w:p w14:paraId="5FA5F87F" w14:textId="77777777" w:rsidR="00C337E6" w:rsidRPr="00C337E6" w:rsidRDefault="00C337E6" w:rsidP="00C337E6">
            <w:pPr>
              <w:spacing w:after="0" w:line="240" w:lineRule="auto"/>
              <w:ind w:firstLine="284"/>
              <w:rPr>
                <w:rFonts w:ascii="Times New Roman" w:eastAsia="Times New Roman" w:hAnsi="Times New Roman" w:cs="Times New Roman"/>
                <w:i/>
                <w:sz w:val="18"/>
                <w:szCs w:val="18"/>
              </w:rPr>
            </w:pPr>
            <w:r w:rsidRPr="00C337E6">
              <w:rPr>
                <w:rFonts w:ascii="Times New Roman" w:eastAsia="Times New Roman" w:hAnsi="Times New Roman" w:cs="Times New Roman"/>
                <w:i/>
                <w:sz w:val="18"/>
                <w:szCs w:val="18"/>
              </w:rPr>
              <w:t>Rented House</w:t>
            </w:r>
          </w:p>
        </w:tc>
        <w:tc>
          <w:tcPr>
            <w:tcW w:w="1078" w:type="dxa"/>
            <w:tcBorders>
              <w:left w:val="nil"/>
              <w:right w:val="nil"/>
            </w:tcBorders>
            <w:shd w:val="clear" w:color="auto" w:fill="auto"/>
            <w:noWrap/>
            <w:vAlign w:val="bottom"/>
            <w:hideMark/>
          </w:tcPr>
          <w:p w14:paraId="7D3B0908"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0.010</w:t>
            </w:r>
          </w:p>
        </w:tc>
        <w:tc>
          <w:tcPr>
            <w:tcW w:w="1079" w:type="dxa"/>
            <w:tcBorders>
              <w:left w:val="nil"/>
            </w:tcBorders>
            <w:shd w:val="clear" w:color="auto" w:fill="auto"/>
            <w:noWrap/>
            <w:vAlign w:val="bottom"/>
            <w:hideMark/>
          </w:tcPr>
          <w:p w14:paraId="5CD6837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0.013</w:t>
            </w:r>
          </w:p>
        </w:tc>
        <w:tc>
          <w:tcPr>
            <w:tcW w:w="1079" w:type="dxa"/>
            <w:vAlign w:val="bottom"/>
          </w:tcPr>
          <w:p w14:paraId="2C7F884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0.172</w:t>
            </w:r>
          </w:p>
        </w:tc>
        <w:tc>
          <w:tcPr>
            <w:tcW w:w="1079" w:type="dxa"/>
            <w:vAlign w:val="bottom"/>
          </w:tcPr>
          <w:p w14:paraId="339B461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0.171</w:t>
            </w:r>
          </w:p>
        </w:tc>
        <w:tc>
          <w:tcPr>
            <w:tcW w:w="1079" w:type="dxa"/>
            <w:vAlign w:val="bottom"/>
          </w:tcPr>
          <w:p w14:paraId="66DD7CD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-0.038</w:t>
            </w:r>
          </w:p>
        </w:tc>
        <w:tc>
          <w:tcPr>
            <w:tcW w:w="1079" w:type="dxa"/>
            <w:vAlign w:val="bottom"/>
          </w:tcPr>
          <w:p w14:paraId="5A0BD1D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-0.037</w:t>
            </w:r>
          </w:p>
        </w:tc>
      </w:tr>
      <w:tr w:rsidR="00C337E6" w:rsidRPr="00C337E6" w14:paraId="30B2654D" w14:textId="77777777" w:rsidTr="007D051D">
        <w:trPr>
          <w:trHeight w:val="258"/>
          <w:jc w:val="center"/>
        </w:trPr>
        <w:tc>
          <w:tcPr>
            <w:tcW w:w="3166" w:type="dxa"/>
            <w:tcBorders>
              <w:left w:val="nil"/>
              <w:right w:val="nil"/>
            </w:tcBorders>
            <w:shd w:val="clear" w:color="auto" w:fill="auto"/>
            <w:noWrap/>
            <w:vAlign w:val="bottom"/>
          </w:tcPr>
          <w:p w14:paraId="119FDD5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8" w:type="dxa"/>
            <w:tcBorders>
              <w:left w:val="nil"/>
              <w:right w:val="nil"/>
            </w:tcBorders>
            <w:shd w:val="clear" w:color="auto" w:fill="auto"/>
            <w:noWrap/>
            <w:vAlign w:val="bottom"/>
          </w:tcPr>
          <w:p w14:paraId="3CFC182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left w:val="nil"/>
            </w:tcBorders>
            <w:shd w:val="clear" w:color="auto" w:fill="auto"/>
            <w:noWrap/>
            <w:vAlign w:val="bottom"/>
          </w:tcPr>
          <w:p w14:paraId="2E380C3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bottom"/>
          </w:tcPr>
          <w:p w14:paraId="3739E869"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bottom"/>
          </w:tcPr>
          <w:p w14:paraId="4395C7B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Pr>
          <w:p w14:paraId="641C24A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Pr>
          <w:p w14:paraId="26B60A35"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r>
      <w:tr w:rsidR="00C337E6" w:rsidRPr="00C337E6" w14:paraId="09E8458C" w14:textId="77777777" w:rsidTr="007D051D">
        <w:trPr>
          <w:trHeight w:val="258"/>
          <w:jc w:val="center"/>
        </w:trPr>
        <w:tc>
          <w:tcPr>
            <w:tcW w:w="3166" w:type="dxa"/>
            <w:tcBorders>
              <w:left w:val="nil"/>
              <w:right w:val="nil"/>
            </w:tcBorders>
            <w:shd w:val="clear" w:color="auto" w:fill="auto"/>
            <w:noWrap/>
            <w:vAlign w:val="bottom"/>
          </w:tcPr>
          <w:p w14:paraId="46E510D7"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Local authority fixed effects</w:t>
            </w:r>
          </w:p>
        </w:tc>
        <w:tc>
          <w:tcPr>
            <w:tcW w:w="1078" w:type="dxa"/>
            <w:tcBorders>
              <w:left w:val="nil"/>
              <w:right w:val="nil"/>
            </w:tcBorders>
            <w:shd w:val="clear" w:color="auto" w:fill="auto"/>
            <w:noWrap/>
            <w:vAlign w:val="bottom"/>
          </w:tcPr>
          <w:p w14:paraId="5CC3E81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tcBorders>
              <w:left w:val="nil"/>
            </w:tcBorders>
            <w:shd w:val="clear" w:color="auto" w:fill="auto"/>
            <w:noWrap/>
            <w:vAlign w:val="bottom"/>
          </w:tcPr>
          <w:p w14:paraId="62AB87F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698C88E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4F6D65F4"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32ED1F8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4DDF485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53D8F77D" w14:textId="77777777" w:rsidTr="007D051D">
        <w:trPr>
          <w:trHeight w:val="258"/>
          <w:jc w:val="center"/>
        </w:trPr>
        <w:tc>
          <w:tcPr>
            <w:tcW w:w="3166" w:type="dxa"/>
            <w:tcBorders>
              <w:left w:val="nil"/>
              <w:right w:val="nil"/>
            </w:tcBorders>
            <w:shd w:val="clear" w:color="auto" w:fill="auto"/>
            <w:noWrap/>
            <w:vAlign w:val="bottom"/>
          </w:tcPr>
          <w:p w14:paraId="2EC0C7F4"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Individual fixed effects</w:t>
            </w:r>
          </w:p>
        </w:tc>
        <w:tc>
          <w:tcPr>
            <w:tcW w:w="1078" w:type="dxa"/>
            <w:tcBorders>
              <w:left w:val="nil"/>
              <w:right w:val="nil"/>
            </w:tcBorders>
            <w:shd w:val="clear" w:color="auto" w:fill="auto"/>
            <w:noWrap/>
            <w:vAlign w:val="bottom"/>
          </w:tcPr>
          <w:p w14:paraId="34C3A90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tcBorders>
              <w:left w:val="nil"/>
            </w:tcBorders>
            <w:shd w:val="clear" w:color="auto" w:fill="auto"/>
            <w:noWrap/>
            <w:vAlign w:val="bottom"/>
          </w:tcPr>
          <w:p w14:paraId="5138D6D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0C962F9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78ACDD5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1AB44DDD"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121BE97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2E5B702E" w14:textId="77777777" w:rsidTr="007D051D">
        <w:trPr>
          <w:trHeight w:val="258"/>
          <w:jc w:val="center"/>
        </w:trPr>
        <w:tc>
          <w:tcPr>
            <w:tcW w:w="3166" w:type="dxa"/>
            <w:tcBorders>
              <w:left w:val="nil"/>
              <w:right w:val="nil"/>
            </w:tcBorders>
            <w:shd w:val="clear" w:color="auto" w:fill="auto"/>
            <w:noWrap/>
            <w:vAlign w:val="bottom"/>
          </w:tcPr>
          <w:p w14:paraId="459B4E27"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Year fixed effects</w:t>
            </w:r>
          </w:p>
        </w:tc>
        <w:tc>
          <w:tcPr>
            <w:tcW w:w="1078" w:type="dxa"/>
            <w:tcBorders>
              <w:left w:val="nil"/>
              <w:right w:val="nil"/>
            </w:tcBorders>
            <w:shd w:val="clear" w:color="auto" w:fill="auto"/>
            <w:noWrap/>
            <w:vAlign w:val="bottom"/>
          </w:tcPr>
          <w:p w14:paraId="7211FC8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tcBorders>
              <w:left w:val="nil"/>
            </w:tcBorders>
            <w:shd w:val="clear" w:color="auto" w:fill="auto"/>
            <w:noWrap/>
            <w:vAlign w:val="bottom"/>
          </w:tcPr>
          <w:p w14:paraId="37123A3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514F073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5FD5E47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2BAB58C4"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1079" w:type="dxa"/>
            <w:vAlign w:val="bottom"/>
          </w:tcPr>
          <w:p w14:paraId="67792A5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08B8B8E4" w14:textId="77777777" w:rsidTr="007D051D">
        <w:trPr>
          <w:trHeight w:val="258"/>
          <w:jc w:val="center"/>
        </w:trPr>
        <w:tc>
          <w:tcPr>
            <w:tcW w:w="3166" w:type="dxa"/>
            <w:tcBorders>
              <w:top w:val="nil"/>
              <w:left w:val="nil"/>
              <w:right w:val="nil"/>
            </w:tcBorders>
            <w:shd w:val="clear" w:color="auto" w:fill="auto"/>
            <w:noWrap/>
            <w:vAlign w:val="bottom"/>
          </w:tcPr>
          <w:p w14:paraId="04EB5D3F" w14:textId="77777777" w:rsidR="00C337E6" w:rsidRPr="00C337E6" w:rsidRDefault="00C337E6" w:rsidP="00C337E6">
            <w:pPr>
              <w:spacing w:after="0" w:line="240" w:lineRule="auto"/>
              <w:rPr>
                <w:rFonts w:ascii="Times New Roman" w:eastAsia="Times New Roman" w:hAnsi="Times New Roman" w:cs="Times New Roman"/>
                <w:sz w:val="18"/>
                <w:szCs w:val="18"/>
              </w:rPr>
            </w:pPr>
          </w:p>
        </w:tc>
        <w:tc>
          <w:tcPr>
            <w:tcW w:w="1078" w:type="dxa"/>
            <w:tcBorders>
              <w:top w:val="nil"/>
              <w:left w:val="nil"/>
              <w:right w:val="nil"/>
            </w:tcBorders>
            <w:shd w:val="clear" w:color="auto" w:fill="auto"/>
            <w:noWrap/>
            <w:vAlign w:val="bottom"/>
          </w:tcPr>
          <w:p w14:paraId="5464E6C5"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tcBorders>
              <w:top w:val="nil"/>
              <w:left w:val="nil"/>
            </w:tcBorders>
            <w:shd w:val="clear" w:color="auto" w:fill="auto"/>
            <w:noWrap/>
            <w:vAlign w:val="bottom"/>
          </w:tcPr>
          <w:p w14:paraId="3DF5E5D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bottom"/>
          </w:tcPr>
          <w:p w14:paraId="1D7F2D84"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1079" w:type="dxa"/>
            <w:vAlign w:val="bottom"/>
          </w:tcPr>
          <w:p w14:paraId="3301F493"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1079" w:type="dxa"/>
            <w:vAlign w:val="bottom"/>
          </w:tcPr>
          <w:p w14:paraId="6D107A2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1079" w:type="dxa"/>
            <w:vAlign w:val="bottom"/>
          </w:tcPr>
          <w:p w14:paraId="2C2B005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r>
      <w:tr w:rsidR="00C337E6" w:rsidRPr="00C337E6" w14:paraId="400A7228" w14:textId="77777777" w:rsidTr="007D051D">
        <w:trPr>
          <w:trHeight w:val="258"/>
          <w:jc w:val="center"/>
        </w:trPr>
        <w:tc>
          <w:tcPr>
            <w:tcW w:w="3166" w:type="dxa"/>
            <w:tcBorders>
              <w:left w:val="nil"/>
              <w:bottom w:val="nil"/>
              <w:right w:val="nil"/>
            </w:tcBorders>
            <w:shd w:val="clear" w:color="auto" w:fill="auto"/>
            <w:noWrap/>
            <w:vAlign w:val="bottom"/>
            <w:hideMark/>
          </w:tcPr>
          <w:p w14:paraId="3199A78B"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Observations</w:t>
            </w:r>
          </w:p>
        </w:tc>
        <w:tc>
          <w:tcPr>
            <w:tcW w:w="1078" w:type="dxa"/>
            <w:tcBorders>
              <w:left w:val="nil"/>
              <w:bottom w:val="nil"/>
              <w:right w:val="nil"/>
            </w:tcBorders>
            <w:shd w:val="clear" w:color="auto" w:fill="auto"/>
            <w:noWrap/>
            <w:vAlign w:val="center"/>
            <w:hideMark/>
          </w:tcPr>
          <w:p w14:paraId="6EBD597C"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30,448</w:t>
            </w:r>
          </w:p>
        </w:tc>
        <w:tc>
          <w:tcPr>
            <w:tcW w:w="1079" w:type="dxa"/>
            <w:tcBorders>
              <w:left w:val="nil"/>
              <w:bottom w:val="nil"/>
            </w:tcBorders>
            <w:shd w:val="clear" w:color="auto" w:fill="auto"/>
            <w:noWrap/>
            <w:vAlign w:val="center"/>
            <w:hideMark/>
          </w:tcPr>
          <w:p w14:paraId="711EC9A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30,448</w:t>
            </w:r>
          </w:p>
        </w:tc>
        <w:tc>
          <w:tcPr>
            <w:tcW w:w="1079" w:type="dxa"/>
            <w:vAlign w:val="center"/>
          </w:tcPr>
          <w:p w14:paraId="452B032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12,441</w:t>
            </w:r>
          </w:p>
        </w:tc>
        <w:tc>
          <w:tcPr>
            <w:tcW w:w="1079" w:type="dxa"/>
            <w:vAlign w:val="center"/>
          </w:tcPr>
          <w:p w14:paraId="1E25CAC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12,441</w:t>
            </w:r>
          </w:p>
        </w:tc>
        <w:tc>
          <w:tcPr>
            <w:tcW w:w="1079" w:type="dxa"/>
            <w:vAlign w:val="center"/>
          </w:tcPr>
          <w:p w14:paraId="2AE0668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18,007</w:t>
            </w:r>
          </w:p>
        </w:tc>
        <w:tc>
          <w:tcPr>
            <w:tcW w:w="1079" w:type="dxa"/>
            <w:vAlign w:val="center"/>
          </w:tcPr>
          <w:p w14:paraId="7DC9C152"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18,007</w:t>
            </w:r>
          </w:p>
        </w:tc>
      </w:tr>
      <w:tr w:rsidR="00C337E6" w:rsidRPr="00C337E6" w14:paraId="5140C056" w14:textId="77777777" w:rsidTr="007D051D">
        <w:trPr>
          <w:trHeight w:val="258"/>
          <w:jc w:val="center"/>
        </w:trPr>
        <w:tc>
          <w:tcPr>
            <w:tcW w:w="3166" w:type="dxa"/>
            <w:tcBorders>
              <w:top w:val="nil"/>
              <w:left w:val="nil"/>
              <w:bottom w:val="nil"/>
              <w:right w:val="nil"/>
            </w:tcBorders>
            <w:shd w:val="clear" w:color="auto" w:fill="auto"/>
            <w:noWrap/>
            <w:vAlign w:val="bottom"/>
            <w:hideMark/>
          </w:tcPr>
          <w:p w14:paraId="6BCA3CAC"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Number of persons</w:t>
            </w:r>
          </w:p>
        </w:tc>
        <w:tc>
          <w:tcPr>
            <w:tcW w:w="1078" w:type="dxa"/>
            <w:tcBorders>
              <w:top w:val="nil"/>
              <w:left w:val="nil"/>
              <w:bottom w:val="nil"/>
              <w:right w:val="nil"/>
            </w:tcBorders>
            <w:shd w:val="clear" w:color="auto" w:fill="auto"/>
            <w:noWrap/>
            <w:vAlign w:val="center"/>
            <w:hideMark/>
          </w:tcPr>
          <w:p w14:paraId="48869203"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8,252</w:t>
            </w:r>
          </w:p>
        </w:tc>
        <w:tc>
          <w:tcPr>
            <w:tcW w:w="1079" w:type="dxa"/>
            <w:tcBorders>
              <w:top w:val="nil"/>
              <w:left w:val="nil"/>
              <w:bottom w:val="nil"/>
            </w:tcBorders>
            <w:shd w:val="clear" w:color="auto" w:fill="auto"/>
            <w:noWrap/>
            <w:vAlign w:val="center"/>
            <w:hideMark/>
          </w:tcPr>
          <w:p w14:paraId="6D9C5CE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8,252</w:t>
            </w:r>
          </w:p>
        </w:tc>
        <w:tc>
          <w:tcPr>
            <w:tcW w:w="1079" w:type="dxa"/>
            <w:vAlign w:val="center"/>
          </w:tcPr>
          <w:p w14:paraId="22A5AFCA"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7,280</w:t>
            </w:r>
          </w:p>
        </w:tc>
        <w:tc>
          <w:tcPr>
            <w:tcW w:w="1079" w:type="dxa"/>
            <w:vAlign w:val="center"/>
          </w:tcPr>
          <w:p w14:paraId="49559B2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7,280</w:t>
            </w:r>
          </w:p>
        </w:tc>
        <w:tc>
          <w:tcPr>
            <w:tcW w:w="1079" w:type="dxa"/>
            <w:vAlign w:val="center"/>
          </w:tcPr>
          <w:p w14:paraId="742DAE3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7,026</w:t>
            </w:r>
          </w:p>
        </w:tc>
        <w:tc>
          <w:tcPr>
            <w:tcW w:w="1079" w:type="dxa"/>
            <w:vAlign w:val="center"/>
          </w:tcPr>
          <w:p w14:paraId="17812A4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7,026</w:t>
            </w:r>
          </w:p>
        </w:tc>
      </w:tr>
      <w:tr w:rsidR="00C337E6" w:rsidRPr="00C337E6" w14:paraId="196050AC" w14:textId="77777777" w:rsidTr="007D051D">
        <w:trPr>
          <w:trHeight w:val="258"/>
          <w:jc w:val="center"/>
        </w:trPr>
        <w:tc>
          <w:tcPr>
            <w:tcW w:w="3166" w:type="dxa"/>
            <w:tcBorders>
              <w:top w:val="nil"/>
              <w:left w:val="nil"/>
              <w:bottom w:val="nil"/>
              <w:right w:val="nil"/>
            </w:tcBorders>
            <w:shd w:val="clear" w:color="auto" w:fill="auto"/>
            <w:noWrap/>
            <w:vAlign w:val="bottom"/>
            <w:hideMark/>
          </w:tcPr>
          <w:p w14:paraId="3C1F8074" w14:textId="010092AA" w:rsidR="00C337E6" w:rsidRPr="00C337E6" w:rsidRDefault="00C337E6" w:rsidP="00FD462A">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xml:space="preserve">R-squared </w:t>
            </w:r>
          </w:p>
        </w:tc>
        <w:tc>
          <w:tcPr>
            <w:tcW w:w="1078" w:type="dxa"/>
            <w:tcBorders>
              <w:top w:val="nil"/>
              <w:left w:val="nil"/>
              <w:bottom w:val="nil"/>
              <w:right w:val="nil"/>
            </w:tcBorders>
            <w:shd w:val="clear" w:color="auto" w:fill="auto"/>
            <w:noWrap/>
            <w:vAlign w:val="center"/>
            <w:hideMark/>
          </w:tcPr>
          <w:p w14:paraId="1F8FBA7C"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0.044</w:t>
            </w:r>
          </w:p>
        </w:tc>
        <w:tc>
          <w:tcPr>
            <w:tcW w:w="1079" w:type="dxa"/>
            <w:tcBorders>
              <w:top w:val="nil"/>
              <w:left w:val="nil"/>
            </w:tcBorders>
            <w:shd w:val="clear" w:color="auto" w:fill="auto"/>
            <w:noWrap/>
            <w:vAlign w:val="center"/>
            <w:hideMark/>
          </w:tcPr>
          <w:p w14:paraId="67F1E07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0.044</w:t>
            </w:r>
          </w:p>
        </w:tc>
        <w:tc>
          <w:tcPr>
            <w:tcW w:w="1079" w:type="dxa"/>
            <w:vAlign w:val="center"/>
          </w:tcPr>
          <w:p w14:paraId="453C2E2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0.072</w:t>
            </w:r>
          </w:p>
        </w:tc>
        <w:tc>
          <w:tcPr>
            <w:tcW w:w="1079" w:type="dxa"/>
            <w:vAlign w:val="center"/>
          </w:tcPr>
          <w:p w14:paraId="30C2BB7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0.073</w:t>
            </w:r>
          </w:p>
        </w:tc>
        <w:tc>
          <w:tcPr>
            <w:tcW w:w="1079" w:type="dxa"/>
            <w:vAlign w:val="center"/>
          </w:tcPr>
          <w:p w14:paraId="399DF03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0.040</w:t>
            </w:r>
          </w:p>
        </w:tc>
        <w:tc>
          <w:tcPr>
            <w:tcW w:w="1079" w:type="dxa"/>
            <w:vAlign w:val="center"/>
          </w:tcPr>
          <w:p w14:paraId="7B16163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0.040</w:t>
            </w:r>
          </w:p>
        </w:tc>
      </w:tr>
      <w:tr w:rsidR="00C337E6" w:rsidRPr="00C337E6" w14:paraId="3B5801DE" w14:textId="77777777" w:rsidTr="007D051D">
        <w:trPr>
          <w:trHeight w:val="258"/>
          <w:jc w:val="center"/>
        </w:trPr>
        <w:tc>
          <w:tcPr>
            <w:tcW w:w="9639" w:type="dxa"/>
            <w:gridSpan w:val="7"/>
            <w:tcBorders>
              <w:top w:val="single" w:sz="4" w:space="0" w:color="auto"/>
              <w:left w:val="nil"/>
            </w:tcBorders>
            <w:shd w:val="clear" w:color="auto" w:fill="auto"/>
            <w:noWrap/>
            <w:vAlign w:val="bottom"/>
          </w:tcPr>
          <w:p w14:paraId="1F038B9C" w14:textId="77777777" w:rsidR="00C337E6" w:rsidRPr="00C337E6" w:rsidRDefault="00C337E6" w:rsidP="00C337E6">
            <w:pPr>
              <w:spacing w:after="0" w:line="240" w:lineRule="auto"/>
              <w:jc w:val="both"/>
              <w:rPr>
                <w:rFonts w:ascii="Times New Roman" w:hAnsi="Times New Roman" w:cs="Times New Roman"/>
                <w:sz w:val="18"/>
                <w:szCs w:val="18"/>
              </w:rPr>
            </w:pPr>
          </w:p>
          <w:p w14:paraId="660FB131" w14:textId="77777777" w:rsidR="00C337E6" w:rsidRPr="00C337E6" w:rsidRDefault="00C337E6" w:rsidP="00C337E6">
            <w:pPr>
              <w:spacing w:after="0" w:line="240" w:lineRule="auto"/>
              <w:jc w:val="both"/>
              <w:rPr>
                <w:rFonts w:ascii="Times New Roman" w:hAnsi="Times New Roman" w:cs="Times New Roman"/>
                <w:sz w:val="18"/>
                <w:szCs w:val="18"/>
              </w:rPr>
            </w:pPr>
            <w:r w:rsidRPr="00C337E6">
              <w:rPr>
                <w:rFonts w:ascii="Times New Roman" w:hAnsi="Times New Roman" w:cs="Times New Roman"/>
                <w:sz w:val="18"/>
                <w:szCs w:val="18"/>
              </w:rPr>
              <w:t xml:space="preserve">Source: BHPS 2003-2008 and authors’ calculations. </w:t>
            </w:r>
          </w:p>
          <w:p w14:paraId="030D969F" w14:textId="77777777" w:rsidR="00C337E6" w:rsidRPr="00C337E6" w:rsidRDefault="00C337E6" w:rsidP="00C337E6">
            <w:pPr>
              <w:spacing w:after="0" w:line="240" w:lineRule="auto"/>
              <w:jc w:val="both"/>
              <w:rPr>
                <w:rFonts w:ascii="Times New Roman" w:hAnsi="Times New Roman" w:cs="Times New Roman"/>
                <w:sz w:val="18"/>
              </w:rPr>
            </w:pPr>
            <w:r w:rsidRPr="00C337E6">
              <w:rPr>
                <w:rFonts w:ascii="Times New Roman" w:hAnsi="Times New Roman" w:cs="Times New Roman"/>
                <w:sz w:val="18"/>
                <w:szCs w:val="18"/>
              </w:rPr>
              <w:t>Notes: *** Significant at 0.01, ** at 0.05, * at 0.1. Standard errors (not reported) clustered at the individual level</w:t>
            </w:r>
            <w:r w:rsidRPr="00C337E6">
              <w:rPr>
                <w:rFonts w:ascii="Times New Roman" w:hAnsi="Times New Roman" w:cs="Times New Roman"/>
                <w:sz w:val="20"/>
              </w:rPr>
              <w:t xml:space="preserve">. </w:t>
            </w:r>
            <w:r w:rsidRPr="00C337E6">
              <w:rPr>
                <w:rFonts w:ascii="Times New Roman" w:hAnsi="Times New Roman" w:cs="Times New Roman"/>
                <w:sz w:val="18"/>
              </w:rPr>
              <w:t>Full econometric output is available in the supplementary information document.</w:t>
            </w:r>
          </w:p>
        </w:tc>
      </w:tr>
    </w:tbl>
    <w:p w14:paraId="3A4C6CA8" w14:textId="77777777" w:rsidR="00C337E6" w:rsidRPr="00C337E6" w:rsidRDefault="00C337E6" w:rsidP="00C337E6"/>
    <w:p w14:paraId="42DAC5DB" w14:textId="77777777" w:rsidR="0050191E" w:rsidRDefault="0050191E">
      <w:r>
        <w:br w:type="page"/>
      </w:r>
    </w:p>
    <w:p w14:paraId="5F4C5CF6" w14:textId="155A4376" w:rsidR="00C337E6" w:rsidRPr="00C337E6" w:rsidRDefault="00C337E6" w:rsidP="00C337E6">
      <w:pPr>
        <w:spacing w:after="0" w:line="240" w:lineRule="auto"/>
        <w:rPr>
          <w:rFonts w:ascii="Times New Roman" w:eastAsia="Times New Roman" w:hAnsi="Times New Roman" w:cs="Times New Roman"/>
          <w:b/>
          <w:sz w:val="24"/>
        </w:rPr>
      </w:pPr>
      <w:r w:rsidRPr="00C337E6">
        <w:rPr>
          <w:rFonts w:ascii="Times New Roman" w:eastAsia="Times New Roman" w:hAnsi="Times New Roman" w:cs="Times New Roman"/>
          <w:b/>
          <w:sz w:val="24"/>
        </w:rPr>
        <w:t xml:space="preserve">Table 2. </w:t>
      </w:r>
      <w:r w:rsidRPr="00C337E6">
        <w:rPr>
          <w:rFonts w:ascii="Times New Roman" w:hAnsi="Times New Roman" w:cs="Times New Roman"/>
          <w:b/>
          <w:sz w:val="24"/>
          <w:szCs w:val="24"/>
        </w:rPr>
        <w:t xml:space="preserve">Migrant inflows and life satisfaction, </w:t>
      </w:r>
      <w:r w:rsidRPr="00C337E6">
        <w:rPr>
          <w:rFonts w:ascii="Times New Roman" w:hAnsi="Times New Roman" w:cs="Times New Roman"/>
          <w:b/>
          <w:sz w:val="24"/>
          <w:szCs w:val="24"/>
          <w:lang w:val="en-GB"/>
        </w:rPr>
        <w:t xml:space="preserve">with interaction terms, </w:t>
      </w:r>
      <w:r w:rsidRPr="00C337E6">
        <w:rPr>
          <w:rFonts w:ascii="Times New Roman" w:hAnsi="Times New Roman" w:cs="Times New Roman"/>
          <w:b/>
          <w:sz w:val="24"/>
          <w:szCs w:val="24"/>
        </w:rPr>
        <w:t>OLS fixed effects estimates</w:t>
      </w:r>
    </w:p>
    <w:p w14:paraId="0F974155" w14:textId="77777777" w:rsidR="00C337E6" w:rsidRPr="00C337E6" w:rsidRDefault="00C337E6" w:rsidP="00C337E6">
      <w:pPr>
        <w:spacing w:after="0" w:line="240" w:lineRule="auto"/>
        <w:rPr>
          <w:rFonts w:ascii="Times New Roman" w:eastAsia="Times New Roman" w:hAnsi="Times New Roman" w:cs="Times New Roman"/>
          <w:b/>
          <w:sz w:val="24"/>
        </w:rPr>
      </w:pPr>
    </w:p>
    <w:tbl>
      <w:tblPr>
        <w:tblW w:w="4980" w:type="pct"/>
        <w:jc w:val="center"/>
        <w:tblLook w:val="04A0" w:firstRow="1" w:lastRow="0" w:firstColumn="1" w:lastColumn="0" w:noHBand="0" w:noVBand="1"/>
      </w:tblPr>
      <w:tblGrid>
        <w:gridCol w:w="3300"/>
        <w:gridCol w:w="982"/>
        <w:gridCol w:w="892"/>
        <w:gridCol w:w="897"/>
        <w:gridCol w:w="966"/>
        <w:gridCol w:w="1043"/>
        <w:gridCol w:w="910"/>
      </w:tblGrid>
      <w:tr w:rsidR="00C337E6" w:rsidRPr="00C337E6" w14:paraId="0B94924F" w14:textId="77777777" w:rsidTr="007D051D">
        <w:trPr>
          <w:trHeight w:val="296"/>
          <w:jc w:val="center"/>
        </w:trPr>
        <w:tc>
          <w:tcPr>
            <w:tcW w:w="1835" w:type="pct"/>
            <w:tcBorders>
              <w:top w:val="single" w:sz="4" w:space="0" w:color="auto"/>
            </w:tcBorders>
            <w:shd w:val="clear" w:color="auto" w:fill="auto"/>
            <w:noWrap/>
            <w:vAlign w:val="bottom"/>
            <w:hideMark/>
          </w:tcPr>
          <w:p w14:paraId="38B205F0" w14:textId="77777777" w:rsidR="00C337E6" w:rsidRPr="00C337E6" w:rsidRDefault="00C337E6" w:rsidP="00C337E6">
            <w:pPr>
              <w:spacing w:after="0" w:line="240" w:lineRule="auto"/>
              <w:rPr>
                <w:rFonts w:ascii="Times New Roman" w:eastAsia="Times New Roman" w:hAnsi="Times New Roman" w:cs="Times New Roman"/>
                <w:b/>
                <w:sz w:val="18"/>
                <w:szCs w:val="18"/>
              </w:rPr>
            </w:pPr>
            <w:r w:rsidRPr="00C337E6">
              <w:rPr>
                <w:rFonts w:ascii="Times New Roman" w:eastAsia="Times New Roman" w:hAnsi="Times New Roman" w:cs="Times New Roman"/>
                <w:b/>
                <w:sz w:val="18"/>
                <w:szCs w:val="18"/>
              </w:rPr>
              <w:t> </w:t>
            </w:r>
          </w:p>
        </w:tc>
        <w:tc>
          <w:tcPr>
            <w:tcW w:w="1541" w:type="pct"/>
            <w:gridSpan w:val="3"/>
            <w:tcBorders>
              <w:top w:val="single" w:sz="4" w:space="0" w:color="auto"/>
              <w:bottom w:val="single" w:sz="4" w:space="0" w:color="auto"/>
            </w:tcBorders>
            <w:shd w:val="clear" w:color="auto" w:fill="auto"/>
            <w:noWrap/>
            <w:vAlign w:val="bottom"/>
            <w:hideMark/>
          </w:tcPr>
          <w:p w14:paraId="209A9A89" w14:textId="77777777" w:rsidR="00C337E6" w:rsidRPr="00C337E6" w:rsidRDefault="00C337E6" w:rsidP="00C337E6">
            <w:pPr>
              <w:numPr>
                <w:ilvl w:val="0"/>
                <w:numId w:val="17"/>
              </w:numPr>
              <w:spacing w:after="0" w:line="240" w:lineRule="auto"/>
              <w:contextualSpacing/>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Age</w:t>
            </w:r>
          </w:p>
        </w:tc>
        <w:tc>
          <w:tcPr>
            <w:tcW w:w="1623" w:type="pct"/>
            <w:gridSpan w:val="3"/>
            <w:tcBorders>
              <w:top w:val="single" w:sz="4" w:space="0" w:color="auto"/>
              <w:bottom w:val="single" w:sz="4" w:space="0" w:color="auto"/>
            </w:tcBorders>
            <w:shd w:val="clear" w:color="auto" w:fill="auto"/>
            <w:noWrap/>
            <w:vAlign w:val="bottom"/>
            <w:hideMark/>
          </w:tcPr>
          <w:p w14:paraId="66274525" w14:textId="77777777" w:rsidR="00C337E6" w:rsidRPr="00C337E6" w:rsidRDefault="00C337E6" w:rsidP="00C337E6">
            <w:pPr>
              <w:numPr>
                <w:ilvl w:val="0"/>
                <w:numId w:val="17"/>
              </w:numPr>
              <w:spacing w:after="0" w:line="240" w:lineRule="auto"/>
              <w:contextualSpacing/>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Employment status</w:t>
            </w:r>
          </w:p>
        </w:tc>
      </w:tr>
      <w:tr w:rsidR="00C337E6" w:rsidRPr="00C337E6" w14:paraId="68F5A017" w14:textId="77777777" w:rsidTr="007D051D">
        <w:trPr>
          <w:trHeight w:val="214"/>
          <w:jc w:val="center"/>
        </w:trPr>
        <w:tc>
          <w:tcPr>
            <w:tcW w:w="1835" w:type="pct"/>
            <w:shd w:val="clear" w:color="auto" w:fill="auto"/>
            <w:noWrap/>
            <w:vAlign w:val="center"/>
            <w:hideMark/>
          </w:tcPr>
          <w:p w14:paraId="5DBD8975" w14:textId="77777777" w:rsidR="00C337E6" w:rsidRPr="00C337E6" w:rsidRDefault="00C337E6" w:rsidP="00C337E6">
            <w:pPr>
              <w:spacing w:after="0" w:line="240" w:lineRule="auto"/>
              <w:jc w:val="center"/>
              <w:rPr>
                <w:rFonts w:ascii="Times New Roman" w:eastAsia="Times New Roman" w:hAnsi="Times New Roman" w:cs="Times New Roman"/>
                <w:b/>
                <w:sz w:val="18"/>
                <w:szCs w:val="18"/>
              </w:rPr>
            </w:pPr>
          </w:p>
        </w:tc>
        <w:tc>
          <w:tcPr>
            <w:tcW w:w="546" w:type="pct"/>
            <w:tcBorders>
              <w:top w:val="single" w:sz="4" w:space="0" w:color="auto"/>
              <w:bottom w:val="single" w:sz="4" w:space="0" w:color="auto"/>
            </w:tcBorders>
            <w:shd w:val="clear" w:color="auto" w:fill="auto"/>
            <w:noWrap/>
            <w:vAlign w:val="center"/>
            <w:hideMark/>
          </w:tcPr>
          <w:p w14:paraId="4B4F4683"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2003-08</w:t>
            </w:r>
          </w:p>
        </w:tc>
        <w:tc>
          <w:tcPr>
            <w:tcW w:w="496" w:type="pct"/>
            <w:tcBorders>
              <w:top w:val="single" w:sz="4" w:space="0" w:color="auto"/>
              <w:bottom w:val="single" w:sz="4" w:space="0" w:color="auto"/>
            </w:tcBorders>
            <w:vAlign w:val="center"/>
          </w:tcPr>
          <w:p w14:paraId="3B50F6D7"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2003-05</w:t>
            </w:r>
          </w:p>
        </w:tc>
        <w:tc>
          <w:tcPr>
            <w:tcW w:w="499" w:type="pct"/>
            <w:tcBorders>
              <w:top w:val="single" w:sz="4" w:space="0" w:color="auto"/>
              <w:bottom w:val="single" w:sz="4" w:space="0" w:color="auto"/>
            </w:tcBorders>
            <w:vAlign w:val="center"/>
          </w:tcPr>
          <w:p w14:paraId="2C1A7B7C"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2006-08</w:t>
            </w:r>
          </w:p>
        </w:tc>
        <w:tc>
          <w:tcPr>
            <w:tcW w:w="537" w:type="pct"/>
            <w:tcBorders>
              <w:top w:val="single" w:sz="4" w:space="0" w:color="auto"/>
              <w:bottom w:val="single" w:sz="4" w:space="0" w:color="auto"/>
            </w:tcBorders>
            <w:shd w:val="clear" w:color="auto" w:fill="auto"/>
            <w:noWrap/>
            <w:vAlign w:val="center"/>
          </w:tcPr>
          <w:p w14:paraId="0F0014AC"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2003-08</w:t>
            </w:r>
          </w:p>
        </w:tc>
        <w:tc>
          <w:tcPr>
            <w:tcW w:w="580" w:type="pct"/>
            <w:tcBorders>
              <w:top w:val="single" w:sz="4" w:space="0" w:color="auto"/>
              <w:bottom w:val="single" w:sz="4" w:space="0" w:color="auto"/>
            </w:tcBorders>
            <w:vAlign w:val="center"/>
          </w:tcPr>
          <w:p w14:paraId="1125CF0C"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2003-05</w:t>
            </w:r>
          </w:p>
        </w:tc>
        <w:tc>
          <w:tcPr>
            <w:tcW w:w="506" w:type="pct"/>
            <w:tcBorders>
              <w:top w:val="single" w:sz="4" w:space="0" w:color="auto"/>
              <w:bottom w:val="single" w:sz="4" w:space="0" w:color="auto"/>
            </w:tcBorders>
            <w:vAlign w:val="center"/>
          </w:tcPr>
          <w:p w14:paraId="7284BA8D"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2006-08</w:t>
            </w:r>
          </w:p>
        </w:tc>
      </w:tr>
      <w:tr w:rsidR="00C337E6" w:rsidRPr="00C337E6" w14:paraId="0D31E84A" w14:textId="77777777" w:rsidTr="007D051D">
        <w:trPr>
          <w:trHeight w:val="153"/>
          <w:jc w:val="center"/>
        </w:trPr>
        <w:tc>
          <w:tcPr>
            <w:tcW w:w="1835" w:type="pct"/>
            <w:tcBorders>
              <w:bottom w:val="single" w:sz="4" w:space="0" w:color="auto"/>
            </w:tcBorders>
            <w:shd w:val="clear" w:color="auto" w:fill="auto"/>
            <w:noWrap/>
          </w:tcPr>
          <w:p w14:paraId="320B8FB6" w14:textId="77777777" w:rsidR="00C337E6" w:rsidRPr="00C337E6" w:rsidRDefault="00C337E6" w:rsidP="00C337E6">
            <w:pPr>
              <w:spacing w:after="0" w:line="240" w:lineRule="auto"/>
              <w:jc w:val="center"/>
              <w:rPr>
                <w:rFonts w:ascii="Times New Roman" w:eastAsia="Times New Roman" w:hAnsi="Times New Roman" w:cs="Times New Roman"/>
                <w:b/>
                <w:sz w:val="18"/>
                <w:szCs w:val="18"/>
              </w:rPr>
            </w:pPr>
          </w:p>
        </w:tc>
        <w:tc>
          <w:tcPr>
            <w:tcW w:w="546" w:type="pct"/>
            <w:tcBorders>
              <w:top w:val="single" w:sz="4" w:space="0" w:color="auto"/>
              <w:bottom w:val="single" w:sz="4" w:space="0" w:color="auto"/>
            </w:tcBorders>
            <w:shd w:val="clear" w:color="auto" w:fill="auto"/>
            <w:noWrap/>
            <w:vAlign w:val="center"/>
          </w:tcPr>
          <w:p w14:paraId="00950E8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(1)</w:t>
            </w:r>
          </w:p>
        </w:tc>
        <w:tc>
          <w:tcPr>
            <w:tcW w:w="496" w:type="pct"/>
            <w:tcBorders>
              <w:top w:val="single" w:sz="4" w:space="0" w:color="auto"/>
              <w:bottom w:val="single" w:sz="4" w:space="0" w:color="auto"/>
            </w:tcBorders>
            <w:vAlign w:val="center"/>
          </w:tcPr>
          <w:p w14:paraId="715B7A4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(2)</w:t>
            </w:r>
          </w:p>
        </w:tc>
        <w:tc>
          <w:tcPr>
            <w:tcW w:w="499" w:type="pct"/>
            <w:tcBorders>
              <w:top w:val="single" w:sz="4" w:space="0" w:color="auto"/>
              <w:bottom w:val="single" w:sz="4" w:space="0" w:color="auto"/>
            </w:tcBorders>
            <w:vAlign w:val="center"/>
          </w:tcPr>
          <w:p w14:paraId="5D6FE8B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(3)</w:t>
            </w:r>
          </w:p>
        </w:tc>
        <w:tc>
          <w:tcPr>
            <w:tcW w:w="537" w:type="pct"/>
            <w:tcBorders>
              <w:top w:val="single" w:sz="4" w:space="0" w:color="auto"/>
              <w:bottom w:val="single" w:sz="4" w:space="0" w:color="auto"/>
            </w:tcBorders>
            <w:shd w:val="clear" w:color="auto" w:fill="auto"/>
            <w:noWrap/>
            <w:vAlign w:val="center"/>
          </w:tcPr>
          <w:p w14:paraId="293E91F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(4)</w:t>
            </w:r>
          </w:p>
        </w:tc>
        <w:tc>
          <w:tcPr>
            <w:tcW w:w="580" w:type="pct"/>
            <w:tcBorders>
              <w:top w:val="single" w:sz="4" w:space="0" w:color="auto"/>
              <w:bottom w:val="single" w:sz="4" w:space="0" w:color="auto"/>
            </w:tcBorders>
            <w:vAlign w:val="center"/>
          </w:tcPr>
          <w:p w14:paraId="6072650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(5)</w:t>
            </w:r>
          </w:p>
        </w:tc>
        <w:tc>
          <w:tcPr>
            <w:tcW w:w="506" w:type="pct"/>
            <w:tcBorders>
              <w:top w:val="single" w:sz="4" w:space="0" w:color="auto"/>
              <w:bottom w:val="single" w:sz="4" w:space="0" w:color="auto"/>
            </w:tcBorders>
            <w:vAlign w:val="center"/>
          </w:tcPr>
          <w:p w14:paraId="1F9AB58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(6)</w:t>
            </w:r>
          </w:p>
        </w:tc>
      </w:tr>
      <w:tr w:rsidR="00C337E6" w:rsidRPr="00C337E6" w14:paraId="125986A5" w14:textId="77777777" w:rsidTr="007D051D">
        <w:trPr>
          <w:trHeight w:val="258"/>
          <w:jc w:val="center"/>
        </w:trPr>
        <w:tc>
          <w:tcPr>
            <w:tcW w:w="1835" w:type="pct"/>
            <w:tcBorders>
              <w:top w:val="single" w:sz="4" w:space="0" w:color="auto"/>
            </w:tcBorders>
            <w:shd w:val="clear" w:color="auto" w:fill="auto"/>
            <w:noWrap/>
            <w:vAlign w:val="bottom"/>
            <w:hideMark/>
          </w:tcPr>
          <w:p w14:paraId="4EA90ADD"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w:t>
            </w:r>
          </w:p>
        </w:tc>
        <w:tc>
          <w:tcPr>
            <w:tcW w:w="546" w:type="pct"/>
            <w:tcBorders>
              <w:top w:val="single" w:sz="4" w:space="0" w:color="auto"/>
            </w:tcBorders>
            <w:shd w:val="clear" w:color="auto" w:fill="auto"/>
            <w:noWrap/>
            <w:vAlign w:val="bottom"/>
            <w:hideMark/>
          </w:tcPr>
          <w:p w14:paraId="4612B20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w:t>
            </w:r>
          </w:p>
        </w:tc>
        <w:tc>
          <w:tcPr>
            <w:tcW w:w="496" w:type="pct"/>
            <w:tcBorders>
              <w:top w:val="single" w:sz="4" w:space="0" w:color="auto"/>
            </w:tcBorders>
          </w:tcPr>
          <w:p w14:paraId="5644860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499" w:type="pct"/>
            <w:tcBorders>
              <w:top w:val="single" w:sz="4" w:space="0" w:color="auto"/>
            </w:tcBorders>
          </w:tcPr>
          <w:p w14:paraId="1DD7231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37" w:type="pct"/>
            <w:tcBorders>
              <w:top w:val="single" w:sz="4" w:space="0" w:color="auto"/>
            </w:tcBorders>
            <w:shd w:val="clear" w:color="auto" w:fill="auto"/>
            <w:noWrap/>
            <w:vAlign w:val="bottom"/>
            <w:hideMark/>
          </w:tcPr>
          <w:p w14:paraId="616B2EE8"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w:t>
            </w:r>
          </w:p>
        </w:tc>
        <w:tc>
          <w:tcPr>
            <w:tcW w:w="580" w:type="pct"/>
            <w:tcBorders>
              <w:top w:val="single" w:sz="4" w:space="0" w:color="auto"/>
            </w:tcBorders>
          </w:tcPr>
          <w:p w14:paraId="67F36188"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06" w:type="pct"/>
            <w:tcBorders>
              <w:top w:val="single" w:sz="4" w:space="0" w:color="auto"/>
            </w:tcBorders>
          </w:tcPr>
          <w:p w14:paraId="7EF183C8"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r>
      <w:tr w:rsidR="00C337E6" w:rsidRPr="00C337E6" w14:paraId="62B33CDD" w14:textId="77777777" w:rsidTr="007D051D">
        <w:trPr>
          <w:trHeight w:val="258"/>
          <w:jc w:val="center"/>
        </w:trPr>
        <w:tc>
          <w:tcPr>
            <w:tcW w:w="1835" w:type="pct"/>
            <w:shd w:val="clear" w:color="auto" w:fill="auto"/>
            <w:noWrap/>
            <w:vAlign w:val="bottom"/>
            <w:hideMark/>
          </w:tcPr>
          <w:p w14:paraId="0F8F2C81"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w:t>
            </w:r>
          </w:p>
        </w:tc>
        <w:tc>
          <w:tcPr>
            <w:tcW w:w="546" w:type="pct"/>
            <w:shd w:val="clear" w:color="auto" w:fill="auto"/>
            <w:noWrap/>
            <w:vAlign w:val="center"/>
            <w:hideMark/>
          </w:tcPr>
          <w:p w14:paraId="02AB0C10" w14:textId="77777777" w:rsidR="00C337E6" w:rsidRPr="00C337E6" w:rsidRDefault="00C337E6" w:rsidP="00C337E6">
            <w:pPr>
              <w:spacing w:after="0" w:line="240" w:lineRule="auto"/>
              <w:jc w:val="center"/>
              <w:rPr>
                <w:rFonts w:ascii="Times New Roman" w:eastAsia="Times New Roman" w:hAnsi="Times New Roman" w:cs="Times New Roman"/>
                <w:color w:val="auto"/>
                <w:sz w:val="18"/>
                <w:lang w:val="en-GB"/>
              </w:rPr>
            </w:pPr>
            <w:r w:rsidRPr="00C337E6">
              <w:rPr>
                <w:rFonts w:ascii="Times New Roman" w:hAnsi="Times New Roman" w:cs="Times New Roman"/>
                <w:sz w:val="18"/>
              </w:rPr>
              <w:t>21.283***</w:t>
            </w:r>
          </w:p>
        </w:tc>
        <w:tc>
          <w:tcPr>
            <w:tcW w:w="496" w:type="pct"/>
            <w:vAlign w:val="center"/>
          </w:tcPr>
          <w:p w14:paraId="76FA61F4"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21.004**</w:t>
            </w:r>
          </w:p>
        </w:tc>
        <w:tc>
          <w:tcPr>
            <w:tcW w:w="499" w:type="pct"/>
            <w:vAlign w:val="center"/>
          </w:tcPr>
          <w:p w14:paraId="7E8CCAEB"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-2.033</w:t>
            </w:r>
          </w:p>
        </w:tc>
        <w:tc>
          <w:tcPr>
            <w:tcW w:w="537" w:type="pct"/>
            <w:shd w:val="clear" w:color="auto" w:fill="auto"/>
            <w:noWrap/>
            <w:vAlign w:val="bottom"/>
            <w:hideMark/>
          </w:tcPr>
          <w:p w14:paraId="7A51A542"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5.692</w:t>
            </w:r>
          </w:p>
        </w:tc>
        <w:tc>
          <w:tcPr>
            <w:tcW w:w="580" w:type="pct"/>
            <w:vAlign w:val="bottom"/>
          </w:tcPr>
          <w:p w14:paraId="293DD9FA"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9.887**</w:t>
            </w:r>
          </w:p>
        </w:tc>
        <w:tc>
          <w:tcPr>
            <w:tcW w:w="506" w:type="pct"/>
            <w:vAlign w:val="bottom"/>
          </w:tcPr>
          <w:p w14:paraId="44E00F2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-0.237</w:t>
            </w:r>
          </w:p>
        </w:tc>
      </w:tr>
      <w:tr w:rsidR="00C337E6" w:rsidRPr="00C337E6" w14:paraId="5E5C7192" w14:textId="77777777" w:rsidTr="007D051D">
        <w:trPr>
          <w:trHeight w:val="258"/>
          <w:jc w:val="center"/>
        </w:trPr>
        <w:tc>
          <w:tcPr>
            <w:tcW w:w="1835" w:type="pct"/>
            <w:shd w:val="clear" w:color="auto" w:fill="auto"/>
            <w:noWrap/>
            <w:vAlign w:val="bottom"/>
            <w:hideMark/>
          </w:tcPr>
          <w:p w14:paraId="1132CC5F"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Age</w:t>
            </w:r>
          </w:p>
        </w:tc>
        <w:tc>
          <w:tcPr>
            <w:tcW w:w="546" w:type="pct"/>
            <w:shd w:val="clear" w:color="auto" w:fill="auto"/>
            <w:noWrap/>
            <w:vAlign w:val="center"/>
            <w:hideMark/>
          </w:tcPr>
          <w:p w14:paraId="64D70312"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-0.424***</w:t>
            </w:r>
          </w:p>
        </w:tc>
        <w:tc>
          <w:tcPr>
            <w:tcW w:w="496" w:type="pct"/>
            <w:vAlign w:val="center"/>
          </w:tcPr>
          <w:p w14:paraId="279DA9F9"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-0.381**</w:t>
            </w:r>
          </w:p>
        </w:tc>
        <w:tc>
          <w:tcPr>
            <w:tcW w:w="499" w:type="pct"/>
            <w:vAlign w:val="center"/>
          </w:tcPr>
          <w:p w14:paraId="668E8687"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0.152</w:t>
            </w:r>
          </w:p>
        </w:tc>
        <w:tc>
          <w:tcPr>
            <w:tcW w:w="537" w:type="pct"/>
            <w:shd w:val="clear" w:color="auto" w:fill="auto"/>
            <w:noWrap/>
            <w:vAlign w:val="bottom"/>
          </w:tcPr>
          <w:p w14:paraId="04CBD76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80" w:type="pct"/>
            <w:vAlign w:val="bottom"/>
          </w:tcPr>
          <w:p w14:paraId="1B13C65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06" w:type="pct"/>
            <w:vAlign w:val="bottom"/>
          </w:tcPr>
          <w:p w14:paraId="60ACC05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w:t>
            </w:r>
          </w:p>
        </w:tc>
      </w:tr>
      <w:tr w:rsidR="00C337E6" w:rsidRPr="00C337E6" w14:paraId="06802CF3" w14:textId="77777777" w:rsidTr="007D051D">
        <w:trPr>
          <w:trHeight w:val="258"/>
          <w:jc w:val="center"/>
        </w:trPr>
        <w:tc>
          <w:tcPr>
            <w:tcW w:w="1835" w:type="pct"/>
            <w:shd w:val="clear" w:color="auto" w:fill="auto"/>
            <w:noWrap/>
            <w:vAlign w:val="bottom"/>
          </w:tcPr>
          <w:p w14:paraId="1B7DDA50"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Employed</w:t>
            </w:r>
          </w:p>
        </w:tc>
        <w:tc>
          <w:tcPr>
            <w:tcW w:w="546" w:type="pct"/>
            <w:shd w:val="clear" w:color="auto" w:fill="auto"/>
            <w:noWrap/>
            <w:vAlign w:val="center"/>
          </w:tcPr>
          <w:p w14:paraId="462CF499"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w:t>
            </w:r>
          </w:p>
        </w:tc>
        <w:tc>
          <w:tcPr>
            <w:tcW w:w="496" w:type="pct"/>
            <w:vAlign w:val="center"/>
          </w:tcPr>
          <w:p w14:paraId="45B05AA3"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w:t>
            </w:r>
          </w:p>
        </w:tc>
        <w:tc>
          <w:tcPr>
            <w:tcW w:w="499" w:type="pct"/>
            <w:vAlign w:val="center"/>
          </w:tcPr>
          <w:p w14:paraId="1991FCE1"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w:t>
            </w:r>
          </w:p>
        </w:tc>
        <w:tc>
          <w:tcPr>
            <w:tcW w:w="537" w:type="pct"/>
            <w:shd w:val="clear" w:color="auto" w:fill="auto"/>
            <w:noWrap/>
            <w:vAlign w:val="bottom"/>
          </w:tcPr>
          <w:p w14:paraId="109EF92A"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Ref.</w:t>
            </w:r>
          </w:p>
        </w:tc>
        <w:tc>
          <w:tcPr>
            <w:tcW w:w="580" w:type="pct"/>
            <w:vAlign w:val="bottom"/>
          </w:tcPr>
          <w:p w14:paraId="3DC9874A"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Ref.</w:t>
            </w:r>
          </w:p>
        </w:tc>
        <w:tc>
          <w:tcPr>
            <w:tcW w:w="506" w:type="pct"/>
            <w:vAlign w:val="bottom"/>
          </w:tcPr>
          <w:p w14:paraId="77580336"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Ref.</w:t>
            </w:r>
          </w:p>
        </w:tc>
      </w:tr>
      <w:tr w:rsidR="00C337E6" w:rsidRPr="00C337E6" w14:paraId="2704E0B6" w14:textId="77777777" w:rsidTr="007D051D">
        <w:trPr>
          <w:trHeight w:val="258"/>
          <w:jc w:val="center"/>
        </w:trPr>
        <w:tc>
          <w:tcPr>
            <w:tcW w:w="1835" w:type="pct"/>
            <w:shd w:val="clear" w:color="auto" w:fill="auto"/>
            <w:noWrap/>
            <w:vAlign w:val="bottom"/>
          </w:tcPr>
          <w:p w14:paraId="7E492357"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Unemployed</w:t>
            </w:r>
          </w:p>
        </w:tc>
        <w:tc>
          <w:tcPr>
            <w:tcW w:w="546" w:type="pct"/>
            <w:shd w:val="clear" w:color="auto" w:fill="auto"/>
            <w:noWrap/>
            <w:vAlign w:val="center"/>
          </w:tcPr>
          <w:p w14:paraId="56DDC23B"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6" w:type="pct"/>
            <w:vAlign w:val="center"/>
          </w:tcPr>
          <w:p w14:paraId="14713491"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9" w:type="pct"/>
            <w:vAlign w:val="center"/>
          </w:tcPr>
          <w:p w14:paraId="55FA5E10"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37" w:type="pct"/>
            <w:shd w:val="clear" w:color="auto" w:fill="auto"/>
            <w:noWrap/>
            <w:vAlign w:val="bottom"/>
          </w:tcPr>
          <w:p w14:paraId="00F77F4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-9.343</w:t>
            </w:r>
          </w:p>
        </w:tc>
        <w:tc>
          <w:tcPr>
            <w:tcW w:w="580" w:type="pct"/>
            <w:vAlign w:val="bottom"/>
          </w:tcPr>
          <w:p w14:paraId="31DA9D1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-25.753**</w:t>
            </w:r>
          </w:p>
        </w:tc>
        <w:tc>
          <w:tcPr>
            <w:tcW w:w="506" w:type="pct"/>
            <w:vAlign w:val="bottom"/>
          </w:tcPr>
          <w:p w14:paraId="2ACA1E9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25.210</w:t>
            </w:r>
          </w:p>
        </w:tc>
      </w:tr>
      <w:tr w:rsidR="00C337E6" w:rsidRPr="00C337E6" w14:paraId="66B08919" w14:textId="77777777" w:rsidTr="007D051D">
        <w:trPr>
          <w:trHeight w:val="258"/>
          <w:jc w:val="center"/>
        </w:trPr>
        <w:tc>
          <w:tcPr>
            <w:tcW w:w="1835" w:type="pct"/>
            <w:shd w:val="clear" w:color="auto" w:fill="auto"/>
            <w:noWrap/>
            <w:vAlign w:val="bottom"/>
          </w:tcPr>
          <w:p w14:paraId="012D7163"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Inactive</w:t>
            </w:r>
          </w:p>
        </w:tc>
        <w:tc>
          <w:tcPr>
            <w:tcW w:w="546" w:type="pct"/>
            <w:shd w:val="clear" w:color="auto" w:fill="auto"/>
            <w:noWrap/>
            <w:vAlign w:val="center"/>
          </w:tcPr>
          <w:p w14:paraId="476394D4"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6" w:type="pct"/>
            <w:vAlign w:val="center"/>
          </w:tcPr>
          <w:p w14:paraId="52517181"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9" w:type="pct"/>
            <w:vAlign w:val="center"/>
          </w:tcPr>
          <w:p w14:paraId="197C3F74"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37" w:type="pct"/>
            <w:shd w:val="clear" w:color="auto" w:fill="auto"/>
            <w:noWrap/>
            <w:vAlign w:val="bottom"/>
          </w:tcPr>
          <w:p w14:paraId="4E9AF39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-11.566**</w:t>
            </w:r>
          </w:p>
        </w:tc>
        <w:tc>
          <w:tcPr>
            <w:tcW w:w="580" w:type="pct"/>
            <w:vAlign w:val="bottom"/>
          </w:tcPr>
          <w:p w14:paraId="297FFFB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-16.010**</w:t>
            </w:r>
          </w:p>
        </w:tc>
        <w:tc>
          <w:tcPr>
            <w:tcW w:w="506" w:type="pct"/>
            <w:vAlign w:val="bottom"/>
          </w:tcPr>
          <w:p w14:paraId="2E82B04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12.338</w:t>
            </w:r>
          </w:p>
        </w:tc>
      </w:tr>
      <w:tr w:rsidR="00C337E6" w:rsidRPr="00C337E6" w14:paraId="749CEAC6" w14:textId="77777777" w:rsidTr="007D051D">
        <w:trPr>
          <w:trHeight w:val="258"/>
          <w:jc w:val="center"/>
        </w:trPr>
        <w:tc>
          <w:tcPr>
            <w:tcW w:w="1835" w:type="pct"/>
            <w:shd w:val="clear" w:color="auto" w:fill="auto"/>
            <w:noWrap/>
            <w:vAlign w:val="bottom"/>
          </w:tcPr>
          <w:p w14:paraId="1D887BF8" w14:textId="77777777" w:rsidR="00C337E6" w:rsidRPr="00C337E6" w:rsidRDefault="00C337E6" w:rsidP="00C337E6">
            <w:pPr>
              <w:spacing w:after="0" w:line="240" w:lineRule="auto"/>
              <w:rPr>
                <w:rFonts w:ascii="Times New Roman" w:eastAsia="Times New Roman" w:hAnsi="Times New Roman" w:cs="Times New Roman"/>
                <w:sz w:val="18"/>
                <w:szCs w:val="18"/>
              </w:rPr>
            </w:pPr>
          </w:p>
          <w:p w14:paraId="1808A48D"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xml:space="preserve">Local authority level controls </w:t>
            </w:r>
          </w:p>
        </w:tc>
        <w:tc>
          <w:tcPr>
            <w:tcW w:w="546" w:type="pct"/>
            <w:shd w:val="clear" w:color="auto" w:fill="auto"/>
            <w:noWrap/>
            <w:vAlign w:val="bottom"/>
          </w:tcPr>
          <w:p w14:paraId="1E9D6554"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1745128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4FE44B5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042B05F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0190F23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tcBorders>
              <w:left w:val="nil"/>
            </w:tcBorders>
            <w:vAlign w:val="bottom"/>
          </w:tcPr>
          <w:p w14:paraId="30A993E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1C03BF32" w14:textId="77777777" w:rsidTr="007D051D">
        <w:trPr>
          <w:trHeight w:val="258"/>
          <w:jc w:val="center"/>
        </w:trPr>
        <w:tc>
          <w:tcPr>
            <w:tcW w:w="1835" w:type="pct"/>
            <w:shd w:val="clear" w:color="auto" w:fill="auto"/>
            <w:noWrap/>
            <w:vAlign w:val="bottom"/>
          </w:tcPr>
          <w:p w14:paraId="42E7A70D"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Individual level controls</w:t>
            </w:r>
          </w:p>
        </w:tc>
        <w:tc>
          <w:tcPr>
            <w:tcW w:w="546" w:type="pct"/>
            <w:shd w:val="clear" w:color="auto" w:fill="auto"/>
            <w:noWrap/>
            <w:vAlign w:val="bottom"/>
          </w:tcPr>
          <w:p w14:paraId="4C007C5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49AF98B5"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708235F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4E5C1E64"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3F06B2E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tcBorders>
              <w:left w:val="nil"/>
            </w:tcBorders>
            <w:vAlign w:val="bottom"/>
          </w:tcPr>
          <w:p w14:paraId="7F091F5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5FBBD9A2" w14:textId="77777777" w:rsidTr="007D051D">
        <w:trPr>
          <w:trHeight w:val="258"/>
          <w:jc w:val="center"/>
        </w:trPr>
        <w:tc>
          <w:tcPr>
            <w:tcW w:w="1835" w:type="pct"/>
            <w:shd w:val="clear" w:color="auto" w:fill="auto"/>
            <w:noWrap/>
            <w:vAlign w:val="bottom"/>
          </w:tcPr>
          <w:p w14:paraId="56CAA75F"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Local authority fixed effects</w:t>
            </w:r>
          </w:p>
        </w:tc>
        <w:tc>
          <w:tcPr>
            <w:tcW w:w="546" w:type="pct"/>
            <w:shd w:val="clear" w:color="auto" w:fill="auto"/>
            <w:noWrap/>
            <w:vAlign w:val="bottom"/>
          </w:tcPr>
          <w:p w14:paraId="3783C8E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55BFBE4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37F4957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3D17F6D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5B65577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tcBorders>
              <w:left w:val="nil"/>
            </w:tcBorders>
            <w:vAlign w:val="bottom"/>
          </w:tcPr>
          <w:p w14:paraId="59D872E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059A4597" w14:textId="77777777" w:rsidTr="007D051D">
        <w:trPr>
          <w:trHeight w:val="258"/>
          <w:jc w:val="center"/>
        </w:trPr>
        <w:tc>
          <w:tcPr>
            <w:tcW w:w="1835" w:type="pct"/>
            <w:shd w:val="clear" w:color="auto" w:fill="auto"/>
            <w:noWrap/>
            <w:vAlign w:val="bottom"/>
          </w:tcPr>
          <w:p w14:paraId="44990906"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Individual fixed effects</w:t>
            </w:r>
          </w:p>
        </w:tc>
        <w:tc>
          <w:tcPr>
            <w:tcW w:w="546" w:type="pct"/>
            <w:shd w:val="clear" w:color="auto" w:fill="auto"/>
            <w:noWrap/>
            <w:vAlign w:val="bottom"/>
          </w:tcPr>
          <w:p w14:paraId="3DFBF79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0656D9A4"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4CE8245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00C82868"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19C2D3B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vAlign w:val="bottom"/>
          </w:tcPr>
          <w:p w14:paraId="62417E6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1868E05B" w14:textId="77777777" w:rsidTr="007D051D">
        <w:trPr>
          <w:trHeight w:val="258"/>
          <w:jc w:val="center"/>
        </w:trPr>
        <w:tc>
          <w:tcPr>
            <w:tcW w:w="1835" w:type="pct"/>
            <w:shd w:val="clear" w:color="auto" w:fill="auto"/>
            <w:noWrap/>
            <w:vAlign w:val="bottom"/>
          </w:tcPr>
          <w:p w14:paraId="0A6C74B2"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Year fixed effects</w:t>
            </w:r>
          </w:p>
        </w:tc>
        <w:tc>
          <w:tcPr>
            <w:tcW w:w="546" w:type="pct"/>
            <w:shd w:val="clear" w:color="auto" w:fill="auto"/>
            <w:noWrap/>
            <w:vAlign w:val="bottom"/>
          </w:tcPr>
          <w:p w14:paraId="7DC58509"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1D8DA93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5EA0D7F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5B8A727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6956984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vAlign w:val="bottom"/>
          </w:tcPr>
          <w:p w14:paraId="3A1D7D9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115055DB" w14:textId="77777777" w:rsidTr="007D051D">
        <w:trPr>
          <w:trHeight w:val="258"/>
          <w:jc w:val="center"/>
        </w:trPr>
        <w:tc>
          <w:tcPr>
            <w:tcW w:w="1835" w:type="pct"/>
            <w:tcBorders>
              <w:bottom w:val="single" w:sz="4" w:space="0" w:color="auto"/>
            </w:tcBorders>
            <w:shd w:val="clear" w:color="auto" w:fill="auto"/>
            <w:noWrap/>
            <w:vAlign w:val="bottom"/>
            <w:hideMark/>
          </w:tcPr>
          <w:p w14:paraId="0A73C14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46" w:type="pct"/>
            <w:tcBorders>
              <w:bottom w:val="single" w:sz="4" w:space="0" w:color="auto"/>
            </w:tcBorders>
            <w:shd w:val="clear" w:color="auto" w:fill="auto"/>
            <w:noWrap/>
            <w:vAlign w:val="bottom"/>
            <w:hideMark/>
          </w:tcPr>
          <w:p w14:paraId="15C984F3" w14:textId="77777777" w:rsidR="00C337E6" w:rsidRPr="00C337E6" w:rsidRDefault="00C337E6" w:rsidP="00C337E6">
            <w:pPr>
              <w:spacing w:after="0" w:line="240" w:lineRule="auto"/>
              <w:rPr>
                <w:rFonts w:ascii="Times New Roman" w:eastAsia="Times New Roman" w:hAnsi="Times New Roman" w:cs="Times New Roman"/>
                <w:sz w:val="18"/>
                <w:szCs w:val="18"/>
              </w:rPr>
            </w:pPr>
          </w:p>
        </w:tc>
        <w:tc>
          <w:tcPr>
            <w:tcW w:w="496" w:type="pct"/>
            <w:tcBorders>
              <w:bottom w:val="single" w:sz="4" w:space="0" w:color="auto"/>
            </w:tcBorders>
            <w:vAlign w:val="bottom"/>
          </w:tcPr>
          <w:p w14:paraId="6EFE29CD"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499" w:type="pct"/>
            <w:tcBorders>
              <w:bottom w:val="single" w:sz="4" w:space="0" w:color="auto"/>
            </w:tcBorders>
          </w:tcPr>
          <w:p w14:paraId="2796A14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37" w:type="pct"/>
            <w:tcBorders>
              <w:bottom w:val="single" w:sz="4" w:space="0" w:color="auto"/>
            </w:tcBorders>
            <w:shd w:val="clear" w:color="auto" w:fill="auto"/>
            <w:noWrap/>
            <w:vAlign w:val="bottom"/>
            <w:hideMark/>
          </w:tcPr>
          <w:p w14:paraId="58B5C16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80" w:type="pct"/>
            <w:tcBorders>
              <w:bottom w:val="single" w:sz="4" w:space="0" w:color="auto"/>
            </w:tcBorders>
            <w:vAlign w:val="bottom"/>
          </w:tcPr>
          <w:p w14:paraId="4FC8CD54"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506" w:type="pct"/>
            <w:tcBorders>
              <w:bottom w:val="single" w:sz="4" w:space="0" w:color="auto"/>
            </w:tcBorders>
          </w:tcPr>
          <w:p w14:paraId="6579EB9A" w14:textId="77777777" w:rsidR="00C337E6" w:rsidRPr="00C337E6" w:rsidRDefault="00C337E6" w:rsidP="00C337E6">
            <w:pPr>
              <w:spacing w:after="0" w:line="240" w:lineRule="auto"/>
              <w:jc w:val="center"/>
              <w:rPr>
                <w:rFonts w:ascii="Times New Roman" w:hAnsi="Times New Roman" w:cs="Times New Roman"/>
                <w:sz w:val="18"/>
                <w:szCs w:val="18"/>
              </w:rPr>
            </w:pPr>
          </w:p>
        </w:tc>
      </w:tr>
      <w:tr w:rsidR="00C337E6" w:rsidRPr="00C337E6" w14:paraId="1F1E4460" w14:textId="77777777" w:rsidTr="007D051D">
        <w:trPr>
          <w:trHeight w:val="258"/>
          <w:jc w:val="center"/>
        </w:trPr>
        <w:tc>
          <w:tcPr>
            <w:tcW w:w="1835" w:type="pct"/>
            <w:tcBorders>
              <w:top w:val="single" w:sz="4" w:space="0" w:color="auto"/>
            </w:tcBorders>
            <w:shd w:val="clear" w:color="auto" w:fill="auto"/>
            <w:noWrap/>
            <w:vAlign w:val="bottom"/>
            <w:hideMark/>
          </w:tcPr>
          <w:p w14:paraId="51FA5D0B"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Observations</w:t>
            </w:r>
          </w:p>
        </w:tc>
        <w:tc>
          <w:tcPr>
            <w:tcW w:w="546" w:type="pct"/>
            <w:tcBorders>
              <w:top w:val="single" w:sz="4" w:space="0" w:color="auto"/>
            </w:tcBorders>
            <w:shd w:val="clear" w:color="auto" w:fill="auto"/>
            <w:noWrap/>
            <w:vAlign w:val="center"/>
            <w:hideMark/>
          </w:tcPr>
          <w:p w14:paraId="0CD04877"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30,448</w:t>
            </w:r>
          </w:p>
        </w:tc>
        <w:tc>
          <w:tcPr>
            <w:tcW w:w="496" w:type="pct"/>
            <w:tcBorders>
              <w:top w:val="single" w:sz="4" w:space="0" w:color="auto"/>
            </w:tcBorders>
            <w:vAlign w:val="center"/>
          </w:tcPr>
          <w:p w14:paraId="2D78AC10"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12,441</w:t>
            </w:r>
          </w:p>
        </w:tc>
        <w:tc>
          <w:tcPr>
            <w:tcW w:w="499" w:type="pct"/>
            <w:tcBorders>
              <w:top w:val="single" w:sz="4" w:space="0" w:color="auto"/>
            </w:tcBorders>
            <w:vAlign w:val="center"/>
          </w:tcPr>
          <w:p w14:paraId="096DA97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18,007</w:t>
            </w:r>
          </w:p>
        </w:tc>
        <w:tc>
          <w:tcPr>
            <w:tcW w:w="537" w:type="pct"/>
            <w:tcBorders>
              <w:top w:val="single" w:sz="4" w:space="0" w:color="auto"/>
            </w:tcBorders>
            <w:shd w:val="clear" w:color="auto" w:fill="auto"/>
            <w:noWrap/>
            <w:vAlign w:val="bottom"/>
            <w:hideMark/>
          </w:tcPr>
          <w:p w14:paraId="4F0A46C4"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30,448</w:t>
            </w:r>
          </w:p>
        </w:tc>
        <w:tc>
          <w:tcPr>
            <w:tcW w:w="580" w:type="pct"/>
            <w:tcBorders>
              <w:top w:val="single" w:sz="4" w:space="0" w:color="auto"/>
            </w:tcBorders>
            <w:vAlign w:val="bottom"/>
          </w:tcPr>
          <w:p w14:paraId="5849AA90"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12,441</w:t>
            </w:r>
          </w:p>
        </w:tc>
        <w:tc>
          <w:tcPr>
            <w:tcW w:w="506" w:type="pct"/>
            <w:tcBorders>
              <w:top w:val="single" w:sz="4" w:space="0" w:color="auto"/>
            </w:tcBorders>
            <w:vAlign w:val="bottom"/>
          </w:tcPr>
          <w:p w14:paraId="1D213C9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18,007</w:t>
            </w:r>
          </w:p>
        </w:tc>
      </w:tr>
      <w:tr w:rsidR="00C337E6" w:rsidRPr="00C337E6" w14:paraId="40FE6E02" w14:textId="77777777" w:rsidTr="007D051D">
        <w:trPr>
          <w:trHeight w:val="258"/>
          <w:jc w:val="center"/>
        </w:trPr>
        <w:tc>
          <w:tcPr>
            <w:tcW w:w="1835" w:type="pct"/>
            <w:shd w:val="clear" w:color="auto" w:fill="auto"/>
            <w:noWrap/>
            <w:vAlign w:val="bottom"/>
            <w:hideMark/>
          </w:tcPr>
          <w:p w14:paraId="6731D058"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Number of persons</w:t>
            </w:r>
          </w:p>
        </w:tc>
        <w:tc>
          <w:tcPr>
            <w:tcW w:w="546" w:type="pct"/>
            <w:shd w:val="clear" w:color="auto" w:fill="auto"/>
            <w:noWrap/>
            <w:vAlign w:val="center"/>
          </w:tcPr>
          <w:p w14:paraId="7D12A605"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8,252</w:t>
            </w:r>
          </w:p>
        </w:tc>
        <w:tc>
          <w:tcPr>
            <w:tcW w:w="496" w:type="pct"/>
            <w:vAlign w:val="center"/>
          </w:tcPr>
          <w:p w14:paraId="4F77F6CA"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7,280</w:t>
            </w:r>
          </w:p>
        </w:tc>
        <w:tc>
          <w:tcPr>
            <w:tcW w:w="499" w:type="pct"/>
            <w:vAlign w:val="center"/>
          </w:tcPr>
          <w:p w14:paraId="48438FA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7,026</w:t>
            </w:r>
          </w:p>
        </w:tc>
        <w:tc>
          <w:tcPr>
            <w:tcW w:w="537" w:type="pct"/>
            <w:shd w:val="clear" w:color="auto" w:fill="auto"/>
            <w:noWrap/>
            <w:vAlign w:val="bottom"/>
          </w:tcPr>
          <w:p w14:paraId="62EAE590"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8,252</w:t>
            </w:r>
          </w:p>
        </w:tc>
        <w:tc>
          <w:tcPr>
            <w:tcW w:w="580" w:type="pct"/>
            <w:vAlign w:val="bottom"/>
          </w:tcPr>
          <w:p w14:paraId="6875B4B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7,280</w:t>
            </w:r>
          </w:p>
        </w:tc>
        <w:tc>
          <w:tcPr>
            <w:tcW w:w="506" w:type="pct"/>
            <w:vAlign w:val="bottom"/>
          </w:tcPr>
          <w:p w14:paraId="06A3479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7,026</w:t>
            </w:r>
          </w:p>
        </w:tc>
      </w:tr>
      <w:tr w:rsidR="00C337E6" w:rsidRPr="00C337E6" w14:paraId="23DE9BEA" w14:textId="77777777" w:rsidTr="007D051D">
        <w:trPr>
          <w:trHeight w:val="258"/>
          <w:jc w:val="center"/>
        </w:trPr>
        <w:tc>
          <w:tcPr>
            <w:tcW w:w="1835" w:type="pct"/>
            <w:tcBorders>
              <w:bottom w:val="single" w:sz="4" w:space="0" w:color="auto"/>
            </w:tcBorders>
            <w:shd w:val="clear" w:color="auto" w:fill="auto"/>
            <w:noWrap/>
            <w:vAlign w:val="bottom"/>
            <w:hideMark/>
          </w:tcPr>
          <w:p w14:paraId="7BCF09C1"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xml:space="preserve">R-squared </w:t>
            </w:r>
          </w:p>
        </w:tc>
        <w:tc>
          <w:tcPr>
            <w:tcW w:w="546" w:type="pct"/>
            <w:tcBorders>
              <w:bottom w:val="single" w:sz="4" w:space="0" w:color="auto"/>
            </w:tcBorders>
            <w:shd w:val="clear" w:color="auto" w:fill="auto"/>
            <w:noWrap/>
            <w:vAlign w:val="center"/>
          </w:tcPr>
          <w:p w14:paraId="50B638C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0.044</w:t>
            </w:r>
          </w:p>
        </w:tc>
        <w:tc>
          <w:tcPr>
            <w:tcW w:w="496" w:type="pct"/>
            <w:tcBorders>
              <w:bottom w:val="single" w:sz="4" w:space="0" w:color="auto"/>
            </w:tcBorders>
            <w:vAlign w:val="center"/>
          </w:tcPr>
          <w:p w14:paraId="79AE353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0.074</w:t>
            </w:r>
          </w:p>
        </w:tc>
        <w:tc>
          <w:tcPr>
            <w:tcW w:w="499" w:type="pct"/>
            <w:tcBorders>
              <w:bottom w:val="single" w:sz="4" w:space="0" w:color="auto"/>
            </w:tcBorders>
            <w:vAlign w:val="center"/>
          </w:tcPr>
          <w:p w14:paraId="2B3D4F6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0.040</w:t>
            </w:r>
          </w:p>
        </w:tc>
        <w:tc>
          <w:tcPr>
            <w:tcW w:w="537" w:type="pct"/>
            <w:tcBorders>
              <w:bottom w:val="single" w:sz="4" w:space="0" w:color="auto"/>
            </w:tcBorders>
            <w:shd w:val="clear" w:color="auto" w:fill="auto"/>
            <w:noWrap/>
            <w:vAlign w:val="bottom"/>
          </w:tcPr>
          <w:p w14:paraId="6A1C387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0.044</w:t>
            </w:r>
          </w:p>
        </w:tc>
        <w:tc>
          <w:tcPr>
            <w:tcW w:w="580" w:type="pct"/>
            <w:tcBorders>
              <w:bottom w:val="single" w:sz="4" w:space="0" w:color="auto"/>
            </w:tcBorders>
            <w:vAlign w:val="bottom"/>
          </w:tcPr>
          <w:p w14:paraId="57B059A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0.075</w:t>
            </w:r>
          </w:p>
        </w:tc>
        <w:tc>
          <w:tcPr>
            <w:tcW w:w="506" w:type="pct"/>
            <w:tcBorders>
              <w:bottom w:val="single" w:sz="4" w:space="0" w:color="auto"/>
            </w:tcBorders>
            <w:vAlign w:val="bottom"/>
          </w:tcPr>
          <w:p w14:paraId="236CE6CA"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0.040</w:t>
            </w:r>
          </w:p>
        </w:tc>
      </w:tr>
      <w:tr w:rsidR="00C337E6" w:rsidRPr="00C337E6" w14:paraId="214F52FF" w14:textId="77777777" w:rsidTr="007D051D">
        <w:trPr>
          <w:trHeight w:val="313"/>
          <w:jc w:val="center"/>
        </w:trPr>
        <w:tc>
          <w:tcPr>
            <w:tcW w:w="1835" w:type="pct"/>
            <w:tcBorders>
              <w:top w:val="single" w:sz="4" w:space="0" w:color="auto"/>
            </w:tcBorders>
            <w:shd w:val="clear" w:color="auto" w:fill="auto"/>
            <w:noWrap/>
            <w:vAlign w:val="bottom"/>
            <w:hideMark/>
          </w:tcPr>
          <w:p w14:paraId="2E103341" w14:textId="77777777" w:rsidR="00C337E6" w:rsidRPr="00C337E6" w:rsidRDefault="00C337E6" w:rsidP="00C337E6">
            <w:pPr>
              <w:spacing w:after="0" w:line="240" w:lineRule="auto"/>
              <w:rPr>
                <w:rFonts w:ascii="Times New Roman" w:eastAsia="Times New Roman" w:hAnsi="Times New Roman" w:cs="Times New Roman"/>
                <w:b/>
                <w:sz w:val="18"/>
                <w:szCs w:val="18"/>
              </w:rPr>
            </w:pPr>
            <w:r w:rsidRPr="00C337E6">
              <w:rPr>
                <w:rFonts w:ascii="Times New Roman" w:eastAsia="Times New Roman" w:hAnsi="Times New Roman" w:cs="Times New Roman"/>
                <w:b/>
                <w:sz w:val="18"/>
                <w:szCs w:val="18"/>
              </w:rPr>
              <w:t> </w:t>
            </w:r>
          </w:p>
        </w:tc>
        <w:tc>
          <w:tcPr>
            <w:tcW w:w="1541" w:type="pct"/>
            <w:gridSpan w:val="3"/>
            <w:tcBorders>
              <w:top w:val="single" w:sz="4" w:space="0" w:color="auto"/>
              <w:bottom w:val="single" w:sz="4" w:space="0" w:color="auto"/>
            </w:tcBorders>
            <w:shd w:val="clear" w:color="auto" w:fill="auto"/>
            <w:noWrap/>
            <w:vAlign w:val="bottom"/>
            <w:hideMark/>
          </w:tcPr>
          <w:p w14:paraId="3E8B16E3" w14:textId="77777777" w:rsidR="00C337E6" w:rsidRPr="00C337E6" w:rsidRDefault="00C337E6" w:rsidP="00C337E6">
            <w:pPr>
              <w:numPr>
                <w:ilvl w:val="0"/>
                <w:numId w:val="17"/>
              </w:numPr>
              <w:spacing w:after="0" w:line="240" w:lineRule="auto"/>
              <w:contextualSpacing/>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Income</w:t>
            </w:r>
          </w:p>
        </w:tc>
        <w:tc>
          <w:tcPr>
            <w:tcW w:w="1623" w:type="pct"/>
            <w:gridSpan w:val="3"/>
            <w:tcBorders>
              <w:top w:val="single" w:sz="4" w:space="0" w:color="auto"/>
              <w:bottom w:val="single" w:sz="4" w:space="0" w:color="auto"/>
            </w:tcBorders>
            <w:shd w:val="clear" w:color="auto" w:fill="auto"/>
            <w:noWrap/>
            <w:vAlign w:val="bottom"/>
            <w:hideMark/>
          </w:tcPr>
          <w:p w14:paraId="78F9C6DF" w14:textId="77777777" w:rsidR="00C337E6" w:rsidRPr="00C337E6" w:rsidRDefault="00C337E6" w:rsidP="00C337E6">
            <w:pPr>
              <w:numPr>
                <w:ilvl w:val="0"/>
                <w:numId w:val="17"/>
              </w:numPr>
              <w:spacing w:after="0" w:line="240" w:lineRule="auto"/>
              <w:contextualSpacing/>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Education</w:t>
            </w:r>
          </w:p>
        </w:tc>
      </w:tr>
      <w:tr w:rsidR="00C337E6" w:rsidRPr="00C337E6" w14:paraId="36189C46" w14:textId="77777777" w:rsidTr="007D051D">
        <w:trPr>
          <w:trHeight w:val="214"/>
          <w:jc w:val="center"/>
        </w:trPr>
        <w:tc>
          <w:tcPr>
            <w:tcW w:w="1835" w:type="pct"/>
            <w:shd w:val="clear" w:color="auto" w:fill="auto"/>
            <w:noWrap/>
            <w:hideMark/>
          </w:tcPr>
          <w:p w14:paraId="7B2FCF62" w14:textId="77777777" w:rsidR="00C337E6" w:rsidRPr="00C337E6" w:rsidRDefault="00C337E6" w:rsidP="00C337E6">
            <w:pPr>
              <w:spacing w:after="0" w:line="240" w:lineRule="auto"/>
              <w:jc w:val="center"/>
              <w:rPr>
                <w:rFonts w:ascii="Times New Roman" w:eastAsia="Times New Roman" w:hAnsi="Times New Roman" w:cs="Times New Roman"/>
                <w:b/>
                <w:sz w:val="18"/>
                <w:szCs w:val="18"/>
              </w:rPr>
            </w:pPr>
          </w:p>
        </w:tc>
        <w:tc>
          <w:tcPr>
            <w:tcW w:w="546" w:type="pct"/>
            <w:tcBorders>
              <w:top w:val="single" w:sz="4" w:space="0" w:color="auto"/>
              <w:bottom w:val="single" w:sz="4" w:space="0" w:color="auto"/>
            </w:tcBorders>
            <w:shd w:val="clear" w:color="auto" w:fill="auto"/>
            <w:noWrap/>
            <w:vAlign w:val="center"/>
            <w:hideMark/>
          </w:tcPr>
          <w:p w14:paraId="7433DF21"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2003-08</w:t>
            </w:r>
          </w:p>
        </w:tc>
        <w:tc>
          <w:tcPr>
            <w:tcW w:w="496" w:type="pct"/>
            <w:tcBorders>
              <w:top w:val="single" w:sz="4" w:space="0" w:color="auto"/>
              <w:bottom w:val="single" w:sz="4" w:space="0" w:color="auto"/>
            </w:tcBorders>
            <w:vAlign w:val="center"/>
          </w:tcPr>
          <w:p w14:paraId="0503F100"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2003-05</w:t>
            </w:r>
          </w:p>
        </w:tc>
        <w:tc>
          <w:tcPr>
            <w:tcW w:w="499" w:type="pct"/>
            <w:tcBorders>
              <w:top w:val="single" w:sz="4" w:space="0" w:color="auto"/>
              <w:bottom w:val="single" w:sz="4" w:space="0" w:color="auto"/>
            </w:tcBorders>
            <w:vAlign w:val="center"/>
          </w:tcPr>
          <w:p w14:paraId="034131CB"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2006-08</w:t>
            </w:r>
          </w:p>
        </w:tc>
        <w:tc>
          <w:tcPr>
            <w:tcW w:w="537" w:type="pct"/>
            <w:tcBorders>
              <w:top w:val="single" w:sz="4" w:space="0" w:color="auto"/>
              <w:bottom w:val="single" w:sz="4" w:space="0" w:color="auto"/>
            </w:tcBorders>
            <w:shd w:val="clear" w:color="auto" w:fill="auto"/>
            <w:noWrap/>
            <w:vAlign w:val="center"/>
          </w:tcPr>
          <w:p w14:paraId="771FF356"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2003-08</w:t>
            </w:r>
          </w:p>
        </w:tc>
        <w:tc>
          <w:tcPr>
            <w:tcW w:w="580" w:type="pct"/>
            <w:tcBorders>
              <w:top w:val="single" w:sz="4" w:space="0" w:color="auto"/>
              <w:bottom w:val="single" w:sz="4" w:space="0" w:color="auto"/>
            </w:tcBorders>
            <w:vAlign w:val="center"/>
          </w:tcPr>
          <w:p w14:paraId="1FC72C19"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2003-05</w:t>
            </w:r>
          </w:p>
        </w:tc>
        <w:tc>
          <w:tcPr>
            <w:tcW w:w="506" w:type="pct"/>
            <w:tcBorders>
              <w:top w:val="single" w:sz="4" w:space="0" w:color="auto"/>
              <w:bottom w:val="single" w:sz="4" w:space="0" w:color="auto"/>
            </w:tcBorders>
            <w:vAlign w:val="center"/>
          </w:tcPr>
          <w:p w14:paraId="36F37D3F" w14:textId="77777777" w:rsidR="00C337E6" w:rsidRPr="00C337E6" w:rsidRDefault="00C337E6" w:rsidP="00C337E6">
            <w:pPr>
              <w:spacing w:after="0" w:line="240" w:lineRule="auto"/>
              <w:jc w:val="center"/>
              <w:rPr>
                <w:rFonts w:ascii="Times New Roman" w:eastAsia="Times New Roman" w:hAnsi="Times New Roman" w:cs="Times New Roman"/>
                <w:sz w:val="16"/>
                <w:szCs w:val="18"/>
              </w:rPr>
            </w:pPr>
            <w:r w:rsidRPr="00C337E6">
              <w:rPr>
                <w:rFonts w:ascii="Times New Roman" w:eastAsia="Times New Roman" w:hAnsi="Times New Roman" w:cs="Times New Roman"/>
                <w:sz w:val="16"/>
                <w:szCs w:val="18"/>
              </w:rPr>
              <w:t>2006-08</w:t>
            </w:r>
          </w:p>
        </w:tc>
      </w:tr>
      <w:tr w:rsidR="00C337E6" w:rsidRPr="00C337E6" w14:paraId="485F997C" w14:textId="77777777" w:rsidTr="007D051D">
        <w:trPr>
          <w:trHeight w:val="153"/>
          <w:jc w:val="center"/>
        </w:trPr>
        <w:tc>
          <w:tcPr>
            <w:tcW w:w="1835" w:type="pct"/>
            <w:tcBorders>
              <w:bottom w:val="single" w:sz="4" w:space="0" w:color="auto"/>
            </w:tcBorders>
            <w:shd w:val="clear" w:color="auto" w:fill="auto"/>
            <w:noWrap/>
          </w:tcPr>
          <w:p w14:paraId="693000B8" w14:textId="77777777" w:rsidR="00C337E6" w:rsidRPr="00C337E6" w:rsidRDefault="00C337E6" w:rsidP="00C337E6">
            <w:pPr>
              <w:spacing w:after="0" w:line="240" w:lineRule="auto"/>
              <w:jc w:val="center"/>
              <w:rPr>
                <w:rFonts w:ascii="Times New Roman" w:eastAsia="Times New Roman" w:hAnsi="Times New Roman" w:cs="Times New Roman"/>
                <w:b/>
                <w:sz w:val="18"/>
                <w:szCs w:val="18"/>
              </w:rPr>
            </w:pPr>
          </w:p>
        </w:tc>
        <w:tc>
          <w:tcPr>
            <w:tcW w:w="546" w:type="pct"/>
            <w:tcBorders>
              <w:top w:val="single" w:sz="4" w:space="0" w:color="auto"/>
              <w:bottom w:val="single" w:sz="4" w:space="0" w:color="auto"/>
            </w:tcBorders>
            <w:shd w:val="clear" w:color="auto" w:fill="auto"/>
            <w:noWrap/>
            <w:vAlign w:val="center"/>
          </w:tcPr>
          <w:p w14:paraId="71988422"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(1)</w:t>
            </w:r>
          </w:p>
        </w:tc>
        <w:tc>
          <w:tcPr>
            <w:tcW w:w="496" w:type="pct"/>
            <w:tcBorders>
              <w:top w:val="single" w:sz="4" w:space="0" w:color="auto"/>
              <w:bottom w:val="single" w:sz="4" w:space="0" w:color="auto"/>
            </w:tcBorders>
            <w:vAlign w:val="center"/>
          </w:tcPr>
          <w:p w14:paraId="0311FEC5"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(2)</w:t>
            </w:r>
          </w:p>
        </w:tc>
        <w:tc>
          <w:tcPr>
            <w:tcW w:w="499" w:type="pct"/>
            <w:tcBorders>
              <w:top w:val="single" w:sz="4" w:space="0" w:color="auto"/>
              <w:bottom w:val="single" w:sz="4" w:space="0" w:color="auto"/>
            </w:tcBorders>
            <w:vAlign w:val="center"/>
          </w:tcPr>
          <w:p w14:paraId="64678D2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(3)</w:t>
            </w:r>
          </w:p>
        </w:tc>
        <w:tc>
          <w:tcPr>
            <w:tcW w:w="537" w:type="pct"/>
            <w:tcBorders>
              <w:top w:val="single" w:sz="4" w:space="0" w:color="auto"/>
              <w:bottom w:val="single" w:sz="4" w:space="0" w:color="auto"/>
            </w:tcBorders>
            <w:shd w:val="clear" w:color="auto" w:fill="auto"/>
            <w:noWrap/>
            <w:vAlign w:val="center"/>
          </w:tcPr>
          <w:p w14:paraId="739E025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(4)</w:t>
            </w:r>
          </w:p>
        </w:tc>
        <w:tc>
          <w:tcPr>
            <w:tcW w:w="580" w:type="pct"/>
            <w:tcBorders>
              <w:top w:val="single" w:sz="4" w:space="0" w:color="auto"/>
              <w:bottom w:val="single" w:sz="4" w:space="0" w:color="auto"/>
            </w:tcBorders>
            <w:vAlign w:val="center"/>
          </w:tcPr>
          <w:p w14:paraId="0FCD45F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(5)</w:t>
            </w:r>
          </w:p>
        </w:tc>
        <w:tc>
          <w:tcPr>
            <w:tcW w:w="506" w:type="pct"/>
            <w:tcBorders>
              <w:top w:val="single" w:sz="4" w:space="0" w:color="auto"/>
              <w:bottom w:val="single" w:sz="4" w:space="0" w:color="auto"/>
            </w:tcBorders>
            <w:vAlign w:val="center"/>
          </w:tcPr>
          <w:p w14:paraId="5101AD3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(6)</w:t>
            </w:r>
          </w:p>
        </w:tc>
      </w:tr>
      <w:tr w:rsidR="00C337E6" w:rsidRPr="00C337E6" w14:paraId="6CCC0368" w14:textId="77777777" w:rsidTr="007D051D">
        <w:trPr>
          <w:trHeight w:val="258"/>
          <w:jc w:val="center"/>
        </w:trPr>
        <w:tc>
          <w:tcPr>
            <w:tcW w:w="1835" w:type="pct"/>
            <w:tcBorders>
              <w:top w:val="single" w:sz="4" w:space="0" w:color="auto"/>
            </w:tcBorders>
            <w:shd w:val="clear" w:color="auto" w:fill="auto"/>
            <w:noWrap/>
            <w:vAlign w:val="bottom"/>
            <w:hideMark/>
          </w:tcPr>
          <w:p w14:paraId="168FF6DA"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w:t>
            </w:r>
          </w:p>
        </w:tc>
        <w:tc>
          <w:tcPr>
            <w:tcW w:w="546" w:type="pct"/>
            <w:tcBorders>
              <w:top w:val="single" w:sz="4" w:space="0" w:color="auto"/>
            </w:tcBorders>
            <w:shd w:val="clear" w:color="auto" w:fill="auto"/>
            <w:noWrap/>
            <w:vAlign w:val="bottom"/>
            <w:hideMark/>
          </w:tcPr>
          <w:p w14:paraId="2BFDC3A4"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w:t>
            </w:r>
          </w:p>
        </w:tc>
        <w:tc>
          <w:tcPr>
            <w:tcW w:w="496" w:type="pct"/>
            <w:tcBorders>
              <w:top w:val="single" w:sz="4" w:space="0" w:color="auto"/>
            </w:tcBorders>
          </w:tcPr>
          <w:p w14:paraId="4147382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499" w:type="pct"/>
            <w:tcBorders>
              <w:top w:val="single" w:sz="4" w:space="0" w:color="auto"/>
            </w:tcBorders>
          </w:tcPr>
          <w:p w14:paraId="644123C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37" w:type="pct"/>
            <w:tcBorders>
              <w:top w:val="single" w:sz="4" w:space="0" w:color="auto"/>
            </w:tcBorders>
            <w:shd w:val="clear" w:color="auto" w:fill="auto"/>
            <w:noWrap/>
            <w:vAlign w:val="bottom"/>
            <w:hideMark/>
          </w:tcPr>
          <w:p w14:paraId="32056DD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w:t>
            </w:r>
          </w:p>
        </w:tc>
        <w:tc>
          <w:tcPr>
            <w:tcW w:w="580" w:type="pct"/>
            <w:tcBorders>
              <w:top w:val="single" w:sz="4" w:space="0" w:color="auto"/>
            </w:tcBorders>
          </w:tcPr>
          <w:p w14:paraId="1552C87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06" w:type="pct"/>
            <w:tcBorders>
              <w:top w:val="single" w:sz="4" w:space="0" w:color="auto"/>
            </w:tcBorders>
          </w:tcPr>
          <w:p w14:paraId="23E03E8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r>
      <w:tr w:rsidR="00C337E6" w:rsidRPr="00C337E6" w14:paraId="18A4D4B0" w14:textId="77777777" w:rsidTr="007D051D">
        <w:trPr>
          <w:trHeight w:val="258"/>
          <w:jc w:val="center"/>
        </w:trPr>
        <w:tc>
          <w:tcPr>
            <w:tcW w:w="1835" w:type="pct"/>
            <w:shd w:val="clear" w:color="auto" w:fill="auto"/>
            <w:noWrap/>
            <w:vAlign w:val="bottom"/>
            <w:hideMark/>
          </w:tcPr>
          <w:p w14:paraId="69AB8D5D"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w:t>
            </w:r>
          </w:p>
        </w:tc>
        <w:tc>
          <w:tcPr>
            <w:tcW w:w="546" w:type="pct"/>
            <w:shd w:val="clear" w:color="auto" w:fill="auto"/>
            <w:noWrap/>
            <w:vAlign w:val="bottom"/>
            <w:hideMark/>
          </w:tcPr>
          <w:p w14:paraId="755B07DE"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-31.311</w:t>
            </w:r>
          </w:p>
        </w:tc>
        <w:tc>
          <w:tcPr>
            <w:tcW w:w="496" w:type="pct"/>
            <w:vAlign w:val="bottom"/>
          </w:tcPr>
          <w:p w14:paraId="4049BCBF"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-47.492</w:t>
            </w:r>
          </w:p>
        </w:tc>
        <w:tc>
          <w:tcPr>
            <w:tcW w:w="499" w:type="pct"/>
            <w:vAlign w:val="bottom"/>
          </w:tcPr>
          <w:p w14:paraId="67DAB0D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7.277</w:t>
            </w:r>
          </w:p>
        </w:tc>
        <w:tc>
          <w:tcPr>
            <w:tcW w:w="537" w:type="pct"/>
            <w:shd w:val="clear" w:color="auto" w:fill="auto"/>
            <w:noWrap/>
            <w:vAlign w:val="center"/>
            <w:hideMark/>
          </w:tcPr>
          <w:p w14:paraId="4BBF36EB" w14:textId="77777777" w:rsidR="00C337E6" w:rsidRPr="00C337E6" w:rsidRDefault="00C337E6" w:rsidP="00C337E6">
            <w:pPr>
              <w:spacing w:after="0" w:line="240" w:lineRule="auto"/>
              <w:jc w:val="center"/>
              <w:rPr>
                <w:rFonts w:ascii="Times New Roman" w:eastAsia="Times New Roman" w:hAnsi="Times New Roman" w:cs="Times New Roman"/>
                <w:color w:val="auto"/>
                <w:sz w:val="18"/>
                <w:lang w:val="en-GB"/>
              </w:rPr>
            </w:pPr>
            <w:r w:rsidRPr="00C337E6">
              <w:rPr>
                <w:rFonts w:ascii="Times New Roman" w:hAnsi="Times New Roman" w:cs="Times New Roman"/>
                <w:sz w:val="18"/>
              </w:rPr>
              <w:t>-9.695</w:t>
            </w:r>
          </w:p>
        </w:tc>
        <w:tc>
          <w:tcPr>
            <w:tcW w:w="580" w:type="pct"/>
            <w:vAlign w:val="center"/>
          </w:tcPr>
          <w:p w14:paraId="01AAB728"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-9.464</w:t>
            </w:r>
          </w:p>
        </w:tc>
        <w:tc>
          <w:tcPr>
            <w:tcW w:w="506" w:type="pct"/>
            <w:vAlign w:val="center"/>
          </w:tcPr>
          <w:p w14:paraId="0D412E95"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13.592</w:t>
            </w:r>
          </w:p>
        </w:tc>
      </w:tr>
      <w:tr w:rsidR="00C337E6" w:rsidRPr="00C337E6" w14:paraId="4A65B21E" w14:textId="77777777" w:rsidTr="007D051D">
        <w:trPr>
          <w:trHeight w:val="258"/>
          <w:jc w:val="center"/>
        </w:trPr>
        <w:tc>
          <w:tcPr>
            <w:tcW w:w="1835" w:type="pct"/>
            <w:shd w:val="clear" w:color="auto" w:fill="auto"/>
            <w:noWrap/>
            <w:vAlign w:val="bottom"/>
            <w:hideMark/>
          </w:tcPr>
          <w:p w14:paraId="06802425"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Income</w:t>
            </w:r>
          </w:p>
        </w:tc>
        <w:tc>
          <w:tcPr>
            <w:tcW w:w="546" w:type="pct"/>
            <w:shd w:val="clear" w:color="auto" w:fill="auto"/>
            <w:noWrap/>
            <w:vAlign w:val="bottom"/>
            <w:hideMark/>
          </w:tcPr>
          <w:p w14:paraId="7CF75D3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4.132</w:t>
            </w:r>
          </w:p>
        </w:tc>
        <w:tc>
          <w:tcPr>
            <w:tcW w:w="496" w:type="pct"/>
            <w:vAlign w:val="bottom"/>
          </w:tcPr>
          <w:p w14:paraId="38C0114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6.309*</w:t>
            </w:r>
          </w:p>
        </w:tc>
        <w:tc>
          <w:tcPr>
            <w:tcW w:w="499" w:type="pct"/>
            <w:vAlign w:val="bottom"/>
          </w:tcPr>
          <w:p w14:paraId="3B63066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-0.332</w:t>
            </w:r>
          </w:p>
        </w:tc>
        <w:tc>
          <w:tcPr>
            <w:tcW w:w="537" w:type="pct"/>
            <w:shd w:val="clear" w:color="auto" w:fill="auto"/>
            <w:noWrap/>
            <w:vAlign w:val="center"/>
          </w:tcPr>
          <w:p w14:paraId="60F8F601"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80" w:type="pct"/>
            <w:vAlign w:val="center"/>
          </w:tcPr>
          <w:p w14:paraId="4A026FBC"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06" w:type="pct"/>
            <w:vAlign w:val="center"/>
          </w:tcPr>
          <w:p w14:paraId="5A85644D"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r>
      <w:tr w:rsidR="00C337E6" w:rsidRPr="00C337E6" w14:paraId="66D6A59A" w14:textId="77777777" w:rsidTr="007D051D">
        <w:trPr>
          <w:trHeight w:val="258"/>
          <w:jc w:val="center"/>
        </w:trPr>
        <w:tc>
          <w:tcPr>
            <w:tcW w:w="1835" w:type="pct"/>
            <w:shd w:val="clear" w:color="auto" w:fill="auto"/>
            <w:noWrap/>
            <w:vAlign w:val="bottom"/>
          </w:tcPr>
          <w:p w14:paraId="3A6F0210"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xml:space="preserve">Migrant inflow rate * Degree </w:t>
            </w:r>
          </w:p>
        </w:tc>
        <w:tc>
          <w:tcPr>
            <w:tcW w:w="546" w:type="pct"/>
            <w:shd w:val="clear" w:color="auto" w:fill="auto"/>
            <w:noWrap/>
            <w:vAlign w:val="center"/>
          </w:tcPr>
          <w:p w14:paraId="4FAEFF7F"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6" w:type="pct"/>
            <w:vAlign w:val="center"/>
          </w:tcPr>
          <w:p w14:paraId="078C8342"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9" w:type="pct"/>
            <w:vAlign w:val="center"/>
          </w:tcPr>
          <w:p w14:paraId="34941F78"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37" w:type="pct"/>
            <w:shd w:val="clear" w:color="auto" w:fill="auto"/>
            <w:noWrap/>
            <w:vAlign w:val="center"/>
          </w:tcPr>
          <w:p w14:paraId="318803AE" w14:textId="77777777" w:rsidR="00C337E6" w:rsidRPr="00C337E6" w:rsidRDefault="00C337E6" w:rsidP="00C337E6">
            <w:pPr>
              <w:spacing w:after="0" w:line="240" w:lineRule="auto"/>
              <w:jc w:val="center"/>
              <w:rPr>
                <w:rFonts w:ascii="Times New Roman" w:eastAsia="Times New Roman" w:hAnsi="Times New Roman" w:cs="Times New Roman"/>
                <w:color w:val="auto"/>
                <w:sz w:val="18"/>
                <w:lang w:val="en-GB"/>
              </w:rPr>
            </w:pPr>
            <w:r w:rsidRPr="00C337E6">
              <w:rPr>
                <w:rFonts w:ascii="Times New Roman" w:hAnsi="Times New Roman" w:cs="Times New Roman"/>
                <w:sz w:val="18"/>
              </w:rPr>
              <w:t>14.059*</w:t>
            </w:r>
          </w:p>
        </w:tc>
        <w:tc>
          <w:tcPr>
            <w:tcW w:w="580" w:type="pct"/>
            <w:vAlign w:val="center"/>
          </w:tcPr>
          <w:p w14:paraId="4A01EFD2"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13.563</w:t>
            </w:r>
          </w:p>
        </w:tc>
        <w:tc>
          <w:tcPr>
            <w:tcW w:w="506" w:type="pct"/>
            <w:vAlign w:val="center"/>
          </w:tcPr>
          <w:p w14:paraId="475A1B50"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-10.655</w:t>
            </w:r>
          </w:p>
        </w:tc>
      </w:tr>
      <w:tr w:rsidR="00C337E6" w:rsidRPr="00C337E6" w14:paraId="7BE24B74" w14:textId="77777777" w:rsidTr="007D051D">
        <w:trPr>
          <w:trHeight w:val="258"/>
          <w:jc w:val="center"/>
        </w:trPr>
        <w:tc>
          <w:tcPr>
            <w:tcW w:w="1835" w:type="pct"/>
            <w:shd w:val="clear" w:color="auto" w:fill="auto"/>
            <w:noWrap/>
            <w:vAlign w:val="bottom"/>
          </w:tcPr>
          <w:p w14:paraId="539BE11B"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Further Education</w:t>
            </w:r>
          </w:p>
        </w:tc>
        <w:tc>
          <w:tcPr>
            <w:tcW w:w="546" w:type="pct"/>
            <w:shd w:val="clear" w:color="auto" w:fill="auto"/>
            <w:noWrap/>
            <w:vAlign w:val="center"/>
          </w:tcPr>
          <w:p w14:paraId="1E17B2AF"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6" w:type="pct"/>
            <w:vAlign w:val="center"/>
          </w:tcPr>
          <w:p w14:paraId="0E2EB04E"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9" w:type="pct"/>
            <w:vAlign w:val="center"/>
          </w:tcPr>
          <w:p w14:paraId="302E53D0"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37" w:type="pct"/>
            <w:shd w:val="clear" w:color="auto" w:fill="auto"/>
            <w:noWrap/>
            <w:vAlign w:val="center"/>
          </w:tcPr>
          <w:p w14:paraId="7C52243B"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14.947**</w:t>
            </w:r>
          </w:p>
        </w:tc>
        <w:tc>
          <w:tcPr>
            <w:tcW w:w="580" w:type="pct"/>
            <w:vAlign w:val="center"/>
          </w:tcPr>
          <w:p w14:paraId="7644EB2F"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15.956*</w:t>
            </w:r>
          </w:p>
        </w:tc>
        <w:tc>
          <w:tcPr>
            <w:tcW w:w="506" w:type="pct"/>
            <w:vAlign w:val="center"/>
          </w:tcPr>
          <w:p w14:paraId="4CFF5EBD"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-11.258</w:t>
            </w:r>
          </w:p>
        </w:tc>
      </w:tr>
      <w:tr w:rsidR="00C337E6" w:rsidRPr="00C337E6" w14:paraId="096045EF" w14:textId="77777777" w:rsidTr="007D051D">
        <w:trPr>
          <w:trHeight w:val="258"/>
          <w:jc w:val="center"/>
        </w:trPr>
        <w:tc>
          <w:tcPr>
            <w:tcW w:w="1835" w:type="pct"/>
            <w:shd w:val="clear" w:color="auto" w:fill="auto"/>
            <w:noWrap/>
            <w:vAlign w:val="bottom"/>
          </w:tcPr>
          <w:p w14:paraId="33759654"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A Levels</w:t>
            </w:r>
          </w:p>
        </w:tc>
        <w:tc>
          <w:tcPr>
            <w:tcW w:w="546" w:type="pct"/>
            <w:shd w:val="clear" w:color="auto" w:fill="auto"/>
            <w:noWrap/>
            <w:vAlign w:val="center"/>
          </w:tcPr>
          <w:p w14:paraId="4114F1A7"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6" w:type="pct"/>
            <w:vAlign w:val="center"/>
          </w:tcPr>
          <w:p w14:paraId="5B87650A"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9" w:type="pct"/>
            <w:vAlign w:val="center"/>
          </w:tcPr>
          <w:p w14:paraId="743C1482"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37" w:type="pct"/>
            <w:shd w:val="clear" w:color="auto" w:fill="auto"/>
            <w:noWrap/>
            <w:vAlign w:val="center"/>
          </w:tcPr>
          <w:p w14:paraId="3FEBC44D"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14.658</w:t>
            </w:r>
          </w:p>
        </w:tc>
        <w:tc>
          <w:tcPr>
            <w:tcW w:w="580" w:type="pct"/>
            <w:vAlign w:val="center"/>
          </w:tcPr>
          <w:p w14:paraId="52D6883A"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22.030**</w:t>
            </w:r>
          </w:p>
        </w:tc>
        <w:tc>
          <w:tcPr>
            <w:tcW w:w="506" w:type="pct"/>
            <w:vAlign w:val="center"/>
          </w:tcPr>
          <w:p w14:paraId="0B34F323"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-32.066</w:t>
            </w:r>
          </w:p>
        </w:tc>
      </w:tr>
      <w:tr w:rsidR="00C337E6" w:rsidRPr="00C337E6" w14:paraId="0289ADE0" w14:textId="77777777" w:rsidTr="007D051D">
        <w:trPr>
          <w:trHeight w:val="258"/>
          <w:jc w:val="center"/>
        </w:trPr>
        <w:tc>
          <w:tcPr>
            <w:tcW w:w="1835" w:type="pct"/>
            <w:shd w:val="clear" w:color="auto" w:fill="auto"/>
            <w:noWrap/>
            <w:vAlign w:val="bottom"/>
          </w:tcPr>
          <w:p w14:paraId="4D67887D"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O Levels</w:t>
            </w:r>
          </w:p>
        </w:tc>
        <w:tc>
          <w:tcPr>
            <w:tcW w:w="546" w:type="pct"/>
            <w:shd w:val="clear" w:color="auto" w:fill="auto"/>
            <w:noWrap/>
            <w:vAlign w:val="center"/>
          </w:tcPr>
          <w:p w14:paraId="17EBF2C3"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6" w:type="pct"/>
            <w:vAlign w:val="center"/>
          </w:tcPr>
          <w:p w14:paraId="51CCE407"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9" w:type="pct"/>
            <w:vAlign w:val="center"/>
          </w:tcPr>
          <w:p w14:paraId="3C54BB6E"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37" w:type="pct"/>
            <w:shd w:val="clear" w:color="auto" w:fill="auto"/>
            <w:noWrap/>
            <w:vAlign w:val="center"/>
          </w:tcPr>
          <w:p w14:paraId="19A75177"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12.826</w:t>
            </w:r>
          </w:p>
        </w:tc>
        <w:tc>
          <w:tcPr>
            <w:tcW w:w="580" w:type="pct"/>
            <w:vAlign w:val="center"/>
          </w:tcPr>
          <w:p w14:paraId="42ED084A"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7.993</w:t>
            </w:r>
          </w:p>
        </w:tc>
        <w:tc>
          <w:tcPr>
            <w:tcW w:w="506" w:type="pct"/>
            <w:vAlign w:val="center"/>
          </w:tcPr>
          <w:p w14:paraId="1A63D25B"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-1.599</w:t>
            </w:r>
          </w:p>
        </w:tc>
      </w:tr>
      <w:tr w:rsidR="00C337E6" w:rsidRPr="00C337E6" w14:paraId="4FE756E0" w14:textId="77777777" w:rsidTr="007D051D">
        <w:trPr>
          <w:trHeight w:val="258"/>
          <w:jc w:val="center"/>
        </w:trPr>
        <w:tc>
          <w:tcPr>
            <w:tcW w:w="1835" w:type="pct"/>
            <w:shd w:val="clear" w:color="auto" w:fill="auto"/>
            <w:noWrap/>
            <w:vAlign w:val="bottom"/>
          </w:tcPr>
          <w:p w14:paraId="76E0226B"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Other Qualifications</w:t>
            </w:r>
          </w:p>
        </w:tc>
        <w:tc>
          <w:tcPr>
            <w:tcW w:w="546" w:type="pct"/>
            <w:shd w:val="clear" w:color="auto" w:fill="auto"/>
            <w:noWrap/>
            <w:vAlign w:val="center"/>
          </w:tcPr>
          <w:p w14:paraId="0F955DFC"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6" w:type="pct"/>
            <w:vAlign w:val="center"/>
          </w:tcPr>
          <w:p w14:paraId="7043415E"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9" w:type="pct"/>
            <w:vAlign w:val="center"/>
          </w:tcPr>
          <w:p w14:paraId="5F2FB586"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37" w:type="pct"/>
            <w:shd w:val="clear" w:color="auto" w:fill="auto"/>
            <w:noWrap/>
            <w:vAlign w:val="center"/>
          </w:tcPr>
          <w:p w14:paraId="4453B19E"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9.334</w:t>
            </w:r>
          </w:p>
        </w:tc>
        <w:tc>
          <w:tcPr>
            <w:tcW w:w="580" w:type="pct"/>
            <w:vAlign w:val="center"/>
          </w:tcPr>
          <w:p w14:paraId="59D1CF5E"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23.626</w:t>
            </w:r>
          </w:p>
        </w:tc>
        <w:tc>
          <w:tcPr>
            <w:tcW w:w="506" w:type="pct"/>
            <w:vAlign w:val="center"/>
          </w:tcPr>
          <w:p w14:paraId="610D223D" w14:textId="77777777" w:rsidR="00C337E6" w:rsidRPr="00C337E6" w:rsidRDefault="00C337E6" w:rsidP="00C337E6">
            <w:pPr>
              <w:spacing w:after="0"/>
              <w:jc w:val="center"/>
              <w:rPr>
                <w:rFonts w:ascii="Times New Roman" w:hAnsi="Times New Roman" w:cs="Times New Roman"/>
                <w:sz w:val="18"/>
              </w:rPr>
            </w:pPr>
            <w:r w:rsidRPr="00C337E6">
              <w:rPr>
                <w:rFonts w:ascii="Times New Roman" w:hAnsi="Times New Roman" w:cs="Times New Roman"/>
                <w:sz w:val="18"/>
              </w:rPr>
              <w:t>5.298</w:t>
            </w:r>
          </w:p>
        </w:tc>
      </w:tr>
      <w:tr w:rsidR="00C337E6" w:rsidRPr="00C337E6" w14:paraId="22BCCBC1" w14:textId="77777777" w:rsidTr="007D051D">
        <w:trPr>
          <w:trHeight w:val="258"/>
          <w:jc w:val="center"/>
        </w:trPr>
        <w:tc>
          <w:tcPr>
            <w:tcW w:w="1835" w:type="pct"/>
            <w:shd w:val="clear" w:color="auto" w:fill="auto"/>
            <w:noWrap/>
            <w:vAlign w:val="bottom"/>
          </w:tcPr>
          <w:p w14:paraId="78FCAB9C"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Migrant inflow rate * No Qualifications</w:t>
            </w:r>
          </w:p>
        </w:tc>
        <w:tc>
          <w:tcPr>
            <w:tcW w:w="546" w:type="pct"/>
            <w:shd w:val="clear" w:color="auto" w:fill="auto"/>
            <w:noWrap/>
            <w:vAlign w:val="center"/>
          </w:tcPr>
          <w:p w14:paraId="10507084"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6" w:type="pct"/>
            <w:vAlign w:val="center"/>
          </w:tcPr>
          <w:p w14:paraId="78F940B5"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499" w:type="pct"/>
            <w:vAlign w:val="center"/>
          </w:tcPr>
          <w:p w14:paraId="0D3447E8" w14:textId="77777777" w:rsidR="00C337E6" w:rsidRPr="00C337E6" w:rsidRDefault="00C337E6" w:rsidP="00C337E6">
            <w:pPr>
              <w:spacing w:after="0" w:line="240" w:lineRule="auto"/>
              <w:jc w:val="center"/>
              <w:rPr>
                <w:rFonts w:ascii="Times New Roman" w:hAnsi="Times New Roman" w:cs="Times New Roman"/>
                <w:sz w:val="18"/>
                <w:szCs w:val="18"/>
              </w:rPr>
            </w:pPr>
            <w:r w:rsidRPr="00C337E6">
              <w:rPr>
                <w:rFonts w:ascii="Times New Roman" w:hAnsi="Times New Roman" w:cs="Times New Roman"/>
                <w:sz w:val="18"/>
                <w:szCs w:val="18"/>
              </w:rPr>
              <w:t>-</w:t>
            </w:r>
          </w:p>
        </w:tc>
        <w:tc>
          <w:tcPr>
            <w:tcW w:w="537" w:type="pct"/>
            <w:shd w:val="clear" w:color="auto" w:fill="auto"/>
            <w:noWrap/>
            <w:vAlign w:val="bottom"/>
          </w:tcPr>
          <w:p w14:paraId="29B75557"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Ref.</w:t>
            </w:r>
          </w:p>
        </w:tc>
        <w:tc>
          <w:tcPr>
            <w:tcW w:w="580" w:type="pct"/>
            <w:vAlign w:val="bottom"/>
          </w:tcPr>
          <w:p w14:paraId="7951BE13"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Ref.</w:t>
            </w:r>
          </w:p>
        </w:tc>
        <w:tc>
          <w:tcPr>
            <w:tcW w:w="506" w:type="pct"/>
            <w:vAlign w:val="bottom"/>
          </w:tcPr>
          <w:p w14:paraId="4FF5C61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Ref.</w:t>
            </w:r>
          </w:p>
        </w:tc>
      </w:tr>
      <w:tr w:rsidR="00C337E6" w:rsidRPr="00C337E6" w14:paraId="4F281A56" w14:textId="77777777" w:rsidTr="007D051D">
        <w:trPr>
          <w:trHeight w:val="258"/>
          <w:jc w:val="center"/>
        </w:trPr>
        <w:tc>
          <w:tcPr>
            <w:tcW w:w="1835" w:type="pct"/>
            <w:shd w:val="clear" w:color="auto" w:fill="auto"/>
            <w:noWrap/>
            <w:vAlign w:val="bottom"/>
          </w:tcPr>
          <w:p w14:paraId="3FE16076" w14:textId="77777777" w:rsidR="00C337E6" w:rsidRPr="00C337E6" w:rsidRDefault="00C337E6" w:rsidP="00C337E6">
            <w:pPr>
              <w:spacing w:after="0" w:line="240" w:lineRule="auto"/>
              <w:rPr>
                <w:rFonts w:ascii="Times New Roman" w:eastAsia="Times New Roman" w:hAnsi="Times New Roman" w:cs="Times New Roman"/>
                <w:sz w:val="18"/>
                <w:szCs w:val="18"/>
              </w:rPr>
            </w:pPr>
          </w:p>
          <w:p w14:paraId="443E754B"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xml:space="preserve">Local authority level controls </w:t>
            </w:r>
          </w:p>
        </w:tc>
        <w:tc>
          <w:tcPr>
            <w:tcW w:w="546" w:type="pct"/>
            <w:shd w:val="clear" w:color="auto" w:fill="auto"/>
            <w:noWrap/>
            <w:vAlign w:val="bottom"/>
          </w:tcPr>
          <w:p w14:paraId="2B26A3B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0462E19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6076513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3615F37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0329B8D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tcBorders>
              <w:left w:val="nil"/>
            </w:tcBorders>
            <w:vAlign w:val="bottom"/>
          </w:tcPr>
          <w:p w14:paraId="72A56BD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30BA23E3" w14:textId="77777777" w:rsidTr="007D051D">
        <w:trPr>
          <w:trHeight w:val="258"/>
          <w:jc w:val="center"/>
        </w:trPr>
        <w:tc>
          <w:tcPr>
            <w:tcW w:w="1835" w:type="pct"/>
            <w:shd w:val="clear" w:color="auto" w:fill="auto"/>
            <w:noWrap/>
            <w:vAlign w:val="bottom"/>
          </w:tcPr>
          <w:p w14:paraId="50873B5E"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Individual level controls</w:t>
            </w:r>
          </w:p>
        </w:tc>
        <w:tc>
          <w:tcPr>
            <w:tcW w:w="546" w:type="pct"/>
            <w:shd w:val="clear" w:color="auto" w:fill="auto"/>
            <w:noWrap/>
            <w:vAlign w:val="bottom"/>
          </w:tcPr>
          <w:p w14:paraId="6EFD751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0C81DB6F"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6CCBF05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66D00A3A"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56253DFE"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tcBorders>
              <w:left w:val="nil"/>
            </w:tcBorders>
            <w:vAlign w:val="bottom"/>
          </w:tcPr>
          <w:p w14:paraId="6DC81AD4"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57ED3D9E" w14:textId="77777777" w:rsidTr="007D051D">
        <w:trPr>
          <w:trHeight w:val="258"/>
          <w:jc w:val="center"/>
        </w:trPr>
        <w:tc>
          <w:tcPr>
            <w:tcW w:w="1835" w:type="pct"/>
            <w:shd w:val="clear" w:color="auto" w:fill="auto"/>
            <w:noWrap/>
            <w:vAlign w:val="bottom"/>
          </w:tcPr>
          <w:p w14:paraId="6FFF9274"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Local authority fixed effects</w:t>
            </w:r>
          </w:p>
        </w:tc>
        <w:tc>
          <w:tcPr>
            <w:tcW w:w="546" w:type="pct"/>
            <w:shd w:val="clear" w:color="auto" w:fill="auto"/>
            <w:noWrap/>
            <w:vAlign w:val="bottom"/>
          </w:tcPr>
          <w:p w14:paraId="3AA267E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0379A546"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6CC62E6B"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09EF9D5C"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487487D8"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tcBorders>
              <w:left w:val="nil"/>
            </w:tcBorders>
            <w:vAlign w:val="bottom"/>
          </w:tcPr>
          <w:p w14:paraId="398C56DD"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154E9256" w14:textId="77777777" w:rsidTr="007D051D">
        <w:trPr>
          <w:trHeight w:val="258"/>
          <w:jc w:val="center"/>
        </w:trPr>
        <w:tc>
          <w:tcPr>
            <w:tcW w:w="1835" w:type="pct"/>
            <w:shd w:val="clear" w:color="auto" w:fill="auto"/>
            <w:noWrap/>
            <w:vAlign w:val="bottom"/>
          </w:tcPr>
          <w:p w14:paraId="4361AE5D"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Individual fixed effects</w:t>
            </w:r>
          </w:p>
        </w:tc>
        <w:tc>
          <w:tcPr>
            <w:tcW w:w="546" w:type="pct"/>
            <w:shd w:val="clear" w:color="auto" w:fill="auto"/>
            <w:noWrap/>
            <w:vAlign w:val="bottom"/>
          </w:tcPr>
          <w:p w14:paraId="156B091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46479E8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44987FB9"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2968B34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30B260D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vAlign w:val="bottom"/>
          </w:tcPr>
          <w:p w14:paraId="46390A5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18F38CA1" w14:textId="77777777" w:rsidTr="007D051D">
        <w:trPr>
          <w:trHeight w:val="258"/>
          <w:jc w:val="center"/>
        </w:trPr>
        <w:tc>
          <w:tcPr>
            <w:tcW w:w="1835" w:type="pct"/>
            <w:shd w:val="clear" w:color="auto" w:fill="auto"/>
            <w:noWrap/>
            <w:vAlign w:val="bottom"/>
          </w:tcPr>
          <w:p w14:paraId="0250A1D9"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Year fixed effects</w:t>
            </w:r>
          </w:p>
        </w:tc>
        <w:tc>
          <w:tcPr>
            <w:tcW w:w="546" w:type="pct"/>
            <w:shd w:val="clear" w:color="auto" w:fill="auto"/>
            <w:noWrap/>
            <w:vAlign w:val="bottom"/>
          </w:tcPr>
          <w:p w14:paraId="6A5DA29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6" w:type="pct"/>
            <w:vAlign w:val="bottom"/>
          </w:tcPr>
          <w:p w14:paraId="2532C9B5"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499" w:type="pct"/>
            <w:vAlign w:val="bottom"/>
          </w:tcPr>
          <w:p w14:paraId="2870E93D"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37" w:type="pct"/>
            <w:shd w:val="clear" w:color="auto" w:fill="auto"/>
            <w:noWrap/>
            <w:vAlign w:val="bottom"/>
          </w:tcPr>
          <w:p w14:paraId="0EB0A3C0"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80" w:type="pct"/>
            <w:vAlign w:val="bottom"/>
          </w:tcPr>
          <w:p w14:paraId="2986C761"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c>
          <w:tcPr>
            <w:tcW w:w="506" w:type="pct"/>
            <w:vAlign w:val="bottom"/>
          </w:tcPr>
          <w:p w14:paraId="329BAAC8"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Yes</w:t>
            </w:r>
          </w:p>
        </w:tc>
      </w:tr>
      <w:tr w:rsidR="00C337E6" w:rsidRPr="00C337E6" w14:paraId="15D9796B" w14:textId="77777777" w:rsidTr="007D051D">
        <w:trPr>
          <w:trHeight w:val="258"/>
          <w:jc w:val="center"/>
        </w:trPr>
        <w:tc>
          <w:tcPr>
            <w:tcW w:w="1835" w:type="pct"/>
            <w:tcBorders>
              <w:bottom w:val="single" w:sz="4" w:space="0" w:color="auto"/>
            </w:tcBorders>
            <w:shd w:val="clear" w:color="auto" w:fill="auto"/>
            <w:noWrap/>
            <w:vAlign w:val="bottom"/>
            <w:hideMark/>
          </w:tcPr>
          <w:p w14:paraId="5266CB63"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46" w:type="pct"/>
            <w:tcBorders>
              <w:bottom w:val="single" w:sz="4" w:space="0" w:color="auto"/>
            </w:tcBorders>
            <w:shd w:val="clear" w:color="auto" w:fill="auto"/>
            <w:noWrap/>
            <w:vAlign w:val="bottom"/>
            <w:hideMark/>
          </w:tcPr>
          <w:p w14:paraId="4C957912" w14:textId="77777777" w:rsidR="00C337E6" w:rsidRPr="00C337E6" w:rsidRDefault="00C337E6" w:rsidP="00C337E6">
            <w:pPr>
              <w:spacing w:after="0" w:line="240" w:lineRule="auto"/>
              <w:rPr>
                <w:rFonts w:ascii="Times New Roman" w:eastAsia="Times New Roman" w:hAnsi="Times New Roman" w:cs="Times New Roman"/>
                <w:sz w:val="18"/>
                <w:szCs w:val="18"/>
              </w:rPr>
            </w:pPr>
          </w:p>
        </w:tc>
        <w:tc>
          <w:tcPr>
            <w:tcW w:w="496" w:type="pct"/>
            <w:tcBorders>
              <w:bottom w:val="single" w:sz="4" w:space="0" w:color="auto"/>
            </w:tcBorders>
            <w:vAlign w:val="bottom"/>
          </w:tcPr>
          <w:p w14:paraId="1D5274CB"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499" w:type="pct"/>
            <w:tcBorders>
              <w:bottom w:val="single" w:sz="4" w:space="0" w:color="auto"/>
            </w:tcBorders>
          </w:tcPr>
          <w:p w14:paraId="7F574DA2"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37" w:type="pct"/>
            <w:tcBorders>
              <w:bottom w:val="single" w:sz="4" w:space="0" w:color="auto"/>
            </w:tcBorders>
            <w:shd w:val="clear" w:color="auto" w:fill="auto"/>
            <w:noWrap/>
            <w:vAlign w:val="bottom"/>
            <w:hideMark/>
          </w:tcPr>
          <w:p w14:paraId="534A4167" w14:textId="77777777" w:rsidR="00C337E6" w:rsidRPr="00C337E6" w:rsidRDefault="00C337E6" w:rsidP="00C337E6">
            <w:pPr>
              <w:spacing w:after="0" w:line="240" w:lineRule="auto"/>
              <w:jc w:val="center"/>
              <w:rPr>
                <w:rFonts w:ascii="Times New Roman" w:eastAsia="Times New Roman" w:hAnsi="Times New Roman" w:cs="Times New Roman"/>
                <w:sz w:val="18"/>
                <w:szCs w:val="18"/>
              </w:rPr>
            </w:pPr>
          </w:p>
        </w:tc>
        <w:tc>
          <w:tcPr>
            <w:tcW w:w="580" w:type="pct"/>
            <w:tcBorders>
              <w:bottom w:val="single" w:sz="4" w:space="0" w:color="auto"/>
            </w:tcBorders>
            <w:vAlign w:val="bottom"/>
          </w:tcPr>
          <w:p w14:paraId="62BBE881" w14:textId="77777777" w:rsidR="00C337E6" w:rsidRPr="00C337E6" w:rsidRDefault="00C337E6" w:rsidP="00C337E6">
            <w:pPr>
              <w:spacing w:after="0" w:line="240" w:lineRule="auto"/>
              <w:jc w:val="center"/>
              <w:rPr>
                <w:rFonts w:ascii="Times New Roman" w:hAnsi="Times New Roman" w:cs="Times New Roman"/>
                <w:sz w:val="18"/>
                <w:szCs w:val="18"/>
              </w:rPr>
            </w:pPr>
          </w:p>
        </w:tc>
        <w:tc>
          <w:tcPr>
            <w:tcW w:w="506" w:type="pct"/>
            <w:tcBorders>
              <w:bottom w:val="single" w:sz="4" w:space="0" w:color="auto"/>
            </w:tcBorders>
          </w:tcPr>
          <w:p w14:paraId="5DD37FC4" w14:textId="77777777" w:rsidR="00C337E6" w:rsidRPr="00C337E6" w:rsidRDefault="00C337E6" w:rsidP="00C337E6">
            <w:pPr>
              <w:spacing w:after="0" w:line="240" w:lineRule="auto"/>
              <w:jc w:val="center"/>
              <w:rPr>
                <w:rFonts w:ascii="Times New Roman" w:hAnsi="Times New Roman" w:cs="Times New Roman"/>
                <w:sz w:val="18"/>
                <w:szCs w:val="18"/>
              </w:rPr>
            </w:pPr>
          </w:p>
        </w:tc>
      </w:tr>
      <w:tr w:rsidR="00C337E6" w:rsidRPr="00C337E6" w14:paraId="53B69E30" w14:textId="77777777" w:rsidTr="007D051D">
        <w:trPr>
          <w:trHeight w:val="258"/>
          <w:jc w:val="center"/>
        </w:trPr>
        <w:tc>
          <w:tcPr>
            <w:tcW w:w="1835" w:type="pct"/>
            <w:tcBorders>
              <w:top w:val="single" w:sz="4" w:space="0" w:color="auto"/>
            </w:tcBorders>
            <w:shd w:val="clear" w:color="auto" w:fill="auto"/>
            <w:noWrap/>
            <w:vAlign w:val="bottom"/>
            <w:hideMark/>
          </w:tcPr>
          <w:p w14:paraId="5313B0F9"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Observations</w:t>
            </w:r>
          </w:p>
        </w:tc>
        <w:tc>
          <w:tcPr>
            <w:tcW w:w="546" w:type="pct"/>
            <w:tcBorders>
              <w:top w:val="single" w:sz="4" w:space="0" w:color="auto"/>
            </w:tcBorders>
            <w:shd w:val="clear" w:color="auto" w:fill="auto"/>
            <w:noWrap/>
            <w:vAlign w:val="bottom"/>
            <w:hideMark/>
          </w:tcPr>
          <w:p w14:paraId="357915A7"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30,448</w:t>
            </w:r>
          </w:p>
        </w:tc>
        <w:tc>
          <w:tcPr>
            <w:tcW w:w="496" w:type="pct"/>
            <w:tcBorders>
              <w:top w:val="single" w:sz="4" w:space="0" w:color="auto"/>
            </w:tcBorders>
            <w:vAlign w:val="bottom"/>
          </w:tcPr>
          <w:p w14:paraId="01406F4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12,441</w:t>
            </w:r>
          </w:p>
        </w:tc>
        <w:tc>
          <w:tcPr>
            <w:tcW w:w="499" w:type="pct"/>
            <w:tcBorders>
              <w:top w:val="single" w:sz="4" w:space="0" w:color="auto"/>
            </w:tcBorders>
            <w:vAlign w:val="bottom"/>
          </w:tcPr>
          <w:p w14:paraId="1FFAA95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18,007</w:t>
            </w:r>
          </w:p>
        </w:tc>
        <w:tc>
          <w:tcPr>
            <w:tcW w:w="537" w:type="pct"/>
            <w:tcBorders>
              <w:top w:val="single" w:sz="4" w:space="0" w:color="auto"/>
            </w:tcBorders>
            <w:shd w:val="clear" w:color="auto" w:fill="auto"/>
            <w:noWrap/>
            <w:vAlign w:val="bottom"/>
            <w:hideMark/>
          </w:tcPr>
          <w:p w14:paraId="6E3EB283" w14:textId="77777777" w:rsidR="00C337E6" w:rsidRPr="00C337E6" w:rsidRDefault="00C337E6" w:rsidP="00C337E6">
            <w:pPr>
              <w:spacing w:after="0" w:line="240" w:lineRule="auto"/>
              <w:jc w:val="center"/>
              <w:rPr>
                <w:rFonts w:ascii="Times New Roman" w:eastAsia="Times New Roman" w:hAnsi="Times New Roman" w:cs="Times New Roman"/>
                <w:color w:val="auto"/>
                <w:sz w:val="18"/>
                <w:szCs w:val="18"/>
                <w:lang w:val="en-GB"/>
              </w:rPr>
            </w:pPr>
            <w:r w:rsidRPr="00C337E6">
              <w:rPr>
                <w:rFonts w:ascii="Times New Roman" w:hAnsi="Times New Roman" w:cs="Times New Roman"/>
                <w:sz w:val="18"/>
                <w:szCs w:val="18"/>
              </w:rPr>
              <w:t>30,448</w:t>
            </w:r>
          </w:p>
        </w:tc>
        <w:tc>
          <w:tcPr>
            <w:tcW w:w="580" w:type="pct"/>
            <w:tcBorders>
              <w:top w:val="single" w:sz="4" w:space="0" w:color="auto"/>
            </w:tcBorders>
            <w:vAlign w:val="bottom"/>
          </w:tcPr>
          <w:p w14:paraId="76533D5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12,441</w:t>
            </w:r>
          </w:p>
        </w:tc>
        <w:tc>
          <w:tcPr>
            <w:tcW w:w="506" w:type="pct"/>
            <w:tcBorders>
              <w:top w:val="single" w:sz="4" w:space="0" w:color="auto"/>
            </w:tcBorders>
            <w:vAlign w:val="bottom"/>
          </w:tcPr>
          <w:p w14:paraId="7266256C"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18,007</w:t>
            </w:r>
          </w:p>
        </w:tc>
      </w:tr>
      <w:tr w:rsidR="00C337E6" w:rsidRPr="00C337E6" w14:paraId="60A76ABE" w14:textId="77777777" w:rsidTr="007D051D">
        <w:trPr>
          <w:trHeight w:val="258"/>
          <w:jc w:val="center"/>
        </w:trPr>
        <w:tc>
          <w:tcPr>
            <w:tcW w:w="1835" w:type="pct"/>
            <w:shd w:val="clear" w:color="auto" w:fill="auto"/>
            <w:noWrap/>
            <w:vAlign w:val="bottom"/>
            <w:hideMark/>
          </w:tcPr>
          <w:p w14:paraId="1FDF7E51"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Number of persons</w:t>
            </w:r>
          </w:p>
        </w:tc>
        <w:tc>
          <w:tcPr>
            <w:tcW w:w="546" w:type="pct"/>
            <w:shd w:val="clear" w:color="auto" w:fill="auto"/>
            <w:noWrap/>
            <w:vAlign w:val="bottom"/>
            <w:hideMark/>
          </w:tcPr>
          <w:p w14:paraId="5BFDABF6"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8,252</w:t>
            </w:r>
          </w:p>
        </w:tc>
        <w:tc>
          <w:tcPr>
            <w:tcW w:w="496" w:type="pct"/>
            <w:vAlign w:val="bottom"/>
          </w:tcPr>
          <w:p w14:paraId="2DBAE19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7,280</w:t>
            </w:r>
          </w:p>
        </w:tc>
        <w:tc>
          <w:tcPr>
            <w:tcW w:w="499" w:type="pct"/>
            <w:vAlign w:val="bottom"/>
          </w:tcPr>
          <w:p w14:paraId="756D6D44"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7,026</w:t>
            </w:r>
          </w:p>
        </w:tc>
        <w:tc>
          <w:tcPr>
            <w:tcW w:w="537" w:type="pct"/>
            <w:shd w:val="clear" w:color="auto" w:fill="auto"/>
            <w:noWrap/>
            <w:vAlign w:val="bottom"/>
            <w:hideMark/>
          </w:tcPr>
          <w:p w14:paraId="0205BCDF"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8,252</w:t>
            </w:r>
          </w:p>
        </w:tc>
        <w:tc>
          <w:tcPr>
            <w:tcW w:w="580" w:type="pct"/>
            <w:vAlign w:val="bottom"/>
          </w:tcPr>
          <w:p w14:paraId="312B7188"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7,280</w:t>
            </w:r>
          </w:p>
        </w:tc>
        <w:tc>
          <w:tcPr>
            <w:tcW w:w="506" w:type="pct"/>
            <w:vAlign w:val="bottom"/>
          </w:tcPr>
          <w:p w14:paraId="6AAF42ED"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7,026</w:t>
            </w:r>
          </w:p>
        </w:tc>
      </w:tr>
      <w:tr w:rsidR="00C337E6" w:rsidRPr="00C337E6" w14:paraId="759F41C3" w14:textId="77777777" w:rsidTr="007D051D">
        <w:trPr>
          <w:trHeight w:val="258"/>
          <w:jc w:val="center"/>
        </w:trPr>
        <w:tc>
          <w:tcPr>
            <w:tcW w:w="1835" w:type="pct"/>
            <w:tcBorders>
              <w:bottom w:val="single" w:sz="4" w:space="0" w:color="auto"/>
            </w:tcBorders>
            <w:shd w:val="clear" w:color="auto" w:fill="auto"/>
            <w:noWrap/>
            <w:vAlign w:val="bottom"/>
            <w:hideMark/>
          </w:tcPr>
          <w:p w14:paraId="11B6E367" w14:textId="77777777" w:rsidR="00C337E6" w:rsidRPr="00C337E6" w:rsidRDefault="00C337E6" w:rsidP="00C337E6">
            <w:pPr>
              <w:spacing w:after="0" w:line="240" w:lineRule="auto"/>
              <w:rPr>
                <w:rFonts w:ascii="Times New Roman" w:eastAsia="Times New Roman" w:hAnsi="Times New Roman" w:cs="Times New Roman"/>
                <w:sz w:val="18"/>
                <w:szCs w:val="18"/>
              </w:rPr>
            </w:pPr>
            <w:r w:rsidRPr="00C337E6">
              <w:rPr>
                <w:rFonts w:ascii="Times New Roman" w:eastAsia="Times New Roman" w:hAnsi="Times New Roman" w:cs="Times New Roman"/>
                <w:sz w:val="18"/>
                <w:szCs w:val="18"/>
              </w:rPr>
              <w:t xml:space="preserve">R-squared </w:t>
            </w:r>
          </w:p>
        </w:tc>
        <w:tc>
          <w:tcPr>
            <w:tcW w:w="546" w:type="pct"/>
            <w:tcBorders>
              <w:bottom w:val="single" w:sz="4" w:space="0" w:color="auto"/>
            </w:tcBorders>
            <w:shd w:val="clear" w:color="auto" w:fill="auto"/>
            <w:noWrap/>
            <w:vAlign w:val="bottom"/>
            <w:hideMark/>
          </w:tcPr>
          <w:p w14:paraId="303E9AD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0.044</w:t>
            </w:r>
          </w:p>
        </w:tc>
        <w:tc>
          <w:tcPr>
            <w:tcW w:w="496" w:type="pct"/>
            <w:tcBorders>
              <w:bottom w:val="single" w:sz="4" w:space="0" w:color="auto"/>
            </w:tcBorders>
            <w:vAlign w:val="bottom"/>
          </w:tcPr>
          <w:p w14:paraId="6CC8162E"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0.073</w:t>
            </w:r>
          </w:p>
        </w:tc>
        <w:tc>
          <w:tcPr>
            <w:tcW w:w="499" w:type="pct"/>
            <w:tcBorders>
              <w:bottom w:val="single" w:sz="4" w:space="0" w:color="auto"/>
            </w:tcBorders>
            <w:vAlign w:val="bottom"/>
          </w:tcPr>
          <w:p w14:paraId="5307D341"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0.040</w:t>
            </w:r>
          </w:p>
        </w:tc>
        <w:tc>
          <w:tcPr>
            <w:tcW w:w="537" w:type="pct"/>
            <w:tcBorders>
              <w:bottom w:val="single" w:sz="4" w:space="0" w:color="auto"/>
            </w:tcBorders>
            <w:shd w:val="clear" w:color="auto" w:fill="auto"/>
            <w:noWrap/>
            <w:vAlign w:val="bottom"/>
            <w:hideMark/>
          </w:tcPr>
          <w:p w14:paraId="6E4037DB"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0.044</w:t>
            </w:r>
          </w:p>
        </w:tc>
        <w:tc>
          <w:tcPr>
            <w:tcW w:w="580" w:type="pct"/>
            <w:tcBorders>
              <w:bottom w:val="single" w:sz="4" w:space="0" w:color="auto"/>
            </w:tcBorders>
            <w:vAlign w:val="bottom"/>
          </w:tcPr>
          <w:p w14:paraId="30ABC532"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0.075</w:t>
            </w:r>
          </w:p>
        </w:tc>
        <w:tc>
          <w:tcPr>
            <w:tcW w:w="506" w:type="pct"/>
            <w:tcBorders>
              <w:bottom w:val="single" w:sz="4" w:space="0" w:color="auto"/>
            </w:tcBorders>
            <w:vAlign w:val="bottom"/>
          </w:tcPr>
          <w:p w14:paraId="48B8D3B9" w14:textId="77777777" w:rsidR="00C337E6" w:rsidRPr="00C337E6" w:rsidRDefault="00C337E6" w:rsidP="00C337E6">
            <w:pPr>
              <w:spacing w:after="0"/>
              <w:jc w:val="center"/>
              <w:rPr>
                <w:rFonts w:ascii="Times New Roman" w:hAnsi="Times New Roman" w:cs="Times New Roman"/>
                <w:sz w:val="18"/>
                <w:szCs w:val="18"/>
              </w:rPr>
            </w:pPr>
            <w:r w:rsidRPr="00C337E6">
              <w:rPr>
                <w:rFonts w:ascii="Times New Roman" w:hAnsi="Times New Roman" w:cs="Times New Roman"/>
                <w:sz w:val="18"/>
                <w:szCs w:val="18"/>
              </w:rPr>
              <w:t>0.040</w:t>
            </w:r>
          </w:p>
        </w:tc>
      </w:tr>
    </w:tbl>
    <w:p w14:paraId="79AAC2B5" w14:textId="77777777" w:rsidR="00C337E6" w:rsidRPr="00C337E6" w:rsidRDefault="00C337E6" w:rsidP="00C337E6">
      <w:pPr>
        <w:spacing w:after="0" w:line="240" w:lineRule="auto"/>
        <w:jc w:val="both"/>
        <w:rPr>
          <w:rFonts w:ascii="Times New Roman" w:hAnsi="Times New Roman" w:cs="Times New Roman"/>
          <w:sz w:val="18"/>
          <w:szCs w:val="18"/>
        </w:rPr>
      </w:pPr>
    </w:p>
    <w:p w14:paraId="26FC971C" w14:textId="77777777" w:rsidR="00C337E6" w:rsidRPr="00C337E6" w:rsidRDefault="00C337E6" w:rsidP="00C337E6">
      <w:pPr>
        <w:spacing w:after="0" w:line="240" w:lineRule="auto"/>
        <w:jc w:val="both"/>
        <w:rPr>
          <w:rFonts w:ascii="Times New Roman" w:hAnsi="Times New Roman" w:cs="Times New Roman"/>
          <w:sz w:val="18"/>
          <w:szCs w:val="18"/>
        </w:rPr>
      </w:pPr>
      <w:r w:rsidRPr="00C337E6">
        <w:rPr>
          <w:rFonts w:ascii="Times New Roman" w:hAnsi="Times New Roman" w:cs="Times New Roman"/>
          <w:sz w:val="18"/>
          <w:szCs w:val="18"/>
        </w:rPr>
        <w:t xml:space="preserve">Source: BHPS 2003-2008 and authors’ calculations. </w:t>
      </w:r>
    </w:p>
    <w:p w14:paraId="433DE2AA" w14:textId="77777777" w:rsidR="00C337E6" w:rsidRPr="00C337E6" w:rsidRDefault="00C337E6" w:rsidP="00C337E6">
      <w:pPr>
        <w:spacing w:line="240" w:lineRule="auto"/>
        <w:rPr>
          <w:rFonts w:ascii="Times New Roman" w:hAnsi="Times New Roman" w:cs="Times New Roman"/>
          <w:sz w:val="18"/>
        </w:rPr>
      </w:pPr>
      <w:r w:rsidRPr="00C337E6">
        <w:rPr>
          <w:rFonts w:ascii="Times New Roman" w:hAnsi="Times New Roman" w:cs="Times New Roman"/>
          <w:sz w:val="18"/>
          <w:szCs w:val="18"/>
        </w:rPr>
        <w:t>Notes: *** Significant at 0.01, ** at 0.05, * at 0.1. The same control variables as in Table 1 are included in all regressions. Standard errors (not reported) clustered at the individual level</w:t>
      </w:r>
      <w:r w:rsidRPr="00C337E6">
        <w:rPr>
          <w:rFonts w:ascii="Times New Roman" w:hAnsi="Times New Roman" w:cs="Times New Roman"/>
          <w:sz w:val="20"/>
        </w:rPr>
        <w:t xml:space="preserve">. </w:t>
      </w:r>
      <w:r w:rsidRPr="00C337E6">
        <w:rPr>
          <w:rFonts w:ascii="Times New Roman" w:hAnsi="Times New Roman" w:cs="Times New Roman"/>
          <w:sz w:val="18"/>
        </w:rPr>
        <w:t>Full econometric output is available in the supplementary information document.</w:t>
      </w:r>
    </w:p>
    <w:p w14:paraId="382D7743" w14:textId="77777777" w:rsidR="00C337E6" w:rsidRPr="00C337E6" w:rsidRDefault="00C337E6" w:rsidP="00C337E6">
      <w:pPr>
        <w:rPr>
          <w:rFonts w:ascii="Times New Roman" w:hAnsi="Times New Roman" w:cs="Times New Roman"/>
          <w:sz w:val="18"/>
        </w:rPr>
      </w:pPr>
    </w:p>
    <w:p w14:paraId="43452792" w14:textId="77777777" w:rsidR="00C337E6" w:rsidRPr="00C337E6" w:rsidRDefault="00C337E6" w:rsidP="00C337E6">
      <w:pPr>
        <w:rPr>
          <w:rFonts w:ascii="Times New Roman" w:hAnsi="Times New Roman" w:cs="Times New Roman"/>
          <w:sz w:val="18"/>
        </w:rPr>
      </w:pPr>
    </w:p>
    <w:p w14:paraId="4F0BEAE6" w14:textId="77777777" w:rsidR="00C337E6" w:rsidRPr="00C337E6" w:rsidRDefault="00C337E6" w:rsidP="00C337E6">
      <w:pPr>
        <w:spacing w:after="0" w:line="240" w:lineRule="auto"/>
        <w:rPr>
          <w:rFonts w:ascii="Times New Roman" w:hAnsi="Times New Roman" w:cs="Times New Roman"/>
          <w:sz w:val="18"/>
        </w:rPr>
      </w:pPr>
    </w:p>
    <w:p w14:paraId="3EFD1EB5" w14:textId="77777777" w:rsidR="0050191E" w:rsidRDefault="0050191E">
      <w:pPr>
        <w:rPr>
          <w:rFonts w:ascii="Times New Roman" w:hAnsi="Times New Roman" w:cs="Times New Roman"/>
          <w:sz w:val="18"/>
        </w:rPr>
      </w:pPr>
      <w:r>
        <w:rPr>
          <w:rFonts w:ascii="Times New Roman" w:hAnsi="Times New Roman" w:cs="Times New Roman"/>
          <w:sz w:val="18"/>
        </w:rPr>
        <w:br w:type="page"/>
      </w:r>
    </w:p>
    <w:p w14:paraId="732FDE35" w14:textId="5DE5410B" w:rsidR="00C337E6" w:rsidRPr="00C337E6" w:rsidRDefault="00C337E6" w:rsidP="00C337E6">
      <w:pPr>
        <w:spacing w:after="0" w:line="240" w:lineRule="auto"/>
        <w:rPr>
          <w:rFonts w:ascii="Times New Roman" w:eastAsia="Times New Roman" w:hAnsi="Times New Roman" w:cs="Times New Roman"/>
          <w:b/>
          <w:sz w:val="24"/>
          <w:szCs w:val="24"/>
        </w:rPr>
      </w:pPr>
      <w:r w:rsidRPr="00C337E6">
        <w:rPr>
          <w:rFonts w:ascii="Times New Roman" w:eastAsia="Times New Roman" w:hAnsi="Times New Roman" w:cs="Times New Roman"/>
          <w:b/>
          <w:sz w:val="24"/>
          <w:szCs w:val="24"/>
        </w:rPr>
        <w:t>APPENDIX TABLE A1: Descriptive Statistics</w:t>
      </w:r>
    </w:p>
    <w:p w14:paraId="0E6C7E95" w14:textId="77777777" w:rsidR="00C337E6" w:rsidRPr="00C337E6" w:rsidRDefault="00C337E6" w:rsidP="00C337E6">
      <w:pPr>
        <w:spacing w:after="0" w:line="240" w:lineRule="auto"/>
        <w:jc w:val="center"/>
        <w:rPr>
          <w:rFonts w:ascii="Times New Roman" w:eastAsia="Times New Roman" w:hAnsi="Times New Roman" w:cs="Times New Roman"/>
          <w:b/>
          <w:sz w:val="24"/>
          <w:szCs w:val="24"/>
        </w:rPr>
      </w:pPr>
    </w:p>
    <w:tbl>
      <w:tblPr>
        <w:tblW w:w="8497" w:type="dxa"/>
        <w:jc w:val="center"/>
        <w:tblLook w:val="04A0" w:firstRow="1" w:lastRow="0" w:firstColumn="1" w:lastColumn="0" w:noHBand="0" w:noVBand="1"/>
      </w:tblPr>
      <w:tblGrid>
        <w:gridCol w:w="4021"/>
        <w:gridCol w:w="1119"/>
        <w:gridCol w:w="1119"/>
        <w:gridCol w:w="1119"/>
        <w:gridCol w:w="1119"/>
      </w:tblGrid>
      <w:tr w:rsidR="00C337E6" w:rsidRPr="00C337E6" w14:paraId="6B615271" w14:textId="77777777" w:rsidTr="007D051D">
        <w:trPr>
          <w:trHeight w:val="276"/>
          <w:jc w:val="center"/>
        </w:trPr>
        <w:tc>
          <w:tcPr>
            <w:tcW w:w="4021" w:type="dxa"/>
            <w:tcBorders>
              <w:top w:val="single" w:sz="4" w:space="0" w:color="auto"/>
              <w:left w:val="nil"/>
              <w:bottom w:val="nil"/>
              <w:right w:val="nil"/>
            </w:tcBorders>
            <w:noWrap/>
            <w:vAlign w:val="bottom"/>
            <w:hideMark/>
          </w:tcPr>
          <w:p w14:paraId="7340E02F" w14:textId="77777777" w:rsidR="00C337E6" w:rsidRPr="00C337E6" w:rsidRDefault="00C337E6" w:rsidP="00C337E6">
            <w:pPr>
              <w:spacing w:after="0" w:line="240" w:lineRule="auto"/>
              <w:rPr>
                <w:rFonts w:ascii="Times New Roman" w:eastAsia="Times New Roman" w:hAnsi="Times New Roman" w:cs="Times New Roman"/>
                <w:b/>
                <w:szCs w:val="22"/>
                <w:lang w:eastAsia="en-US"/>
              </w:rPr>
            </w:pPr>
            <w:r w:rsidRPr="00C337E6">
              <w:rPr>
                <w:rFonts w:ascii="Times New Roman" w:eastAsia="Times New Roman" w:hAnsi="Times New Roman" w:cs="Times New Roman"/>
                <w:b/>
                <w:szCs w:val="22"/>
                <w:lang w:eastAsia="en-US"/>
              </w:rPr>
              <w:t>Variable</w:t>
            </w:r>
          </w:p>
        </w:tc>
        <w:tc>
          <w:tcPr>
            <w:tcW w:w="1119" w:type="dxa"/>
            <w:tcBorders>
              <w:top w:val="single" w:sz="4" w:space="0" w:color="auto"/>
              <w:left w:val="nil"/>
              <w:bottom w:val="nil"/>
              <w:right w:val="nil"/>
            </w:tcBorders>
            <w:noWrap/>
            <w:vAlign w:val="bottom"/>
            <w:hideMark/>
          </w:tcPr>
          <w:p w14:paraId="1AE564E9" w14:textId="77777777" w:rsidR="00C337E6" w:rsidRPr="00C337E6" w:rsidRDefault="00C337E6" w:rsidP="00C337E6">
            <w:pPr>
              <w:spacing w:after="0" w:line="240" w:lineRule="auto"/>
              <w:jc w:val="center"/>
              <w:rPr>
                <w:rFonts w:ascii="Times New Roman" w:eastAsia="Times New Roman" w:hAnsi="Times New Roman" w:cs="Times New Roman"/>
                <w:b/>
                <w:szCs w:val="22"/>
                <w:lang w:eastAsia="en-US"/>
              </w:rPr>
            </w:pPr>
            <w:r w:rsidRPr="00C337E6">
              <w:rPr>
                <w:rFonts w:ascii="Times New Roman" w:eastAsia="Times New Roman" w:hAnsi="Times New Roman" w:cs="Times New Roman"/>
                <w:b/>
                <w:szCs w:val="22"/>
                <w:lang w:eastAsia="en-US"/>
              </w:rPr>
              <w:t>Mean</w:t>
            </w:r>
          </w:p>
        </w:tc>
        <w:tc>
          <w:tcPr>
            <w:tcW w:w="1119" w:type="dxa"/>
            <w:tcBorders>
              <w:top w:val="single" w:sz="4" w:space="0" w:color="auto"/>
              <w:left w:val="nil"/>
              <w:bottom w:val="nil"/>
              <w:right w:val="nil"/>
            </w:tcBorders>
            <w:vAlign w:val="bottom"/>
            <w:hideMark/>
          </w:tcPr>
          <w:p w14:paraId="6D5CFF9B" w14:textId="77777777" w:rsidR="00C337E6" w:rsidRPr="00C337E6" w:rsidRDefault="00C337E6" w:rsidP="00C337E6">
            <w:pPr>
              <w:spacing w:after="0" w:line="240" w:lineRule="auto"/>
              <w:jc w:val="center"/>
              <w:rPr>
                <w:rFonts w:ascii="Times New Roman" w:eastAsia="Times New Roman" w:hAnsi="Times New Roman" w:cs="Times New Roman"/>
                <w:b/>
                <w:szCs w:val="22"/>
                <w:lang w:eastAsia="en-US"/>
              </w:rPr>
            </w:pPr>
            <w:r w:rsidRPr="00C337E6">
              <w:rPr>
                <w:rFonts w:ascii="Times New Roman" w:eastAsia="Times New Roman" w:hAnsi="Times New Roman" w:cs="Times New Roman"/>
                <w:b/>
                <w:szCs w:val="22"/>
                <w:lang w:eastAsia="en-US"/>
              </w:rPr>
              <w:t>St. dev.</w:t>
            </w:r>
          </w:p>
        </w:tc>
        <w:tc>
          <w:tcPr>
            <w:tcW w:w="1119" w:type="dxa"/>
            <w:tcBorders>
              <w:top w:val="single" w:sz="4" w:space="0" w:color="auto"/>
              <w:left w:val="nil"/>
              <w:bottom w:val="nil"/>
              <w:right w:val="nil"/>
            </w:tcBorders>
            <w:vAlign w:val="bottom"/>
            <w:hideMark/>
          </w:tcPr>
          <w:p w14:paraId="23C6C9A8" w14:textId="77777777" w:rsidR="00C337E6" w:rsidRPr="00C337E6" w:rsidRDefault="00C337E6" w:rsidP="00C337E6">
            <w:pPr>
              <w:spacing w:after="0" w:line="240" w:lineRule="auto"/>
              <w:jc w:val="center"/>
              <w:rPr>
                <w:rFonts w:ascii="Times New Roman" w:eastAsia="Times New Roman" w:hAnsi="Times New Roman" w:cs="Times New Roman"/>
                <w:b/>
                <w:szCs w:val="22"/>
                <w:lang w:eastAsia="en-US"/>
              </w:rPr>
            </w:pPr>
            <w:r w:rsidRPr="00C337E6">
              <w:rPr>
                <w:rFonts w:ascii="Times New Roman" w:eastAsia="Times New Roman" w:hAnsi="Times New Roman" w:cs="Times New Roman"/>
                <w:b/>
                <w:szCs w:val="22"/>
                <w:lang w:eastAsia="en-US"/>
              </w:rPr>
              <w:t>Min</w:t>
            </w:r>
          </w:p>
        </w:tc>
        <w:tc>
          <w:tcPr>
            <w:tcW w:w="1119" w:type="dxa"/>
            <w:tcBorders>
              <w:top w:val="single" w:sz="4" w:space="0" w:color="auto"/>
              <w:left w:val="nil"/>
              <w:bottom w:val="nil"/>
              <w:right w:val="nil"/>
            </w:tcBorders>
            <w:vAlign w:val="bottom"/>
            <w:hideMark/>
          </w:tcPr>
          <w:p w14:paraId="1C32FEAF" w14:textId="77777777" w:rsidR="00C337E6" w:rsidRPr="00C337E6" w:rsidRDefault="00C337E6" w:rsidP="00C337E6">
            <w:pPr>
              <w:spacing w:after="0" w:line="240" w:lineRule="auto"/>
              <w:jc w:val="center"/>
              <w:rPr>
                <w:rFonts w:ascii="Times New Roman" w:eastAsia="Times New Roman" w:hAnsi="Times New Roman" w:cs="Times New Roman"/>
                <w:b/>
                <w:szCs w:val="22"/>
                <w:lang w:eastAsia="en-US"/>
              </w:rPr>
            </w:pPr>
            <w:r w:rsidRPr="00C337E6">
              <w:rPr>
                <w:rFonts w:ascii="Times New Roman" w:eastAsia="Times New Roman" w:hAnsi="Times New Roman" w:cs="Times New Roman"/>
                <w:b/>
                <w:szCs w:val="22"/>
                <w:lang w:eastAsia="en-US"/>
              </w:rPr>
              <w:t>Max</w:t>
            </w:r>
          </w:p>
        </w:tc>
      </w:tr>
      <w:tr w:rsidR="00C337E6" w:rsidRPr="00C337E6" w14:paraId="547F140C" w14:textId="77777777" w:rsidTr="007D051D">
        <w:trPr>
          <w:trHeight w:val="276"/>
          <w:jc w:val="center"/>
        </w:trPr>
        <w:tc>
          <w:tcPr>
            <w:tcW w:w="4021" w:type="dxa"/>
            <w:tcBorders>
              <w:top w:val="single" w:sz="4" w:space="0" w:color="auto"/>
              <w:left w:val="nil"/>
              <w:bottom w:val="nil"/>
              <w:right w:val="nil"/>
            </w:tcBorders>
            <w:noWrap/>
            <w:vAlign w:val="bottom"/>
          </w:tcPr>
          <w:p w14:paraId="0FA4B536"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p>
          <w:p w14:paraId="3CC88B58"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Life satisfaction</w:t>
            </w:r>
          </w:p>
        </w:tc>
        <w:tc>
          <w:tcPr>
            <w:tcW w:w="1119" w:type="dxa"/>
            <w:tcBorders>
              <w:top w:val="single" w:sz="4" w:space="0" w:color="auto"/>
              <w:left w:val="nil"/>
              <w:bottom w:val="nil"/>
              <w:right w:val="nil"/>
            </w:tcBorders>
            <w:noWrap/>
            <w:vAlign w:val="bottom"/>
            <w:hideMark/>
          </w:tcPr>
          <w:p w14:paraId="749687A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5.2145</w:t>
            </w:r>
          </w:p>
        </w:tc>
        <w:tc>
          <w:tcPr>
            <w:tcW w:w="1119" w:type="dxa"/>
            <w:tcBorders>
              <w:top w:val="single" w:sz="4" w:space="0" w:color="auto"/>
              <w:left w:val="nil"/>
              <w:bottom w:val="nil"/>
              <w:right w:val="nil"/>
            </w:tcBorders>
            <w:vAlign w:val="bottom"/>
            <w:hideMark/>
          </w:tcPr>
          <w:p w14:paraId="4DE020C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1.2084</w:t>
            </w:r>
          </w:p>
        </w:tc>
        <w:tc>
          <w:tcPr>
            <w:tcW w:w="1119" w:type="dxa"/>
            <w:tcBorders>
              <w:top w:val="single" w:sz="4" w:space="0" w:color="auto"/>
              <w:left w:val="nil"/>
              <w:bottom w:val="nil"/>
              <w:right w:val="nil"/>
            </w:tcBorders>
            <w:vAlign w:val="bottom"/>
            <w:hideMark/>
          </w:tcPr>
          <w:p w14:paraId="2A57961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w:t>
            </w:r>
          </w:p>
        </w:tc>
        <w:tc>
          <w:tcPr>
            <w:tcW w:w="1119" w:type="dxa"/>
            <w:tcBorders>
              <w:top w:val="single" w:sz="4" w:space="0" w:color="auto"/>
              <w:left w:val="nil"/>
              <w:bottom w:val="nil"/>
              <w:right w:val="nil"/>
            </w:tcBorders>
            <w:vAlign w:val="bottom"/>
            <w:hideMark/>
          </w:tcPr>
          <w:p w14:paraId="7D26CC78"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7</w:t>
            </w:r>
          </w:p>
        </w:tc>
      </w:tr>
      <w:tr w:rsidR="00C337E6" w:rsidRPr="00C337E6" w14:paraId="64BCEF02" w14:textId="77777777" w:rsidTr="007D051D">
        <w:trPr>
          <w:trHeight w:val="276"/>
          <w:jc w:val="center"/>
        </w:trPr>
        <w:tc>
          <w:tcPr>
            <w:tcW w:w="4021" w:type="dxa"/>
            <w:noWrap/>
            <w:vAlign w:val="bottom"/>
          </w:tcPr>
          <w:p w14:paraId="2A310553"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p>
          <w:p w14:paraId="35A60962" w14:textId="77777777" w:rsidR="00C337E6" w:rsidRPr="00C337E6" w:rsidRDefault="00C337E6" w:rsidP="00C337E6">
            <w:pPr>
              <w:spacing w:after="0" w:line="240" w:lineRule="auto"/>
              <w:rPr>
                <w:rFonts w:ascii="Times New Roman" w:eastAsia="Times New Roman" w:hAnsi="Times New Roman" w:cs="Times New Roman"/>
                <w:b/>
                <w:szCs w:val="22"/>
                <w:lang w:eastAsia="en-US"/>
              </w:rPr>
            </w:pPr>
            <w:r w:rsidRPr="00C337E6">
              <w:rPr>
                <w:rFonts w:ascii="Times New Roman" w:eastAsia="Times New Roman" w:hAnsi="Times New Roman" w:cs="Times New Roman"/>
                <w:b/>
                <w:szCs w:val="22"/>
                <w:lang w:eastAsia="en-US"/>
              </w:rPr>
              <w:t>LAD level variables</w:t>
            </w:r>
          </w:p>
        </w:tc>
        <w:tc>
          <w:tcPr>
            <w:tcW w:w="1119" w:type="dxa"/>
            <w:noWrap/>
            <w:vAlign w:val="bottom"/>
          </w:tcPr>
          <w:p w14:paraId="3DC2D25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760C0FF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47CE92E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5AE6D66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3714FB6D" w14:textId="77777777" w:rsidTr="007D051D">
        <w:trPr>
          <w:trHeight w:val="276"/>
          <w:jc w:val="center"/>
        </w:trPr>
        <w:tc>
          <w:tcPr>
            <w:tcW w:w="4021" w:type="dxa"/>
            <w:noWrap/>
            <w:vAlign w:val="bottom"/>
            <w:hideMark/>
          </w:tcPr>
          <w:p w14:paraId="3F2A10A5"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 xml:space="preserve">Migrant inflow rate </w:t>
            </w:r>
          </w:p>
        </w:tc>
        <w:tc>
          <w:tcPr>
            <w:tcW w:w="1119" w:type="dxa"/>
            <w:noWrap/>
            <w:vAlign w:val="bottom"/>
            <w:hideMark/>
          </w:tcPr>
          <w:p w14:paraId="4BCD598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0.0024</w:t>
            </w:r>
          </w:p>
        </w:tc>
        <w:tc>
          <w:tcPr>
            <w:tcW w:w="1119" w:type="dxa"/>
            <w:vAlign w:val="bottom"/>
            <w:hideMark/>
          </w:tcPr>
          <w:p w14:paraId="1FEFF30C"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0.0029</w:t>
            </w:r>
          </w:p>
        </w:tc>
        <w:tc>
          <w:tcPr>
            <w:tcW w:w="1119" w:type="dxa"/>
            <w:vAlign w:val="bottom"/>
            <w:hideMark/>
          </w:tcPr>
          <w:p w14:paraId="534BE1E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w:t>
            </w:r>
          </w:p>
        </w:tc>
        <w:tc>
          <w:tcPr>
            <w:tcW w:w="1119" w:type="dxa"/>
            <w:vAlign w:val="bottom"/>
            <w:hideMark/>
          </w:tcPr>
          <w:p w14:paraId="212582BB"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0.0565</w:t>
            </w:r>
          </w:p>
        </w:tc>
      </w:tr>
      <w:tr w:rsidR="00C337E6" w:rsidRPr="00C337E6" w14:paraId="25DD6E07" w14:textId="77777777" w:rsidTr="007D051D">
        <w:trPr>
          <w:trHeight w:val="276"/>
          <w:jc w:val="center"/>
        </w:trPr>
        <w:tc>
          <w:tcPr>
            <w:tcW w:w="4021" w:type="dxa"/>
            <w:noWrap/>
            <w:vAlign w:val="bottom"/>
            <w:hideMark/>
          </w:tcPr>
          <w:p w14:paraId="3AFE66FB"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Job claimant rate</w:t>
            </w:r>
          </w:p>
        </w:tc>
        <w:tc>
          <w:tcPr>
            <w:tcW w:w="1119" w:type="dxa"/>
            <w:noWrap/>
            <w:vAlign w:val="bottom"/>
            <w:hideMark/>
          </w:tcPr>
          <w:p w14:paraId="4CC1719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2.2560</w:t>
            </w:r>
          </w:p>
        </w:tc>
        <w:tc>
          <w:tcPr>
            <w:tcW w:w="1119" w:type="dxa"/>
            <w:vAlign w:val="bottom"/>
            <w:hideMark/>
          </w:tcPr>
          <w:p w14:paraId="34308A5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1.0847</w:t>
            </w:r>
          </w:p>
        </w:tc>
        <w:tc>
          <w:tcPr>
            <w:tcW w:w="1119" w:type="dxa"/>
            <w:vAlign w:val="bottom"/>
            <w:hideMark/>
          </w:tcPr>
          <w:p w14:paraId="45384AE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0.4</w:t>
            </w:r>
          </w:p>
        </w:tc>
        <w:tc>
          <w:tcPr>
            <w:tcW w:w="1119" w:type="dxa"/>
            <w:vAlign w:val="bottom"/>
            <w:hideMark/>
          </w:tcPr>
          <w:p w14:paraId="1B9E603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6.5</w:t>
            </w:r>
          </w:p>
        </w:tc>
      </w:tr>
      <w:tr w:rsidR="00C337E6" w:rsidRPr="00C337E6" w14:paraId="25E47FB5" w14:textId="77777777" w:rsidTr="007D051D">
        <w:trPr>
          <w:trHeight w:val="276"/>
          <w:jc w:val="center"/>
        </w:trPr>
        <w:tc>
          <w:tcPr>
            <w:tcW w:w="4021" w:type="dxa"/>
            <w:noWrap/>
            <w:vAlign w:val="bottom"/>
            <w:hideMark/>
          </w:tcPr>
          <w:p w14:paraId="3AD2D2CB"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Crime rate</w:t>
            </w:r>
          </w:p>
        </w:tc>
        <w:tc>
          <w:tcPr>
            <w:tcW w:w="1119" w:type="dxa"/>
            <w:noWrap/>
            <w:vAlign w:val="bottom"/>
            <w:hideMark/>
          </w:tcPr>
          <w:p w14:paraId="44ED7DD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0.0964</w:t>
            </w:r>
          </w:p>
        </w:tc>
        <w:tc>
          <w:tcPr>
            <w:tcW w:w="1119" w:type="dxa"/>
            <w:vAlign w:val="bottom"/>
            <w:hideMark/>
          </w:tcPr>
          <w:p w14:paraId="6600FDD0"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0.0371</w:t>
            </w:r>
          </w:p>
        </w:tc>
        <w:tc>
          <w:tcPr>
            <w:tcW w:w="1119" w:type="dxa"/>
            <w:vAlign w:val="bottom"/>
            <w:hideMark/>
          </w:tcPr>
          <w:p w14:paraId="4F15FF8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0.0205</w:t>
            </w:r>
          </w:p>
        </w:tc>
        <w:tc>
          <w:tcPr>
            <w:tcW w:w="1119" w:type="dxa"/>
            <w:vAlign w:val="bottom"/>
            <w:hideMark/>
          </w:tcPr>
          <w:p w14:paraId="19F9F97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0.3758</w:t>
            </w:r>
          </w:p>
        </w:tc>
      </w:tr>
      <w:tr w:rsidR="00C337E6" w:rsidRPr="00C337E6" w14:paraId="51E52AE7" w14:textId="77777777" w:rsidTr="007D051D">
        <w:trPr>
          <w:trHeight w:val="276"/>
          <w:jc w:val="center"/>
        </w:trPr>
        <w:tc>
          <w:tcPr>
            <w:tcW w:w="4021" w:type="dxa"/>
            <w:noWrap/>
            <w:vAlign w:val="bottom"/>
          </w:tcPr>
          <w:p w14:paraId="4A041A0C"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Log of median house price</w:t>
            </w:r>
          </w:p>
        </w:tc>
        <w:tc>
          <w:tcPr>
            <w:tcW w:w="1119" w:type="dxa"/>
            <w:noWrap/>
            <w:vAlign w:val="bottom"/>
          </w:tcPr>
          <w:p w14:paraId="1A68094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11.9018</w:t>
            </w:r>
          </w:p>
        </w:tc>
        <w:tc>
          <w:tcPr>
            <w:tcW w:w="1119" w:type="dxa"/>
            <w:vAlign w:val="bottom"/>
          </w:tcPr>
          <w:p w14:paraId="243927F0"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0.3476</w:t>
            </w:r>
          </w:p>
        </w:tc>
        <w:tc>
          <w:tcPr>
            <w:tcW w:w="1119" w:type="dxa"/>
            <w:vAlign w:val="bottom"/>
          </w:tcPr>
          <w:p w14:paraId="3FBDE3A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10.4617</w:t>
            </w:r>
          </w:p>
        </w:tc>
        <w:tc>
          <w:tcPr>
            <w:tcW w:w="1119" w:type="dxa"/>
            <w:vAlign w:val="bottom"/>
          </w:tcPr>
          <w:p w14:paraId="72D4343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13.1062</w:t>
            </w:r>
          </w:p>
        </w:tc>
      </w:tr>
      <w:tr w:rsidR="00C337E6" w:rsidRPr="00C337E6" w14:paraId="5AAB7088" w14:textId="77777777" w:rsidTr="007D051D">
        <w:trPr>
          <w:trHeight w:val="276"/>
          <w:jc w:val="center"/>
        </w:trPr>
        <w:tc>
          <w:tcPr>
            <w:tcW w:w="4021" w:type="dxa"/>
            <w:noWrap/>
            <w:vAlign w:val="bottom"/>
          </w:tcPr>
          <w:p w14:paraId="5FABCDD6"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Log of median gross annual salary</w:t>
            </w:r>
          </w:p>
        </w:tc>
        <w:tc>
          <w:tcPr>
            <w:tcW w:w="1119" w:type="dxa"/>
            <w:noWrap/>
            <w:vAlign w:val="bottom"/>
          </w:tcPr>
          <w:p w14:paraId="5D04767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9.8631</w:t>
            </w:r>
          </w:p>
        </w:tc>
        <w:tc>
          <w:tcPr>
            <w:tcW w:w="1119" w:type="dxa"/>
            <w:vAlign w:val="bottom"/>
          </w:tcPr>
          <w:p w14:paraId="0F427AE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0.1579</w:t>
            </w:r>
          </w:p>
        </w:tc>
        <w:tc>
          <w:tcPr>
            <w:tcW w:w="1119" w:type="dxa"/>
            <w:vAlign w:val="bottom"/>
          </w:tcPr>
          <w:p w14:paraId="047162BC"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9.4147</w:t>
            </w:r>
          </w:p>
        </w:tc>
        <w:tc>
          <w:tcPr>
            <w:tcW w:w="1119" w:type="dxa"/>
            <w:vAlign w:val="bottom"/>
          </w:tcPr>
          <w:p w14:paraId="0CE57AF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10.4895</w:t>
            </w:r>
          </w:p>
        </w:tc>
      </w:tr>
      <w:tr w:rsidR="00C337E6" w:rsidRPr="00C337E6" w14:paraId="0352136C" w14:textId="77777777" w:rsidTr="007D051D">
        <w:trPr>
          <w:trHeight w:val="276"/>
          <w:jc w:val="center"/>
        </w:trPr>
        <w:tc>
          <w:tcPr>
            <w:tcW w:w="4021" w:type="dxa"/>
            <w:noWrap/>
            <w:vAlign w:val="bottom"/>
          </w:tcPr>
          <w:p w14:paraId="7E08F595"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New migrant GP registrations rate</w:t>
            </w:r>
          </w:p>
        </w:tc>
        <w:tc>
          <w:tcPr>
            <w:tcW w:w="1119" w:type="dxa"/>
            <w:noWrap/>
            <w:vAlign w:val="bottom"/>
          </w:tcPr>
          <w:p w14:paraId="38C24FB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0.0092</w:t>
            </w:r>
          </w:p>
        </w:tc>
        <w:tc>
          <w:tcPr>
            <w:tcW w:w="1119" w:type="dxa"/>
            <w:vAlign w:val="bottom"/>
          </w:tcPr>
          <w:p w14:paraId="1178D94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0.0081</w:t>
            </w:r>
          </w:p>
        </w:tc>
        <w:tc>
          <w:tcPr>
            <w:tcW w:w="1119" w:type="dxa"/>
            <w:vAlign w:val="bottom"/>
          </w:tcPr>
          <w:p w14:paraId="643347C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0.0002</w:t>
            </w:r>
          </w:p>
        </w:tc>
        <w:tc>
          <w:tcPr>
            <w:tcW w:w="1119" w:type="dxa"/>
            <w:vAlign w:val="bottom"/>
          </w:tcPr>
          <w:p w14:paraId="1E56CF0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0.0530</w:t>
            </w:r>
          </w:p>
        </w:tc>
      </w:tr>
      <w:tr w:rsidR="00C337E6" w:rsidRPr="00C337E6" w14:paraId="7247925C" w14:textId="77777777" w:rsidTr="007D051D">
        <w:trPr>
          <w:trHeight w:val="276"/>
          <w:jc w:val="center"/>
        </w:trPr>
        <w:tc>
          <w:tcPr>
            <w:tcW w:w="4021" w:type="dxa"/>
            <w:noWrap/>
            <w:vAlign w:val="bottom"/>
          </w:tcPr>
          <w:p w14:paraId="7EBFC6B6"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p>
          <w:p w14:paraId="1E3721F8" w14:textId="77777777" w:rsidR="00C337E6" w:rsidRPr="00C337E6" w:rsidRDefault="00C337E6" w:rsidP="00C337E6">
            <w:pPr>
              <w:spacing w:after="0" w:line="240" w:lineRule="auto"/>
              <w:rPr>
                <w:rFonts w:ascii="Times New Roman" w:eastAsia="Times New Roman" w:hAnsi="Times New Roman" w:cs="Times New Roman"/>
                <w:b/>
                <w:szCs w:val="22"/>
                <w:lang w:eastAsia="en-US"/>
              </w:rPr>
            </w:pPr>
            <w:r w:rsidRPr="00C337E6">
              <w:rPr>
                <w:rFonts w:ascii="Times New Roman" w:eastAsia="Times New Roman" w:hAnsi="Times New Roman" w:cs="Times New Roman"/>
                <w:b/>
                <w:szCs w:val="22"/>
                <w:lang w:eastAsia="en-US"/>
              </w:rPr>
              <w:t>Individual level variables</w:t>
            </w:r>
          </w:p>
        </w:tc>
        <w:tc>
          <w:tcPr>
            <w:tcW w:w="1119" w:type="dxa"/>
            <w:noWrap/>
            <w:vAlign w:val="bottom"/>
          </w:tcPr>
          <w:p w14:paraId="441ED63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6E0D2C3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0A65F5D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049564C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2B81E0A8" w14:textId="77777777" w:rsidTr="007D051D">
        <w:trPr>
          <w:trHeight w:val="276"/>
          <w:jc w:val="center"/>
        </w:trPr>
        <w:tc>
          <w:tcPr>
            <w:tcW w:w="4021" w:type="dxa"/>
            <w:noWrap/>
            <w:vAlign w:val="bottom"/>
            <w:hideMark/>
          </w:tcPr>
          <w:p w14:paraId="3EC6C77C"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p>
        </w:tc>
        <w:tc>
          <w:tcPr>
            <w:tcW w:w="1119" w:type="dxa"/>
            <w:noWrap/>
            <w:vAlign w:val="bottom"/>
          </w:tcPr>
          <w:p w14:paraId="6ADFC7D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2601B31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2A4006C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75507AB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775BAFBB" w14:textId="77777777" w:rsidTr="007D051D">
        <w:trPr>
          <w:trHeight w:val="276"/>
          <w:jc w:val="center"/>
        </w:trPr>
        <w:tc>
          <w:tcPr>
            <w:tcW w:w="4021" w:type="dxa"/>
            <w:noWrap/>
            <w:vAlign w:val="bottom"/>
            <w:hideMark/>
          </w:tcPr>
          <w:p w14:paraId="30945CD5"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Age</w:t>
            </w:r>
          </w:p>
        </w:tc>
        <w:tc>
          <w:tcPr>
            <w:tcW w:w="1119" w:type="dxa"/>
            <w:noWrap/>
            <w:vAlign w:val="bottom"/>
            <w:hideMark/>
          </w:tcPr>
          <w:p w14:paraId="46BA1C0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46.1724</w:t>
            </w:r>
          </w:p>
        </w:tc>
        <w:tc>
          <w:tcPr>
            <w:tcW w:w="1119" w:type="dxa"/>
            <w:vAlign w:val="bottom"/>
            <w:hideMark/>
          </w:tcPr>
          <w:p w14:paraId="6CD1879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18.4830</w:t>
            </w:r>
          </w:p>
        </w:tc>
        <w:tc>
          <w:tcPr>
            <w:tcW w:w="1119" w:type="dxa"/>
            <w:vAlign w:val="bottom"/>
            <w:hideMark/>
          </w:tcPr>
          <w:p w14:paraId="3D4C7AC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16</w:t>
            </w:r>
          </w:p>
        </w:tc>
        <w:tc>
          <w:tcPr>
            <w:tcW w:w="1119" w:type="dxa"/>
            <w:vAlign w:val="bottom"/>
            <w:hideMark/>
          </w:tcPr>
          <w:p w14:paraId="3A0F487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99</w:t>
            </w:r>
          </w:p>
        </w:tc>
      </w:tr>
      <w:tr w:rsidR="00C337E6" w:rsidRPr="00C337E6" w14:paraId="23F66F6F" w14:textId="77777777" w:rsidTr="007D051D">
        <w:trPr>
          <w:trHeight w:val="276"/>
          <w:jc w:val="center"/>
        </w:trPr>
        <w:tc>
          <w:tcPr>
            <w:tcW w:w="4021" w:type="dxa"/>
            <w:noWrap/>
            <w:vAlign w:val="bottom"/>
            <w:hideMark/>
          </w:tcPr>
          <w:p w14:paraId="1371831C"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Log monthly household income (in 2005 prices)</w:t>
            </w:r>
          </w:p>
        </w:tc>
        <w:tc>
          <w:tcPr>
            <w:tcW w:w="1119" w:type="dxa"/>
            <w:noWrap/>
            <w:hideMark/>
          </w:tcPr>
          <w:p w14:paraId="04BF8B7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7.7620</w:t>
            </w:r>
          </w:p>
        </w:tc>
        <w:tc>
          <w:tcPr>
            <w:tcW w:w="1119" w:type="dxa"/>
            <w:hideMark/>
          </w:tcPr>
          <w:p w14:paraId="4356E45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1.0384</w:t>
            </w:r>
          </w:p>
        </w:tc>
        <w:tc>
          <w:tcPr>
            <w:tcW w:w="1119" w:type="dxa"/>
            <w:hideMark/>
          </w:tcPr>
          <w:p w14:paraId="7783DF8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-6.9893</w:t>
            </w:r>
          </w:p>
        </w:tc>
        <w:tc>
          <w:tcPr>
            <w:tcW w:w="1119" w:type="dxa"/>
            <w:hideMark/>
          </w:tcPr>
          <w:p w14:paraId="192462F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11.2887</w:t>
            </w:r>
          </w:p>
        </w:tc>
      </w:tr>
      <w:tr w:rsidR="00C337E6" w:rsidRPr="00C337E6" w14:paraId="26878803" w14:textId="77777777" w:rsidTr="007D051D">
        <w:trPr>
          <w:trHeight w:val="276"/>
          <w:jc w:val="center"/>
        </w:trPr>
        <w:tc>
          <w:tcPr>
            <w:tcW w:w="4021" w:type="dxa"/>
            <w:noWrap/>
            <w:vAlign w:val="bottom"/>
          </w:tcPr>
          <w:p w14:paraId="401DC1E7"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p>
          <w:p w14:paraId="50A486D2"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r w:rsidRPr="00C337E6">
              <w:rPr>
                <w:rFonts w:ascii="Times New Roman" w:eastAsia="Times New Roman" w:hAnsi="Times New Roman" w:cs="Times New Roman"/>
                <w:i/>
                <w:szCs w:val="22"/>
                <w:lang w:eastAsia="en-US"/>
              </w:rPr>
              <w:t>Labor market status</w:t>
            </w:r>
          </w:p>
        </w:tc>
        <w:tc>
          <w:tcPr>
            <w:tcW w:w="1119" w:type="dxa"/>
            <w:noWrap/>
            <w:vAlign w:val="bottom"/>
          </w:tcPr>
          <w:p w14:paraId="52D5003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5075A388"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4C0F6DA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06EF547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56EB0460" w14:textId="77777777" w:rsidTr="007D051D">
        <w:trPr>
          <w:trHeight w:val="276"/>
          <w:jc w:val="center"/>
        </w:trPr>
        <w:tc>
          <w:tcPr>
            <w:tcW w:w="4021" w:type="dxa"/>
            <w:noWrap/>
            <w:vAlign w:val="bottom"/>
            <w:hideMark/>
          </w:tcPr>
          <w:p w14:paraId="38799276"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Employed</w:t>
            </w:r>
          </w:p>
        </w:tc>
        <w:tc>
          <w:tcPr>
            <w:tcW w:w="1119" w:type="dxa"/>
            <w:noWrap/>
            <w:vAlign w:val="bottom"/>
            <w:hideMark/>
          </w:tcPr>
          <w:p w14:paraId="2AF49BA0"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0.6072</w:t>
            </w:r>
          </w:p>
        </w:tc>
        <w:tc>
          <w:tcPr>
            <w:tcW w:w="1119" w:type="dxa"/>
            <w:vAlign w:val="bottom"/>
          </w:tcPr>
          <w:p w14:paraId="05030C0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60F196F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F39C94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598BA5CE" w14:textId="77777777" w:rsidTr="007D051D">
        <w:trPr>
          <w:trHeight w:val="276"/>
          <w:jc w:val="center"/>
        </w:trPr>
        <w:tc>
          <w:tcPr>
            <w:tcW w:w="4021" w:type="dxa"/>
            <w:noWrap/>
            <w:vAlign w:val="bottom"/>
            <w:hideMark/>
          </w:tcPr>
          <w:p w14:paraId="1113CC71"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Unemployed</w:t>
            </w:r>
          </w:p>
        </w:tc>
        <w:tc>
          <w:tcPr>
            <w:tcW w:w="1119" w:type="dxa"/>
            <w:noWrap/>
            <w:vAlign w:val="bottom"/>
            <w:hideMark/>
          </w:tcPr>
          <w:p w14:paraId="3F96BE4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0.0290</w:t>
            </w:r>
          </w:p>
        </w:tc>
        <w:tc>
          <w:tcPr>
            <w:tcW w:w="1119" w:type="dxa"/>
            <w:vAlign w:val="bottom"/>
          </w:tcPr>
          <w:p w14:paraId="150F731B"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0CBF923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C587BA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2225F415" w14:textId="77777777" w:rsidTr="007D051D">
        <w:trPr>
          <w:trHeight w:val="276"/>
          <w:jc w:val="center"/>
        </w:trPr>
        <w:tc>
          <w:tcPr>
            <w:tcW w:w="4021" w:type="dxa"/>
            <w:noWrap/>
            <w:vAlign w:val="bottom"/>
            <w:hideMark/>
          </w:tcPr>
          <w:p w14:paraId="5D64B344"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Inactive</w:t>
            </w:r>
          </w:p>
        </w:tc>
        <w:tc>
          <w:tcPr>
            <w:tcW w:w="1119" w:type="dxa"/>
            <w:noWrap/>
            <w:vAlign w:val="bottom"/>
            <w:hideMark/>
          </w:tcPr>
          <w:p w14:paraId="7B3E12F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0.3638</w:t>
            </w:r>
          </w:p>
        </w:tc>
        <w:tc>
          <w:tcPr>
            <w:tcW w:w="1119" w:type="dxa"/>
            <w:vAlign w:val="bottom"/>
          </w:tcPr>
          <w:p w14:paraId="176A70B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6972CE0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7455FF0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21B0531A" w14:textId="77777777" w:rsidTr="007D051D">
        <w:trPr>
          <w:trHeight w:val="276"/>
          <w:jc w:val="center"/>
        </w:trPr>
        <w:tc>
          <w:tcPr>
            <w:tcW w:w="4021" w:type="dxa"/>
            <w:noWrap/>
            <w:vAlign w:val="bottom"/>
          </w:tcPr>
          <w:p w14:paraId="25118E31"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p>
          <w:p w14:paraId="2D88A8FF"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r w:rsidRPr="00C337E6">
              <w:rPr>
                <w:rFonts w:ascii="Times New Roman" w:eastAsia="Times New Roman" w:hAnsi="Times New Roman" w:cs="Times New Roman"/>
                <w:i/>
                <w:szCs w:val="22"/>
                <w:lang w:eastAsia="en-US"/>
              </w:rPr>
              <w:t>Subjective general health status</w:t>
            </w:r>
          </w:p>
        </w:tc>
        <w:tc>
          <w:tcPr>
            <w:tcW w:w="1119" w:type="dxa"/>
            <w:noWrap/>
            <w:vAlign w:val="bottom"/>
          </w:tcPr>
          <w:p w14:paraId="6EC8052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0A7A335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0D111EE0"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64DA31AB"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552E4312" w14:textId="77777777" w:rsidTr="007D051D">
        <w:trPr>
          <w:trHeight w:val="276"/>
          <w:jc w:val="center"/>
        </w:trPr>
        <w:tc>
          <w:tcPr>
            <w:tcW w:w="4021" w:type="dxa"/>
            <w:noWrap/>
            <w:vAlign w:val="bottom"/>
            <w:hideMark/>
          </w:tcPr>
          <w:p w14:paraId="0470C818"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Excellent</w:t>
            </w:r>
          </w:p>
        </w:tc>
        <w:tc>
          <w:tcPr>
            <w:tcW w:w="1119" w:type="dxa"/>
            <w:noWrap/>
            <w:vAlign w:val="bottom"/>
            <w:hideMark/>
          </w:tcPr>
          <w:p w14:paraId="75B8E44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0.2262</w:t>
            </w:r>
          </w:p>
        </w:tc>
        <w:tc>
          <w:tcPr>
            <w:tcW w:w="1119" w:type="dxa"/>
            <w:vAlign w:val="bottom"/>
          </w:tcPr>
          <w:p w14:paraId="511B8F4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953817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039A655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2E7B4FD8" w14:textId="77777777" w:rsidTr="007D051D">
        <w:trPr>
          <w:trHeight w:val="276"/>
          <w:jc w:val="center"/>
        </w:trPr>
        <w:tc>
          <w:tcPr>
            <w:tcW w:w="4021" w:type="dxa"/>
            <w:noWrap/>
            <w:vAlign w:val="bottom"/>
            <w:hideMark/>
          </w:tcPr>
          <w:p w14:paraId="6ACFF788"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Good</w:t>
            </w:r>
          </w:p>
        </w:tc>
        <w:tc>
          <w:tcPr>
            <w:tcW w:w="1119" w:type="dxa"/>
            <w:noWrap/>
            <w:vAlign w:val="bottom"/>
            <w:hideMark/>
          </w:tcPr>
          <w:p w14:paraId="47580F1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0.4836</w:t>
            </w:r>
          </w:p>
        </w:tc>
        <w:tc>
          <w:tcPr>
            <w:tcW w:w="1119" w:type="dxa"/>
            <w:vAlign w:val="bottom"/>
          </w:tcPr>
          <w:p w14:paraId="1848F5B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42069AE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271B00B"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57505231" w14:textId="77777777" w:rsidTr="007D051D">
        <w:trPr>
          <w:trHeight w:val="276"/>
          <w:jc w:val="center"/>
        </w:trPr>
        <w:tc>
          <w:tcPr>
            <w:tcW w:w="4021" w:type="dxa"/>
            <w:noWrap/>
            <w:vAlign w:val="bottom"/>
            <w:hideMark/>
          </w:tcPr>
          <w:p w14:paraId="4BB2CDA3"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Fair</w:t>
            </w:r>
          </w:p>
        </w:tc>
        <w:tc>
          <w:tcPr>
            <w:tcW w:w="1119" w:type="dxa"/>
            <w:noWrap/>
            <w:vAlign w:val="bottom"/>
            <w:hideMark/>
          </w:tcPr>
          <w:p w14:paraId="2587BA9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0.2093</w:t>
            </w:r>
          </w:p>
        </w:tc>
        <w:tc>
          <w:tcPr>
            <w:tcW w:w="1119" w:type="dxa"/>
            <w:vAlign w:val="bottom"/>
          </w:tcPr>
          <w:p w14:paraId="630DD43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4927BD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2A60D1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67906305" w14:textId="77777777" w:rsidTr="007D051D">
        <w:trPr>
          <w:trHeight w:val="276"/>
          <w:jc w:val="center"/>
        </w:trPr>
        <w:tc>
          <w:tcPr>
            <w:tcW w:w="4021" w:type="dxa"/>
            <w:noWrap/>
            <w:vAlign w:val="bottom"/>
            <w:hideMark/>
          </w:tcPr>
          <w:p w14:paraId="3F6DF5CC"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Poor</w:t>
            </w:r>
          </w:p>
        </w:tc>
        <w:tc>
          <w:tcPr>
            <w:tcW w:w="1119" w:type="dxa"/>
            <w:noWrap/>
            <w:vAlign w:val="bottom"/>
            <w:hideMark/>
          </w:tcPr>
          <w:p w14:paraId="787B5E5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0.0649</w:t>
            </w:r>
          </w:p>
        </w:tc>
        <w:tc>
          <w:tcPr>
            <w:tcW w:w="1119" w:type="dxa"/>
            <w:vAlign w:val="bottom"/>
          </w:tcPr>
          <w:p w14:paraId="2FDEF12B"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6D6D61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4ADEFCA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1135BD1C" w14:textId="77777777" w:rsidTr="007D051D">
        <w:trPr>
          <w:trHeight w:val="276"/>
          <w:jc w:val="center"/>
        </w:trPr>
        <w:tc>
          <w:tcPr>
            <w:tcW w:w="4021" w:type="dxa"/>
            <w:noWrap/>
            <w:vAlign w:val="bottom"/>
            <w:hideMark/>
          </w:tcPr>
          <w:p w14:paraId="29339F6B"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Very poor</w:t>
            </w:r>
          </w:p>
        </w:tc>
        <w:tc>
          <w:tcPr>
            <w:tcW w:w="1119" w:type="dxa"/>
            <w:noWrap/>
            <w:vAlign w:val="bottom"/>
            <w:hideMark/>
          </w:tcPr>
          <w:p w14:paraId="3C77953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0.0160</w:t>
            </w:r>
          </w:p>
        </w:tc>
        <w:tc>
          <w:tcPr>
            <w:tcW w:w="1119" w:type="dxa"/>
            <w:vAlign w:val="bottom"/>
          </w:tcPr>
          <w:p w14:paraId="52A4A53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16406D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4566BB8C"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11DA06DC" w14:textId="77777777" w:rsidTr="007D051D">
        <w:trPr>
          <w:trHeight w:val="276"/>
          <w:jc w:val="center"/>
        </w:trPr>
        <w:tc>
          <w:tcPr>
            <w:tcW w:w="4021" w:type="dxa"/>
            <w:noWrap/>
            <w:vAlign w:val="bottom"/>
          </w:tcPr>
          <w:p w14:paraId="55A48714"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p>
          <w:p w14:paraId="23DEF50A"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r w:rsidRPr="00C337E6">
              <w:rPr>
                <w:rFonts w:ascii="Times New Roman" w:eastAsia="Times New Roman" w:hAnsi="Times New Roman" w:cs="Times New Roman"/>
                <w:i/>
                <w:szCs w:val="22"/>
                <w:lang w:eastAsia="en-US"/>
              </w:rPr>
              <w:t>Marital status &amp; household characteristics</w:t>
            </w:r>
          </w:p>
        </w:tc>
        <w:tc>
          <w:tcPr>
            <w:tcW w:w="1119" w:type="dxa"/>
            <w:noWrap/>
            <w:vAlign w:val="bottom"/>
          </w:tcPr>
          <w:p w14:paraId="3B6B544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1F8C105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5B5C95F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09F1872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2A57065D" w14:textId="77777777" w:rsidTr="007D051D">
        <w:trPr>
          <w:trHeight w:val="276"/>
          <w:jc w:val="center"/>
        </w:trPr>
        <w:tc>
          <w:tcPr>
            <w:tcW w:w="4021" w:type="dxa"/>
            <w:noWrap/>
            <w:vAlign w:val="bottom"/>
            <w:hideMark/>
          </w:tcPr>
          <w:p w14:paraId="7445E1C9"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Married or Cohabiting</w:t>
            </w:r>
          </w:p>
        </w:tc>
        <w:tc>
          <w:tcPr>
            <w:tcW w:w="1119" w:type="dxa"/>
            <w:noWrap/>
            <w:vAlign w:val="bottom"/>
            <w:hideMark/>
          </w:tcPr>
          <w:p w14:paraId="37F3E13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0.6739</w:t>
            </w:r>
          </w:p>
        </w:tc>
        <w:tc>
          <w:tcPr>
            <w:tcW w:w="1119" w:type="dxa"/>
            <w:vAlign w:val="bottom"/>
          </w:tcPr>
          <w:p w14:paraId="2214DFD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5DD010C"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5A7DE21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54B29D94" w14:textId="77777777" w:rsidTr="007D051D">
        <w:trPr>
          <w:trHeight w:val="276"/>
          <w:jc w:val="center"/>
        </w:trPr>
        <w:tc>
          <w:tcPr>
            <w:tcW w:w="4021" w:type="dxa"/>
            <w:noWrap/>
            <w:vAlign w:val="bottom"/>
            <w:hideMark/>
          </w:tcPr>
          <w:p w14:paraId="679BE33E"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Widowed, Divorced or Separated</w:t>
            </w:r>
          </w:p>
        </w:tc>
        <w:tc>
          <w:tcPr>
            <w:tcW w:w="1119" w:type="dxa"/>
            <w:noWrap/>
            <w:vAlign w:val="bottom"/>
            <w:hideMark/>
          </w:tcPr>
          <w:p w14:paraId="6269A9F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0.1299</w:t>
            </w:r>
          </w:p>
        </w:tc>
        <w:tc>
          <w:tcPr>
            <w:tcW w:w="1119" w:type="dxa"/>
            <w:vAlign w:val="bottom"/>
          </w:tcPr>
          <w:p w14:paraId="0AAA973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4D78DA9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306603F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0EC2172F" w14:textId="77777777" w:rsidTr="007D051D">
        <w:trPr>
          <w:trHeight w:val="276"/>
          <w:jc w:val="center"/>
        </w:trPr>
        <w:tc>
          <w:tcPr>
            <w:tcW w:w="4021" w:type="dxa"/>
            <w:noWrap/>
            <w:vAlign w:val="bottom"/>
            <w:hideMark/>
          </w:tcPr>
          <w:p w14:paraId="63540CDB"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Never Married</w:t>
            </w:r>
          </w:p>
        </w:tc>
        <w:tc>
          <w:tcPr>
            <w:tcW w:w="1119" w:type="dxa"/>
            <w:noWrap/>
            <w:vAlign w:val="bottom"/>
            <w:hideMark/>
          </w:tcPr>
          <w:p w14:paraId="2A7E227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0.1962</w:t>
            </w:r>
          </w:p>
        </w:tc>
        <w:tc>
          <w:tcPr>
            <w:tcW w:w="1119" w:type="dxa"/>
            <w:vAlign w:val="bottom"/>
          </w:tcPr>
          <w:p w14:paraId="43FC570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42A3FC7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81A29CB"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0152A8E5" w14:textId="77777777" w:rsidTr="007D051D">
        <w:trPr>
          <w:trHeight w:val="276"/>
          <w:jc w:val="center"/>
        </w:trPr>
        <w:tc>
          <w:tcPr>
            <w:tcW w:w="4021" w:type="dxa"/>
            <w:noWrap/>
            <w:vAlign w:val="bottom"/>
            <w:hideMark/>
          </w:tcPr>
          <w:p w14:paraId="47000FA9"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Number of children in household</w:t>
            </w:r>
          </w:p>
        </w:tc>
        <w:tc>
          <w:tcPr>
            <w:tcW w:w="1119" w:type="dxa"/>
            <w:noWrap/>
            <w:vAlign w:val="bottom"/>
            <w:hideMark/>
          </w:tcPr>
          <w:p w14:paraId="686598F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0.4846</w:t>
            </w:r>
          </w:p>
        </w:tc>
        <w:tc>
          <w:tcPr>
            <w:tcW w:w="1119" w:type="dxa"/>
            <w:vAlign w:val="bottom"/>
            <w:hideMark/>
          </w:tcPr>
          <w:p w14:paraId="1CAA1C0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0.8922</w:t>
            </w:r>
          </w:p>
        </w:tc>
        <w:tc>
          <w:tcPr>
            <w:tcW w:w="1119" w:type="dxa"/>
            <w:vAlign w:val="bottom"/>
            <w:hideMark/>
          </w:tcPr>
          <w:p w14:paraId="4501889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w:t>
            </w:r>
          </w:p>
        </w:tc>
        <w:tc>
          <w:tcPr>
            <w:tcW w:w="1119" w:type="dxa"/>
            <w:vAlign w:val="bottom"/>
            <w:hideMark/>
          </w:tcPr>
          <w:p w14:paraId="66E1D91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7</w:t>
            </w:r>
          </w:p>
        </w:tc>
      </w:tr>
      <w:tr w:rsidR="00C337E6" w:rsidRPr="00C337E6" w14:paraId="4B322CE0" w14:textId="77777777" w:rsidTr="007D051D">
        <w:trPr>
          <w:trHeight w:val="276"/>
          <w:jc w:val="center"/>
        </w:trPr>
        <w:tc>
          <w:tcPr>
            <w:tcW w:w="4021" w:type="dxa"/>
            <w:noWrap/>
            <w:vAlign w:val="bottom"/>
            <w:hideMark/>
          </w:tcPr>
          <w:p w14:paraId="5B2602A0"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Household Size</w:t>
            </w:r>
          </w:p>
        </w:tc>
        <w:tc>
          <w:tcPr>
            <w:tcW w:w="1119" w:type="dxa"/>
            <w:noWrap/>
            <w:vAlign w:val="bottom"/>
            <w:hideMark/>
          </w:tcPr>
          <w:p w14:paraId="5C3F9F1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2.8361</w:t>
            </w:r>
          </w:p>
        </w:tc>
        <w:tc>
          <w:tcPr>
            <w:tcW w:w="1119" w:type="dxa"/>
            <w:vAlign w:val="bottom"/>
            <w:hideMark/>
          </w:tcPr>
          <w:p w14:paraId="0FC85C4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1.3211</w:t>
            </w:r>
          </w:p>
        </w:tc>
        <w:tc>
          <w:tcPr>
            <w:tcW w:w="1119" w:type="dxa"/>
            <w:vAlign w:val="bottom"/>
            <w:hideMark/>
          </w:tcPr>
          <w:p w14:paraId="1487E3FC"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w:t>
            </w:r>
          </w:p>
        </w:tc>
        <w:tc>
          <w:tcPr>
            <w:tcW w:w="1119" w:type="dxa"/>
            <w:vAlign w:val="bottom"/>
            <w:hideMark/>
          </w:tcPr>
          <w:p w14:paraId="3C42012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10</w:t>
            </w:r>
          </w:p>
        </w:tc>
      </w:tr>
      <w:tr w:rsidR="00C337E6" w:rsidRPr="00C337E6" w14:paraId="32F56CA5" w14:textId="77777777" w:rsidTr="007D051D">
        <w:trPr>
          <w:trHeight w:val="276"/>
          <w:jc w:val="center"/>
        </w:trPr>
        <w:tc>
          <w:tcPr>
            <w:tcW w:w="4021" w:type="dxa"/>
            <w:noWrap/>
            <w:vAlign w:val="bottom"/>
          </w:tcPr>
          <w:p w14:paraId="5EF057B4"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p>
          <w:p w14:paraId="4561756C"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r w:rsidRPr="00C337E6">
              <w:rPr>
                <w:rFonts w:ascii="Times New Roman" w:eastAsia="Times New Roman" w:hAnsi="Times New Roman" w:cs="Times New Roman"/>
                <w:i/>
                <w:szCs w:val="22"/>
                <w:lang w:eastAsia="en-US"/>
              </w:rPr>
              <w:t>Housing tenure</w:t>
            </w:r>
          </w:p>
        </w:tc>
        <w:tc>
          <w:tcPr>
            <w:tcW w:w="1119" w:type="dxa"/>
            <w:noWrap/>
            <w:vAlign w:val="bottom"/>
          </w:tcPr>
          <w:p w14:paraId="46E292B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7D225DB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2A718E38"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6169CD4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24F6F156" w14:textId="77777777" w:rsidTr="007D051D">
        <w:trPr>
          <w:trHeight w:val="276"/>
          <w:jc w:val="center"/>
        </w:trPr>
        <w:tc>
          <w:tcPr>
            <w:tcW w:w="4021" w:type="dxa"/>
            <w:noWrap/>
            <w:vAlign w:val="bottom"/>
            <w:hideMark/>
          </w:tcPr>
          <w:p w14:paraId="0C55CAD7"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Outright House Owner</w:t>
            </w:r>
          </w:p>
        </w:tc>
        <w:tc>
          <w:tcPr>
            <w:tcW w:w="1119" w:type="dxa"/>
            <w:noWrap/>
            <w:vAlign w:val="bottom"/>
            <w:hideMark/>
          </w:tcPr>
          <w:p w14:paraId="525345D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0.3039</w:t>
            </w:r>
          </w:p>
        </w:tc>
        <w:tc>
          <w:tcPr>
            <w:tcW w:w="1119" w:type="dxa"/>
            <w:vAlign w:val="bottom"/>
          </w:tcPr>
          <w:p w14:paraId="5FAC0C1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6659DD1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084E2A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0141BC52" w14:textId="77777777" w:rsidTr="007D051D">
        <w:trPr>
          <w:trHeight w:val="276"/>
          <w:jc w:val="center"/>
        </w:trPr>
        <w:tc>
          <w:tcPr>
            <w:tcW w:w="4021" w:type="dxa"/>
            <w:noWrap/>
            <w:vAlign w:val="bottom"/>
            <w:hideMark/>
          </w:tcPr>
          <w:p w14:paraId="30954895"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House Owner with Mortgage</w:t>
            </w:r>
          </w:p>
        </w:tc>
        <w:tc>
          <w:tcPr>
            <w:tcW w:w="1119" w:type="dxa"/>
            <w:noWrap/>
            <w:vAlign w:val="bottom"/>
            <w:hideMark/>
          </w:tcPr>
          <w:p w14:paraId="6A0E5BE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0.4737</w:t>
            </w:r>
          </w:p>
        </w:tc>
        <w:tc>
          <w:tcPr>
            <w:tcW w:w="1119" w:type="dxa"/>
            <w:vAlign w:val="bottom"/>
          </w:tcPr>
          <w:p w14:paraId="43E7F28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3450D1F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B93697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5CD35C10" w14:textId="77777777" w:rsidTr="007D051D">
        <w:trPr>
          <w:trHeight w:val="276"/>
          <w:jc w:val="center"/>
        </w:trPr>
        <w:tc>
          <w:tcPr>
            <w:tcW w:w="4021" w:type="dxa"/>
            <w:noWrap/>
            <w:vAlign w:val="bottom"/>
            <w:hideMark/>
          </w:tcPr>
          <w:p w14:paraId="51E25135"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Rented House</w:t>
            </w:r>
          </w:p>
        </w:tc>
        <w:tc>
          <w:tcPr>
            <w:tcW w:w="1119" w:type="dxa"/>
            <w:noWrap/>
            <w:vAlign w:val="bottom"/>
            <w:hideMark/>
          </w:tcPr>
          <w:p w14:paraId="725239A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0.0911</w:t>
            </w:r>
          </w:p>
        </w:tc>
        <w:tc>
          <w:tcPr>
            <w:tcW w:w="1119" w:type="dxa"/>
            <w:vAlign w:val="bottom"/>
          </w:tcPr>
          <w:p w14:paraId="577B2B2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B32CBA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56BAF19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676E968C" w14:textId="77777777" w:rsidTr="007D051D">
        <w:trPr>
          <w:trHeight w:val="276"/>
          <w:jc w:val="center"/>
        </w:trPr>
        <w:tc>
          <w:tcPr>
            <w:tcW w:w="4021" w:type="dxa"/>
            <w:noWrap/>
            <w:vAlign w:val="bottom"/>
            <w:hideMark/>
          </w:tcPr>
          <w:p w14:paraId="337FB7B7"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Social Housing</w:t>
            </w:r>
          </w:p>
        </w:tc>
        <w:tc>
          <w:tcPr>
            <w:tcW w:w="1119" w:type="dxa"/>
            <w:noWrap/>
            <w:vAlign w:val="bottom"/>
            <w:hideMark/>
          </w:tcPr>
          <w:p w14:paraId="45B7C28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0.1313</w:t>
            </w:r>
          </w:p>
        </w:tc>
        <w:tc>
          <w:tcPr>
            <w:tcW w:w="1119" w:type="dxa"/>
            <w:vAlign w:val="bottom"/>
          </w:tcPr>
          <w:p w14:paraId="35AE366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77697E8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527157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1F308F06" w14:textId="77777777" w:rsidTr="007D051D">
        <w:trPr>
          <w:trHeight w:val="276"/>
          <w:jc w:val="center"/>
        </w:trPr>
        <w:tc>
          <w:tcPr>
            <w:tcW w:w="4021" w:type="dxa"/>
            <w:noWrap/>
            <w:vAlign w:val="bottom"/>
          </w:tcPr>
          <w:p w14:paraId="1892546D"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p>
          <w:p w14:paraId="40BD8BBA"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r w:rsidRPr="00C337E6">
              <w:rPr>
                <w:rFonts w:ascii="Times New Roman" w:eastAsia="Times New Roman" w:hAnsi="Times New Roman" w:cs="Times New Roman"/>
                <w:i/>
                <w:szCs w:val="22"/>
                <w:lang w:eastAsia="en-US"/>
              </w:rPr>
              <w:t>Education</w:t>
            </w:r>
          </w:p>
        </w:tc>
        <w:tc>
          <w:tcPr>
            <w:tcW w:w="1119" w:type="dxa"/>
            <w:noWrap/>
            <w:vAlign w:val="bottom"/>
          </w:tcPr>
          <w:p w14:paraId="42A625E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7B08E5C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1F63315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3B67FBB8"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398EFC46" w14:textId="77777777" w:rsidTr="007D051D">
        <w:trPr>
          <w:trHeight w:val="276"/>
          <w:jc w:val="center"/>
        </w:trPr>
        <w:tc>
          <w:tcPr>
            <w:tcW w:w="4021" w:type="dxa"/>
            <w:noWrap/>
            <w:vAlign w:val="bottom"/>
            <w:hideMark/>
          </w:tcPr>
          <w:p w14:paraId="24EB901B"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Degree</w:t>
            </w:r>
          </w:p>
        </w:tc>
        <w:tc>
          <w:tcPr>
            <w:tcW w:w="1119" w:type="dxa"/>
            <w:noWrap/>
            <w:vAlign w:val="bottom"/>
            <w:hideMark/>
          </w:tcPr>
          <w:p w14:paraId="7C0414C0"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0.1480</w:t>
            </w:r>
          </w:p>
        </w:tc>
        <w:tc>
          <w:tcPr>
            <w:tcW w:w="1119" w:type="dxa"/>
            <w:vAlign w:val="bottom"/>
          </w:tcPr>
          <w:p w14:paraId="439D0BC0"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7AD8A448"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64234EB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1352A27C" w14:textId="77777777" w:rsidTr="007D051D">
        <w:trPr>
          <w:trHeight w:val="276"/>
          <w:jc w:val="center"/>
        </w:trPr>
        <w:tc>
          <w:tcPr>
            <w:tcW w:w="4021" w:type="dxa"/>
            <w:noWrap/>
            <w:vAlign w:val="bottom"/>
            <w:hideMark/>
          </w:tcPr>
          <w:p w14:paraId="3D70DBB4"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Further Education</w:t>
            </w:r>
          </w:p>
        </w:tc>
        <w:tc>
          <w:tcPr>
            <w:tcW w:w="1119" w:type="dxa"/>
            <w:noWrap/>
            <w:vAlign w:val="bottom"/>
            <w:hideMark/>
          </w:tcPr>
          <w:p w14:paraId="2DA94CC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0.3260</w:t>
            </w:r>
          </w:p>
        </w:tc>
        <w:tc>
          <w:tcPr>
            <w:tcW w:w="1119" w:type="dxa"/>
            <w:vAlign w:val="bottom"/>
          </w:tcPr>
          <w:p w14:paraId="52F42818"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7BB2EF7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A99A4C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0A2EA697" w14:textId="77777777" w:rsidTr="007D051D">
        <w:trPr>
          <w:trHeight w:val="276"/>
          <w:jc w:val="center"/>
        </w:trPr>
        <w:tc>
          <w:tcPr>
            <w:tcW w:w="4021" w:type="dxa"/>
            <w:noWrap/>
            <w:vAlign w:val="bottom"/>
            <w:hideMark/>
          </w:tcPr>
          <w:p w14:paraId="64303A20"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A Levels</w:t>
            </w:r>
          </w:p>
        </w:tc>
        <w:tc>
          <w:tcPr>
            <w:tcW w:w="1119" w:type="dxa"/>
            <w:noWrap/>
            <w:vAlign w:val="bottom"/>
            <w:hideMark/>
          </w:tcPr>
          <w:p w14:paraId="2932B79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0.1252</w:t>
            </w:r>
          </w:p>
        </w:tc>
        <w:tc>
          <w:tcPr>
            <w:tcW w:w="1119" w:type="dxa"/>
            <w:vAlign w:val="bottom"/>
          </w:tcPr>
          <w:p w14:paraId="19BAE1A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316F481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52D695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3817A9F5" w14:textId="77777777" w:rsidTr="007D051D">
        <w:trPr>
          <w:trHeight w:val="276"/>
          <w:jc w:val="center"/>
        </w:trPr>
        <w:tc>
          <w:tcPr>
            <w:tcW w:w="4021" w:type="dxa"/>
            <w:noWrap/>
            <w:vAlign w:val="bottom"/>
            <w:hideMark/>
          </w:tcPr>
          <w:p w14:paraId="3AB9B7FC"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O Levels</w:t>
            </w:r>
          </w:p>
        </w:tc>
        <w:tc>
          <w:tcPr>
            <w:tcW w:w="1119" w:type="dxa"/>
            <w:noWrap/>
            <w:vAlign w:val="bottom"/>
            <w:hideMark/>
          </w:tcPr>
          <w:p w14:paraId="01D4232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0.1671</w:t>
            </w:r>
          </w:p>
        </w:tc>
        <w:tc>
          <w:tcPr>
            <w:tcW w:w="1119" w:type="dxa"/>
            <w:vAlign w:val="bottom"/>
          </w:tcPr>
          <w:p w14:paraId="42564D0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03D559D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AE541B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2E841E9C" w14:textId="77777777" w:rsidTr="007D051D">
        <w:trPr>
          <w:trHeight w:val="276"/>
          <w:jc w:val="center"/>
        </w:trPr>
        <w:tc>
          <w:tcPr>
            <w:tcW w:w="4021" w:type="dxa"/>
            <w:noWrap/>
            <w:vAlign w:val="bottom"/>
            <w:hideMark/>
          </w:tcPr>
          <w:p w14:paraId="7EDFDB9D"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Other Qualifications</w:t>
            </w:r>
          </w:p>
        </w:tc>
        <w:tc>
          <w:tcPr>
            <w:tcW w:w="1119" w:type="dxa"/>
            <w:noWrap/>
            <w:vAlign w:val="bottom"/>
            <w:hideMark/>
          </w:tcPr>
          <w:p w14:paraId="6CF91E6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0.0741</w:t>
            </w:r>
          </w:p>
        </w:tc>
        <w:tc>
          <w:tcPr>
            <w:tcW w:w="1119" w:type="dxa"/>
            <w:vAlign w:val="bottom"/>
          </w:tcPr>
          <w:p w14:paraId="2C1045B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075021E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283258C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175B1C53" w14:textId="77777777" w:rsidTr="007D051D">
        <w:trPr>
          <w:trHeight w:val="276"/>
          <w:jc w:val="center"/>
        </w:trPr>
        <w:tc>
          <w:tcPr>
            <w:tcW w:w="4021" w:type="dxa"/>
            <w:noWrap/>
            <w:vAlign w:val="bottom"/>
            <w:hideMark/>
          </w:tcPr>
          <w:p w14:paraId="1D97247C"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No Qualifications</w:t>
            </w:r>
          </w:p>
        </w:tc>
        <w:tc>
          <w:tcPr>
            <w:tcW w:w="1119" w:type="dxa"/>
            <w:noWrap/>
            <w:vAlign w:val="bottom"/>
            <w:hideMark/>
          </w:tcPr>
          <w:p w14:paraId="4A5F6C68"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0.1594</w:t>
            </w:r>
          </w:p>
        </w:tc>
        <w:tc>
          <w:tcPr>
            <w:tcW w:w="1119" w:type="dxa"/>
            <w:vAlign w:val="bottom"/>
          </w:tcPr>
          <w:p w14:paraId="49CEB6E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A4CD0E8"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0FF7253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7E011BFA" w14:textId="77777777" w:rsidTr="007D051D">
        <w:trPr>
          <w:trHeight w:val="276"/>
          <w:jc w:val="center"/>
        </w:trPr>
        <w:tc>
          <w:tcPr>
            <w:tcW w:w="4021" w:type="dxa"/>
            <w:noWrap/>
            <w:vAlign w:val="bottom"/>
          </w:tcPr>
          <w:p w14:paraId="1D5A6D3A"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p>
          <w:p w14:paraId="311D1214" w14:textId="77777777" w:rsidR="00C337E6" w:rsidRPr="00C337E6" w:rsidRDefault="00C337E6" w:rsidP="00C337E6">
            <w:pPr>
              <w:spacing w:after="0" w:line="240" w:lineRule="auto"/>
              <w:rPr>
                <w:rFonts w:ascii="Times New Roman" w:eastAsia="Times New Roman" w:hAnsi="Times New Roman" w:cs="Times New Roman"/>
                <w:i/>
                <w:szCs w:val="22"/>
                <w:lang w:eastAsia="en-US"/>
              </w:rPr>
            </w:pPr>
            <w:r w:rsidRPr="00C337E6">
              <w:rPr>
                <w:rFonts w:ascii="Times New Roman" w:eastAsia="Times New Roman" w:hAnsi="Times New Roman" w:cs="Times New Roman"/>
                <w:i/>
                <w:szCs w:val="22"/>
                <w:lang w:eastAsia="en-US"/>
              </w:rPr>
              <w:t>Year</w:t>
            </w:r>
          </w:p>
        </w:tc>
        <w:tc>
          <w:tcPr>
            <w:tcW w:w="1119" w:type="dxa"/>
            <w:noWrap/>
            <w:vAlign w:val="bottom"/>
          </w:tcPr>
          <w:p w14:paraId="434B521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3B9951D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03E566E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12A9251A"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6EC55CC1" w14:textId="77777777" w:rsidTr="007D051D">
        <w:trPr>
          <w:trHeight w:val="276"/>
          <w:jc w:val="center"/>
        </w:trPr>
        <w:tc>
          <w:tcPr>
            <w:tcW w:w="4021" w:type="dxa"/>
            <w:noWrap/>
            <w:vAlign w:val="bottom"/>
            <w:hideMark/>
          </w:tcPr>
          <w:p w14:paraId="0B9B353E"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2003</w:t>
            </w:r>
          </w:p>
        </w:tc>
        <w:tc>
          <w:tcPr>
            <w:tcW w:w="1119" w:type="dxa"/>
            <w:noWrap/>
            <w:vAlign w:val="bottom"/>
            <w:hideMark/>
          </w:tcPr>
          <w:p w14:paraId="5C5642E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0.2150</w:t>
            </w:r>
          </w:p>
        </w:tc>
        <w:tc>
          <w:tcPr>
            <w:tcW w:w="1119" w:type="dxa"/>
            <w:vAlign w:val="bottom"/>
          </w:tcPr>
          <w:p w14:paraId="74512DF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695C8630"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D94C139"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4D6132BF" w14:textId="77777777" w:rsidTr="007D051D">
        <w:trPr>
          <w:trHeight w:val="276"/>
          <w:jc w:val="center"/>
        </w:trPr>
        <w:tc>
          <w:tcPr>
            <w:tcW w:w="4021" w:type="dxa"/>
            <w:noWrap/>
            <w:vAlign w:val="bottom"/>
            <w:hideMark/>
          </w:tcPr>
          <w:p w14:paraId="24844908"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2005</w:t>
            </w:r>
          </w:p>
        </w:tc>
        <w:tc>
          <w:tcPr>
            <w:tcW w:w="1119" w:type="dxa"/>
            <w:noWrap/>
            <w:vAlign w:val="bottom"/>
            <w:hideMark/>
          </w:tcPr>
          <w:p w14:paraId="01F2878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0.1936</w:t>
            </w:r>
          </w:p>
        </w:tc>
        <w:tc>
          <w:tcPr>
            <w:tcW w:w="1119" w:type="dxa"/>
            <w:vAlign w:val="bottom"/>
          </w:tcPr>
          <w:p w14:paraId="50472FA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55FBBDB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35A9C7C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1AACDFA1" w14:textId="77777777" w:rsidTr="007D051D">
        <w:trPr>
          <w:trHeight w:val="276"/>
          <w:jc w:val="center"/>
        </w:trPr>
        <w:tc>
          <w:tcPr>
            <w:tcW w:w="4021" w:type="dxa"/>
            <w:noWrap/>
            <w:vAlign w:val="bottom"/>
            <w:hideMark/>
          </w:tcPr>
          <w:p w14:paraId="24E497FD"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2006</w:t>
            </w:r>
          </w:p>
        </w:tc>
        <w:tc>
          <w:tcPr>
            <w:tcW w:w="1119" w:type="dxa"/>
            <w:noWrap/>
            <w:vAlign w:val="bottom"/>
            <w:hideMark/>
          </w:tcPr>
          <w:p w14:paraId="70A78D23"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0.2085</w:t>
            </w:r>
          </w:p>
        </w:tc>
        <w:tc>
          <w:tcPr>
            <w:tcW w:w="1119" w:type="dxa"/>
            <w:vAlign w:val="bottom"/>
          </w:tcPr>
          <w:p w14:paraId="66DE7BD0"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0040BD66"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4EAE959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1B4C572F" w14:textId="77777777" w:rsidTr="007D051D">
        <w:trPr>
          <w:trHeight w:val="276"/>
          <w:jc w:val="center"/>
        </w:trPr>
        <w:tc>
          <w:tcPr>
            <w:tcW w:w="4021" w:type="dxa"/>
            <w:noWrap/>
            <w:vAlign w:val="bottom"/>
            <w:hideMark/>
          </w:tcPr>
          <w:p w14:paraId="750BE054"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2007</w:t>
            </w:r>
          </w:p>
        </w:tc>
        <w:tc>
          <w:tcPr>
            <w:tcW w:w="1119" w:type="dxa"/>
            <w:noWrap/>
            <w:vAlign w:val="bottom"/>
            <w:hideMark/>
          </w:tcPr>
          <w:p w14:paraId="63A9E33C"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0.1974</w:t>
            </w:r>
          </w:p>
        </w:tc>
        <w:tc>
          <w:tcPr>
            <w:tcW w:w="1119" w:type="dxa"/>
            <w:vAlign w:val="bottom"/>
          </w:tcPr>
          <w:p w14:paraId="077F6438"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3D346FA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FABC25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6B7F8B2E" w14:textId="77777777" w:rsidTr="007D051D">
        <w:trPr>
          <w:trHeight w:val="276"/>
          <w:jc w:val="center"/>
        </w:trPr>
        <w:tc>
          <w:tcPr>
            <w:tcW w:w="4021" w:type="dxa"/>
            <w:noWrap/>
            <w:vAlign w:val="bottom"/>
            <w:hideMark/>
          </w:tcPr>
          <w:p w14:paraId="5AB9610B"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2008</w:t>
            </w:r>
          </w:p>
        </w:tc>
        <w:tc>
          <w:tcPr>
            <w:tcW w:w="1119" w:type="dxa"/>
            <w:noWrap/>
            <w:vAlign w:val="bottom"/>
            <w:hideMark/>
          </w:tcPr>
          <w:p w14:paraId="14CCBAF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0.1855</w:t>
            </w:r>
          </w:p>
        </w:tc>
        <w:tc>
          <w:tcPr>
            <w:tcW w:w="1119" w:type="dxa"/>
            <w:vAlign w:val="bottom"/>
          </w:tcPr>
          <w:p w14:paraId="0D2D52A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1EC877A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c>
          <w:tcPr>
            <w:tcW w:w="1119" w:type="dxa"/>
            <w:vAlign w:val="bottom"/>
          </w:tcPr>
          <w:p w14:paraId="0BA246B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w:t>
            </w:r>
          </w:p>
        </w:tc>
      </w:tr>
      <w:tr w:rsidR="00C337E6" w:rsidRPr="00C337E6" w14:paraId="2ED7B242" w14:textId="77777777" w:rsidTr="007D051D">
        <w:trPr>
          <w:trHeight w:val="276"/>
          <w:jc w:val="center"/>
        </w:trPr>
        <w:tc>
          <w:tcPr>
            <w:tcW w:w="4021" w:type="dxa"/>
            <w:noWrap/>
            <w:vAlign w:val="bottom"/>
          </w:tcPr>
          <w:p w14:paraId="170B6677" w14:textId="77777777" w:rsidR="00C337E6" w:rsidRPr="00C337E6" w:rsidRDefault="00C337E6" w:rsidP="00C337E6">
            <w:pPr>
              <w:spacing w:after="0" w:line="240" w:lineRule="auto"/>
              <w:rPr>
                <w:rFonts w:ascii="Times New Roman" w:eastAsia="Times New Roman" w:hAnsi="Times New Roman" w:cs="Times New Roman"/>
                <w:b/>
                <w:szCs w:val="22"/>
                <w:lang w:eastAsia="en-US"/>
              </w:rPr>
            </w:pPr>
          </w:p>
          <w:p w14:paraId="2B66955C" w14:textId="77777777" w:rsidR="00C337E6" w:rsidRPr="00C337E6" w:rsidRDefault="00C337E6" w:rsidP="00C337E6">
            <w:pPr>
              <w:spacing w:after="0" w:line="240" w:lineRule="auto"/>
              <w:rPr>
                <w:rFonts w:ascii="Times New Roman" w:eastAsia="Times New Roman" w:hAnsi="Times New Roman" w:cs="Times New Roman"/>
                <w:b/>
                <w:szCs w:val="22"/>
                <w:lang w:eastAsia="en-US"/>
              </w:rPr>
            </w:pPr>
            <w:r w:rsidRPr="00C337E6">
              <w:rPr>
                <w:rFonts w:ascii="Times New Roman" w:eastAsia="Times New Roman" w:hAnsi="Times New Roman" w:cs="Times New Roman"/>
                <w:b/>
                <w:szCs w:val="22"/>
                <w:lang w:eastAsia="en-US"/>
              </w:rPr>
              <w:t>Additional variable</w:t>
            </w:r>
          </w:p>
        </w:tc>
        <w:tc>
          <w:tcPr>
            <w:tcW w:w="1119" w:type="dxa"/>
            <w:noWrap/>
            <w:vAlign w:val="bottom"/>
          </w:tcPr>
          <w:p w14:paraId="197CB1C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5FBC0FF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4CBCF17C"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vAlign w:val="bottom"/>
          </w:tcPr>
          <w:p w14:paraId="078906D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595882CC" w14:textId="77777777" w:rsidTr="007D051D">
        <w:trPr>
          <w:trHeight w:val="276"/>
          <w:jc w:val="center"/>
        </w:trPr>
        <w:tc>
          <w:tcPr>
            <w:tcW w:w="4021" w:type="dxa"/>
            <w:noWrap/>
            <w:vAlign w:val="bottom"/>
            <w:hideMark/>
          </w:tcPr>
          <w:p w14:paraId="23DE4D25" w14:textId="77777777" w:rsidR="00C337E6" w:rsidRPr="00C337E6" w:rsidRDefault="00C337E6" w:rsidP="00C337E6">
            <w:pPr>
              <w:spacing w:after="0" w:line="240" w:lineRule="auto"/>
              <w:jc w:val="right"/>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GHQ – Psychological health</w:t>
            </w:r>
          </w:p>
        </w:tc>
        <w:tc>
          <w:tcPr>
            <w:tcW w:w="1119" w:type="dxa"/>
            <w:noWrap/>
            <w:vAlign w:val="bottom"/>
            <w:hideMark/>
          </w:tcPr>
          <w:p w14:paraId="22423CA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24.8021</w:t>
            </w:r>
          </w:p>
        </w:tc>
        <w:tc>
          <w:tcPr>
            <w:tcW w:w="1119" w:type="dxa"/>
            <w:vAlign w:val="bottom"/>
            <w:hideMark/>
          </w:tcPr>
          <w:p w14:paraId="621D1BE5"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5.4784</w:t>
            </w:r>
          </w:p>
        </w:tc>
        <w:tc>
          <w:tcPr>
            <w:tcW w:w="1119" w:type="dxa"/>
            <w:vAlign w:val="bottom"/>
            <w:hideMark/>
          </w:tcPr>
          <w:p w14:paraId="11C40280"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0</w:t>
            </w:r>
          </w:p>
        </w:tc>
        <w:tc>
          <w:tcPr>
            <w:tcW w:w="1119" w:type="dxa"/>
            <w:vAlign w:val="bottom"/>
            <w:hideMark/>
          </w:tcPr>
          <w:p w14:paraId="27A0A7F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36</w:t>
            </w:r>
          </w:p>
        </w:tc>
      </w:tr>
      <w:tr w:rsidR="00C337E6" w:rsidRPr="00C337E6" w14:paraId="09519C81" w14:textId="77777777" w:rsidTr="007D051D">
        <w:trPr>
          <w:trHeight w:val="276"/>
          <w:jc w:val="center"/>
        </w:trPr>
        <w:tc>
          <w:tcPr>
            <w:tcW w:w="4021" w:type="dxa"/>
            <w:tcBorders>
              <w:top w:val="nil"/>
              <w:left w:val="nil"/>
              <w:bottom w:val="single" w:sz="4" w:space="0" w:color="auto"/>
              <w:right w:val="nil"/>
            </w:tcBorders>
            <w:noWrap/>
            <w:vAlign w:val="bottom"/>
          </w:tcPr>
          <w:p w14:paraId="339EC4AC" w14:textId="77777777" w:rsidR="00C337E6" w:rsidRPr="00C337E6" w:rsidRDefault="00C337E6" w:rsidP="00C337E6">
            <w:pPr>
              <w:spacing w:after="0" w:line="240" w:lineRule="auto"/>
              <w:rPr>
                <w:rFonts w:ascii="Times New Roman" w:eastAsia="Times New Roman" w:hAnsi="Times New Roman" w:cs="Times New Roman"/>
                <w:szCs w:val="22"/>
                <w:lang w:eastAsia="en-US"/>
              </w:rPr>
            </w:pPr>
          </w:p>
        </w:tc>
        <w:tc>
          <w:tcPr>
            <w:tcW w:w="1119" w:type="dxa"/>
            <w:tcBorders>
              <w:top w:val="nil"/>
              <w:left w:val="nil"/>
              <w:bottom w:val="single" w:sz="4" w:space="0" w:color="auto"/>
              <w:right w:val="nil"/>
            </w:tcBorders>
            <w:noWrap/>
            <w:vAlign w:val="bottom"/>
          </w:tcPr>
          <w:p w14:paraId="6CEBB7EC"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tcBorders>
              <w:top w:val="nil"/>
              <w:left w:val="nil"/>
              <w:bottom w:val="single" w:sz="4" w:space="0" w:color="auto"/>
              <w:right w:val="nil"/>
            </w:tcBorders>
            <w:vAlign w:val="bottom"/>
          </w:tcPr>
          <w:p w14:paraId="29FBD6D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tcBorders>
              <w:top w:val="nil"/>
              <w:left w:val="nil"/>
              <w:bottom w:val="single" w:sz="4" w:space="0" w:color="auto"/>
              <w:right w:val="nil"/>
            </w:tcBorders>
            <w:vAlign w:val="bottom"/>
          </w:tcPr>
          <w:p w14:paraId="3D6DC48E"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tcBorders>
              <w:top w:val="nil"/>
              <w:left w:val="nil"/>
              <w:bottom w:val="single" w:sz="4" w:space="0" w:color="auto"/>
              <w:right w:val="nil"/>
            </w:tcBorders>
            <w:vAlign w:val="bottom"/>
          </w:tcPr>
          <w:p w14:paraId="371A5C3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59884A59" w14:textId="77777777" w:rsidTr="007D051D">
        <w:trPr>
          <w:trHeight w:val="276"/>
          <w:jc w:val="center"/>
        </w:trPr>
        <w:tc>
          <w:tcPr>
            <w:tcW w:w="4021" w:type="dxa"/>
            <w:tcBorders>
              <w:top w:val="single" w:sz="4" w:space="0" w:color="auto"/>
              <w:left w:val="nil"/>
              <w:bottom w:val="nil"/>
              <w:right w:val="nil"/>
            </w:tcBorders>
            <w:noWrap/>
            <w:vAlign w:val="bottom"/>
            <w:hideMark/>
          </w:tcPr>
          <w:p w14:paraId="1AEDBC82" w14:textId="77777777" w:rsidR="00C337E6" w:rsidRPr="00C337E6" w:rsidRDefault="00C337E6" w:rsidP="00C337E6">
            <w:pPr>
              <w:spacing w:after="0" w:line="240" w:lineRule="auto"/>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Number of person-year observations</w:t>
            </w:r>
          </w:p>
        </w:tc>
        <w:tc>
          <w:tcPr>
            <w:tcW w:w="1119" w:type="dxa"/>
            <w:tcBorders>
              <w:top w:val="single" w:sz="4" w:space="0" w:color="auto"/>
              <w:left w:val="nil"/>
              <w:bottom w:val="nil"/>
              <w:right w:val="nil"/>
            </w:tcBorders>
            <w:noWrap/>
            <w:vAlign w:val="bottom"/>
            <w:hideMark/>
          </w:tcPr>
          <w:p w14:paraId="2D65912F"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30,448</w:t>
            </w:r>
          </w:p>
        </w:tc>
        <w:tc>
          <w:tcPr>
            <w:tcW w:w="1119" w:type="dxa"/>
            <w:tcBorders>
              <w:top w:val="single" w:sz="4" w:space="0" w:color="auto"/>
              <w:left w:val="nil"/>
              <w:bottom w:val="nil"/>
              <w:right w:val="nil"/>
            </w:tcBorders>
            <w:vAlign w:val="bottom"/>
          </w:tcPr>
          <w:p w14:paraId="2C7F7644"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tcBorders>
              <w:top w:val="single" w:sz="4" w:space="0" w:color="auto"/>
              <w:left w:val="nil"/>
              <w:bottom w:val="nil"/>
              <w:right w:val="nil"/>
            </w:tcBorders>
            <w:vAlign w:val="bottom"/>
          </w:tcPr>
          <w:p w14:paraId="30E8DF6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tcBorders>
              <w:top w:val="single" w:sz="4" w:space="0" w:color="auto"/>
              <w:left w:val="nil"/>
              <w:bottom w:val="nil"/>
              <w:right w:val="nil"/>
            </w:tcBorders>
            <w:vAlign w:val="bottom"/>
          </w:tcPr>
          <w:p w14:paraId="70CF3DF1"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7C77552C" w14:textId="77777777" w:rsidTr="007D051D">
        <w:trPr>
          <w:trHeight w:val="276"/>
          <w:jc w:val="center"/>
        </w:trPr>
        <w:tc>
          <w:tcPr>
            <w:tcW w:w="4021" w:type="dxa"/>
            <w:tcBorders>
              <w:top w:val="nil"/>
              <w:left w:val="nil"/>
              <w:bottom w:val="single" w:sz="4" w:space="0" w:color="auto"/>
              <w:right w:val="nil"/>
            </w:tcBorders>
            <w:noWrap/>
            <w:vAlign w:val="bottom"/>
            <w:hideMark/>
          </w:tcPr>
          <w:p w14:paraId="5C9925A7" w14:textId="77777777" w:rsidR="00C337E6" w:rsidRPr="00C337E6" w:rsidRDefault="00C337E6" w:rsidP="00C337E6">
            <w:pPr>
              <w:spacing w:after="0" w:line="240" w:lineRule="auto"/>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Number of persons</w:t>
            </w:r>
          </w:p>
        </w:tc>
        <w:tc>
          <w:tcPr>
            <w:tcW w:w="1119" w:type="dxa"/>
            <w:tcBorders>
              <w:top w:val="nil"/>
              <w:left w:val="nil"/>
              <w:bottom w:val="single" w:sz="4" w:space="0" w:color="auto"/>
              <w:right w:val="nil"/>
            </w:tcBorders>
            <w:noWrap/>
            <w:vAlign w:val="bottom"/>
            <w:hideMark/>
          </w:tcPr>
          <w:p w14:paraId="7A465207"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r w:rsidRPr="00C337E6">
              <w:rPr>
                <w:rFonts w:ascii="Times New Roman" w:eastAsia="Times New Roman" w:hAnsi="Times New Roman" w:cs="Times New Roman"/>
                <w:szCs w:val="22"/>
                <w:lang w:eastAsia="en-US"/>
              </w:rPr>
              <w:t>8,252</w:t>
            </w:r>
          </w:p>
        </w:tc>
        <w:tc>
          <w:tcPr>
            <w:tcW w:w="1119" w:type="dxa"/>
            <w:tcBorders>
              <w:top w:val="nil"/>
              <w:left w:val="nil"/>
              <w:bottom w:val="single" w:sz="4" w:space="0" w:color="auto"/>
              <w:right w:val="nil"/>
            </w:tcBorders>
            <w:vAlign w:val="bottom"/>
          </w:tcPr>
          <w:p w14:paraId="76C5D8FD"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tcBorders>
              <w:top w:val="nil"/>
              <w:left w:val="nil"/>
              <w:bottom w:val="single" w:sz="4" w:space="0" w:color="auto"/>
              <w:right w:val="nil"/>
            </w:tcBorders>
            <w:vAlign w:val="bottom"/>
          </w:tcPr>
          <w:p w14:paraId="1F226B4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c>
          <w:tcPr>
            <w:tcW w:w="1119" w:type="dxa"/>
            <w:tcBorders>
              <w:top w:val="nil"/>
              <w:left w:val="nil"/>
              <w:bottom w:val="single" w:sz="4" w:space="0" w:color="auto"/>
              <w:right w:val="nil"/>
            </w:tcBorders>
            <w:vAlign w:val="bottom"/>
          </w:tcPr>
          <w:p w14:paraId="06797482" w14:textId="77777777" w:rsidR="00C337E6" w:rsidRPr="00C337E6" w:rsidRDefault="00C337E6" w:rsidP="00C337E6">
            <w:pPr>
              <w:spacing w:after="0" w:line="240" w:lineRule="auto"/>
              <w:jc w:val="center"/>
              <w:rPr>
                <w:rFonts w:ascii="Times New Roman" w:eastAsia="Times New Roman" w:hAnsi="Times New Roman" w:cs="Times New Roman"/>
                <w:szCs w:val="22"/>
                <w:lang w:eastAsia="en-US"/>
              </w:rPr>
            </w:pPr>
          </w:p>
        </w:tc>
      </w:tr>
      <w:tr w:rsidR="00C337E6" w:rsidRPr="00C337E6" w14:paraId="19876CB9" w14:textId="77777777" w:rsidTr="007D051D">
        <w:trPr>
          <w:trHeight w:val="276"/>
          <w:jc w:val="center"/>
        </w:trPr>
        <w:tc>
          <w:tcPr>
            <w:tcW w:w="8497" w:type="dxa"/>
            <w:gridSpan w:val="5"/>
            <w:tcBorders>
              <w:top w:val="single" w:sz="4" w:space="0" w:color="auto"/>
              <w:left w:val="nil"/>
              <w:bottom w:val="nil"/>
              <w:right w:val="nil"/>
            </w:tcBorders>
            <w:noWrap/>
            <w:vAlign w:val="bottom"/>
          </w:tcPr>
          <w:p w14:paraId="090B70CC" w14:textId="77777777" w:rsidR="00C337E6" w:rsidRPr="00C337E6" w:rsidRDefault="00C337E6" w:rsidP="00C337E6">
            <w:pPr>
              <w:spacing w:after="0" w:line="240" w:lineRule="auto"/>
              <w:jc w:val="center"/>
              <w:rPr>
                <w:rFonts w:ascii="Times New Roman" w:eastAsia="Times New Roman" w:hAnsi="Times New Roman" w:cs="Times New Roman"/>
                <w:sz w:val="20"/>
                <w:lang w:eastAsia="en-US"/>
              </w:rPr>
            </w:pPr>
          </w:p>
          <w:p w14:paraId="16F306AC" w14:textId="77777777" w:rsidR="00C337E6" w:rsidRPr="00C337E6" w:rsidRDefault="00C337E6" w:rsidP="00C337E6">
            <w:pPr>
              <w:spacing w:after="0" w:line="240" w:lineRule="auto"/>
              <w:jc w:val="both"/>
              <w:rPr>
                <w:rFonts w:ascii="Times New Roman" w:eastAsia="Times New Roman" w:hAnsi="Times New Roman" w:cs="Times New Roman"/>
                <w:sz w:val="20"/>
                <w:lang w:eastAsia="en-US"/>
              </w:rPr>
            </w:pPr>
            <w:r w:rsidRPr="00C337E6">
              <w:rPr>
                <w:rFonts w:ascii="Times New Roman" w:eastAsia="Times New Roman" w:hAnsi="Times New Roman" w:cs="Times New Roman"/>
                <w:sz w:val="20"/>
                <w:lang w:eastAsia="en-US"/>
              </w:rPr>
              <w:t xml:space="preserve">Source: BHPS 2003-2008 and authors’ calculations. </w:t>
            </w:r>
          </w:p>
          <w:p w14:paraId="0453AFAF" w14:textId="77777777" w:rsidR="00C337E6" w:rsidRPr="00C337E6" w:rsidRDefault="00C337E6" w:rsidP="00C337E6">
            <w:pPr>
              <w:spacing w:after="0" w:line="240" w:lineRule="auto"/>
              <w:jc w:val="both"/>
              <w:rPr>
                <w:rFonts w:ascii="Times New Roman" w:eastAsia="Times New Roman" w:hAnsi="Times New Roman" w:cs="Times New Roman"/>
                <w:sz w:val="20"/>
                <w:lang w:eastAsia="en-US"/>
              </w:rPr>
            </w:pPr>
            <w:r w:rsidRPr="00C337E6">
              <w:rPr>
                <w:rFonts w:ascii="Times New Roman" w:eastAsia="Times New Roman" w:hAnsi="Times New Roman" w:cs="Times New Roman"/>
                <w:sz w:val="20"/>
                <w:lang w:eastAsia="en-US"/>
              </w:rPr>
              <w:t xml:space="preserve">Notes: Full descriptive statistics for continuous and satisfaction variables, only sample means reported for dummy variables. </w:t>
            </w:r>
          </w:p>
        </w:tc>
      </w:tr>
    </w:tbl>
    <w:p w14:paraId="7B62A5C2" w14:textId="77777777" w:rsidR="00C337E6" w:rsidRPr="00C337E6" w:rsidRDefault="00C337E6" w:rsidP="00C337E6">
      <w:pPr>
        <w:rPr>
          <w:rFonts w:ascii="Times New Roman" w:hAnsi="Times New Roman" w:cs="Times New Roman"/>
          <w:b/>
          <w:sz w:val="24"/>
        </w:rPr>
      </w:pPr>
    </w:p>
    <w:p w14:paraId="127DF84B" w14:textId="77777777" w:rsidR="00C337E6" w:rsidRPr="00C337E6" w:rsidRDefault="00C337E6" w:rsidP="00C337E6">
      <w:pPr>
        <w:rPr>
          <w:rFonts w:ascii="Times New Roman" w:hAnsi="Times New Roman" w:cs="Times New Roman"/>
          <w:b/>
          <w:sz w:val="24"/>
          <w:szCs w:val="24"/>
        </w:rPr>
      </w:pPr>
    </w:p>
    <w:p w14:paraId="05AB0F9E" w14:textId="77777777" w:rsidR="00AD3925" w:rsidRDefault="00AD3925">
      <w:pPr>
        <w:rPr>
          <w:rFonts w:ascii="Times New Roman" w:hAnsi="Times New Roman" w:cs="Times New Roman"/>
          <w:b/>
          <w:sz w:val="24"/>
          <w:szCs w:val="24"/>
        </w:rPr>
      </w:pPr>
    </w:p>
    <w:sectPr w:rsidR="00AD3925" w:rsidSect="001D167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96F59" w14:textId="77777777" w:rsidR="00A954D1" w:rsidRDefault="00A954D1">
      <w:pPr>
        <w:spacing w:after="0" w:line="240" w:lineRule="auto"/>
      </w:pPr>
      <w:r>
        <w:separator/>
      </w:r>
    </w:p>
  </w:endnote>
  <w:endnote w:type="continuationSeparator" w:id="0">
    <w:p w14:paraId="285B6784" w14:textId="77777777" w:rsidR="00A954D1" w:rsidRDefault="00A9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FD75C" w14:textId="77777777" w:rsidR="00A954D1" w:rsidRDefault="00A954D1">
      <w:pPr>
        <w:spacing w:after="0" w:line="240" w:lineRule="auto"/>
      </w:pPr>
      <w:r>
        <w:separator/>
      </w:r>
    </w:p>
  </w:footnote>
  <w:footnote w:type="continuationSeparator" w:id="0">
    <w:p w14:paraId="07ED0963" w14:textId="77777777" w:rsidR="00A954D1" w:rsidRDefault="00A954D1">
      <w:pPr>
        <w:spacing w:after="0" w:line="240" w:lineRule="auto"/>
      </w:pPr>
      <w:r>
        <w:continuationSeparator/>
      </w:r>
    </w:p>
  </w:footnote>
  <w:footnote w:id="1">
    <w:p w14:paraId="0D906AC5" w14:textId="77777777" w:rsidR="00384BDF" w:rsidRPr="00A52847" w:rsidRDefault="00384BDF" w:rsidP="00F16012">
      <w:pPr>
        <w:spacing w:after="0" w:line="480" w:lineRule="auto"/>
        <w:rPr>
          <w:rFonts w:ascii="Times New Roman" w:hAnsi="Times New Roman" w:cs="Times New Roman"/>
          <w:szCs w:val="22"/>
        </w:rPr>
      </w:pPr>
      <w:r w:rsidRPr="00A52847">
        <w:rPr>
          <w:rFonts w:ascii="Times New Roman" w:hAnsi="Times New Roman" w:cs="Times New Roman"/>
          <w:szCs w:val="22"/>
          <w:vertAlign w:val="superscript"/>
        </w:rPr>
        <w:footnoteRef/>
      </w:r>
      <w:r w:rsidRPr="00A52847">
        <w:rPr>
          <w:rFonts w:ascii="Times New Roman" w:eastAsia="Times New Roman" w:hAnsi="Times New Roman" w:cs="Times New Roman"/>
          <w:szCs w:val="22"/>
        </w:rPr>
        <w:t xml:space="preserve"> This quote is from the evidence submitted by David Goodhart to the HM Government Review of the Balance of Competences between the United Kingdom and European Union: Single Market, Free Movement of Persons (2014, 28). Available at </w:t>
      </w:r>
      <w:hyperlink r:id="rId1">
        <w:r w:rsidRPr="00A52847">
          <w:rPr>
            <w:rFonts w:ascii="Times New Roman" w:eastAsia="Times New Roman" w:hAnsi="Times New Roman" w:cs="Times New Roman"/>
            <w:color w:val="0000FF"/>
            <w:szCs w:val="22"/>
            <w:u w:val="single"/>
          </w:rPr>
          <w:t>https://www.gov.uk/government/uploads/system/uploads/attachment_data/file/335088/SingleMarketFree_MovementPersons.pdf</w:t>
        </w:r>
      </w:hyperlink>
      <w:r w:rsidRPr="00A52847">
        <w:rPr>
          <w:rFonts w:ascii="Times New Roman" w:eastAsia="Times New Roman" w:hAnsi="Times New Roman" w:cs="Times New Roman"/>
          <w:color w:val="0000FF"/>
          <w:szCs w:val="22"/>
          <w:u w:val="single"/>
        </w:rPr>
        <w:t xml:space="preserve"> </w:t>
      </w:r>
    </w:p>
  </w:footnote>
  <w:footnote w:id="2">
    <w:p w14:paraId="785CC5AE" w14:textId="29FCD9B1" w:rsidR="00384BDF" w:rsidRPr="00A52847" w:rsidRDefault="00384BDF" w:rsidP="00F16012">
      <w:pPr>
        <w:spacing w:after="0" w:line="480" w:lineRule="auto"/>
        <w:rPr>
          <w:rFonts w:ascii="Times New Roman" w:hAnsi="Times New Roman" w:cs="Times New Roman"/>
          <w:szCs w:val="22"/>
        </w:rPr>
      </w:pPr>
      <w:r w:rsidRPr="00A52847">
        <w:rPr>
          <w:rFonts w:ascii="Times New Roman" w:hAnsi="Times New Roman" w:cs="Times New Roman"/>
          <w:szCs w:val="22"/>
          <w:vertAlign w:val="superscript"/>
        </w:rPr>
        <w:footnoteRef/>
      </w:r>
      <w:r w:rsidRPr="00A52847">
        <w:rPr>
          <w:rFonts w:ascii="Times New Roman" w:eastAsia="Times New Roman" w:hAnsi="Times New Roman" w:cs="Times New Roman"/>
          <w:szCs w:val="22"/>
        </w:rPr>
        <w:t xml:space="preserve"> Only the UK, Ireland and Sweden opened their labor markets upon enlargement. Other ‘old’ EU members introduced transitional arrangements limiting immediate inflows of the ‘new’ Europeans. Ireland received more migrants than any other EU country </w:t>
      </w:r>
      <w:r w:rsidRPr="00A52847">
        <w:rPr>
          <w:rFonts w:ascii="Times New Roman" w:eastAsia="Times New Roman" w:hAnsi="Times New Roman" w:cs="Times New Roman"/>
          <w:i/>
          <w:szCs w:val="22"/>
        </w:rPr>
        <w:t>in relative terms</w:t>
      </w:r>
      <w:r w:rsidRPr="00A52847">
        <w:rPr>
          <w:rFonts w:ascii="Times New Roman" w:eastAsia="Times New Roman" w:hAnsi="Times New Roman" w:cs="Times New Roman"/>
          <w:szCs w:val="22"/>
        </w:rPr>
        <w:t>: between 2004 and 2007 the share of East European migrants in Ireland’s population increased from 1.07% to 4.09%. Similar figures for the UK are 0.20% and 1.00% and for Sweden, 0.26% and 0.46% (Brücker and Damelang</w:t>
      </w:r>
      <w:r>
        <w:rPr>
          <w:rFonts w:ascii="Times New Roman" w:eastAsia="Times New Roman" w:hAnsi="Times New Roman" w:cs="Times New Roman"/>
          <w:szCs w:val="22"/>
        </w:rPr>
        <w:t xml:space="preserve">, </w:t>
      </w:r>
      <w:r w:rsidRPr="00A52847">
        <w:rPr>
          <w:rFonts w:ascii="Times New Roman" w:eastAsia="Times New Roman" w:hAnsi="Times New Roman" w:cs="Times New Roman"/>
          <w:szCs w:val="22"/>
        </w:rPr>
        <w:t xml:space="preserve">2009). </w:t>
      </w:r>
    </w:p>
  </w:footnote>
  <w:footnote w:id="3">
    <w:p w14:paraId="1A18944E" w14:textId="6223F109" w:rsidR="00384BDF" w:rsidRPr="00A52847" w:rsidRDefault="00384BDF" w:rsidP="00F16012">
      <w:pPr>
        <w:spacing w:after="0" w:line="480" w:lineRule="auto"/>
        <w:rPr>
          <w:rFonts w:ascii="Times New Roman" w:hAnsi="Times New Roman" w:cs="Times New Roman"/>
          <w:szCs w:val="22"/>
        </w:rPr>
      </w:pPr>
      <w:r w:rsidRPr="00A52847">
        <w:rPr>
          <w:rFonts w:ascii="Times New Roman" w:hAnsi="Times New Roman" w:cs="Times New Roman"/>
          <w:szCs w:val="22"/>
          <w:vertAlign w:val="superscript"/>
        </w:rPr>
        <w:footnoteRef/>
      </w:r>
      <w:r w:rsidRPr="00A52847">
        <w:rPr>
          <w:rFonts w:ascii="Times New Roman" w:hAnsi="Times New Roman" w:cs="Times New Roman"/>
          <w:szCs w:val="22"/>
        </w:rPr>
        <w:t xml:space="preserve"> </w:t>
      </w:r>
      <w:r w:rsidRPr="00A52847">
        <w:rPr>
          <w:rFonts w:ascii="Times New Roman" w:eastAsia="Times New Roman" w:hAnsi="Times New Roman" w:cs="Times New Roman"/>
          <w:szCs w:val="22"/>
        </w:rPr>
        <w:t>It has also been shown that A8 migration contributed to the UK public finances (Dustmann et al.</w:t>
      </w:r>
      <w:r>
        <w:rPr>
          <w:rFonts w:ascii="Times New Roman" w:eastAsia="Times New Roman" w:hAnsi="Times New Roman" w:cs="Times New Roman"/>
          <w:szCs w:val="22"/>
        </w:rPr>
        <w:t>,</w:t>
      </w:r>
      <w:r w:rsidRPr="00A52847">
        <w:rPr>
          <w:rFonts w:ascii="Times New Roman" w:eastAsia="Times New Roman" w:hAnsi="Times New Roman" w:cs="Times New Roman"/>
          <w:szCs w:val="22"/>
        </w:rPr>
        <w:t xml:space="preserve"> 2010) and may have reduced crime (Bell et al.</w:t>
      </w:r>
      <w:r>
        <w:rPr>
          <w:rFonts w:ascii="Times New Roman" w:eastAsia="Times New Roman" w:hAnsi="Times New Roman" w:cs="Times New Roman"/>
          <w:szCs w:val="22"/>
        </w:rPr>
        <w:t>,</w:t>
      </w:r>
      <w:r w:rsidRPr="00A52847">
        <w:rPr>
          <w:rFonts w:ascii="Times New Roman" w:eastAsia="Times New Roman" w:hAnsi="Times New Roman" w:cs="Times New Roman"/>
          <w:szCs w:val="22"/>
        </w:rPr>
        <w:t xml:space="preserve"> 2013).</w:t>
      </w:r>
    </w:p>
  </w:footnote>
  <w:footnote w:id="4">
    <w:p w14:paraId="3BFE43FC" w14:textId="77777777" w:rsidR="00384BDF" w:rsidRPr="00A52847" w:rsidRDefault="00384BDF" w:rsidP="00F16012">
      <w:pPr>
        <w:spacing w:after="0" w:line="480" w:lineRule="auto"/>
        <w:rPr>
          <w:rFonts w:ascii="Times New Roman" w:hAnsi="Times New Roman" w:cs="Times New Roman"/>
          <w:szCs w:val="22"/>
        </w:rPr>
      </w:pPr>
      <w:r w:rsidRPr="00A52847">
        <w:rPr>
          <w:rFonts w:ascii="Times New Roman" w:hAnsi="Times New Roman" w:cs="Times New Roman"/>
          <w:szCs w:val="22"/>
          <w:vertAlign w:val="superscript"/>
        </w:rPr>
        <w:footnoteRef/>
      </w:r>
      <w:r w:rsidRPr="00A52847">
        <w:rPr>
          <w:rFonts w:ascii="Times New Roman" w:eastAsia="Times New Roman" w:hAnsi="Times New Roman" w:cs="Times New Roman"/>
          <w:szCs w:val="22"/>
        </w:rPr>
        <w:t xml:space="preserve"> Rhys et al. (2009) found that higher East European inflows were associated with lower public service performance, especially in communities with no prior experience of dealing with such migrants. </w:t>
      </w:r>
    </w:p>
  </w:footnote>
  <w:footnote w:id="5">
    <w:p w14:paraId="2482F79C" w14:textId="57545AB2" w:rsidR="00384BDF" w:rsidRPr="00A52847" w:rsidRDefault="00384BDF" w:rsidP="00F16012">
      <w:pPr>
        <w:spacing w:after="0" w:line="480" w:lineRule="auto"/>
        <w:rPr>
          <w:rFonts w:ascii="Times New Roman" w:hAnsi="Times New Roman" w:cs="Times New Roman"/>
          <w:szCs w:val="22"/>
        </w:rPr>
      </w:pPr>
      <w:r w:rsidRPr="00A52847">
        <w:rPr>
          <w:rFonts w:ascii="Times New Roman" w:hAnsi="Times New Roman" w:cs="Times New Roman"/>
          <w:szCs w:val="22"/>
          <w:vertAlign w:val="superscript"/>
        </w:rPr>
        <w:footnoteRef/>
      </w:r>
      <w:r>
        <w:rPr>
          <w:rFonts w:ascii="Times New Roman" w:eastAsia="Times New Roman" w:hAnsi="Times New Roman" w:cs="Times New Roman"/>
          <w:szCs w:val="22"/>
        </w:rPr>
        <w:t xml:space="preserve"> Lemos and Portes (2013: </w:t>
      </w:r>
      <w:r w:rsidRPr="00A52847">
        <w:rPr>
          <w:rFonts w:ascii="Times New Roman" w:eastAsia="Times New Roman" w:hAnsi="Times New Roman" w:cs="Times New Roman"/>
          <w:szCs w:val="22"/>
        </w:rPr>
        <w:t>299) argue that the post-enlargement immigration to the UK “corresponds more closely to an exogenous supply shock than most migration shocks studied in the literature”.</w:t>
      </w:r>
    </w:p>
  </w:footnote>
  <w:footnote w:id="6">
    <w:p w14:paraId="4F61E613" w14:textId="77777777" w:rsidR="00384BDF" w:rsidRPr="00CC0034" w:rsidRDefault="00384BDF" w:rsidP="00F16012">
      <w:pPr>
        <w:spacing w:after="0" w:line="480" w:lineRule="auto"/>
        <w:rPr>
          <w:rFonts w:ascii="Times New Roman" w:hAnsi="Times New Roman" w:cs="Times New Roman"/>
          <w:sz w:val="20"/>
        </w:rPr>
      </w:pPr>
      <w:r w:rsidRPr="00A52847">
        <w:rPr>
          <w:rFonts w:ascii="Times New Roman" w:hAnsi="Times New Roman" w:cs="Times New Roman"/>
          <w:szCs w:val="22"/>
          <w:vertAlign w:val="superscript"/>
        </w:rPr>
        <w:footnoteRef/>
      </w:r>
      <w:r w:rsidRPr="00A52847">
        <w:rPr>
          <w:rFonts w:ascii="Times New Roman" w:eastAsia="Times New Roman" w:hAnsi="Times New Roman" w:cs="Times New Roman"/>
          <w:szCs w:val="22"/>
        </w:rPr>
        <w:t xml:space="preserve"> </w:t>
      </w:r>
      <w:r w:rsidRPr="00CC0034">
        <w:rPr>
          <w:rFonts w:ascii="Times New Roman" w:eastAsia="Times New Roman" w:hAnsi="Times New Roman" w:cs="Times New Roman"/>
          <w:sz w:val="20"/>
        </w:rPr>
        <w:t xml:space="preserve">See Simpson (2013) for an overview, Ivlevs (2015) for a review of the effects of subjective well-being on the emigration decision, Nikolova and Graham (2015) for a review of the effects of international migration on migrants’ subjective well-being, and Nowok et al. (2013) and </w:t>
      </w:r>
      <w:r w:rsidRPr="00CC0034">
        <w:rPr>
          <w:rFonts w:ascii="Times New Roman" w:eastAsia="Times New Roman" w:hAnsi="Times New Roman" w:cs="Times New Roman"/>
          <w:color w:val="333333"/>
          <w:sz w:val="20"/>
          <w:lang w:val="en-GB"/>
        </w:rPr>
        <w:t xml:space="preserve">Iammarino and Marinelli (2011) </w:t>
      </w:r>
      <w:r w:rsidRPr="00CC0034">
        <w:rPr>
          <w:rFonts w:ascii="Times New Roman" w:eastAsia="Times New Roman" w:hAnsi="Times New Roman" w:cs="Times New Roman"/>
          <w:sz w:val="20"/>
        </w:rPr>
        <w:t xml:space="preserve">for the effect of internal migration on migrants’ well-being.   </w:t>
      </w:r>
    </w:p>
  </w:footnote>
  <w:footnote w:id="7">
    <w:p w14:paraId="79C44EE6" w14:textId="77777777" w:rsidR="00384BDF" w:rsidRPr="00DB6803" w:rsidRDefault="00384BDF" w:rsidP="00F16012">
      <w:pPr>
        <w:pStyle w:val="FootnoteText"/>
        <w:spacing w:line="480" w:lineRule="auto"/>
        <w:rPr>
          <w:rFonts w:ascii="Times New Roman" w:hAnsi="Times New Roman" w:cs="Times New Roman"/>
          <w:sz w:val="22"/>
          <w:szCs w:val="22"/>
        </w:rPr>
      </w:pPr>
      <w:r w:rsidRPr="00DB6803">
        <w:rPr>
          <w:rStyle w:val="FootnoteReference"/>
          <w:rFonts w:ascii="Times New Roman" w:hAnsi="Times New Roman" w:cs="Times New Roman"/>
          <w:sz w:val="22"/>
          <w:szCs w:val="22"/>
        </w:rPr>
        <w:footnoteRef/>
      </w:r>
      <w:r w:rsidRPr="00DB6803">
        <w:rPr>
          <w:rFonts w:ascii="Times New Roman" w:hAnsi="Times New Roman" w:cs="Times New Roman"/>
          <w:sz w:val="22"/>
          <w:szCs w:val="22"/>
        </w:rPr>
        <w:t xml:space="preserve"> The BHPS was succeeded in 2009 by “Understanding Society: the UK Household Longitudinal Survey”. See </w:t>
      </w:r>
      <w:hyperlink r:id="rId2" w:history="1">
        <w:r w:rsidRPr="00DB6803">
          <w:rPr>
            <w:rStyle w:val="Hyperlink"/>
            <w:rFonts w:ascii="Times New Roman" w:hAnsi="Times New Roman" w:cs="Times New Roman"/>
            <w:sz w:val="22"/>
            <w:szCs w:val="22"/>
          </w:rPr>
          <w:t>https://www.understandingsociety.ac.uk/</w:t>
        </w:r>
      </w:hyperlink>
      <w:r w:rsidRPr="00DB6803">
        <w:rPr>
          <w:rFonts w:ascii="Times New Roman" w:hAnsi="Times New Roman" w:cs="Times New Roman"/>
          <w:sz w:val="22"/>
          <w:szCs w:val="22"/>
        </w:rPr>
        <w:t xml:space="preserve"> for more details. </w:t>
      </w:r>
    </w:p>
  </w:footnote>
  <w:footnote w:id="8">
    <w:p w14:paraId="7B13D240" w14:textId="77777777" w:rsidR="00384BDF" w:rsidRPr="00DB6803" w:rsidRDefault="00384BDF" w:rsidP="001B1A1C">
      <w:pPr>
        <w:pStyle w:val="FootnoteText"/>
        <w:spacing w:line="480" w:lineRule="auto"/>
        <w:rPr>
          <w:rFonts w:ascii="Times New Roman" w:hAnsi="Times New Roman" w:cs="Times New Roman"/>
          <w:sz w:val="22"/>
          <w:szCs w:val="22"/>
        </w:rPr>
      </w:pPr>
      <w:r w:rsidRPr="00DB6803">
        <w:rPr>
          <w:rStyle w:val="FootnoteReference"/>
          <w:rFonts w:ascii="Times New Roman" w:hAnsi="Times New Roman" w:cs="Times New Roman"/>
          <w:sz w:val="22"/>
          <w:szCs w:val="22"/>
        </w:rPr>
        <w:footnoteRef/>
      </w:r>
      <w:r w:rsidRPr="00DB6803">
        <w:rPr>
          <w:rFonts w:ascii="Times New Roman" w:hAnsi="Times New Roman" w:cs="Times New Roman"/>
          <w:sz w:val="22"/>
          <w:szCs w:val="22"/>
        </w:rPr>
        <w:t xml:space="preserve"> Population for each LAD and year is available from the UK Office for National Statistics (ONS) as a mid-year estimate (see </w:t>
      </w:r>
      <w:hyperlink r:id="rId3" w:history="1">
        <w:r w:rsidRPr="00DB6803">
          <w:rPr>
            <w:rStyle w:val="Hyperlink"/>
            <w:rFonts w:ascii="Times New Roman" w:hAnsi="Times New Roman" w:cs="Times New Roman"/>
            <w:sz w:val="22"/>
            <w:szCs w:val="22"/>
          </w:rPr>
          <w:t>https://www.nomisweb.co.uk/</w:t>
        </w:r>
      </w:hyperlink>
      <w:r w:rsidRPr="00DB6803">
        <w:rPr>
          <w:rFonts w:ascii="Times New Roman" w:hAnsi="Times New Roman" w:cs="Times New Roman"/>
          <w:sz w:val="22"/>
          <w:szCs w:val="22"/>
        </w:rPr>
        <w:t>).</w:t>
      </w:r>
    </w:p>
  </w:footnote>
  <w:footnote w:id="9">
    <w:p w14:paraId="3D8B0594" w14:textId="76993E67" w:rsidR="00384BDF" w:rsidRPr="00FA4A81" w:rsidRDefault="00384BDF" w:rsidP="00F01545">
      <w:pPr>
        <w:pStyle w:val="FootnoteText"/>
        <w:spacing w:line="480" w:lineRule="auto"/>
        <w:rPr>
          <w:rFonts w:ascii="Times New Roman" w:hAnsi="Times New Roman" w:cs="Times New Roman"/>
          <w:sz w:val="22"/>
          <w:szCs w:val="22"/>
          <w:lang w:val="en-GB"/>
        </w:rPr>
      </w:pPr>
      <w:r w:rsidRPr="00DB4D07">
        <w:rPr>
          <w:rStyle w:val="FootnoteReference"/>
          <w:rFonts w:ascii="Times New Roman" w:hAnsi="Times New Roman" w:cs="Times New Roman"/>
          <w:sz w:val="22"/>
          <w:szCs w:val="22"/>
        </w:rPr>
        <w:footnoteRef/>
      </w:r>
      <w:r w:rsidRPr="00DB4D07">
        <w:rPr>
          <w:rFonts w:ascii="Times New Roman" w:hAnsi="Times New Roman" w:cs="Times New Roman"/>
          <w:sz w:val="22"/>
          <w:szCs w:val="22"/>
        </w:rPr>
        <w:t xml:space="preserve"> Note that there are no other data on the LAD-level inflows of A8 nationals that we could use for 2003. We, however, acknowledge that assigning the value of zero to the A8 pre-enlargement </w:t>
      </w:r>
      <w:r w:rsidRPr="00DB4D07">
        <w:rPr>
          <w:rFonts w:ascii="Times New Roman" w:hAnsi="Times New Roman" w:cs="Times New Roman"/>
          <w:sz w:val="22"/>
          <w:szCs w:val="22"/>
          <w:lang w:val="en-GB"/>
        </w:rPr>
        <w:t>in</w:t>
      </w:r>
      <w:r w:rsidRPr="00DB4D07">
        <w:rPr>
          <w:rFonts w:ascii="Times New Roman" w:hAnsi="Times New Roman" w:cs="Times New Roman"/>
          <w:sz w:val="22"/>
          <w:szCs w:val="22"/>
        </w:rPr>
        <w:t>flows may result in artificially inflated measures of immigration and biased estimates if there was sizeable immigration from A8 countries to the UK before 2004. To check this, we have compared the number of national insurance number (NINo) registrations of A8 nationals b</w:t>
      </w:r>
      <w:r>
        <w:rPr>
          <w:rFonts w:ascii="Times New Roman" w:hAnsi="Times New Roman" w:cs="Times New Roman"/>
          <w:sz w:val="22"/>
          <w:szCs w:val="22"/>
        </w:rPr>
        <w:t xml:space="preserve">efore and after the enlargement </w:t>
      </w:r>
      <w:r w:rsidRPr="00DB4D07">
        <w:rPr>
          <w:rFonts w:ascii="Times New Roman" w:hAnsi="Times New Roman" w:cs="Times New Roman"/>
          <w:sz w:val="22"/>
          <w:szCs w:val="22"/>
        </w:rPr>
        <w:t xml:space="preserve">(these data, sourced from the UK Department of Work and Pensions, are available from 2002 onwards, for the UK as a whole). The number of the A8 nationals’ NINo registrations was 9,518 in 2002, </w:t>
      </w:r>
      <w:r w:rsidRPr="00DB4D07">
        <w:rPr>
          <w:rFonts w:ascii="Times New Roman" w:eastAsia="Times New Roman" w:hAnsi="Times New Roman" w:cs="Times New Roman"/>
          <w:color w:val="auto"/>
          <w:sz w:val="22"/>
          <w:szCs w:val="22"/>
          <w:lang w:val="en-GB"/>
        </w:rPr>
        <w:t xml:space="preserve">16,868 in 2003 and then grew rapidly to 68,651 in 2004, 236,428 in 2005, 276,449 in 2006, 334,625 in 2007, and 230,879 in 2008. The annual post-enlargement inflows from A8 countries, as captured by NINo registrations, were </w:t>
      </w:r>
      <w:r>
        <w:rPr>
          <w:rFonts w:ascii="Times New Roman" w:eastAsia="Times New Roman" w:hAnsi="Times New Roman" w:cs="Times New Roman"/>
          <w:color w:val="auto"/>
          <w:sz w:val="22"/>
          <w:szCs w:val="22"/>
          <w:lang w:val="en-GB"/>
        </w:rPr>
        <w:t xml:space="preserve">thus </w:t>
      </w:r>
      <w:r w:rsidRPr="00DB4D07">
        <w:rPr>
          <w:rFonts w:ascii="Times New Roman" w:eastAsia="Times New Roman" w:hAnsi="Times New Roman" w:cs="Times New Roman"/>
          <w:color w:val="auto"/>
          <w:sz w:val="22"/>
          <w:szCs w:val="22"/>
          <w:lang w:val="en-GB"/>
        </w:rPr>
        <w:t xml:space="preserve">10-20 times larger after the enlargement (2005-08) than before </w:t>
      </w:r>
      <w:r>
        <w:rPr>
          <w:rFonts w:ascii="Times New Roman" w:eastAsia="Times New Roman" w:hAnsi="Times New Roman" w:cs="Times New Roman"/>
          <w:color w:val="auto"/>
          <w:sz w:val="22"/>
          <w:szCs w:val="22"/>
          <w:lang w:val="en-GB"/>
        </w:rPr>
        <w:t>it (2002-03). T</w:t>
      </w:r>
      <w:r w:rsidRPr="00DB4D07">
        <w:rPr>
          <w:rFonts w:ascii="Times New Roman" w:eastAsia="Times New Roman" w:hAnsi="Times New Roman" w:cs="Times New Roman"/>
          <w:color w:val="auto"/>
          <w:sz w:val="22"/>
          <w:szCs w:val="22"/>
          <w:lang w:val="en-GB"/>
        </w:rPr>
        <w:t>his is consistent with the view that the po</w:t>
      </w:r>
      <w:r w:rsidRPr="007512F3">
        <w:rPr>
          <w:rFonts w:ascii="Times New Roman" w:eastAsia="Times New Roman" w:hAnsi="Times New Roman" w:cs="Times New Roman"/>
          <w:color w:val="auto"/>
          <w:sz w:val="22"/>
          <w:szCs w:val="22"/>
          <w:lang w:val="en-GB"/>
        </w:rPr>
        <w:t xml:space="preserve">st-enlargement A8 immigration was large and fast, and, to a certain extent, justifies our use of zero inflows in 2003. </w:t>
      </w:r>
      <w:r w:rsidR="00C84460" w:rsidRPr="007512F3">
        <w:rPr>
          <w:rFonts w:ascii="Times New Roman" w:eastAsia="Times New Roman" w:hAnsi="Times New Roman" w:cs="Times New Roman"/>
          <w:color w:val="auto"/>
          <w:sz w:val="22"/>
          <w:szCs w:val="22"/>
          <w:lang w:val="en-GB"/>
        </w:rPr>
        <w:t xml:space="preserve">As </w:t>
      </w:r>
      <w:r w:rsidR="00E40CDE" w:rsidRPr="007512F3">
        <w:rPr>
          <w:rFonts w:ascii="Times New Roman" w:eastAsia="Times New Roman" w:hAnsi="Times New Roman" w:cs="Times New Roman"/>
          <w:color w:val="auto"/>
          <w:sz w:val="22"/>
          <w:szCs w:val="22"/>
          <w:lang w:val="en-GB"/>
        </w:rPr>
        <w:t>a further robustness</w:t>
      </w:r>
      <w:r w:rsidR="00344E2C" w:rsidRPr="007512F3">
        <w:rPr>
          <w:rFonts w:ascii="Times New Roman" w:eastAsia="Times New Roman" w:hAnsi="Times New Roman" w:cs="Times New Roman"/>
          <w:color w:val="auto"/>
          <w:sz w:val="22"/>
          <w:szCs w:val="22"/>
          <w:lang w:val="en-GB"/>
        </w:rPr>
        <w:t xml:space="preserve"> check, </w:t>
      </w:r>
      <w:r w:rsidR="00344E2C" w:rsidRPr="007512F3">
        <w:rPr>
          <w:rFonts w:ascii="Times New Roman" w:hAnsi="Times New Roman" w:cs="Times New Roman"/>
          <w:color w:val="212121"/>
          <w:sz w:val="22"/>
          <w:szCs w:val="22"/>
        </w:rPr>
        <w:t xml:space="preserve">we have used </w:t>
      </w:r>
      <w:r w:rsidR="00C84460" w:rsidRPr="007512F3">
        <w:rPr>
          <w:rFonts w:ascii="Times New Roman" w:hAnsi="Times New Roman" w:cs="Times New Roman"/>
          <w:color w:val="212121"/>
          <w:sz w:val="22"/>
          <w:szCs w:val="22"/>
        </w:rPr>
        <w:t xml:space="preserve">the </w:t>
      </w:r>
      <w:r w:rsidR="00344E2C" w:rsidRPr="007512F3">
        <w:rPr>
          <w:rFonts w:ascii="Times New Roman" w:hAnsi="Times New Roman" w:cs="Times New Roman"/>
          <w:color w:val="212121"/>
          <w:sz w:val="22"/>
          <w:szCs w:val="22"/>
        </w:rPr>
        <w:t>LAD-specific and total A8 inflows for 2004-05 (based on our WRS data) to calculate the inflow proportion that corresponds to each LAD for these years. Then, we multiplied this proportion with the total NINo regi</w:t>
      </w:r>
      <w:r w:rsidR="00FA4A81" w:rsidRPr="007512F3">
        <w:rPr>
          <w:rFonts w:ascii="Times New Roman" w:hAnsi="Times New Roman" w:cs="Times New Roman"/>
          <w:color w:val="212121"/>
          <w:sz w:val="22"/>
          <w:szCs w:val="22"/>
        </w:rPr>
        <w:t>strations for 2003 (16,868</w:t>
      </w:r>
      <w:r w:rsidR="00344E2C" w:rsidRPr="007512F3">
        <w:rPr>
          <w:rFonts w:ascii="Times New Roman" w:hAnsi="Times New Roman" w:cs="Times New Roman"/>
          <w:color w:val="212121"/>
          <w:sz w:val="22"/>
          <w:szCs w:val="22"/>
        </w:rPr>
        <w:t>) and estimated an inflow for each LAD for 2003. By dividing the resulting number with the LAD population for 2003, we finally ended up with an estimate of the inflow rate for each LAD in 2003. We then re-estimated all our models, after having substituted</w:t>
      </w:r>
      <w:r w:rsidR="00FA4A81" w:rsidRPr="007512F3">
        <w:rPr>
          <w:rFonts w:ascii="Times New Roman" w:hAnsi="Times New Roman" w:cs="Times New Roman"/>
          <w:color w:val="212121"/>
          <w:sz w:val="22"/>
          <w:szCs w:val="22"/>
        </w:rPr>
        <w:t xml:space="preserve"> the zeros in 2003 with</w:t>
      </w:r>
      <w:r w:rsidR="00344E2C" w:rsidRPr="007512F3">
        <w:rPr>
          <w:rFonts w:ascii="Times New Roman" w:hAnsi="Times New Roman" w:cs="Times New Roman"/>
          <w:color w:val="212121"/>
          <w:sz w:val="22"/>
          <w:szCs w:val="22"/>
        </w:rPr>
        <w:t xml:space="preserve"> </w:t>
      </w:r>
      <w:r w:rsidR="00FA4A81" w:rsidRPr="007512F3">
        <w:rPr>
          <w:rFonts w:ascii="Times New Roman" w:hAnsi="Times New Roman" w:cs="Times New Roman"/>
          <w:color w:val="212121"/>
          <w:sz w:val="22"/>
          <w:szCs w:val="22"/>
        </w:rPr>
        <w:t xml:space="preserve">this </w:t>
      </w:r>
      <w:r w:rsidR="00344E2C" w:rsidRPr="007512F3">
        <w:rPr>
          <w:rFonts w:ascii="Times New Roman" w:hAnsi="Times New Roman" w:cs="Times New Roman"/>
          <w:color w:val="212121"/>
          <w:sz w:val="22"/>
          <w:szCs w:val="22"/>
        </w:rPr>
        <w:t>estimated inflow rate for each LAD. The results were very similar to the ones reported</w:t>
      </w:r>
      <w:r w:rsidR="00FA4A81" w:rsidRPr="007512F3">
        <w:rPr>
          <w:rFonts w:ascii="Times New Roman" w:hAnsi="Times New Roman" w:cs="Times New Roman"/>
          <w:color w:val="212121"/>
          <w:sz w:val="22"/>
          <w:szCs w:val="22"/>
        </w:rPr>
        <w:t xml:space="preserve"> in this paper</w:t>
      </w:r>
      <w:r w:rsidR="00344E2C" w:rsidRPr="007512F3">
        <w:rPr>
          <w:rFonts w:ascii="Times New Roman" w:hAnsi="Times New Roman" w:cs="Times New Roman"/>
          <w:color w:val="212121"/>
          <w:sz w:val="22"/>
          <w:szCs w:val="22"/>
        </w:rPr>
        <w:t>.</w:t>
      </w:r>
    </w:p>
  </w:footnote>
  <w:footnote w:id="10">
    <w:p w14:paraId="1961E652" w14:textId="77777777" w:rsidR="00384BDF" w:rsidRPr="00A065F8" w:rsidRDefault="00384BDF" w:rsidP="00A065F8">
      <w:pPr>
        <w:pStyle w:val="FootnoteText"/>
        <w:spacing w:line="480" w:lineRule="auto"/>
        <w:rPr>
          <w:rFonts w:ascii="Times New Roman" w:hAnsi="Times New Roman" w:cs="Times New Roman"/>
          <w:sz w:val="22"/>
          <w:lang w:val="en-GB"/>
        </w:rPr>
      </w:pPr>
      <w:r w:rsidRPr="00AC616F">
        <w:rPr>
          <w:rStyle w:val="FootnoteReference"/>
          <w:rFonts w:ascii="Times New Roman" w:hAnsi="Times New Roman" w:cs="Times New Roman"/>
          <w:sz w:val="22"/>
        </w:rPr>
        <w:footnoteRef/>
      </w:r>
      <w:r w:rsidRPr="00AC616F">
        <w:rPr>
          <w:rFonts w:ascii="Times New Roman" w:hAnsi="Times New Roman" w:cs="Times New Roman"/>
          <w:sz w:val="22"/>
        </w:rPr>
        <w:t xml:space="preserve"> </w:t>
      </w:r>
      <w:r w:rsidRPr="00AC616F">
        <w:rPr>
          <w:rFonts w:ascii="Times New Roman" w:hAnsi="Times New Roman" w:cs="Times New Roman"/>
          <w:sz w:val="22"/>
          <w:lang w:val="en-GB"/>
        </w:rPr>
        <w:t xml:space="preserve">Note that in our case it is not possible to cluster standard errors at the LAD level. This is because our panel dimension is </w:t>
      </w:r>
      <w:r>
        <w:rPr>
          <w:rFonts w:ascii="Times New Roman" w:hAnsi="Times New Roman" w:cs="Times New Roman"/>
          <w:sz w:val="22"/>
          <w:lang w:val="en-GB"/>
        </w:rPr>
        <w:t xml:space="preserve">the individual, </w:t>
      </w:r>
      <w:r w:rsidRPr="00AC616F">
        <w:rPr>
          <w:rFonts w:ascii="Times New Roman" w:hAnsi="Times New Roman" w:cs="Times New Roman"/>
          <w:sz w:val="22"/>
          <w:lang w:val="en-GB"/>
        </w:rPr>
        <w:t xml:space="preserve">and individuals can change LADs over time. We have experimented with a sample of non-movers, which allows for clustering at the LAD level, and found very similar results from </w:t>
      </w:r>
      <w:r>
        <w:rPr>
          <w:rFonts w:ascii="Times New Roman" w:hAnsi="Times New Roman" w:cs="Times New Roman"/>
          <w:sz w:val="22"/>
          <w:lang w:val="en-GB"/>
        </w:rPr>
        <w:t xml:space="preserve">either </w:t>
      </w:r>
      <w:r w:rsidRPr="00AC616F">
        <w:rPr>
          <w:rFonts w:ascii="Times New Roman" w:hAnsi="Times New Roman" w:cs="Times New Roman"/>
          <w:sz w:val="22"/>
          <w:lang w:val="en-GB"/>
        </w:rPr>
        <w:t xml:space="preserve">clustering </w:t>
      </w:r>
      <w:r>
        <w:rPr>
          <w:rFonts w:ascii="Times New Roman" w:hAnsi="Times New Roman" w:cs="Times New Roman"/>
          <w:sz w:val="22"/>
          <w:lang w:val="en-GB"/>
        </w:rPr>
        <w:t xml:space="preserve">option. </w:t>
      </w:r>
      <w:r w:rsidRPr="00A065F8">
        <w:rPr>
          <w:rFonts w:ascii="Times New Roman" w:hAnsi="Times New Roman" w:cs="Times New Roman"/>
          <w:sz w:val="22"/>
          <w:lang w:val="en-GB"/>
        </w:rPr>
        <w:t xml:space="preserve"> </w:t>
      </w:r>
    </w:p>
  </w:footnote>
  <w:footnote w:id="11">
    <w:p w14:paraId="5BCD8C50" w14:textId="77777777" w:rsidR="00384BDF" w:rsidRPr="007A0CF1" w:rsidRDefault="00384BDF" w:rsidP="007A0CF1">
      <w:pPr>
        <w:pStyle w:val="FootnoteText"/>
        <w:spacing w:line="480" w:lineRule="auto"/>
        <w:rPr>
          <w:rFonts w:ascii="Times New Roman" w:hAnsi="Times New Roman" w:cs="Times New Roman"/>
          <w:sz w:val="22"/>
          <w:szCs w:val="22"/>
        </w:rPr>
      </w:pPr>
      <w:r w:rsidRPr="00DB6803">
        <w:rPr>
          <w:rStyle w:val="FootnoteReference"/>
          <w:rFonts w:ascii="Times New Roman" w:hAnsi="Times New Roman" w:cs="Times New Roman"/>
          <w:sz w:val="22"/>
          <w:szCs w:val="22"/>
        </w:rPr>
        <w:footnoteRef/>
      </w:r>
      <w:r w:rsidRPr="00DB6803">
        <w:rPr>
          <w:rFonts w:ascii="Times New Roman" w:hAnsi="Times New Roman" w:cs="Times New Roman"/>
          <w:sz w:val="22"/>
          <w:szCs w:val="22"/>
        </w:rPr>
        <w:t xml:space="preserve"> The job claimant rate for each LAD and year is </w:t>
      </w:r>
      <w:r>
        <w:rPr>
          <w:rFonts w:ascii="Times New Roman" w:hAnsi="Times New Roman" w:cs="Times New Roman"/>
          <w:sz w:val="22"/>
          <w:szCs w:val="22"/>
        </w:rPr>
        <w:t xml:space="preserve">directly </w:t>
      </w:r>
      <w:r w:rsidRPr="00DB6803">
        <w:rPr>
          <w:rFonts w:ascii="Times New Roman" w:hAnsi="Times New Roman" w:cs="Times New Roman"/>
          <w:sz w:val="22"/>
          <w:szCs w:val="22"/>
        </w:rPr>
        <w:t xml:space="preserve">available from the ONS (see </w:t>
      </w:r>
      <w:hyperlink r:id="rId4" w:history="1">
        <w:r w:rsidRPr="00DB6803">
          <w:rPr>
            <w:rStyle w:val="Hyperlink"/>
            <w:rFonts w:ascii="Times New Roman" w:hAnsi="Times New Roman" w:cs="Times New Roman"/>
            <w:sz w:val="22"/>
            <w:szCs w:val="22"/>
          </w:rPr>
          <w:t>https://www.nomisweb.co.uk/</w:t>
        </w:r>
      </w:hyperlink>
      <w:r w:rsidRPr="00DB6803">
        <w:rPr>
          <w:rFonts w:ascii="Times New Roman" w:hAnsi="Times New Roman" w:cs="Times New Roman"/>
          <w:sz w:val="22"/>
          <w:szCs w:val="22"/>
        </w:rPr>
        <w:t>). Total crime</w:t>
      </w:r>
      <w:r>
        <w:rPr>
          <w:rFonts w:ascii="Times New Roman" w:hAnsi="Times New Roman" w:cs="Times New Roman"/>
          <w:sz w:val="22"/>
          <w:szCs w:val="22"/>
        </w:rPr>
        <w:t xml:space="preserve">, migrant registrations with GPs, median house price and </w:t>
      </w:r>
      <w:r w:rsidRPr="007A0CF1">
        <w:rPr>
          <w:rFonts w:ascii="Times New Roman" w:hAnsi="Times New Roman" w:cs="Times New Roman"/>
          <w:sz w:val="22"/>
          <w:szCs w:val="22"/>
        </w:rPr>
        <w:t xml:space="preserve">median gross annual salary are also available from the ONS (the first two are divided by the LAD population). </w:t>
      </w:r>
    </w:p>
  </w:footnote>
  <w:footnote w:id="12">
    <w:p w14:paraId="37597D3B" w14:textId="029D7BC8" w:rsidR="00384BDF" w:rsidRPr="007512F3" w:rsidRDefault="00384BDF" w:rsidP="007A0CF1">
      <w:pPr>
        <w:pStyle w:val="FootnoteText"/>
        <w:spacing w:line="480" w:lineRule="auto"/>
        <w:rPr>
          <w:rFonts w:ascii="Times New Roman" w:hAnsi="Times New Roman" w:cs="Times New Roman"/>
          <w:sz w:val="22"/>
          <w:szCs w:val="22"/>
        </w:rPr>
      </w:pPr>
      <w:r w:rsidRPr="007512F3">
        <w:rPr>
          <w:rStyle w:val="FootnoteReference"/>
          <w:rFonts w:ascii="Times New Roman" w:hAnsi="Times New Roman" w:cs="Times New Roman"/>
          <w:sz w:val="22"/>
          <w:szCs w:val="22"/>
        </w:rPr>
        <w:footnoteRef/>
      </w:r>
      <w:r w:rsidRPr="007512F3">
        <w:rPr>
          <w:rFonts w:ascii="Times New Roman" w:hAnsi="Times New Roman" w:cs="Times New Roman"/>
          <w:sz w:val="22"/>
          <w:szCs w:val="22"/>
        </w:rPr>
        <w:t xml:space="preserve"> According to the WRS data for 2004-2011, 85.7% of A8 immigrants went to England, 8.37% to Scotland, 3.62% to Northern Ireland, and 2.29% to Wales. Our analysis, thus, captures the bulk of the A8 migrant inflows in the UK. </w:t>
      </w:r>
      <w:r w:rsidRPr="007512F3">
        <w:rPr>
          <w:rFonts w:ascii="Times New Roman" w:hAnsi="Times New Roman" w:cs="Times New Roman"/>
          <w:i/>
          <w:color w:val="212121"/>
          <w:sz w:val="22"/>
          <w:szCs w:val="22"/>
        </w:rPr>
        <w:t xml:space="preserve"> </w:t>
      </w:r>
      <w:r w:rsidRPr="007512F3">
        <w:rPr>
          <w:rFonts w:ascii="Times New Roman" w:hAnsi="Times New Roman" w:cs="Times New Roman"/>
          <w:color w:val="212121"/>
          <w:sz w:val="22"/>
          <w:szCs w:val="22"/>
        </w:rPr>
        <w:t>We did additional regressions by including both Scotland and Northern Ireland</w:t>
      </w:r>
      <w:r w:rsidR="0023123C" w:rsidRPr="007512F3">
        <w:rPr>
          <w:rFonts w:ascii="Times New Roman" w:hAnsi="Times New Roman" w:cs="Times New Roman"/>
          <w:color w:val="212121"/>
          <w:sz w:val="22"/>
          <w:szCs w:val="22"/>
        </w:rPr>
        <w:t xml:space="preserve"> (the latter available as a boost sample in the BHPS after 2001) </w:t>
      </w:r>
      <w:r w:rsidRPr="007512F3">
        <w:rPr>
          <w:rFonts w:ascii="Times New Roman" w:hAnsi="Times New Roman" w:cs="Times New Roman"/>
          <w:color w:val="212121"/>
          <w:sz w:val="22"/>
          <w:szCs w:val="22"/>
        </w:rPr>
        <w:t>and by excluding the LAD-level controls. Results were very similar to the ones reported in this paper.</w:t>
      </w:r>
      <w:r w:rsidRPr="007512F3">
        <w:rPr>
          <w:rFonts w:ascii="Times New Roman" w:hAnsi="Times New Roman" w:cs="Times New Roman"/>
          <w:color w:val="212121"/>
          <w:sz w:val="24"/>
          <w:szCs w:val="24"/>
        </w:rPr>
        <w:t xml:space="preserve"> </w:t>
      </w:r>
    </w:p>
  </w:footnote>
  <w:footnote w:id="13">
    <w:p w14:paraId="778CBF90" w14:textId="77777777" w:rsidR="00384BDF" w:rsidRPr="00DB6803" w:rsidRDefault="00384BDF" w:rsidP="007A0CF1">
      <w:pPr>
        <w:pStyle w:val="FootnoteText"/>
        <w:spacing w:line="480" w:lineRule="auto"/>
        <w:rPr>
          <w:rFonts w:ascii="Times New Roman" w:hAnsi="Times New Roman" w:cs="Times New Roman"/>
          <w:sz w:val="22"/>
          <w:szCs w:val="22"/>
        </w:rPr>
      </w:pPr>
      <w:r w:rsidRPr="007512F3">
        <w:rPr>
          <w:rStyle w:val="FootnoteReference"/>
          <w:rFonts w:ascii="Times New Roman" w:hAnsi="Times New Roman" w:cs="Times New Roman"/>
          <w:sz w:val="22"/>
          <w:szCs w:val="22"/>
        </w:rPr>
        <w:footnoteRef/>
      </w:r>
      <w:r w:rsidRPr="007512F3">
        <w:rPr>
          <w:rFonts w:ascii="Times New Roman" w:hAnsi="Times New Roman" w:cs="Times New Roman"/>
          <w:sz w:val="22"/>
          <w:szCs w:val="22"/>
        </w:rPr>
        <w:t xml:space="preserve"> Descriptive statistics for all variables used in the following analysis are presented in Appendix Table A1.</w:t>
      </w:r>
      <w:r w:rsidRPr="00DB6803">
        <w:rPr>
          <w:rFonts w:ascii="Times New Roman" w:hAnsi="Times New Roman" w:cs="Times New Roman"/>
          <w:sz w:val="22"/>
          <w:szCs w:val="22"/>
        </w:rPr>
        <w:t xml:space="preserve"> </w:t>
      </w:r>
    </w:p>
  </w:footnote>
  <w:footnote w:id="14">
    <w:p w14:paraId="6D9DE3BB" w14:textId="79A92934" w:rsidR="00384BDF" w:rsidRPr="00A71A6E" w:rsidRDefault="00384BDF" w:rsidP="00A71A6E">
      <w:pPr>
        <w:pStyle w:val="FootnoteText"/>
        <w:spacing w:line="480" w:lineRule="auto"/>
        <w:rPr>
          <w:rFonts w:ascii="Times New Roman" w:hAnsi="Times New Roman" w:cs="Times New Roman"/>
          <w:sz w:val="22"/>
          <w:szCs w:val="22"/>
        </w:rPr>
      </w:pPr>
      <w:r w:rsidRPr="00A71A6E">
        <w:rPr>
          <w:rStyle w:val="FootnoteReference"/>
          <w:rFonts w:ascii="Times New Roman" w:hAnsi="Times New Roman" w:cs="Times New Roman"/>
          <w:sz w:val="22"/>
          <w:szCs w:val="22"/>
        </w:rPr>
        <w:footnoteRef/>
      </w:r>
      <w:r w:rsidRPr="00A71A6E">
        <w:rPr>
          <w:rFonts w:ascii="Times New Roman" w:hAnsi="Times New Roman" w:cs="Times New Roman"/>
          <w:sz w:val="22"/>
          <w:szCs w:val="22"/>
        </w:rPr>
        <w:t xml:space="preserve"> </w:t>
      </w:r>
      <w:r>
        <w:rPr>
          <w:rFonts w:ascii="Times New Roman" w:hAnsi="Times New Roman" w:cs="Times New Roman"/>
          <w:sz w:val="22"/>
          <w:szCs w:val="22"/>
        </w:rPr>
        <w:t xml:space="preserve">Age can only be inserted in the model through its interaction term. Its direct effect on life satisfaction cannot be identified in a </w:t>
      </w:r>
      <w:r w:rsidRPr="00E32762">
        <w:rPr>
          <w:rFonts w:ascii="Times New Roman" w:hAnsi="Times New Roman" w:cs="Times New Roman"/>
          <w:sz w:val="22"/>
          <w:szCs w:val="22"/>
        </w:rPr>
        <w:t xml:space="preserve">fixed effects model that includes year dummies, since its change is constant across time for all persons (Wooldridge, 2006: 489). </w:t>
      </w:r>
      <w:r w:rsidRPr="00145676">
        <w:rPr>
          <w:rFonts w:ascii="Times New Roman" w:hAnsi="Times New Roman" w:cs="Times New Roman"/>
          <w:sz w:val="22"/>
          <w:szCs w:val="22"/>
        </w:rPr>
        <w:t>Note also that we experimented with specifications where all the relevant interaction terms were simultaneously inserted in the model. This did not prove to be a very helpful exercise since no variables of interest reached statistical significance, pointing to a largely demanding model with very high collinearities among the interaction terms. This should be kept in mind when interpreting the results presented in the following sections.</w:t>
      </w:r>
      <w:r>
        <w:rPr>
          <w:rFonts w:ascii="Times New Roman" w:hAnsi="Times New Roman" w:cs="Times New Roman"/>
          <w:sz w:val="22"/>
          <w:szCs w:val="22"/>
        </w:rPr>
        <w:t xml:space="preserve">  </w:t>
      </w:r>
    </w:p>
  </w:footnote>
  <w:footnote w:id="15">
    <w:p w14:paraId="0E0DE469" w14:textId="6A539A73" w:rsidR="00384BDF" w:rsidRPr="00717F7B" w:rsidRDefault="00384BDF" w:rsidP="00717F7B">
      <w:pPr>
        <w:pStyle w:val="FootnoteText"/>
        <w:spacing w:line="480" w:lineRule="auto"/>
        <w:rPr>
          <w:rFonts w:ascii="Times New Roman" w:hAnsi="Times New Roman" w:cs="Times New Roman"/>
          <w:sz w:val="22"/>
          <w:szCs w:val="22"/>
        </w:rPr>
      </w:pPr>
      <w:r w:rsidRPr="00717F7B">
        <w:rPr>
          <w:rStyle w:val="FootnoteReference"/>
          <w:rFonts w:ascii="Times New Roman" w:hAnsi="Times New Roman" w:cs="Times New Roman"/>
          <w:sz w:val="22"/>
          <w:szCs w:val="22"/>
        </w:rPr>
        <w:footnoteRef/>
      </w:r>
      <w:r w:rsidRPr="00717F7B">
        <w:rPr>
          <w:rFonts w:ascii="Times New Roman" w:hAnsi="Times New Roman" w:cs="Times New Roman"/>
          <w:sz w:val="22"/>
          <w:szCs w:val="22"/>
        </w:rPr>
        <w:t xml:space="preserve"> </w:t>
      </w:r>
      <w:r>
        <w:rPr>
          <w:rFonts w:ascii="Times New Roman" w:hAnsi="Times New Roman" w:cs="Times New Roman"/>
          <w:sz w:val="22"/>
          <w:szCs w:val="22"/>
        </w:rPr>
        <w:t xml:space="preserve">The overall sample mean of the migrant inflow rate is 0.24% (see Appendix Table A1). The sample mean of the migrant inflow rate for each year is as follows: 0 (2003, as stated above); 0.40% (2005); 0.32% (2006); 0.31% (2007); and 0.22% (2008). </w:t>
      </w:r>
    </w:p>
  </w:footnote>
  <w:footnote w:id="16">
    <w:p w14:paraId="5D3676D7" w14:textId="77777777" w:rsidR="00384BDF" w:rsidRPr="008F6D54" w:rsidRDefault="00384BDF" w:rsidP="008F6D54">
      <w:pPr>
        <w:pStyle w:val="FootnoteText"/>
        <w:spacing w:line="480" w:lineRule="auto"/>
        <w:rPr>
          <w:rFonts w:ascii="Times New Roman" w:hAnsi="Times New Roman" w:cs="Times New Roman"/>
          <w:sz w:val="22"/>
          <w:szCs w:val="22"/>
        </w:rPr>
      </w:pPr>
      <w:r w:rsidRPr="008F6D54">
        <w:rPr>
          <w:rStyle w:val="FootnoteReference"/>
          <w:rFonts w:ascii="Times New Roman" w:hAnsi="Times New Roman" w:cs="Times New Roman"/>
          <w:sz w:val="22"/>
          <w:szCs w:val="22"/>
        </w:rPr>
        <w:footnoteRef/>
      </w:r>
      <w:r w:rsidRPr="008F6D54">
        <w:rPr>
          <w:rFonts w:ascii="Times New Roman" w:hAnsi="Times New Roman" w:cs="Times New Roman"/>
          <w:sz w:val="22"/>
          <w:szCs w:val="22"/>
        </w:rPr>
        <w:t xml:space="preserve"> </w:t>
      </w:r>
      <w:r>
        <w:rPr>
          <w:rFonts w:ascii="Times New Roman" w:hAnsi="Times New Roman" w:cs="Times New Roman"/>
          <w:sz w:val="22"/>
          <w:szCs w:val="22"/>
        </w:rPr>
        <w:t xml:space="preserve">All results reported in this section are available from the authors on request. </w:t>
      </w:r>
    </w:p>
  </w:footnote>
  <w:footnote w:id="17">
    <w:p w14:paraId="0D7A0454" w14:textId="77777777" w:rsidR="00384BDF" w:rsidRPr="007512F3" w:rsidRDefault="00384BDF" w:rsidP="008F6D54">
      <w:pPr>
        <w:pStyle w:val="FootnoteText"/>
        <w:spacing w:line="480" w:lineRule="auto"/>
        <w:rPr>
          <w:rFonts w:ascii="Times New Roman" w:hAnsi="Times New Roman" w:cs="Times New Roman"/>
          <w:sz w:val="22"/>
          <w:szCs w:val="22"/>
        </w:rPr>
      </w:pPr>
      <w:r w:rsidRPr="00DB6803">
        <w:rPr>
          <w:rStyle w:val="FootnoteReference"/>
          <w:rFonts w:ascii="Times New Roman" w:hAnsi="Times New Roman" w:cs="Times New Roman"/>
          <w:sz w:val="22"/>
          <w:szCs w:val="22"/>
        </w:rPr>
        <w:footnoteRef/>
      </w:r>
      <w:r w:rsidRPr="00DB6803">
        <w:rPr>
          <w:rFonts w:ascii="Times New Roman" w:hAnsi="Times New Roman" w:cs="Times New Roman"/>
          <w:sz w:val="22"/>
          <w:szCs w:val="22"/>
        </w:rPr>
        <w:t xml:space="preserve"> 2001 is omitted since </w:t>
      </w:r>
      <w:r w:rsidRPr="007512F3">
        <w:rPr>
          <w:rFonts w:ascii="Times New Roman" w:hAnsi="Times New Roman" w:cs="Times New Roman"/>
          <w:sz w:val="22"/>
          <w:szCs w:val="22"/>
        </w:rPr>
        <w:t xml:space="preserve">the life satisfaction question was not asked in that year. </w:t>
      </w:r>
    </w:p>
  </w:footnote>
  <w:footnote w:id="18">
    <w:p w14:paraId="1D04C569" w14:textId="40A51B44" w:rsidR="00384BDF" w:rsidRPr="00DB6803" w:rsidRDefault="00384BDF" w:rsidP="007D051D">
      <w:pPr>
        <w:pStyle w:val="FootnoteText"/>
        <w:spacing w:line="480" w:lineRule="auto"/>
        <w:rPr>
          <w:rFonts w:ascii="Times New Roman" w:hAnsi="Times New Roman" w:cs="Times New Roman"/>
          <w:sz w:val="22"/>
          <w:szCs w:val="22"/>
        </w:rPr>
      </w:pPr>
      <w:r w:rsidRPr="007512F3">
        <w:rPr>
          <w:rStyle w:val="FootnoteReference"/>
          <w:rFonts w:ascii="Times New Roman" w:hAnsi="Times New Roman" w:cs="Times New Roman"/>
          <w:sz w:val="22"/>
          <w:szCs w:val="22"/>
        </w:rPr>
        <w:footnoteRef/>
      </w:r>
      <w:r w:rsidRPr="007512F3">
        <w:rPr>
          <w:rFonts w:ascii="Times New Roman" w:hAnsi="Times New Roman" w:cs="Times New Roman"/>
          <w:sz w:val="22"/>
          <w:szCs w:val="22"/>
        </w:rPr>
        <w:t xml:space="preserve"> The GHQ in BHPS has 12 question items with possible answers ranging from 1 to 4, each corresponding to (increasing) frequencies of feelings related to psychological</w:t>
      </w:r>
      <w:r w:rsidRPr="00DB6803">
        <w:rPr>
          <w:rFonts w:ascii="Times New Roman" w:hAnsi="Times New Roman" w:cs="Times New Roman"/>
          <w:sz w:val="22"/>
          <w:szCs w:val="22"/>
        </w:rPr>
        <w:t xml:space="preserve"> health. Hence,</w:t>
      </w:r>
      <w:r>
        <w:rPr>
          <w:rFonts w:ascii="Times New Roman" w:hAnsi="Times New Roman" w:cs="Times New Roman"/>
          <w:sz w:val="22"/>
          <w:szCs w:val="22"/>
        </w:rPr>
        <w:t xml:space="preserve"> the final </w:t>
      </w:r>
      <w:r w:rsidRPr="007512F3">
        <w:rPr>
          <w:rFonts w:ascii="Times New Roman" w:hAnsi="Times New Roman" w:cs="Times New Roman"/>
          <w:sz w:val="22"/>
          <w:szCs w:val="22"/>
        </w:rPr>
        <w:t xml:space="preserve">measure ranges from 12 to 48, with higher values corresponding to worse health. We reverse the measure so that it increases in good health. See Table 4A of the Supplementary Information </w:t>
      </w:r>
      <w:r w:rsidR="00650095" w:rsidRPr="007512F3">
        <w:rPr>
          <w:rFonts w:ascii="Times New Roman" w:hAnsi="Times New Roman" w:cs="Times New Roman"/>
          <w:sz w:val="22"/>
          <w:szCs w:val="22"/>
        </w:rPr>
        <w:t xml:space="preserve">document for the </w:t>
      </w:r>
      <w:r w:rsidRPr="007512F3">
        <w:rPr>
          <w:rFonts w:ascii="Times New Roman" w:hAnsi="Times New Roman" w:cs="Times New Roman"/>
          <w:sz w:val="22"/>
          <w:szCs w:val="22"/>
        </w:rPr>
        <w:t xml:space="preserve">specific questions included in </w:t>
      </w:r>
      <w:r w:rsidR="00650095" w:rsidRPr="007512F3">
        <w:rPr>
          <w:rFonts w:ascii="Times New Roman" w:hAnsi="Times New Roman" w:cs="Times New Roman"/>
          <w:sz w:val="22"/>
          <w:szCs w:val="22"/>
        </w:rPr>
        <w:t xml:space="preserve">the </w:t>
      </w:r>
      <w:r w:rsidRPr="007512F3">
        <w:rPr>
          <w:rFonts w:ascii="Times New Roman" w:hAnsi="Times New Roman" w:cs="Times New Roman"/>
          <w:sz w:val="22"/>
          <w:szCs w:val="22"/>
        </w:rPr>
        <w:t>GHQ and Dawson et al. (2015) for a more in depth discussion of the various health and well-being measures in the BHPS.</w:t>
      </w:r>
      <w:r w:rsidRPr="00DB6803">
        <w:rPr>
          <w:rFonts w:ascii="Times New Roman" w:hAnsi="Times New Roman" w:cs="Times New Roman"/>
          <w:sz w:val="22"/>
          <w:szCs w:val="22"/>
        </w:rPr>
        <w:t xml:space="preserve"> </w:t>
      </w:r>
    </w:p>
  </w:footnote>
  <w:footnote w:id="19">
    <w:p w14:paraId="5B161E24" w14:textId="77777777" w:rsidR="00384BDF" w:rsidRPr="00DB6803" w:rsidRDefault="00384BDF" w:rsidP="00BC0339">
      <w:pPr>
        <w:pStyle w:val="FootnoteText"/>
        <w:spacing w:line="480" w:lineRule="auto"/>
        <w:rPr>
          <w:rFonts w:ascii="Times New Roman" w:hAnsi="Times New Roman" w:cs="Times New Roman"/>
          <w:sz w:val="22"/>
          <w:szCs w:val="22"/>
        </w:rPr>
      </w:pPr>
      <w:r w:rsidRPr="00DB6803">
        <w:rPr>
          <w:rStyle w:val="FootnoteReference"/>
          <w:rFonts w:ascii="Times New Roman" w:hAnsi="Times New Roman" w:cs="Times New Roman"/>
          <w:sz w:val="22"/>
          <w:szCs w:val="22"/>
        </w:rPr>
        <w:footnoteRef/>
      </w:r>
      <w:r w:rsidRPr="00DB6803">
        <w:rPr>
          <w:rFonts w:ascii="Times New Roman" w:hAnsi="Times New Roman" w:cs="Times New Roman"/>
          <w:sz w:val="22"/>
          <w:szCs w:val="22"/>
        </w:rPr>
        <w:t xml:space="preserve"> Unfortunately, the BHPS does not contain information on individual attitudes towards immigration and we are unable to test whether the negative relationship between age and pro-immigration attitudes holds in our case.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860"/>
    <w:multiLevelType w:val="hybridMultilevel"/>
    <w:tmpl w:val="17A8EA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D6A8E"/>
    <w:multiLevelType w:val="multilevel"/>
    <w:tmpl w:val="4D0A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B0EE1"/>
    <w:multiLevelType w:val="hybridMultilevel"/>
    <w:tmpl w:val="487C331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C4AF1"/>
    <w:multiLevelType w:val="hybridMultilevel"/>
    <w:tmpl w:val="735020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C3A53"/>
    <w:multiLevelType w:val="hybridMultilevel"/>
    <w:tmpl w:val="AA24C7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250A8"/>
    <w:multiLevelType w:val="multilevel"/>
    <w:tmpl w:val="EE56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35A67"/>
    <w:multiLevelType w:val="multilevel"/>
    <w:tmpl w:val="C07C0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C67E29"/>
    <w:multiLevelType w:val="multilevel"/>
    <w:tmpl w:val="88BE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7545A"/>
    <w:multiLevelType w:val="hybridMultilevel"/>
    <w:tmpl w:val="A9049948"/>
    <w:lvl w:ilvl="0" w:tplc="F5CEAA66">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31A55"/>
    <w:multiLevelType w:val="multilevel"/>
    <w:tmpl w:val="B54E28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DA1B79"/>
    <w:multiLevelType w:val="multilevel"/>
    <w:tmpl w:val="6FA8EEB0"/>
    <w:lvl w:ilvl="0">
      <w:start w:val="2"/>
      <w:numFmt w:val="bullet"/>
      <w:lvlText w:val="-"/>
      <w:lvlJc w:val="left"/>
      <w:pPr>
        <w:ind w:left="420" w:firstLine="60"/>
      </w:pPr>
      <w:rPr>
        <w:rFonts w:ascii="Arial" w:eastAsia="Arial" w:hAnsi="Arial" w:cs="Arial"/>
      </w:rPr>
    </w:lvl>
    <w:lvl w:ilvl="1">
      <w:start w:val="1"/>
      <w:numFmt w:val="bullet"/>
      <w:lvlText w:val="o"/>
      <w:lvlJc w:val="left"/>
      <w:pPr>
        <w:ind w:left="1140" w:firstLine="780"/>
      </w:pPr>
      <w:rPr>
        <w:rFonts w:ascii="Arial" w:eastAsia="Arial" w:hAnsi="Arial" w:cs="Arial"/>
      </w:rPr>
    </w:lvl>
    <w:lvl w:ilvl="2">
      <w:start w:val="1"/>
      <w:numFmt w:val="bullet"/>
      <w:lvlText w:val="▪"/>
      <w:lvlJc w:val="left"/>
      <w:pPr>
        <w:ind w:left="1860" w:firstLine="1500"/>
      </w:pPr>
      <w:rPr>
        <w:rFonts w:ascii="Arial" w:eastAsia="Arial" w:hAnsi="Arial" w:cs="Arial"/>
      </w:rPr>
    </w:lvl>
    <w:lvl w:ilvl="3">
      <w:start w:val="1"/>
      <w:numFmt w:val="bullet"/>
      <w:lvlText w:val="●"/>
      <w:lvlJc w:val="left"/>
      <w:pPr>
        <w:ind w:left="2580" w:firstLine="2220"/>
      </w:pPr>
      <w:rPr>
        <w:rFonts w:ascii="Arial" w:eastAsia="Arial" w:hAnsi="Arial" w:cs="Arial"/>
      </w:rPr>
    </w:lvl>
    <w:lvl w:ilvl="4">
      <w:start w:val="1"/>
      <w:numFmt w:val="bullet"/>
      <w:lvlText w:val="o"/>
      <w:lvlJc w:val="left"/>
      <w:pPr>
        <w:ind w:left="3300" w:firstLine="2940"/>
      </w:pPr>
      <w:rPr>
        <w:rFonts w:ascii="Arial" w:eastAsia="Arial" w:hAnsi="Arial" w:cs="Arial"/>
      </w:rPr>
    </w:lvl>
    <w:lvl w:ilvl="5">
      <w:start w:val="1"/>
      <w:numFmt w:val="bullet"/>
      <w:lvlText w:val="▪"/>
      <w:lvlJc w:val="left"/>
      <w:pPr>
        <w:ind w:left="4020" w:firstLine="3660"/>
      </w:pPr>
      <w:rPr>
        <w:rFonts w:ascii="Arial" w:eastAsia="Arial" w:hAnsi="Arial" w:cs="Arial"/>
      </w:rPr>
    </w:lvl>
    <w:lvl w:ilvl="6">
      <w:start w:val="1"/>
      <w:numFmt w:val="bullet"/>
      <w:lvlText w:val="●"/>
      <w:lvlJc w:val="left"/>
      <w:pPr>
        <w:ind w:left="4740" w:firstLine="4380"/>
      </w:pPr>
      <w:rPr>
        <w:rFonts w:ascii="Arial" w:eastAsia="Arial" w:hAnsi="Arial" w:cs="Arial"/>
      </w:rPr>
    </w:lvl>
    <w:lvl w:ilvl="7">
      <w:start w:val="1"/>
      <w:numFmt w:val="bullet"/>
      <w:lvlText w:val="o"/>
      <w:lvlJc w:val="left"/>
      <w:pPr>
        <w:ind w:left="5460" w:firstLine="5100"/>
      </w:pPr>
      <w:rPr>
        <w:rFonts w:ascii="Arial" w:eastAsia="Arial" w:hAnsi="Arial" w:cs="Arial"/>
      </w:rPr>
    </w:lvl>
    <w:lvl w:ilvl="8">
      <w:start w:val="1"/>
      <w:numFmt w:val="bullet"/>
      <w:lvlText w:val="▪"/>
      <w:lvlJc w:val="left"/>
      <w:pPr>
        <w:ind w:left="6180" w:firstLine="5820"/>
      </w:pPr>
      <w:rPr>
        <w:rFonts w:ascii="Arial" w:eastAsia="Arial" w:hAnsi="Arial" w:cs="Arial"/>
      </w:rPr>
    </w:lvl>
  </w:abstractNum>
  <w:abstractNum w:abstractNumId="11" w15:restartNumberingAfterBreak="0">
    <w:nsid w:val="4C9B1FF8"/>
    <w:multiLevelType w:val="multilevel"/>
    <w:tmpl w:val="4D20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20862"/>
    <w:multiLevelType w:val="hybridMultilevel"/>
    <w:tmpl w:val="C82CCF08"/>
    <w:lvl w:ilvl="0" w:tplc="9594ECD2">
      <w:start w:val="2"/>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B0058A"/>
    <w:multiLevelType w:val="multilevel"/>
    <w:tmpl w:val="738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65B06"/>
    <w:multiLevelType w:val="multilevel"/>
    <w:tmpl w:val="643E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D4189"/>
    <w:multiLevelType w:val="multilevel"/>
    <w:tmpl w:val="AC98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A254D0"/>
    <w:multiLevelType w:val="multilevel"/>
    <w:tmpl w:val="F522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7737AF"/>
    <w:multiLevelType w:val="hybridMultilevel"/>
    <w:tmpl w:val="DC02FC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17"/>
  </w:num>
  <w:num w:numId="5">
    <w:abstractNumId w:val="6"/>
  </w:num>
  <w:num w:numId="6">
    <w:abstractNumId w:val="7"/>
  </w:num>
  <w:num w:numId="7">
    <w:abstractNumId w:val="1"/>
  </w:num>
  <w:num w:numId="8">
    <w:abstractNumId w:val="15"/>
  </w:num>
  <w:num w:numId="9">
    <w:abstractNumId w:val="14"/>
  </w:num>
  <w:num w:numId="10">
    <w:abstractNumId w:val="2"/>
  </w:num>
  <w:num w:numId="11">
    <w:abstractNumId w:val="11"/>
  </w:num>
  <w:num w:numId="12">
    <w:abstractNumId w:val="13"/>
  </w:num>
  <w:num w:numId="13">
    <w:abstractNumId w:val="16"/>
  </w:num>
  <w:num w:numId="14">
    <w:abstractNumId w:val="5"/>
  </w:num>
  <w:num w:numId="15">
    <w:abstractNumId w:val="12"/>
  </w:num>
  <w:num w:numId="16">
    <w:abstractNumId w:val="9"/>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F0"/>
    <w:rsid w:val="00000F66"/>
    <w:rsid w:val="0000319B"/>
    <w:rsid w:val="00005148"/>
    <w:rsid w:val="0000536E"/>
    <w:rsid w:val="00006788"/>
    <w:rsid w:val="0000777F"/>
    <w:rsid w:val="000103B3"/>
    <w:rsid w:val="0001112E"/>
    <w:rsid w:val="00014B82"/>
    <w:rsid w:val="000164C8"/>
    <w:rsid w:val="00016D9C"/>
    <w:rsid w:val="000241EA"/>
    <w:rsid w:val="00024941"/>
    <w:rsid w:val="00024D18"/>
    <w:rsid w:val="00033870"/>
    <w:rsid w:val="00034304"/>
    <w:rsid w:val="00035BC2"/>
    <w:rsid w:val="00035BE9"/>
    <w:rsid w:val="000362EC"/>
    <w:rsid w:val="00040B6B"/>
    <w:rsid w:val="00041F8A"/>
    <w:rsid w:val="00042C80"/>
    <w:rsid w:val="0004785F"/>
    <w:rsid w:val="00056C61"/>
    <w:rsid w:val="00063788"/>
    <w:rsid w:val="00070716"/>
    <w:rsid w:val="00072D1F"/>
    <w:rsid w:val="00072E69"/>
    <w:rsid w:val="0007415E"/>
    <w:rsid w:val="00074D0B"/>
    <w:rsid w:val="00076560"/>
    <w:rsid w:val="000854EF"/>
    <w:rsid w:val="00090251"/>
    <w:rsid w:val="00091332"/>
    <w:rsid w:val="00096016"/>
    <w:rsid w:val="000978AC"/>
    <w:rsid w:val="000A1D15"/>
    <w:rsid w:val="000B3342"/>
    <w:rsid w:val="000B5E8A"/>
    <w:rsid w:val="000B6464"/>
    <w:rsid w:val="000C3E1C"/>
    <w:rsid w:val="000C40E0"/>
    <w:rsid w:val="000C4474"/>
    <w:rsid w:val="000C6AEB"/>
    <w:rsid w:val="000C7D09"/>
    <w:rsid w:val="000D0F04"/>
    <w:rsid w:val="000D2195"/>
    <w:rsid w:val="000D324A"/>
    <w:rsid w:val="000D37E4"/>
    <w:rsid w:val="000E0DF9"/>
    <w:rsid w:val="000E37D1"/>
    <w:rsid w:val="000E50F8"/>
    <w:rsid w:val="000F26C0"/>
    <w:rsid w:val="000F2E44"/>
    <w:rsid w:val="000F4AC6"/>
    <w:rsid w:val="000F5138"/>
    <w:rsid w:val="000F65E2"/>
    <w:rsid w:val="000F72E1"/>
    <w:rsid w:val="001003D6"/>
    <w:rsid w:val="00101265"/>
    <w:rsid w:val="0010493E"/>
    <w:rsid w:val="00104EB1"/>
    <w:rsid w:val="001144FE"/>
    <w:rsid w:val="00114585"/>
    <w:rsid w:val="0011551B"/>
    <w:rsid w:val="0011600D"/>
    <w:rsid w:val="001214C1"/>
    <w:rsid w:val="001219A4"/>
    <w:rsid w:val="001229CD"/>
    <w:rsid w:val="00130365"/>
    <w:rsid w:val="00130528"/>
    <w:rsid w:val="0013435C"/>
    <w:rsid w:val="00135B4B"/>
    <w:rsid w:val="00135E6C"/>
    <w:rsid w:val="00141FC6"/>
    <w:rsid w:val="00145676"/>
    <w:rsid w:val="00145A6B"/>
    <w:rsid w:val="001478E4"/>
    <w:rsid w:val="00151C62"/>
    <w:rsid w:val="00152CDE"/>
    <w:rsid w:val="0015348F"/>
    <w:rsid w:val="001555E3"/>
    <w:rsid w:val="00162937"/>
    <w:rsid w:val="00162D11"/>
    <w:rsid w:val="001636FD"/>
    <w:rsid w:val="00166609"/>
    <w:rsid w:val="00167DD3"/>
    <w:rsid w:val="00176482"/>
    <w:rsid w:val="00181F8C"/>
    <w:rsid w:val="00183C99"/>
    <w:rsid w:val="00185DE8"/>
    <w:rsid w:val="001869E6"/>
    <w:rsid w:val="00187114"/>
    <w:rsid w:val="00190E02"/>
    <w:rsid w:val="00193C4C"/>
    <w:rsid w:val="00196BFF"/>
    <w:rsid w:val="00197413"/>
    <w:rsid w:val="001A2349"/>
    <w:rsid w:val="001A2C0C"/>
    <w:rsid w:val="001A3BD0"/>
    <w:rsid w:val="001A4278"/>
    <w:rsid w:val="001B1A1C"/>
    <w:rsid w:val="001B5032"/>
    <w:rsid w:val="001B541A"/>
    <w:rsid w:val="001B5AF4"/>
    <w:rsid w:val="001C36A9"/>
    <w:rsid w:val="001C7549"/>
    <w:rsid w:val="001D167B"/>
    <w:rsid w:val="001D32B8"/>
    <w:rsid w:val="001E02FE"/>
    <w:rsid w:val="001E3AD1"/>
    <w:rsid w:val="001E46AD"/>
    <w:rsid w:val="001E61F7"/>
    <w:rsid w:val="001E69BD"/>
    <w:rsid w:val="001E7B47"/>
    <w:rsid w:val="001E7FC3"/>
    <w:rsid w:val="001F37AA"/>
    <w:rsid w:val="001F4113"/>
    <w:rsid w:val="00206152"/>
    <w:rsid w:val="00207E47"/>
    <w:rsid w:val="00211B48"/>
    <w:rsid w:val="00213F2E"/>
    <w:rsid w:val="00220473"/>
    <w:rsid w:val="00225041"/>
    <w:rsid w:val="00230908"/>
    <w:rsid w:val="0023123C"/>
    <w:rsid w:val="00233518"/>
    <w:rsid w:val="00233F78"/>
    <w:rsid w:val="00240B4E"/>
    <w:rsid w:val="00240B53"/>
    <w:rsid w:val="00241963"/>
    <w:rsid w:val="00245401"/>
    <w:rsid w:val="002456A5"/>
    <w:rsid w:val="00247D70"/>
    <w:rsid w:val="002546DA"/>
    <w:rsid w:val="00254A82"/>
    <w:rsid w:val="00255B04"/>
    <w:rsid w:val="002577D2"/>
    <w:rsid w:val="00264096"/>
    <w:rsid w:val="002672F0"/>
    <w:rsid w:val="00270F8A"/>
    <w:rsid w:val="00272067"/>
    <w:rsid w:val="0027251E"/>
    <w:rsid w:val="00274F7F"/>
    <w:rsid w:val="00276722"/>
    <w:rsid w:val="002774C9"/>
    <w:rsid w:val="002806D8"/>
    <w:rsid w:val="00283552"/>
    <w:rsid w:val="00283CCE"/>
    <w:rsid w:val="00284D76"/>
    <w:rsid w:val="002865B2"/>
    <w:rsid w:val="002929A2"/>
    <w:rsid w:val="00292C35"/>
    <w:rsid w:val="002A3292"/>
    <w:rsid w:val="002A5783"/>
    <w:rsid w:val="002A7397"/>
    <w:rsid w:val="002B14A1"/>
    <w:rsid w:val="002B2125"/>
    <w:rsid w:val="002B6CEF"/>
    <w:rsid w:val="002C2777"/>
    <w:rsid w:val="002C2940"/>
    <w:rsid w:val="002C69E0"/>
    <w:rsid w:val="002C6B4F"/>
    <w:rsid w:val="002D3BB1"/>
    <w:rsid w:val="002D44AB"/>
    <w:rsid w:val="002E0003"/>
    <w:rsid w:val="002E02E0"/>
    <w:rsid w:val="002E2605"/>
    <w:rsid w:val="002E3731"/>
    <w:rsid w:val="002E4BC3"/>
    <w:rsid w:val="002F367F"/>
    <w:rsid w:val="0030400D"/>
    <w:rsid w:val="00307C47"/>
    <w:rsid w:val="00310443"/>
    <w:rsid w:val="00312291"/>
    <w:rsid w:val="00312DF5"/>
    <w:rsid w:val="00317B46"/>
    <w:rsid w:val="00320640"/>
    <w:rsid w:val="0032217A"/>
    <w:rsid w:val="00322E29"/>
    <w:rsid w:val="00323D12"/>
    <w:rsid w:val="00324F6D"/>
    <w:rsid w:val="003254EE"/>
    <w:rsid w:val="0032732C"/>
    <w:rsid w:val="00332742"/>
    <w:rsid w:val="00334F2F"/>
    <w:rsid w:val="00336F9A"/>
    <w:rsid w:val="003412B7"/>
    <w:rsid w:val="003445F8"/>
    <w:rsid w:val="00344E2C"/>
    <w:rsid w:val="00345057"/>
    <w:rsid w:val="00346340"/>
    <w:rsid w:val="00351A1D"/>
    <w:rsid w:val="00351B42"/>
    <w:rsid w:val="003537DB"/>
    <w:rsid w:val="0035393B"/>
    <w:rsid w:val="00353CBB"/>
    <w:rsid w:val="00363902"/>
    <w:rsid w:val="00364F4B"/>
    <w:rsid w:val="0036619B"/>
    <w:rsid w:val="0036622F"/>
    <w:rsid w:val="00367AA7"/>
    <w:rsid w:val="00372A02"/>
    <w:rsid w:val="00372F8B"/>
    <w:rsid w:val="003754FA"/>
    <w:rsid w:val="00375ACB"/>
    <w:rsid w:val="00376F67"/>
    <w:rsid w:val="003772D6"/>
    <w:rsid w:val="00380C55"/>
    <w:rsid w:val="003822FC"/>
    <w:rsid w:val="0038272B"/>
    <w:rsid w:val="003842CB"/>
    <w:rsid w:val="00384BDF"/>
    <w:rsid w:val="00385918"/>
    <w:rsid w:val="00387F1B"/>
    <w:rsid w:val="00390AE6"/>
    <w:rsid w:val="00390B25"/>
    <w:rsid w:val="003A1566"/>
    <w:rsid w:val="003B2C27"/>
    <w:rsid w:val="003C0392"/>
    <w:rsid w:val="003C13DB"/>
    <w:rsid w:val="003C1D51"/>
    <w:rsid w:val="003D213F"/>
    <w:rsid w:val="003D241D"/>
    <w:rsid w:val="003D38FB"/>
    <w:rsid w:val="003D46D7"/>
    <w:rsid w:val="003E0F47"/>
    <w:rsid w:val="003E35AE"/>
    <w:rsid w:val="003E5E88"/>
    <w:rsid w:val="003E7A0C"/>
    <w:rsid w:val="003F395B"/>
    <w:rsid w:val="003F482E"/>
    <w:rsid w:val="003F6E71"/>
    <w:rsid w:val="003F7216"/>
    <w:rsid w:val="00400622"/>
    <w:rsid w:val="00403D21"/>
    <w:rsid w:val="004067F1"/>
    <w:rsid w:val="00407DE4"/>
    <w:rsid w:val="00410DB3"/>
    <w:rsid w:val="0041278C"/>
    <w:rsid w:val="00415157"/>
    <w:rsid w:val="00427D5E"/>
    <w:rsid w:val="00430959"/>
    <w:rsid w:val="004313F9"/>
    <w:rsid w:val="004409FF"/>
    <w:rsid w:val="00444F17"/>
    <w:rsid w:val="004468D4"/>
    <w:rsid w:val="00452CE5"/>
    <w:rsid w:val="004537A2"/>
    <w:rsid w:val="0045390F"/>
    <w:rsid w:val="00454328"/>
    <w:rsid w:val="00454AC0"/>
    <w:rsid w:val="004559C0"/>
    <w:rsid w:val="00462511"/>
    <w:rsid w:val="00462860"/>
    <w:rsid w:val="00467CC5"/>
    <w:rsid w:val="004761D9"/>
    <w:rsid w:val="004854C7"/>
    <w:rsid w:val="004904B3"/>
    <w:rsid w:val="00494B4E"/>
    <w:rsid w:val="00497B16"/>
    <w:rsid w:val="004A3015"/>
    <w:rsid w:val="004A5E9F"/>
    <w:rsid w:val="004B2292"/>
    <w:rsid w:val="004B4504"/>
    <w:rsid w:val="004B4D12"/>
    <w:rsid w:val="004B52B0"/>
    <w:rsid w:val="004C006D"/>
    <w:rsid w:val="004C0BFD"/>
    <w:rsid w:val="004C1869"/>
    <w:rsid w:val="004C6B5D"/>
    <w:rsid w:val="004D022D"/>
    <w:rsid w:val="004D1343"/>
    <w:rsid w:val="004D1535"/>
    <w:rsid w:val="004D4A7E"/>
    <w:rsid w:val="004D4A8E"/>
    <w:rsid w:val="004D57C1"/>
    <w:rsid w:val="004D617A"/>
    <w:rsid w:val="004E2351"/>
    <w:rsid w:val="004E315E"/>
    <w:rsid w:val="004E5B41"/>
    <w:rsid w:val="004E7825"/>
    <w:rsid w:val="004E7D61"/>
    <w:rsid w:val="004F65E0"/>
    <w:rsid w:val="004F7124"/>
    <w:rsid w:val="004F729D"/>
    <w:rsid w:val="00500205"/>
    <w:rsid w:val="0050191E"/>
    <w:rsid w:val="00505965"/>
    <w:rsid w:val="00511DA7"/>
    <w:rsid w:val="00513BC4"/>
    <w:rsid w:val="00515CE3"/>
    <w:rsid w:val="00516C9C"/>
    <w:rsid w:val="00517525"/>
    <w:rsid w:val="00520A81"/>
    <w:rsid w:val="005216D0"/>
    <w:rsid w:val="00532D05"/>
    <w:rsid w:val="005339F7"/>
    <w:rsid w:val="0054203E"/>
    <w:rsid w:val="00542088"/>
    <w:rsid w:val="005434F3"/>
    <w:rsid w:val="00550CCB"/>
    <w:rsid w:val="00552B1B"/>
    <w:rsid w:val="005553DF"/>
    <w:rsid w:val="005619D7"/>
    <w:rsid w:val="00563967"/>
    <w:rsid w:val="0057162A"/>
    <w:rsid w:val="005739A1"/>
    <w:rsid w:val="00574AD2"/>
    <w:rsid w:val="00576690"/>
    <w:rsid w:val="00577ECA"/>
    <w:rsid w:val="00583CF5"/>
    <w:rsid w:val="00587A0C"/>
    <w:rsid w:val="0059490A"/>
    <w:rsid w:val="005957BF"/>
    <w:rsid w:val="00596F7C"/>
    <w:rsid w:val="005A021E"/>
    <w:rsid w:val="005B0055"/>
    <w:rsid w:val="005B13F4"/>
    <w:rsid w:val="005B2653"/>
    <w:rsid w:val="005B74F0"/>
    <w:rsid w:val="005C0ACE"/>
    <w:rsid w:val="005C3945"/>
    <w:rsid w:val="005D638A"/>
    <w:rsid w:val="005D6D13"/>
    <w:rsid w:val="005E0FDE"/>
    <w:rsid w:val="005E59A5"/>
    <w:rsid w:val="005E6702"/>
    <w:rsid w:val="005F01AC"/>
    <w:rsid w:val="005F53AE"/>
    <w:rsid w:val="00600277"/>
    <w:rsid w:val="0060603B"/>
    <w:rsid w:val="00612C83"/>
    <w:rsid w:val="00617B08"/>
    <w:rsid w:val="00626D5A"/>
    <w:rsid w:val="006273BE"/>
    <w:rsid w:val="006323F4"/>
    <w:rsid w:val="00634F2A"/>
    <w:rsid w:val="00643999"/>
    <w:rsid w:val="006472F4"/>
    <w:rsid w:val="00650095"/>
    <w:rsid w:val="00651E9A"/>
    <w:rsid w:val="00652919"/>
    <w:rsid w:val="0065336D"/>
    <w:rsid w:val="00653401"/>
    <w:rsid w:val="006618BF"/>
    <w:rsid w:val="006655F1"/>
    <w:rsid w:val="0066631C"/>
    <w:rsid w:val="00666D9A"/>
    <w:rsid w:val="00676BC5"/>
    <w:rsid w:val="00681094"/>
    <w:rsid w:val="00685504"/>
    <w:rsid w:val="00687B14"/>
    <w:rsid w:val="0069025C"/>
    <w:rsid w:val="006921B7"/>
    <w:rsid w:val="0069387E"/>
    <w:rsid w:val="006A2721"/>
    <w:rsid w:val="006A29FE"/>
    <w:rsid w:val="006B286D"/>
    <w:rsid w:val="006B49C7"/>
    <w:rsid w:val="006B609E"/>
    <w:rsid w:val="006D2DA4"/>
    <w:rsid w:val="006D58EF"/>
    <w:rsid w:val="006E1435"/>
    <w:rsid w:val="006E1B59"/>
    <w:rsid w:val="006E37F9"/>
    <w:rsid w:val="006E52BF"/>
    <w:rsid w:val="006E5C6F"/>
    <w:rsid w:val="006F223F"/>
    <w:rsid w:val="006F2DD1"/>
    <w:rsid w:val="006F2F91"/>
    <w:rsid w:val="006F4704"/>
    <w:rsid w:val="006F72DD"/>
    <w:rsid w:val="00702B9C"/>
    <w:rsid w:val="00704518"/>
    <w:rsid w:val="0070547B"/>
    <w:rsid w:val="007072D4"/>
    <w:rsid w:val="00712AE4"/>
    <w:rsid w:val="007176E1"/>
    <w:rsid w:val="00717F7B"/>
    <w:rsid w:val="00720440"/>
    <w:rsid w:val="00725860"/>
    <w:rsid w:val="00731283"/>
    <w:rsid w:val="00732C68"/>
    <w:rsid w:val="00732C91"/>
    <w:rsid w:val="00737CF3"/>
    <w:rsid w:val="007426E0"/>
    <w:rsid w:val="0074564B"/>
    <w:rsid w:val="0074679F"/>
    <w:rsid w:val="00747446"/>
    <w:rsid w:val="00747D11"/>
    <w:rsid w:val="007512F3"/>
    <w:rsid w:val="00756DD7"/>
    <w:rsid w:val="00757F93"/>
    <w:rsid w:val="0076127A"/>
    <w:rsid w:val="00767B87"/>
    <w:rsid w:val="007703B0"/>
    <w:rsid w:val="0077549D"/>
    <w:rsid w:val="007772AA"/>
    <w:rsid w:val="00780A9B"/>
    <w:rsid w:val="00781631"/>
    <w:rsid w:val="00781638"/>
    <w:rsid w:val="00782E10"/>
    <w:rsid w:val="00783A49"/>
    <w:rsid w:val="00784144"/>
    <w:rsid w:val="0079050F"/>
    <w:rsid w:val="007920B6"/>
    <w:rsid w:val="007936ED"/>
    <w:rsid w:val="00797F27"/>
    <w:rsid w:val="007A0CF1"/>
    <w:rsid w:val="007A2C61"/>
    <w:rsid w:val="007A4B0B"/>
    <w:rsid w:val="007A64C6"/>
    <w:rsid w:val="007B1ACC"/>
    <w:rsid w:val="007B2B3D"/>
    <w:rsid w:val="007B30AA"/>
    <w:rsid w:val="007B5F8C"/>
    <w:rsid w:val="007B6ED4"/>
    <w:rsid w:val="007C13E2"/>
    <w:rsid w:val="007C3754"/>
    <w:rsid w:val="007C3D42"/>
    <w:rsid w:val="007C3F78"/>
    <w:rsid w:val="007C42C7"/>
    <w:rsid w:val="007C5CBD"/>
    <w:rsid w:val="007C7363"/>
    <w:rsid w:val="007D051D"/>
    <w:rsid w:val="007D48E2"/>
    <w:rsid w:val="007D4A0F"/>
    <w:rsid w:val="007D6F81"/>
    <w:rsid w:val="007E0701"/>
    <w:rsid w:val="007E0BD2"/>
    <w:rsid w:val="007E1E5A"/>
    <w:rsid w:val="007E2FAB"/>
    <w:rsid w:val="007E4AC6"/>
    <w:rsid w:val="007E5B81"/>
    <w:rsid w:val="007E6CE0"/>
    <w:rsid w:val="007F3CB4"/>
    <w:rsid w:val="007F4346"/>
    <w:rsid w:val="008009A5"/>
    <w:rsid w:val="00800A76"/>
    <w:rsid w:val="00800B4B"/>
    <w:rsid w:val="00801619"/>
    <w:rsid w:val="0080368E"/>
    <w:rsid w:val="00807D6F"/>
    <w:rsid w:val="008128BC"/>
    <w:rsid w:val="008165EF"/>
    <w:rsid w:val="00820551"/>
    <w:rsid w:val="008350F0"/>
    <w:rsid w:val="00836B51"/>
    <w:rsid w:val="00837235"/>
    <w:rsid w:val="00843A37"/>
    <w:rsid w:val="0084412A"/>
    <w:rsid w:val="00850C2D"/>
    <w:rsid w:val="00862858"/>
    <w:rsid w:val="008711BD"/>
    <w:rsid w:val="00875554"/>
    <w:rsid w:val="00876B27"/>
    <w:rsid w:val="008805B6"/>
    <w:rsid w:val="008811A5"/>
    <w:rsid w:val="00886843"/>
    <w:rsid w:val="00896AD4"/>
    <w:rsid w:val="00897459"/>
    <w:rsid w:val="00897950"/>
    <w:rsid w:val="008A06CB"/>
    <w:rsid w:val="008A1BA9"/>
    <w:rsid w:val="008A2240"/>
    <w:rsid w:val="008A6E5E"/>
    <w:rsid w:val="008A7C63"/>
    <w:rsid w:val="008B3592"/>
    <w:rsid w:val="008B5392"/>
    <w:rsid w:val="008B5CFE"/>
    <w:rsid w:val="008C49D6"/>
    <w:rsid w:val="008C5F2D"/>
    <w:rsid w:val="008C7648"/>
    <w:rsid w:val="008D1D0E"/>
    <w:rsid w:val="008D42D0"/>
    <w:rsid w:val="008D6486"/>
    <w:rsid w:val="008D7A60"/>
    <w:rsid w:val="008D7DF8"/>
    <w:rsid w:val="008E3142"/>
    <w:rsid w:val="008E3FEB"/>
    <w:rsid w:val="008E56F1"/>
    <w:rsid w:val="008E6943"/>
    <w:rsid w:val="008F2388"/>
    <w:rsid w:val="008F336E"/>
    <w:rsid w:val="008F4837"/>
    <w:rsid w:val="008F520D"/>
    <w:rsid w:val="008F6D54"/>
    <w:rsid w:val="00900D56"/>
    <w:rsid w:val="00904E03"/>
    <w:rsid w:val="0090589A"/>
    <w:rsid w:val="0090740A"/>
    <w:rsid w:val="00912DFB"/>
    <w:rsid w:val="009137F0"/>
    <w:rsid w:val="00914DD0"/>
    <w:rsid w:val="0092697C"/>
    <w:rsid w:val="00926D61"/>
    <w:rsid w:val="0093245C"/>
    <w:rsid w:val="00934E22"/>
    <w:rsid w:val="009400D3"/>
    <w:rsid w:val="00940979"/>
    <w:rsid w:val="00940BEE"/>
    <w:rsid w:val="00943728"/>
    <w:rsid w:val="009511AC"/>
    <w:rsid w:val="00951652"/>
    <w:rsid w:val="0095415E"/>
    <w:rsid w:val="00955997"/>
    <w:rsid w:val="009573E1"/>
    <w:rsid w:val="00965214"/>
    <w:rsid w:val="00971B7E"/>
    <w:rsid w:val="009730E3"/>
    <w:rsid w:val="009779DA"/>
    <w:rsid w:val="00987161"/>
    <w:rsid w:val="00996C3D"/>
    <w:rsid w:val="009972E3"/>
    <w:rsid w:val="009A1E30"/>
    <w:rsid w:val="009A3EFE"/>
    <w:rsid w:val="009B26D6"/>
    <w:rsid w:val="009C2467"/>
    <w:rsid w:val="009C3889"/>
    <w:rsid w:val="009C679B"/>
    <w:rsid w:val="009D084D"/>
    <w:rsid w:val="009D2A28"/>
    <w:rsid w:val="009D69FD"/>
    <w:rsid w:val="009D72B9"/>
    <w:rsid w:val="009D738F"/>
    <w:rsid w:val="009E3B15"/>
    <w:rsid w:val="009E7CFD"/>
    <w:rsid w:val="009E7E79"/>
    <w:rsid w:val="009F0DEE"/>
    <w:rsid w:val="009F1178"/>
    <w:rsid w:val="009F2BEE"/>
    <w:rsid w:val="009F5F6D"/>
    <w:rsid w:val="00A00C89"/>
    <w:rsid w:val="00A05A49"/>
    <w:rsid w:val="00A06047"/>
    <w:rsid w:val="00A065F8"/>
    <w:rsid w:val="00A06C3D"/>
    <w:rsid w:val="00A11FE4"/>
    <w:rsid w:val="00A1625C"/>
    <w:rsid w:val="00A1637E"/>
    <w:rsid w:val="00A208B6"/>
    <w:rsid w:val="00A2275D"/>
    <w:rsid w:val="00A22B1E"/>
    <w:rsid w:val="00A250F2"/>
    <w:rsid w:val="00A2744F"/>
    <w:rsid w:val="00A32470"/>
    <w:rsid w:val="00A34EAF"/>
    <w:rsid w:val="00A35408"/>
    <w:rsid w:val="00A35A54"/>
    <w:rsid w:val="00A46527"/>
    <w:rsid w:val="00A46DA9"/>
    <w:rsid w:val="00A52843"/>
    <w:rsid w:val="00A52847"/>
    <w:rsid w:val="00A53FFD"/>
    <w:rsid w:val="00A55B07"/>
    <w:rsid w:val="00A564E8"/>
    <w:rsid w:val="00A67005"/>
    <w:rsid w:val="00A6766F"/>
    <w:rsid w:val="00A71A6E"/>
    <w:rsid w:val="00A72F43"/>
    <w:rsid w:val="00A76485"/>
    <w:rsid w:val="00A80F5E"/>
    <w:rsid w:val="00A861A2"/>
    <w:rsid w:val="00A90580"/>
    <w:rsid w:val="00A93359"/>
    <w:rsid w:val="00A954D1"/>
    <w:rsid w:val="00A96813"/>
    <w:rsid w:val="00AA25B9"/>
    <w:rsid w:val="00AA42A8"/>
    <w:rsid w:val="00AA442B"/>
    <w:rsid w:val="00AA71BE"/>
    <w:rsid w:val="00AB2623"/>
    <w:rsid w:val="00AB3754"/>
    <w:rsid w:val="00AB46EA"/>
    <w:rsid w:val="00AC2966"/>
    <w:rsid w:val="00AC3F96"/>
    <w:rsid w:val="00AC616F"/>
    <w:rsid w:val="00AC6780"/>
    <w:rsid w:val="00AD0CA4"/>
    <w:rsid w:val="00AD1902"/>
    <w:rsid w:val="00AD2E1E"/>
    <w:rsid w:val="00AD3925"/>
    <w:rsid w:val="00AD43BB"/>
    <w:rsid w:val="00AD76A8"/>
    <w:rsid w:val="00AE0679"/>
    <w:rsid w:val="00AE76F8"/>
    <w:rsid w:val="00AF0A92"/>
    <w:rsid w:val="00AF7AF3"/>
    <w:rsid w:val="00B04BE6"/>
    <w:rsid w:val="00B0552D"/>
    <w:rsid w:val="00B061DB"/>
    <w:rsid w:val="00B11074"/>
    <w:rsid w:val="00B14697"/>
    <w:rsid w:val="00B24356"/>
    <w:rsid w:val="00B30065"/>
    <w:rsid w:val="00B307BF"/>
    <w:rsid w:val="00B30F58"/>
    <w:rsid w:val="00B32FE7"/>
    <w:rsid w:val="00B33A8C"/>
    <w:rsid w:val="00B3792C"/>
    <w:rsid w:val="00B40157"/>
    <w:rsid w:val="00B40227"/>
    <w:rsid w:val="00B4183F"/>
    <w:rsid w:val="00B435A0"/>
    <w:rsid w:val="00B43CE0"/>
    <w:rsid w:val="00B509F1"/>
    <w:rsid w:val="00B522B8"/>
    <w:rsid w:val="00B5588E"/>
    <w:rsid w:val="00B55AD3"/>
    <w:rsid w:val="00B57268"/>
    <w:rsid w:val="00B57FF8"/>
    <w:rsid w:val="00B60977"/>
    <w:rsid w:val="00B61DFD"/>
    <w:rsid w:val="00B62509"/>
    <w:rsid w:val="00B6744F"/>
    <w:rsid w:val="00B707FA"/>
    <w:rsid w:val="00B71FEA"/>
    <w:rsid w:val="00B72E80"/>
    <w:rsid w:val="00B8547B"/>
    <w:rsid w:val="00B87FCB"/>
    <w:rsid w:val="00BA5BFD"/>
    <w:rsid w:val="00BA783D"/>
    <w:rsid w:val="00BB2205"/>
    <w:rsid w:val="00BC0339"/>
    <w:rsid w:val="00BC2C65"/>
    <w:rsid w:val="00BC34A1"/>
    <w:rsid w:val="00BD00B7"/>
    <w:rsid w:val="00BD0632"/>
    <w:rsid w:val="00BD0DE1"/>
    <w:rsid w:val="00BD2DC3"/>
    <w:rsid w:val="00BD61A8"/>
    <w:rsid w:val="00BD67A5"/>
    <w:rsid w:val="00BE2583"/>
    <w:rsid w:val="00BE2ABC"/>
    <w:rsid w:val="00BE37AF"/>
    <w:rsid w:val="00BE5A7B"/>
    <w:rsid w:val="00BE6969"/>
    <w:rsid w:val="00BE6B5C"/>
    <w:rsid w:val="00BE7B74"/>
    <w:rsid w:val="00BF65B0"/>
    <w:rsid w:val="00C00F9B"/>
    <w:rsid w:val="00C038D8"/>
    <w:rsid w:val="00C06139"/>
    <w:rsid w:val="00C07BE9"/>
    <w:rsid w:val="00C141C6"/>
    <w:rsid w:val="00C15426"/>
    <w:rsid w:val="00C159DC"/>
    <w:rsid w:val="00C22A1A"/>
    <w:rsid w:val="00C24DD4"/>
    <w:rsid w:val="00C2515F"/>
    <w:rsid w:val="00C261B7"/>
    <w:rsid w:val="00C3099D"/>
    <w:rsid w:val="00C337E6"/>
    <w:rsid w:val="00C3468E"/>
    <w:rsid w:val="00C34A9F"/>
    <w:rsid w:val="00C37C55"/>
    <w:rsid w:val="00C451D1"/>
    <w:rsid w:val="00C50B7A"/>
    <w:rsid w:val="00C61536"/>
    <w:rsid w:val="00C630DA"/>
    <w:rsid w:val="00C73A60"/>
    <w:rsid w:val="00C82DC1"/>
    <w:rsid w:val="00C83043"/>
    <w:rsid w:val="00C8354B"/>
    <w:rsid w:val="00C84460"/>
    <w:rsid w:val="00C84A2E"/>
    <w:rsid w:val="00C91F2C"/>
    <w:rsid w:val="00C94B2A"/>
    <w:rsid w:val="00C9776F"/>
    <w:rsid w:val="00C978F1"/>
    <w:rsid w:val="00CA37BD"/>
    <w:rsid w:val="00CA5BFC"/>
    <w:rsid w:val="00CA613D"/>
    <w:rsid w:val="00CA7794"/>
    <w:rsid w:val="00CB0CA0"/>
    <w:rsid w:val="00CB3FB8"/>
    <w:rsid w:val="00CB6C24"/>
    <w:rsid w:val="00CC0034"/>
    <w:rsid w:val="00CC01FF"/>
    <w:rsid w:val="00CC0C67"/>
    <w:rsid w:val="00CC7058"/>
    <w:rsid w:val="00CD6094"/>
    <w:rsid w:val="00CD71F5"/>
    <w:rsid w:val="00CD7604"/>
    <w:rsid w:val="00CE1A1A"/>
    <w:rsid w:val="00CE3D80"/>
    <w:rsid w:val="00CE7181"/>
    <w:rsid w:val="00CF5711"/>
    <w:rsid w:val="00CF7429"/>
    <w:rsid w:val="00D05786"/>
    <w:rsid w:val="00D0616B"/>
    <w:rsid w:val="00D06A56"/>
    <w:rsid w:val="00D07375"/>
    <w:rsid w:val="00D10C85"/>
    <w:rsid w:val="00D13BF3"/>
    <w:rsid w:val="00D22794"/>
    <w:rsid w:val="00D23791"/>
    <w:rsid w:val="00D23E62"/>
    <w:rsid w:val="00D32861"/>
    <w:rsid w:val="00D36A09"/>
    <w:rsid w:val="00D44EA9"/>
    <w:rsid w:val="00D45D3A"/>
    <w:rsid w:val="00D51F34"/>
    <w:rsid w:val="00D56BDE"/>
    <w:rsid w:val="00D57F4C"/>
    <w:rsid w:val="00D60780"/>
    <w:rsid w:val="00D64ACA"/>
    <w:rsid w:val="00D6708C"/>
    <w:rsid w:val="00D67773"/>
    <w:rsid w:val="00D70A3E"/>
    <w:rsid w:val="00D772BF"/>
    <w:rsid w:val="00D82B03"/>
    <w:rsid w:val="00D85B6B"/>
    <w:rsid w:val="00D932EE"/>
    <w:rsid w:val="00D9725C"/>
    <w:rsid w:val="00DA2CD6"/>
    <w:rsid w:val="00DA30A9"/>
    <w:rsid w:val="00DA3112"/>
    <w:rsid w:val="00DA6214"/>
    <w:rsid w:val="00DA74FE"/>
    <w:rsid w:val="00DB3348"/>
    <w:rsid w:val="00DB4D07"/>
    <w:rsid w:val="00DB4DD5"/>
    <w:rsid w:val="00DB6803"/>
    <w:rsid w:val="00DC28A8"/>
    <w:rsid w:val="00DC338A"/>
    <w:rsid w:val="00DC4448"/>
    <w:rsid w:val="00DC4E3B"/>
    <w:rsid w:val="00DD237A"/>
    <w:rsid w:val="00DD3BA1"/>
    <w:rsid w:val="00DD5F15"/>
    <w:rsid w:val="00DD7D06"/>
    <w:rsid w:val="00DE11FE"/>
    <w:rsid w:val="00DE5114"/>
    <w:rsid w:val="00DF3A10"/>
    <w:rsid w:val="00DF5297"/>
    <w:rsid w:val="00DF691F"/>
    <w:rsid w:val="00DF72C2"/>
    <w:rsid w:val="00E020B6"/>
    <w:rsid w:val="00E045AD"/>
    <w:rsid w:val="00E06E33"/>
    <w:rsid w:val="00E1447D"/>
    <w:rsid w:val="00E17740"/>
    <w:rsid w:val="00E178DD"/>
    <w:rsid w:val="00E21808"/>
    <w:rsid w:val="00E22AD4"/>
    <w:rsid w:val="00E233E5"/>
    <w:rsid w:val="00E243FF"/>
    <w:rsid w:val="00E32561"/>
    <w:rsid w:val="00E32762"/>
    <w:rsid w:val="00E3513E"/>
    <w:rsid w:val="00E3725D"/>
    <w:rsid w:val="00E40CDE"/>
    <w:rsid w:val="00E40FE2"/>
    <w:rsid w:val="00E420BC"/>
    <w:rsid w:val="00E508B3"/>
    <w:rsid w:val="00E5585F"/>
    <w:rsid w:val="00E652A4"/>
    <w:rsid w:val="00E73800"/>
    <w:rsid w:val="00E75B15"/>
    <w:rsid w:val="00E765A7"/>
    <w:rsid w:val="00E77FDC"/>
    <w:rsid w:val="00E805EF"/>
    <w:rsid w:val="00E81EC1"/>
    <w:rsid w:val="00E91822"/>
    <w:rsid w:val="00E9330A"/>
    <w:rsid w:val="00E93DC3"/>
    <w:rsid w:val="00E95814"/>
    <w:rsid w:val="00E95BDC"/>
    <w:rsid w:val="00E9748B"/>
    <w:rsid w:val="00EA1787"/>
    <w:rsid w:val="00EA3A40"/>
    <w:rsid w:val="00EA5F0E"/>
    <w:rsid w:val="00EA5FBA"/>
    <w:rsid w:val="00EA6936"/>
    <w:rsid w:val="00EA6BE0"/>
    <w:rsid w:val="00EA7E25"/>
    <w:rsid w:val="00EB0EFB"/>
    <w:rsid w:val="00EB762B"/>
    <w:rsid w:val="00EC181A"/>
    <w:rsid w:val="00EC3146"/>
    <w:rsid w:val="00EC3D3E"/>
    <w:rsid w:val="00EC677B"/>
    <w:rsid w:val="00ED3BA9"/>
    <w:rsid w:val="00ED45AF"/>
    <w:rsid w:val="00ED671B"/>
    <w:rsid w:val="00ED6CC5"/>
    <w:rsid w:val="00ED7FCA"/>
    <w:rsid w:val="00EE12CC"/>
    <w:rsid w:val="00EE38A9"/>
    <w:rsid w:val="00EE5223"/>
    <w:rsid w:val="00EE5684"/>
    <w:rsid w:val="00EE5B7B"/>
    <w:rsid w:val="00EF1C80"/>
    <w:rsid w:val="00F01545"/>
    <w:rsid w:val="00F041F5"/>
    <w:rsid w:val="00F16012"/>
    <w:rsid w:val="00F178C9"/>
    <w:rsid w:val="00F233D9"/>
    <w:rsid w:val="00F234F7"/>
    <w:rsid w:val="00F24528"/>
    <w:rsid w:val="00F24B0B"/>
    <w:rsid w:val="00F24C79"/>
    <w:rsid w:val="00F25F74"/>
    <w:rsid w:val="00F42198"/>
    <w:rsid w:val="00F42560"/>
    <w:rsid w:val="00F42575"/>
    <w:rsid w:val="00F473EB"/>
    <w:rsid w:val="00F474B7"/>
    <w:rsid w:val="00F47A12"/>
    <w:rsid w:val="00F521D6"/>
    <w:rsid w:val="00F55E18"/>
    <w:rsid w:val="00F61451"/>
    <w:rsid w:val="00F640E9"/>
    <w:rsid w:val="00F642A6"/>
    <w:rsid w:val="00F659D9"/>
    <w:rsid w:val="00F71C44"/>
    <w:rsid w:val="00F84E88"/>
    <w:rsid w:val="00F954B6"/>
    <w:rsid w:val="00FA4A81"/>
    <w:rsid w:val="00FA4E3D"/>
    <w:rsid w:val="00FB4209"/>
    <w:rsid w:val="00FC19A8"/>
    <w:rsid w:val="00FC7ED7"/>
    <w:rsid w:val="00FD462A"/>
    <w:rsid w:val="00FD5250"/>
    <w:rsid w:val="00FD6D46"/>
    <w:rsid w:val="00FD6E9A"/>
    <w:rsid w:val="00FE0BB5"/>
    <w:rsid w:val="00FF47E1"/>
    <w:rsid w:val="00FF60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3FEECA"/>
  <w15:docId w15:val="{A3D8C5E2-E2B3-4631-80CF-118CAC27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paragraph" w:styleId="Heading1">
    <w:name w:val="heading 1"/>
    <w:basedOn w:val="Normal"/>
    <w:next w:val="Normal"/>
    <w:link w:val="Heading1Char"/>
    <w:pPr>
      <w:keepNext/>
      <w:keepLines/>
      <w:spacing w:before="100" w:after="100" w:line="240" w:lineRule="auto"/>
      <w:outlineLvl w:val="0"/>
    </w:pPr>
    <w:rPr>
      <w:rFonts w:ascii="Times New Roman" w:eastAsia="Times New Roman" w:hAnsi="Times New Roman" w:cs="Times New Roman"/>
      <w:b/>
      <w:sz w:val="48"/>
    </w:rPr>
  </w:style>
  <w:style w:type="paragraph" w:styleId="Heading2">
    <w:name w:val="heading 2"/>
    <w:basedOn w:val="Normal"/>
    <w:next w:val="Normal"/>
    <w:link w:val="Heading2Char"/>
    <w:pPr>
      <w:keepNext/>
      <w:keepLines/>
      <w:spacing w:before="360" w:after="80"/>
      <w:contextualSpacing/>
      <w:outlineLvl w:val="1"/>
    </w:pPr>
    <w:rPr>
      <w:b/>
      <w:sz w:val="36"/>
    </w:rPr>
  </w:style>
  <w:style w:type="paragraph" w:styleId="Heading3">
    <w:name w:val="heading 3"/>
    <w:basedOn w:val="Normal"/>
    <w:next w:val="Normal"/>
    <w:link w:val="Heading3Char"/>
    <w:pPr>
      <w:keepNext/>
      <w:keepLines/>
      <w:spacing w:before="280" w:after="80"/>
      <w:contextualSpacing/>
      <w:outlineLvl w:val="2"/>
    </w:pPr>
    <w:rPr>
      <w:b/>
      <w:sz w:val="28"/>
    </w:rPr>
  </w:style>
  <w:style w:type="paragraph" w:styleId="Heading4">
    <w:name w:val="heading 4"/>
    <w:basedOn w:val="Normal"/>
    <w:next w:val="Normal"/>
    <w:link w:val="Heading4Char"/>
    <w:pPr>
      <w:keepNext/>
      <w:keepLines/>
      <w:spacing w:before="240" w:after="40"/>
      <w:contextualSpacing/>
      <w:outlineLvl w:val="3"/>
    </w:pPr>
    <w:rPr>
      <w:b/>
      <w:sz w:val="24"/>
    </w:rPr>
  </w:style>
  <w:style w:type="paragraph" w:styleId="Heading5">
    <w:name w:val="heading 5"/>
    <w:basedOn w:val="Normal"/>
    <w:next w:val="Normal"/>
    <w:link w:val="Heading5Char"/>
    <w:pPr>
      <w:keepNext/>
      <w:keepLines/>
      <w:spacing w:before="220" w:after="40"/>
      <w:contextualSpacing/>
      <w:outlineLvl w:val="4"/>
    </w:pPr>
    <w:rPr>
      <w:b/>
    </w:rPr>
  </w:style>
  <w:style w:type="paragraph" w:styleId="Heading6">
    <w:name w:val="heading 6"/>
    <w:basedOn w:val="Normal"/>
    <w:next w:val="Normal"/>
    <w:link w:val="Heading6Char"/>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contextualSpacing/>
    </w:pPr>
    <w:rPr>
      <w:b/>
      <w:sz w:val="72"/>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CellMar>
        <w:left w:w="30" w:type="dxa"/>
        <w:right w:w="30"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93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6ED"/>
    <w:rPr>
      <w:rFonts w:ascii="Segoe UI" w:hAnsi="Segoe UI" w:cs="Segoe UI"/>
      <w:sz w:val="18"/>
      <w:szCs w:val="18"/>
    </w:rPr>
  </w:style>
  <w:style w:type="paragraph" w:styleId="FootnoteText">
    <w:name w:val="footnote text"/>
    <w:basedOn w:val="Normal"/>
    <w:link w:val="FootnoteTextChar"/>
    <w:uiPriority w:val="99"/>
    <w:unhideWhenUsed/>
    <w:rsid w:val="007936ED"/>
    <w:pPr>
      <w:spacing w:after="0" w:line="240" w:lineRule="auto"/>
    </w:pPr>
    <w:rPr>
      <w:sz w:val="20"/>
    </w:rPr>
  </w:style>
  <w:style w:type="character" w:customStyle="1" w:styleId="FootnoteTextChar">
    <w:name w:val="Footnote Text Char"/>
    <w:basedOn w:val="DefaultParagraphFont"/>
    <w:link w:val="FootnoteText"/>
    <w:uiPriority w:val="99"/>
    <w:rsid w:val="007936ED"/>
    <w:rPr>
      <w:sz w:val="20"/>
    </w:rPr>
  </w:style>
  <w:style w:type="character" w:styleId="FootnoteReference">
    <w:name w:val="footnote reference"/>
    <w:basedOn w:val="DefaultParagraphFont"/>
    <w:uiPriority w:val="99"/>
    <w:semiHidden/>
    <w:unhideWhenUsed/>
    <w:rsid w:val="007936ED"/>
    <w:rPr>
      <w:vertAlign w:val="superscript"/>
    </w:rPr>
  </w:style>
  <w:style w:type="character" w:styleId="Hyperlink">
    <w:name w:val="Hyperlink"/>
    <w:basedOn w:val="DefaultParagraphFont"/>
    <w:uiPriority w:val="99"/>
    <w:unhideWhenUsed/>
    <w:rsid w:val="007936ED"/>
    <w:rPr>
      <w:color w:val="0563C1" w:themeColor="hyperlink"/>
      <w:u w:val="single"/>
    </w:rPr>
  </w:style>
  <w:style w:type="character" w:styleId="PlaceholderText">
    <w:name w:val="Placeholder Text"/>
    <w:basedOn w:val="DefaultParagraphFont"/>
    <w:uiPriority w:val="99"/>
    <w:semiHidden/>
    <w:rsid w:val="00BD00B7"/>
    <w:rPr>
      <w:color w:val="808080"/>
    </w:rPr>
  </w:style>
  <w:style w:type="paragraph" w:styleId="ListParagraph">
    <w:name w:val="List Paragraph"/>
    <w:basedOn w:val="Normal"/>
    <w:uiPriority w:val="34"/>
    <w:qFormat/>
    <w:rsid w:val="00500205"/>
    <w:pPr>
      <w:ind w:left="720"/>
      <w:contextualSpacing/>
    </w:pPr>
  </w:style>
  <w:style w:type="table" w:styleId="TableGrid">
    <w:name w:val="Table Grid"/>
    <w:basedOn w:val="TableNormal"/>
    <w:uiPriority w:val="39"/>
    <w:rsid w:val="00D2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14697"/>
    <w:pPr>
      <w:spacing w:after="0" w:line="240" w:lineRule="auto"/>
    </w:pPr>
    <w:rPr>
      <w:sz w:val="20"/>
    </w:rPr>
  </w:style>
  <w:style w:type="character" w:customStyle="1" w:styleId="EndnoteTextChar">
    <w:name w:val="Endnote Text Char"/>
    <w:basedOn w:val="DefaultParagraphFont"/>
    <w:link w:val="EndnoteText"/>
    <w:uiPriority w:val="99"/>
    <w:semiHidden/>
    <w:rsid w:val="00B14697"/>
    <w:rPr>
      <w:sz w:val="20"/>
    </w:rPr>
  </w:style>
  <w:style w:type="character" w:styleId="EndnoteReference">
    <w:name w:val="endnote reference"/>
    <w:basedOn w:val="DefaultParagraphFont"/>
    <w:uiPriority w:val="99"/>
    <w:semiHidden/>
    <w:unhideWhenUsed/>
    <w:rsid w:val="00B14697"/>
    <w:rPr>
      <w:vertAlign w:val="superscript"/>
    </w:rPr>
  </w:style>
  <w:style w:type="paragraph" w:styleId="Header">
    <w:name w:val="header"/>
    <w:basedOn w:val="Normal"/>
    <w:link w:val="HeaderChar"/>
    <w:uiPriority w:val="99"/>
    <w:unhideWhenUsed/>
    <w:rsid w:val="00DC2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8A8"/>
  </w:style>
  <w:style w:type="paragraph" w:styleId="Footer">
    <w:name w:val="footer"/>
    <w:basedOn w:val="Normal"/>
    <w:link w:val="FooterChar"/>
    <w:uiPriority w:val="99"/>
    <w:unhideWhenUsed/>
    <w:rsid w:val="00DC2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8A8"/>
  </w:style>
  <w:style w:type="paragraph" w:styleId="CommentSubject">
    <w:name w:val="annotation subject"/>
    <w:basedOn w:val="CommentText"/>
    <w:next w:val="CommentText"/>
    <w:link w:val="CommentSubjectChar"/>
    <w:uiPriority w:val="99"/>
    <w:semiHidden/>
    <w:unhideWhenUsed/>
    <w:rsid w:val="004B4D12"/>
    <w:rPr>
      <w:b/>
      <w:bCs/>
    </w:rPr>
  </w:style>
  <w:style w:type="character" w:customStyle="1" w:styleId="CommentSubjectChar">
    <w:name w:val="Comment Subject Char"/>
    <w:basedOn w:val="CommentTextChar"/>
    <w:link w:val="CommentSubject"/>
    <w:uiPriority w:val="99"/>
    <w:semiHidden/>
    <w:rsid w:val="004B4D12"/>
    <w:rPr>
      <w:b/>
      <w:bCs/>
      <w:sz w:val="20"/>
    </w:rPr>
  </w:style>
  <w:style w:type="character" w:customStyle="1" w:styleId="apple-converted-space">
    <w:name w:val="apple-converted-space"/>
    <w:basedOn w:val="DefaultParagraphFont"/>
    <w:rsid w:val="00BE2583"/>
  </w:style>
  <w:style w:type="character" w:customStyle="1" w:styleId="journalname">
    <w:name w:val="journalname"/>
    <w:basedOn w:val="DefaultParagraphFont"/>
    <w:rsid w:val="001869E6"/>
  </w:style>
  <w:style w:type="character" w:customStyle="1" w:styleId="doi">
    <w:name w:val="doi"/>
    <w:basedOn w:val="DefaultParagraphFont"/>
    <w:rsid w:val="001869E6"/>
  </w:style>
  <w:style w:type="character" w:customStyle="1" w:styleId="author">
    <w:name w:val="author"/>
    <w:basedOn w:val="DefaultParagraphFont"/>
    <w:rsid w:val="001869E6"/>
  </w:style>
  <w:style w:type="character" w:styleId="FollowedHyperlink">
    <w:name w:val="FollowedHyperlink"/>
    <w:basedOn w:val="DefaultParagraphFont"/>
    <w:uiPriority w:val="99"/>
    <w:semiHidden/>
    <w:unhideWhenUsed/>
    <w:rsid w:val="002C2777"/>
    <w:rPr>
      <w:color w:val="954F72" w:themeColor="followedHyperlink"/>
      <w:u w:val="single"/>
    </w:rPr>
  </w:style>
  <w:style w:type="character" w:customStyle="1" w:styleId="name">
    <w:name w:val="name"/>
    <w:basedOn w:val="DefaultParagraphFont"/>
    <w:rsid w:val="00DE11FE"/>
  </w:style>
  <w:style w:type="character" w:customStyle="1" w:styleId="slug-pub-date">
    <w:name w:val="slug-pub-date"/>
    <w:basedOn w:val="DefaultParagraphFont"/>
    <w:rsid w:val="00DE11FE"/>
  </w:style>
  <w:style w:type="character" w:customStyle="1" w:styleId="slug-vol">
    <w:name w:val="slug-vol"/>
    <w:basedOn w:val="DefaultParagraphFont"/>
    <w:rsid w:val="00DE11FE"/>
  </w:style>
  <w:style w:type="character" w:customStyle="1" w:styleId="slug-issue">
    <w:name w:val="slug-issue"/>
    <w:basedOn w:val="DefaultParagraphFont"/>
    <w:rsid w:val="00DE11FE"/>
  </w:style>
  <w:style w:type="character" w:customStyle="1" w:styleId="slug-pages">
    <w:name w:val="slug-pages"/>
    <w:basedOn w:val="DefaultParagraphFont"/>
    <w:rsid w:val="00DE11FE"/>
  </w:style>
  <w:style w:type="character" w:styleId="Emphasis">
    <w:name w:val="Emphasis"/>
    <w:basedOn w:val="DefaultParagraphFont"/>
    <w:uiPriority w:val="20"/>
    <w:qFormat/>
    <w:rsid w:val="00F42575"/>
    <w:rPr>
      <w:i/>
      <w:iCs/>
    </w:rPr>
  </w:style>
  <w:style w:type="character" w:customStyle="1" w:styleId="articlecitationvolume">
    <w:name w:val="articlecitation_volume"/>
    <w:basedOn w:val="DefaultParagraphFont"/>
    <w:rsid w:val="00F42575"/>
  </w:style>
  <w:style w:type="character" w:customStyle="1" w:styleId="articlecitationissue">
    <w:name w:val="articlecitation_issue"/>
    <w:basedOn w:val="DefaultParagraphFont"/>
    <w:rsid w:val="00F42575"/>
  </w:style>
  <w:style w:type="character" w:customStyle="1" w:styleId="articlecitationpages">
    <w:name w:val="articlecitation_pages"/>
    <w:basedOn w:val="DefaultParagraphFont"/>
    <w:rsid w:val="00F42575"/>
  </w:style>
  <w:style w:type="character" w:customStyle="1" w:styleId="feed-item-date">
    <w:name w:val="feed-item-date"/>
    <w:basedOn w:val="DefaultParagraphFont"/>
    <w:rsid w:val="00940BEE"/>
  </w:style>
  <w:style w:type="character" w:customStyle="1" w:styleId="xref-sep">
    <w:name w:val="xref-sep"/>
    <w:basedOn w:val="DefaultParagraphFont"/>
    <w:rsid w:val="00BC34A1"/>
  </w:style>
  <w:style w:type="character" w:customStyle="1" w:styleId="cit-auth">
    <w:name w:val="cit-auth"/>
    <w:basedOn w:val="DefaultParagraphFont"/>
    <w:rsid w:val="005C0ACE"/>
  </w:style>
  <w:style w:type="character" w:customStyle="1" w:styleId="cit-sep">
    <w:name w:val="cit-sep"/>
    <w:basedOn w:val="DefaultParagraphFont"/>
    <w:rsid w:val="005C0ACE"/>
  </w:style>
  <w:style w:type="character" w:customStyle="1" w:styleId="search-result-highlight">
    <w:name w:val="search-result-highlight"/>
    <w:basedOn w:val="DefaultParagraphFont"/>
    <w:rsid w:val="005C0ACE"/>
  </w:style>
  <w:style w:type="character" w:customStyle="1" w:styleId="cit-title">
    <w:name w:val="cit-title"/>
    <w:basedOn w:val="DefaultParagraphFont"/>
    <w:rsid w:val="005C0ACE"/>
  </w:style>
  <w:style w:type="paragraph" w:customStyle="1" w:styleId="articledetails">
    <w:name w:val="articledetails"/>
    <w:basedOn w:val="Normal"/>
    <w:rsid w:val="005C0AC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8A7C63"/>
    <w:rPr>
      <w:b/>
      <w:bCs/>
    </w:rPr>
  </w:style>
  <w:style w:type="character" w:customStyle="1" w:styleId="maintitle">
    <w:name w:val="maintitle"/>
    <w:basedOn w:val="DefaultParagraphFont"/>
    <w:rsid w:val="00904E03"/>
  </w:style>
  <w:style w:type="character" w:customStyle="1" w:styleId="Heading1Char">
    <w:name w:val="Heading 1 Char"/>
    <w:basedOn w:val="DefaultParagraphFont"/>
    <w:link w:val="Heading1"/>
    <w:rsid w:val="00C337E6"/>
    <w:rPr>
      <w:rFonts w:ascii="Times New Roman" w:eastAsia="Times New Roman" w:hAnsi="Times New Roman" w:cs="Times New Roman"/>
      <w:b/>
      <w:sz w:val="48"/>
      <w:lang w:val="en-US"/>
    </w:rPr>
  </w:style>
  <w:style w:type="character" w:customStyle="1" w:styleId="Heading2Char">
    <w:name w:val="Heading 2 Char"/>
    <w:basedOn w:val="DefaultParagraphFont"/>
    <w:link w:val="Heading2"/>
    <w:rsid w:val="00C337E6"/>
    <w:rPr>
      <w:b/>
      <w:sz w:val="36"/>
      <w:lang w:val="en-US"/>
    </w:rPr>
  </w:style>
  <w:style w:type="character" w:customStyle="1" w:styleId="Heading3Char">
    <w:name w:val="Heading 3 Char"/>
    <w:basedOn w:val="DefaultParagraphFont"/>
    <w:link w:val="Heading3"/>
    <w:rsid w:val="00C337E6"/>
    <w:rPr>
      <w:b/>
      <w:sz w:val="28"/>
      <w:lang w:val="en-US"/>
    </w:rPr>
  </w:style>
  <w:style w:type="character" w:customStyle="1" w:styleId="Heading4Char">
    <w:name w:val="Heading 4 Char"/>
    <w:basedOn w:val="DefaultParagraphFont"/>
    <w:link w:val="Heading4"/>
    <w:rsid w:val="00C337E6"/>
    <w:rPr>
      <w:b/>
      <w:sz w:val="24"/>
      <w:lang w:val="en-US"/>
    </w:rPr>
  </w:style>
  <w:style w:type="character" w:customStyle="1" w:styleId="Heading5Char">
    <w:name w:val="Heading 5 Char"/>
    <w:basedOn w:val="DefaultParagraphFont"/>
    <w:link w:val="Heading5"/>
    <w:rsid w:val="00C337E6"/>
    <w:rPr>
      <w:b/>
      <w:lang w:val="en-US"/>
    </w:rPr>
  </w:style>
  <w:style w:type="character" w:customStyle="1" w:styleId="Heading6Char">
    <w:name w:val="Heading 6 Char"/>
    <w:basedOn w:val="DefaultParagraphFont"/>
    <w:link w:val="Heading6"/>
    <w:rsid w:val="00C337E6"/>
    <w:rPr>
      <w:b/>
      <w:sz w:val="20"/>
      <w:lang w:val="en-US"/>
    </w:rPr>
  </w:style>
  <w:style w:type="character" w:customStyle="1" w:styleId="TitleChar">
    <w:name w:val="Title Char"/>
    <w:basedOn w:val="DefaultParagraphFont"/>
    <w:link w:val="Title"/>
    <w:rsid w:val="00C337E6"/>
    <w:rPr>
      <w:b/>
      <w:sz w:val="72"/>
      <w:lang w:val="en-US"/>
    </w:rPr>
  </w:style>
  <w:style w:type="character" w:customStyle="1" w:styleId="SubtitleChar">
    <w:name w:val="Subtitle Char"/>
    <w:basedOn w:val="DefaultParagraphFont"/>
    <w:link w:val="Subtitle"/>
    <w:rsid w:val="00C337E6"/>
    <w:rPr>
      <w:rFonts w:ascii="Georgia" w:eastAsia="Georgia" w:hAnsi="Georgia" w:cs="Georgia"/>
      <w:i/>
      <w:color w:val="666666"/>
      <w:sz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12669">
      <w:bodyDiv w:val="1"/>
      <w:marLeft w:val="0"/>
      <w:marRight w:val="0"/>
      <w:marTop w:val="0"/>
      <w:marBottom w:val="0"/>
      <w:divBdr>
        <w:top w:val="none" w:sz="0" w:space="0" w:color="auto"/>
        <w:left w:val="none" w:sz="0" w:space="0" w:color="auto"/>
        <w:bottom w:val="none" w:sz="0" w:space="0" w:color="auto"/>
        <w:right w:val="none" w:sz="0" w:space="0" w:color="auto"/>
      </w:divBdr>
    </w:div>
    <w:div w:id="313876734">
      <w:bodyDiv w:val="1"/>
      <w:marLeft w:val="0"/>
      <w:marRight w:val="0"/>
      <w:marTop w:val="0"/>
      <w:marBottom w:val="0"/>
      <w:divBdr>
        <w:top w:val="none" w:sz="0" w:space="0" w:color="auto"/>
        <w:left w:val="none" w:sz="0" w:space="0" w:color="auto"/>
        <w:bottom w:val="none" w:sz="0" w:space="0" w:color="auto"/>
        <w:right w:val="none" w:sz="0" w:space="0" w:color="auto"/>
      </w:divBdr>
      <w:divsChild>
        <w:div w:id="1238441431">
          <w:marLeft w:val="0"/>
          <w:marRight w:val="0"/>
          <w:marTop w:val="0"/>
          <w:marBottom w:val="0"/>
          <w:divBdr>
            <w:top w:val="single" w:sz="18" w:space="6" w:color="E1E9EB"/>
            <w:left w:val="none" w:sz="0" w:space="0" w:color="auto"/>
            <w:bottom w:val="none" w:sz="0" w:space="0" w:color="auto"/>
            <w:right w:val="none" w:sz="0" w:space="0" w:color="auto"/>
          </w:divBdr>
        </w:div>
        <w:div w:id="465702396">
          <w:marLeft w:val="0"/>
          <w:marRight w:val="0"/>
          <w:marTop w:val="120"/>
          <w:marBottom w:val="0"/>
          <w:divBdr>
            <w:top w:val="none" w:sz="0" w:space="0" w:color="auto"/>
            <w:left w:val="none" w:sz="0" w:space="0" w:color="auto"/>
            <w:bottom w:val="none" w:sz="0" w:space="0" w:color="auto"/>
            <w:right w:val="none" w:sz="0" w:space="0" w:color="auto"/>
          </w:divBdr>
        </w:div>
      </w:divsChild>
    </w:div>
    <w:div w:id="419252372">
      <w:bodyDiv w:val="1"/>
      <w:marLeft w:val="0"/>
      <w:marRight w:val="0"/>
      <w:marTop w:val="0"/>
      <w:marBottom w:val="0"/>
      <w:divBdr>
        <w:top w:val="none" w:sz="0" w:space="0" w:color="auto"/>
        <w:left w:val="none" w:sz="0" w:space="0" w:color="auto"/>
        <w:bottom w:val="none" w:sz="0" w:space="0" w:color="auto"/>
        <w:right w:val="none" w:sz="0" w:space="0" w:color="auto"/>
      </w:divBdr>
    </w:div>
    <w:div w:id="514152103">
      <w:bodyDiv w:val="1"/>
      <w:marLeft w:val="0"/>
      <w:marRight w:val="0"/>
      <w:marTop w:val="0"/>
      <w:marBottom w:val="0"/>
      <w:divBdr>
        <w:top w:val="none" w:sz="0" w:space="0" w:color="auto"/>
        <w:left w:val="none" w:sz="0" w:space="0" w:color="auto"/>
        <w:bottom w:val="none" w:sz="0" w:space="0" w:color="auto"/>
        <w:right w:val="none" w:sz="0" w:space="0" w:color="auto"/>
      </w:divBdr>
    </w:div>
    <w:div w:id="518467149">
      <w:bodyDiv w:val="1"/>
      <w:marLeft w:val="0"/>
      <w:marRight w:val="0"/>
      <w:marTop w:val="0"/>
      <w:marBottom w:val="0"/>
      <w:divBdr>
        <w:top w:val="none" w:sz="0" w:space="0" w:color="auto"/>
        <w:left w:val="none" w:sz="0" w:space="0" w:color="auto"/>
        <w:bottom w:val="none" w:sz="0" w:space="0" w:color="auto"/>
        <w:right w:val="none" w:sz="0" w:space="0" w:color="auto"/>
      </w:divBdr>
    </w:div>
    <w:div w:id="526413084">
      <w:bodyDiv w:val="1"/>
      <w:marLeft w:val="0"/>
      <w:marRight w:val="0"/>
      <w:marTop w:val="0"/>
      <w:marBottom w:val="0"/>
      <w:divBdr>
        <w:top w:val="none" w:sz="0" w:space="0" w:color="auto"/>
        <w:left w:val="none" w:sz="0" w:space="0" w:color="auto"/>
        <w:bottom w:val="none" w:sz="0" w:space="0" w:color="auto"/>
        <w:right w:val="none" w:sz="0" w:space="0" w:color="auto"/>
      </w:divBdr>
    </w:div>
    <w:div w:id="553271785">
      <w:bodyDiv w:val="1"/>
      <w:marLeft w:val="0"/>
      <w:marRight w:val="0"/>
      <w:marTop w:val="0"/>
      <w:marBottom w:val="0"/>
      <w:divBdr>
        <w:top w:val="none" w:sz="0" w:space="0" w:color="auto"/>
        <w:left w:val="none" w:sz="0" w:space="0" w:color="auto"/>
        <w:bottom w:val="none" w:sz="0" w:space="0" w:color="auto"/>
        <w:right w:val="none" w:sz="0" w:space="0" w:color="auto"/>
      </w:divBdr>
    </w:div>
    <w:div w:id="617562872">
      <w:bodyDiv w:val="1"/>
      <w:marLeft w:val="0"/>
      <w:marRight w:val="0"/>
      <w:marTop w:val="0"/>
      <w:marBottom w:val="0"/>
      <w:divBdr>
        <w:top w:val="none" w:sz="0" w:space="0" w:color="auto"/>
        <w:left w:val="none" w:sz="0" w:space="0" w:color="auto"/>
        <w:bottom w:val="none" w:sz="0" w:space="0" w:color="auto"/>
        <w:right w:val="none" w:sz="0" w:space="0" w:color="auto"/>
      </w:divBdr>
      <w:divsChild>
        <w:div w:id="741803651">
          <w:marLeft w:val="0"/>
          <w:marRight w:val="0"/>
          <w:marTop w:val="0"/>
          <w:marBottom w:val="0"/>
          <w:divBdr>
            <w:top w:val="single" w:sz="18" w:space="6" w:color="E1E9EB"/>
            <w:left w:val="none" w:sz="0" w:space="0" w:color="auto"/>
            <w:bottom w:val="none" w:sz="0" w:space="0" w:color="auto"/>
            <w:right w:val="none" w:sz="0" w:space="0" w:color="auto"/>
          </w:divBdr>
        </w:div>
        <w:div w:id="1811629328">
          <w:marLeft w:val="0"/>
          <w:marRight w:val="0"/>
          <w:marTop w:val="120"/>
          <w:marBottom w:val="0"/>
          <w:divBdr>
            <w:top w:val="none" w:sz="0" w:space="0" w:color="auto"/>
            <w:left w:val="none" w:sz="0" w:space="0" w:color="auto"/>
            <w:bottom w:val="none" w:sz="0" w:space="0" w:color="auto"/>
            <w:right w:val="none" w:sz="0" w:space="0" w:color="auto"/>
          </w:divBdr>
        </w:div>
      </w:divsChild>
    </w:div>
    <w:div w:id="626474401">
      <w:bodyDiv w:val="1"/>
      <w:marLeft w:val="0"/>
      <w:marRight w:val="0"/>
      <w:marTop w:val="0"/>
      <w:marBottom w:val="0"/>
      <w:divBdr>
        <w:top w:val="none" w:sz="0" w:space="0" w:color="auto"/>
        <w:left w:val="none" w:sz="0" w:space="0" w:color="auto"/>
        <w:bottom w:val="none" w:sz="0" w:space="0" w:color="auto"/>
        <w:right w:val="none" w:sz="0" w:space="0" w:color="auto"/>
      </w:divBdr>
    </w:div>
    <w:div w:id="659582295">
      <w:bodyDiv w:val="1"/>
      <w:marLeft w:val="0"/>
      <w:marRight w:val="0"/>
      <w:marTop w:val="0"/>
      <w:marBottom w:val="0"/>
      <w:divBdr>
        <w:top w:val="none" w:sz="0" w:space="0" w:color="auto"/>
        <w:left w:val="none" w:sz="0" w:space="0" w:color="auto"/>
        <w:bottom w:val="none" w:sz="0" w:space="0" w:color="auto"/>
        <w:right w:val="none" w:sz="0" w:space="0" w:color="auto"/>
      </w:divBdr>
      <w:divsChild>
        <w:div w:id="594174744">
          <w:marLeft w:val="0"/>
          <w:marRight w:val="0"/>
          <w:marTop w:val="0"/>
          <w:marBottom w:val="120"/>
          <w:divBdr>
            <w:top w:val="none" w:sz="0" w:space="0" w:color="auto"/>
            <w:left w:val="none" w:sz="0" w:space="0" w:color="auto"/>
            <w:bottom w:val="none" w:sz="0" w:space="0" w:color="auto"/>
            <w:right w:val="none" w:sz="0" w:space="0" w:color="auto"/>
          </w:divBdr>
        </w:div>
        <w:div w:id="835607196">
          <w:marLeft w:val="0"/>
          <w:marRight w:val="0"/>
          <w:marTop w:val="0"/>
          <w:marBottom w:val="120"/>
          <w:divBdr>
            <w:top w:val="none" w:sz="0" w:space="0" w:color="auto"/>
            <w:left w:val="none" w:sz="0" w:space="0" w:color="auto"/>
            <w:bottom w:val="none" w:sz="0" w:space="0" w:color="auto"/>
            <w:right w:val="none" w:sz="0" w:space="0" w:color="auto"/>
          </w:divBdr>
        </w:div>
      </w:divsChild>
    </w:div>
    <w:div w:id="1046373004">
      <w:bodyDiv w:val="1"/>
      <w:marLeft w:val="0"/>
      <w:marRight w:val="0"/>
      <w:marTop w:val="0"/>
      <w:marBottom w:val="0"/>
      <w:divBdr>
        <w:top w:val="none" w:sz="0" w:space="0" w:color="auto"/>
        <w:left w:val="none" w:sz="0" w:space="0" w:color="auto"/>
        <w:bottom w:val="none" w:sz="0" w:space="0" w:color="auto"/>
        <w:right w:val="none" w:sz="0" w:space="0" w:color="auto"/>
      </w:divBdr>
    </w:div>
    <w:div w:id="1476872436">
      <w:bodyDiv w:val="1"/>
      <w:marLeft w:val="0"/>
      <w:marRight w:val="0"/>
      <w:marTop w:val="0"/>
      <w:marBottom w:val="0"/>
      <w:divBdr>
        <w:top w:val="none" w:sz="0" w:space="0" w:color="auto"/>
        <w:left w:val="none" w:sz="0" w:space="0" w:color="auto"/>
        <w:bottom w:val="none" w:sz="0" w:space="0" w:color="auto"/>
        <w:right w:val="none" w:sz="0" w:space="0" w:color="auto"/>
      </w:divBdr>
      <w:divsChild>
        <w:div w:id="1076853811">
          <w:marLeft w:val="0"/>
          <w:marRight w:val="0"/>
          <w:marTop w:val="0"/>
          <w:marBottom w:val="240"/>
          <w:divBdr>
            <w:top w:val="none" w:sz="0" w:space="0" w:color="auto"/>
            <w:left w:val="none" w:sz="0" w:space="0" w:color="auto"/>
            <w:bottom w:val="none" w:sz="0" w:space="0" w:color="auto"/>
            <w:right w:val="none" w:sz="0" w:space="0" w:color="auto"/>
          </w:divBdr>
        </w:div>
      </w:divsChild>
    </w:div>
    <w:div w:id="1511945366">
      <w:bodyDiv w:val="1"/>
      <w:marLeft w:val="0"/>
      <w:marRight w:val="0"/>
      <w:marTop w:val="0"/>
      <w:marBottom w:val="0"/>
      <w:divBdr>
        <w:top w:val="none" w:sz="0" w:space="0" w:color="auto"/>
        <w:left w:val="none" w:sz="0" w:space="0" w:color="auto"/>
        <w:bottom w:val="none" w:sz="0" w:space="0" w:color="auto"/>
        <w:right w:val="none" w:sz="0" w:space="0" w:color="auto"/>
      </w:divBdr>
    </w:div>
    <w:div w:id="1677229290">
      <w:bodyDiv w:val="1"/>
      <w:marLeft w:val="0"/>
      <w:marRight w:val="0"/>
      <w:marTop w:val="0"/>
      <w:marBottom w:val="0"/>
      <w:divBdr>
        <w:top w:val="none" w:sz="0" w:space="0" w:color="auto"/>
        <w:left w:val="none" w:sz="0" w:space="0" w:color="auto"/>
        <w:bottom w:val="none" w:sz="0" w:space="0" w:color="auto"/>
        <w:right w:val="none" w:sz="0" w:space="0" w:color="auto"/>
      </w:divBdr>
    </w:div>
    <w:div w:id="1686781086">
      <w:bodyDiv w:val="1"/>
      <w:marLeft w:val="0"/>
      <w:marRight w:val="0"/>
      <w:marTop w:val="0"/>
      <w:marBottom w:val="0"/>
      <w:divBdr>
        <w:top w:val="none" w:sz="0" w:space="0" w:color="auto"/>
        <w:left w:val="none" w:sz="0" w:space="0" w:color="auto"/>
        <w:bottom w:val="none" w:sz="0" w:space="0" w:color="auto"/>
        <w:right w:val="none" w:sz="0" w:space="0" w:color="auto"/>
      </w:divBdr>
      <w:divsChild>
        <w:div w:id="845289416">
          <w:marLeft w:val="0"/>
          <w:marRight w:val="0"/>
          <w:marTop w:val="0"/>
          <w:marBottom w:val="240"/>
          <w:divBdr>
            <w:top w:val="none" w:sz="0" w:space="0" w:color="auto"/>
            <w:left w:val="none" w:sz="0" w:space="0" w:color="auto"/>
            <w:bottom w:val="none" w:sz="0" w:space="0" w:color="auto"/>
            <w:right w:val="none" w:sz="0" w:space="0" w:color="auto"/>
          </w:divBdr>
        </w:div>
      </w:divsChild>
    </w:div>
    <w:div w:id="1691450498">
      <w:bodyDiv w:val="1"/>
      <w:marLeft w:val="0"/>
      <w:marRight w:val="0"/>
      <w:marTop w:val="0"/>
      <w:marBottom w:val="0"/>
      <w:divBdr>
        <w:top w:val="none" w:sz="0" w:space="0" w:color="auto"/>
        <w:left w:val="none" w:sz="0" w:space="0" w:color="auto"/>
        <w:bottom w:val="none" w:sz="0" w:space="0" w:color="auto"/>
        <w:right w:val="none" w:sz="0" w:space="0" w:color="auto"/>
      </w:divBdr>
    </w:div>
    <w:div w:id="1788550432">
      <w:bodyDiv w:val="1"/>
      <w:marLeft w:val="0"/>
      <w:marRight w:val="0"/>
      <w:marTop w:val="0"/>
      <w:marBottom w:val="0"/>
      <w:divBdr>
        <w:top w:val="none" w:sz="0" w:space="0" w:color="auto"/>
        <w:left w:val="none" w:sz="0" w:space="0" w:color="auto"/>
        <w:bottom w:val="none" w:sz="0" w:space="0" w:color="auto"/>
        <w:right w:val="none" w:sz="0" w:space="0" w:color="auto"/>
      </w:divBdr>
    </w:div>
    <w:div w:id="1822771638">
      <w:bodyDiv w:val="1"/>
      <w:marLeft w:val="0"/>
      <w:marRight w:val="0"/>
      <w:marTop w:val="0"/>
      <w:marBottom w:val="0"/>
      <w:divBdr>
        <w:top w:val="none" w:sz="0" w:space="0" w:color="auto"/>
        <w:left w:val="none" w:sz="0" w:space="0" w:color="auto"/>
        <w:bottom w:val="none" w:sz="0" w:space="0" w:color="auto"/>
        <w:right w:val="none" w:sz="0" w:space="0" w:color="auto"/>
      </w:divBdr>
    </w:div>
    <w:div w:id="1839880463">
      <w:bodyDiv w:val="1"/>
      <w:marLeft w:val="0"/>
      <w:marRight w:val="0"/>
      <w:marTop w:val="0"/>
      <w:marBottom w:val="0"/>
      <w:divBdr>
        <w:top w:val="none" w:sz="0" w:space="0" w:color="auto"/>
        <w:left w:val="none" w:sz="0" w:space="0" w:color="auto"/>
        <w:bottom w:val="none" w:sz="0" w:space="0" w:color="auto"/>
        <w:right w:val="none" w:sz="0" w:space="0" w:color="auto"/>
      </w:divBdr>
    </w:div>
    <w:div w:id="2025398999">
      <w:bodyDiv w:val="1"/>
      <w:marLeft w:val="0"/>
      <w:marRight w:val="0"/>
      <w:marTop w:val="0"/>
      <w:marBottom w:val="0"/>
      <w:divBdr>
        <w:top w:val="none" w:sz="0" w:space="0" w:color="auto"/>
        <w:left w:val="none" w:sz="0" w:space="0" w:color="auto"/>
        <w:bottom w:val="none" w:sz="0" w:space="0" w:color="auto"/>
        <w:right w:val="none" w:sz="0" w:space="0" w:color="auto"/>
      </w:divBdr>
    </w:div>
    <w:div w:id="203210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bc.co.uk/news/uk-england-24108665" TargetMode="External"/><Relationship Id="rId18" Type="http://schemas.openxmlformats.org/officeDocument/2006/relationships/hyperlink" Target="http://www.colgate.edu/portaldata/imagegallerywww/21c2da91-dce7-4f08-9879-171e4440e0a4/ImageGallery/Simpson%20happiness%20and%20migration%20draft%20Jan26%202012%20FINAL.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bbc.co.uk/news/uk-politics-38762034" TargetMode="External"/><Relationship Id="rId2" Type="http://schemas.openxmlformats.org/officeDocument/2006/relationships/numbering" Target="numbering.xml"/><Relationship Id="rId16" Type="http://schemas.openxmlformats.org/officeDocument/2006/relationships/hyperlink" Target="http://www.macleans.ca/politics/worldpolitics/in-an-english-market-town-a-political-battle-over-immigr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macleans.ca/politics/worldpolitics/in-an-english-market-town-a-political-battle-over-immigration/" TargetMode="External"/><Relationship Id="rId10" Type="http://schemas.openxmlformats.org/officeDocument/2006/relationships/chart" Target="charts/chart2.xml"/><Relationship Id="rId19" Type="http://schemas.openxmlformats.org/officeDocument/2006/relationships/hyperlink" Target="http://www.theguardian.com/uk/2010/jan/17/eastern-european-uk-migrant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independent.co.uk/news/uk/home-news/brexit-young-people-immigration-reducing-least-important-a7539506.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misweb.co.uk/" TargetMode="External"/><Relationship Id="rId2" Type="http://schemas.openxmlformats.org/officeDocument/2006/relationships/hyperlink" Target="https://www.understandingsociety.ac.uk/" TargetMode="External"/><Relationship Id="rId1" Type="http://schemas.openxmlformats.org/officeDocument/2006/relationships/hyperlink" Target="https://www.gov.uk/government/uploads/system/uploads/attachment_data/file/335088/SingleMarketFree_MovementPersons.pdf" TargetMode="External"/><Relationship Id="rId4" Type="http://schemas.openxmlformats.org/officeDocument/2006/relationships/hyperlink" Target="https://www.nomisweb.co.u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sta-uwe01.campus.ads.uwe.ac.uk\users1$\a-ivlevs\research\happiness_uk\EnvPlanA\r1\Copy%20of%20figu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sta-uwe01.campus.ads.uwe.ac.uk\users1$\a-ivlevs\research\happiness_uk\EnvPlanA\r1\Copy%20of%20figur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nsta-uwe01.campus.ads.uwe.ac.uk\users1$\a-ivlevs\research\happiness_uk\EnvPlanA\r1\Copy%20of%20fig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nsta-uwe01.campus.ads.uwe.ac.uk\users1$\a-ivlevs\research\happiness_uk\EnvPlanA\r1\Copy%20of%20figure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 Age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Sheet1!$J$15</c:f>
              <c:strCache>
                <c:ptCount val="1"/>
                <c:pt idx="0">
                  <c:v>Age 20</c:v>
                </c:pt>
              </c:strCache>
            </c:strRef>
          </c:tx>
          <c:spPr>
            <a:ln w="19050" cap="rnd">
              <a:solidFill>
                <a:schemeClr val="tx1"/>
              </a:solidFill>
              <a:prstDash val="lgDash"/>
              <a:round/>
            </a:ln>
            <a:effectLst/>
          </c:spPr>
          <c:marker>
            <c:symbol val="none"/>
          </c:marker>
          <c:xVal>
            <c:numRef>
              <c:f>Sheet1!$I$16:$I$22</c:f>
              <c:numCache>
                <c:formatCode>General</c:formatCode>
                <c:ptCount val="7"/>
                <c:pt idx="0">
                  <c:v>0</c:v>
                </c:pt>
                <c:pt idx="1">
                  <c:v>1</c:v>
                </c:pt>
                <c:pt idx="2">
                  <c:v>2</c:v>
                </c:pt>
                <c:pt idx="3">
                  <c:v>3</c:v>
                </c:pt>
                <c:pt idx="4">
                  <c:v>4</c:v>
                </c:pt>
                <c:pt idx="5">
                  <c:v>5</c:v>
                </c:pt>
                <c:pt idx="6">
                  <c:v>6</c:v>
                </c:pt>
              </c:numCache>
            </c:numRef>
          </c:xVal>
          <c:yVal>
            <c:numRef>
              <c:f>Sheet1!$J$16:$J$22</c:f>
              <c:numCache>
                <c:formatCode>General</c:formatCode>
                <c:ptCount val="7"/>
                <c:pt idx="0">
                  <c:v>5.085</c:v>
                </c:pt>
                <c:pt idx="1">
                  <c:v>5.220971223021583</c:v>
                </c:pt>
                <c:pt idx="2">
                  <c:v>5.3569424460431661</c:v>
                </c:pt>
                <c:pt idx="3">
                  <c:v>5.4929136690647491</c:v>
                </c:pt>
                <c:pt idx="4">
                  <c:v>5.6288848920863321</c:v>
                </c:pt>
                <c:pt idx="5">
                  <c:v>5.7648561151079152</c:v>
                </c:pt>
                <c:pt idx="6">
                  <c:v>5.9008273381294982</c:v>
                </c:pt>
              </c:numCache>
            </c:numRef>
          </c:yVal>
          <c:smooth val="1"/>
          <c:extLst xmlns:c16r2="http://schemas.microsoft.com/office/drawing/2015/06/chart">
            <c:ext xmlns:c16="http://schemas.microsoft.com/office/drawing/2014/chart" uri="{C3380CC4-5D6E-409C-BE32-E72D297353CC}">
              <c16:uniqueId val="{00000000-E881-409E-A583-34E383570BED}"/>
            </c:ext>
          </c:extLst>
        </c:ser>
        <c:ser>
          <c:idx val="1"/>
          <c:order val="1"/>
          <c:tx>
            <c:strRef>
              <c:f>Sheet1!$K$15</c:f>
              <c:strCache>
                <c:ptCount val="1"/>
                <c:pt idx="0">
                  <c:v>Age 55</c:v>
                </c:pt>
              </c:strCache>
            </c:strRef>
          </c:tx>
          <c:spPr>
            <a:ln w="19050" cap="rnd">
              <a:solidFill>
                <a:schemeClr val="tx1"/>
              </a:solidFill>
              <a:prstDash val="sysDash"/>
              <a:round/>
            </a:ln>
            <a:effectLst/>
          </c:spPr>
          <c:marker>
            <c:symbol val="none"/>
          </c:marker>
          <c:xVal>
            <c:numRef>
              <c:f>Sheet1!$I$16:$I$22</c:f>
              <c:numCache>
                <c:formatCode>General</c:formatCode>
                <c:ptCount val="7"/>
                <c:pt idx="0">
                  <c:v>0</c:v>
                </c:pt>
                <c:pt idx="1">
                  <c:v>1</c:v>
                </c:pt>
                <c:pt idx="2">
                  <c:v>2</c:v>
                </c:pt>
                <c:pt idx="3">
                  <c:v>3</c:v>
                </c:pt>
                <c:pt idx="4">
                  <c:v>4</c:v>
                </c:pt>
                <c:pt idx="5">
                  <c:v>5</c:v>
                </c:pt>
                <c:pt idx="6">
                  <c:v>6</c:v>
                </c:pt>
              </c:numCache>
            </c:numRef>
          </c:xVal>
          <c:yVal>
            <c:numRef>
              <c:f>Sheet1!$K$16:$K$22</c:f>
              <c:numCache>
                <c:formatCode>General</c:formatCode>
                <c:ptCount val="7"/>
                <c:pt idx="0">
                  <c:v>5.1890000000000001</c:v>
                </c:pt>
                <c:pt idx="1">
                  <c:v>5.1893597122302157</c:v>
                </c:pt>
                <c:pt idx="2">
                  <c:v>5.1897194244604314</c:v>
                </c:pt>
                <c:pt idx="3">
                  <c:v>5.1900791366906471</c:v>
                </c:pt>
                <c:pt idx="4">
                  <c:v>5.1904388489208628</c:v>
                </c:pt>
                <c:pt idx="5">
                  <c:v>5.1907985611510785</c:v>
                </c:pt>
                <c:pt idx="6">
                  <c:v>5.1911582733812942</c:v>
                </c:pt>
              </c:numCache>
            </c:numRef>
          </c:yVal>
          <c:smooth val="1"/>
          <c:extLst xmlns:c16r2="http://schemas.microsoft.com/office/drawing/2015/06/chart">
            <c:ext xmlns:c16="http://schemas.microsoft.com/office/drawing/2014/chart" uri="{C3380CC4-5D6E-409C-BE32-E72D297353CC}">
              <c16:uniqueId val="{00000001-E881-409E-A583-34E383570BED}"/>
            </c:ext>
          </c:extLst>
        </c:ser>
        <c:ser>
          <c:idx val="2"/>
          <c:order val="2"/>
          <c:tx>
            <c:strRef>
              <c:f>Sheet1!$L$15</c:f>
              <c:strCache>
                <c:ptCount val="1"/>
                <c:pt idx="0">
                  <c:v>Age 80</c:v>
                </c:pt>
              </c:strCache>
            </c:strRef>
          </c:tx>
          <c:spPr>
            <a:ln w="19050" cap="rnd">
              <a:solidFill>
                <a:schemeClr val="tx1"/>
              </a:solidFill>
              <a:round/>
            </a:ln>
            <a:effectLst/>
          </c:spPr>
          <c:marker>
            <c:symbol val="none"/>
          </c:marker>
          <c:xVal>
            <c:numRef>
              <c:f>Sheet1!$I$16:$I$22</c:f>
              <c:numCache>
                <c:formatCode>General</c:formatCode>
                <c:ptCount val="7"/>
                <c:pt idx="0">
                  <c:v>0</c:v>
                </c:pt>
                <c:pt idx="1">
                  <c:v>1</c:v>
                </c:pt>
                <c:pt idx="2">
                  <c:v>2</c:v>
                </c:pt>
                <c:pt idx="3">
                  <c:v>3</c:v>
                </c:pt>
                <c:pt idx="4">
                  <c:v>4</c:v>
                </c:pt>
                <c:pt idx="5">
                  <c:v>5</c:v>
                </c:pt>
                <c:pt idx="6">
                  <c:v>6</c:v>
                </c:pt>
              </c:numCache>
            </c:numRef>
          </c:xVal>
          <c:yVal>
            <c:numRef>
              <c:f>Sheet1!$L$16:$L$22</c:f>
              <c:numCache>
                <c:formatCode>General</c:formatCode>
                <c:ptCount val="7"/>
                <c:pt idx="0">
                  <c:v>5.6929999999999996</c:v>
                </c:pt>
                <c:pt idx="1">
                  <c:v>5.5965971223021578</c:v>
                </c:pt>
                <c:pt idx="2">
                  <c:v>5.5001942446043159</c:v>
                </c:pt>
                <c:pt idx="3">
                  <c:v>5.4037913669064741</c:v>
                </c:pt>
                <c:pt idx="4">
                  <c:v>5.3073884892086323</c:v>
                </c:pt>
                <c:pt idx="5">
                  <c:v>5.2109856115107904</c:v>
                </c:pt>
                <c:pt idx="6">
                  <c:v>5.1145827338129486</c:v>
                </c:pt>
              </c:numCache>
            </c:numRef>
          </c:yVal>
          <c:smooth val="1"/>
          <c:extLst xmlns:c16r2="http://schemas.microsoft.com/office/drawing/2015/06/chart">
            <c:ext xmlns:c16="http://schemas.microsoft.com/office/drawing/2014/chart" uri="{C3380CC4-5D6E-409C-BE32-E72D297353CC}">
              <c16:uniqueId val="{00000002-E881-409E-A583-34E383570BED}"/>
            </c:ext>
          </c:extLst>
        </c:ser>
        <c:dLbls>
          <c:showLegendKey val="0"/>
          <c:showVal val="0"/>
          <c:showCatName val="0"/>
          <c:showSerName val="0"/>
          <c:showPercent val="0"/>
          <c:showBubbleSize val="0"/>
        </c:dLbls>
        <c:axId val="152477960"/>
        <c:axId val="152485512"/>
      </c:scatterChart>
      <c:valAx>
        <c:axId val="152477960"/>
        <c:scaling>
          <c:orientation val="minMax"/>
          <c:max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Local immigration</a:t>
                </a:r>
                <a:r>
                  <a:rPr lang="en-GB" baseline="0"/>
                  <a:t> rate (in %)</a:t>
                </a:r>
                <a:endParaRPr lang="en-GB"/>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485512"/>
        <c:crosses val="autoZero"/>
        <c:crossBetween val="midCat"/>
        <c:majorUnit val="1"/>
      </c:valAx>
      <c:valAx>
        <c:axId val="152485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Predicted  life  satisfaction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47796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 Employment status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904050428599472"/>
          <c:y val="0.18694556451612904"/>
          <c:w val="0.71964832304549187"/>
          <c:h val="0.44181681800863604"/>
        </c:manualLayout>
      </c:layout>
      <c:scatterChart>
        <c:scatterStyle val="smoothMarker"/>
        <c:varyColors val="0"/>
        <c:ser>
          <c:idx val="0"/>
          <c:order val="0"/>
          <c:tx>
            <c:strRef>
              <c:f>Sheet1!$O$15</c:f>
              <c:strCache>
                <c:ptCount val="1"/>
                <c:pt idx="0">
                  <c:v>Employed</c:v>
                </c:pt>
              </c:strCache>
            </c:strRef>
          </c:tx>
          <c:spPr>
            <a:ln w="19050" cap="rnd">
              <a:solidFill>
                <a:schemeClr val="tx1"/>
              </a:solidFill>
              <a:prstDash val="lgDash"/>
              <a:round/>
            </a:ln>
            <a:effectLst/>
          </c:spPr>
          <c:marker>
            <c:symbol val="none"/>
          </c:marker>
          <c:xVal>
            <c:numRef>
              <c:f>Sheet1!$N$16:$N$22</c:f>
              <c:numCache>
                <c:formatCode>General</c:formatCode>
                <c:ptCount val="7"/>
                <c:pt idx="0">
                  <c:v>0</c:v>
                </c:pt>
                <c:pt idx="1">
                  <c:v>1</c:v>
                </c:pt>
                <c:pt idx="2">
                  <c:v>2</c:v>
                </c:pt>
                <c:pt idx="3">
                  <c:v>3</c:v>
                </c:pt>
                <c:pt idx="4">
                  <c:v>4</c:v>
                </c:pt>
                <c:pt idx="5">
                  <c:v>5</c:v>
                </c:pt>
                <c:pt idx="6">
                  <c:v>6</c:v>
                </c:pt>
              </c:numCache>
            </c:numRef>
          </c:xVal>
          <c:yVal>
            <c:numRef>
              <c:f>Sheet1!$O$16:$O$22</c:f>
              <c:numCache>
                <c:formatCode>General</c:formatCode>
                <c:ptCount val="7"/>
                <c:pt idx="0">
                  <c:v>5.2270000000000003</c:v>
                </c:pt>
                <c:pt idx="1">
                  <c:v>5.3275395683453244</c:v>
                </c:pt>
                <c:pt idx="2">
                  <c:v>5.4280791366906485</c:v>
                </c:pt>
                <c:pt idx="3">
                  <c:v>5.5286187050359725</c:v>
                </c:pt>
                <c:pt idx="4">
                  <c:v>5.6291582733812966</c:v>
                </c:pt>
                <c:pt idx="5">
                  <c:v>5.7296978417266207</c:v>
                </c:pt>
                <c:pt idx="6">
                  <c:v>5.8302374100719447</c:v>
                </c:pt>
              </c:numCache>
            </c:numRef>
          </c:yVal>
          <c:smooth val="1"/>
          <c:extLst xmlns:c16r2="http://schemas.microsoft.com/office/drawing/2015/06/chart">
            <c:ext xmlns:c16="http://schemas.microsoft.com/office/drawing/2014/chart" uri="{C3380CC4-5D6E-409C-BE32-E72D297353CC}">
              <c16:uniqueId val="{00000000-406F-482C-9D2E-29D1BA3BA68F}"/>
            </c:ext>
          </c:extLst>
        </c:ser>
        <c:ser>
          <c:idx val="1"/>
          <c:order val="1"/>
          <c:tx>
            <c:strRef>
              <c:f>Sheet1!$P$15</c:f>
              <c:strCache>
                <c:ptCount val="1"/>
                <c:pt idx="0">
                  <c:v>Unemployed</c:v>
                </c:pt>
              </c:strCache>
            </c:strRef>
          </c:tx>
          <c:spPr>
            <a:ln w="19050" cap="rnd">
              <a:solidFill>
                <a:schemeClr val="tx1"/>
              </a:solidFill>
              <a:round/>
            </a:ln>
            <a:effectLst/>
          </c:spPr>
          <c:marker>
            <c:symbol val="none"/>
          </c:marker>
          <c:xVal>
            <c:numRef>
              <c:f>Sheet1!$N$16:$N$22</c:f>
              <c:numCache>
                <c:formatCode>General</c:formatCode>
                <c:ptCount val="7"/>
                <c:pt idx="0">
                  <c:v>0</c:v>
                </c:pt>
                <c:pt idx="1">
                  <c:v>1</c:v>
                </c:pt>
                <c:pt idx="2">
                  <c:v>2</c:v>
                </c:pt>
                <c:pt idx="3">
                  <c:v>3</c:v>
                </c:pt>
                <c:pt idx="4">
                  <c:v>4</c:v>
                </c:pt>
                <c:pt idx="5">
                  <c:v>5</c:v>
                </c:pt>
                <c:pt idx="6">
                  <c:v>6</c:v>
                </c:pt>
              </c:numCache>
            </c:numRef>
          </c:xVal>
          <c:yVal>
            <c:numRef>
              <c:f>Sheet1!$P$16:$P$22</c:f>
              <c:numCache>
                <c:formatCode>General</c:formatCode>
                <c:ptCount val="7"/>
                <c:pt idx="0">
                  <c:v>4.6210000000000004</c:v>
                </c:pt>
                <c:pt idx="1">
                  <c:v>4.4598489208633101</c:v>
                </c:pt>
                <c:pt idx="2">
                  <c:v>4.2986978417266197</c:v>
                </c:pt>
                <c:pt idx="3">
                  <c:v>4.1375467625899294</c:v>
                </c:pt>
                <c:pt idx="4">
                  <c:v>3.9763956834532386</c:v>
                </c:pt>
                <c:pt idx="5">
                  <c:v>3.8152446043165478</c:v>
                </c:pt>
                <c:pt idx="6">
                  <c:v>3.654093525179857</c:v>
                </c:pt>
              </c:numCache>
            </c:numRef>
          </c:yVal>
          <c:smooth val="1"/>
          <c:extLst xmlns:c16r2="http://schemas.microsoft.com/office/drawing/2015/06/chart">
            <c:ext xmlns:c16="http://schemas.microsoft.com/office/drawing/2014/chart" uri="{C3380CC4-5D6E-409C-BE32-E72D297353CC}">
              <c16:uniqueId val="{00000001-406F-482C-9D2E-29D1BA3BA68F}"/>
            </c:ext>
          </c:extLst>
        </c:ser>
        <c:ser>
          <c:idx val="2"/>
          <c:order val="2"/>
          <c:tx>
            <c:strRef>
              <c:f>Sheet1!$Q$15</c:f>
              <c:strCache>
                <c:ptCount val="1"/>
                <c:pt idx="0">
                  <c:v>Inactive</c:v>
                </c:pt>
              </c:strCache>
            </c:strRef>
          </c:tx>
          <c:spPr>
            <a:ln w="19050" cap="rnd">
              <a:solidFill>
                <a:schemeClr val="tx1"/>
              </a:solidFill>
              <a:prstDash val="sysDash"/>
              <a:round/>
            </a:ln>
            <a:effectLst/>
          </c:spPr>
          <c:marker>
            <c:symbol val="none"/>
          </c:marker>
          <c:xVal>
            <c:numRef>
              <c:f>Sheet1!$N$16:$N$22</c:f>
              <c:numCache>
                <c:formatCode>General</c:formatCode>
                <c:ptCount val="7"/>
                <c:pt idx="0">
                  <c:v>0</c:v>
                </c:pt>
                <c:pt idx="1">
                  <c:v>1</c:v>
                </c:pt>
                <c:pt idx="2">
                  <c:v>2</c:v>
                </c:pt>
                <c:pt idx="3">
                  <c:v>3</c:v>
                </c:pt>
                <c:pt idx="4">
                  <c:v>4</c:v>
                </c:pt>
                <c:pt idx="5">
                  <c:v>5</c:v>
                </c:pt>
                <c:pt idx="6">
                  <c:v>6</c:v>
                </c:pt>
              </c:numCache>
            </c:numRef>
          </c:xVal>
          <c:yVal>
            <c:numRef>
              <c:f>Sheet1!$Q$16:$Q$22</c:f>
              <c:numCache>
                <c:formatCode>General</c:formatCode>
                <c:ptCount val="7"/>
                <c:pt idx="0">
                  <c:v>5.2380000000000004</c:v>
                </c:pt>
                <c:pt idx="1">
                  <c:v>5.1757697841726626</c:v>
                </c:pt>
                <c:pt idx="2">
                  <c:v>5.1135395683453249</c:v>
                </c:pt>
                <c:pt idx="3">
                  <c:v>5.0513093525179871</c:v>
                </c:pt>
                <c:pt idx="4">
                  <c:v>4.9890791366906493</c:v>
                </c:pt>
                <c:pt idx="5">
                  <c:v>4.9268489208633115</c:v>
                </c:pt>
                <c:pt idx="6">
                  <c:v>4.8646187050359737</c:v>
                </c:pt>
              </c:numCache>
            </c:numRef>
          </c:yVal>
          <c:smooth val="1"/>
          <c:extLst xmlns:c16r2="http://schemas.microsoft.com/office/drawing/2015/06/chart">
            <c:ext xmlns:c16="http://schemas.microsoft.com/office/drawing/2014/chart" uri="{C3380CC4-5D6E-409C-BE32-E72D297353CC}">
              <c16:uniqueId val="{00000002-406F-482C-9D2E-29D1BA3BA68F}"/>
            </c:ext>
          </c:extLst>
        </c:ser>
        <c:dLbls>
          <c:showLegendKey val="0"/>
          <c:showVal val="0"/>
          <c:showCatName val="0"/>
          <c:showSerName val="0"/>
          <c:showPercent val="0"/>
          <c:showBubbleSize val="0"/>
        </c:dLbls>
        <c:axId val="152370808"/>
        <c:axId val="152371192"/>
      </c:scatterChart>
      <c:valAx>
        <c:axId val="152370808"/>
        <c:scaling>
          <c:orientation val="minMax"/>
          <c:max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effectLst/>
                  </a:rPr>
                  <a:t>Local immigration rate (in %)</a:t>
                </a:r>
                <a:endParaRPr lang="en-GB" sz="1000">
                  <a:effectLst/>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371192"/>
        <c:crosses val="autoZero"/>
        <c:crossBetween val="midCat"/>
        <c:majorUnit val="1"/>
      </c:valAx>
      <c:valAx>
        <c:axId val="152371192"/>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Predicted </a:t>
                </a:r>
                <a:r>
                  <a:rPr lang="en-GB" baseline="0"/>
                  <a:t> life  satisfaction</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370808"/>
        <c:crosses val="autoZero"/>
        <c:crossBetween val="midCat"/>
      </c:valAx>
      <c:spPr>
        <a:noFill/>
        <a:ln>
          <a:noFill/>
        </a:ln>
        <a:effectLst/>
      </c:spPr>
    </c:plotArea>
    <c:legend>
      <c:legendPos val="b"/>
      <c:layout>
        <c:manualLayout>
          <c:xMode val="edge"/>
          <c:yMode val="edge"/>
          <c:x val="0.13758006703455697"/>
          <c:y val="0.85760969646939278"/>
          <c:w val="0.82640957968896533"/>
          <c:h val="0.11214836804673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 Income level</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526122350828915"/>
          <c:y val="0.17201156279601729"/>
          <c:w val="0.74116339417912191"/>
          <c:h val="0.4799498348996698"/>
        </c:manualLayout>
      </c:layout>
      <c:scatterChart>
        <c:scatterStyle val="smoothMarker"/>
        <c:varyColors val="0"/>
        <c:ser>
          <c:idx val="0"/>
          <c:order val="0"/>
          <c:tx>
            <c:strRef>
              <c:f>Sheet1!$U$15</c:f>
              <c:strCache>
                <c:ptCount val="1"/>
                <c:pt idx="0">
                  <c:v>10th percentlile </c:v>
                </c:pt>
              </c:strCache>
            </c:strRef>
          </c:tx>
          <c:spPr>
            <a:ln w="19050" cap="rnd">
              <a:solidFill>
                <a:schemeClr val="tx1"/>
              </a:solidFill>
              <a:round/>
            </a:ln>
            <a:effectLst/>
          </c:spPr>
          <c:marker>
            <c:symbol val="none"/>
          </c:marker>
          <c:xVal>
            <c:numRef>
              <c:f>Sheet1!$T$16:$T$22</c:f>
              <c:numCache>
                <c:formatCode>General</c:formatCode>
                <c:ptCount val="7"/>
                <c:pt idx="0">
                  <c:v>0</c:v>
                </c:pt>
                <c:pt idx="1">
                  <c:v>1</c:v>
                </c:pt>
                <c:pt idx="2">
                  <c:v>2</c:v>
                </c:pt>
                <c:pt idx="3">
                  <c:v>3</c:v>
                </c:pt>
                <c:pt idx="4">
                  <c:v>4</c:v>
                </c:pt>
                <c:pt idx="5">
                  <c:v>5</c:v>
                </c:pt>
                <c:pt idx="6">
                  <c:v>6</c:v>
                </c:pt>
              </c:numCache>
            </c:numRef>
          </c:xVal>
          <c:yVal>
            <c:numRef>
              <c:f>Sheet1!$U$16:$U$22</c:f>
              <c:numCache>
                <c:formatCode>General</c:formatCode>
                <c:ptCount val="7"/>
                <c:pt idx="0">
                  <c:v>5.1639999999999997</c:v>
                </c:pt>
                <c:pt idx="1">
                  <c:v>5.1139999999999999</c:v>
                </c:pt>
                <c:pt idx="2">
                  <c:v>5.0640000000000001</c:v>
                </c:pt>
                <c:pt idx="3">
                  <c:v>5.0140000000000002</c:v>
                </c:pt>
                <c:pt idx="4">
                  <c:v>4.9640000000000004</c:v>
                </c:pt>
                <c:pt idx="5">
                  <c:v>4.9140000000000006</c:v>
                </c:pt>
                <c:pt idx="6">
                  <c:v>4.8640000000000008</c:v>
                </c:pt>
              </c:numCache>
            </c:numRef>
          </c:yVal>
          <c:smooth val="1"/>
          <c:extLst xmlns:c16r2="http://schemas.microsoft.com/office/drawing/2015/06/chart">
            <c:ext xmlns:c16="http://schemas.microsoft.com/office/drawing/2014/chart" uri="{C3380CC4-5D6E-409C-BE32-E72D297353CC}">
              <c16:uniqueId val="{00000000-2BA7-41BD-93E7-47A8D6AFE773}"/>
            </c:ext>
          </c:extLst>
        </c:ser>
        <c:ser>
          <c:idx val="1"/>
          <c:order val="1"/>
          <c:tx>
            <c:strRef>
              <c:f>Sheet1!$V$15</c:f>
              <c:strCache>
                <c:ptCount val="1"/>
                <c:pt idx="0">
                  <c:v>Median</c:v>
                </c:pt>
              </c:strCache>
            </c:strRef>
          </c:tx>
          <c:spPr>
            <a:ln w="19050" cap="rnd">
              <a:solidFill>
                <a:schemeClr val="tx1"/>
              </a:solidFill>
              <a:prstDash val="sysDash"/>
              <a:round/>
            </a:ln>
            <a:effectLst/>
          </c:spPr>
          <c:marker>
            <c:symbol val="none"/>
          </c:marker>
          <c:xVal>
            <c:numRef>
              <c:f>Sheet1!$T$16:$T$22</c:f>
              <c:numCache>
                <c:formatCode>General</c:formatCode>
                <c:ptCount val="7"/>
                <c:pt idx="0">
                  <c:v>0</c:v>
                </c:pt>
                <c:pt idx="1">
                  <c:v>1</c:v>
                </c:pt>
                <c:pt idx="2">
                  <c:v>2</c:v>
                </c:pt>
                <c:pt idx="3">
                  <c:v>3</c:v>
                </c:pt>
                <c:pt idx="4">
                  <c:v>4</c:v>
                </c:pt>
                <c:pt idx="5">
                  <c:v>5</c:v>
                </c:pt>
                <c:pt idx="6">
                  <c:v>6</c:v>
                </c:pt>
              </c:numCache>
            </c:numRef>
          </c:xVal>
          <c:yVal>
            <c:numRef>
              <c:f>Sheet1!$V$16:$V$22</c:f>
              <c:numCache>
                <c:formatCode>General</c:formatCode>
                <c:ptCount val="7"/>
                <c:pt idx="0">
                  <c:v>5.2089999999999996</c:v>
                </c:pt>
                <c:pt idx="1">
                  <c:v>5.2302230215827334</c:v>
                </c:pt>
                <c:pt idx="2">
                  <c:v>5.2514460431654673</c:v>
                </c:pt>
                <c:pt idx="3">
                  <c:v>5.2726690647482011</c:v>
                </c:pt>
                <c:pt idx="4">
                  <c:v>5.2938920863309349</c:v>
                </c:pt>
                <c:pt idx="5">
                  <c:v>5.3151151079136687</c:v>
                </c:pt>
                <c:pt idx="6">
                  <c:v>5.3363381294964025</c:v>
                </c:pt>
              </c:numCache>
            </c:numRef>
          </c:yVal>
          <c:smooth val="1"/>
          <c:extLst xmlns:c16r2="http://schemas.microsoft.com/office/drawing/2015/06/chart">
            <c:ext xmlns:c16="http://schemas.microsoft.com/office/drawing/2014/chart" uri="{C3380CC4-5D6E-409C-BE32-E72D297353CC}">
              <c16:uniqueId val="{00000001-2BA7-41BD-93E7-47A8D6AFE773}"/>
            </c:ext>
          </c:extLst>
        </c:ser>
        <c:ser>
          <c:idx val="2"/>
          <c:order val="2"/>
          <c:tx>
            <c:strRef>
              <c:f>Sheet1!$W$15</c:f>
              <c:strCache>
                <c:ptCount val="1"/>
                <c:pt idx="0">
                  <c:v>90th percentile</c:v>
                </c:pt>
              </c:strCache>
            </c:strRef>
          </c:tx>
          <c:spPr>
            <a:ln w="19050" cap="rnd">
              <a:solidFill>
                <a:schemeClr val="tx1"/>
              </a:solidFill>
              <a:prstDash val="lgDash"/>
              <a:round/>
            </a:ln>
            <a:effectLst/>
          </c:spPr>
          <c:marker>
            <c:symbol val="none"/>
          </c:marker>
          <c:xVal>
            <c:numRef>
              <c:f>Sheet1!$T$16:$T$22</c:f>
              <c:numCache>
                <c:formatCode>General</c:formatCode>
                <c:ptCount val="7"/>
                <c:pt idx="0">
                  <c:v>0</c:v>
                </c:pt>
                <c:pt idx="1">
                  <c:v>1</c:v>
                </c:pt>
                <c:pt idx="2">
                  <c:v>2</c:v>
                </c:pt>
                <c:pt idx="3">
                  <c:v>3</c:v>
                </c:pt>
                <c:pt idx="4">
                  <c:v>4</c:v>
                </c:pt>
                <c:pt idx="5">
                  <c:v>5</c:v>
                </c:pt>
                <c:pt idx="6">
                  <c:v>6</c:v>
                </c:pt>
              </c:numCache>
            </c:numRef>
          </c:xVal>
          <c:yVal>
            <c:numRef>
              <c:f>Sheet1!$W$16:$W$22</c:f>
              <c:numCache>
                <c:formatCode>General</c:formatCode>
                <c:ptCount val="7"/>
                <c:pt idx="0">
                  <c:v>5.2690000000000001</c:v>
                </c:pt>
                <c:pt idx="1">
                  <c:v>5.3382446043165466</c:v>
                </c:pt>
                <c:pt idx="2">
                  <c:v>5.407489208633093</c:v>
                </c:pt>
                <c:pt idx="3">
                  <c:v>5.4767338129496395</c:v>
                </c:pt>
                <c:pt idx="4">
                  <c:v>5.5459784172661859</c:v>
                </c:pt>
                <c:pt idx="5">
                  <c:v>5.6152230215827323</c:v>
                </c:pt>
                <c:pt idx="6">
                  <c:v>5.6844676258992788</c:v>
                </c:pt>
              </c:numCache>
            </c:numRef>
          </c:yVal>
          <c:smooth val="1"/>
          <c:extLst xmlns:c16r2="http://schemas.microsoft.com/office/drawing/2015/06/chart">
            <c:ext xmlns:c16="http://schemas.microsoft.com/office/drawing/2014/chart" uri="{C3380CC4-5D6E-409C-BE32-E72D297353CC}">
              <c16:uniqueId val="{00000002-2BA7-41BD-93E7-47A8D6AFE773}"/>
            </c:ext>
          </c:extLst>
        </c:ser>
        <c:dLbls>
          <c:showLegendKey val="0"/>
          <c:showVal val="0"/>
          <c:showCatName val="0"/>
          <c:showSerName val="0"/>
          <c:showPercent val="0"/>
          <c:showBubbleSize val="0"/>
        </c:dLbls>
        <c:axId val="152100856"/>
        <c:axId val="152109432"/>
      </c:scatterChart>
      <c:valAx>
        <c:axId val="152100856"/>
        <c:scaling>
          <c:orientation val="minMax"/>
          <c:max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Local immigration rate (in %)</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09432"/>
        <c:crosses val="autoZero"/>
        <c:crossBetween val="midCat"/>
        <c:majorUnit val="1"/>
      </c:valAx>
      <c:valAx>
        <c:axId val="152109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1000" b="0" i="0" baseline="0">
                    <a:effectLst/>
                  </a:rPr>
                  <a:t>Predicted  life  satisfaction</a:t>
                </a:r>
                <a:endParaRPr lang="en-GB"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sz="1000"/>
              </a:p>
            </c:rich>
          </c:tx>
          <c:layout>
            <c:manualLayout>
              <c:xMode val="edge"/>
              <c:yMode val="edge"/>
              <c:x val="2.8240035857539342E-2"/>
              <c:y val="0.15809852185808115"/>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00856"/>
        <c:crosses val="autoZero"/>
        <c:crossBetween val="midCat"/>
      </c:valAx>
      <c:spPr>
        <a:noFill/>
        <a:ln>
          <a:solidFill>
            <a:schemeClr val="tx1"/>
          </a:solidFill>
          <a:prstDash val="solid"/>
        </a:ln>
        <a:effectLst/>
      </c:spPr>
    </c:plotArea>
    <c:legend>
      <c:legendPos val="b"/>
      <c:layout>
        <c:manualLayout>
          <c:xMode val="edge"/>
          <c:yMode val="edge"/>
          <c:x val="6.4853661111697658E-2"/>
          <c:y val="0.83744840614681226"/>
          <c:w val="0.89852095940371601"/>
          <c:h val="0.15247094869189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 Education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1"/>
          <c:order val="0"/>
          <c:tx>
            <c:strRef>
              <c:f>Sheet1!$AB$15</c:f>
              <c:strCache>
                <c:ptCount val="1"/>
                <c:pt idx="0">
                  <c:v>Further education</c:v>
                </c:pt>
              </c:strCache>
            </c:strRef>
          </c:tx>
          <c:spPr>
            <a:ln w="19050" cap="rnd">
              <a:solidFill>
                <a:schemeClr val="tx1"/>
              </a:solidFill>
              <a:prstDash val="sysDash"/>
              <a:round/>
            </a:ln>
            <a:effectLst/>
          </c:spPr>
          <c:marker>
            <c:symbol val="none"/>
          </c:marker>
          <c:xVal>
            <c:numRef>
              <c:f>Sheet1!$Z$16:$Z$22</c:f>
              <c:numCache>
                <c:formatCode>General</c:formatCode>
                <c:ptCount val="7"/>
                <c:pt idx="0">
                  <c:v>0</c:v>
                </c:pt>
                <c:pt idx="1">
                  <c:v>1</c:v>
                </c:pt>
                <c:pt idx="2">
                  <c:v>2</c:v>
                </c:pt>
                <c:pt idx="3">
                  <c:v>3</c:v>
                </c:pt>
                <c:pt idx="4">
                  <c:v>4</c:v>
                </c:pt>
                <c:pt idx="5">
                  <c:v>5</c:v>
                </c:pt>
                <c:pt idx="6">
                  <c:v>6</c:v>
                </c:pt>
              </c:numCache>
            </c:numRef>
          </c:xVal>
          <c:yVal>
            <c:numRef>
              <c:f>Sheet1!$AB$16:$AB$22</c:f>
              <c:numCache>
                <c:formatCode>General</c:formatCode>
                <c:ptCount val="7"/>
                <c:pt idx="0">
                  <c:v>5.1920000000000002</c:v>
                </c:pt>
                <c:pt idx="1">
                  <c:v>5.2580071942446045</c:v>
                </c:pt>
                <c:pt idx="2">
                  <c:v>5.3240143884892088</c:v>
                </c:pt>
                <c:pt idx="3">
                  <c:v>5.3900215827338132</c:v>
                </c:pt>
                <c:pt idx="4">
                  <c:v>5.4560287769784175</c:v>
                </c:pt>
                <c:pt idx="5">
                  <c:v>5.5220359712230218</c:v>
                </c:pt>
                <c:pt idx="6">
                  <c:v>5.5880431654676261</c:v>
                </c:pt>
              </c:numCache>
            </c:numRef>
          </c:yVal>
          <c:smooth val="1"/>
          <c:extLst xmlns:c16r2="http://schemas.microsoft.com/office/drawing/2015/06/chart">
            <c:ext xmlns:c16="http://schemas.microsoft.com/office/drawing/2014/chart" uri="{C3380CC4-5D6E-409C-BE32-E72D297353CC}">
              <c16:uniqueId val="{00000000-6351-4DE8-859A-3ED4E0581DF0}"/>
            </c:ext>
          </c:extLst>
        </c:ser>
        <c:ser>
          <c:idx val="2"/>
          <c:order val="1"/>
          <c:tx>
            <c:strRef>
              <c:f>Sheet1!$AC$15</c:f>
              <c:strCache>
                <c:ptCount val="1"/>
                <c:pt idx="0">
                  <c:v>A levels</c:v>
                </c:pt>
              </c:strCache>
            </c:strRef>
          </c:tx>
          <c:spPr>
            <a:ln w="19050" cap="rnd">
              <a:solidFill>
                <a:schemeClr val="tx1"/>
              </a:solidFill>
              <a:prstDash val="lgDash"/>
              <a:round/>
            </a:ln>
            <a:effectLst/>
          </c:spPr>
          <c:marker>
            <c:symbol val="none"/>
          </c:marker>
          <c:xVal>
            <c:numRef>
              <c:f>Sheet1!$Z$16:$Z$22</c:f>
              <c:numCache>
                <c:formatCode>General</c:formatCode>
                <c:ptCount val="7"/>
                <c:pt idx="0">
                  <c:v>0</c:v>
                </c:pt>
                <c:pt idx="1">
                  <c:v>1</c:v>
                </c:pt>
                <c:pt idx="2">
                  <c:v>2</c:v>
                </c:pt>
                <c:pt idx="3">
                  <c:v>3</c:v>
                </c:pt>
                <c:pt idx="4">
                  <c:v>4</c:v>
                </c:pt>
                <c:pt idx="5">
                  <c:v>5</c:v>
                </c:pt>
                <c:pt idx="6">
                  <c:v>6</c:v>
                </c:pt>
              </c:numCache>
            </c:numRef>
          </c:xVal>
          <c:yVal>
            <c:numRef>
              <c:f>Sheet1!$AC$16:$AC$22</c:f>
              <c:numCache>
                <c:formatCode>General</c:formatCode>
                <c:ptCount val="7"/>
                <c:pt idx="0">
                  <c:v>5.1760000000000002</c:v>
                </c:pt>
                <c:pt idx="1">
                  <c:v>5.3036978417266187</c:v>
                </c:pt>
                <c:pt idx="2">
                  <c:v>5.4313956834532373</c:v>
                </c:pt>
                <c:pt idx="3">
                  <c:v>5.5590935251798559</c:v>
                </c:pt>
                <c:pt idx="4">
                  <c:v>5.6867913669064745</c:v>
                </c:pt>
                <c:pt idx="5">
                  <c:v>5.814489208633093</c:v>
                </c:pt>
                <c:pt idx="6">
                  <c:v>5.9421870503597116</c:v>
                </c:pt>
              </c:numCache>
            </c:numRef>
          </c:yVal>
          <c:smooth val="1"/>
          <c:extLst xmlns:c16r2="http://schemas.microsoft.com/office/drawing/2015/06/chart">
            <c:ext xmlns:c16="http://schemas.microsoft.com/office/drawing/2014/chart" uri="{C3380CC4-5D6E-409C-BE32-E72D297353CC}">
              <c16:uniqueId val="{00000001-6351-4DE8-859A-3ED4E0581DF0}"/>
            </c:ext>
          </c:extLst>
        </c:ser>
        <c:dLbls>
          <c:showLegendKey val="0"/>
          <c:showVal val="0"/>
          <c:showCatName val="0"/>
          <c:showSerName val="0"/>
          <c:showPercent val="0"/>
          <c:showBubbleSize val="0"/>
        </c:dLbls>
        <c:axId val="152919808"/>
        <c:axId val="152922240"/>
      </c:scatterChart>
      <c:valAx>
        <c:axId val="152919808"/>
        <c:scaling>
          <c:orientation val="minMax"/>
          <c:max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effectLst/>
                  </a:rPr>
                  <a:t>Local immigration rate (in %)</a:t>
                </a:r>
                <a:endParaRPr lang="en-GB" sz="1000">
                  <a:effectLst/>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922240"/>
        <c:crosses val="autoZero"/>
        <c:crossBetween val="midCat"/>
        <c:majorUnit val="1"/>
      </c:valAx>
      <c:valAx>
        <c:axId val="152922240"/>
        <c:scaling>
          <c:orientation val="minMax"/>
          <c:max val="6.1"/>
          <c:min val="5.099999999999999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baseline="0">
                    <a:effectLst/>
                  </a:rPr>
                  <a:t>Predicted  life  satisfaction</a:t>
                </a:r>
                <a:endParaRPr lang="en-GB" sz="1000">
                  <a:effectLst/>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919808"/>
        <c:crosses val="autoZero"/>
        <c:crossBetween val="midCat"/>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B1E50-5E0C-475B-A29D-85B1AB79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8120</Words>
  <Characters>46288</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54300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artjoms</dc:creator>
  <cp:lastModifiedBy>Balfour S.</cp:lastModifiedBy>
  <cp:revision>2</cp:revision>
  <cp:lastPrinted>2017-05-08T11:39:00Z</cp:lastPrinted>
  <dcterms:created xsi:type="dcterms:W3CDTF">2017-10-11T09:39:00Z</dcterms:created>
  <dcterms:modified xsi:type="dcterms:W3CDTF">2017-10-11T09:39:00Z</dcterms:modified>
</cp:coreProperties>
</file>