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602AE" w14:textId="77777777" w:rsidR="00E1779F" w:rsidRPr="008A08FA" w:rsidRDefault="00E1779F" w:rsidP="008A08FA">
      <w:pPr>
        <w:spacing w:after="120" w:line="480" w:lineRule="auto"/>
        <w:rPr>
          <w:rFonts w:ascii="Cambria" w:hAnsi="Cambria"/>
          <w:b/>
        </w:rPr>
      </w:pPr>
      <w:bookmarkStart w:id="0" w:name="_GoBack"/>
      <w:bookmarkEnd w:id="0"/>
      <w:r w:rsidRPr="008A08FA">
        <w:rPr>
          <w:rFonts w:ascii="Cambria" w:hAnsi="Cambria"/>
          <w:b/>
        </w:rPr>
        <w:t>Reducing early-career general practitioners’ antibiotic prescribing for respiratory tract infections: a pragmatic prospective non-randomised controlled trial.</w:t>
      </w:r>
    </w:p>
    <w:p w14:paraId="56C1851B" w14:textId="77777777" w:rsidR="00E1779F" w:rsidRPr="008A08FA" w:rsidRDefault="00E1779F" w:rsidP="008A08FA">
      <w:pPr>
        <w:spacing w:after="120" w:line="480" w:lineRule="auto"/>
        <w:rPr>
          <w:rFonts w:ascii="Cambria" w:hAnsi="Cambria"/>
          <w:b/>
        </w:rPr>
      </w:pPr>
    </w:p>
    <w:p w14:paraId="591C49FA" w14:textId="77777777" w:rsidR="00E1779F" w:rsidRPr="008A08FA" w:rsidRDefault="00E1779F" w:rsidP="008A08FA">
      <w:pPr>
        <w:spacing w:after="120" w:line="480" w:lineRule="auto"/>
        <w:rPr>
          <w:rFonts w:ascii="Cambria" w:hAnsi="Cambria"/>
          <w:b/>
        </w:rPr>
      </w:pPr>
      <w:r w:rsidRPr="008A08FA">
        <w:rPr>
          <w:rFonts w:ascii="Cambria" w:hAnsi="Cambria"/>
          <w:b/>
        </w:rPr>
        <w:t>Running head</w:t>
      </w:r>
    </w:p>
    <w:p w14:paraId="2D4EEE9D" w14:textId="77777777" w:rsidR="00E1779F" w:rsidRPr="008A08FA" w:rsidRDefault="00E1779F" w:rsidP="008A08FA">
      <w:pPr>
        <w:spacing w:after="120" w:line="480" w:lineRule="auto"/>
        <w:rPr>
          <w:rFonts w:ascii="Cambria" w:hAnsi="Cambria"/>
        </w:rPr>
      </w:pPr>
      <w:r w:rsidRPr="008A08FA">
        <w:rPr>
          <w:rFonts w:ascii="Cambria" w:hAnsi="Cambria"/>
        </w:rPr>
        <w:t>Reducing early-career general practitioners’ antibiotic prescribing</w:t>
      </w:r>
    </w:p>
    <w:p w14:paraId="4824BB00" w14:textId="77777777" w:rsidR="00E1779F" w:rsidRPr="008A08FA" w:rsidRDefault="00E1779F" w:rsidP="008A08FA">
      <w:pPr>
        <w:spacing w:after="120" w:line="480" w:lineRule="auto"/>
        <w:rPr>
          <w:rFonts w:ascii="Cambria" w:hAnsi="Cambria"/>
          <w:b/>
        </w:rPr>
      </w:pPr>
      <w:r w:rsidRPr="008A08FA">
        <w:rPr>
          <w:rFonts w:ascii="Cambria" w:hAnsi="Cambria"/>
          <w:b/>
        </w:rPr>
        <w:t>Article category</w:t>
      </w:r>
    </w:p>
    <w:p w14:paraId="4426D128" w14:textId="77777777" w:rsidR="00E1779F" w:rsidRPr="008A08FA" w:rsidRDefault="00E1779F" w:rsidP="008A08FA">
      <w:pPr>
        <w:spacing w:after="120" w:line="480" w:lineRule="auto"/>
        <w:rPr>
          <w:rFonts w:ascii="Cambria" w:hAnsi="Cambria"/>
        </w:rPr>
      </w:pPr>
      <w:r w:rsidRPr="008A08FA">
        <w:rPr>
          <w:rFonts w:ascii="Cambria" w:hAnsi="Cambria"/>
        </w:rPr>
        <w:t>Health Services Research</w:t>
      </w:r>
    </w:p>
    <w:p w14:paraId="2032C36D"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b/>
          <w:sz w:val="20"/>
          <w:szCs w:val="20"/>
        </w:rPr>
        <w:t>Authors:</w:t>
      </w:r>
    </w:p>
    <w:p w14:paraId="567FE28C" w14:textId="77777777" w:rsidR="00E1779F" w:rsidRPr="008A08FA" w:rsidRDefault="00E1779F" w:rsidP="008A08FA">
      <w:pPr>
        <w:suppressLineNumbers/>
        <w:spacing w:after="120" w:line="480" w:lineRule="auto"/>
        <w:rPr>
          <w:rFonts w:ascii="Cambria" w:hAnsi="Cambria" w:cs="Helvetica"/>
          <w:sz w:val="20"/>
          <w:szCs w:val="20"/>
          <w:vertAlign w:val="superscript"/>
        </w:rPr>
      </w:pPr>
      <w:r w:rsidRPr="008A08FA">
        <w:rPr>
          <w:rFonts w:ascii="Cambria" w:hAnsi="Cambria" w:cs="Helvetica"/>
          <w:sz w:val="20"/>
          <w:szCs w:val="20"/>
        </w:rPr>
        <w:t>Parker Magin</w:t>
      </w:r>
      <w:r w:rsidRPr="008A08FA">
        <w:rPr>
          <w:rFonts w:ascii="Cambria" w:hAnsi="Cambria" w:cs="Helvetica"/>
          <w:sz w:val="20"/>
          <w:szCs w:val="20"/>
          <w:vertAlign w:val="superscript"/>
        </w:rPr>
        <w:t>1</w:t>
      </w:r>
      <w:proofErr w:type="gramStart"/>
      <w:r w:rsidRPr="008A08FA">
        <w:rPr>
          <w:rFonts w:ascii="Cambria" w:hAnsi="Cambria" w:cs="Helvetica"/>
          <w:sz w:val="20"/>
          <w:szCs w:val="20"/>
          <w:vertAlign w:val="superscript"/>
        </w:rPr>
        <w:t>,2</w:t>
      </w:r>
      <w:proofErr w:type="gramEnd"/>
    </w:p>
    <w:p w14:paraId="0322E64F"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Amanda Tapley</w:t>
      </w:r>
      <w:r w:rsidRPr="008A08FA">
        <w:rPr>
          <w:rFonts w:ascii="Cambria" w:hAnsi="Cambria" w:cs="Helvetica"/>
          <w:sz w:val="20"/>
          <w:szCs w:val="20"/>
          <w:vertAlign w:val="superscript"/>
        </w:rPr>
        <w:t>1</w:t>
      </w:r>
      <w:proofErr w:type="gramStart"/>
      <w:r w:rsidRPr="008A08FA">
        <w:rPr>
          <w:rFonts w:ascii="Cambria" w:hAnsi="Cambria" w:cs="Helvetica"/>
          <w:sz w:val="20"/>
          <w:szCs w:val="20"/>
          <w:vertAlign w:val="superscript"/>
        </w:rPr>
        <w:t>,2</w:t>
      </w:r>
      <w:proofErr w:type="gramEnd"/>
    </w:p>
    <w:p w14:paraId="6CEA292E"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Simon Morgan</w:t>
      </w:r>
      <w:r w:rsidRPr="008A08FA">
        <w:rPr>
          <w:rFonts w:ascii="Cambria" w:hAnsi="Cambria" w:cs="Helvetica"/>
          <w:sz w:val="20"/>
          <w:szCs w:val="20"/>
          <w:vertAlign w:val="superscript"/>
        </w:rPr>
        <w:t>3</w:t>
      </w:r>
    </w:p>
    <w:p w14:paraId="6E3ACAAA"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Joshua S Davis</w:t>
      </w:r>
      <w:r w:rsidRPr="008A08FA">
        <w:rPr>
          <w:rFonts w:ascii="Cambria" w:hAnsi="Cambria" w:cs="Helvetica"/>
          <w:sz w:val="20"/>
          <w:szCs w:val="20"/>
          <w:vertAlign w:val="superscript"/>
        </w:rPr>
        <w:t>1</w:t>
      </w:r>
      <w:proofErr w:type="gramStart"/>
      <w:r w:rsidRPr="008A08FA">
        <w:rPr>
          <w:rFonts w:ascii="Cambria" w:hAnsi="Cambria" w:cs="Helvetica"/>
          <w:sz w:val="20"/>
          <w:szCs w:val="20"/>
          <w:vertAlign w:val="superscript"/>
        </w:rPr>
        <w:t>,4,5</w:t>
      </w:r>
      <w:proofErr w:type="gramEnd"/>
    </w:p>
    <w:p w14:paraId="607DBD63"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Patrick McElduff</w:t>
      </w:r>
      <w:r w:rsidRPr="008A08FA">
        <w:rPr>
          <w:rFonts w:ascii="Cambria" w:hAnsi="Cambria" w:cs="Helvetica"/>
          <w:sz w:val="20"/>
          <w:szCs w:val="20"/>
          <w:vertAlign w:val="superscript"/>
        </w:rPr>
        <w:t>1</w:t>
      </w:r>
    </w:p>
    <w:p w14:paraId="52D772E1"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Lucy Yardley</w:t>
      </w:r>
      <w:r w:rsidRPr="008A08FA">
        <w:rPr>
          <w:rFonts w:ascii="Cambria" w:hAnsi="Cambria" w:cs="Helvetica"/>
          <w:sz w:val="20"/>
          <w:szCs w:val="20"/>
          <w:vertAlign w:val="superscript"/>
        </w:rPr>
        <w:t>6</w:t>
      </w:r>
    </w:p>
    <w:p w14:paraId="2E5EFB81"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Kim Henderson</w:t>
      </w:r>
      <w:r w:rsidRPr="008A08FA">
        <w:rPr>
          <w:rFonts w:ascii="Cambria" w:hAnsi="Cambria" w:cs="Helvetica"/>
          <w:sz w:val="20"/>
          <w:szCs w:val="20"/>
          <w:vertAlign w:val="superscript"/>
        </w:rPr>
        <w:t>1</w:t>
      </w:r>
      <w:proofErr w:type="gramStart"/>
      <w:r w:rsidRPr="008A08FA">
        <w:rPr>
          <w:rFonts w:ascii="Cambria" w:hAnsi="Cambria" w:cs="Helvetica"/>
          <w:sz w:val="20"/>
          <w:szCs w:val="20"/>
          <w:vertAlign w:val="superscript"/>
        </w:rPr>
        <w:t>,2</w:t>
      </w:r>
      <w:proofErr w:type="gramEnd"/>
    </w:p>
    <w:p w14:paraId="0CE34E92"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Anthea Dallas</w:t>
      </w:r>
      <w:r w:rsidRPr="008A08FA">
        <w:rPr>
          <w:rFonts w:ascii="Cambria" w:hAnsi="Cambria" w:cs="Helvetica"/>
          <w:sz w:val="20"/>
          <w:szCs w:val="20"/>
          <w:vertAlign w:val="superscript"/>
        </w:rPr>
        <w:t>7</w:t>
      </w:r>
    </w:p>
    <w:p w14:paraId="0749EE31"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Lawrie McArthur</w:t>
      </w:r>
      <w:r w:rsidRPr="008A08FA">
        <w:rPr>
          <w:rFonts w:ascii="Cambria" w:hAnsi="Cambria" w:cs="Helvetica"/>
          <w:sz w:val="20"/>
          <w:szCs w:val="20"/>
          <w:vertAlign w:val="superscript"/>
        </w:rPr>
        <w:t>8</w:t>
      </w:r>
    </w:p>
    <w:p w14:paraId="3A43754A"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Katie Mulquiney</w:t>
      </w:r>
      <w:r w:rsidRPr="008A08FA">
        <w:rPr>
          <w:rFonts w:ascii="Cambria" w:hAnsi="Cambria" w:cs="Helvetica"/>
          <w:sz w:val="20"/>
          <w:szCs w:val="20"/>
          <w:vertAlign w:val="superscript"/>
        </w:rPr>
        <w:t>1</w:t>
      </w:r>
      <w:proofErr w:type="gramStart"/>
      <w:r w:rsidRPr="008A08FA">
        <w:rPr>
          <w:rFonts w:ascii="Cambria" w:hAnsi="Cambria" w:cs="Helvetica"/>
          <w:sz w:val="20"/>
          <w:szCs w:val="20"/>
          <w:vertAlign w:val="superscript"/>
        </w:rPr>
        <w:t>,2</w:t>
      </w:r>
      <w:proofErr w:type="gramEnd"/>
    </w:p>
    <w:p w14:paraId="48F76728"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Andrew Davey</w:t>
      </w:r>
      <w:r w:rsidRPr="008A08FA">
        <w:rPr>
          <w:rFonts w:ascii="Cambria" w:hAnsi="Cambria" w:cs="Helvetica"/>
          <w:sz w:val="20"/>
          <w:szCs w:val="20"/>
          <w:vertAlign w:val="superscript"/>
        </w:rPr>
        <w:t>1</w:t>
      </w:r>
    </w:p>
    <w:p w14:paraId="563D4A1D"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Paul Little</w:t>
      </w:r>
      <w:r w:rsidRPr="008A08FA">
        <w:rPr>
          <w:rFonts w:ascii="Cambria" w:hAnsi="Cambria" w:cs="Helvetica"/>
          <w:sz w:val="20"/>
          <w:szCs w:val="20"/>
          <w:vertAlign w:val="superscript"/>
        </w:rPr>
        <w:t>9</w:t>
      </w:r>
    </w:p>
    <w:p w14:paraId="0851198C"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lastRenderedPageBreak/>
        <w:t>Neil Spike</w:t>
      </w:r>
      <w:r w:rsidRPr="008A08FA">
        <w:rPr>
          <w:rFonts w:ascii="Cambria" w:hAnsi="Cambria" w:cs="Helvetica"/>
          <w:sz w:val="20"/>
          <w:szCs w:val="20"/>
          <w:vertAlign w:val="superscript"/>
        </w:rPr>
        <w:t>10</w:t>
      </w:r>
      <w:proofErr w:type="gramStart"/>
      <w:r w:rsidRPr="008A08FA">
        <w:rPr>
          <w:rFonts w:ascii="Cambria" w:hAnsi="Cambria" w:cs="Helvetica"/>
          <w:sz w:val="20"/>
          <w:szCs w:val="20"/>
          <w:vertAlign w:val="superscript"/>
        </w:rPr>
        <w:t>,11</w:t>
      </w:r>
      <w:proofErr w:type="gramEnd"/>
    </w:p>
    <w:p w14:paraId="2A4DCFA0" w14:textId="77777777" w:rsidR="00E1779F" w:rsidRPr="008A08FA" w:rsidRDefault="00E1779F" w:rsidP="008A08FA">
      <w:pPr>
        <w:suppressLineNumbers/>
        <w:spacing w:after="120" w:line="480" w:lineRule="auto"/>
        <w:rPr>
          <w:rFonts w:ascii="Cambria" w:hAnsi="Cambria" w:cs="Helvetica"/>
          <w:sz w:val="20"/>
          <w:szCs w:val="20"/>
          <w:vertAlign w:val="superscript"/>
        </w:rPr>
      </w:pPr>
      <w:r w:rsidRPr="008A08FA">
        <w:rPr>
          <w:rFonts w:ascii="Cambria" w:hAnsi="Cambria" w:cs="Helvetica"/>
          <w:sz w:val="20"/>
          <w:szCs w:val="20"/>
        </w:rPr>
        <w:t>Mieke L van Driel</w:t>
      </w:r>
      <w:r w:rsidRPr="008A08FA">
        <w:rPr>
          <w:rFonts w:ascii="Cambria" w:hAnsi="Cambria" w:cs="Helvetica"/>
          <w:sz w:val="20"/>
          <w:szCs w:val="20"/>
          <w:vertAlign w:val="superscript"/>
        </w:rPr>
        <w:t>12</w:t>
      </w:r>
    </w:p>
    <w:p w14:paraId="0622F6B5" w14:textId="77777777" w:rsidR="008A08FA" w:rsidRPr="008A08FA" w:rsidRDefault="008A08FA" w:rsidP="008A08FA">
      <w:pPr>
        <w:suppressLineNumbers/>
        <w:spacing w:after="120" w:line="480" w:lineRule="auto"/>
        <w:rPr>
          <w:rFonts w:ascii="Cambria" w:hAnsi="Cambria" w:cs="Helvetica"/>
          <w:sz w:val="20"/>
          <w:szCs w:val="20"/>
        </w:rPr>
      </w:pPr>
    </w:p>
    <w:p w14:paraId="065F3F78"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 xml:space="preserve">1 </w:t>
      </w:r>
      <w:r w:rsidRPr="008A08FA">
        <w:rPr>
          <w:rFonts w:ascii="Cambria" w:hAnsi="Cambria" w:cs="Helvetica"/>
          <w:sz w:val="20"/>
          <w:szCs w:val="20"/>
        </w:rPr>
        <w:t>School of Medicine and Public Health, University of Newcastle, Australia.</w:t>
      </w:r>
    </w:p>
    <w:p w14:paraId="0F129D89"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 xml:space="preserve">2 </w:t>
      </w:r>
      <w:r w:rsidRPr="008A08FA">
        <w:rPr>
          <w:rFonts w:ascii="Cambria" w:hAnsi="Cambria" w:cs="Helvetica"/>
          <w:sz w:val="20"/>
          <w:szCs w:val="20"/>
        </w:rPr>
        <w:t>NSW &amp; ACT Research and Evaluation Unit, GP Synergy Regional Training Organization, Newcastle, Australia</w:t>
      </w:r>
    </w:p>
    <w:p w14:paraId="58325A6C"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 xml:space="preserve">3 </w:t>
      </w:r>
      <w:r w:rsidRPr="008A08FA">
        <w:rPr>
          <w:rFonts w:ascii="Cambria" w:hAnsi="Cambria" w:cs="Helvetica"/>
          <w:sz w:val="20"/>
          <w:szCs w:val="20"/>
        </w:rPr>
        <w:t>Elermore Vale General Practice, Elermore Vale, Australia</w:t>
      </w:r>
    </w:p>
    <w:p w14:paraId="1EC3D048"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 xml:space="preserve">4 </w:t>
      </w:r>
      <w:r w:rsidRPr="008A08FA">
        <w:rPr>
          <w:rFonts w:ascii="Cambria" w:hAnsi="Cambria" w:cs="Helvetica"/>
          <w:sz w:val="20"/>
          <w:szCs w:val="20"/>
        </w:rPr>
        <w:t>Menzies School of Health Research, Royal Darwin Hospital Campus, Casuarina, Australia</w:t>
      </w:r>
    </w:p>
    <w:p w14:paraId="591A14F9"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5</w:t>
      </w:r>
      <w:r w:rsidRPr="008A08FA">
        <w:rPr>
          <w:rFonts w:ascii="Cambria" w:hAnsi="Cambria" w:cs="Helvetica"/>
          <w:sz w:val="20"/>
          <w:szCs w:val="20"/>
        </w:rPr>
        <w:t>John Hunter Hospital, New Lambton Heights, Australia</w:t>
      </w:r>
    </w:p>
    <w:p w14:paraId="58A384D9"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 xml:space="preserve">6 </w:t>
      </w:r>
      <w:r w:rsidRPr="008A08FA">
        <w:rPr>
          <w:rFonts w:ascii="Cambria" w:hAnsi="Cambria" w:cs="Helvetica"/>
          <w:sz w:val="20"/>
          <w:szCs w:val="20"/>
        </w:rPr>
        <w:t>Centre for Applications of Health Psychology, University of Southampton, UK</w:t>
      </w:r>
    </w:p>
    <w:p w14:paraId="142C645B"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7</w:t>
      </w:r>
      <w:r w:rsidRPr="008A08FA">
        <w:rPr>
          <w:rFonts w:ascii="Cambria" w:hAnsi="Cambria" w:cs="Helvetica"/>
          <w:sz w:val="20"/>
          <w:szCs w:val="20"/>
        </w:rPr>
        <w:t xml:space="preserve"> University of Notre Dame, Sydney, Australia</w:t>
      </w:r>
    </w:p>
    <w:p w14:paraId="0612C3A4"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8</w:t>
      </w:r>
      <w:r w:rsidRPr="008A08FA">
        <w:rPr>
          <w:rFonts w:ascii="Cambria" w:hAnsi="Cambria" w:cs="Helvetica"/>
          <w:sz w:val="20"/>
          <w:szCs w:val="20"/>
        </w:rPr>
        <w:t xml:space="preserve"> Department of General Practice, University of Adelaide, Australia</w:t>
      </w:r>
    </w:p>
    <w:p w14:paraId="18E8101F"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 xml:space="preserve">9 </w:t>
      </w:r>
      <w:r w:rsidRPr="008A08FA">
        <w:rPr>
          <w:rFonts w:ascii="Cambria" w:hAnsi="Cambria" w:cs="Helvetica"/>
          <w:sz w:val="20"/>
          <w:szCs w:val="20"/>
        </w:rPr>
        <w:t>Primary Care &amp; Population Sciences Academic Units, University of Southampton, UK</w:t>
      </w:r>
    </w:p>
    <w:p w14:paraId="19BF28D1"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10</w:t>
      </w:r>
      <w:r w:rsidRPr="008A08FA">
        <w:rPr>
          <w:rFonts w:ascii="Cambria" w:hAnsi="Cambria" w:cs="Helvetica"/>
          <w:sz w:val="20"/>
          <w:szCs w:val="20"/>
        </w:rPr>
        <w:t xml:space="preserve"> Department of General Practice, University of Melbourne, Australia</w:t>
      </w:r>
    </w:p>
    <w:p w14:paraId="558D8C34"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11</w:t>
      </w:r>
      <w:r w:rsidRPr="008A08FA">
        <w:rPr>
          <w:rFonts w:ascii="Cambria" w:hAnsi="Cambria" w:cs="Helvetica"/>
          <w:sz w:val="20"/>
          <w:szCs w:val="20"/>
        </w:rPr>
        <w:t>Eastern Victoria General Practice Training, Melbourne, Australia</w:t>
      </w:r>
    </w:p>
    <w:p w14:paraId="32487C29"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vertAlign w:val="superscript"/>
        </w:rPr>
        <w:t>12</w:t>
      </w:r>
      <w:r w:rsidRPr="008A08FA">
        <w:rPr>
          <w:rFonts w:ascii="Cambria" w:hAnsi="Cambria" w:cs="Helvetica"/>
          <w:sz w:val="20"/>
          <w:szCs w:val="20"/>
        </w:rPr>
        <w:t xml:space="preserve"> Primary Care Clinical Unit, Faculty of Medicine, University of Queensland, Australia</w:t>
      </w:r>
    </w:p>
    <w:p w14:paraId="21CFFF7F" w14:textId="77777777" w:rsidR="00E1779F" w:rsidRPr="008A08FA" w:rsidRDefault="00E1779F" w:rsidP="008A08FA">
      <w:pPr>
        <w:suppressLineNumbers/>
        <w:spacing w:after="120" w:line="480" w:lineRule="auto"/>
        <w:rPr>
          <w:rFonts w:ascii="Cambria" w:hAnsi="Cambria" w:cs="Helvetica"/>
          <w:b/>
          <w:sz w:val="20"/>
          <w:szCs w:val="20"/>
        </w:rPr>
      </w:pPr>
      <w:r w:rsidRPr="008A08FA">
        <w:rPr>
          <w:rFonts w:ascii="Cambria" w:hAnsi="Cambria" w:cs="Helvetica"/>
          <w:b/>
          <w:sz w:val="20"/>
          <w:szCs w:val="20"/>
        </w:rPr>
        <w:t>Corresponding author</w:t>
      </w:r>
    </w:p>
    <w:p w14:paraId="4389735E"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Professor P Magin</w:t>
      </w:r>
    </w:p>
    <w:p w14:paraId="0B1BBAE3"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Discipline of General Practice</w:t>
      </w:r>
      <w:r w:rsidR="008A08FA">
        <w:rPr>
          <w:rFonts w:ascii="Cambria" w:hAnsi="Cambria" w:cs="Helvetica"/>
          <w:sz w:val="20"/>
          <w:szCs w:val="20"/>
        </w:rPr>
        <w:t xml:space="preserve">, </w:t>
      </w:r>
      <w:r w:rsidRPr="008A08FA">
        <w:rPr>
          <w:rFonts w:ascii="Cambria" w:hAnsi="Cambria" w:cs="Helvetica"/>
          <w:sz w:val="20"/>
          <w:szCs w:val="20"/>
        </w:rPr>
        <w:t>University of Newcastle</w:t>
      </w:r>
    </w:p>
    <w:p w14:paraId="41DD52DB"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University Drive</w:t>
      </w:r>
      <w:r w:rsidR="008A08FA">
        <w:rPr>
          <w:rFonts w:ascii="Cambria" w:hAnsi="Cambria" w:cs="Helvetica"/>
          <w:sz w:val="20"/>
          <w:szCs w:val="20"/>
        </w:rPr>
        <w:t xml:space="preserve">, </w:t>
      </w:r>
      <w:r w:rsidRPr="008A08FA">
        <w:rPr>
          <w:rFonts w:ascii="Cambria" w:hAnsi="Cambria" w:cs="Helvetica"/>
          <w:sz w:val="20"/>
          <w:szCs w:val="20"/>
        </w:rPr>
        <w:t>Callaghan, 2303</w:t>
      </w:r>
      <w:r w:rsidR="008A08FA" w:rsidRPr="008A08FA">
        <w:rPr>
          <w:rFonts w:ascii="Cambria" w:hAnsi="Cambria" w:cs="Helvetica"/>
          <w:sz w:val="20"/>
          <w:szCs w:val="20"/>
        </w:rPr>
        <w:t xml:space="preserve">, </w:t>
      </w:r>
      <w:r w:rsidRPr="008A08FA">
        <w:rPr>
          <w:rFonts w:ascii="Cambria" w:hAnsi="Cambria" w:cs="Helvetica"/>
          <w:sz w:val="20"/>
          <w:szCs w:val="20"/>
        </w:rPr>
        <w:t>NSW</w:t>
      </w:r>
      <w:r w:rsidR="008A08FA">
        <w:rPr>
          <w:rFonts w:ascii="Cambria" w:hAnsi="Cambria" w:cs="Helvetica"/>
          <w:sz w:val="20"/>
          <w:szCs w:val="20"/>
        </w:rPr>
        <w:t xml:space="preserve"> </w:t>
      </w:r>
      <w:r w:rsidRPr="008A08FA">
        <w:rPr>
          <w:rFonts w:ascii="Cambria" w:hAnsi="Cambria" w:cs="Helvetica"/>
          <w:sz w:val="20"/>
          <w:szCs w:val="20"/>
        </w:rPr>
        <w:t>Australia</w:t>
      </w:r>
    </w:p>
    <w:p w14:paraId="62C084D5" w14:textId="77777777" w:rsidR="00E1779F" w:rsidRPr="008A08FA" w:rsidRDefault="00E1779F" w:rsidP="008A08FA">
      <w:pPr>
        <w:suppressLineNumbers/>
        <w:spacing w:after="120" w:line="480" w:lineRule="auto"/>
        <w:rPr>
          <w:rFonts w:ascii="Cambria" w:hAnsi="Cambria" w:cs="Helvetica"/>
          <w:sz w:val="20"/>
          <w:szCs w:val="20"/>
        </w:rPr>
      </w:pPr>
      <w:r w:rsidRPr="008A08FA">
        <w:rPr>
          <w:rFonts w:ascii="Cambria" w:hAnsi="Cambria" w:cs="Helvetica"/>
          <w:sz w:val="20"/>
          <w:szCs w:val="20"/>
        </w:rPr>
        <w:t>parker.magin@newcastle.edu.au</w:t>
      </w:r>
    </w:p>
    <w:p w14:paraId="47603D70" w14:textId="77777777" w:rsidR="00E1779F" w:rsidRPr="008A08FA" w:rsidRDefault="00E1779F" w:rsidP="008A08FA">
      <w:pPr>
        <w:spacing w:after="120" w:line="480" w:lineRule="auto"/>
        <w:rPr>
          <w:rFonts w:ascii="Cambria" w:hAnsi="Cambria"/>
          <w:b/>
        </w:rPr>
      </w:pPr>
      <w:r w:rsidRPr="008A08FA">
        <w:rPr>
          <w:rFonts w:ascii="Cambria" w:hAnsi="Cambria"/>
          <w:b/>
        </w:rPr>
        <w:lastRenderedPageBreak/>
        <w:t>Abstract</w:t>
      </w:r>
    </w:p>
    <w:p w14:paraId="73DD7EFB" w14:textId="77777777" w:rsidR="00E1779F" w:rsidRPr="008A08FA" w:rsidRDefault="00E1779F" w:rsidP="008A08FA">
      <w:pPr>
        <w:spacing w:after="120" w:line="480" w:lineRule="auto"/>
        <w:rPr>
          <w:rFonts w:ascii="Cambria" w:hAnsi="Cambria"/>
          <w:b/>
        </w:rPr>
      </w:pPr>
      <w:r w:rsidRPr="008A08FA">
        <w:rPr>
          <w:rFonts w:ascii="Cambria" w:hAnsi="Cambria"/>
          <w:b/>
        </w:rPr>
        <w:t>Background</w:t>
      </w:r>
    </w:p>
    <w:p w14:paraId="135D632A" w14:textId="77777777" w:rsidR="00E1779F" w:rsidRPr="008A08FA" w:rsidRDefault="00E1779F" w:rsidP="008A08FA">
      <w:pPr>
        <w:spacing w:after="120" w:line="480" w:lineRule="auto"/>
        <w:rPr>
          <w:rFonts w:ascii="Cambria" w:hAnsi="Cambria"/>
        </w:rPr>
      </w:pPr>
      <w:r w:rsidRPr="008A08FA">
        <w:rPr>
          <w:rFonts w:ascii="Cambria" w:hAnsi="Cambria"/>
        </w:rPr>
        <w:t xml:space="preserve">Inappropriate antibiotic prescription and consequent antibacterial resistance is a major threat to healthcare. </w:t>
      </w:r>
    </w:p>
    <w:p w14:paraId="00B1FF07" w14:textId="77777777" w:rsidR="00E1779F" w:rsidRPr="008A08FA" w:rsidRDefault="00E1779F" w:rsidP="008A08FA">
      <w:pPr>
        <w:spacing w:after="120" w:line="480" w:lineRule="auto"/>
        <w:rPr>
          <w:rFonts w:ascii="Cambria" w:hAnsi="Cambria"/>
          <w:b/>
        </w:rPr>
      </w:pPr>
      <w:r w:rsidRPr="008A08FA">
        <w:rPr>
          <w:rFonts w:ascii="Cambria" w:hAnsi="Cambria"/>
          <w:b/>
        </w:rPr>
        <w:t>Objectives</w:t>
      </w:r>
    </w:p>
    <w:p w14:paraId="47916EEF" w14:textId="77777777" w:rsidR="00E1779F" w:rsidRPr="008A08FA" w:rsidRDefault="00E1779F" w:rsidP="008A08FA">
      <w:pPr>
        <w:spacing w:after="120" w:line="480" w:lineRule="auto"/>
        <w:rPr>
          <w:rFonts w:ascii="Cambria" w:hAnsi="Cambria"/>
        </w:rPr>
      </w:pPr>
      <w:r w:rsidRPr="008A08FA">
        <w:rPr>
          <w:rFonts w:ascii="Cambria" w:hAnsi="Cambria"/>
        </w:rPr>
        <w:t>To evaluate the efficacy of a multifaceted intervention in reducing early-career general practitioners’ (GPs’) antibiotic prescribing for upper respiratory tract infections (URTIs) and acute bronchitis/bronchiolitis.</w:t>
      </w:r>
    </w:p>
    <w:p w14:paraId="315993EE" w14:textId="77777777" w:rsidR="00E1779F" w:rsidRPr="008A08FA" w:rsidRDefault="00E1779F" w:rsidP="008A08FA">
      <w:pPr>
        <w:spacing w:after="120" w:line="480" w:lineRule="auto"/>
        <w:rPr>
          <w:rFonts w:ascii="Cambria" w:hAnsi="Cambria"/>
          <w:b/>
        </w:rPr>
      </w:pPr>
      <w:r w:rsidRPr="008A08FA">
        <w:rPr>
          <w:rFonts w:ascii="Cambria" w:hAnsi="Cambria"/>
          <w:b/>
        </w:rPr>
        <w:t>Methods</w:t>
      </w:r>
    </w:p>
    <w:p w14:paraId="548CCCE1" w14:textId="77777777" w:rsidR="00E1779F" w:rsidRPr="008A08FA" w:rsidRDefault="00E1779F" w:rsidP="008A08FA">
      <w:pPr>
        <w:spacing w:after="120" w:line="480" w:lineRule="auto"/>
        <w:rPr>
          <w:rFonts w:ascii="Cambria" w:hAnsi="Cambria"/>
        </w:rPr>
      </w:pPr>
      <w:r w:rsidRPr="008A08FA">
        <w:rPr>
          <w:rFonts w:ascii="Cambria" w:hAnsi="Cambria"/>
        </w:rPr>
        <w:t xml:space="preserve">A pragmatic non-randomized trial employing a non-equivalent control group design nested within an existing cohort study of GP registrars’ (trainees’) clinical practice. The intervention included access to on-line modules (covering the rationale of current clinical guidelines recommending non-prescription of antibiotics for URTI and bronchitis/bronchiolitis, and communication skills in management of acute bronchitis) followed by a face-to-face educational session. The intervention was delivered to registrars (and their supervisors) in two of Australia’s seventeen regional GP training providers (RTPs). Three other RTPs were the control group. Outcomes were proportion of registrars’ URTI consultations and bronchitis/bronchiolitis consultations prescribed antibiotics. Intention-to-treat analyses employed logistic regression within a Generalised Estimating Equation framework, adjusted for relevant independent variables.  The predictors of interest were: time; treatment group; and an interaction term for time-by-treatment group. </w:t>
      </w:r>
      <w:r w:rsidRPr="008A08FA">
        <w:rPr>
          <w:rFonts w:ascii="Cambria" w:hAnsi="Cambria"/>
        </w:rPr>
        <w:lastRenderedPageBreak/>
        <w:t xml:space="preserve">The p-value associated with an interaction term determined statistically significant differences in antibiotic prescribing.  </w:t>
      </w:r>
    </w:p>
    <w:p w14:paraId="389CAF27" w14:textId="77777777" w:rsidR="00E1779F" w:rsidRPr="008A08FA" w:rsidRDefault="00E1779F" w:rsidP="008A08FA">
      <w:pPr>
        <w:spacing w:after="120" w:line="480" w:lineRule="auto"/>
        <w:rPr>
          <w:rFonts w:ascii="Cambria" w:hAnsi="Cambria"/>
          <w:b/>
        </w:rPr>
      </w:pPr>
      <w:r w:rsidRPr="008A08FA">
        <w:rPr>
          <w:rFonts w:ascii="Cambria" w:hAnsi="Cambria"/>
          <w:b/>
        </w:rPr>
        <w:t>Results</w:t>
      </w:r>
    </w:p>
    <w:p w14:paraId="6DF835B8" w14:textId="748AF006" w:rsidR="00E1779F" w:rsidRPr="008A08FA" w:rsidRDefault="00E1779F" w:rsidP="008A08FA">
      <w:pPr>
        <w:spacing w:after="120" w:line="480" w:lineRule="auto"/>
        <w:rPr>
          <w:rFonts w:ascii="Cambria" w:hAnsi="Cambria"/>
        </w:rPr>
      </w:pPr>
      <w:r w:rsidRPr="008A08FA">
        <w:rPr>
          <w:rFonts w:ascii="Cambria" w:hAnsi="Cambria"/>
        </w:rPr>
        <w:t>Analyses include data of 217 intervention RTPs’ and 311 control RTPs’ registrars. There was no significant reduction in antibiotic prescribing for URTIs. For bronchitis/bronchiolitis, a significant reduction (interaction p-value = 0.024) remained true for analysis adjusted for independent variables (p-value = 0.040). The adjusted absolute reduction in prescribing was 15.8% (95% CI</w:t>
      </w:r>
      <w:r w:rsidR="00807826">
        <w:rPr>
          <w:rFonts w:ascii="Cambria" w:hAnsi="Cambria"/>
        </w:rPr>
        <w:t xml:space="preserve">: </w:t>
      </w:r>
      <w:r w:rsidRPr="008A08FA">
        <w:rPr>
          <w:rFonts w:ascii="Cambria" w:hAnsi="Cambria"/>
        </w:rPr>
        <w:t>4.2%-27.5%).</w:t>
      </w:r>
    </w:p>
    <w:p w14:paraId="6631C9C7" w14:textId="77777777" w:rsidR="00E1779F" w:rsidRPr="008A08FA" w:rsidRDefault="00E1779F" w:rsidP="008A08FA">
      <w:pPr>
        <w:spacing w:after="120" w:line="480" w:lineRule="auto"/>
        <w:rPr>
          <w:rFonts w:ascii="Cambria" w:hAnsi="Cambria"/>
          <w:b/>
          <w:i/>
        </w:rPr>
      </w:pPr>
      <w:r w:rsidRPr="008A08FA">
        <w:rPr>
          <w:rFonts w:ascii="Cambria" w:hAnsi="Cambria"/>
          <w:b/>
        </w:rPr>
        <w:t>Conclusions</w:t>
      </w:r>
    </w:p>
    <w:p w14:paraId="1F16D3E7" w14:textId="77777777" w:rsidR="00E1779F" w:rsidRPr="008A08FA" w:rsidRDefault="00E1779F" w:rsidP="008A08FA">
      <w:pPr>
        <w:spacing w:after="120" w:line="480" w:lineRule="auto"/>
        <w:rPr>
          <w:rFonts w:ascii="Cambria" w:hAnsi="Cambria"/>
        </w:rPr>
      </w:pPr>
      <w:r w:rsidRPr="008A08FA">
        <w:rPr>
          <w:rFonts w:ascii="Cambria" w:hAnsi="Cambria"/>
        </w:rPr>
        <w:t>A multifaceted intervention reduced antibiotic prescribing for bronchitis/bronchiolitis but not URTIs.</w:t>
      </w:r>
    </w:p>
    <w:p w14:paraId="49CBFB04" w14:textId="77777777" w:rsidR="00E1779F" w:rsidRPr="008A08FA" w:rsidRDefault="00E1779F" w:rsidP="008A08FA">
      <w:pPr>
        <w:spacing w:after="120" w:line="480" w:lineRule="auto"/>
        <w:rPr>
          <w:rFonts w:ascii="Cambria" w:hAnsi="Cambria"/>
          <w:b/>
        </w:rPr>
      </w:pPr>
    </w:p>
    <w:p w14:paraId="3169A7D7" w14:textId="77777777" w:rsidR="00E1779F" w:rsidRPr="008A08FA" w:rsidRDefault="00E1779F" w:rsidP="008A08FA">
      <w:pPr>
        <w:spacing w:after="120" w:line="480" w:lineRule="auto"/>
        <w:rPr>
          <w:rFonts w:ascii="Cambria" w:hAnsi="Cambria"/>
        </w:rPr>
      </w:pPr>
    </w:p>
    <w:p w14:paraId="3D589F59" w14:textId="77777777" w:rsidR="00E1779F" w:rsidRPr="008A08FA" w:rsidRDefault="00E1779F" w:rsidP="008A08FA">
      <w:pPr>
        <w:spacing w:after="120" w:line="480" w:lineRule="auto"/>
        <w:rPr>
          <w:rFonts w:ascii="Cambria" w:hAnsi="Cambria"/>
          <w:b/>
        </w:rPr>
      </w:pPr>
      <w:r w:rsidRPr="008A08FA">
        <w:rPr>
          <w:rFonts w:ascii="Cambria" w:hAnsi="Cambria"/>
          <w:b/>
        </w:rPr>
        <w:t>Key words</w:t>
      </w:r>
    </w:p>
    <w:p w14:paraId="0BE5F4AC" w14:textId="77777777" w:rsidR="00E1779F" w:rsidRPr="008A08FA" w:rsidRDefault="00E1779F" w:rsidP="008A08FA">
      <w:pPr>
        <w:spacing w:after="120" w:line="480" w:lineRule="auto"/>
        <w:rPr>
          <w:rStyle w:val="Hyperlink"/>
          <w:rFonts w:ascii="Cambria" w:hAnsi="Cambria"/>
        </w:rPr>
      </w:pPr>
      <w:r w:rsidRPr="008A08FA">
        <w:rPr>
          <w:rFonts w:ascii="Cambria" w:hAnsi="Cambria"/>
        </w:rPr>
        <w:t>Family practice; Inappropriate prescribing; Physician practice patterns; Respiratory tract infections; Antibacterial agents; General practice</w:t>
      </w:r>
    </w:p>
    <w:p w14:paraId="0FE82E13" w14:textId="77777777" w:rsidR="00E1779F" w:rsidRPr="008A08FA" w:rsidRDefault="00E1779F" w:rsidP="008A08FA">
      <w:pPr>
        <w:spacing w:after="120" w:line="480" w:lineRule="auto"/>
        <w:rPr>
          <w:rFonts w:ascii="Cambria" w:hAnsi="Cambria"/>
        </w:rPr>
      </w:pPr>
    </w:p>
    <w:p w14:paraId="593C3C3C" w14:textId="77777777" w:rsidR="00E1779F" w:rsidRPr="008A08FA" w:rsidRDefault="00E1779F" w:rsidP="008A08FA">
      <w:pPr>
        <w:spacing w:after="120" w:line="480" w:lineRule="auto"/>
        <w:rPr>
          <w:rFonts w:ascii="Cambria" w:hAnsi="Cambria"/>
          <w:b/>
        </w:rPr>
      </w:pPr>
      <w:r w:rsidRPr="008A08FA">
        <w:rPr>
          <w:rFonts w:ascii="Cambria" w:hAnsi="Cambria"/>
          <w:b/>
        </w:rPr>
        <w:br w:type="page"/>
      </w:r>
    </w:p>
    <w:p w14:paraId="76DF9F83" w14:textId="77777777" w:rsidR="00E1779F" w:rsidRPr="00BB54C2" w:rsidRDefault="00E1779F" w:rsidP="008A08FA">
      <w:pPr>
        <w:spacing w:after="120" w:line="480" w:lineRule="auto"/>
        <w:rPr>
          <w:rFonts w:ascii="Cambria" w:hAnsi="Cambria"/>
          <w:b/>
        </w:rPr>
      </w:pPr>
      <w:r w:rsidRPr="00BB54C2">
        <w:rPr>
          <w:rFonts w:ascii="Cambria" w:hAnsi="Cambria"/>
          <w:b/>
        </w:rPr>
        <w:lastRenderedPageBreak/>
        <w:t>Background</w:t>
      </w:r>
    </w:p>
    <w:p w14:paraId="7BF75CFF" w14:textId="054A025E" w:rsidR="00E1779F" w:rsidRPr="00BB54C2" w:rsidRDefault="00E1779F" w:rsidP="008A08FA">
      <w:pPr>
        <w:spacing w:after="120" w:line="480" w:lineRule="auto"/>
        <w:rPr>
          <w:rFonts w:ascii="Cambria" w:hAnsi="Cambria"/>
        </w:rPr>
      </w:pPr>
      <w:r w:rsidRPr="00BB54C2">
        <w:rPr>
          <w:rFonts w:ascii="Cambria" w:hAnsi="Cambria"/>
        </w:rPr>
        <w:t xml:space="preserve">Antibiotic over-use is problematic worldwide, contributing to community </w:t>
      </w:r>
      <w:r w:rsidRPr="00BB54C2">
        <w:rPr>
          <w:rFonts w:ascii="Cambria" w:hAnsi="Cambria"/>
          <w:noProof/>
        </w:rPr>
        <w:t>(1)</w:t>
      </w:r>
      <w:r w:rsidRPr="00BB54C2">
        <w:rPr>
          <w:rFonts w:ascii="Cambria" w:hAnsi="Cambria"/>
        </w:rPr>
        <w:t xml:space="preserve"> and individual patient </w:t>
      </w:r>
      <w:r w:rsidRPr="00BB54C2">
        <w:rPr>
          <w:rFonts w:ascii="Cambria" w:hAnsi="Cambria"/>
          <w:noProof/>
        </w:rPr>
        <w:t>(2)</w:t>
      </w:r>
      <w:r w:rsidRPr="00BB54C2">
        <w:rPr>
          <w:rFonts w:ascii="Cambria" w:hAnsi="Cambria"/>
        </w:rPr>
        <w:t xml:space="preserve"> bacterial resistance. Most antibiotic prescribing occurs in general practice </w:t>
      </w:r>
      <w:r w:rsidRPr="00BB54C2">
        <w:rPr>
          <w:rFonts w:ascii="Cambria" w:hAnsi="Cambria"/>
          <w:noProof/>
        </w:rPr>
        <w:t>(1)</w:t>
      </w:r>
      <w:r w:rsidRPr="00BB54C2">
        <w:rPr>
          <w:rFonts w:ascii="Cambria" w:hAnsi="Cambria"/>
        </w:rPr>
        <w:t>. General practice prescribing is thus central in addressing harmful antibiotic effects including bacterial resistance and consequent antibiotic failure.</w:t>
      </w:r>
      <w:hyperlink w:anchor="_ENREF_4" w:tooltip="Shallcross, 2014 #603" w:history="1"/>
    </w:p>
    <w:p w14:paraId="5BB79EF1" w14:textId="2F9E4662" w:rsidR="00E1779F" w:rsidRPr="00BB54C2" w:rsidRDefault="00E1779F" w:rsidP="008A08FA">
      <w:pPr>
        <w:spacing w:after="120" w:line="480" w:lineRule="auto"/>
        <w:rPr>
          <w:rFonts w:ascii="Cambria" w:hAnsi="Cambria"/>
        </w:rPr>
      </w:pPr>
      <w:r w:rsidRPr="00BB54C2">
        <w:rPr>
          <w:rFonts w:ascii="Cambria" w:hAnsi="Cambria"/>
        </w:rPr>
        <w:t xml:space="preserve">Much antibiotic over-use occurs in treating non-pneumonia respiratory tract infections (RTIs) </w:t>
      </w:r>
      <w:r w:rsidRPr="00BB54C2">
        <w:rPr>
          <w:rFonts w:ascii="Cambria" w:hAnsi="Cambria"/>
          <w:noProof/>
        </w:rPr>
        <w:t>(1)</w:t>
      </w:r>
      <w:r w:rsidRPr="00BB54C2">
        <w:rPr>
          <w:rFonts w:ascii="Cambria" w:hAnsi="Cambria"/>
        </w:rPr>
        <w:t xml:space="preserve">. For two common RTIs there is evidence of very little efficacy (acute bronchitis) </w:t>
      </w:r>
      <w:r w:rsidRPr="00BB54C2">
        <w:rPr>
          <w:rFonts w:ascii="Cambria" w:hAnsi="Cambria"/>
          <w:noProof/>
        </w:rPr>
        <w:t>(3)</w:t>
      </w:r>
      <w:r w:rsidRPr="00BB54C2">
        <w:rPr>
          <w:rFonts w:ascii="Cambria" w:hAnsi="Cambria"/>
        </w:rPr>
        <w:t xml:space="preserve"> or no efficacy (Upper RTI - URTI) </w:t>
      </w:r>
      <w:r w:rsidRPr="00BB54C2">
        <w:rPr>
          <w:rFonts w:ascii="Cambria" w:hAnsi="Cambria"/>
          <w:noProof/>
        </w:rPr>
        <w:t>(4)</w:t>
      </w:r>
      <w:r w:rsidRPr="00BB54C2">
        <w:rPr>
          <w:rFonts w:ascii="Cambria" w:hAnsi="Cambria"/>
        </w:rPr>
        <w:t xml:space="preserve">. This evidence has informed evidence-based guidelines internationally, including authoritative Australian guidelines </w:t>
      </w:r>
      <w:r w:rsidRPr="00BB54C2">
        <w:rPr>
          <w:rFonts w:ascii="Cambria" w:hAnsi="Cambria"/>
          <w:noProof/>
        </w:rPr>
        <w:t>(5)</w:t>
      </w:r>
      <w:r w:rsidRPr="00BB54C2">
        <w:rPr>
          <w:rFonts w:ascii="Cambria" w:hAnsi="Cambria"/>
        </w:rPr>
        <w:t xml:space="preserve">. These strongly recommend against managing acute bronchitis or URTI with antibiotics. Despite this, Australian antibiotic prescribing rates for these conditions </w:t>
      </w:r>
      <w:r w:rsidRPr="00BB54C2">
        <w:rPr>
          <w:rFonts w:ascii="Cambria" w:hAnsi="Cambria"/>
          <w:noProof/>
        </w:rPr>
        <w:t>(6)</w:t>
      </w:r>
      <w:r w:rsidRPr="00BB54C2">
        <w:rPr>
          <w:rFonts w:ascii="Cambria" w:hAnsi="Cambria"/>
        </w:rPr>
        <w:t xml:space="preserve"> </w:t>
      </w:r>
      <w:hyperlink w:anchor="_ENREF_9" w:tooltip="Pan, 2006 #575" w:history="1"/>
      <w:r w:rsidRPr="00BB54C2">
        <w:rPr>
          <w:rFonts w:ascii="Cambria" w:hAnsi="Cambria"/>
        </w:rPr>
        <w:t xml:space="preserve"> </w:t>
      </w:r>
      <w:proofErr w:type="gramStart"/>
      <w:r w:rsidRPr="00BB54C2">
        <w:rPr>
          <w:rFonts w:ascii="Cambria" w:hAnsi="Cambria"/>
        </w:rPr>
        <w:t>are inappropriately high compared</w:t>
      </w:r>
      <w:proofErr w:type="gramEnd"/>
      <w:r w:rsidRPr="00BB54C2">
        <w:rPr>
          <w:rFonts w:ascii="Cambria" w:hAnsi="Cambria"/>
        </w:rPr>
        <w:t xml:space="preserve"> to international benchmarks </w:t>
      </w:r>
      <w:r w:rsidRPr="00BB54C2">
        <w:rPr>
          <w:rFonts w:ascii="Cambria" w:hAnsi="Cambria"/>
          <w:noProof/>
        </w:rPr>
        <w:t>(7)</w:t>
      </w:r>
      <w:r w:rsidRPr="00BB54C2">
        <w:rPr>
          <w:rFonts w:ascii="Cambria" w:hAnsi="Cambria"/>
        </w:rPr>
        <w:t xml:space="preserve">.  </w:t>
      </w:r>
    </w:p>
    <w:p w14:paraId="2E596A94" w14:textId="7FDDAD70" w:rsidR="00E1779F" w:rsidRPr="00BB54C2" w:rsidRDefault="00E1779F" w:rsidP="008A08FA">
      <w:pPr>
        <w:spacing w:after="120" w:line="480" w:lineRule="auto"/>
        <w:rPr>
          <w:rFonts w:ascii="Cambria" w:hAnsi="Cambria"/>
        </w:rPr>
      </w:pPr>
      <w:r w:rsidRPr="00BB54C2">
        <w:rPr>
          <w:rFonts w:ascii="Cambria" w:hAnsi="Cambria"/>
        </w:rPr>
        <w:t xml:space="preserve">Interventions to influence GPs’ inappropriate antibiotic prescription in RTIs have targeted established GPs and have had mixed success. There was little evidence for substantive benefit in a 2005 Cochrane review </w:t>
      </w:r>
      <w:r w:rsidRPr="00BB54C2">
        <w:rPr>
          <w:rFonts w:ascii="Cambria" w:hAnsi="Cambria"/>
          <w:noProof/>
        </w:rPr>
        <w:t>(8)</w:t>
      </w:r>
      <w:r w:rsidRPr="00BB54C2">
        <w:rPr>
          <w:rFonts w:ascii="Cambria" w:hAnsi="Cambria"/>
        </w:rPr>
        <w:t xml:space="preserve">, but some subsequent studies have demonstrated reduced antibiotic prescribing </w:t>
      </w:r>
      <w:r w:rsidRPr="00BB54C2">
        <w:rPr>
          <w:rFonts w:ascii="Cambria" w:hAnsi="Cambria"/>
          <w:noProof/>
        </w:rPr>
        <w:t>(9-12)</w:t>
      </w:r>
      <w:r w:rsidRPr="00BB54C2">
        <w:rPr>
          <w:rFonts w:ascii="Cambria" w:hAnsi="Cambria"/>
        </w:rPr>
        <w:t>.</w:t>
      </w:r>
      <w:hyperlink w:anchor="_ENREF_15" w:tooltip="Little, 2013 #585" w:history="1"/>
    </w:p>
    <w:p w14:paraId="375A803D" w14:textId="76539693" w:rsidR="00E1779F" w:rsidRPr="00BB54C2" w:rsidRDefault="00E1779F" w:rsidP="008A08FA">
      <w:pPr>
        <w:spacing w:after="120" w:line="480" w:lineRule="auto"/>
        <w:rPr>
          <w:rFonts w:ascii="Cambria" w:hAnsi="Cambria"/>
        </w:rPr>
      </w:pPr>
      <w:r w:rsidRPr="00BB54C2">
        <w:rPr>
          <w:rFonts w:ascii="Cambria" w:hAnsi="Cambria"/>
        </w:rPr>
        <w:t xml:space="preserve">GPs’ antibiotic prescribing practices, once established, tend to remain consistent and early-career and in-training GPs are important targets to influence antibiotic prescribing </w:t>
      </w:r>
      <w:r w:rsidRPr="00BB54C2">
        <w:rPr>
          <w:rFonts w:ascii="Cambria" w:hAnsi="Cambria"/>
          <w:noProof/>
        </w:rPr>
        <w:t>(13)</w:t>
      </w:r>
      <w:r w:rsidRPr="00BB54C2">
        <w:rPr>
          <w:rFonts w:ascii="Cambria" w:hAnsi="Cambria"/>
        </w:rPr>
        <w:t xml:space="preserve">. We have demonstrated that GP registrars’ (trainees’) antibiotic prescribing for URTI and acute bronchitis/bronchiolitis exceeds quality practice benchmarks </w:t>
      </w:r>
      <w:r w:rsidRPr="00BB54C2">
        <w:rPr>
          <w:rFonts w:ascii="Cambria" w:hAnsi="Cambria"/>
          <w:noProof/>
        </w:rPr>
        <w:t>(14)</w:t>
      </w:r>
      <w:r w:rsidRPr="00BB54C2">
        <w:rPr>
          <w:rFonts w:ascii="Cambria" w:hAnsi="Cambria"/>
        </w:rPr>
        <w:t xml:space="preserve"> and, more worryingly, does not improve during training </w:t>
      </w:r>
      <w:r w:rsidRPr="00BB54C2">
        <w:rPr>
          <w:rFonts w:ascii="Cambria" w:hAnsi="Cambria"/>
          <w:noProof/>
        </w:rPr>
        <w:t>(15)</w:t>
      </w:r>
      <w:r w:rsidRPr="00BB54C2">
        <w:rPr>
          <w:rFonts w:ascii="Cambria" w:hAnsi="Cambria"/>
        </w:rPr>
        <w:t xml:space="preserve">. </w:t>
      </w:r>
    </w:p>
    <w:p w14:paraId="25F68126" w14:textId="20D3D018" w:rsidR="00E1779F" w:rsidRPr="00BB54C2" w:rsidRDefault="00E1779F" w:rsidP="008A08FA">
      <w:pPr>
        <w:spacing w:after="120" w:line="480" w:lineRule="auto"/>
        <w:rPr>
          <w:rFonts w:ascii="Cambria" w:hAnsi="Cambria"/>
        </w:rPr>
      </w:pPr>
      <w:r w:rsidRPr="00BB54C2">
        <w:rPr>
          <w:rFonts w:ascii="Cambria" w:hAnsi="Cambria"/>
        </w:rPr>
        <w:lastRenderedPageBreak/>
        <w:t xml:space="preserve">We have previously established (via simple pre- and post-questionnaire responses to clinical vignettes) that a multifaceted intervention changes registrars’ </w:t>
      </w:r>
      <w:r w:rsidRPr="00BB54C2">
        <w:rPr>
          <w:rFonts w:ascii="Cambria" w:hAnsi="Cambria"/>
          <w:i/>
        </w:rPr>
        <w:t>intended</w:t>
      </w:r>
      <w:r w:rsidRPr="00BB54C2">
        <w:rPr>
          <w:rFonts w:ascii="Cambria" w:hAnsi="Cambria"/>
        </w:rPr>
        <w:t xml:space="preserve"> prescribing </w:t>
      </w:r>
      <w:r w:rsidR="00A5350E" w:rsidRPr="00BB54C2">
        <w:rPr>
          <w:rFonts w:ascii="Cambria" w:hAnsi="Cambria"/>
        </w:rPr>
        <w:t xml:space="preserve">for acute bronchitis </w:t>
      </w:r>
      <w:r w:rsidRPr="00BB54C2">
        <w:rPr>
          <w:rFonts w:ascii="Cambria" w:hAnsi="Cambria"/>
          <w:noProof/>
        </w:rPr>
        <w:t>(16)</w:t>
      </w:r>
      <w:r w:rsidRPr="00BB54C2">
        <w:rPr>
          <w:rFonts w:ascii="Cambria" w:hAnsi="Cambria"/>
        </w:rPr>
        <w:t xml:space="preserve">. Here we report on changes in </w:t>
      </w:r>
      <w:r w:rsidR="00A5350E" w:rsidRPr="00BB54C2">
        <w:rPr>
          <w:rFonts w:ascii="Cambria" w:hAnsi="Cambria"/>
        </w:rPr>
        <w:t xml:space="preserve">registrars’ </w:t>
      </w:r>
      <w:r w:rsidRPr="00BB54C2">
        <w:rPr>
          <w:rFonts w:ascii="Cambria" w:hAnsi="Cambria"/>
          <w:i/>
        </w:rPr>
        <w:t>actual</w:t>
      </w:r>
      <w:r w:rsidRPr="00BB54C2">
        <w:rPr>
          <w:rFonts w:ascii="Cambria" w:hAnsi="Cambria"/>
        </w:rPr>
        <w:t xml:space="preserve"> antibiotic prescribing for URTI and acute bronchitis/bronchiolitis, compared with a control group, following </w:t>
      </w:r>
      <w:r w:rsidR="00A5350E" w:rsidRPr="00BB54C2">
        <w:rPr>
          <w:rFonts w:ascii="Cambria" w:hAnsi="Cambria"/>
        </w:rPr>
        <w:t>the same</w:t>
      </w:r>
      <w:r w:rsidRPr="00BB54C2">
        <w:rPr>
          <w:rFonts w:ascii="Cambria" w:hAnsi="Cambria"/>
        </w:rPr>
        <w:t xml:space="preserve"> intervention.</w:t>
      </w:r>
    </w:p>
    <w:p w14:paraId="7CC5523D" w14:textId="77777777" w:rsidR="00E1779F" w:rsidRPr="00BB54C2" w:rsidRDefault="00E1779F" w:rsidP="008A08FA">
      <w:pPr>
        <w:spacing w:after="120" w:line="480" w:lineRule="auto"/>
        <w:rPr>
          <w:rFonts w:ascii="Cambria" w:hAnsi="Cambria"/>
          <w:b/>
        </w:rPr>
      </w:pPr>
      <w:r w:rsidRPr="00BB54C2">
        <w:rPr>
          <w:rFonts w:ascii="Cambria" w:hAnsi="Cambria"/>
          <w:b/>
        </w:rPr>
        <w:t>Methods</w:t>
      </w:r>
    </w:p>
    <w:p w14:paraId="38F0DA48" w14:textId="2D97877A" w:rsidR="00E1779F" w:rsidRPr="00BB54C2" w:rsidRDefault="00E1779F" w:rsidP="008A08FA">
      <w:pPr>
        <w:spacing w:after="120" w:line="480" w:lineRule="auto"/>
        <w:rPr>
          <w:rFonts w:ascii="Cambria" w:hAnsi="Cambria"/>
        </w:rPr>
      </w:pPr>
      <w:r w:rsidRPr="00BB54C2">
        <w:rPr>
          <w:rFonts w:ascii="Cambria" w:hAnsi="Cambria"/>
        </w:rPr>
        <w:t xml:space="preserve">The methodology has been described in detail previously </w:t>
      </w:r>
      <w:r w:rsidRPr="00BB54C2">
        <w:rPr>
          <w:rFonts w:ascii="Cambria" w:hAnsi="Cambria"/>
          <w:noProof/>
        </w:rPr>
        <w:t>(17)</w:t>
      </w:r>
      <w:r w:rsidRPr="00BB54C2">
        <w:rPr>
          <w:rFonts w:ascii="Cambria" w:hAnsi="Cambria"/>
        </w:rPr>
        <w:t>.</w:t>
      </w:r>
    </w:p>
    <w:p w14:paraId="0AF2DA32" w14:textId="77777777" w:rsidR="00E1779F" w:rsidRPr="00BB54C2" w:rsidRDefault="00E1779F" w:rsidP="008A08FA">
      <w:pPr>
        <w:spacing w:after="120" w:line="480" w:lineRule="auto"/>
        <w:rPr>
          <w:rFonts w:ascii="Cambria" w:hAnsi="Cambria"/>
          <w:i/>
        </w:rPr>
      </w:pPr>
      <w:r w:rsidRPr="00BB54C2">
        <w:rPr>
          <w:rFonts w:ascii="Cambria" w:hAnsi="Cambria"/>
          <w:i/>
        </w:rPr>
        <w:t>Setting and participants</w:t>
      </w:r>
    </w:p>
    <w:p w14:paraId="21A96212" w14:textId="77777777" w:rsidR="00E1779F" w:rsidRPr="00BB54C2" w:rsidRDefault="00E1779F" w:rsidP="008A08FA">
      <w:pPr>
        <w:spacing w:after="120" w:line="480" w:lineRule="auto"/>
        <w:rPr>
          <w:rFonts w:ascii="Cambria" w:hAnsi="Cambria"/>
        </w:rPr>
      </w:pPr>
      <w:r w:rsidRPr="00BB54C2">
        <w:rPr>
          <w:rFonts w:ascii="Cambria" w:hAnsi="Cambria"/>
        </w:rPr>
        <w:t xml:space="preserve">The study population was GP registrars in five of 17 Regional Training Providers (RTPs) in five of Australia’s six states. RTPs are government-funded, not-for-profit, geographically-defined general practice education and training organisations. </w:t>
      </w:r>
    </w:p>
    <w:p w14:paraId="7A23FEF6" w14:textId="77777777" w:rsidR="00E1779F" w:rsidRPr="00BB54C2" w:rsidRDefault="00E1779F" w:rsidP="008A08FA">
      <w:pPr>
        <w:spacing w:after="120" w:line="480" w:lineRule="auto"/>
        <w:rPr>
          <w:rFonts w:ascii="Cambria" w:hAnsi="Cambria"/>
        </w:rPr>
      </w:pPr>
      <w:r w:rsidRPr="00BB54C2">
        <w:rPr>
          <w:rFonts w:ascii="Cambria" w:hAnsi="Cambria"/>
        </w:rPr>
        <w:t>Registrar participants were in general practice-based training terms. Each of three terms lasts six-months, full-time-equivalent. Registrars operate within an apprenticeship-like model with a supervising GP but with considerable autonomy – including full prescribing rights.</w:t>
      </w:r>
    </w:p>
    <w:p w14:paraId="51F92CEF" w14:textId="77777777" w:rsidR="00E1779F" w:rsidRPr="00BB54C2" w:rsidRDefault="00E1779F" w:rsidP="008A08FA">
      <w:pPr>
        <w:spacing w:after="120" w:line="480" w:lineRule="auto"/>
        <w:rPr>
          <w:rFonts w:ascii="Cambria" w:hAnsi="Cambria"/>
          <w:i/>
        </w:rPr>
      </w:pPr>
      <w:r w:rsidRPr="00BB54C2">
        <w:rPr>
          <w:rFonts w:ascii="Cambria" w:hAnsi="Cambria"/>
          <w:i/>
        </w:rPr>
        <w:t>Methodology</w:t>
      </w:r>
    </w:p>
    <w:p w14:paraId="5F3DB98B" w14:textId="7DE5884D" w:rsidR="00E1779F" w:rsidRPr="00BB54C2" w:rsidRDefault="00E1779F" w:rsidP="008A08FA">
      <w:pPr>
        <w:spacing w:after="120" w:line="480" w:lineRule="auto"/>
        <w:rPr>
          <w:rFonts w:ascii="Cambria" w:hAnsi="Cambria"/>
        </w:rPr>
      </w:pPr>
      <w:r w:rsidRPr="00BB54C2">
        <w:rPr>
          <w:rFonts w:ascii="Cambria" w:hAnsi="Cambria"/>
        </w:rPr>
        <w:t xml:space="preserve">We employed a non-equivalent control group design </w:t>
      </w:r>
      <w:r w:rsidRPr="00BB54C2">
        <w:rPr>
          <w:rFonts w:ascii="Cambria" w:hAnsi="Cambria"/>
          <w:noProof/>
        </w:rPr>
        <w:t>(17)</w:t>
      </w:r>
      <w:r w:rsidRPr="00BB54C2">
        <w:rPr>
          <w:rFonts w:ascii="Cambria" w:hAnsi="Cambria"/>
        </w:rPr>
        <w:t xml:space="preserve"> nested within an existing ongoing cohort study – the Registrar Clinical Encounters in Training (</w:t>
      </w:r>
      <w:proofErr w:type="spellStart"/>
      <w:r w:rsidRPr="00BB54C2">
        <w:rPr>
          <w:rFonts w:ascii="Cambria" w:hAnsi="Cambria"/>
        </w:rPr>
        <w:t>ReCEnT</w:t>
      </w:r>
      <w:proofErr w:type="spellEnd"/>
      <w:r w:rsidRPr="00BB54C2">
        <w:rPr>
          <w:rFonts w:ascii="Cambria" w:hAnsi="Cambria"/>
        </w:rPr>
        <w:t xml:space="preserve">) study </w:t>
      </w:r>
      <w:r w:rsidRPr="00BB54C2">
        <w:rPr>
          <w:rFonts w:ascii="Cambria" w:hAnsi="Cambria"/>
          <w:noProof/>
        </w:rPr>
        <w:t>(18)</w:t>
      </w:r>
      <w:r w:rsidRPr="00BB54C2">
        <w:rPr>
          <w:rFonts w:ascii="Cambria" w:hAnsi="Cambria"/>
        </w:rPr>
        <w:t xml:space="preserve">. </w:t>
      </w:r>
    </w:p>
    <w:p w14:paraId="5E03F8D7" w14:textId="7EE0EC3A" w:rsidR="00E1779F" w:rsidRPr="00BB54C2" w:rsidRDefault="00E1779F" w:rsidP="008A08FA">
      <w:pPr>
        <w:spacing w:after="120" w:line="480" w:lineRule="auto"/>
        <w:rPr>
          <w:rFonts w:ascii="Cambria" w:hAnsi="Cambria"/>
        </w:rPr>
      </w:pPr>
      <w:r w:rsidRPr="00BB54C2">
        <w:rPr>
          <w:rFonts w:ascii="Cambria" w:hAnsi="Cambria"/>
        </w:rPr>
        <w:t xml:space="preserve">A randomised design was not appropriate in this project. Assignment to intervention or control in our study was at the level of RTP. GP education and training in Australia is mainly based on an apprenticeship-like model with the majority of time spent in general practice (with advice and assistance from a senior GP supervisor available to the registrar). Formal </w:t>
      </w:r>
      <w:r w:rsidRPr="00BB54C2">
        <w:rPr>
          <w:rFonts w:ascii="Cambria" w:hAnsi="Cambria"/>
        </w:rPr>
        <w:lastRenderedPageBreak/>
        <w:t xml:space="preserve">education sessions are held in each RTP in large-group teaching away from the practice. Assignment to intervention or control at the level of registrar or of other smaller units within the RTP was impracticable. Registrars of individual RTPs share considerable educational and professional contact (including at the group educational sessions) and assignment at the sub-RTP level would result in contamination, compromising study validity. </w:t>
      </w:r>
    </w:p>
    <w:p w14:paraId="596E26CC" w14:textId="77777777" w:rsidR="00E1779F" w:rsidRPr="00BB54C2" w:rsidRDefault="00E1779F" w:rsidP="008A08FA">
      <w:pPr>
        <w:spacing w:after="120" w:line="480" w:lineRule="auto"/>
        <w:rPr>
          <w:rFonts w:ascii="Cambria" w:hAnsi="Cambria"/>
        </w:rPr>
      </w:pPr>
      <w:r w:rsidRPr="00BB54C2">
        <w:rPr>
          <w:rFonts w:ascii="Cambria" w:hAnsi="Cambria"/>
        </w:rPr>
        <w:t xml:space="preserve">Cluster randomization, rather than non-random assignment, at the RTP level was also impractical. There are five RTPs participating in the </w:t>
      </w:r>
      <w:proofErr w:type="spellStart"/>
      <w:proofErr w:type="gramStart"/>
      <w:r w:rsidRPr="00BB54C2">
        <w:rPr>
          <w:rFonts w:ascii="Cambria" w:hAnsi="Cambria"/>
        </w:rPr>
        <w:t>ReCEnT</w:t>
      </w:r>
      <w:proofErr w:type="spellEnd"/>
      <w:proofErr w:type="gramEnd"/>
      <w:r w:rsidRPr="00BB54C2">
        <w:rPr>
          <w:rFonts w:ascii="Cambria" w:hAnsi="Cambria"/>
        </w:rPr>
        <w:t xml:space="preserve"> cohort study. The educational sessions in which our intervention was to be delivered are time-limited (with multiple topics competing for inclusion within the educational session program) and programs are set up to 18 months in advance.  The limited number of participating RTPs and the time-constraints and inflexibility of individual RTP program schedules made RTP-level cluster-randomization impossible. </w:t>
      </w:r>
    </w:p>
    <w:p w14:paraId="71D34004" w14:textId="77777777" w:rsidR="00E1779F" w:rsidRPr="00BB54C2" w:rsidRDefault="00E1779F" w:rsidP="008A08FA">
      <w:pPr>
        <w:spacing w:after="120" w:line="480" w:lineRule="auto"/>
        <w:rPr>
          <w:rFonts w:ascii="Cambria" w:hAnsi="Cambria"/>
        </w:rPr>
      </w:pPr>
      <w:r w:rsidRPr="00BB54C2">
        <w:rPr>
          <w:rFonts w:ascii="Cambria" w:hAnsi="Cambria"/>
        </w:rPr>
        <w:t>The registrars of two intervention RTPs, who were in either the first or second of their three GP-training terms, received the intervention as part of their routine educational program. Registrars of three other RTPs formed the control group.</w:t>
      </w:r>
    </w:p>
    <w:p w14:paraId="504BC679" w14:textId="77777777" w:rsidR="00E1779F" w:rsidRPr="00BB54C2" w:rsidRDefault="00E1779F" w:rsidP="008A08FA">
      <w:pPr>
        <w:spacing w:after="120" w:line="480" w:lineRule="auto"/>
        <w:rPr>
          <w:rFonts w:ascii="Cambria" w:hAnsi="Cambria"/>
        </w:rPr>
      </w:pPr>
      <w:r w:rsidRPr="00BB54C2">
        <w:rPr>
          <w:rFonts w:ascii="Cambria" w:hAnsi="Cambria"/>
        </w:rPr>
        <w:t>All registrars (in intervention and control groups) were participants in the Registrars Clinical Encounters in Training (</w:t>
      </w:r>
      <w:proofErr w:type="spellStart"/>
      <w:r w:rsidRPr="00BB54C2">
        <w:rPr>
          <w:rFonts w:ascii="Cambria" w:hAnsi="Cambria"/>
        </w:rPr>
        <w:t>ReCEnT</w:t>
      </w:r>
      <w:proofErr w:type="spellEnd"/>
      <w:r w:rsidRPr="00BB54C2">
        <w:rPr>
          <w:rFonts w:ascii="Cambria" w:hAnsi="Cambria"/>
        </w:rPr>
        <w:t xml:space="preserve">) project </w:t>
      </w:r>
      <w:r w:rsidRPr="00BB54C2">
        <w:rPr>
          <w:rFonts w:ascii="Cambria" w:hAnsi="Cambria"/>
          <w:noProof/>
        </w:rPr>
        <w:t>(18)</w:t>
      </w:r>
      <w:r w:rsidRPr="00BB54C2">
        <w:rPr>
          <w:rFonts w:ascii="Cambria" w:hAnsi="Cambria"/>
        </w:rPr>
        <w:t xml:space="preserve"> within which this study was nested. Data from that broader project (see below) were used in our analyses. </w:t>
      </w:r>
    </w:p>
    <w:p w14:paraId="0609F4E4" w14:textId="77777777" w:rsidR="00E1779F" w:rsidRPr="00BB54C2" w:rsidRDefault="00E1779F" w:rsidP="008A08FA">
      <w:pPr>
        <w:spacing w:after="120" w:line="480" w:lineRule="auto"/>
        <w:rPr>
          <w:rFonts w:ascii="Cambria" w:hAnsi="Cambria"/>
          <w:i/>
        </w:rPr>
      </w:pPr>
      <w:r w:rsidRPr="00BB54C2">
        <w:rPr>
          <w:rFonts w:ascii="Cambria" w:hAnsi="Cambria"/>
          <w:i/>
        </w:rPr>
        <w:t>Intervention</w:t>
      </w:r>
    </w:p>
    <w:p w14:paraId="470475A4" w14:textId="77777777" w:rsidR="00E1779F" w:rsidRPr="00BB54C2" w:rsidRDefault="00E1779F" w:rsidP="008A08FA">
      <w:pPr>
        <w:spacing w:after="120" w:line="480" w:lineRule="auto"/>
        <w:rPr>
          <w:rFonts w:ascii="Cambria" w:hAnsi="Cambria"/>
        </w:rPr>
      </w:pPr>
      <w:r w:rsidRPr="00BB54C2">
        <w:rPr>
          <w:rFonts w:ascii="Cambria" w:hAnsi="Cambria"/>
        </w:rPr>
        <w:t xml:space="preserve">The educational intervention for registrars comprised </w:t>
      </w:r>
    </w:p>
    <w:p w14:paraId="1121F1DE" w14:textId="77777777" w:rsidR="00E1779F" w:rsidRPr="00BB54C2" w:rsidRDefault="00E1779F" w:rsidP="008A08FA">
      <w:pPr>
        <w:pStyle w:val="ListParagraph"/>
        <w:numPr>
          <w:ilvl w:val="0"/>
          <w:numId w:val="3"/>
        </w:numPr>
        <w:spacing w:after="120" w:line="480" w:lineRule="auto"/>
        <w:rPr>
          <w:rFonts w:ascii="Cambria" w:hAnsi="Cambria"/>
        </w:rPr>
      </w:pPr>
      <w:proofErr w:type="gramStart"/>
      <w:r w:rsidRPr="00BB54C2">
        <w:rPr>
          <w:rFonts w:ascii="Cambria" w:hAnsi="Cambria"/>
        </w:rPr>
        <w:lastRenderedPageBreak/>
        <w:t>two</w:t>
      </w:r>
      <w:proofErr w:type="gramEnd"/>
      <w:r w:rsidRPr="00BB54C2">
        <w:rPr>
          <w:rFonts w:ascii="Cambria" w:hAnsi="Cambria"/>
        </w:rPr>
        <w:t xml:space="preserve"> online educational modules specified as pre-reading for the educational session.  </w:t>
      </w:r>
    </w:p>
    <w:p w14:paraId="5E488A98" w14:textId="77777777" w:rsidR="00E1779F" w:rsidRPr="00BB54C2" w:rsidRDefault="00E1779F" w:rsidP="008A08FA">
      <w:pPr>
        <w:pStyle w:val="ListParagraph"/>
        <w:numPr>
          <w:ilvl w:val="0"/>
          <w:numId w:val="3"/>
        </w:numPr>
        <w:spacing w:after="120" w:line="480" w:lineRule="auto"/>
        <w:rPr>
          <w:rFonts w:ascii="Cambria" w:hAnsi="Cambria"/>
        </w:rPr>
      </w:pPr>
      <w:r w:rsidRPr="00BB54C2">
        <w:rPr>
          <w:rFonts w:ascii="Cambria" w:hAnsi="Cambria"/>
        </w:rPr>
        <w:t xml:space="preserve"> a 90 minute face-to-face educational session conducted during routinely-scheduled educational workshops</w:t>
      </w:r>
    </w:p>
    <w:p w14:paraId="4C01E504" w14:textId="7CFE8B29" w:rsidR="00E1779F" w:rsidRPr="00BB54C2" w:rsidRDefault="00E1779F" w:rsidP="008A08FA">
      <w:pPr>
        <w:spacing w:after="120" w:line="480" w:lineRule="auto"/>
        <w:rPr>
          <w:rFonts w:ascii="Cambria" w:hAnsi="Cambria"/>
        </w:rPr>
      </w:pPr>
      <w:r w:rsidRPr="00BB54C2">
        <w:rPr>
          <w:rFonts w:ascii="Cambria" w:hAnsi="Cambria"/>
          <w:i/>
        </w:rPr>
        <w:t>The modules</w:t>
      </w:r>
      <w:r w:rsidRPr="00BB54C2">
        <w:rPr>
          <w:rFonts w:ascii="Cambria" w:hAnsi="Cambria"/>
        </w:rPr>
        <w:t xml:space="preserve">: comprised two of three </w:t>
      </w:r>
      <w:proofErr w:type="spellStart"/>
      <w:r w:rsidRPr="00BB54C2">
        <w:rPr>
          <w:rFonts w:ascii="Cambria" w:hAnsi="Cambria"/>
        </w:rPr>
        <w:t>INternet</w:t>
      </w:r>
      <w:proofErr w:type="spellEnd"/>
      <w:r w:rsidRPr="00BB54C2">
        <w:rPr>
          <w:rFonts w:ascii="Cambria" w:hAnsi="Cambria"/>
        </w:rPr>
        <w:t xml:space="preserve"> Training for Reducing </w:t>
      </w:r>
      <w:proofErr w:type="spellStart"/>
      <w:r w:rsidRPr="00BB54C2">
        <w:rPr>
          <w:rFonts w:ascii="Cambria" w:hAnsi="Cambria"/>
        </w:rPr>
        <w:t>AntibiOtic</w:t>
      </w:r>
      <w:proofErr w:type="spellEnd"/>
      <w:r w:rsidRPr="00BB54C2">
        <w:rPr>
          <w:rFonts w:ascii="Cambria" w:hAnsi="Cambria"/>
        </w:rPr>
        <w:t xml:space="preserve"> use (INTRO) electronic modules (developed and implemented within the European Union-funded GRACE study) </w:t>
      </w:r>
      <w:r w:rsidRPr="00BB54C2">
        <w:rPr>
          <w:rFonts w:ascii="Cambria" w:hAnsi="Cambria"/>
          <w:noProof/>
        </w:rPr>
        <w:t>(10, 19)</w:t>
      </w:r>
      <w:r w:rsidRPr="00BB54C2">
        <w:rPr>
          <w:rFonts w:ascii="Cambria" w:hAnsi="Cambria"/>
        </w:rPr>
        <w:t xml:space="preserve">.  These entailed a behaviour change intervention (based on Social Cognitive Theory and developed using extensive qualitative work with GPs within the Person-Based Approach </w:t>
      </w:r>
      <w:r w:rsidRPr="00BB54C2">
        <w:rPr>
          <w:rFonts w:ascii="Cambria" w:hAnsi="Cambria"/>
          <w:noProof/>
        </w:rPr>
        <w:t>(20)</w:t>
      </w:r>
      <w:r w:rsidRPr="00BB54C2">
        <w:rPr>
          <w:rFonts w:ascii="Cambria" w:hAnsi="Cambria"/>
        </w:rPr>
        <w:t xml:space="preserve">) aimed at changing the outcome expectancies and self-efficacy of clinicians to manage RTIs without prescribing antibiotics </w:t>
      </w:r>
      <w:r w:rsidRPr="00BB54C2">
        <w:rPr>
          <w:rFonts w:ascii="Cambria" w:hAnsi="Cambria"/>
          <w:noProof/>
        </w:rPr>
        <w:t>(19)</w:t>
      </w:r>
      <w:r w:rsidRPr="00BB54C2">
        <w:rPr>
          <w:rFonts w:ascii="Cambria" w:hAnsi="Cambria"/>
        </w:rPr>
        <w:t xml:space="preserve">. </w:t>
      </w:r>
      <w:hyperlink w:anchor="_ENREF_28" w:tooltip="Yardley, 2013 #657" w:history="1"/>
    </w:p>
    <w:p w14:paraId="7FBBB406" w14:textId="58D8C05C" w:rsidR="00E1779F" w:rsidRPr="00BB54C2" w:rsidRDefault="00E1779F" w:rsidP="008A08FA">
      <w:pPr>
        <w:spacing w:after="120" w:line="480" w:lineRule="auto"/>
        <w:rPr>
          <w:rFonts w:ascii="Cambria" w:hAnsi="Cambria"/>
        </w:rPr>
      </w:pPr>
      <w:r w:rsidRPr="00BB54C2">
        <w:rPr>
          <w:rFonts w:ascii="Cambria" w:hAnsi="Cambria"/>
        </w:rPr>
        <w:t xml:space="preserve">The first module covered the need for reduced antibiotic prescribing and the effect of over-prescription on health care systems, patients and GPs (linking this background with the recommendations of Therapeutics Guidelines: Australia (Antibiotics), 2013 version </w:t>
      </w:r>
      <w:r w:rsidRPr="00BB54C2">
        <w:rPr>
          <w:rFonts w:ascii="Cambria" w:hAnsi="Cambria"/>
          <w:noProof/>
        </w:rPr>
        <w:t>(5)</w:t>
      </w:r>
      <w:r w:rsidRPr="00BB54C2">
        <w:rPr>
          <w:rFonts w:ascii="Cambria" w:hAnsi="Cambria"/>
        </w:rPr>
        <w:t xml:space="preserve">).  This module was adapted for the Australian context by the authors (PM, JD, MVD), who have expertise in this area, in consultation with the INTRO team (LY, PL). The second module modelled communication skills in GP management of acute bronchitis, but these skills were relevant to all respiratory tract infections </w:t>
      </w:r>
      <w:r w:rsidRPr="00BB54C2">
        <w:rPr>
          <w:rFonts w:ascii="Cambria" w:hAnsi="Cambria"/>
          <w:noProof/>
        </w:rPr>
        <w:t>(10)</w:t>
      </w:r>
      <w:r w:rsidRPr="00BB54C2">
        <w:rPr>
          <w:rFonts w:ascii="Cambria" w:hAnsi="Cambria"/>
        </w:rPr>
        <w:t>.</w:t>
      </w:r>
    </w:p>
    <w:p w14:paraId="5EF647C2" w14:textId="464CA45B" w:rsidR="00E1779F" w:rsidRPr="00BB54C2" w:rsidRDefault="00E1779F" w:rsidP="008A08FA">
      <w:pPr>
        <w:tabs>
          <w:tab w:val="left" w:pos="0"/>
        </w:tabs>
        <w:spacing w:after="120" w:line="480" w:lineRule="auto"/>
        <w:rPr>
          <w:rFonts w:ascii="Cambria" w:hAnsi="Cambria"/>
        </w:rPr>
      </w:pPr>
      <w:r w:rsidRPr="00BB54C2">
        <w:rPr>
          <w:rFonts w:ascii="Cambria" w:hAnsi="Cambria"/>
        </w:rPr>
        <w:t xml:space="preserve">The online modules were piloted in a small group of non-participating registrars and medical educators/supervisors and amended according to their feedback before roll out. The face-to-face intervention was designed by a team of experienced medical educators and an infectious disease expert and delivered </w:t>
      </w:r>
      <w:r w:rsidR="00F87B26" w:rsidRPr="00BB54C2">
        <w:rPr>
          <w:rFonts w:ascii="Cambria" w:hAnsi="Cambria"/>
        </w:rPr>
        <w:t xml:space="preserve">by the local teams </w:t>
      </w:r>
      <w:r w:rsidRPr="00BB54C2">
        <w:rPr>
          <w:rFonts w:ascii="Cambria" w:hAnsi="Cambria"/>
        </w:rPr>
        <w:t xml:space="preserve">in the two participating RTPs in November-December 2014. </w:t>
      </w:r>
    </w:p>
    <w:p w14:paraId="0F9CD3A6" w14:textId="77777777" w:rsidR="00E1779F" w:rsidRPr="00BB54C2" w:rsidRDefault="00E1779F" w:rsidP="008A08FA">
      <w:pPr>
        <w:spacing w:after="120" w:line="480" w:lineRule="auto"/>
        <w:rPr>
          <w:rFonts w:ascii="Cambria" w:hAnsi="Cambria"/>
        </w:rPr>
      </w:pPr>
      <w:r w:rsidRPr="00BB54C2">
        <w:rPr>
          <w:rFonts w:ascii="Cambria" w:hAnsi="Cambria"/>
          <w:i/>
        </w:rPr>
        <w:lastRenderedPageBreak/>
        <w:t xml:space="preserve">GP registrar workshop sessions:  </w:t>
      </w:r>
      <w:r w:rsidRPr="00BB54C2">
        <w:rPr>
          <w:rFonts w:ascii="Cambria" w:hAnsi="Cambria"/>
        </w:rPr>
        <w:t xml:space="preserve">the interactive 90-minute workshop session included how to best implement current Australian guidelines </w:t>
      </w:r>
      <w:r w:rsidRPr="00BB54C2">
        <w:rPr>
          <w:rFonts w:ascii="Cambria" w:hAnsi="Cambria"/>
          <w:noProof/>
        </w:rPr>
        <w:t>(5)</w:t>
      </w:r>
      <w:r w:rsidRPr="00BB54C2">
        <w:rPr>
          <w:rFonts w:ascii="Cambria" w:hAnsi="Cambria"/>
        </w:rPr>
        <w:t xml:space="preserve"> in daily practice. URTIs and acute bronchitis were emphasized as exemplars of infections for which antibiotics are seldom indicated.</w:t>
      </w:r>
    </w:p>
    <w:p w14:paraId="0E70486C" w14:textId="77777777" w:rsidR="00E1779F" w:rsidRPr="00BB54C2" w:rsidRDefault="00E1779F" w:rsidP="008A08FA">
      <w:pPr>
        <w:spacing w:after="120" w:line="480" w:lineRule="auto"/>
        <w:rPr>
          <w:rFonts w:ascii="Cambria" w:hAnsi="Cambria"/>
        </w:rPr>
      </w:pPr>
      <w:r w:rsidRPr="00BB54C2">
        <w:rPr>
          <w:rFonts w:ascii="Cambria" w:hAnsi="Cambria"/>
        </w:rPr>
        <w:t xml:space="preserve">The workshop content was constructed by the research team of GP clinician/academics and an infectious diseases physician/researcher. The process was informed by literature in the area and our recent qualitative and quantitative work in registrar antibiotic prescribing </w:t>
      </w:r>
      <w:r w:rsidRPr="00BB54C2">
        <w:rPr>
          <w:rFonts w:ascii="Cambria" w:hAnsi="Cambria"/>
          <w:noProof/>
        </w:rPr>
        <w:t>(14, 21)</w:t>
      </w:r>
      <w:r w:rsidRPr="00BB54C2">
        <w:rPr>
          <w:rFonts w:ascii="Cambria" w:hAnsi="Cambria"/>
        </w:rPr>
        <w:t>.</w:t>
      </w:r>
    </w:p>
    <w:p w14:paraId="049704CB" w14:textId="182DC2B0" w:rsidR="00E1779F" w:rsidRPr="00BB54C2" w:rsidRDefault="00E1779F" w:rsidP="008A08FA">
      <w:pPr>
        <w:spacing w:after="120" w:line="480" w:lineRule="auto"/>
        <w:rPr>
          <w:rFonts w:ascii="Cambria" w:hAnsi="Cambria"/>
        </w:rPr>
      </w:pPr>
      <w:r w:rsidRPr="00BB54C2">
        <w:rPr>
          <w:rFonts w:ascii="Cambria" w:hAnsi="Cambria"/>
        </w:rPr>
        <w:t xml:space="preserve">We proposed three underlying principles as guiding non-pneumonia RTI management. Firstly, the default therapeutic decision is </w:t>
      </w:r>
      <w:r w:rsidRPr="00BB54C2">
        <w:rPr>
          <w:rFonts w:ascii="Cambria" w:hAnsi="Cambria"/>
          <w:i/>
        </w:rPr>
        <w:t>not</w:t>
      </w:r>
      <w:r w:rsidRPr="00BB54C2">
        <w:rPr>
          <w:rFonts w:ascii="Cambria" w:hAnsi="Cambria"/>
        </w:rPr>
        <w:t xml:space="preserve"> to prescribe antibiotics </w:t>
      </w:r>
      <w:r w:rsidRPr="00BB54C2">
        <w:rPr>
          <w:rFonts w:ascii="Cambria" w:hAnsi="Cambria"/>
          <w:noProof/>
        </w:rPr>
        <w:t>(5)</w:t>
      </w:r>
      <w:r w:rsidRPr="00BB54C2">
        <w:rPr>
          <w:rFonts w:ascii="Cambria" w:hAnsi="Cambria"/>
        </w:rPr>
        <w:t xml:space="preserve">. The second principle was that attempts to treat non-pneumonia RTIs on the basis of presumed viral or bacterial aetiology are problematic and do not reflect current understanding of the complex interplay of bacterial and viral pathogens. Rather, RTIs should be diagnosed and treated </w:t>
      </w:r>
      <w:proofErr w:type="spellStart"/>
      <w:r w:rsidRPr="00BB54C2">
        <w:rPr>
          <w:rFonts w:ascii="Cambria" w:hAnsi="Cambria"/>
        </w:rPr>
        <w:t>syndromically</w:t>
      </w:r>
      <w:proofErr w:type="spellEnd"/>
      <w:r w:rsidRPr="00BB54C2">
        <w:rPr>
          <w:rFonts w:ascii="Cambria" w:hAnsi="Cambria"/>
        </w:rPr>
        <w:t xml:space="preserve"> </w:t>
      </w:r>
      <w:r w:rsidRPr="00BB54C2">
        <w:rPr>
          <w:rFonts w:ascii="Cambria" w:hAnsi="Cambria"/>
          <w:noProof/>
        </w:rPr>
        <w:t>(3, 4)</w:t>
      </w:r>
      <w:r w:rsidRPr="00BB54C2">
        <w:rPr>
          <w:rFonts w:ascii="Cambria" w:hAnsi="Cambria"/>
        </w:rPr>
        <w:t>. The third principle was that the clinical science of RTI consultations may be straightforward but managing patient perceptions and expectations may not be: the sophistication of consultation techniques will reflect the consultation’s biopsychosocial rather than biological complexity. We also stressed individual GPs’ responsibility for antibiotic stewardship (given practitioners’ propensity to attribute antibiotic resistance to others’ actions).</w:t>
      </w:r>
    </w:p>
    <w:p w14:paraId="309FA402" w14:textId="77777777" w:rsidR="00E1779F" w:rsidRPr="00BB54C2" w:rsidRDefault="00E1779F" w:rsidP="008A08FA">
      <w:pPr>
        <w:spacing w:after="120" w:line="480" w:lineRule="auto"/>
        <w:rPr>
          <w:rFonts w:ascii="Cambria" w:hAnsi="Cambria"/>
        </w:rPr>
      </w:pPr>
      <w:r w:rsidRPr="00BB54C2">
        <w:rPr>
          <w:rFonts w:ascii="Cambria" w:hAnsi="Cambria"/>
          <w:i/>
        </w:rPr>
        <w:t>GP supervisor workshop sessions:</w:t>
      </w:r>
      <w:r w:rsidRPr="00BB54C2">
        <w:rPr>
          <w:rFonts w:ascii="Cambria" w:hAnsi="Cambria"/>
        </w:rPr>
        <w:t xml:space="preserve"> We delivered similar sessions (and module access) for registrars’ supervisors. We also encouraged individual registrar-supervisor dyads to discuss case-studies of RTIs during their weekly one-on-one educational sessions. The rationale for the supervisor element of the intervention was that our previous research </w:t>
      </w:r>
      <w:r w:rsidRPr="00BB54C2">
        <w:rPr>
          <w:rFonts w:ascii="Cambria" w:hAnsi="Cambria"/>
          <w:noProof/>
        </w:rPr>
        <w:t xml:space="preserve">(14, </w:t>
      </w:r>
      <w:r w:rsidRPr="00BB54C2">
        <w:rPr>
          <w:rFonts w:ascii="Cambria" w:hAnsi="Cambria"/>
          <w:noProof/>
        </w:rPr>
        <w:lastRenderedPageBreak/>
        <w:t>21)</w:t>
      </w:r>
      <w:r w:rsidRPr="00BB54C2">
        <w:rPr>
          <w:rFonts w:ascii="Cambria" w:hAnsi="Cambria"/>
        </w:rPr>
        <w:t xml:space="preserve"> has suggested that prescribing patterns (role-modelling) of supervisors and the ‘apprenticeship’ model of the registrar-supervisor relationship are drivers of non-rational antibiotic prescribing. </w:t>
      </w:r>
    </w:p>
    <w:p w14:paraId="7763A668" w14:textId="77777777" w:rsidR="00E1779F" w:rsidRPr="00BB54C2" w:rsidRDefault="00E1779F" w:rsidP="008A08FA">
      <w:pPr>
        <w:spacing w:after="120" w:line="480" w:lineRule="auto"/>
        <w:rPr>
          <w:rFonts w:ascii="Cambria" w:hAnsi="Cambria"/>
          <w:i/>
        </w:rPr>
      </w:pPr>
      <w:r w:rsidRPr="00BB54C2">
        <w:rPr>
          <w:rFonts w:ascii="Cambria" w:hAnsi="Cambria"/>
          <w:i/>
        </w:rPr>
        <w:t>Control</w:t>
      </w:r>
    </w:p>
    <w:p w14:paraId="44F3E123" w14:textId="328FC3AE" w:rsidR="00E1779F" w:rsidRPr="00BB54C2" w:rsidRDefault="00E1779F" w:rsidP="008A08FA">
      <w:pPr>
        <w:spacing w:after="120" w:line="480" w:lineRule="auto"/>
        <w:rPr>
          <w:rFonts w:ascii="Cambria" w:hAnsi="Cambria"/>
        </w:rPr>
      </w:pPr>
      <w:r w:rsidRPr="00BB54C2">
        <w:rPr>
          <w:rFonts w:ascii="Cambria" w:hAnsi="Cambria"/>
        </w:rPr>
        <w:t xml:space="preserve">The three control RTPs delivered their usual education through a series of workshops. The content of these varied per RTP and may have included information on rational antibiotic prescribing, but did not include the online modules, </w:t>
      </w:r>
      <w:r w:rsidR="00C871B8" w:rsidRPr="00BB54C2">
        <w:rPr>
          <w:rFonts w:ascii="Cambria" w:hAnsi="Cambria"/>
        </w:rPr>
        <w:t xml:space="preserve">nor the </w:t>
      </w:r>
      <w:r w:rsidRPr="00BB54C2">
        <w:rPr>
          <w:rFonts w:ascii="Cambria" w:hAnsi="Cambria"/>
        </w:rPr>
        <w:t xml:space="preserve">session with an infectious disease specialist and </w:t>
      </w:r>
      <w:r w:rsidR="00C871B8" w:rsidRPr="00BB54C2">
        <w:rPr>
          <w:rFonts w:ascii="Cambria" w:hAnsi="Cambria"/>
        </w:rPr>
        <w:t xml:space="preserve">the </w:t>
      </w:r>
      <w:r w:rsidRPr="00BB54C2">
        <w:rPr>
          <w:rFonts w:ascii="Cambria" w:hAnsi="Cambria"/>
        </w:rPr>
        <w:t>supervisor training.</w:t>
      </w:r>
    </w:p>
    <w:p w14:paraId="5B10D135" w14:textId="77777777" w:rsidR="00E1779F" w:rsidRPr="00BB54C2" w:rsidRDefault="00E1779F" w:rsidP="008A08FA">
      <w:pPr>
        <w:spacing w:after="120" w:line="480" w:lineRule="auto"/>
        <w:rPr>
          <w:rFonts w:ascii="Cambria" w:hAnsi="Cambria"/>
          <w:i/>
        </w:rPr>
      </w:pPr>
      <w:proofErr w:type="spellStart"/>
      <w:r w:rsidRPr="00BB54C2">
        <w:rPr>
          <w:rFonts w:ascii="Cambria" w:hAnsi="Cambria"/>
          <w:i/>
        </w:rPr>
        <w:t>ReCEnT</w:t>
      </w:r>
      <w:proofErr w:type="spellEnd"/>
      <w:r w:rsidRPr="00BB54C2">
        <w:rPr>
          <w:rFonts w:ascii="Cambria" w:hAnsi="Cambria"/>
          <w:i/>
        </w:rPr>
        <w:t xml:space="preserve"> project</w:t>
      </w:r>
    </w:p>
    <w:p w14:paraId="2F36C1C3" w14:textId="2E929F8C" w:rsidR="00E1779F" w:rsidRPr="00BB54C2" w:rsidRDefault="00E1779F" w:rsidP="008A08FA">
      <w:pPr>
        <w:spacing w:after="120" w:line="480" w:lineRule="auto"/>
        <w:rPr>
          <w:rFonts w:ascii="Cambria" w:hAnsi="Cambria"/>
        </w:rPr>
      </w:pPr>
      <w:proofErr w:type="spellStart"/>
      <w:r w:rsidRPr="00BB54C2">
        <w:rPr>
          <w:rFonts w:ascii="Cambria" w:hAnsi="Cambria"/>
        </w:rPr>
        <w:t>ReCEnT</w:t>
      </w:r>
      <w:proofErr w:type="spellEnd"/>
      <w:r w:rsidRPr="00BB54C2">
        <w:rPr>
          <w:rFonts w:ascii="Cambria" w:hAnsi="Cambria"/>
        </w:rPr>
        <w:t xml:space="preserve"> is an ongoing cohort study of registrars’ clinical consultations </w:t>
      </w:r>
      <w:r w:rsidRPr="00BB54C2">
        <w:rPr>
          <w:rFonts w:ascii="Cambria" w:hAnsi="Cambria"/>
          <w:noProof/>
        </w:rPr>
        <w:t>(18)</w:t>
      </w:r>
      <w:r w:rsidRPr="00BB54C2">
        <w:rPr>
          <w:rFonts w:ascii="Cambria" w:hAnsi="Cambria"/>
        </w:rPr>
        <w:t xml:space="preserve">. At approximately the midpoint of each of three GP training terms, each registrar records details of 60 consecutive consultations, included diagnoses/problems managed and medications prescribed (these are subsequently coded by trained data-entry staff). </w:t>
      </w:r>
    </w:p>
    <w:p w14:paraId="62B411B5" w14:textId="77777777" w:rsidR="00E1779F" w:rsidRPr="00BB54C2" w:rsidRDefault="00E1779F" w:rsidP="008A08FA">
      <w:pPr>
        <w:spacing w:after="120" w:line="480" w:lineRule="auto"/>
        <w:rPr>
          <w:rFonts w:ascii="Cambria" w:hAnsi="Cambria"/>
          <w:i/>
        </w:rPr>
      </w:pPr>
      <w:r w:rsidRPr="00BB54C2">
        <w:rPr>
          <w:rFonts w:ascii="Cambria" w:hAnsi="Cambria"/>
          <w:i/>
        </w:rPr>
        <w:t>Outcome factors</w:t>
      </w:r>
    </w:p>
    <w:p w14:paraId="31182B9D" w14:textId="77777777" w:rsidR="00E1779F" w:rsidRPr="00BB54C2" w:rsidRDefault="00E1779F" w:rsidP="008A08FA">
      <w:pPr>
        <w:spacing w:after="120" w:line="480" w:lineRule="auto"/>
        <w:rPr>
          <w:rFonts w:ascii="Cambria" w:hAnsi="Cambria"/>
        </w:rPr>
      </w:pPr>
      <w:r w:rsidRPr="00BB54C2">
        <w:rPr>
          <w:rFonts w:ascii="Cambria" w:hAnsi="Cambria"/>
        </w:rPr>
        <w:t xml:space="preserve">Primary outcome factors were prescription/non-prescription of antibiotics for presentations with </w:t>
      </w:r>
    </w:p>
    <w:p w14:paraId="074DFE3B" w14:textId="77777777" w:rsidR="00E1779F" w:rsidRPr="00BB54C2" w:rsidRDefault="00E1779F" w:rsidP="008A08FA">
      <w:pPr>
        <w:spacing w:after="120" w:line="480" w:lineRule="auto"/>
        <w:rPr>
          <w:rFonts w:ascii="Cambria" w:hAnsi="Cambria"/>
        </w:rPr>
      </w:pPr>
      <w:r w:rsidRPr="00BB54C2">
        <w:rPr>
          <w:rFonts w:ascii="Cambria" w:hAnsi="Cambria"/>
        </w:rPr>
        <w:t xml:space="preserve">a) URTI, and </w:t>
      </w:r>
    </w:p>
    <w:p w14:paraId="561EC8E4" w14:textId="77777777" w:rsidR="00E1779F" w:rsidRPr="00BB54C2" w:rsidRDefault="00E1779F" w:rsidP="008A08FA">
      <w:pPr>
        <w:spacing w:after="120" w:line="480" w:lineRule="auto"/>
        <w:rPr>
          <w:rFonts w:ascii="Cambria" w:hAnsi="Cambria"/>
        </w:rPr>
      </w:pPr>
      <w:r w:rsidRPr="00BB54C2">
        <w:rPr>
          <w:rFonts w:ascii="Cambria" w:hAnsi="Cambria"/>
        </w:rPr>
        <w:t xml:space="preserve">b) </w:t>
      </w:r>
      <w:proofErr w:type="gramStart"/>
      <w:r w:rsidRPr="00BB54C2">
        <w:rPr>
          <w:rFonts w:ascii="Cambria" w:hAnsi="Cambria"/>
        </w:rPr>
        <w:t>acute</w:t>
      </w:r>
      <w:proofErr w:type="gramEnd"/>
      <w:r w:rsidRPr="00BB54C2">
        <w:rPr>
          <w:rFonts w:ascii="Cambria" w:hAnsi="Cambria"/>
        </w:rPr>
        <w:t xml:space="preserve"> bronchitis/bronchiolitis. </w:t>
      </w:r>
    </w:p>
    <w:p w14:paraId="760DBA27" w14:textId="77777777" w:rsidR="00E1779F" w:rsidRPr="00BB54C2" w:rsidRDefault="00E1779F" w:rsidP="008A08FA">
      <w:pPr>
        <w:spacing w:after="120" w:line="480" w:lineRule="auto"/>
        <w:rPr>
          <w:rFonts w:ascii="Cambria" w:hAnsi="Cambria"/>
        </w:rPr>
      </w:pPr>
      <w:r w:rsidRPr="00BB54C2">
        <w:rPr>
          <w:rFonts w:ascii="Cambria" w:hAnsi="Cambria"/>
        </w:rPr>
        <w:t>Antibiotics were defined according to the Anatomic Therapeutic Chemical (ATC) Classification codes J01: ‘</w:t>
      </w:r>
      <w:proofErr w:type="spellStart"/>
      <w:r w:rsidRPr="00BB54C2">
        <w:rPr>
          <w:rFonts w:ascii="Cambria" w:hAnsi="Cambria"/>
        </w:rPr>
        <w:t>antibacterials</w:t>
      </w:r>
      <w:proofErr w:type="spellEnd"/>
      <w:r w:rsidRPr="00BB54C2">
        <w:rPr>
          <w:rFonts w:ascii="Cambria" w:hAnsi="Cambria"/>
        </w:rPr>
        <w:t xml:space="preserve"> for systemic use’. ‘URTI’ and ‘acute bronchitis/bronchiolitis’ were defined by their International Primary Care </w:t>
      </w:r>
      <w:proofErr w:type="gramStart"/>
      <w:r w:rsidRPr="00BB54C2">
        <w:rPr>
          <w:rFonts w:ascii="Cambria" w:hAnsi="Cambria"/>
        </w:rPr>
        <w:t>Classification(</w:t>
      </w:r>
      <w:proofErr w:type="gramEnd"/>
      <w:r w:rsidRPr="00BB54C2">
        <w:rPr>
          <w:rFonts w:ascii="Cambria" w:hAnsi="Cambria"/>
        </w:rPr>
        <w:t xml:space="preserve">ICPC-2) codes: R74 and R78, respectively. Registrars recorded their diagnosis </w:t>
      </w:r>
      <w:r w:rsidRPr="00BB54C2">
        <w:rPr>
          <w:rFonts w:ascii="Cambria" w:hAnsi="Cambria"/>
        </w:rPr>
        <w:lastRenderedPageBreak/>
        <w:t xml:space="preserve">or problem formulation in free-text. Trained data-entry coders then matched the registrars’ descriptions to ICPC-2 codes. </w:t>
      </w:r>
    </w:p>
    <w:p w14:paraId="5322D29B" w14:textId="77777777" w:rsidR="00E1779F" w:rsidRPr="00BB54C2" w:rsidRDefault="00E1779F" w:rsidP="008A08FA">
      <w:pPr>
        <w:spacing w:after="120" w:line="480" w:lineRule="auto"/>
        <w:rPr>
          <w:rFonts w:ascii="Cambria" w:hAnsi="Cambria"/>
          <w:i/>
        </w:rPr>
      </w:pPr>
      <w:r w:rsidRPr="00BB54C2">
        <w:rPr>
          <w:rFonts w:ascii="Cambria" w:hAnsi="Cambria"/>
          <w:i/>
        </w:rPr>
        <w:t>Independent variables</w:t>
      </w:r>
    </w:p>
    <w:p w14:paraId="79F6572D" w14:textId="77777777" w:rsidR="00E1779F" w:rsidRPr="00BB54C2" w:rsidRDefault="00E1779F" w:rsidP="008A08FA">
      <w:pPr>
        <w:spacing w:after="120" w:line="480" w:lineRule="auto"/>
        <w:rPr>
          <w:rFonts w:ascii="Cambria" w:hAnsi="Cambria"/>
        </w:rPr>
      </w:pPr>
      <w:r w:rsidRPr="00BB54C2">
        <w:rPr>
          <w:rFonts w:ascii="Cambria" w:hAnsi="Cambria"/>
        </w:rPr>
        <w:t xml:space="preserve">Registrar, patient, practice and consultation variables were included in our analyses. </w:t>
      </w:r>
    </w:p>
    <w:p w14:paraId="7A7B5580" w14:textId="77777777" w:rsidR="00E1779F" w:rsidRPr="00BB54C2" w:rsidRDefault="00E1779F" w:rsidP="008A08FA">
      <w:pPr>
        <w:spacing w:after="120" w:line="480" w:lineRule="auto"/>
        <w:rPr>
          <w:rFonts w:ascii="Cambria" w:hAnsi="Cambria"/>
        </w:rPr>
      </w:pPr>
      <w:r w:rsidRPr="00BB54C2">
        <w:rPr>
          <w:rFonts w:ascii="Cambria" w:hAnsi="Cambria"/>
        </w:rPr>
        <w:t>Registrar variables were: age, gender, full-time or part-time status, country of primary medical graduation (Australian/non-Australian) and training term.</w:t>
      </w:r>
    </w:p>
    <w:p w14:paraId="688C0EF3" w14:textId="77777777" w:rsidR="00E1779F" w:rsidRPr="00BB54C2" w:rsidRDefault="00E1779F" w:rsidP="008A08FA">
      <w:pPr>
        <w:spacing w:after="120" w:line="480" w:lineRule="auto"/>
        <w:rPr>
          <w:rFonts w:ascii="Cambria" w:hAnsi="Cambria"/>
        </w:rPr>
      </w:pPr>
      <w:r w:rsidRPr="00BB54C2">
        <w:rPr>
          <w:rFonts w:ascii="Cambria" w:hAnsi="Cambria"/>
        </w:rPr>
        <w:t xml:space="preserve">Patient variables were: age, gender, Aboriginal or Torres Strait Islander status, non-English speaking background (NESB) status, the patient being new to the practice, and the patient being new to the registrar. </w:t>
      </w:r>
    </w:p>
    <w:p w14:paraId="60267F6E" w14:textId="77777777" w:rsidR="00E1779F" w:rsidRPr="00BB54C2" w:rsidRDefault="00E1779F" w:rsidP="008A08FA">
      <w:pPr>
        <w:spacing w:after="120" w:line="480" w:lineRule="auto"/>
        <w:rPr>
          <w:rFonts w:ascii="Cambria" w:hAnsi="Cambria"/>
        </w:rPr>
      </w:pPr>
      <w:r w:rsidRPr="00BB54C2">
        <w:rPr>
          <w:rFonts w:ascii="Cambria" w:hAnsi="Cambria"/>
        </w:rPr>
        <w:t xml:space="preserve">Practice variables were: size (number of full-time equivalent GPs), rurality (Australian Standard Geographical Classification-Remoteness Area -ASGC-RA classification), socioeconomic status (the practice location’s Socioeconomic Index for Area (SEIFA) Relative Index of Disadvantage decile), and billing policy (does the practice routinely bulk bill: that is, provide consultations with no cost to the patient). </w:t>
      </w:r>
    </w:p>
    <w:p w14:paraId="3FF3822B" w14:textId="77777777" w:rsidR="00E1779F" w:rsidRPr="00BB54C2" w:rsidRDefault="00E1779F" w:rsidP="008A08FA">
      <w:pPr>
        <w:spacing w:after="120" w:line="480" w:lineRule="auto"/>
        <w:rPr>
          <w:rFonts w:ascii="Cambria" w:hAnsi="Cambria"/>
        </w:rPr>
      </w:pPr>
      <w:r w:rsidRPr="00BB54C2">
        <w:rPr>
          <w:rFonts w:ascii="Cambria" w:hAnsi="Cambria"/>
          <w:i/>
        </w:rPr>
        <w:t>Consultation variables</w:t>
      </w:r>
      <w:r w:rsidRPr="00BB54C2">
        <w:rPr>
          <w:rFonts w:ascii="Cambria" w:hAnsi="Cambria"/>
        </w:rPr>
        <w:t xml:space="preserve"> were: number of problems addressed and whether the registrar sought in-consultation advice or information (from their supervisor or other resources, such as specialists, books or electronic resources). </w:t>
      </w:r>
      <w:hyperlink w:anchor="_ENREF_34" w:tooltip="AustralianBureauofStatistics, 2006 #162" w:history="1"/>
      <w:hyperlink w:anchor="_ENREF_35" w:tooltip="AustralianBureauofStatistics., 2006 #163" w:history="1"/>
    </w:p>
    <w:p w14:paraId="7BD571FA" w14:textId="77777777" w:rsidR="00E1779F" w:rsidRPr="00BB54C2" w:rsidRDefault="00E1779F" w:rsidP="008A08FA">
      <w:pPr>
        <w:spacing w:after="120" w:line="480" w:lineRule="auto"/>
        <w:rPr>
          <w:rFonts w:ascii="Cambria" w:hAnsi="Cambria"/>
        </w:rPr>
      </w:pPr>
      <w:r w:rsidRPr="00BB54C2">
        <w:rPr>
          <w:rFonts w:ascii="Cambria" w:hAnsi="Cambria"/>
          <w:i/>
        </w:rPr>
        <w:t>Statistical analyses</w:t>
      </w:r>
    </w:p>
    <w:p w14:paraId="4682732A" w14:textId="77777777" w:rsidR="00E1779F" w:rsidRPr="00BB54C2" w:rsidRDefault="00E1779F" w:rsidP="008A08FA">
      <w:pPr>
        <w:spacing w:after="120" w:line="480" w:lineRule="auto"/>
        <w:rPr>
          <w:rFonts w:ascii="Cambria" w:hAnsi="Cambria"/>
        </w:rPr>
      </w:pPr>
      <w:r w:rsidRPr="00BB54C2">
        <w:rPr>
          <w:rFonts w:ascii="Cambria" w:hAnsi="Cambria"/>
        </w:rPr>
        <w:t xml:space="preserve">Logistic regression models were used to determine if there was a reduction in the prescribing of antibiotics as a result of the intervention. The logistic regression models were fitted within a Generalised Estimating Equation (GEE) framework to adjust for correlation of outcomes within registrars. Separate models were fitted for treatment of URTIs and for </w:t>
      </w:r>
      <w:r w:rsidRPr="00BB54C2">
        <w:rPr>
          <w:rFonts w:ascii="Cambria" w:hAnsi="Cambria"/>
        </w:rPr>
        <w:lastRenderedPageBreak/>
        <w:t xml:space="preserve">acute bronchitis/bronchiolitis.  The predictors of interest were: time (before/after intervention); treatment group; and an interaction term for time by treatment group. The p-value associated with the interaction term was used to determine if there was a statistically significant difference in change from the pre-intervention period to the post-intervention period in the intervention group compared to the control group.  </w:t>
      </w:r>
    </w:p>
    <w:p w14:paraId="1588E91A" w14:textId="77777777" w:rsidR="00E1779F" w:rsidRPr="00BB54C2" w:rsidRDefault="00E1779F" w:rsidP="008A08FA">
      <w:pPr>
        <w:spacing w:after="120" w:line="480" w:lineRule="auto"/>
        <w:rPr>
          <w:rFonts w:ascii="Cambria" w:hAnsi="Cambria"/>
        </w:rPr>
      </w:pPr>
      <w:r w:rsidRPr="00BB54C2">
        <w:rPr>
          <w:rFonts w:ascii="Cambria" w:hAnsi="Cambria"/>
        </w:rPr>
        <w:t>To examine the potential impact of confounding, multiple regression models were fitted for each of the outcomes without including the treatment and time variables as predictors. Variables with p-values less than 0.05 in these multiple regression models were then included in a model with time, treatment and the interaction term.</w:t>
      </w:r>
    </w:p>
    <w:p w14:paraId="406351ED" w14:textId="77777777" w:rsidR="00E1779F" w:rsidRPr="00BB54C2" w:rsidRDefault="00E1779F" w:rsidP="008A08FA">
      <w:pPr>
        <w:spacing w:after="120" w:line="480" w:lineRule="auto"/>
        <w:rPr>
          <w:rFonts w:ascii="Cambria" w:hAnsi="Cambria"/>
        </w:rPr>
      </w:pPr>
      <w:r w:rsidRPr="00BB54C2">
        <w:rPr>
          <w:rFonts w:ascii="Cambria" w:hAnsi="Cambria"/>
        </w:rPr>
        <w:t xml:space="preserve">The primary analyses were on an intention-to-treat basis (of all registrars eligible to attend the education session).  Analysis was restricted to data from </w:t>
      </w:r>
      <w:proofErr w:type="spellStart"/>
      <w:r w:rsidRPr="00BB54C2">
        <w:rPr>
          <w:rFonts w:ascii="Cambria" w:hAnsi="Cambria"/>
        </w:rPr>
        <w:t>ReCEnT</w:t>
      </w:r>
      <w:proofErr w:type="spellEnd"/>
      <w:r w:rsidRPr="00BB54C2">
        <w:rPr>
          <w:rFonts w:ascii="Cambria" w:hAnsi="Cambria"/>
        </w:rPr>
        <w:t xml:space="preserve"> round 6 (2012, second semester) or later as these rounds coincided with rounds participated in by any of the registrars who were eligible to attend the workshop. Post-intervention data was from Round 11 (2015, first semester). </w:t>
      </w:r>
    </w:p>
    <w:p w14:paraId="3D4AD5E0" w14:textId="49FF8DE2" w:rsidR="00E1779F" w:rsidRPr="00BB54C2" w:rsidRDefault="00E1779F" w:rsidP="008A08FA">
      <w:pPr>
        <w:spacing w:after="120" w:line="480" w:lineRule="auto"/>
        <w:rPr>
          <w:rFonts w:ascii="Cambria" w:hAnsi="Cambria"/>
        </w:rPr>
      </w:pPr>
      <w:r w:rsidRPr="00BB54C2">
        <w:rPr>
          <w:rFonts w:ascii="Cambria" w:hAnsi="Cambria"/>
        </w:rPr>
        <w:t xml:space="preserve"> In sensitivity analyses we explored the impact of choosing Round 6 as the cut-point for inclusion by further analyses using each of Rounds 7 to 10 as the cut-point.  The sensitivity analyses were conducted as registrars do not proceed through training uniformly or necessarily continuously (due to part-time training and leave periods). We also performed sensitivity analyses restricted to registrars who attended the educational sessions.</w:t>
      </w:r>
    </w:p>
    <w:p w14:paraId="7AFBD7F9" w14:textId="77777777" w:rsidR="00E1779F" w:rsidRPr="00BB54C2" w:rsidRDefault="00E1779F" w:rsidP="008A08FA">
      <w:pPr>
        <w:spacing w:after="120" w:line="480" w:lineRule="auto"/>
        <w:rPr>
          <w:rFonts w:ascii="Cambria" w:hAnsi="Cambria"/>
        </w:rPr>
      </w:pPr>
      <w:r w:rsidRPr="00BB54C2">
        <w:rPr>
          <w:rFonts w:ascii="Cambria" w:hAnsi="Cambria"/>
        </w:rPr>
        <w:t>Analyses were programmed in Stata V13 or SAS 9.4. Statistical significance was set at 0.05.</w:t>
      </w:r>
    </w:p>
    <w:p w14:paraId="2A99775A" w14:textId="77777777" w:rsidR="00E1779F" w:rsidRPr="00BB54C2" w:rsidRDefault="00E1779F" w:rsidP="008A08FA">
      <w:pPr>
        <w:spacing w:after="120" w:line="480" w:lineRule="auto"/>
        <w:rPr>
          <w:rFonts w:ascii="Cambria" w:hAnsi="Cambria"/>
          <w:i/>
        </w:rPr>
      </w:pPr>
      <w:r w:rsidRPr="00BB54C2">
        <w:rPr>
          <w:rFonts w:ascii="Cambria" w:hAnsi="Cambria"/>
          <w:i/>
        </w:rPr>
        <w:t>Power and sample size</w:t>
      </w:r>
    </w:p>
    <w:p w14:paraId="5C846FF7" w14:textId="43D77084" w:rsidR="00E1779F" w:rsidRPr="00BB54C2" w:rsidRDefault="00E1779F" w:rsidP="008A08FA">
      <w:pPr>
        <w:spacing w:after="120" w:line="480" w:lineRule="auto"/>
        <w:rPr>
          <w:rFonts w:ascii="Cambria" w:hAnsi="Cambria"/>
        </w:rPr>
      </w:pPr>
      <w:r w:rsidRPr="00BB54C2">
        <w:rPr>
          <w:rFonts w:ascii="Cambria" w:hAnsi="Cambria"/>
        </w:rPr>
        <w:lastRenderedPageBreak/>
        <w:t xml:space="preserve">We anticipated 130 registrars in the intervention RTPs and 160 registrars in the control RTPs. For URTIs, given a pre-intervention rate of antibiotic prescribing of 22%, and registrars managing an average of four URTI consultations per data collection round (from earlier </w:t>
      </w:r>
      <w:proofErr w:type="spellStart"/>
      <w:r w:rsidRPr="00BB54C2">
        <w:rPr>
          <w:rFonts w:ascii="Cambria" w:hAnsi="Cambria"/>
        </w:rPr>
        <w:t>ReCEnT</w:t>
      </w:r>
      <w:proofErr w:type="spellEnd"/>
      <w:r w:rsidRPr="00BB54C2">
        <w:rPr>
          <w:rFonts w:ascii="Cambria" w:hAnsi="Cambria"/>
        </w:rPr>
        <w:t xml:space="preserve"> data </w:t>
      </w:r>
      <w:r w:rsidRPr="00BB54C2">
        <w:rPr>
          <w:rFonts w:ascii="Cambria" w:hAnsi="Cambria"/>
          <w:noProof/>
        </w:rPr>
        <w:t>(14)</w:t>
      </w:r>
      <w:r w:rsidR="00C871B8" w:rsidRPr="00BB54C2">
        <w:rPr>
          <w:rFonts w:ascii="Cambria" w:hAnsi="Cambria"/>
        </w:rPr>
        <w:t xml:space="preserve">), </w:t>
      </w:r>
      <w:r w:rsidRPr="00BB54C2">
        <w:rPr>
          <w:rFonts w:ascii="Cambria" w:hAnsi="Cambria"/>
        </w:rPr>
        <w:t xml:space="preserve">we calculated the study to have approximately 80% power to find an absolute reduction of 10% in antibiotic prescribing for URTIs in the intervention group compared with the control group, taking into account an inflation factor of 1.9. </w:t>
      </w:r>
    </w:p>
    <w:p w14:paraId="5FC84061" w14:textId="77777777" w:rsidR="00E1779F" w:rsidRPr="00BB54C2" w:rsidRDefault="00E1779F" w:rsidP="008A08FA">
      <w:pPr>
        <w:spacing w:after="120" w:line="480" w:lineRule="auto"/>
        <w:rPr>
          <w:rFonts w:ascii="Cambria" w:hAnsi="Cambria"/>
          <w:b/>
        </w:rPr>
      </w:pPr>
      <w:r w:rsidRPr="00BB54C2">
        <w:rPr>
          <w:rFonts w:ascii="Cambria" w:hAnsi="Cambria"/>
          <w:b/>
        </w:rPr>
        <w:t>Results</w:t>
      </w:r>
    </w:p>
    <w:p w14:paraId="205AA76D" w14:textId="77777777" w:rsidR="00E1779F" w:rsidRPr="00BB54C2" w:rsidRDefault="00E1779F" w:rsidP="008A08FA">
      <w:pPr>
        <w:spacing w:after="120" w:line="480" w:lineRule="auto"/>
        <w:rPr>
          <w:rFonts w:ascii="Cambria" w:hAnsi="Cambria"/>
        </w:rPr>
      </w:pPr>
      <w:r w:rsidRPr="00BB54C2">
        <w:rPr>
          <w:rFonts w:ascii="Cambria" w:hAnsi="Cambria"/>
        </w:rPr>
        <w:t xml:space="preserve">The data of 217 intervention group and 311 control group registrars were included in analyses. The flow diagram of registrars included in the analyses is presented in Figure1. The response rate in the overall </w:t>
      </w:r>
      <w:proofErr w:type="spellStart"/>
      <w:proofErr w:type="gramStart"/>
      <w:r w:rsidRPr="00BB54C2">
        <w:rPr>
          <w:rFonts w:ascii="Cambria" w:hAnsi="Cambria"/>
        </w:rPr>
        <w:t>ReCEnT</w:t>
      </w:r>
      <w:proofErr w:type="spellEnd"/>
      <w:proofErr w:type="gramEnd"/>
      <w:r w:rsidRPr="00BB54C2">
        <w:rPr>
          <w:rFonts w:ascii="Cambria" w:hAnsi="Cambria"/>
        </w:rPr>
        <w:t xml:space="preserve"> project during the period included in analyses (2012-2015) was 97.7%. Characteristics of registrars and their practices are presented in Table 1. </w:t>
      </w:r>
    </w:p>
    <w:p w14:paraId="50D5C070" w14:textId="77777777" w:rsidR="00E1779F" w:rsidRPr="00BB54C2" w:rsidRDefault="00E1779F" w:rsidP="008A08FA">
      <w:pPr>
        <w:spacing w:after="120" w:line="480" w:lineRule="auto"/>
        <w:rPr>
          <w:rFonts w:ascii="Cambria" w:hAnsi="Cambria"/>
        </w:rPr>
      </w:pPr>
      <w:r w:rsidRPr="00BB54C2">
        <w:rPr>
          <w:rFonts w:ascii="Cambria" w:hAnsi="Cambria"/>
        </w:rPr>
        <w:t>The intervention was delivered between November-December 2014. In the intervention RTPs, there were 89 registrars in Terms 1 and 2, and 67 (75%) attended the workshop. Our systems were unable to monitor rates of accessing the on-line modules.</w:t>
      </w:r>
    </w:p>
    <w:p w14:paraId="3344593D" w14:textId="77777777" w:rsidR="00E1779F" w:rsidRPr="00BB54C2" w:rsidRDefault="00E1779F" w:rsidP="008A08FA">
      <w:pPr>
        <w:spacing w:after="120" w:line="480" w:lineRule="auto"/>
        <w:rPr>
          <w:rFonts w:ascii="Cambria" w:hAnsi="Cambria"/>
        </w:rPr>
      </w:pPr>
      <w:r w:rsidRPr="00BB54C2">
        <w:rPr>
          <w:rFonts w:ascii="Cambria" w:hAnsi="Cambria"/>
        </w:rPr>
        <w:t xml:space="preserve">Pre- and post-intervention data were collected in 2012-14 and 2015, respectively.  </w:t>
      </w:r>
    </w:p>
    <w:p w14:paraId="602036C0" w14:textId="77777777" w:rsidR="00E1779F" w:rsidRPr="00BB54C2" w:rsidRDefault="00E1779F" w:rsidP="008A08FA">
      <w:pPr>
        <w:spacing w:after="120" w:line="480" w:lineRule="auto"/>
        <w:rPr>
          <w:rFonts w:ascii="Cambria" w:hAnsi="Cambria"/>
          <w:i/>
        </w:rPr>
      </w:pPr>
      <w:r w:rsidRPr="00BB54C2">
        <w:rPr>
          <w:rFonts w:ascii="Cambria" w:hAnsi="Cambria"/>
          <w:i/>
        </w:rPr>
        <w:t>URTI</w:t>
      </w:r>
    </w:p>
    <w:p w14:paraId="4EE1496D" w14:textId="77777777" w:rsidR="00E1779F" w:rsidRPr="00BB54C2" w:rsidRDefault="00E1779F" w:rsidP="008A08FA">
      <w:pPr>
        <w:spacing w:after="120" w:line="480" w:lineRule="auto"/>
        <w:rPr>
          <w:rFonts w:ascii="Cambria" w:hAnsi="Cambria"/>
        </w:rPr>
      </w:pPr>
      <w:r w:rsidRPr="00BB54C2">
        <w:rPr>
          <w:rFonts w:ascii="Cambria" w:hAnsi="Cambria"/>
        </w:rPr>
        <w:t xml:space="preserve">Numbers and percentages of patients prescribed an antibiotic when seen for an URTI are presented by intervention/control group and </w:t>
      </w:r>
      <w:proofErr w:type="spellStart"/>
      <w:proofErr w:type="gramStart"/>
      <w:r w:rsidRPr="00BB54C2">
        <w:rPr>
          <w:rFonts w:ascii="Cambria" w:hAnsi="Cambria"/>
        </w:rPr>
        <w:t>ReCEnT</w:t>
      </w:r>
      <w:proofErr w:type="spellEnd"/>
      <w:proofErr w:type="gramEnd"/>
      <w:r w:rsidRPr="00BB54C2">
        <w:rPr>
          <w:rFonts w:ascii="Cambria" w:hAnsi="Cambria"/>
        </w:rPr>
        <w:t xml:space="preserve"> round, in Table 2. </w:t>
      </w:r>
    </w:p>
    <w:p w14:paraId="33CAC718" w14:textId="77777777" w:rsidR="00E1779F" w:rsidRPr="00BB54C2" w:rsidRDefault="00E1779F" w:rsidP="008A08FA">
      <w:pPr>
        <w:spacing w:after="120" w:line="480" w:lineRule="auto"/>
        <w:rPr>
          <w:rFonts w:ascii="Cambria" w:hAnsi="Cambria"/>
        </w:rPr>
      </w:pPr>
      <w:r w:rsidRPr="00BB54C2">
        <w:rPr>
          <w:rFonts w:ascii="Cambria" w:hAnsi="Cambria"/>
        </w:rPr>
        <w:t xml:space="preserve">There was no statistically significant difference in change in antibiotic prescription for URTIs in the intervention group compared to the control group post-intervention (interaction p-value from GEE = 0.42). This remained true for the analysis adjusted for </w:t>
      </w:r>
      <w:r w:rsidRPr="00BB54C2">
        <w:rPr>
          <w:rFonts w:ascii="Cambria" w:hAnsi="Cambria"/>
        </w:rPr>
        <w:lastRenderedPageBreak/>
        <w:t>variables found to be significant in the multiple regression models (p-value = 0.62). See Table 3.</w:t>
      </w:r>
    </w:p>
    <w:p w14:paraId="0544BE29" w14:textId="77777777" w:rsidR="00E1779F" w:rsidRPr="00BB54C2" w:rsidRDefault="00E1779F" w:rsidP="008A08FA">
      <w:pPr>
        <w:spacing w:after="120" w:line="480" w:lineRule="auto"/>
        <w:rPr>
          <w:rFonts w:ascii="Cambria" w:hAnsi="Cambria"/>
          <w:i/>
        </w:rPr>
      </w:pPr>
      <w:r w:rsidRPr="00BB54C2">
        <w:rPr>
          <w:rFonts w:ascii="Cambria" w:hAnsi="Cambria"/>
          <w:i/>
        </w:rPr>
        <w:t>Acute bronchitis/bronchiolitis</w:t>
      </w:r>
    </w:p>
    <w:p w14:paraId="393FE796" w14:textId="77777777" w:rsidR="00E1779F" w:rsidRPr="00BB54C2" w:rsidRDefault="00E1779F" w:rsidP="008A08FA">
      <w:pPr>
        <w:spacing w:after="120" w:line="480" w:lineRule="auto"/>
        <w:rPr>
          <w:rFonts w:ascii="Cambria" w:hAnsi="Cambria"/>
        </w:rPr>
      </w:pPr>
      <w:r w:rsidRPr="00BB54C2">
        <w:rPr>
          <w:rFonts w:ascii="Cambria" w:hAnsi="Cambria"/>
        </w:rPr>
        <w:t xml:space="preserve">Numbers and percentages of patients prescribed an antibiotic when seen for acute bronchitis/bronchiolitis are presented by intervention/control group and </w:t>
      </w:r>
      <w:proofErr w:type="spellStart"/>
      <w:proofErr w:type="gramStart"/>
      <w:r w:rsidRPr="00BB54C2">
        <w:rPr>
          <w:rFonts w:ascii="Cambria" w:hAnsi="Cambria"/>
        </w:rPr>
        <w:t>ReCEnT</w:t>
      </w:r>
      <w:proofErr w:type="spellEnd"/>
      <w:proofErr w:type="gramEnd"/>
      <w:r w:rsidRPr="00BB54C2">
        <w:rPr>
          <w:rFonts w:ascii="Cambria" w:hAnsi="Cambria"/>
        </w:rPr>
        <w:t xml:space="preserve"> round, in Table 2. </w:t>
      </w:r>
    </w:p>
    <w:p w14:paraId="63A44446" w14:textId="77777777" w:rsidR="00E1779F" w:rsidRPr="00BB54C2" w:rsidRDefault="00E1779F" w:rsidP="008A08FA">
      <w:pPr>
        <w:spacing w:after="120" w:line="480" w:lineRule="auto"/>
        <w:rPr>
          <w:rFonts w:ascii="Cambria" w:hAnsi="Cambria"/>
        </w:rPr>
      </w:pPr>
      <w:r w:rsidRPr="00BB54C2">
        <w:rPr>
          <w:rFonts w:ascii="Cambria" w:hAnsi="Cambria"/>
        </w:rPr>
        <w:t>There was a statistically significant difference in change in antibiotic prescribing for bronchitis/bronchiolitis in the intervention group compared to the control group post-intervention (interaction p-value from GEE = 0.024). This remained true for the analysis adjusted for variables found to be significant in the multiple regression models (p-value = 0.040). See Table 4.</w:t>
      </w:r>
    </w:p>
    <w:p w14:paraId="2FDC2904" w14:textId="77777777" w:rsidR="00E1779F" w:rsidRPr="00BB54C2" w:rsidRDefault="00E1779F" w:rsidP="008A08FA">
      <w:pPr>
        <w:spacing w:after="120" w:line="480" w:lineRule="auto"/>
        <w:rPr>
          <w:rFonts w:ascii="Cambria" w:hAnsi="Cambria"/>
        </w:rPr>
      </w:pPr>
      <w:r w:rsidRPr="00BB54C2">
        <w:rPr>
          <w:rFonts w:ascii="Cambria" w:hAnsi="Cambria"/>
        </w:rPr>
        <w:t>The absolute reduction in prescribing of the intervention group compared to the control group, adjusted for clustering was 15.1% (95% CIs: 1.3%-28.9%) and also adjusted for independent variables was 15.8% (95% CIs: 4.2%-27.5%).</w:t>
      </w:r>
    </w:p>
    <w:p w14:paraId="2C1E5466" w14:textId="77777777" w:rsidR="00E1779F" w:rsidRPr="00BB54C2" w:rsidRDefault="00E1779F" w:rsidP="008A08FA">
      <w:pPr>
        <w:spacing w:after="120" w:line="480" w:lineRule="auto"/>
        <w:rPr>
          <w:rFonts w:ascii="Cambria" w:hAnsi="Cambria"/>
          <w:i/>
        </w:rPr>
      </w:pPr>
      <w:r w:rsidRPr="00BB54C2">
        <w:rPr>
          <w:rFonts w:ascii="Cambria" w:hAnsi="Cambria"/>
          <w:i/>
        </w:rPr>
        <w:t>Sensitivity analyses</w:t>
      </w:r>
    </w:p>
    <w:p w14:paraId="22988DA5" w14:textId="77777777" w:rsidR="00E1779F" w:rsidRPr="00BB54C2" w:rsidRDefault="00E1779F" w:rsidP="008A08FA">
      <w:pPr>
        <w:spacing w:after="120" w:line="480" w:lineRule="auto"/>
        <w:rPr>
          <w:rFonts w:ascii="Cambria" w:hAnsi="Cambria"/>
        </w:rPr>
      </w:pPr>
      <w:r w:rsidRPr="00BB54C2">
        <w:rPr>
          <w:rFonts w:ascii="Cambria" w:hAnsi="Cambria"/>
        </w:rPr>
        <w:t>The difference in change in antibiotic prescribing for bronchitis/bronchiolitis remained stable as the number of rounds of data collection included in the analysis was reduced (Supplementary Table 1).</w:t>
      </w:r>
    </w:p>
    <w:p w14:paraId="517EBC72" w14:textId="77777777" w:rsidR="00E1779F" w:rsidRPr="00BB54C2" w:rsidRDefault="00E1779F" w:rsidP="008A08FA">
      <w:pPr>
        <w:spacing w:after="120" w:line="480" w:lineRule="auto"/>
        <w:rPr>
          <w:rFonts w:ascii="Cambria" w:hAnsi="Cambria"/>
        </w:rPr>
      </w:pPr>
      <w:r w:rsidRPr="00BB54C2">
        <w:rPr>
          <w:rFonts w:ascii="Cambria" w:hAnsi="Cambria"/>
        </w:rPr>
        <w:t>In analyses restricted to workshop-attending registrars, there remained no significant difference in antibiotic prescribing for URTIs (p=0.58), and for acute bronchitis/bronchiolitis the difference remained significant with little impact on the significance of the interaction term (p=0.045).</w:t>
      </w:r>
    </w:p>
    <w:p w14:paraId="06104286" w14:textId="77777777" w:rsidR="00E1779F" w:rsidRPr="00BB54C2" w:rsidRDefault="00E1779F" w:rsidP="008A08FA">
      <w:pPr>
        <w:spacing w:after="120" w:line="480" w:lineRule="auto"/>
        <w:rPr>
          <w:rFonts w:ascii="Cambria" w:hAnsi="Cambria"/>
          <w:b/>
        </w:rPr>
      </w:pPr>
      <w:r w:rsidRPr="00BB54C2">
        <w:rPr>
          <w:rFonts w:ascii="Cambria" w:hAnsi="Cambria"/>
          <w:b/>
        </w:rPr>
        <w:lastRenderedPageBreak/>
        <w:t>Discussion</w:t>
      </w:r>
    </w:p>
    <w:p w14:paraId="45468F8A" w14:textId="549E8D42" w:rsidR="00E1779F" w:rsidRPr="00BB54C2" w:rsidRDefault="00E1779F" w:rsidP="008A08FA">
      <w:pPr>
        <w:spacing w:after="120" w:line="480" w:lineRule="auto"/>
        <w:rPr>
          <w:rFonts w:ascii="Cambria" w:hAnsi="Cambria"/>
        </w:rPr>
      </w:pPr>
      <w:r w:rsidRPr="00BB54C2">
        <w:rPr>
          <w:rFonts w:ascii="Cambria" w:hAnsi="Cambria"/>
        </w:rPr>
        <w:t xml:space="preserve">Our intervention significantly reduced antibiotic prescribing for acute bronchitis/bronchiolitis but not for URTIs. The lack of significant reduction in prescribing for URTIs may partially reflect modest baseline levels of prescribing pre-intervention. In the data collection round immediately prior to the intervention the proportion of URTIs prescribed antibiotics was 16.5% in the intervention group and 13.4% in the control group - appreciably less than the 21.6% found in the early rounds of the </w:t>
      </w:r>
      <w:proofErr w:type="spellStart"/>
      <w:r w:rsidRPr="00BB54C2">
        <w:rPr>
          <w:rFonts w:ascii="Cambria" w:hAnsi="Cambria"/>
        </w:rPr>
        <w:t>ReCEnT</w:t>
      </w:r>
      <w:proofErr w:type="spellEnd"/>
      <w:r w:rsidRPr="00BB54C2">
        <w:rPr>
          <w:rFonts w:ascii="Cambria" w:hAnsi="Cambria"/>
        </w:rPr>
        <w:t xml:space="preserve"> project (2010-2012) </w:t>
      </w:r>
      <w:r w:rsidRPr="00BB54C2">
        <w:rPr>
          <w:rFonts w:ascii="Cambria" w:hAnsi="Cambria"/>
          <w:noProof/>
        </w:rPr>
        <w:t>(14)</w:t>
      </w:r>
      <w:r w:rsidRPr="00BB54C2">
        <w:rPr>
          <w:rFonts w:ascii="Cambria" w:hAnsi="Cambria"/>
        </w:rPr>
        <w:t xml:space="preserve">. This may be explained by the trend of reducing antibiotic prescribing for URTIs that has been observed in earlier studies, but contemporary data are not available </w:t>
      </w:r>
      <w:r w:rsidRPr="00BB54C2">
        <w:rPr>
          <w:rFonts w:ascii="Cambria" w:hAnsi="Cambria"/>
          <w:noProof/>
        </w:rPr>
        <w:t>(22)</w:t>
      </w:r>
      <w:r w:rsidRPr="00BB54C2">
        <w:rPr>
          <w:rFonts w:ascii="Cambria" w:hAnsi="Cambria"/>
        </w:rPr>
        <w:t xml:space="preserve">. The proportion of URTIs prescribed antibiotics in the pre-intervention round is within the ‘acceptable range’ (0-20%) of European quality indicators for outpatient antibiotic prescribing for URTIs </w:t>
      </w:r>
      <w:r w:rsidRPr="00BB54C2">
        <w:rPr>
          <w:rFonts w:ascii="Cambria" w:hAnsi="Cambria"/>
          <w:noProof/>
        </w:rPr>
        <w:t>(7)</w:t>
      </w:r>
      <w:r w:rsidRPr="00BB54C2">
        <w:rPr>
          <w:rFonts w:ascii="Cambria" w:hAnsi="Cambria"/>
        </w:rPr>
        <w:t xml:space="preserve">. Thus there may have been limited scope for improvement. </w:t>
      </w:r>
    </w:p>
    <w:p w14:paraId="3EFD708F" w14:textId="619DFA09" w:rsidR="00E1779F" w:rsidRPr="00BB54C2" w:rsidRDefault="00E1779F" w:rsidP="008A08FA">
      <w:pPr>
        <w:spacing w:after="120" w:line="480" w:lineRule="auto"/>
        <w:rPr>
          <w:rFonts w:ascii="Cambria" w:hAnsi="Cambria"/>
        </w:rPr>
      </w:pPr>
      <w:r w:rsidRPr="00BB54C2">
        <w:rPr>
          <w:rFonts w:ascii="Cambria" w:hAnsi="Cambria"/>
        </w:rPr>
        <w:t xml:space="preserve">For acute bronchitis/bronchiolitis, the Odds Ratio (OR) of 0.47 for the interaction term (period by treatment) included an increase in prescribing in the control group as well as a reduction in the intervention group (as was so for RCTs of interventions in this area </w:t>
      </w:r>
      <w:r w:rsidRPr="00BB54C2">
        <w:rPr>
          <w:rFonts w:ascii="Cambria" w:hAnsi="Cambria"/>
          <w:noProof/>
        </w:rPr>
        <w:t>(23-26)</w:t>
      </w:r>
      <w:r w:rsidRPr="00BB54C2">
        <w:rPr>
          <w:rFonts w:ascii="Cambria" w:hAnsi="Cambria"/>
        </w:rPr>
        <w:t xml:space="preserve">). This OR and the absolute reduction in prescribing compared to the control group of 15.1% (15.8%, adjusted for independent variables) represent an effect size greater than the mean effect size (8.7%) reported in studies with either before-and-after measurement or a control group in a 2012 systematic review of interventions for RTIs/antibiotics </w:t>
      </w:r>
      <w:r w:rsidRPr="00BB54C2">
        <w:rPr>
          <w:rFonts w:ascii="Cambria" w:hAnsi="Cambria"/>
          <w:noProof/>
        </w:rPr>
        <w:t>(11)</w:t>
      </w:r>
      <w:r w:rsidRPr="00BB54C2">
        <w:rPr>
          <w:rFonts w:ascii="Cambria" w:hAnsi="Cambria"/>
        </w:rPr>
        <w:t>. The unexpected high antibiotic prescribing rate observed in the control group post-intervention may have inflated our effect. We do not have an explanation for this</w:t>
      </w:r>
      <w:r w:rsidR="00CE36A7" w:rsidRPr="00BB54C2">
        <w:rPr>
          <w:rFonts w:ascii="Cambria" w:hAnsi="Cambria"/>
        </w:rPr>
        <w:t>,</w:t>
      </w:r>
      <w:r w:rsidRPr="00BB54C2">
        <w:rPr>
          <w:rFonts w:ascii="Cambria" w:hAnsi="Cambria"/>
        </w:rPr>
        <w:t xml:space="preserve"> but this effect is comparable with results of subsequent RCTs (ORs 0.72</w:t>
      </w:r>
      <w:proofErr w:type="gramStart"/>
      <w:r w:rsidRPr="00BB54C2">
        <w:rPr>
          <w:rFonts w:ascii="Cambria" w:hAnsi="Cambria"/>
        </w:rPr>
        <w:t>,</w:t>
      </w:r>
      <w:r w:rsidRPr="00BB54C2">
        <w:rPr>
          <w:rFonts w:ascii="Cambria" w:hAnsi="Cambria"/>
          <w:noProof/>
        </w:rPr>
        <w:t>(</w:t>
      </w:r>
      <w:proofErr w:type="gramEnd"/>
      <w:r w:rsidRPr="00BB54C2">
        <w:rPr>
          <w:rFonts w:ascii="Cambria" w:hAnsi="Cambria"/>
          <w:noProof/>
        </w:rPr>
        <w:t>9)</w:t>
      </w:r>
      <w:r w:rsidRPr="00BB54C2">
        <w:rPr>
          <w:rFonts w:ascii="Cambria" w:hAnsi="Cambria"/>
        </w:rPr>
        <w:t xml:space="preserve">  0·53, 0.68 and 0·38 </w:t>
      </w:r>
      <w:r w:rsidRPr="00BB54C2">
        <w:rPr>
          <w:rFonts w:ascii="Cambria" w:hAnsi="Cambria"/>
          <w:noProof/>
        </w:rPr>
        <w:t>(12)</w:t>
      </w:r>
      <w:r w:rsidRPr="00BB54C2">
        <w:rPr>
          <w:rFonts w:ascii="Cambria" w:hAnsi="Cambria"/>
        </w:rPr>
        <w:t>). Nevertheless, these findings should be interpreted with caution.</w:t>
      </w:r>
    </w:p>
    <w:p w14:paraId="1BD3E61C" w14:textId="77777777" w:rsidR="00E1779F" w:rsidRPr="00BB54C2" w:rsidRDefault="00E1779F" w:rsidP="008A08FA">
      <w:pPr>
        <w:spacing w:after="120" w:line="480" w:lineRule="auto"/>
        <w:rPr>
          <w:rFonts w:ascii="Cambria" w:hAnsi="Cambria"/>
          <w:i/>
        </w:rPr>
      </w:pPr>
      <w:r w:rsidRPr="00BB54C2">
        <w:rPr>
          <w:rFonts w:ascii="Cambria" w:hAnsi="Cambria"/>
          <w:i/>
        </w:rPr>
        <w:lastRenderedPageBreak/>
        <w:t>Strengths and limitations</w:t>
      </w:r>
    </w:p>
    <w:p w14:paraId="2B2F7094" w14:textId="3B0462E0" w:rsidR="00E1779F" w:rsidRPr="00BB54C2" w:rsidRDefault="00E1779F" w:rsidP="008A08FA">
      <w:pPr>
        <w:spacing w:after="120" w:line="480" w:lineRule="auto"/>
        <w:rPr>
          <w:rFonts w:ascii="Cambria" w:hAnsi="Cambria"/>
        </w:rPr>
      </w:pPr>
      <w:r w:rsidRPr="00BB54C2">
        <w:rPr>
          <w:rFonts w:ascii="Cambria" w:hAnsi="Cambria"/>
        </w:rPr>
        <w:t xml:space="preserve">A strength of the study was that, despite the sophistication of the intervention’s development process </w:t>
      </w:r>
      <w:r w:rsidRPr="00BB54C2">
        <w:rPr>
          <w:rFonts w:ascii="Cambria" w:hAnsi="Cambria"/>
          <w:noProof/>
        </w:rPr>
        <w:t>(19)</w:t>
      </w:r>
      <w:r w:rsidRPr="00BB54C2">
        <w:rPr>
          <w:rFonts w:ascii="Cambria" w:hAnsi="Cambria"/>
        </w:rPr>
        <w:t xml:space="preserve">, this was a pragmatic intervention delivered within existing educational/training programs. The use of online materials and relatively brief large-group training makes it an efficient means of delivering a complex intervention. Some previous interventions have required onerous training time commitments (one day </w:t>
      </w:r>
      <w:r w:rsidRPr="00BB54C2">
        <w:rPr>
          <w:rFonts w:ascii="Cambria" w:hAnsi="Cambria"/>
          <w:noProof/>
        </w:rPr>
        <w:t>(9)</w:t>
      </w:r>
      <w:r w:rsidRPr="00BB54C2">
        <w:rPr>
          <w:rFonts w:ascii="Cambria" w:hAnsi="Cambria"/>
        </w:rPr>
        <w:t xml:space="preserve">, or 2-3 days </w:t>
      </w:r>
      <w:r w:rsidRPr="00BB54C2">
        <w:rPr>
          <w:rFonts w:ascii="Cambria" w:hAnsi="Cambria"/>
          <w:noProof/>
        </w:rPr>
        <w:t>(23, 24)</w:t>
      </w:r>
      <w:hyperlink w:anchor="_ENREF_31" w:tooltip="Ferrat, 2016 #770" w:history="1"/>
      <w:r w:rsidRPr="00BB54C2">
        <w:rPr>
          <w:rFonts w:ascii="Cambria" w:hAnsi="Cambria"/>
        </w:rPr>
        <w:t xml:space="preserve">), or delivery of separate educational sessions to small groups </w:t>
      </w:r>
      <w:r w:rsidRPr="00BB54C2">
        <w:rPr>
          <w:rFonts w:ascii="Cambria" w:hAnsi="Cambria"/>
          <w:noProof/>
        </w:rPr>
        <w:t>(9, 26)</w:t>
      </w:r>
      <w:hyperlink w:anchor="_ENREF_38" w:tooltip="Welschen, 2004 #783" w:history="1"/>
      <w:r w:rsidRPr="00BB54C2">
        <w:rPr>
          <w:rFonts w:ascii="Cambria" w:hAnsi="Cambria"/>
        </w:rPr>
        <w:t xml:space="preserve"> or practices </w:t>
      </w:r>
      <w:r w:rsidRPr="00BB54C2">
        <w:rPr>
          <w:rFonts w:ascii="Cambria" w:hAnsi="Cambria"/>
          <w:noProof/>
        </w:rPr>
        <w:t>(25)</w:t>
      </w:r>
      <w:r w:rsidRPr="00BB54C2">
        <w:rPr>
          <w:rFonts w:ascii="Cambria" w:hAnsi="Cambria"/>
        </w:rPr>
        <w:t xml:space="preserve">). The peer-to-peer interaction inherent in our intervention workshop is an aspect of RTI-antibiotic education previously found to be particularly valued by GPs </w:t>
      </w:r>
      <w:r w:rsidRPr="00BB54C2">
        <w:rPr>
          <w:rFonts w:ascii="Cambria" w:hAnsi="Cambria"/>
          <w:noProof/>
        </w:rPr>
        <w:t>(27)</w:t>
      </w:r>
      <w:r w:rsidRPr="00BB54C2">
        <w:rPr>
          <w:rFonts w:ascii="Cambria" w:hAnsi="Cambria"/>
        </w:rPr>
        <w:t>.</w:t>
      </w:r>
    </w:p>
    <w:p w14:paraId="55FE9E47" w14:textId="3A162D9F" w:rsidR="00E1779F" w:rsidRPr="00BB54C2" w:rsidRDefault="00E1779F" w:rsidP="008A08FA">
      <w:pPr>
        <w:spacing w:after="120" w:line="480" w:lineRule="auto"/>
        <w:rPr>
          <w:rFonts w:ascii="Cambria" w:hAnsi="Cambria"/>
        </w:rPr>
      </w:pPr>
      <w:r w:rsidRPr="00BB54C2">
        <w:rPr>
          <w:rFonts w:ascii="Cambria" w:hAnsi="Cambria"/>
        </w:rPr>
        <w:t xml:space="preserve">The high response rates and detailed recording of consultation data in the </w:t>
      </w:r>
      <w:proofErr w:type="spellStart"/>
      <w:proofErr w:type="gramStart"/>
      <w:r w:rsidRPr="00BB54C2">
        <w:rPr>
          <w:rFonts w:ascii="Cambria" w:hAnsi="Cambria"/>
        </w:rPr>
        <w:t>ReCEnT</w:t>
      </w:r>
      <w:proofErr w:type="spellEnd"/>
      <w:proofErr w:type="gramEnd"/>
      <w:r w:rsidRPr="00BB54C2">
        <w:rPr>
          <w:rFonts w:ascii="Cambria" w:hAnsi="Cambria"/>
        </w:rPr>
        <w:t xml:space="preserve"> study were also strengths, allowing for tight attribution of clinical indication to antibiotic prescription. Some previous studies have employed overall antibiotic prescribing, not linked to indication, as their outcome measure </w:t>
      </w:r>
      <w:r w:rsidRPr="00BB54C2">
        <w:rPr>
          <w:rFonts w:ascii="Cambria" w:hAnsi="Cambria"/>
          <w:noProof/>
        </w:rPr>
        <w:t>(10, 24, 25)</w:t>
      </w:r>
      <w:r w:rsidRPr="00BB54C2">
        <w:rPr>
          <w:rFonts w:ascii="Cambria" w:hAnsi="Cambria"/>
        </w:rPr>
        <w:t>.</w:t>
      </w:r>
    </w:p>
    <w:p w14:paraId="240AF2B2" w14:textId="74BECB06" w:rsidR="00E1779F" w:rsidRPr="00BB54C2" w:rsidRDefault="00E1779F" w:rsidP="008A08FA">
      <w:pPr>
        <w:spacing w:after="120" w:line="480" w:lineRule="auto"/>
        <w:rPr>
          <w:rFonts w:ascii="Cambria" w:hAnsi="Cambria"/>
        </w:rPr>
      </w:pPr>
      <w:r w:rsidRPr="00BB54C2">
        <w:rPr>
          <w:rFonts w:ascii="Cambria" w:hAnsi="Cambria"/>
        </w:rPr>
        <w:t xml:space="preserve">The main limitation of the study is the non-randomized design. As discussed in our Methods, a randomized design was not appropriate for this intervention in this setting. In a non-randomized design the observed differences may be due to differences between groups in confounding variables rather than to the intervention. We have taken these potential confounders into account in our adjusted model. Nevertheless, the attribution of causality in our study cannot be as strong as for a randomized trial despite a robust non-randomized design and analyses. </w:t>
      </w:r>
    </w:p>
    <w:p w14:paraId="41970518" w14:textId="5F83AC65" w:rsidR="00E1779F" w:rsidRPr="00BB54C2" w:rsidRDefault="00E1779F" w:rsidP="008A08FA">
      <w:pPr>
        <w:spacing w:after="120" w:line="480" w:lineRule="auto"/>
        <w:rPr>
          <w:rFonts w:ascii="Cambria" w:hAnsi="Cambria"/>
        </w:rPr>
      </w:pPr>
      <w:r w:rsidRPr="00BB54C2">
        <w:rPr>
          <w:rFonts w:ascii="Cambria" w:hAnsi="Cambria"/>
        </w:rPr>
        <w:t xml:space="preserve">The face-to-face workshops were delivered by local teams, which may have impacted on effectiveness. However, the workshop schedule, content and materials were developed collaboratively and the messages delivered were clear and consistent. The control groups </w:t>
      </w:r>
      <w:r w:rsidRPr="00BB54C2">
        <w:rPr>
          <w:rFonts w:ascii="Cambria" w:hAnsi="Cambria"/>
        </w:rPr>
        <w:lastRenderedPageBreak/>
        <w:t xml:space="preserve">may have had education on antibiotic prescribing, but this was shown to be ineffective </w:t>
      </w:r>
      <w:r w:rsidRPr="00BB54C2">
        <w:rPr>
          <w:rFonts w:ascii="Cambria" w:hAnsi="Cambria"/>
          <w:noProof/>
        </w:rPr>
        <w:t>(15)</w:t>
      </w:r>
      <w:r w:rsidRPr="00BB54C2">
        <w:rPr>
          <w:rFonts w:ascii="Cambria" w:hAnsi="Cambria"/>
        </w:rPr>
        <w:t>. Moreover, this pragmatic approach ensured the educational intervention was implementable in other RTPs after the study. The acceptability of the intervention package was tested in an accompanying qualitative study, which also explored the perceptions of the core messages.</w:t>
      </w:r>
      <w:r w:rsidRPr="00BB54C2" w:rsidDel="00826E18">
        <w:rPr>
          <w:rFonts w:ascii="Cambria" w:hAnsi="Cambria"/>
        </w:rPr>
        <w:t xml:space="preserve"> </w:t>
      </w:r>
      <w:r w:rsidRPr="00BB54C2">
        <w:rPr>
          <w:rFonts w:ascii="Cambria" w:hAnsi="Cambria"/>
        </w:rPr>
        <w:t xml:space="preserve">A further limitation is that we do not have clinical contextual data: e.g. temperature, comorbidities, sputum colour or measures of clinical severity. But, while consideration of such clinical factors may be included in some guidelines, this is not so for Australian guidelines </w:t>
      </w:r>
      <w:r w:rsidRPr="00BB54C2">
        <w:rPr>
          <w:rFonts w:ascii="Cambria" w:hAnsi="Cambria"/>
          <w:noProof/>
        </w:rPr>
        <w:t>(5)</w:t>
      </w:r>
      <w:r w:rsidRPr="00BB54C2">
        <w:rPr>
          <w:rFonts w:ascii="Cambria" w:hAnsi="Cambria"/>
        </w:rPr>
        <w:t xml:space="preserve"> which are applicable to our study population. Furthermore, assessing severity and identifying these potentially higher-risk subgroups, e.g. by using sputum colour as an indicator, does not confer clinically meaningful benefit from antibiotics in acute bronchitis </w:t>
      </w:r>
      <w:r w:rsidRPr="00BB54C2">
        <w:rPr>
          <w:rFonts w:ascii="Cambria" w:hAnsi="Cambria"/>
          <w:noProof/>
        </w:rPr>
        <w:t>(28)</w:t>
      </w:r>
      <w:r w:rsidRPr="00BB54C2">
        <w:rPr>
          <w:rFonts w:ascii="Cambria" w:hAnsi="Cambria"/>
        </w:rPr>
        <w:t>.</w:t>
      </w:r>
    </w:p>
    <w:p w14:paraId="59AB3685" w14:textId="5979959A" w:rsidR="00E1779F" w:rsidRPr="00BB54C2" w:rsidRDefault="00E1779F" w:rsidP="008A08FA">
      <w:pPr>
        <w:spacing w:after="120" w:line="480" w:lineRule="auto"/>
        <w:rPr>
          <w:rFonts w:ascii="Cambria" w:hAnsi="Cambria"/>
        </w:rPr>
      </w:pPr>
      <w:r w:rsidRPr="00BB54C2">
        <w:rPr>
          <w:rFonts w:ascii="Cambria" w:hAnsi="Cambria"/>
        </w:rPr>
        <w:t>Our analyses are based on the provisional contemporaneous diagnoses of trainees and are coded by trained coders. Any imprecision in diagnosis for our outcome diagnoses will be slight and unlikely to affect our results. A diagnosis of (</w:t>
      </w:r>
      <w:proofErr w:type="spellStart"/>
      <w:r w:rsidRPr="00BB54C2">
        <w:rPr>
          <w:rFonts w:ascii="Cambria" w:hAnsi="Cambria"/>
        </w:rPr>
        <w:t>broncho</w:t>
      </w:r>
      <w:proofErr w:type="spellEnd"/>
      <w:proofErr w:type="gramStart"/>
      <w:r w:rsidRPr="00BB54C2">
        <w:rPr>
          <w:rFonts w:ascii="Cambria" w:hAnsi="Cambria"/>
        </w:rPr>
        <w:t>)pneumonia</w:t>
      </w:r>
      <w:proofErr w:type="gramEnd"/>
      <w:r w:rsidRPr="00BB54C2">
        <w:rPr>
          <w:rFonts w:ascii="Cambria" w:hAnsi="Cambria"/>
        </w:rPr>
        <w:t xml:space="preserve"> in Australia requires chest radiography, making it unlikely that this would have been mistakenly coded as bronchitis. Prescribing may have been affected by occurrence of pertussis, however pertussis prevalence was very low during the study period and similar in both groups.</w:t>
      </w:r>
    </w:p>
    <w:p w14:paraId="18576D20" w14:textId="77777777" w:rsidR="00E1779F" w:rsidRPr="00BB54C2" w:rsidRDefault="00E1779F" w:rsidP="008A08FA">
      <w:pPr>
        <w:spacing w:after="120" w:line="480" w:lineRule="auto"/>
        <w:rPr>
          <w:rFonts w:ascii="Cambria" w:hAnsi="Cambria"/>
        </w:rPr>
      </w:pPr>
      <w:r w:rsidRPr="00BB54C2">
        <w:rPr>
          <w:rFonts w:ascii="Cambria" w:hAnsi="Cambria"/>
        </w:rPr>
        <w:t>We are also unable to determine whether prescriptions written were filled by patients – however, the scope of our study is the prescribing decisions made by registrars rather than subsequent patient behaviours.</w:t>
      </w:r>
    </w:p>
    <w:p w14:paraId="6D02322C" w14:textId="77777777" w:rsidR="00E1779F" w:rsidRPr="00BB54C2" w:rsidRDefault="00E1779F" w:rsidP="008A08FA">
      <w:pPr>
        <w:spacing w:after="120" w:line="480" w:lineRule="auto"/>
        <w:rPr>
          <w:rFonts w:ascii="Cambria" w:hAnsi="Cambria"/>
          <w:i/>
        </w:rPr>
      </w:pPr>
      <w:r w:rsidRPr="00BB54C2">
        <w:rPr>
          <w:rFonts w:ascii="Cambria" w:hAnsi="Cambria"/>
          <w:i/>
        </w:rPr>
        <w:t xml:space="preserve">Implications for practice </w:t>
      </w:r>
    </w:p>
    <w:p w14:paraId="084BC21E" w14:textId="286D18E7" w:rsidR="00E1779F" w:rsidRPr="00BB54C2" w:rsidRDefault="00E1779F" w:rsidP="008A08FA">
      <w:pPr>
        <w:spacing w:after="120" w:line="480" w:lineRule="auto"/>
        <w:rPr>
          <w:rFonts w:ascii="Cambria" w:hAnsi="Cambria"/>
        </w:rPr>
      </w:pPr>
      <w:r w:rsidRPr="00BB54C2">
        <w:rPr>
          <w:rFonts w:ascii="Cambria" w:hAnsi="Cambria"/>
        </w:rPr>
        <w:t xml:space="preserve">Several aspects of our intervention having produced a significant reduction in antibiotic prescribing for acute bronchitis/bronchiolitis have educational implications. Early-career </w:t>
      </w:r>
      <w:r w:rsidRPr="00BB54C2">
        <w:rPr>
          <w:rFonts w:ascii="Cambria" w:hAnsi="Cambria"/>
        </w:rPr>
        <w:lastRenderedPageBreak/>
        <w:t xml:space="preserve">GPs in the Australian GP training program have for the first time in their careers substantive clinical autonomy in prescribing and are still establishing prescribing habits/patterns. There is evidence that antibiotic prescribing patterns once established in general practice remain stable </w:t>
      </w:r>
      <w:r w:rsidRPr="00BB54C2">
        <w:rPr>
          <w:rFonts w:ascii="Cambria" w:hAnsi="Cambria"/>
          <w:noProof/>
        </w:rPr>
        <w:t>(13)</w:t>
      </w:r>
      <w:r w:rsidRPr="00BB54C2">
        <w:rPr>
          <w:rFonts w:ascii="Cambria" w:hAnsi="Cambria"/>
        </w:rPr>
        <w:t xml:space="preserve"> and that junior hospital doctors (that is pre-vocational training doctors) have poor understanding of antibiotic stewardship prior to entering vocational training </w:t>
      </w:r>
      <w:r w:rsidRPr="00BB54C2">
        <w:rPr>
          <w:rFonts w:ascii="Cambria" w:hAnsi="Cambria"/>
          <w:noProof/>
        </w:rPr>
        <w:t>(29)</w:t>
      </w:r>
      <w:r w:rsidRPr="00BB54C2">
        <w:rPr>
          <w:rFonts w:ascii="Cambria" w:hAnsi="Cambria"/>
        </w:rPr>
        <w:t xml:space="preserve">. Thus, vocational training in general practice may be a singularly appropriate time for interventions aimed at influencing antibiotic prescribing. Also, training programs provide a substrate for efficient delivery of an intervention such as ours by providing a forum for the large-group teaching component. There is evidence from the United Kingdom, however, that GP vocational training programs have a paucity of training in antimicrobial resistance and antimicrobial stewardship – much less than other specialty training programs which prepare trainees for lower volume antibiotic prescribing specialties </w:t>
      </w:r>
      <w:r w:rsidRPr="00BB54C2">
        <w:rPr>
          <w:rFonts w:ascii="Cambria" w:hAnsi="Cambria"/>
          <w:noProof/>
        </w:rPr>
        <w:t>(30)</w:t>
      </w:r>
      <w:r w:rsidRPr="00BB54C2">
        <w:rPr>
          <w:rFonts w:ascii="Cambria" w:hAnsi="Cambria"/>
        </w:rPr>
        <w:t xml:space="preserve">. Hence, our educational intervention addresses a pressing need. </w:t>
      </w:r>
    </w:p>
    <w:p w14:paraId="5D629D63" w14:textId="77777777" w:rsidR="00E1779F" w:rsidRPr="00BB54C2" w:rsidRDefault="00E1779F" w:rsidP="008A08FA">
      <w:pPr>
        <w:spacing w:after="120" w:line="480" w:lineRule="auto"/>
        <w:rPr>
          <w:rFonts w:ascii="Cambria" w:hAnsi="Cambria"/>
        </w:rPr>
      </w:pPr>
      <w:r w:rsidRPr="00BB54C2">
        <w:rPr>
          <w:rFonts w:ascii="Cambria" w:hAnsi="Cambria"/>
        </w:rPr>
        <w:t>The principles which framed our intervention focus on non-prescription of antibiotics as the default, with a syndromic rather than aetiologically-based management approach and consultation techniques reflecting the biopsychosocial rather than biological complexity. We also engaged the trainee-supervisor dyad within the apprenticeship model. We suggest that these elements could inform interventions in other settings.</w:t>
      </w:r>
    </w:p>
    <w:p w14:paraId="2B3CCA6A" w14:textId="77777777" w:rsidR="00E1779F" w:rsidRPr="00BB54C2" w:rsidRDefault="00E1779F" w:rsidP="008A08FA">
      <w:pPr>
        <w:spacing w:after="120" w:line="480" w:lineRule="auto"/>
        <w:rPr>
          <w:rFonts w:ascii="Cambria" w:hAnsi="Cambria"/>
          <w:i/>
        </w:rPr>
      </w:pPr>
      <w:r w:rsidRPr="00BB54C2">
        <w:rPr>
          <w:rFonts w:ascii="Cambria" w:hAnsi="Cambria"/>
          <w:i/>
        </w:rPr>
        <w:t>Implications for future research</w:t>
      </w:r>
    </w:p>
    <w:p w14:paraId="562E0A1D" w14:textId="77777777" w:rsidR="00E1779F" w:rsidRPr="00BB54C2" w:rsidRDefault="00E1779F" w:rsidP="008A08FA">
      <w:pPr>
        <w:spacing w:after="120" w:line="480" w:lineRule="auto"/>
        <w:rPr>
          <w:rFonts w:ascii="Cambria" w:hAnsi="Cambria"/>
        </w:rPr>
      </w:pPr>
      <w:r w:rsidRPr="00BB54C2">
        <w:rPr>
          <w:rFonts w:ascii="Cambria" w:hAnsi="Cambria"/>
        </w:rPr>
        <w:t xml:space="preserve">The study demonstrates the utility of the translational educational research model inherent in our design – a pragmatic trial nested within an ongoing cohort study where data analysis identifies, quantifies and elucidates an evidence-practice gap, informs an intervention to address that evidence-practice gap, and assesses the effectiveness of the intervention. </w:t>
      </w:r>
    </w:p>
    <w:p w14:paraId="3F46F0EC" w14:textId="77777777" w:rsidR="00E1779F" w:rsidRPr="00BB54C2" w:rsidRDefault="00E1779F" w:rsidP="008A08FA">
      <w:pPr>
        <w:spacing w:after="120" w:line="480" w:lineRule="auto"/>
        <w:rPr>
          <w:rFonts w:ascii="Cambria" w:hAnsi="Cambria"/>
        </w:rPr>
      </w:pPr>
      <w:r w:rsidRPr="00BB54C2">
        <w:rPr>
          <w:rFonts w:ascii="Cambria" w:hAnsi="Cambria"/>
        </w:rPr>
        <w:lastRenderedPageBreak/>
        <w:t xml:space="preserve">An area for further enquiry is any ‘carry-over’ effect on prescribing for other RTIs (sore throat, otitis media, and acute sinusitis) from this intervention focussing on URTI and acute bronchitis/bronchiolitis as exemplars of RTIs not requiring antibiotics. </w:t>
      </w:r>
    </w:p>
    <w:p w14:paraId="1F956747" w14:textId="77777777" w:rsidR="00E1779F" w:rsidRPr="00BB54C2" w:rsidRDefault="00E1779F" w:rsidP="008A08FA">
      <w:pPr>
        <w:spacing w:after="120" w:line="480" w:lineRule="auto"/>
        <w:rPr>
          <w:rFonts w:ascii="Cambria" w:hAnsi="Cambria"/>
        </w:rPr>
      </w:pPr>
      <w:r w:rsidRPr="00BB54C2">
        <w:rPr>
          <w:rFonts w:ascii="Cambria" w:hAnsi="Cambria"/>
        </w:rPr>
        <w:t xml:space="preserve">The longer-term durability of changes in prescribing behaviour we have demonstrated is also a suitable focus for follow-up research. </w:t>
      </w:r>
    </w:p>
    <w:p w14:paraId="41A7C497" w14:textId="77777777" w:rsidR="00E1779F" w:rsidRPr="00BB54C2" w:rsidRDefault="00E1779F" w:rsidP="008A08FA">
      <w:pPr>
        <w:spacing w:after="120" w:line="480" w:lineRule="auto"/>
        <w:rPr>
          <w:rFonts w:ascii="Cambria" w:hAnsi="Cambria"/>
          <w:b/>
        </w:rPr>
      </w:pPr>
      <w:r w:rsidRPr="00BB54C2">
        <w:rPr>
          <w:rFonts w:ascii="Cambria" w:hAnsi="Cambria"/>
          <w:b/>
        </w:rPr>
        <w:t>Conclusion</w:t>
      </w:r>
    </w:p>
    <w:p w14:paraId="5C2DBEBA" w14:textId="77777777" w:rsidR="00E1779F" w:rsidRPr="00BB54C2" w:rsidRDefault="00E1779F" w:rsidP="008A08FA">
      <w:pPr>
        <w:spacing w:after="120" w:line="480" w:lineRule="auto"/>
        <w:rPr>
          <w:rFonts w:ascii="Cambria" w:hAnsi="Cambria"/>
        </w:rPr>
      </w:pPr>
      <w:r w:rsidRPr="00BB54C2">
        <w:rPr>
          <w:rFonts w:ascii="Cambria" w:hAnsi="Cambria"/>
        </w:rPr>
        <w:t>We have demonstrated that a pragmatic complex educational intervention embedded in an established training program can reduce early-career GPs’ antibiotic prescribing for acute bronchitis/bronchiolitis. In the context of relatively low baseline rates of antibiotic prescription, the intervention didn’t significantly reduce antibiotic use for URTIs.</w:t>
      </w:r>
      <w:r w:rsidRPr="00BB54C2">
        <w:rPr>
          <w:rFonts w:ascii="Cambria" w:hAnsi="Cambria"/>
        </w:rPr>
        <w:br w:type="page"/>
      </w:r>
    </w:p>
    <w:p w14:paraId="61FAD8A9" w14:textId="77777777" w:rsidR="00E1779F" w:rsidRPr="008A08FA" w:rsidRDefault="00E1779F" w:rsidP="008A08FA">
      <w:pPr>
        <w:spacing w:after="120" w:line="480" w:lineRule="auto"/>
        <w:rPr>
          <w:rFonts w:ascii="Cambria" w:hAnsi="Cambria"/>
          <w:b/>
        </w:rPr>
      </w:pPr>
      <w:r w:rsidRPr="008A08FA">
        <w:rPr>
          <w:rFonts w:ascii="Cambria" w:hAnsi="Cambria"/>
          <w:b/>
        </w:rPr>
        <w:lastRenderedPageBreak/>
        <w:t>Acknowledgements</w:t>
      </w:r>
    </w:p>
    <w:p w14:paraId="6F56A53B" w14:textId="77777777" w:rsidR="00E1779F" w:rsidRPr="008A08FA" w:rsidRDefault="00E1779F" w:rsidP="008A08FA">
      <w:pPr>
        <w:spacing w:after="120" w:line="480" w:lineRule="auto"/>
        <w:rPr>
          <w:rFonts w:ascii="Cambria" w:hAnsi="Cambria"/>
        </w:rPr>
      </w:pPr>
      <w:r w:rsidRPr="008A08FA">
        <w:rPr>
          <w:rFonts w:ascii="Cambria" w:hAnsi="Cambria"/>
        </w:rPr>
        <w:t>The authors would like to acknowledge the registrars, supervisors and practices involved in this study.</w:t>
      </w:r>
    </w:p>
    <w:p w14:paraId="6A0DC077" w14:textId="77777777" w:rsidR="00E1779F" w:rsidRPr="008A08FA" w:rsidRDefault="00E1779F" w:rsidP="008A08FA">
      <w:pPr>
        <w:spacing w:after="120" w:line="480" w:lineRule="auto"/>
        <w:rPr>
          <w:rFonts w:ascii="Cambria" w:hAnsi="Cambria"/>
          <w:b/>
        </w:rPr>
      </w:pPr>
      <w:r w:rsidRPr="008A08FA">
        <w:rPr>
          <w:rFonts w:ascii="Cambria" w:hAnsi="Cambria"/>
          <w:b/>
        </w:rPr>
        <w:t>Ethics approval</w:t>
      </w:r>
    </w:p>
    <w:p w14:paraId="2C9D9522" w14:textId="77777777" w:rsidR="00E1779F" w:rsidRPr="008A08FA" w:rsidRDefault="00E1779F" w:rsidP="008A08FA">
      <w:pPr>
        <w:spacing w:after="120" w:line="480" w:lineRule="auto"/>
        <w:rPr>
          <w:rFonts w:ascii="Cambria" w:hAnsi="Cambria"/>
        </w:rPr>
      </w:pPr>
      <w:r w:rsidRPr="008A08FA">
        <w:rPr>
          <w:rFonts w:ascii="Cambria" w:hAnsi="Cambria"/>
        </w:rPr>
        <w:t>Human Research Ethics Committee of the University of Newcastle (Approval number: H- 2009-0323).</w:t>
      </w:r>
    </w:p>
    <w:p w14:paraId="346F1584" w14:textId="77777777" w:rsidR="00E1779F" w:rsidRPr="008A08FA" w:rsidRDefault="00E1779F" w:rsidP="008A08FA">
      <w:pPr>
        <w:spacing w:after="120" w:line="480" w:lineRule="auto"/>
        <w:rPr>
          <w:rFonts w:ascii="Cambria" w:hAnsi="Cambria"/>
          <w:b/>
        </w:rPr>
      </w:pPr>
      <w:r w:rsidRPr="008A08FA">
        <w:rPr>
          <w:rFonts w:ascii="Cambria" w:hAnsi="Cambria"/>
          <w:b/>
        </w:rPr>
        <w:t>Trial registration</w:t>
      </w:r>
    </w:p>
    <w:p w14:paraId="24992C77" w14:textId="77777777" w:rsidR="00E1779F" w:rsidRPr="008A08FA" w:rsidRDefault="00E1779F" w:rsidP="008A08FA">
      <w:pPr>
        <w:spacing w:after="120" w:line="480" w:lineRule="auto"/>
        <w:rPr>
          <w:rFonts w:ascii="Cambria" w:hAnsi="Cambria"/>
        </w:rPr>
      </w:pPr>
      <w:r w:rsidRPr="008A08FA">
        <w:rPr>
          <w:rFonts w:ascii="Cambria" w:hAnsi="Cambria"/>
        </w:rPr>
        <w:t xml:space="preserve"> ANZCTR Trial ID ACTRN12614001209684.</w:t>
      </w:r>
    </w:p>
    <w:p w14:paraId="234B9DF6" w14:textId="77777777" w:rsidR="00E1779F" w:rsidRPr="008A08FA" w:rsidRDefault="00E1779F" w:rsidP="008A08FA">
      <w:pPr>
        <w:spacing w:after="120" w:line="480" w:lineRule="auto"/>
        <w:rPr>
          <w:rFonts w:ascii="Cambria" w:hAnsi="Cambria"/>
        </w:rPr>
      </w:pPr>
    </w:p>
    <w:p w14:paraId="26F799D8" w14:textId="77777777" w:rsidR="00E1779F" w:rsidRPr="008A08FA" w:rsidRDefault="00E1779F" w:rsidP="008A08FA">
      <w:pPr>
        <w:spacing w:after="120" w:line="480" w:lineRule="auto"/>
        <w:rPr>
          <w:rFonts w:ascii="Cambria" w:hAnsi="Cambria"/>
          <w:b/>
        </w:rPr>
      </w:pPr>
      <w:r w:rsidRPr="008A08FA">
        <w:rPr>
          <w:rFonts w:ascii="Cambria" w:hAnsi="Cambria"/>
          <w:b/>
        </w:rPr>
        <w:t>Funding</w:t>
      </w:r>
    </w:p>
    <w:p w14:paraId="03D5C525" w14:textId="77777777" w:rsidR="00E1779F" w:rsidRPr="008A08FA" w:rsidRDefault="00E1779F" w:rsidP="008A08FA">
      <w:pPr>
        <w:spacing w:after="120" w:line="480" w:lineRule="auto"/>
        <w:rPr>
          <w:rFonts w:ascii="Cambria" w:hAnsi="Cambria"/>
        </w:rPr>
      </w:pPr>
      <w:r w:rsidRPr="008A08FA">
        <w:rPr>
          <w:rFonts w:ascii="Cambria" w:hAnsi="Cambria"/>
        </w:rPr>
        <w:t>The study was supported by a Therapeutic Guidelines Limited (TGL)/RACGP Research Grant of the Royal Australian College of General Practitioners.</w:t>
      </w:r>
    </w:p>
    <w:p w14:paraId="3AF8CF78" w14:textId="77777777" w:rsidR="00E1779F" w:rsidRPr="008A08FA" w:rsidRDefault="00E1779F" w:rsidP="008A08FA">
      <w:pPr>
        <w:spacing w:after="120" w:line="480" w:lineRule="auto"/>
        <w:rPr>
          <w:rFonts w:ascii="Cambria" w:hAnsi="Cambria"/>
        </w:rPr>
      </w:pPr>
      <w:r w:rsidRPr="008A08FA">
        <w:rPr>
          <w:rFonts w:ascii="Cambria" w:hAnsi="Cambria"/>
        </w:rPr>
        <w:t xml:space="preserve">The Registrars Clinical Encounters in Training project in which the study was nested was funded by the participating Regional Training Providers (General Practice Training Valley to Coast, Victorian Metropolitan Alliance, </w:t>
      </w:r>
      <w:proofErr w:type="gramStart"/>
      <w:r w:rsidRPr="008A08FA">
        <w:rPr>
          <w:rFonts w:ascii="Cambria" w:hAnsi="Cambria"/>
        </w:rPr>
        <w:t>Adelaide</w:t>
      </w:r>
      <w:proofErr w:type="gramEnd"/>
      <w:r w:rsidRPr="008A08FA">
        <w:rPr>
          <w:rFonts w:ascii="Cambria" w:hAnsi="Cambria"/>
        </w:rPr>
        <w:t xml:space="preserve"> to Outback General Practice Training, General Practice Training Tasmania, and Tropical Medical Training). These organizations were funded by the Australian Commonwealth Government.</w:t>
      </w:r>
    </w:p>
    <w:p w14:paraId="763BFCD1" w14:textId="77777777" w:rsidR="00E1779F" w:rsidRPr="008A08FA" w:rsidRDefault="00E1779F" w:rsidP="008A08FA">
      <w:pPr>
        <w:spacing w:after="120" w:line="480" w:lineRule="auto"/>
        <w:rPr>
          <w:rFonts w:ascii="Cambria" w:hAnsi="Cambria"/>
          <w:b/>
        </w:rPr>
      </w:pPr>
      <w:r w:rsidRPr="008A08FA">
        <w:rPr>
          <w:rFonts w:ascii="Cambria" w:hAnsi="Cambria"/>
          <w:b/>
        </w:rPr>
        <w:t>Conflicts of Interest</w:t>
      </w:r>
    </w:p>
    <w:p w14:paraId="765ED00A" w14:textId="77777777" w:rsidR="00E1779F" w:rsidRPr="008A08FA" w:rsidRDefault="00E1779F" w:rsidP="008A08FA">
      <w:pPr>
        <w:spacing w:after="120" w:line="480" w:lineRule="auto"/>
        <w:rPr>
          <w:rFonts w:ascii="Cambria" w:hAnsi="Cambria"/>
        </w:rPr>
      </w:pPr>
      <w:r w:rsidRPr="008A08FA">
        <w:rPr>
          <w:rFonts w:ascii="Cambria" w:hAnsi="Cambria"/>
        </w:rPr>
        <w:t>The authors have no conflicts of interest</w:t>
      </w:r>
    </w:p>
    <w:p w14:paraId="2E60020D" w14:textId="77777777" w:rsidR="00E1779F" w:rsidRPr="008A08FA" w:rsidRDefault="00E1779F" w:rsidP="008A08FA">
      <w:pPr>
        <w:spacing w:after="120" w:line="480" w:lineRule="auto"/>
        <w:rPr>
          <w:rFonts w:ascii="Cambria" w:hAnsi="Cambria"/>
        </w:rPr>
      </w:pPr>
      <w:r w:rsidRPr="008A08FA">
        <w:rPr>
          <w:rFonts w:ascii="Cambria" w:hAnsi="Cambria"/>
        </w:rPr>
        <w:br w:type="page"/>
      </w:r>
    </w:p>
    <w:p w14:paraId="343B6E49" w14:textId="77777777" w:rsidR="00E1779F" w:rsidRPr="008A08FA" w:rsidRDefault="00E1779F" w:rsidP="008A08FA">
      <w:pPr>
        <w:spacing w:after="120" w:line="480" w:lineRule="auto"/>
        <w:rPr>
          <w:rFonts w:ascii="Cambria" w:hAnsi="Cambria"/>
          <w:b/>
        </w:rPr>
      </w:pPr>
      <w:r w:rsidRPr="008A08FA">
        <w:rPr>
          <w:rFonts w:ascii="Cambria" w:hAnsi="Cambria"/>
          <w:b/>
        </w:rPr>
        <w:lastRenderedPageBreak/>
        <w:t>References</w:t>
      </w:r>
    </w:p>
    <w:p w14:paraId="6702BDE2" w14:textId="77777777" w:rsidR="00E1779F" w:rsidRPr="008A08FA" w:rsidRDefault="00E1779F" w:rsidP="008A08FA">
      <w:pPr>
        <w:pStyle w:val="EndNoteBibliography"/>
        <w:spacing w:after="120" w:line="480" w:lineRule="auto"/>
        <w:rPr>
          <w:rFonts w:ascii="Cambria" w:hAnsi="Cambria"/>
        </w:rPr>
      </w:pPr>
      <w:bookmarkStart w:id="1" w:name="_ENREF_1"/>
      <w:r w:rsidRPr="008A08FA">
        <w:rPr>
          <w:rFonts w:ascii="Cambria" w:hAnsi="Cambria"/>
        </w:rPr>
        <w:t>1.</w:t>
      </w:r>
      <w:r w:rsidRPr="008A08FA">
        <w:rPr>
          <w:rFonts w:ascii="Cambria" w:hAnsi="Cambria"/>
        </w:rPr>
        <w:tab/>
        <w:t xml:space="preserve">Goossens H, Ferech M, Vander Stichele R, Elseviers M, Group EP. Outpatient antibiotic use in Europe and association with resistance: a cross-national database study. </w:t>
      </w:r>
      <w:r w:rsidRPr="008A08FA">
        <w:rPr>
          <w:rFonts w:ascii="Cambria" w:hAnsi="Cambria"/>
          <w:i/>
        </w:rPr>
        <w:t>Lancet</w:t>
      </w:r>
      <w:r w:rsidRPr="008A08FA">
        <w:rPr>
          <w:rFonts w:ascii="Cambria" w:hAnsi="Cambria"/>
        </w:rPr>
        <w:t xml:space="preserve"> 2005; 365: 579-87.</w:t>
      </w:r>
      <w:bookmarkEnd w:id="1"/>
    </w:p>
    <w:p w14:paraId="6F3B7F5C" w14:textId="77777777" w:rsidR="00E1779F" w:rsidRPr="008A08FA" w:rsidRDefault="00E1779F" w:rsidP="008A08FA">
      <w:pPr>
        <w:pStyle w:val="EndNoteBibliography"/>
        <w:spacing w:after="120" w:line="480" w:lineRule="auto"/>
        <w:rPr>
          <w:rFonts w:ascii="Cambria" w:hAnsi="Cambria"/>
        </w:rPr>
      </w:pPr>
      <w:bookmarkStart w:id="2" w:name="_ENREF_2"/>
      <w:r w:rsidRPr="008A08FA">
        <w:rPr>
          <w:rFonts w:ascii="Cambria" w:hAnsi="Cambria"/>
        </w:rPr>
        <w:t>2.</w:t>
      </w:r>
      <w:r w:rsidRPr="008A08FA">
        <w:rPr>
          <w:rFonts w:ascii="Cambria" w:hAnsi="Cambria"/>
        </w:rPr>
        <w:tab/>
        <w:t xml:space="preserve">Costelloe C, Metcalfe C, Lovering A, Mant D, Hay AD. Effect of antibiotic prescribing in primary care on antimicrobial resistance in individual patients: systematic review and meta-analysis. </w:t>
      </w:r>
      <w:r w:rsidRPr="008A08FA">
        <w:rPr>
          <w:rFonts w:ascii="Cambria" w:hAnsi="Cambria"/>
          <w:i/>
        </w:rPr>
        <w:t>BMJ</w:t>
      </w:r>
      <w:r w:rsidRPr="008A08FA">
        <w:rPr>
          <w:rFonts w:ascii="Cambria" w:hAnsi="Cambria"/>
        </w:rPr>
        <w:t xml:space="preserve"> 2010; 340: c2096.</w:t>
      </w:r>
      <w:bookmarkEnd w:id="2"/>
    </w:p>
    <w:p w14:paraId="5891DAB7" w14:textId="77777777" w:rsidR="00E1779F" w:rsidRPr="008A08FA" w:rsidRDefault="00E1779F" w:rsidP="008A08FA">
      <w:pPr>
        <w:pStyle w:val="EndNoteBibliography"/>
        <w:spacing w:after="120" w:line="480" w:lineRule="auto"/>
        <w:rPr>
          <w:rFonts w:ascii="Cambria" w:hAnsi="Cambria"/>
        </w:rPr>
      </w:pPr>
      <w:bookmarkStart w:id="3" w:name="_ENREF_3"/>
      <w:r w:rsidRPr="008A08FA">
        <w:rPr>
          <w:rFonts w:ascii="Cambria" w:hAnsi="Cambria"/>
        </w:rPr>
        <w:t>3.</w:t>
      </w:r>
      <w:r w:rsidRPr="008A08FA">
        <w:rPr>
          <w:rFonts w:ascii="Cambria" w:hAnsi="Cambria"/>
        </w:rPr>
        <w:tab/>
        <w:t xml:space="preserve">Smith SM, Fahey T, Smucny J, Becker LA. Antibiotics for acute bronchitis.[Update of Cochrane Database Syst Rev. 2004;(4):CD000245; PMID: 15494994]. </w:t>
      </w:r>
      <w:r w:rsidRPr="008A08FA">
        <w:rPr>
          <w:rFonts w:ascii="Cambria" w:hAnsi="Cambria"/>
          <w:i/>
        </w:rPr>
        <w:t>Cochrane Database Syst Rev</w:t>
      </w:r>
      <w:r w:rsidRPr="008A08FA">
        <w:rPr>
          <w:rFonts w:ascii="Cambria" w:hAnsi="Cambria"/>
        </w:rPr>
        <w:t xml:space="preserve"> 2014; 3: CD000245.</w:t>
      </w:r>
      <w:bookmarkEnd w:id="3"/>
    </w:p>
    <w:p w14:paraId="6E8086B4" w14:textId="77777777" w:rsidR="00E1779F" w:rsidRPr="008A08FA" w:rsidRDefault="00E1779F" w:rsidP="008A08FA">
      <w:pPr>
        <w:pStyle w:val="EndNoteBibliography"/>
        <w:spacing w:after="120" w:line="480" w:lineRule="auto"/>
        <w:rPr>
          <w:rFonts w:ascii="Cambria" w:hAnsi="Cambria"/>
        </w:rPr>
      </w:pPr>
      <w:bookmarkStart w:id="4" w:name="_ENREF_4"/>
      <w:r w:rsidRPr="008A08FA">
        <w:rPr>
          <w:rFonts w:ascii="Cambria" w:hAnsi="Cambria"/>
        </w:rPr>
        <w:t>4.</w:t>
      </w:r>
      <w:r w:rsidRPr="008A08FA">
        <w:rPr>
          <w:rFonts w:ascii="Cambria" w:hAnsi="Cambria"/>
        </w:rPr>
        <w:tab/>
        <w:t xml:space="preserve">Kenealy T, Arroll B. Antibiotics for the common cold and acute purulent rhinitis. </w:t>
      </w:r>
      <w:r w:rsidRPr="008A08FA">
        <w:rPr>
          <w:rFonts w:ascii="Cambria" w:hAnsi="Cambria"/>
          <w:i/>
        </w:rPr>
        <w:t>Cochrane Database Syst Rev</w:t>
      </w:r>
      <w:r w:rsidRPr="008A08FA">
        <w:rPr>
          <w:rFonts w:ascii="Cambria" w:hAnsi="Cambria"/>
        </w:rPr>
        <w:t xml:space="preserve"> 2013; CD000247.</w:t>
      </w:r>
      <w:bookmarkEnd w:id="4"/>
    </w:p>
    <w:p w14:paraId="53BC9AA1" w14:textId="37F35175" w:rsidR="00E1779F" w:rsidRPr="008A08FA" w:rsidRDefault="00E1779F" w:rsidP="008A08FA">
      <w:pPr>
        <w:pStyle w:val="EndNoteBibliography"/>
        <w:spacing w:after="120" w:line="480" w:lineRule="auto"/>
        <w:rPr>
          <w:rFonts w:ascii="Cambria" w:hAnsi="Cambria"/>
        </w:rPr>
      </w:pPr>
      <w:bookmarkStart w:id="5" w:name="_ENREF_5"/>
      <w:r w:rsidRPr="008A08FA">
        <w:rPr>
          <w:rFonts w:ascii="Cambria" w:hAnsi="Cambria"/>
        </w:rPr>
        <w:t>5.</w:t>
      </w:r>
      <w:r w:rsidRPr="008A08FA">
        <w:rPr>
          <w:rFonts w:ascii="Cambria" w:hAnsi="Cambria"/>
        </w:rPr>
        <w:tab/>
        <w:t xml:space="preserve">Antibiotic Expert Groups. Therapeutic </w:t>
      </w:r>
      <w:r w:rsidR="005736ED">
        <w:rPr>
          <w:rFonts w:ascii="Cambria" w:hAnsi="Cambria"/>
        </w:rPr>
        <w:t>G</w:t>
      </w:r>
      <w:r w:rsidRPr="008A08FA">
        <w:rPr>
          <w:rFonts w:ascii="Cambria" w:hAnsi="Cambria"/>
        </w:rPr>
        <w:t xml:space="preserve">uidelines: </w:t>
      </w:r>
      <w:r w:rsidR="005736ED">
        <w:rPr>
          <w:rFonts w:ascii="Cambria" w:hAnsi="Cambria"/>
        </w:rPr>
        <w:t>A</w:t>
      </w:r>
      <w:r w:rsidRPr="008A08FA">
        <w:rPr>
          <w:rFonts w:ascii="Cambria" w:hAnsi="Cambria"/>
        </w:rPr>
        <w:t>ntibiotic. Version 15. Melbourne: Therapeutic Guidelines Limited; 2014.</w:t>
      </w:r>
      <w:bookmarkEnd w:id="5"/>
    </w:p>
    <w:p w14:paraId="0584FA6B" w14:textId="77777777" w:rsidR="00E1779F" w:rsidRPr="008A08FA" w:rsidRDefault="00E1779F" w:rsidP="008A08FA">
      <w:pPr>
        <w:pStyle w:val="EndNoteBibliography"/>
        <w:spacing w:after="120" w:line="480" w:lineRule="auto"/>
        <w:rPr>
          <w:rFonts w:ascii="Cambria" w:hAnsi="Cambria"/>
        </w:rPr>
      </w:pPr>
      <w:bookmarkStart w:id="6" w:name="_ENREF_6"/>
      <w:r w:rsidRPr="008A08FA">
        <w:rPr>
          <w:rFonts w:ascii="Cambria" w:hAnsi="Cambria"/>
        </w:rPr>
        <w:t>6.</w:t>
      </w:r>
      <w:r w:rsidRPr="008A08FA">
        <w:rPr>
          <w:rFonts w:ascii="Cambria" w:hAnsi="Cambria"/>
        </w:rPr>
        <w:tab/>
        <w:t xml:space="preserve">Pan Y, Henderson J, Britt H. Antibiotic prescribing in Australian general practice: how has it changed from 1990-91 to 2002-03? </w:t>
      </w:r>
      <w:r w:rsidRPr="008A08FA">
        <w:rPr>
          <w:rFonts w:ascii="Cambria" w:hAnsi="Cambria"/>
          <w:i/>
        </w:rPr>
        <w:t>Respir Med</w:t>
      </w:r>
      <w:r w:rsidRPr="008A08FA">
        <w:rPr>
          <w:rFonts w:ascii="Cambria" w:hAnsi="Cambria"/>
        </w:rPr>
        <w:t xml:space="preserve"> 2006; 100: 2004-11.</w:t>
      </w:r>
      <w:bookmarkEnd w:id="6"/>
    </w:p>
    <w:p w14:paraId="59878BDF" w14:textId="77777777" w:rsidR="00E1779F" w:rsidRPr="008A08FA" w:rsidRDefault="00E1779F" w:rsidP="008A08FA">
      <w:pPr>
        <w:pStyle w:val="EndNoteBibliography"/>
        <w:spacing w:after="120" w:line="480" w:lineRule="auto"/>
        <w:rPr>
          <w:rFonts w:ascii="Cambria" w:hAnsi="Cambria"/>
        </w:rPr>
      </w:pPr>
      <w:bookmarkStart w:id="7" w:name="_ENREF_7"/>
      <w:r w:rsidRPr="008A08FA">
        <w:rPr>
          <w:rFonts w:ascii="Cambria" w:hAnsi="Cambria"/>
        </w:rPr>
        <w:t>7.</w:t>
      </w:r>
      <w:r w:rsidRPr="008A08FA">
        <w:rPr>
          <w:rFonts w:ascii="Cambria" w:hAnsi="Cambria"/>
        </w:rPr>
        <w:tab/>
        <w:t xml:space="preserve">Adriaenssens N, Coenen S, Tonkin-Crine S, Verheij T, Little P, Goossens H. European Surveillance of Antimicrobial Consumption (ESAC): disease-specific quality indicators for outpatient antibiotic prescribing. </w:t>
      </w:r>
      <w:r w:rsidRPr="008A08FA">
        <w:rPr>
          <w:rFonts w:ascii="Cambria" w:hAnsi="Cambria"/>
          <w:i/>
        </w:rPr>
        <w:t>BMJ Qual Saf</w:t>
      </w:r>
      <w:r w:rsidRPr="008A08FA">
        <w:rPr>
          <w:rFonts w:ascii="Cambria" w:hAnsi="Cambria"/>
        </w:rPr>
        <w:t xml:space="preserve"> 2011; 20: 764-72.</w:t>
      </w:r>
      <w:bookmarkEnd w:id="7"/>
    </w:p>
    <w:p w14:paraId="400DE246" w14:textId="77777777" w:rsidR="00E1779F" w:rsidRPr="008A08FA" w:rsidRDefault="00E1779F" w:rsidP="008A08FA">
      <w:pPr>
        <w:pStyle w:val="EndNoteBibliography"/>
        <w:spacing w:after="120" w:line="480" w:lineRule="auto"/>
        <w:rPr>
          <w:rFonts w:ascii="Cambria" w:hAnsi="Cambria"/>
        </w:rPr>
      </w:pPr>
      <w:bookmarkStart w:id="8" w:name="_ENREF_8"/>
      <w:r w:rsidRPr="008A08FA">
        <w:rPr>
          <w:rFonts w:ascii="Cambria" w:hAnsi="Cambria"/>
        </w:rPr>
        <w:t>8.</w:t>
      </w:r>
      <w:r w:rsidRPr="008A08FA">
        <w:rPr>
          <w:rFonts w:ascii="Cambria" w:hAnsi="Cambria"/>
        </w:rPr>
        <w:tab/>
        <w:t xml:space="preserve">Arnold SR, Straus SE. Interventions to improve antibiotic prescribing practices in ambulatory care. </w:t>
      </w:r>
      <w:r w:rsidRPr="008A08FA">
        <w:rPr>
          <w:rFonts w:ascii="Cambria" w:hAnsi="Cambria"/>
          <w:i/>
        </w:rPr>
        <w:t>Cochrane Database Syst Rev</w:t>
      </w:r>
      <w:r w:rsidRPr="008A08FA">
        <w:rPr>
          <w:rFonts w:ascii="Cambria" w:hAnsi="Cambria"/>
        </w:rPr>
        <w:t xml:space="preserve"> 2005; CD003539.</w:t>
      </w:r>
      <w:bookmarkEnd w:id="8"/>
    </w:p>
    <w:p w14:paraId="6FAE5F5C" w14:textId="77777777" w:rsidR="00E1779F" w:rsidRPr="008A08FA" w:rsidRDefault="00E1779F" w:rsidP="008A08FA">
      <w:pPr>
        <w:pStyle w:val="EndNoteBibliography"/>
        <w:spacing w:after="120" w:line="480" w:lineRule="auto"/>
        <w:rPr>
          <w:rFonts w:ascii="Cambria" w:hAnsi="Cambria"/>
        </w:rPr>
      </w:pPr>
      <w:bookmarkStart w:id="9" w:name="_ENREF_9"/>
      <w:r w:rsidRPr="008A08FA">
        <w:rPr>
          <w:rFonts w:ascii="Cambria" w:hAnsi="Cambria"/>
        </w:rPr>
        <w:lastRenderedPageBreak/>
        <w:t>9.</w:t>
      </w:r>
      <w:r w:rsidRPr="008A08FA">
        <w:rPr>
          <w:rFonts w:ascii="Cambria" w:hAnsi="Cambria"/>
        </w:rPr>
        <w:tab/>
        <w:t xml:space="preserve">Gjelstad S, Hoye S, Straand J, Brekke M, Dalen I, Lindbaek M. Improving antibiotic prescribing in acute respiratory tract infections: cluster randomised trial from Norwegian general practice (prescription peer academic detailing (Rx-PAD) study). </w:t>
      </w:r>
      <w:r w:rsidRPr="008A08FA">
        <w:rPr>
          <w:rFonts w:ascii="Cambria" w:hAnsi="Cambria"/>
          <w:i/>
        </w:rPr>
        <w:t>BMJ</w:t>
      </w:r>
      <w:r w:rsidRPr="008A08FA">
        <w:rPr>
          <w:rFonts w:ascii="Cambria" w:hAnsi="Cambria"/>
        </w:rPr>
        <w:t xml:space="preserve"> 2013; 347: f4403.</w:t>
      </w:r>
      <w:bookmarkEnd w:id="9"/>
    </w:p>
    <w:p w14:paraId="0F8D34A7" w14:textId="77777777" w:rsidR="00E1779F" w:rsidRPr="008A08FA" w:rsidRDefault="00E1779F" w:rsidP="008A08FA">
      <w:pPr>
        <w:pStyle w:val="EndNoteBibliography"/>
        <w:spacing w:after="120" w:line="480" w:lineRule="auto"/>
        <w:rPr>
          <w:rFonts w:ascii="Cambria" w:hAnsi="Cambria"/>
        </w:rPr>
      </w:pPr>
      <w:bookmarkStart w:id="10" w:name="_ENREF_10"/>
      <w:r w:rsidRPr="008A08FA">
        <w:rPr>
          <w:rFonts w:ascii="Cambria" w:hAnsi="Cambria"/>
        </w:rPr>
        <w:t>10.</w:t>
      </w:r>
      <w:r w:rsidRPr="008A08FA">
        <w:rPr>
          <w:rFonts w:ascii="Cambria" w:hAnsi="Cambria"/>
        </w:rPr>
        <w:tab/>
        <w:t xml:space="preserve">van der Velden A, Kuyvenhoven M, Verheij T. Improving antibiotic prescribing quality by an intervention embedded in the primary care practice accreditation: the ARTI4 randomized trial. </w:t>
      </w:r>
      <w:r w:rsidRPr="008A08FA">
        <w:rPr>
          <w:rFonts w:ascii="Cambria" w:hAnsi="Cambria"/>
          <w:i/>
        </w:rPr>
        <w:t xml:space="preserve">J Antimicrob Chemother </w:t>
      </w:r>
      <w:r w:rsidRPr="008A08FA">
        <w:rPr>
          <w:rFonts w:ascii="Cambria" w:hAnsi="Cambria"/>
        </w:rPr>
        <w:t>2016; 71: 257–63.</w:t>
      </w:r>
      <w:bookmarkEnd w:id="10"/>
    </w:p>
    <w:p w14:paraId="37299142" w14:textId="77777777" w:rsidR="00E1779F" w:rsidRPr="008A08FA" w:rsidRDefault="00E1779F" w:rsidP="008A08FA">
      <w:pPr>
        <w:pStyle w:val="EndNoteBibliography"/>
        <w:spacing w:after="120" w:line="480" w:lineRule="auto"/>
        <w:rPr>
          <w:rFonts w:ascii="Cambria" w:hAnsi="Cambria"/>
        </w:rPr>
      </w:pPr>
      <w:bookmarkStart w:id="11" w:name="_ENREF_11"/>
      <w:r w:rsidRPr="008A08FA">
        <w:rPr>
          <w:rFonts w:ascii="Cambria" w:hAnsi="Cambria"/>
        </w:rPr>
        <w:t>11.</w:t>
      </w:r>
      <w:r w:rsidRPr="008A08FA">
        <w:rPr>
          <w:rFonts w:ascii="Cambria" w:hAnsi="Cambria"/>
        </w:rPr>
        <w:tab/>
        <w:t xml:space="preserve">van der Velden AW, Pijpers EJ, Kuyvenhoven MM, Tonkin-Crine SK, Little P, Verheij TJ. Effectiveness of physician-targeted interventions to improve antibiotic use for respiratory tract infections. </w:t>
      </w:r>
      <w:r w:rsidRPr="008A08FA">
        <w:rPr>
          <w:rFonts w:ascii="Cambria" w:hAnsi="Cambria"/>
          <w:i/>
        </w:rPr>
        <w:t>Br J Gen Pract</w:t>
      </w:r>
      <w:r w:rsidRPr="008A08FA">
        <w:rPr>
          <w:rFonts w:ascii="Cambria" w:hAnsi="Cambria"/>
        </w:rPr>
        <w:t xml:space="preserve"> 2012; 62: e801-7.</w:t>
      </w:r>
      <w:bookmarkEnd w:id="11"/>
    </w:p>
    <w:p w14:paraId="50B6595B" w14:textId="77777777" w:rsidR="00E1779F" w:rsidRPr="008A08FA" w:rsidRDefault="00E1779F" w:rsidP="008A08FA">
      <w:pPr>
        <w:pStyle w:val="EndNoteBibliography"/>
        <w:spacing w:after="120" w:line="480" w:lineRule="auto"/>
        <w:rPr>
          <w:rFonts w:ascii="Cambria" w:hAnsi="Cambria"/>
        </w:rPr>
      </w:pPr>
      <w:bookmarkStart w:id="12" w:name="_ENREF_12"/>
      <w:r w:rsidRPr="008A08FA">
        <w:rPr>
          <w:rFonts w:ascii="Cambria" w:hAnsi="Cambria"/>
        </w:rPr>
        <w:t>12.</w:t>
      </w:r>
      <w:r w:rsidRPr="008A08FA">
        <w:rPr>
          <w:rFonts w:ascii="Cambria" w:hAnsi="Cambria"/>
        </w:rPr>
        <w:tab/>
        <w:t xml:space="preserve">Little P, Stuart B, Francis N, Douglas E, Tonkin-Crine S, Anthierens S, et al. Effects of internet-based training on antibiotic prescribing rates for acute respiratory-tract infections: a multinational, cluster, randomised, factorial, controlled trial. </w:t>
      </w:r>
      <w:r w:rsidRPr="008A08FA">
        <w:rPr>
          <w:rFonts w:ascii="Cambria" w:hAnsi="Cambria"/>
          <w:i/>
        </w:rPr>
        <w:t>Lancet</w:t>
      </w:r>
      <w:r w:rsidRPr="008A08FA">
        <w:rPr>
          <w:rFonts w:ascii="Cambria" w:hAnsi="Cambria"/>
        </w:rPr>
        <w:t xml:space="preserve"> 2013; 382: 1175-82.</w:t>
      </w:r>
      <w:bookmarkEnd w:id="12"/>
    </w:p>
    <w:p w14:paraId="7E8EE3BA" w14:textId="77777777" w:rsidR="00E1779F" w:rsidRPr="008A08FA" w:rsidRDefault="00E1779F" w:rsidP="008A08FA">
      <w:pPr>
        <w:pStyle w:val="EndNoteBibliography"/>
        <w:spacing w:after="120" w:line="480" w:lineRule="auto"/>
        <w:rPr>
          <w:rFonts w:ascii="Cambria" w:hAnsi="Cambria"/>
        </w:rPr>
      </w:pPr>
      <w:bookmarkStart w:id="13" w:name="_ENREF_13"/>
      <w:r w:rsidRPr="008A08FA">
        <w:rPr>
          <w:rFonts w:ascii="Cambria" w:hAnsi="Cambria"/>
        </w:rPr>
        <w:t>13.</w:t>
      </w:r>
      <w:r w:rsidRPr="008A08FA">
        <w:rPr>
          <w:rFonts w:ascii="Cambria" w:hAnsi="Cambria"/>
        </w:rPr>
        <w:tab/>
        <w:t xml:space="preserve">Bjornsdottir I, Kristinsson KG, Hansen EH. Diagnosing infections: a qualitative view on prescription decisions in general practice over time. </w:t>
      </w:r>
      <w:r w:rsidRPr="008A08FA">
        <w:rPr>
          <w:rFonts w:ascii="Cambria" w:hAnsi="Cambria"/>
          <w:i/>
        </w:rPr>
        <w:t>Pharm World Sci</w:t>
      </w:r>
      <w:r w:rsidRPr="008A08FA">
        <w:rPr>
          <w:rFonts w:ascii="Cambria" w:hAnsi="Cambria"/>
        </w:rPr>
        <w:t xml:space="preserve"> 2010; 32: 805-14.</w:t>
      </w:r>
      <w:bookmarkEnd w:id="13"/>
    </w:p>
    <w:p w14:paraId="4AC35772" w14:textId="77777777" w:rsidR="00E1779F" w:rsidRPr="008A08FA" w:rsidRDefault="00E1779F" w:rsidP="008A08FA">
      <w:pPr>
        <w:pStyle w:val="EndNoteBibliography"/>
        <w:spacing w:after="120" w:line="480" w:lineRule="auto"/>
        <w:rPr>
          <w:rFonts w:ascii="Cambria" w:hAnsi="Cambria"/>
        </w:rPr>
      </w:pPr>
      <w:bookmarkStart w:id="14" w:name="_ENREF_14"/>
      <w:r w:rsidRPr="008A08FA">
        <w:rPr>
          <w:rFonts w:ascii="Cambria" w:hAnsi="Cambria"/>
        </w:rPr>
        <w:t>14.</w:t>
      </w:r>
      <w:r w:rsidRPr="008A08FA">
        <w:rPr>
          <w:rFonts w:ascii="Cambria" w:hAnsi="Cambria"/>
        </w:rPr>
        <w:tab/>
        <w:t xml:space="preserve">Dallas A, Magin P, Morgan S, Tapley A, Henderson K, Ball J, et al. Antibiotic prescribing for respiratory infections: a cross-sectional analysis of the ReCEnT study exploring the habits of early-career doctors in primary care. </w:t>
      </w:r>
      <w:r w:rsidRPr="008A08FA">
        <w:rPr>
          <w:rFonts w:ascii="Cambria" w:hAnsi="Cambria"/>
          <w:i/>
        </w:rPr>
        <w:t>Fam Pract</w:t>
      </w:r>
      <w:r w:rsidRPr="008A08FA">
        <w:rPr>
          <w:rFonts w:ascii="Cambria" w:hAnsi="Cambria"/>
        </w:rPr>
        <w:t xml:space="preserve"> 2015; 32: 49-55.</w:t>
      </w:r>
      <w:bookmarkEnd w:id="14"/>
    </w:p>
    <w:p w14:paraId="42FE9A70" w14:textId="77777777" w:rsidR="00E1779F" w:rsidRPr="008A08FA" w:rsidRDefault="00E1779F" w:rsidP="008A08FA">
      <w:pPr>
        <w:pStyle w:val="EndNoteBibliography"/>
        <w:spacing w:after="120" w:line="480" w:lineRule="auto"/>
        <w:rPr>
          <w:rFonts w:ascii="Cambria" w:hAnsi="Cambria"/>
        </w:rPr>
      </w:pPr>
      <w:bookmarkStart w:id="15" w:name="_ENREF_15"/>
      <w:r w:rsidRPr="008A08FA">
        <w:rPr>
          <w:rFonts w:ascii="Cambria" w:hAnsi="Cambria"/>
        </w:rPr>
        <w:t>15.</w:t>
      </w:r>
      <w:r w:rsidRPr="008A08FA">
        <w:rPr>
          <w:rFonts w:ascii="Cambria" w:hAnsi="Cambria"/>
        </w:rPr>
        <w:tab/>
        <w:t xml:space="preserve">Magin PJ, Morgan S, Tapley A, Henderson KM, Holliday EG, Ball J, et al. Changes in early-career family physicians' antibiotic prescribing for upper respiratory tract infection and acute bronchitis: a multicentre longitudinal study. </w:t>
      </w:r>
      <w:r w:rsidRPr="008A08FA">
        <w:rPr>
          <w:rFonts w:ascii="Cambria" w:hAnsi="Cambria"/>
          <w:i/>
        </w:rPr>
        <w:t>Fam Pract</w:t>
      </w:r>
      <w:r w:rsidRPr="008A08FA">
        <w:rPr>
          <w:rFonts w:ascii="Cambria" w:hAnsi="Cambria"/>
        </w:rPr>
        <w:t xml:space="preserve"> 2016; 33: 360-7.</w:t>
      </w:r>
      <w:bookmarkEnd w:id="15"/>
    </w:p>
    <w:p w14:paraId="3C77955A" w14:textId="7A6EAEBB" w:rsidR="00E1779F" w:rsidRPr="008A08FA" w:rsidRDefault="00E1779F" w:rsidP="008A08FA">
      <w:pPr>
        <w:pStyle w:val="EndNoteBibliography"/>
        <w:spacing w:after="120" w:line="480" w:lineRule="auto"/>
        <w:rPr>
          <w:rFonts w:ascii="Cambria" w:hAnsi="Cambria"/>
        </w:rPr>
      </w:pPr>
      <w:bookmarkStart w:id="16" w:name="_ENREF_16"/>
      <w:r w:rsidRPr="008A08FA">
        <w:rPr>
          <w:rFonts w:ascii="Cambria" w:hAnsi="Cambria"/>
        </w:rPr>
        <w:lastRenderedPageBreak/>
        <w:t>16.</w:t>
      </w:r>
      <w:r w:rsidRPr="008A08FA">
        <w:rPr>
          <w:rFonts w:ascii="Cambria" w:hAnsi="Cambria"/>
        </w:rPr>
        <w:tab/>
        <w:t xml:space="preserve">Magin P, Morgan S, Tapley A, Davis J, McArthur L, Henderson K, et al. Reducing general practice trainees’ antibiotic prescribing for respiratory tract infections: an evaluation of a combined face-to-face workshop and on-line educational intervention. </w:t>
      </w:r>
      <w:r w:rsidRPr="008A08FA">
        <w:rPr>
          <w:rFonts w:ascii="Cambria" w:hAnsi="Cambria"/>
          <w:i/>
        </w:rPr>
        <w:t>Educ Prim Care</w:t>
      </w:r>
      <w:r w:rsidRPr="008A08FA">
        <w:rPr>
          <w:rFonts w:ascii="Cambria" w:hAnsi="Cambria"/>
        </w:rPr>
        <w:t xml:space="preserve"> 201</w:t>
      </w:r>
      <w:r w:rsidR="00C871B8">
        <w:rPr>
          <w:rFonts w:ascii="Cambria" w:hAnsi="Cambria"/>
        </w:rPr>
        <w:t xml:space="preserve">6; </w:t>
      </w:r>
      <w:r w:rsidR="00C871B8" w:rsidRPr="00C871B8">
        <w:rPr>
          <w:rFonts w:ascii="Cambria" w:hAnsi="Cambria"/>
        </w:rPr>
        <w:t>27:</w:t>
      </w:r>
      <w:r w:rsidR="00C871B8">
        <w:rPr>
          <w:rFonts w:ascii="Cambria" w:hAnsi="Cambria"/>
        </w:rPr>
        <w:t xml:space="preserve"> </w:t>
      </w:r>
      <w:r w:rsidR="00C871B8" w:rsidRPr="00C871B8">
        <w:rPr>
          <w:rFonts w:ascii="Cambria" w:hAnsi="Cambria"/>
        </w:rPr>
        <w:t>98-105.</w:t>
      </w:r>
      <w:bookmarkEnd w:id="16"/>
    </w:p>
    <w:p w14:paraId="52A96F4B" w14:textId="77777777" w:rsidR="00E1779F" w:rsidRPr="008A08FA" w:rsidRDefault="00E1779F" w:rsidP="008A08FA">
      <w:pPr>
        <w:pStyle w:val="EndNoteBibliography"/>
        <w:spacing w:after="120" w:line="480" w:lineRule="auto"/>
        <w:rPr>
          <w:rFonts w:ascii="Cambria" w:hAnsi="Cambria"/>
        </w:rPr>
      </w:pPr>
      <w:bookmarkStart w:id="17" w:name="_ENREF_17"/>
      <w:r w:rsidRPr="008A08FA">
        <w:rPr>
          <w:rFonts w:ascii="Cambria" w:hAnsi="Cambria"/>
        </w:rPr>
        <w:t>17.</w:t>
      </w:r>
      <w:r w:rsidRPr="008A08FA">
        <w:rPr>
          <w:rFonts w:ascii="Cambria" w:hAnsi="Cambria"/>
        </w:rPr>
        <w:tab/>
        <w:t xml:space="preserve">van Driel M, Morgan S, Tapley A, McArthur L, McElduff P, Yardley L, et al. Study protocol of the ChAP study: Changing the antibiotic prescribing of general practice registrars through better adherence to antibiotic guidelines. </w:t>
      </w:r>
      <w:r w:rsidRPr="008A08FA">
        <w:rPr>
          <w:rFonts w:ascii="Cambria" w:hAnsi="Cambria"/>
          <w:i/>
        </w:rPr>
        <w:t>BMC Fam Pract</w:t>
      </w:r>
      <w:r w:rsidRPr="008A08FA">
        <w:rPr>
          <w:rFonts w:ascii="Cambria" w:hAnsi="Cambria"/>
        </w:rPr>
        <w:t xml:space="preserve"> 2006; 17: 67.</w:t>
      </w:r>
      <w:bookmarkEnd w:id="17"/>
    </w:p>
    <w:p w14:paraId="491F62AB" w14:textId="77777777" w:rsidR="00E1779F" w:rsidRPr="008A08FA" w:rsidRDefault="00E1779F" w:rsidP="008A08FA">
      <w:pPr>
        <w:pStyle w:val="EndNoteBibliography"/>
        <w:spacing w:after="120" w:line="480" w:lineRule="auto"/>
        <w:rPr>
          <w:rFonts w:ascii="Cambria" w:hAnsi="Cambria"/>
        </w:rPr>
      </w:pPr>
      <w:bookmarkStart w:id="18" w:name="_ENREF_18"/>
      <w:r w:rsidRPr="008A08FA">
        <w:rPr>
          <w:rFonts w:ascii="Cambria" w:hAnsi="Cambria"/>
        </w:rPr>
        <w:t>18.</w:t>
      </w:r>
      <w:r w:rsidRPr="008A08FA">
        <w:rPr>
          <w:rFonts w:ascii="Cambria" w:hAnsi="Cambria"/>
        </w:rPr>
        <w:tab/>
        <w:t xml:space="preserve">Morgan S, Magin PJ, Henderson KM, Goode SM, Scott J, Bowe SJ, et al. Study protocol: the Registrar Clinical Encounters in Training (ReCEnT) study. </w:t>
      </w:r>
      <w:r w:rsidRPr="008A08FA">
        <w:rPr>
          <w:rFonts w:ascii="Cambria" w:hAnsi="Cambria"/>
          <w:i/>
        </w:rPr>
        <w:t>BMC Fam Pract</w:t>
      </w:r>
      <w:r w:rsidRPr="008A08FA">
        <w:rPr>
          <w:rFonts w:ascii="Cambria" w:hAnsi="Cambria"/>
        </w:rPr>
        <w:t xml:space="preserve"> 2012; 13: 50.</w:t>
      </w:r>
      <w:bookmarkEnd w:id="18"/>
    </w:p>
    <w:p w14:paraId="54190C77" w14:textId="77777777" w:rsidR="00E1779F" w:rsidRPr="008A08FA" w:rsidRDefault="00E1779F" w:rsidP="008A08FA">
      <w:pPr>
        <w:pStyle w:val="EndNoteBibliography"/>
        <w:spacing w:after="120" w:line="480" w:lineRule="auto"/>
        <w:rPr>
          <w:rFonts w:ascii="Cambria" w:hAnsi="Cambria"/>
        </w:rPr>
      </w:pPr>
      <w:bookmarkStart w:id="19" w:name="_ENREF_19"/>
      <w:r w:rsidRPr="008A08FA">
        <w:rPr>
          <w:rFonts w:ascii="Cambria" w:hAnsi="Cambria"/>
        </w:rPr>
        <w:t>19.</w:t>
      </w:r>
      <w:r w:rsidRPr="008A08FA">
        <w:rPr>
          <w:rFonts w:ascii="Cambria" w:hAnsi="Cambria"/>
        </w:rPr>
        <w:tab/>
        <w:t xml:space="preserve">Yardley L, Douglas E, Anthierens S, Tonkin-Crine S, O'Reilly G, Stuart B, et al. Evaluation of a web-based intervention to reduce antibiotic prescribing for LRTI in six European countries: quantitative process analysis of the GRACE/INTRO randomised controlled trial. </w:t>
      </w:r>
      <w:r w:rsidRPr="008A08FA">
        <w:rPr>
          <w:rFonts w:ascii="Cambria" w:hAnsi="Cambria"/>
          <w:i/>
        </w:rPr>
        <w:t>Implement Sci</w:t>
      </w:r>
      <w:r w:rsidRPr="008A08FA">
        <w:rPr>
          <w:rFonts w:ascii="Cambria" w:hAnsi="Cambria"/>
        </w:rPr>
        <w:t xml:space="preserve"> 2013; 8: 134.</w:t>
      </w:r>
      <w:bookmarkEnd w:id="19"/>
    </w:p>
    <w:p w14:paraId="600022F8" w14:textId="77777777" w:rsidR="00E1779F" w:rsidRPr="008A08FA" w:rsidRDefault="00E1779F" w:rsidP="008A08FA">
      <w:pPr>
        <w:pStyle w:val="EndNoteBibliography"/>
        <w:spacing w:after="120" w:line="480" w:lineRule="auto"/>
        <w:rPr>
          <w:rFonts w:ascii="Cambria" w:hAnsi="Cambria"/>
        </w:rPr>
      </w:pPr>
      <w:bookmarkStart w:id="20" w:name="_ENREF_20"/>
      <w:r w:rsidRPr="008A08FA">
        <w:rPr>
          <w:rFonts w:ascii="Cambria" w:hAnsi="Cambria"/>
        </w:rPr>
        <w:t>20.</w:t>
      </w:r>
      <w:r w:rsidRPr="008A08FA">
        <w:rPr>
          <w:rFonts w:ascii="Cambria" w:hAnsi="Cambria"/>
        </w:rPr>
        <w:tab/>
        <w:t xml:space="preserve">Yardley L, Morrison L, Bradbury K, Muller I. The person-based approach to intervention development: application to digital health-related behavior change interventions. </w:t>
      </w:r>
      <w:r w:rsidRPr="008A08FA">
        <w:rPr>
          <w:rFonts w:ascii="Cambria" w:hAnsi="Cambria"/>
          <w:i/>
        </w:rPr>
        <w:t>J Med Internet Res</w:t>
      </w:r>
      <w:r w:rsidRPr="008A08FA">
        <w:rPr>
          <w:rFonts w:ascii="Cambria" w:hAnsi="Cambria"/>
        </w:rPr>
        <w:t xml:space="preserve"> 2015; 17: e30.</w:t>
      </w:r>
      <w:bookmarkEnd w:id="20"/>
    </w:p>
    <w:p w14:paraId="004A79F6" w14:textId="77777777" w:rsidR="00E1779F" w:rsidRPr="008A08FA" w:rsidRDefault="00E1779F" w:rsidP="008A08FA">
      <w:pPr>
        <w:pStyle w:val="EndNoteBibliography"/>
        <w:spacing w:after="120" w:line="480" w:lineRule="auto"/>
        <w:rPr>
          <w:rFonts w:ascii="Cambria" w:hAnsi="Cambria"/>
        </w:rPr>
      </w:pPr>
      <w:bookmarkStart w:id="21" w:name="_ENREF_21"/>
      <w:r w:rsidRPr="008A08FA">
        <w:rPr>
          <w:rFonts w:ascii="Cambria" w:hAnsi="Cambria"/>
        </w:rPr>
        <w:t>21.</w:t>
      </w:r>
      <w:r w:rsidRPr="008A08FA">
        <w:rPr>
          <w:rFonts w:ascii="Cambria" w:hAnsi="Cambria"/>
        </w:rPr>
        <w:tab/>
        <w:t xml:space="preserve">Dallas A, van Driel M, van de Mortel T, Magin P. Antibiotic prescribing for the future: exploring the attitudes of trainees in general practice. </w:t>
      </w:r>
      <w:r w:rsidRPr="008A08FA">
        <w:rPr>
          <w:rFonts w:ascii="Cambria" w:hAnsi="Cambria"/>
          <w:i/>
        </w:rPr>
        <w:t>Br J Gen Pract</w:t>
      </w:r>
      <w:r w:rsidRPr="008A08FA">
        <w:rPr>
          <w:rFonts w:ascii="Cambria" w:hAnsi="Cambria"/>
        </w:rPr>
        <w:t xml:space="preserve"> 2014; 64: e561-7.</w:t>
      </w:r>
      <w:bookmarkEnd w:id="21"/>
    </w:p>
    <w:p w14:paraId="193DBFA2" w14:textId="51BE3A7D" w:rsidR="006E5935" w:rsidRPr="006E5935" w:rsidRDefault="00E1779F" w:rsidP="006E5935">
      <w:pPr>
        <w:pStyle w:val="EndNoteBibliography"/>
        <w:spacing w:after="120" w:line="480" w:lineRule="auto"/>
        <w:rPr>
          <w:rFonts w:ascii="Cambria" w:hAnsi="Cambria"/>
        </w:rPr>
      </w:pPr>
      <w:bookmarkStart w:id="22" w:name="_ENREF_22"/>
      <w:r w:rsidRPr="008A08FA">
        <w:rPr>
          <w:rFonts w:ascii="Cambria" w:hAnsi="Cambria"/>
        </w:rPr>
        <w:t>22.</w:t>
      </w:r>
      <w:r w:rsidRPr="008A08FA">
        <w:rPr>
          <w:rFonts w:ascii="Cambria" w:hAnsi="Cambria"/>
        </w:rPr>
        <w:tab/>
        <w:t>Britt H, Harrison C, Miller G. The real story, GP prescribing of antibiotics for respiratory tract infections — from BEACH. 2012.</w:t>
      </w:r>
      <w:bookmarkEnd w:id="22"/>
      <w:r w:rsidR="00C871B8">
        <w:rPr>
          <w:rFonts w:ascii="Cambria" w:hAnsi="Cambria"/>
        </w:rPr>
        <w:t xml:space="preserve"> </w:t>
      </w:r>
      <w:bookmarkStart w:id="23" w:name="_ENREF_23"/>
      <w:r w:rsidR="006E5935" w:rsidRPr="006E5935">
        <w:rPr>
          <w:rFonts w:ascii="Cambria" w:hAnsi="Cambria"/>
        </w:rPr>
        <w:t>Byte from BEACH No: 2012;2 Sydney. FMRC, University of Sydney, 2012.</w:t>
      </w:r>
    </w:p>
    <w:p w14:paraId="52C173A3" w14:textId="70ED69EA" w:rsidR="00E1779F" w:rsidRPr="008A08FA" w:rsidRDefault="00E1779F" w:rsidP="006E5935">
      <w:pPr>
        <w:pStyle w:val="EndNoteBibliography"/>
        <w:spacing w:after="120" w:line="480" w:lineRule="auto"/>
        <w:rPr>
          <w:rFonts w:ascii="Cambria" w:hAnsi="Cambria"/>
        </w:rPr>
      </w:pPr>
      <w:r w:rsidRPr="008A08FA">
        <w:rPr>
          <w:rFonts w:ascii="Cambria" w:hAnsi="Cambria"/>
        </w:rPr>
        <w:lastRenderedPageBreak/>
        <w:t>23.</w:t>
      </w:r>
      <w:r w:rsidRPr="008A08FA">
        <w:rPr>
          <w:rFonts w:ascii="Cambria" w:hAnsi="Cambria"/>
        </w:rPr>
        <w:tab/>
        <w:t xml:space="preserve">Ferrat E, Le Bretona J, Guérya E, Adelinea F, Audureaub E, Montagned O, et al. Effects 4.5 years after an interactive GP educational seminar on antibiotic therapy for respiratory tract infections: a randomized controlled trial. </w:t>
      </w:r>
      <w:r w:rsidRPr="005736ED">
        <w:rPr>
          <w:rFonts w:ascii="Cambria" w:hAnsi="Cambria"/>
          <w:i/>
        </w:rPr>
        <w:t xml:space="preserve">Fam Pract </w:t>
      </w:r>
      <w:r w:rsidRPr="008A08FA">
        <w:rPr>
          <w:rFonts w:ascii="Cambria" w:hAnsi="Cambria"/>
        </w:rPr>
        <w:t>2016; 33: 192-9.</w:t>
      </w:r>
      <w:bookmarkEnd w:id="23"/>
    </w:p>
    <w:p w14:paraId="627E037D" w14:textId="77777777" w:rsidR="00E1779F" w:rsidRPr="008A08FA" w:rsidRDefault="00E1779F" w:rsidP="008A08FA">
      <w:pPr>
        <w:pStyle w:val="EndNoteBibliography"/>
        <w:spacing w:after="120" w:line="480" w:lineRule="auto"/>
        <w:rPr>
          <w:rFonts w:ascii="Cambria" w:hAnsi="Cambria"/>
        </w:rPr>
      </w:pPr>
      <w:bookmarkStart w:id="24" w:name="_ENREF_24"/>
      <w:r w:rsidRPr="008A08FA">
        <w:rPr>
          <w:rFonts w:ascii="Cambria" w:hAnsi="Cambria"/>
        </w:rPr>
        <w:t>24.</w:t>
      </w:r>
      <w:r w:rsidRPr="008A08FA">
        <w:rPr>
          <w:rFonts w:ascii="Cambria" w:hAnsi="Cambria"/>
        </w:rPr>
        <w:tab/>
        <w:t xml:space="preserve">Le Corvoisier P, Renard V, Roudot-Thoraval F, Cazalens T, Veerabudun K, Canoui-Poitrine F, et al. Long-term effects of an educational seminar on antibiotic prescribing by GPs: a randomised controlled trial. </w:t>
      </w:r>
      <w:r w:rsidRPr="008A08FA">
        <w:rPr>
          <w:rFonts w:ascii="Cambria" w:hAnsi="Cambria"/>
          <w:i/>
        </w:rPr>
        <w:t>Br J Gen Pract</w:t>
      </w:r>
      <w:r w:rsidRPr="008A08FA">
        <w:rPr>
          <w:rFonts w:ascii="Cambria" w:hAnsi="Cambria"/>
        </w:rPr>
        <w:t xml:space="preserve"> 2013; 63: e455-64.</w:t>
      </w:r>
      <w:bookmarkEnd w:id="24"/>
    </w:p>
    <w:p w14:paraId="1758B2FF" w14:textId="77777777" w:rsidR="00E1779F" w:rsidRPr="008A08FA" w:rsidRDefault="00E1779F" w:rsidP="008A08FA">
      <w:pPr>
        <w:pStyle w:val="EndNoteBibliography"/>
        <w:spacing w:after="120" w:line="480" w:lineRule="auto"/>
        <w:rPr>
          <w:rFonts w:ascii="Cambria" w:hAnsi="Cambria"/>
        </w:rPr>
      </w:pPr>
      <w:bookmarkStart w:id="25" w:name="_ENREF_25"/>
      <w:r w:rsidRPr="008A08FA">
        <w:rPr>
          <w:rFonts w:ascii="Cambria" w:hAnsi="Cambria"/>
        </w:rPr>
        <w:t>25.</w:t>
      </w:r>
      <w:r w:rsidRPr="008A08FA">
        <w:rPr>
          <w:rFonts w:ascii="Cambria" w:hAnsi="Cambria"/>
        </w:rPr>
        <w:tab/>
        <w:t xml:space="preserve">Butler CC, Simpson SA, Dunstan F, Rollnick S, Cohen D, Gillespie D, et al. Effectiveness of multifaceted educational programme to reduce antibiotic dispensing in primary care: practice based randomised controlled trial. </w:t>
      </w:r>
      <w:r w:rsidRPr="008A08FA">
        <w:rPr>
          <w:rFonts w:ascii="Cambria" w:hAnsi="Cambria"/>
          <w:i/>
        </w:rPr>
        <w:t>BMJ</w:t>
      </w:r>
      <w:r w:rsidRPr="008A08FA">
        <w:rPr>
          <w:rFonts w:ascii="Cambria" w:hAnsi="Cambria"/>
        </w:rPr>
        <w:t xml:space="preserve"> 2012; 344: d8173.</w:t>
      </w:r>
      <w:bookmarkEnd w:id="25"/>
    </w:p>
    <w:p w14:paraId="40D79948" w14:textId="77777777" w:rsidR="00E1779F" w:rsidRPr="008A08FA" w:rsidRDefault="00E1779F" w:rsidP="008A08FA">
      <w:pPr>
        <w:pStyle w:val="EndNoteBibliography"/>
        <w:spacing w:after="120" w:line="480" w:lineRule="auto"/>
        <w:rPr>
          <w:rFonts w:ascii="Cambria" w:hAnsi="Cambria"/>
        </w:rPr>
      </w:pPr>
      <w:bookmarkStart w:id="26" w:name="_ENREF_26"/>
      <w:r w:rsidRPr="008A08FA">
        <w:rPr>
          <w:rFonts w:ascii="Cambria" w:hAnsi="Cambria"/>
        </w:rPr>
        <w:t>26.</w:t>
      </w:r>
      <w:r w:rsidRPr="008A08FA">
        <w:rPr>
          <w:rFonts w:ascii="Cambria" w:hAnsi="Cambria"/>
        </w:rPr>
        <w:tab/>
        <w:t xml:space="preserve">Welschen I, Kuyvenhoven MM, Hoes AW, Verheij TJ. Effectiveness of a multiple intervention to reduce antibiotic prescribing for respiratory tract symptoms in primary care: randomised controlled trial. </w:t>
      </w:r>
      <w:r w:rsidRPr="008A08FA">
        <w:rPr>
          <w:rFonts w:ascii="Cambria" w:hAnsi="Cambria"/>
          <w:i/>
        </w:rPr>
        <w:t>BMJ</w:t>
      </w:r>
      <w:r w:rsidRPr="008A08FA">
        <w:rPr>
          <w:rFonts w:ascii="Cambria" w:hAnsi="Cambria"/>
        </w:rPr>
        <w:t xml:space="preserve"> 2004; 329: 431.</w:t>
      </w:r>
      <w:bookmarkEnd w:id="26"/>
    </w:p>
    <w:p w14:paraId="2A204549" w14:textId="77777777" w:rsidR="00E1779F" w:rsidRPr="008A08FA" w:rsidRDefault="00E1779F" w:rsidP="008A08FA">
      <w:pPr>
        <w:pStyle w:val="EndNoteBibliography"/>
        <w:spacing w:after="120" w:line="480" w:lineRule="auto"/>
        <w:rPr>
          <w:rFonts w:ascii="Cambria" w:hAnsi="Cambria"/>
        </w:rPr>
      </w:pPr>
      <w:bookmarkStart w:id="27" w:name="_ENREF_27"/>
      <w:r w:rsidRPr="008A08FA">
        <w:rPr>
          <w:rFonts w:ascii="Cambria" w:hAnsi="Cambria"/>
        </w:rPr>
        <w:t>27.</w:t>
      </w:r>
      <w:r w:rsidRPr="008A08FA">
        <w:rPr>
          <w:rFonts w:ascii="Cambria" w:hAnsi="Cambria"/>
        </w:rPr>
        <w:tab/>
        <w:t xml:space="preserve">Tonkin-Crine S, Yardley L, Coenen S, Fernandez-Vandellos P, Krawczyk J, Touboul P, et al. GPs' views in five European countries of interventions to promote prudent antibiotic use. </w:t>
      </w:r>
      <w:r w:rsidRPr="008A08FA">
        <w:rPr>
          <w:rFonts w:ascii="Cambria" w:hAnsi="Cambria"/>
          <w:i/>
        </w:rPr>
        <w:t>Br J Gen Pract</w:t>
      </w:r>
      <w:r w:rsidRPr="008A08FA">
        <w:rPr>
          <w:rFonts w:ascii="Cambria" w:hAnsi="Cambria"/>
        </w:rPr>
        <w:t xml:space="preserve"> 2011; 61: e252-61.</w:t>
      </w:r>
      <w:bookmarkEnd w:id="27"/>
    </w:p>
    <w:p w14:paraId="330ECB1A" w14:textId="77777777" w:rsidR="00E1779F" w:rsidRPr="008A08FA" w:rsidRDefault="00E1779F" w:rsidP="008A08FA">
      <w:pPr>
        <w:pStyle w:val="EndNoteBibliography"/>
        <w:spacing w:after="120" w:line="480" w:lineRule="auto"/>
        <w:rPr>
          <w:rFonts w:ascii="Cambria" w:hAnsi="Cambria"/>
        </w:rPr>
      </w:pPr>
      <w:bookmarkStart w:id="28" w:name="_ENREF_28"/>
      <w:r w:rsidRPr="008A08FA">
        <w:rPr>
          <w:rFonts w:ascii="Cambria" w:hAnsi="Cambria"/>
        </w:rPr>
        <w:t>28.</w:t>
      </w:r>
      <w:r w:rsidRPr="008A08FA">
        <w:rPr>
          <w:rFonts w:ascii="Cambria" w:hAnsi="Cambria"/>
        </w:rPr>
        <w:tab/>
        <w:t xml:space="preserve">Moore M, Stuart B, Coenen S, Butler CC, Goossens H, Verheij TJ, et al. Amoxicillin for acute lower respiratory tract infection in primary care: subgroup analysis of potential high-risk groups.[Erratum appears in Br J Gen Pract. 2014 Mar;64(620):126]. </w:t>
      </w:r>
      <w:r w:rsidRPr="008A08FA">
        <w:rPr>
          <w:rFonts w:ascii="Cambria" w:hAnsi="Cambria"/>
          <w:i/>
        </w:rPr>
        <w:t>Br J Gen Pract</w:t>
      </w:r>
      <w:r w:rsidRPr="008A08FA">
        <w:rPr>
          <w:rFonts w:ascii="Cambria" w:hAnsi="Cambria"/>
        </w:rPr>
        <w:t xml:space="preserve"> 2014; 64: e75-80.</w:t>
      </w:r>
      <w:bookmarkEnd w:id="28"/>
    </w:p>
    <w:p w14:paraId="59926628" w14:textId="77777777" w:rsidR="00E1779F" w:rsidRPr="008A08FA" w:rsidRDefault="00E1779F" w:rsidP="008A08FA">
      <w:pPr>
        <w:pStyle w:val="EndNoteBibliography"/>
        <w:spacing w:after="120" w:line="480" w:lineRule="auto"/>
        <w:rPr>
          <w:rFonts w:ascii="Cambria" w:hAnsi="Cambria"/>
        </w:rPr>
      </w:pPr>
      <w:bookmarkStart w:id="29" w:name="_ENREF_29"/>
      <w:r w:rsidRPr="008A08FA">
        <w:rPr>
          <w:rFonts w:ascii="Cambria" w:hAnsi="Cambria"/>
        </w:rPr>
        <w:t>29.</w:t>
      </w:r>
      <w:r w:rsidRPr="008A08FA">
        <w:rPr>
          <w:rFonts w:ascii="Cambria" w:hAnsi="Cambria"/>
        </w:rPr>
        <w:tab/>
        <w:t xml:space="preserve">Pulcini C, Williams F, Molinari N, Davey P, Nathwani D. Junior doctors' knowledge and perceptions of antibiotic resistance and prescribing: a survey in France and Scotland. </w:t>
      </w:r>
      <w:r w:rsidRPr="008A08FA">
        <w:rPr>
          <w:rFonts w:ascii="Cambria" w:hAnsi="Cambria"/>
          <w:i/>
        </w:rPr>
        <w:t>Clin Microbiol Infect</w:t>
      </w:r>
      <w:r w:rsidRPr="008A08FA">
        <w:rPr>
          <w:rFonts w:ascii="Cambria" w:hAnsi="Cambria"/>
        </w:rPr>
        <w:t xml:space="preserve"> 2011; 17: 80-7.</w:t>
      </w:r>
      <w:bookmarkEnd w:id="29"/>
    </w:p>
    <w:p w14:paraId="61DD32FE" w14:textId="77777777" w:rsidR="005736ED" w:rsidRDefault="00E1779F" w:rsidP="005736ED">
      <w:pPr>
        <w:pStyle w:val="EndNoteBibliography"/>
        <w:spacing w:after="120" w:line="480" w:lineRule="auto"/>
        <w:rPr>
          <w:rFonts w:ascii="Cambria" w:hAnsi="Cambria"/>
        </w:rPr>
      </w:pPr>
      <w:bookmarkStart w:id="30" w:name="_ENREF_30"/>
      <w:r w:rsidRPr="008A08FA">
        <w:rPr>
          <w:rFonts w:ascii="Cambria" w:hAnsi="Cambria"/>
        </w:rPr>
        <w:lastRenderedPageBreak/>
        <w:t>30.</w:t>
      </w:r>
      <w:r w:rsidRPr="008A08FA">
        <w:rPr>
          <w:rFonts w:ascii="Cambria" w:hAnsi="Cambria"/>
        </w:rPr>
        <w:tab/>
      </w:r>
      <w:bookmarkEnd w:id="30"/>
      <w:r w:rsidR="005736ED" w:rsidRPr="008A08FA">
        <w:rPr>
          <w:rFonts w:ascii="Cambria" w:hAnsi="Cambria"/>
        </w:rPr>
        <w:t xml:space="preserve">Rawson T, Butters T, Moore L, Castro-Sánchez E, Cooke F, Holmes A. Exploring the coverage of antimicrobial stewardship across UK clinical postgraduate training curricula. </w:t>
      </w:r>
      <w:r w:rsidR="005736ED" w:rsidRPr="008A08FA">
        <w:rPr>
          <w:rFonts w:ascii="Cambria" w:hAnsi="Cambria"/>
          <w:i/>
        </w:rPr>
        <w:t>J Antimicrob Chemother</w:t>
      </w:r>
      <w:r w:rsidR="005736ED" w:rsidRPr="008A08FA">
        <w:rPr>
          <w:rFonts w:ascii="Cambria" w:hAnsi="Cambria"/>
        </w:rPr>
        <w:t xml:space="preserve"> 2016</w:t>
      </w:r>
      <w:r w:rsidR="005736ED">
        <w:rPr>
          <w:rFonts w:ascii="Cambria" w:hAnsi="Cambria"/>
        </w:rPr>
        <w:t xml:space="preserve">; </w:t>
      </w:r>
      <w:r w:rsidR="005736ED" w:rsidRPr="006F4922">
        <w:rPr>
          <w:rFonts w:ascii="Cambria" w:hAnsi="Cambria"/>
        </w:rPr>
        <w:t>71:</w:t>
      </w:r>
      <w:r w:rsidR="005736ED">
        <w:rPr>
          <w:rFonts w:ascii="Cambria" w:hAnsi="Cambria"/>
        </w:rPr>
        <w:t xml:space="preserve"> </w:t>
      </w:r>
      <w:r w:rsidR="005736ED" w:rsidRPr="006F4922">
        <w:rPr>
          <w:rFonts w:ascii="Cambria" w:hAnsi="Cambria"/>
        </w:rPr>
        <w:t>554-9.</w:t>
      </w:r>
    </w:p>
    <w:p w14:paraId="6065F1D5" w14:textId="46F937C4" w:rsidR="00E1779F" w:rsidRDefault="00E1779F" w:rsidP="008A08FA">
      <w:pPr>
        <w:pStyle w:val="EndNoteBibliography"/>
        <w:spacing w:after="120" w:line="480" w:lineRule="auto"/>
        <w:rPr>
          <w:rFonts w:ascii="Cambria" w:hAnsi="Cambria"/>
        </w:rPr>
      </w:pPr>
    </w:p>
    <w:p w14:paraId="32520CEF" w14:textId="10C6F356" w:rsidR="00C871B8" w:rsidRDefault="00C871B8">
      <w:pPr>
        <w:spacing w:after="0" w:line="240" w:lineRule="auto"/>
        <w:rPr>
          <w:rFonts w:ascii="Cambria" w:hAnsi="Cambria"/>
          <w:noProof/>
          <w:lang w:val="en-US"/>
        </w:rPr>
      </w:pPr>
      <w:r>
        <w:rPr>
          <w:rFonts w:ascii="Cambria" w:hAnsi="Cambria"/>
        </w:rPr>
        <w:br w:type="page"/>
      </w:r>
    </w:p>
    <w:p w14:paraId="41FB6866" w14:textId="77777777" w:rsidR="00E1779F" w:rsidRDefault="00E1779F" w:rsidP="00705EDD">
      <w:pPr>
        <w:spacing w:after="120" w:line="240" w:lineRule="auto"/>
        <w:rPr>
          <w:rFonts w:ascii="Cambria" w:hAnsi="Cambria"/>
          <w:b/>
        </w:rPr>
      </w:pPr>
      <w:r w:rsidRPr="008A08FA">
        <w:rPr>
          <w:rFonts w:ascii="Cambria" w:hAnsi="Cambria"/>
          <w:b/>
        </w:rPr>
        <w:lastRenderedPageBreak/>
        <w:t>Table 1: Registrar and practice characteristics by intervention group (for two intervention and three control Regional Training Providers, 2012-2015)</w:t>
      </w:r>
    </w:p>
    <w:p w14:paraId="488F620E" w14:textId="77777777" w:rsidR="00AB4DA7" w:rsidRPr="008A08FA" w:rsidRDefault="00AB4DA7" w:rsidP="00705EDD">
      <w:pPr>
        <w:spacing w:after="120" w:line="240" w:lineRule="auto"/>
        <w:rPr>
          <w:rFonts w:ascii="Cambria" w:hAnsi="Cambria"/>
          <w:b/>
        </w:rPr>
      </w:pPr>
    </w:p>
    <w:tbl>
      <w:tblPr>
        <w:tblW w:w="8341" w:type="dxa"/>
        <w:jc w:val="center"/>
        <w:tblLayout w:type="fixed"/>
        <w:tblCellMar>
          <w:left w:w="0" w:type="dxa"/>
          <w:right w:w="0" w:type="dxa"/>
        </w:tblCellMar>
        <w:tblLook w:val="0000" w:firstRow="0" w:lastRow="0" w:firstColumn="0" w:lastColumn="0" w:noHBand="0" w:noVBand="0"/>
      </w:tblPr>
      <w:tblGrid>
        <w:gridCol w:w="2853"/>
        <w:gridCol w:w="1817"/>
        <w:gridCol w:w="1418"/>
        <w:gridCol w:w="1418"/>
        <w:gridCol w:w="835"/>
      </w:tblGrid>
      <w:tr w:rsidR="00E1779F" w:rsidRPr="008A08FA" w14:paraId="698FFBA3" w14:textId="77777777" w:rsidTr="00705EDD">
        <w:trPr>
          <w:cantSplit/>
          <w:tblHeader/>
          <w:jc w:val="center"/>
        </w:trPr>
        <w:tc>
          <w:tcPr>
            <w:tcW w:w="4670" w:type="dxa"/>
            <w:gridSpan w:val="2"/>
            <w:tcBorders>
              <w:top w:val="single" w:sz="6" w:space="0" w:color="000000"/>
              <w:left w:val="single" w:sz="6" w:space="0" w:color="000000"/>
              <w:bottom w:val="single" w:sz="2" w:space="0" w:color="000000"/>
              <w:right w:val="nil"/>
            </w:tcBorders>
            <w:shd w:val="clear" w:color="auto" w:fill="BBBBBB"/>
            <w:tcMar>
              <w:left w:w="60" w:type="dxa"/>
              <w:right w:w="60" w:type="dxa"/>
            </w:tcMar>
            <w:vAlign w:val="bottom"/>
          </w:tcPr>
          <w:p w14:paraId="64E0D9BC" w14:textId="77777777" w:rsidR="00E1779F" w:rsidRPr="008A08FA" w:rsidRDefault="00E1779F" w:rsidP="00B0753D">
            <w:pPr>
              <w:keepNext/>
              <w:adjustRightInd w:val="0"/>
              <w:spacing w:before="60" w:after="120" w:line="240" w:lineRule="auto"/>
              <w:jc w:val="center"/>
              <w:rPr>
                <w:rFonts w:ascii="Cambria" w:hAnsi="Cambria"/>
                <w:b/>
                <w:bCs/>
                <w:i/>
                <w:color w:val="000000"/>
                <w:sz w:val="20"/>
                <w:szCs w:val="20"/>
              </w:rPr>
            </w:pPr>
            <w:bookmarkStart w:id="31" w:name="IDX"/>
            <w:bookmarkEnd w:id="31"/>
            <w:r w:rsidRPr="008A08FA">
              <w:rPr>
                <w:rFonts w:ascii="Cambria" w:hAnsi="Cambria"/>
                <w:b/>
                <w:bCs/>
                <w:i/>
                <w:color w:val="000000"/>
                <w:sz w:val="20"/>
                <w:szCs w:val="20"/>
              </w:rPr>
              <w:t>Registrars</w:t>
            </w:r>
          </w:p>
        </w:tc>
        <w:tc>
          <w:tcPr>
            <w:tcW w:w="2836" w:type="dxa"/>
            <w:gridSpan w:val="2"/>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210DE27B"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Group</w:t>
            </w:r>
          </w:p>
        </w:tc>
        <w:tc>
          <w:tcPr>
            <w:tcW w:w="835"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2CB652B7"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p>
        </w:tc>
      </w:tr>
      <w:tr w:rsidR="00E1779F" w:rsidRPr="008A08FA" w14:paraId="286215A0" w14:textId="77777777" w:rsidTr="00705EDD">
        <w:trPr>
          <w:cantSplit/>
          <w:tblHeader/>
          <w:jc w:val="center"/>
        </w:trPr>
        <w:tc>
          <w:tcPr>
            <w:tcW w:w="2853" w:type="dxa"/>
            <w:tcBorders>
              <w:top w:val="nil"/>
              <w:left w:val="single" w:sz="6" w:space="0" w:color="000000"/>
              <w:bottom w:val="single" w:sz="2" w:space="0" w:color="000000"/>
              <w:right w:val="nil"/>
            </w:tcBorders>
            <w:shd w:val="clear" w:color="auto" w:fill="BBBBBB"/>
            <w:tcMar>
              <w:left w:w="60" w:type="dxa"/>
              <w:right w:w="60" w:type="dxa"/>
            </w:tcMar>
            <w:vAlign w:val="bottom"/>
          </w:tcPr>
          <w:p w14:paraId="53B58F27"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Characteristic</w:t>
            </w:r>
          </w:p>
        </w:tc>
        <w:tc>
          <w:tcPr>
            <w:tcW w:w="1817" w:type="dxa"/>
            <w:tcBorders>
              <w:top w:val="nil"/>
              <w:left w:val="single" w:sz="2" w:space="0" w:color="000000"/>
              <w:bottom w:val="single" w:sz="2" w:space="0" w:color="000000"/>
              <w:right w:val="nil"/>
            </w:tcBorders>
            <w:shd w:val="clear" w:color="auto" w:fill="BBBBBB"/>
            <w:tcMar>
              <w:left w:w="60" w:type="dxa"/>
              <w:right w:w="60" w:type="dxa"/>
            </w:tcMar>
            <w:vAlign w:val="bottom"/>
          </w:tcPr>
          <w:p w14:paraId="7741BD6E"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Sub group</w:t>
            </w:r>
            <w:r w:rsidRPr="008A08FA">
              <w:rPr>
                <w:rFonts w:ascii="Cambria" w:hAnsi="Cambria"/>
                <w:b/>
                <w:bCs/>
                <w:color w:val="000000"/>
                <w:sz w:val="20"/>
                <w:szCs w:val="20"/>
              </w:rPr>
              <w:br/>
              <w:t>or mean(SD)</w:t>
            </w:r>
          </w:p>
        </w:tc>
        <w:tc>
          <w:tcPr>
            <w:tcW w:w="1418" w:type="dxa"/>
            <w:tcBorders>
              <w:top w:val="nil"/>
              <w:left w:val="single" w:sz="2" w:space="0" w:color="000000"/>
              <w:bottom w:val="single" w:sz="2" w:space="0" w:color="000000"/>
              <w:right w:val="nil"/>
            </w:tcBorders>
            <w:shd w:val="clear" w:color="auto" w:fill="BBBBBB"/>
            <w:tcMar>
              <w:left w:w="60" w:type="dxa"/>
              <w:right w:w="60" w:type="dxa"/>
            </w:tcMar>
            <w:vAlign w:val="bottom"/>
          </w:tcPr>
          <w:p w14:paraId="300D253D"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Control</w:t>
            </w:r>
            <w:r w:rsidRPr="008A08FA">
              <w:rPr>
                <w:rFonts w:ascii="Cambria" w:hAnsi="Cambria"/>
                <w:b/>
                <w:bCs/>
                <w:color w:val="000000"/>
                <w:sz w:val="20"/>
                <w:szCs w:val="20"/>
              </w:rPr>
              <w:br/>
              <w:t>(n=311)</w:t>
            </w:r>
          </w:p>
        </w:tc>
        <w:tc>
          <w:tcPr>
            <w:tcW w:w="1418" w:type="dxa"/>
            <w:tcBorders>
              <w:top w:val="nil"/>
              <w:left w:val="single" w:sz="2" w:space="0" w:color="000000"/>
              <w:bottom w:val="single" w:sz="2" w:space="0" w:color="000000"/>
              <w:right w:val="nil"/>
            </w:tcBorders>
            <w:shd w:val="clear" w:color="auto" w:fill="BBBBBB"/>
            <w:tcMar>
              <w:left w:w="60" w:type="dxa"/>
              <w:right w:w="60" w:type="dxa"/>
            </w:tcMar>
            <w:vAlign w:val="bottom"/>
          </w:tcPr>
          <w:p w14:paraId="035A6DCE"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Intervention</w:t>
            </w:r>
            <w:r w:rsidRPr="008A08FA">
              <w:rPr>
                <w:rFonts w:ascii="Cambria" w:hAnsi="Cambria"/>
                <w:b/>
                <w:bCs/>
                <w:color w:val="000000"/>
                <w:sz w:val="20"/>
                <w:szCs w:val="20"/>
              </w:rPr>
              <w:br/>
              <w:t>(n=217)</w:t>
            </w:r>
          </w:p>
        </w:tc>
        <w:tc>
          <w:tcPr>
            <w:tcW w:w="835" w:type="dxa"/>
            <w:tcBorders>
              <w:top w:val="nil"/>
              <w:left w:val="single" w:sz="2" w:space="0" w:color="000000"/>
              <w:bottom w:val="single" w:sz="2" w:space="0" w:color="000000"/>
              <w:right w:val="single" w:sz="6" w:space="0" w:color="000000"/>
            </w:tcBorders>
            <w:shd w:val="clear" w:color="auto" w:fill="BBBBBB"/>
            <w:tcMar>
              <w:left w:w="60" w:type="dxa"/>
              <w:right w:w="60" w:type="dxa"/>
            </w:tcMar>
            <w:vAlign w:val="bottom"/>
          </w:tcPr>
          <w:p w14:paraId="3F3326BE"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p-value</w:t>
            </w:r>
          </w:p>
        </w:tc>
      </w:tr>
      <w:tr w:rsidR="00E1779F" w:rsidRPr="008A08FA" w14:paraId="68C436A8"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55E4635B"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Registrar gender</w:t>
            </w: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35C477CB"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Male</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4D348980"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107 (34%)</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738BDCC5"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75 (35%)</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A179A3"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0.97</w:t>
            </w:r>
          </w:p>
        </w:tc>
      </w:tr>
      <w:tr w:rsidR="00E1779F" w:rsidRPr="008A08FA" w14:paraId="153B1A5E"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4A71C012"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08E241BE"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Female</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6B00C946"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204 (66%)</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18366590"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142 (65%)</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E304C6"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r>
      <w:tr w:rsidR="00E1779F" w:rsidRPr="008A08FA" w14:paraId="1DED857D"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176F3422"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Qualified as a doctor in Australia</w:t>
            </w: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202FC7BB"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No</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640E206E"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40 (13%)</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0CFF1174"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59 (27%)</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04D3B6D"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&lt;0.001</w:t>
            </w:r>
          </w:p>
        </w:tc>
      </w:tr>
      <w:tr w:rsidR="00E1779F" w:rsidRPr="008A08FA" w14:paraId="1EF48DC0"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3C26CB6D"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3756E539"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Yes</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1BA48045"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270 (87%)</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10D99243"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157 (73%)</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5CCDADA"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r>
      <w:tr w:rsidR="00E1779F" w:rsidRPr="008A08FA" w14:paraId="6073A304"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26EECD34" w14:textId="641C2BF0" w:rsidR="00E1779F" w:rsidRPr="008A08FA" w:rsidRDefault="00E1779F" w:rsidP="00807826">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Registrar work</w:t>
            </w:r>
            <w:r w:rsidR="00807826">
              <w:rPr>
                <w:rFonts w:ascii="Cambria" w:hAnsi="Cambria"/>
                <w:color w:val="000000"/>
                <w:sz w:val="20"/>
                <w:szCs w:val="20"/>
              </w:rPr>
              <w:t>load</w:t>
            </w: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3242FE30"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Part time</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4F1E370D"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76 (25%)</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5532CFBA"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56 (27%)</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5802E4"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0.63</w:t>
            </w:r>
          </w:p>
        </w:tc>
      </w:tr>
      <w:tr w:rsidR="00E1779F" w:rsidRPr="008A08FA" w14:paraId="0BF99DF4"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4F41C783"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298FDE7C"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Full time</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0F56F21F"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229 (75%)</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15935626"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153 (73%)</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05C9CD6"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r>
      <w:tr w:rsidR="00E1779F" w:rsidRPr="008A08FA" w14:paraId="3B19AF5C"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022D55D0"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Training term/post</w:t>
            </w: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2041BA92"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Term 1</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149F3AC0"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171 (55%)</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3B9D9BB6"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107 (49%)</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86B654B"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0.30</w:t>
            </w:r>
          </w:p>
        </w:tc>
      </w:tr>
      <w:tr w:rsidR="00E1779F" w:rsidRPr="008A08FA" w14:paraId="3697BF6D"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63693057"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5570643A"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Term 2</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53C1F11E"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102 (33%)</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524BE2E4"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74 (34%)</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44C1A3F"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r>
      <w:tr w:rsidR="00E1779F" w:rsidRPr="008A08FA" w14:paraId="60D4EC2C"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76977895"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2BF9F0FA"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Term 3</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2E9E829C"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38 (12%)</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120561B5"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36 (17%)</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8217B8"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r>
      <w:tr w:rsidR="00E1779F" w:rsidRPr="008A08FA" w14:paraId="6A09C95E"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6375376A" w14:textId="77777777" w:rsidR="00E1779F" w:rsidRPr="008A08FA" w:rsidRDefault="00E1779F" w:rsidP="00B0753D">
            <w:pPr>
              <w:keepNext/>
              <w:adjustRightInd w:val="0"/>
              <w:spacing w:before="60" w:after="120" w:line="240" w:lineRule="auto"/>
              <w:rPr>
                <w:rFonts w:ascii="Cambria" w:hAnsi="Cambria"/>
                <w:color w:val="000000"/>
                <w:sz w:val="20"/>
                <w:szCs w:val="20"/>
              </w:rPr>
            </w:pPr>
            <w:r w:rsidRPr="008A08FA">
              <w:rPr>
                <w:rFonts w:ascii="Cambria" w:hAnsi="Cambria"/>
                <w:color w:val="000000"/>
                <w:sz w:val="20"/>
                <w:szCs w:val="20"/>
              </w:rPr>
              <w:t>Registrar age (years)</w:t>
            </w: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22DBB8C6" w14:textId="77777777" w:rsidR="00E1779F" w:rsidRPr="008A08FA" w:rsidRDefault="00E1779F" w:rsidP="00B0753D">
            <w:pPr>
              <w:keepNext/>
              <w:adjustRightInd w:val="0"/>
              <w:spacing w:before="60" w:after="120" w:line="240" w:lineRule="auto"/>
              <w:rPr>
                <w:rFonts w:ascii="Cambria" w:hAnsi="Cambria"/>
                <w:color w:val="000000"/>
                <w:sz w:val="20"/>
                <w:szCs w:val="20"/>
              </w:rPr>
            </w:pPr>
            <w:r w:rsidRPr="008A08FA">
              <w:rPr>
                <w:rFonts w:ascii="Cambria" w:hAnsi="Cambria"/>
                <w:color w:val="000000"/>
                <w:sz w:val="20"/>
                <w:szCs w:val="20"/>
              </w:rPr>
              <w:t>mean (SD)</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624C408B" w14:textId="77777777" w:rsidR="00E1779F" w:rsidRPr="008A08FA" w:rsidRDefault="00E1779F" w:rsidP="00B0753D">
            <w:pPr>
              <w:keepNext/>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31.3 (5.2)</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225512AD" w14:textId="77777777" w:rsidR="00E1779F" w:rsidRPr="008A08FA" w:rsidRDefault="00E1779F" w:rsidP="00B0753D">
            <w:pPr>
              <w:keepNext/>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33.7 (6.4)</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BA4C31" w14:textId="77777777" w:rsidR="00E1779F" w:rsidRPr="008A08FA" w:rsidRDefault="00E1779F" w:rsidP="00B0753D">
            <w:pPr>
              <w:keepNext/>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&lt;0.001</w:t>
            </w:r>
          </w:p>
        </w:tc>
      </w:tr>
      <w:tr w:rsidR="00E1779F" w:rsidRPr="008A08FA" w14:paraId="10C2398F" w14:textId="77777777" w:rsidTr="00705EDD">
        <w:trPr>
          <w:cantSplit/>
          <w:jc w:val="center"/>
        </w:trPr>
        <w:tc>
          <w:tcPr>
            <w:tcW w:w="4670" w:type="dxa"/>
            <w:gridSpan w:val="2"/>
            <w:tcBorders>
              <w:top w:val="nil"/>
              <w:left w:val="single" w:sz="6" w:space="0" w:color="000000"/>
              <w:bottom w:val="single" w:sz="2" w:space="0" w:color="000000"/>
              <w:right w:val="nil"/>
            </w:tcBorders>
            <w:shd w:val="clear" w:color="auto" w:fill="BFBFBF" w:themeFill="background1" w:themeFillShade="BF"/>
            <w:tcMar>
              <w:left w:w="60" w:type="dxa"/>
              <w:right w:w="60" w:type="dxa"/>
            </w:tcMar>
          </w:tcPr>
          <w:p w14:paraId="147F05A0" w14:textId="77777777" w:rsidR="00E1779F" w:rsidRPr="008A08FA" w:rsidRDefault="00E1779F" w:rsidP="00B0753D">
            <w:pPr>
              <w:adjustRightInd w:val="0"/>
              <w:spacing w:before="60" w:after="120" w:line="240" w:lineRule="auto"/>
              <w:jc w:val="center"/>
              <w:rPr>
                <w:rFonts w:ascii="Cambria" w:hAnsi="Cambria"/>
                <w:b/>
                <w:i/>
                <w:color w:val="000000"/>
                <w:sz w:val="20"/>
                <w:szCs w:val="20"/>
              </w:rPr>
            </w:pPr>
            <w:r w:rsidRPr="008A08FA">
              <w:rPr>
                <w:rFonts w:ascii="Cambria" w:hAnsi="Cambria"/>
                <w:b/>
                <w:i/>
                <w:color w:val="000000"/>
                <w:sz w:val="20"/>
                <w:szCs w:val="20"/>
              </w:rPr>
              <w:t>Practices</w:t>
            </w:r>
          </w:p>
        </w:tc>
        <w:tc>
          <w:tcPr>
            <w:tcW w:w="2836" w:type="dxa"/>
            <w:gridSpan w:val="2"/>
            <w:tcBorders>
              <w:top w:val="nil"/>
              <w:left w:val="single" w:sz="2" w:space="0" w:color="000000"/>
              <w:bottom w:val="single" w:sz="2" w:space="0" w:color="000000"/>
              <w:right w:val="nil"/>
            </w:tcBorders>
            <w:shd w:val="clear" w:color="auto" w:fill="BFBFBF" w:themeFill="background1" w:themeFillShade="BF"/>
            <w:tcMar>
              <w:left w:w="60" w:type="dxa"/>
              <w:right w:w="60" w:type="dxa"/>
            </w:tcMar>
          </w:tcPr>
          <w:p w14:paraId="680782DF" w14:textId="77777777" w:rsidR="00E1779F" w:rsidRPr="008A08FA" w:rsidRDefault="00E1779F" w:rsidP="00B0753D">
            <w:pPr>
              <w:keepNext/>
              <w:adjustRightInd w:val="0"/>
              <w:spacing w:before="60" w:after="120" w:line="240" w:lineRule="auto"/>
              <w:jc w:val="center"/>
              <w:rPr>
                <w:rFonts w:ascii="Cambria" w:hAnsi="Cambria"/>
                <w:b/>
                <w:i/>
                <w:color w:val="000000"/>
                <w:sz w:val="20"/>
                <w:szCs w:val="20"/>
              </w:rPr>
            </w:pPr>
            <w:r w:rsidRPr="008A08FA">
              <w:rPr>
                <w:rFonts w:ascii="Cambria" w:hAnsi="Cambria"/>
                <w:b/>
                <w:i/>
                <w:color w:val="000000"/>
                <w:sz w:val="20"/>
                <w:szCs w:val="20"/>
              </w:rPr>
              <w:t>Group</w:t>
            </w:r>
          </w:p>
        </w:tc>
        <w:tc>
          <w:tcPr>
            <w:tcW w:w="835" w:type="dxa"/>
            <w:tcBorders>
              <w:top w:val="nil"/>
              <w:left w:val="single" w:sz="2" w:space="0" w:color="000000"/>
              <w:bottom w:val="single" w:sz="2" w:space="0" w:color="000000"/>
              <w:right w:val="single" w:sz="6" w:space="0" w:color="000000"/>
            </w:tcBorders>
            <w:shd w:val="clear" w:color="auto" w:fill="BFBFBF" w:themeFill="background1" w:themeFillShade="BF"/>
            <w:tcMar>
              <w:left w:w="60" w:type="dxa"/>
              <w:right w:w="60" w:type="dxa"/>
            </w:tcMar>
          </w:tcPr>
          <w:p w14:paraId="03348440" w14:textId="77777777" w:rsidR="00E1779F" w:rsidRPr="008A08FA" w:rsidRDefault="00E1779F" w:rsidP="00B0753D">
            <w:pPr>
              <w:keepNext/>
              <w:adjustRightInd w:val="0"/>
              <w:spacing w:before="60" w:after="120" w:line="240" w:lineRule="auto"/>
              <w:jc w:val="center"/>
              <w:rPr>
                <w:rFonts w:ascii="Cambria" w:hAnsi="Cambria"/>
                <w:b/>
                <w:color w:val="000000"/>
                <w:sz w:val="20"/>
                <w:szCs w:val="20"/>
              </w:rPr>
            </w:pPr>
          </w:p>
        </w:tc>
      </w:tr>
      <w:tr w:rsidR="00E1779F" w:rsidRPr="008A08FA" w14:paraId="36B1A3E8" w14:textId="77777777" w:rsidTr="00705EDD">
        <w:trPr>
          <w:cantSplit/>
          <w:jc w:val="center"/>
        </w:trPr>
        <w:tc>
          <w:tcPr>
            <w:tcW w:w="2853" w:type="dxa"/>
            <w:tcBorders>
              <w:top w:val="nil"/>
              <w:left w:val="single" w:sz="6" w:space="0" w:color="000000"/>
              <w:bottom w:val="single" w:sz="2" w:space="0" w:color="000000"/>
              <w:right w:val="nil"/>
            </w:tcBorders>
            <w:shd w:val="clear" w:color="auto" w:fill="BFBFBF" w:themeFill="background1" w:themeFillShade="BF"/>
            <w:tcMar>
              <w:left w:w="60" w:type="dxa"/>
              <w:right w:w="60" w:type="dxa"/>
            </w:tcMar>
            <w:vAlign w:val="bottom"/>
          </w:tcPr>
          <w:p w14:paraId="0626E02C"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Characteristic</w:t>
            </w:r>
          </w:p>
        </w:tc>
        <w:tc>
          <w:tcPr>
            <w:tcW w:w="1817" w:type="dxa"/>
            <w:tcBorders>
              <w:top w:val="nil"/>
              <w:left w:val="single" w:sz="2" w:space="0" w:color="000000"/>
              <w:bottom w:val="single" w:sz="2" w:space="0" w:color="000000"/>
              <w:right w:val="nil"/>
            </w:tcBorders>
            <w:shd w:val="clear" w:color="auto" w:fill="BFBFBF" w:themeFill="background1" w:themeFillShade="BF"/>
            <w:tcMar>
              <w:left w:w="60" w:type="dxa"/>
              <w:right w:w="60" w:type="dxa"/>
            </w:tcMar>
            <w:vAlign w:val="bottom"/>
          </w:tcPr>
          <w:p w14:paraId="1C72AB76"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Sub group</w:t>
            </w:r>
            <w:r w:rsidRPr="008A08FA">
              <w:rPr>
                <w:rFonts w:ascii="Cambria" w:hAnsi="Cambria"/>
                <w:b/>
                <w:bCs/>
                <w:color w:val="000000"/>
                <w:sz w:val="20"/>
                <w:szCs w:val="20"/>
              </w:rPr>
              <w:br/>
              <w:t>or mean(SD)</w:t>
            </w:r>
          </w:p>
        </w:tc>
        <w:tc>
          <w:tcPr>
            <w:tcW w:w="1418" w:type="dxa"/>
            <w:tcBorders>
              <w:top w:val="nil"/>
              <w:left w:val="single" w:sz="2" w:space="0" w:color="000000"/>
              <w:bottom w:val="single" w:sz="2" w:space="0" w:color="000000"/>
              <w:right w:val="nil"/>
            </w:tcBorders>
            <w:shd w:val="clear" w:color="auto" w:fill="BFBFBF" w:themeFill="background1" w:themeFillShade="BF"/>
            <w:tcMar>
              <w:left w:w="60" w:type="dxa"/>
              <w:right w:w="60" w:type="dxa"/>
            </w:tcMar>
            <w:vAlign w:val="bottom"/>
          </w:tcPr>
          <w:p w14:paraId="76289F89"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Control</w:t>
            </w:r>
            <w:r w:rsidRPr="008A08FA">
              <w:rPr>
                <w:rFonts w:ascii="Cambria" w:hAnsi="Cambria"/>
                <w:b/>
                <w:bCs/>
                <w:color w:val="000000"/>
                <w:sz w:val="20"/>
                <w:szCs w:val="20"/>
              </w:rPr>
              <w:br/>
              <w:t>(n=216)</w:t>
            </w:r>
          </w:p>
        </w:tc>
        <w:tc>
          <w:tcPr>
            <w:tcW w:w="1418" w:type="dxa"/>
            <w:tcBorders>
              <w:top w:val="nil"/>
              <w:left w:val="single" w:sz="2" w:space="0" w:color="000000"/>
              <w:bottom w:val="single" w:sz="2" w:space="0" w:color="000000"/>
              <w:right w:val="nil"/>
            </w:tcBorders>
            <w:shd w:val="clear" w:color="auto" w:fill="BFBFBF" w:themeFill="background1" w:themeFillShade="BF"/>
            <w:tcMar>
              <w:left w:w="60" w:type="dxa"/>
              <w:right w:w="60" w:type="dxa"/>
            </w:tcMar>
            <w:vAlign w:val="bottom"/>
          </w:tcPr>
          <w:p w14:paraId="0F7D4A87"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Intervention</w:t>
            </w:r>
            <w:r w:rsidRPr="008A08FA">
              <w:rPr>
                <w:rFonts w:ascii="Cambria" w:hAnsi="Cambria"/>
                <w:b/>
                <w:bCs/>
                <w:color w:val="000000"/>
                <w:sz w:val="20"/>
                <w:szCs w:val="20"/>
              </w:rPr>
              <w:br/>
              <w:t>(n=149)</w:t>
            </w:r>
          </w:p>
        </w:tc>
        <w:tc>
          <w:tcPr>
            <w:tcW w:w="835" w:type="dxa"/>
            <w:tcBorders>
              <w:top w:val="nil"/>
              <w:left w:val="single" w:sz="2" w:space="0" w:color="000000"/>
              <w:bottom w:val="single" w:sz="2" w:space="0" w:color="000000"/>
              <w:right w:val="single" w:sz="6" w:space="0" w:color="000000"/>
            </w:tcBorders>
            <w:shd w:val="clear" w:color="auto" w:fill="BFBFBF" w:themeFill="background1" w:themeFillShade="BF"/>
            <w:tcMar>
              <w:left w:w="60" w:type="dxa"/>
              <w:right w:w="60" w:type="dxa"/>
            </w:tcMar>
            <w:vAlign w:val="bottom"/>
          </w:tcPr>
          <w:p w14:paraId="54A0C4FB" w14:textId="77777777" w:rsidR="00E1779F" w:rsidRPr="008A08FA" w:rsidRDefault="00E1779F" w:rsidP="00B0753D">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p-value</w:t>
            </w:r>
          </w:p>
        </w:tc>
      </w:tr>
      <w:tr w:rsidR="00E1779F" w:rsidRPr="008A08FA" w14:paraId="538C4D28"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57E9C323"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Rurality</w:t>
            </w: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3DEFF6F9"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Major city</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39E27F75"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131 (61%)</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41406C8B"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83 (56%)</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90DD72"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0.57</w:t>
            </w:r>
          </w:p>
        </w:tc>
      </w:tr>
      <w:tr w:rsidR="00E1779F" w:rsidRPr="008A08FA" w14:paraId="6B9BC1AF"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4878E334"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60B11C67"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Inner regional</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059B8572"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43 (20%)</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3A5B1AB7"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36 (24%)</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41CB014"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r>
      <w:tr w:rsidR="00E1779F" w:rsidRPr="008A08FA" w14:paraId="2E1123F6" w14:textId="77777777" w:rsidTr="00807826">
        <w:trPr>
          <w:cantSplit/>
          <w:trHeight w:val="484"/>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51624F48"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43886EF9" w14:textId="085E145E"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Outer region</w:t>
            </w:r>
            <w:r w:rsidR="00B0753D">
              <w:rPr>
                <w:rFonts w:ascii="Cambria" w:hAnsi="Cambria"/>
                <w:color w:val="000000"/>
                <w:sz w:val="20"/>
                <w:szCs w:val="20"/>
              </w:rPr>
              <w:t>al</w:t>
            </w:r>
            <w:r w:rsidRPr="008A08FA">
              <w:rPr>
                <w:rFonts w:ascii="Cambria" w:hAnsi="Cambria"/>
                <w:color w:val="000000"/>
                <w:sz w:val="20"/>
                <w:szCs w:val="20"/>
              </w:rPr>
              <w:t>/remo</w:t>
            </w:r>
            <w:r w:rsidR="00B0753D">
              <w:rPr>
                <w:rFonts w:ascii="Cambria" w:hAnsi="Cambria"/>
                <w:color w:val="000000"/>
                <w:sz w:val="20"/>
                <w:szCs w:val="20"/>
              </w:rPr>
              <w:t>t</w:t>
            </w:r>
            <w:r w:rsidRPr="008A08FA">
              <w:rPr>
                <w:rFonts w:ascii="Cambria" w:hAnsi="Cambria"/>
                <w:color w:val="000000"/>
                <w:sz w:val="20"/>
                <w:szCs w:val="20"/>
              </w:rPr>
              <w:t>e</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64161CEC"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42 (19%)</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3F607B1A"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30 (20%)</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35F6777"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r>
      <w:tr w:rsidR="00E1779F" w:rsidRPr="008A08FA" w14:paraId="33208B4D"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629D6537" w14:textId="577CB95C"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Does practice routinely bulk bill</w:t>
            </w: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4B40C872"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No</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0F56929C"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166 (77%)</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0743324F"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120 (81%)</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7EDA6B0"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0.45</w:t>
            </w:r>
          </w:p>
        </w:tc>
      </w:tr>
      <w:tr w:rsidR="00E1779F" w:rsidRPr="008A08FA" w14:paraId="0DF53E60"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028CC8E4"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6E0383FB"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Yes</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17EB1406"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49 (23%)</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306BDA82"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29 (19%)</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4AA8D23"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r>
      <w:tr w:rsidR="00E1779F" w:rsidRPr="008A08FA" w14:paraId="4D113792"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1466A75E"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Practice size</w:t>
            </w: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412F875B"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Small</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57688F77"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76 (36%)</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6154A72A"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66 (47%)</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9DD56C"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0.035</w:t>
            </w:r>
          </w:p>
        </w:tc>
      </w:tr>
      <w:tr w:rsidR="00E1779F" w:rsidRPr="008A08FA" w14:paraId="0BF2EC00"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288DC3BE"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619B127C"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Large</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1520FD4F"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136 (64%)</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2DA28682"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74 (53%)</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F0EF5A7" w14:textId="77777777" w:rsidR="00E1779F" w:rsidRPr="008A08FA" w:rsidRDefault="00E1779F" w:rsidP="00B0753D">
            <w:pPr>
              <w:adjustRightInd w:val="0"/>
              <w:spacing w:before="60" w:after="120" w:line="240" w:lineRule="auto"/>
              <w:jc w:val="center"/>
              <w:rPr>
                <w:rFonts w:ascii="Cambria" w:hAnsi="Cambria"/>
                <w:color w:val="000000"/>
                <w:sz w:val="20"/>
                <w:szCs w:val="20"/>
              </w:rPr>
            </w:pPr>
          </w:p>
        </w:tc>
      </w:tr>
      <w:tr w:rsidR="00E1779F" w:rsidRPr="008A08FA" w14:paraId="5CE041BE"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015477CC" w14:textId="77777777" w:rsidR="00E1779F" w:rsidRPr="008A08FA" w:rsidRDefault="00E1779F" w:rsidP="00B0753D">
            <w:pPr>
              <w:keepNext/>
              <w:adjustRightInd w:val="0"/>
              <w:spacing w:before="60" w:after="120" w:line="240" w:lineRule="auto"/>
              <w:rPr>
                <w:rFonts w:ascii="Cambria" w:hAnsi="Cambria"/>
                <w:color w:val="000000"/>
                <w:sz w:val="20"/>
                <w:szCs w:val="20"/>
              </w:rPr>
            </w:pPr>
            <w:r w:rsidRPr="008A08FA">
              <w:rPr>
                <w:rFonts w:ascii="Cambria" w:hAnsi="Cambria"/>
                <w:color w:val="000000"/>
                <w:sz w:val="20"/>
                <w:szCs w:val="20"/>
              </w:rPr>
              <w:t>SEIFA Index</w:t>
            </w: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20847EA4" w14:textId="77777777" w:rsidR="00E1779F" w:rsidRPr="008A08FA" w:rsidRDefault="00E1779F" w:rsidP="00B0753D">
            <w:pPr>
              <w:keepNext/>
              <w:adjustRightInd w:val="0"/>
              <w:spacing w:before="60" w:after="120" w:line="240" w:lineRule="auto"/>
              <w:rPr>
                <w:rFonts w:ascii="Cambria" w:hAnsi="Cambria"/>
                <w:color w:val="000000"/>
                <w:sz w:val="20"/>
                <w:szCs w:val="20"/>
              </w:rPr>
            </w:pPr>
            <w:r w:rsidRPr="008A08FA">
              <w:rPr>
                <w:rFonts w:ascii="Cambria" w:hAnsi="Cambria"/>
                <w:color w:val="000000"/>
                <w:sz w:val="20"/>
                <w:szCs w:val="20"/>
              </w:rPr>
              <w:t>median (min, max)</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15FB0F88" w14:textId="77777777" w:rsidR="00E1779F" w:rsidRPr="008A08FA" w:rsidRDefault="00E1779F" w:rsidP="00B0753D">
            <w:pPr>
              <w:keepNext/>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1010.0 (799.0, 1118.0)</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5B8F8AFD" w14:textId="77777777" w:rsidR="00E1779F" w:rsidRPr="008A08FA" w:rsidRDefault="00E1779F" w:rsidP="00B0753D">
            <w:pPr>
              <w:keepNext/>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987.0 (650.0, 1080.0)</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CD40568" w14:textId="77777777" w:rsidR="00E1779F" w:rsidRPr="008A08FA" w:rsidRDefault="00E1779F" w:rsidP="00B0753D">
            <w:pPr>
              <w:keepNext/>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&lt;0.001</w:t>
            </w:r>
          </w:p>
        </w:tc>
      </w:tr>
      <w:tr w:rsidR="00E1779F" w:rsidRPr="008A08FA" w14:paraId="6F0CCA16" w14:textId="77777777" w:rsidTr="00705EDD">
        <w:trPr>
          <w:cantSplit/>
          <w:jc w:val="center"/>
        </w:trPr>
        <w:tc>
          <w:tcPr>
            <w:tcW w:w="2853" w:type="dxa"/>
            <w:tcBorders>
              <w:top w:val="nil"/>
              <w:left w:val="single" w:sz="6" w:space="0" w:color="000000"/>
              <w:bottom w:val="single" w:sz="2" w:space="0" w:color="000000"/>
              <w:right w:val="nil"/>
            </w:tcBorders>
            <w:shd w:val="clear" w:color="auto" w:fill="FFFFFF"/>
            <w:tcMar>
              <w:left w:w="60" w:type="dxa"/>
              <w:right w:w="60" w:type="dxa"/>
            </w:tcMar>
          </w:tcPr>
          <w:p w14:paraId="2247037F" w14:textId="77777777" w:rsidR="00E1779F" w:rsidRPr="008A08FA" w:rsidRDefault="00E1779F" w:rsidP="00B0753D">
            <w:pPr>
              <w:keepNext/>
              <w:adjustRightInd w:val="0"/>
              <w:spacing w:before="60" w:after="120" w:line="240" w:lineRule="auto"/>
              <w:rPr>
                <w:rFonts w:ascii="Cambria" w:hAnsi="Cambria"/>
                <w:color w:val="000000"/>
                <w:sz w:val="20"/>
                <w:szCs w:val="20"/>
              </w:rPr>
            </w:pPr>
          </w:p>
        </w:tc>
        <w:tc>
          <w:tcPr>
            <w:tcW w:w="1817" w:type="dxa"/>
            <w:tcBorders>
              <w:top w:val="nil"/>
              <w:left w:val="single" w:sz="2" w:space="0" w:color="000000"/>
              <w:bottom w:val="single" w:sz="2" w:space="0" w:color="000000"/>
              <w:right w:val="nil"/>
            </w:tcBorders>
            <w:shd w:val="clear" w:color="auto" w:fill="FFFFFF"/>
            <w:tcMar>
              <w:left w:w="60" w:type="dxa"/>
              <w:right w:w="60" w:type="dxa"/>
            </w:tcMar>
          </w:tcPr>
          <w:p w14:paraId="195DE114" w14:textId="77777777" w:rsidR="00E1779F" w:rsidRPr="008A08FA" w:rsidRDefault="00E1779F" w:rsidP="00B0753D">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mean (SD)</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419069BF"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1000.1 (65.0)</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5C35A80A"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982.3 (51.8)</w:t>
            </w:r>
          </w:p>
        </w:tc>
        <w:tc>
          <w:tcPr>
            <w:tcW w:w="835"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17C77CE" w14:textId="77777777" w:rsidR="00E1779F" w:rsidRPr="008A08FA" w:rsidRDefault="00E1779F" w:rsidP="00B0753D">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0.006</w:t>
            </w:r>
          </w:p>
        </w:tc>
      </w:tr>
    </w:tbl>
    <w:p w14:paraId="58B1AD4B" w14:textId="77777777" w:rsidR="00E1779F" w:rsidRPr="008A08FA" w:rsidRDefault="00E1779F" w:rsidP="008A08FA">
      <w:pPr>
        <w:autoSpaceDE w:val="0"/>
        <w:autoSpaceDN w:val="0"/>
        <w:spacing w:after="120" w:line="480" w:lineRule="auto"/>
        <w:rPr>
          <w:rFonts w:ascii="Cambria" w:hAnsi="Cambria"/>
        </w:rPr>
      </w:pPr>
    </w:p>
    <w:p w14:paraId="33520777" w14:textId="77777777" w:rsidR="00E1779F" w:rsidRPr="008A08FA" w:rsidRDefault="00E1779F" w:rsidP="008A08FA">
      <w:pPr>
        <w:spacing w:after="120" w:line="480" w:lineRule="auto"/>
        <w:rPr>
          <w:rFonts w:ascii="Cambria" w:hAnsi="Cambria"/>
          <w:b/>
          <w:lang w:val="en-US"/>
        </w:rPr>
      </w:pPr>
      <w:r w:rsidRPr="008A08FA">
        <w:rPr>
          <w:rFonts w:ascii="Cambria" w:hAnsi="Cambria"/>
        </w:rPr>
        <w:br w:type="page"/>
      </w:r>
      <w:r w:rsidRPr="008A08FA">
        <w:rPr>
          <w:rFonts w:ascii="Cambria" w:hAnsi="Cambria"/>
          <w:b/>
          <w:lang w:val="en-US"/>
        </w:rPr>
        <w:lastRenderedPageBreak/>
        <w:t xml:space="preserve">Table 2: Number and percentage of patients treated for acute upper respiratory tract infections &amp; acute bronchitis/bronchiolitis by </w:t>
      </w:r>
      <w:proofErr w:type="spellStart"/>
      <w:proofErr w:type="gramStart"/>
      <w:r w:rsidRPr="008A08FA">
        <w:rPr>
          <w:rFonts w:ascii="Cambria" w:hAnsi="Cambria"/>
          <w:b/>
          <w:lang w:val="en-US"/>
        </w:rPr>
        <w:t>ReCEnT</w:t>
      </w:r>
      <w:proofErr w:type="spellEnd"/>
      <w:proofErr w:type="gramEnd"/>
      <w:r w:rsidRPr="008A08FA">
        <w:rPr>
          <w:rFonts w:ascii="Cambria" w:hAnsi="Cambria"/>
          <w:b/>
          <w:lang w:val="en-US"/>
        </w:rPr>
        <w:t xml:space="preserve"> round and by intervention group</w:t>
      </w:r>
    </w:p>
    <w:p w14:paraId="6CF52550" w14:textId="77777777" w:rsidR="00E1779F" w:rsidRPr="008A08FA" w:rsidRDefault="00E1779F" w:rsidP="008A08FA">
      <w:pPr>
        <w:spacing w:after="120" w:line="480" w:lineRule="auto"/>
        <w:rPr>
          <w:rFonts w:ascii="Cambria" w:hAnsi="Cambria"/>
          <w:lang w:val="en-US"/>
        </w:rPr>
      </w:pPr>
    </w:p>
    <w:tbl>
      <w:tblPr>
        <w:tblW w:w="11111" w:type="dxa"/>
        <w:jc w:val="center"/>
        <w:tblLayout w:type="fixed"/>
        <w:tblCellMar>
          <w:left w:w="0" w:type="dxa"/>
          <w:right w:w="0" w:type="dxa"/>
        </w:tblCellMar>
        <w:tblLook w:val="0000" w:firstRow="0" w:lastRow="0" w:firstColumn="0" w:lastColumn="0" w:noHBand="0" w:noVBand="0"/>
      </w:tblPr>
      <w:tblGrid>
        <w:gridCol w:w="783"/>
        <w:gridCol w:w="1397"/>
        <w:gridCol w:w="1185"/>
        <w:gridCol w:w="1397"/>
        <w:gridCol w:w="1185"/>
        <w:gridCol w:w="1291"/>
        <w:gridCol w:w="1291"/>
        <w:gridCol w:w="1291"/>
        <w:gridCol w:w="1291"/>
      </w:tblGrid>
      <w:tr w:rsidR="00E1779F" w:rsidRPr="008A08FA" w14:paraId="7C635612" w14:textId="77777777" w:rsidTr="001D415F">
        <w:trPr>
          <w:cantSplit/>
          <w:tblHeader/>
          <w:jc w:val="center"/>
        </w:trPr>
        <w:tc>
          <w:tcPr>
            <w:tcW w:w="783" w:type="dxa"/>
            <w:tcBorders>
              <w:top w:val="single" w:sz="6" w:space="0" w:color="000000"/>
              <w:left w:val="single" w:sz="6" w:space="0" w:color="000000"/>
              <w:bottom w:val="single" w:sz="2" w:space="0" w:color="000000"/>
              <w:right w:val="nil"/>
            </w:tcBorders>
            <w:shd w:val="clear" w:color="auto" w:fill="BBBBBB"/>
            <w:tcMar>
              <w:left w:w="60" w:type="dxa"/>
              <w:right w:w="60" w:type="dxa"/>
            </w:tcMar>
            <w:vAlign w:val="bottom"/>
          </w:tcPr>
          <w:p w14:paraId="13A55A0A"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p>
        </w:tc>
        <w:tc>
          <w:tcPr>
            <w:tcW w:w="5164" w:type="dxa"/>
            <w:gridSpan w:val="4"/>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497BDB5E"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lang w:val="en-US"/>
              </w:rPr>
              <w:t>Acute upper respiratory tract infections</w:t>
            </w:r>
          </w:p>
        </w:tc>
        <w:tc>
          <w:tcPr>
            <w:tcW w:w="5164" w:type="dxa"/>
            <w:gridSpan w:val="4"/>
            <w:tcBorders>
              <w:top w:val="single" w:sz="6" w:space="0" w:color="000000"/>
              <w:left w:val="single" w:sz="2" w:space="0" w:color="000000"/>
              <w:bottom w:val="single" w:sz="4" w:space="0" w:color="auto"/>
              <w:right w:val="single" w:sz="6" w:space="0" w:color="000000"/>
            </w:tcBorders>
            <w:shd w:val="clear" w:color="auto" w:fill="BBBBBB"/>
            <w:vAlign w:val="bottom"/>
          </w:tcPr>
          <w:p w14:paraId="2F9B85A8"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lang w:val="en-US"/>
              </w:rPr>
              <w:t>Acute bronchitis/bronchiolitis</w:t>
            </w:r>
          </w:p>
        </w:tc>
      </w:tr>
      <w:tr w:rsidR="00E1779F" w:rsidRPr="008A08FA" w14:paraId="43A62BB5" w14:textId="77777777" w:rsidTr="001D415F">
        <w:trPr>
          <w:cantSplit/>
          <w:tblHeader/>
          <w:jc w:val="center"/>
        </w:trPr>
        <w:tc>
          <w:tcPr>
            <w:tcW w:w="783" w:type="dxa"/>
            <w:tcBorders>
              <w:top w:val="single" w:sz="6" w:space="0" w:color="000000"/>
              <w:left w:val="single" w:sz="6" w:space="0" w:color="000000"/>
              <w:bottom w:val="single" w:sz="2" w:space="0" w:color="000000"/>
              <w:right w:val="nil"/>
            </w:tcBorders>
            <w:shd w:val="clear" w:color="auto" w:fill="BBBBBB"/>
            <w:tcMar>
              <w:left w:w="60" w:type="dxa"/>
              <w:right w:w="60" w:type="dxa"/>
            </w:tcMar>
            <w:vAlign w:val="bottom"/>
          </w:tcPr>
          <w:p w14:paraId="09E9DACB"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p>
        </w:tc>
        <w:tc>
          <w:tcPr>
            <w:tcW w:w="2582" w:type="dxa"/>
            <w:gridSpan w:val="2"/>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6B7B40BC"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Control group</w:t>
            </w:r>
          </w:p>
        </w:tc>
        <w:tc>
          <w:tcPr>
            <w:tcW w:w="2582" w:type="dxa"/>
            <w:gridSpan w:val="2"/>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726F65D4"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Intervention group</w:t>
            </w:r>
          </w:p>
        </w:tc>
        <w:tc>
          <w:tcPr>
            <w:tcW w:w="2582" w:type="dxa"/>
            <w:gridSpan w:val="2"/>
            <w:tcBorders>
              <w:top w:val="single" w:sz="6" w:space="0" w:color="000000"/>
              <w:left w:val="single" w:sz="2" w:space="0" w:color="000000"/>
              <w:bottom w:val="single" w:sz="4" w:space="0" w:color="auto"/>
              <w:right w:val="single" w:sz="6" w:space="0" w:color="000000"/>
            </w:tcBorders>
            <w:shd w:val="clear" w:color="auto" w:fill="BBBBBB"/>
            <w:vAlign w:val="bottom"/>
          </w:tcPr>
          <w:p w14:paraId="36A267D5"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Control group</w:t>
            </w:r>
          </w:p>
        </w:tc>
        <w:tc>
          <w:tcPr>
            <w:tcW w:w="2582" w:type="dxa"/>
            <w:gridSpan w:val="2"/>
            <w:tcBorders>
              <w:top w:val="single" w:sz="6" w:space="0" w:color="000000"/>
              <w:left w:val="single" w:sz="2" w:space="0" w:color="000000"/>
              <w:bottom w:val="single" w:sz="4" w:space="0" w:color="auto"/>
              <w:right w:val="single" w:sz="6" w:space="0" w:color="000000"/>
            </w:tcBorders>
            <w:shd w:val="clear" w:color="auto" w:fill="BBBBBB"/>
            <w:vAlign w:val="bottom"/>
          </w:tcPr>
          <w:p w14:paraId="0F762CED"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Intervention group</w:t>
            </w:r>
          </w:p>
        </w:tc>
      </w:tr>
      <w:tr w:rsidR="00E1779F" w:rsidRPr="008A08FA" w14:paraId="7EFB798E" w14:textId="77777777" w:rsidTr="001D415F">
        <w:trPr>
          <w:cantSplit/>
          <w:tblHeader/>
          <w:jc w:val="center"/>
        </w:trPr>
        <w:tc>
          <w:tcPr>
            <w:tcW w:w="783" w:type="dxa"/>
            <w:tcBorders>
              <w:top w:val="nil"/>
              <w:left w:val="single" w:sz="6" w:space="0" w:color="000000"/>
              <w:bottom w:val="single" w:sz="2" w:space="0" w:color="000000"/>
              <w:right w:val="nil"/>
            </w:tcBorders>
            <w:shd w:val="clear" w:color="auto" w:fill="BBBBBB"/>
            <w:tcMar>
              <w:left w:w="60" w:type="dxa"/>
              <w:right w:w="60" w:type="dxa"/>
            </w:tcMar>
            <w:vAlign w:val="bottom"/>
          </w:tcPr>
          <w:p w14:paraId="58E78DA7"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Round</w:t>
            </w:r>
          </w:p>
        </w:tc>
        <w:tc>
          <w:tcPr>
            <w:tcW w:w="1397" w:type="dxa"/>
            <w:tcBorders>
              <w:top w:val="nil"/>
              <w:left w:val="single" w:sz="2" w:space="0" w:color="000000"/>
              <w:bottom w:val="single" w:sz="2" w:space="0" w:color="000000"/>
              <w:right w:val="nil"/>
            </w:tcBorders>
            <w:shd w:val="clear" w:color="auto" w:fill="BBBBBB"/>
            <w:tcMar>
              <w:left w:w="60" w:type="dxa"/>
              <w:right w:w="60" w:type="dxa"/>
            </w:tcMar>
            <w:vAlign w:val="bottom"/>
          </w:tcPr>
          <w:p w14:paraId="463223C6"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Treated/Seen</w:t>
            </w:r>
          </w:p>
        </w:tc>
        <w:tc>
          <w:tcPr>
            <w:tcW w:w="1185" w:type="dxa"/>
            <w:tcBorders>
              <w:top w:val="nil"/>
              <w:left w:val="single" w:sz="2" w:space="0" w:color="000000"/>
              <w:bottom w:val="single" w:sz="2" w:space="0" w:color="000000"/>
              <w:right w:val="nil"/>
            </w:tcBorders>
            <w:shd w:val="clear" w:color="auto" w:fill="BBBBBB"/>
            <w:tcMar>
              <w:left w:w="60" w:type="dxa"/>
              <w:right w:w="60" w:type="dxa"/>
            </w:tcMar>
            <w:vAlign w:val="bottom"/>
          </w:tcPr>
          <w:p w14:paraId="0C93302F"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Percentage</w:t>
            </w:r>
          </w:p>
        </w:tc>
        <w:tc>
          <w:tcPr>
            <w:tcW w:w="1397" w:type="dxa"/>
            <w:tcBorders>
              <w:top w:val="nil"/>
              <w:left w:val="single" w:sz="2" w:space="0" w:color="000000"/>
              <w:bottom w:val="single" w:sz="2" w:space="0" w:color="000000"/>
              <w:right w:val="nil"/>
            </w:tcBorders>
            <w:shd w:val="clear" w:color="auto" w:fill="BBBBBB"/>
            <w:tcMar>
              <w:left w:w="60" w:type="dxa"/>
              <w:right w:w="60" w:type="dxa"/>
            </w:tcMar>
            <w:vAlign w:val="bottom"/>
          </w:tcPr>
          <w:p w14:paraId="05AC38F8"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Treated/Seen</w:t>
            </w:r>
          </w:p>
        </w:tc>
        <w:tc>
          <w:tcPr>
            <w:tcW w:w="1185" w:type="dxa"/>
            <w:tcBorders>
              <w:top w:val="nil"/>
              <w:left w:val="single" w:sz="2" w:space="0" w:color="000000"/>
              <w:bottom w:val="single" w:sz="2" w:space="0" w:color="000000"/>
              <w:right w:val="single" w:sz="4" w:space="0" w:color="auto"/>
            </w:tcBorders>
            <w:shd w:val="clear" w:color="auto" w:fill="BBBBBB"/>
            <w:tcMar>
              <w:left w:w="60" w:type="dxa"/>
              <w:right w:w="60" w:type="dxa"/>
            </w:tcMar>
            <w:vAlign w:val="bottom"/>
          </w:tcPr>
          <w:p w14:paraId="3B1236EB"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Percentage</w:t>
            </w:r>
          </w:p>
        </w:tc>
        <w:tc>
          <w:tcPr>
            <w:tcW w:w="1291" w:type="dxa"/>
            <w:tcBorders>
              <w:top w:val="single" w:sz="4" w:space="0" w:color="auto"/>
              <w:left w:val="single" w:sz="4" w:space="0" w:color="auto"/>
              <w:bottom w:val="single" w:sz="4" w:space="0" w:color="auto"/>
              <w:right w:val="single" w:sz="4" w:space="0" w:color="auto"/>
            </w:tcBorders>
            <w:shd w:val="clear" w:color="auto" w:fill="BBBBBB"/>
            <w:vAlign w:val="bottom"/>
          </w:tcPr>
          <w:p w14:paraId="44D1B162"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Treated/Seen</w:t>
            </w:r>
          </w:p>
        </w:tc>
        <w:tc>
          <w:tcPr>
            <w:tcW w:w="1291" w:type="dxa"/>
            <w:tcBorders>
              <w:top w:val="single" w:sz="4" w:space="0" w:color="auto"/>
              <w:left w:val="single" w:sz="4" w:space="0" w:color="auto"/>
              <w:bottom w:val="single" w:sz="4" w:space="0" w:color="auto"/>
              <w:right w:val="single" w:sz="4" w:space="0" w:color="auto"/>
            </w:tcBorders>
            <w:shd w:val="clear" w:color="auto" w:fill="BBBBBB"/>
            <w:vAlign w:val="bottom"/>
          </w:tcPr>
          <w:p w14:paraId="3B8ED88A"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Percentage</w:t>
            </w:r>
          </w:p>
        </w:tc>
        <w:tc>
          <w:tcPr>
            <w:tcW w:w="1291" w:type="dxa"/>
            <w:tcBorders>
              <w:top w:val="single" w:sz="4" w:space="0" w:color="auto"/>
              <w:left w:val="single" w:sz="4" w:space="0" w:color="auto"/>
              <w:bottom w:val="single" w:sz="4" w:space="0" w:color="auto"/>
              <w:right w:val="single" w:sz="4" w:space="0" w:color="auto"/>
            </w:tcBorders>
            <w:shd w:val="clear" w:color="auto" w:fill="BBBBBB"/>
            <w:vAlign w:val="bottom"/>
          </w:tcPr>
          <w:p w14:paraId="7215FB19"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Treated/Seen</w:t>
            </w:r>
          </w:p>
        </w:tc>
        <w:tc>
          <w:tcPr>
            <w:tcW w:w="1291" w:type="dxa"/>
            <w:tcBorders>
              <w:top w:val="single" w:sz="4" w:space="0" w:color="auto"/>
              <w:left w:val="single" w:sz="4" w:space="0" w:color="auto"/>
              <w:bottom w:val="single" w:sz="4" w:space="0" w:color="auto"/>
              <w:right w:val="single" w:sz="4" w:space="0" w:color="auto"/>
            </w:tcBorders>
            <w:shd w:val="clear" w:color="auto" w:fill="BBBBBB"/>
            <w:vAlign w:val="bottom"/>
          </w:tcPr>
          <w:p w14:paraId="504EED89"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Percentage</w:t>
            </w:r>
          </w:p>
        </w:tc>
      </w:tr>
      <w:tr w:rsidR="00E1779F" w:rsidRPr="008A08FA" w14:paraId="1B67CD63" w14:textId="77777777" w:rsidTr="001D415F">
        <w:trPr>
          <w:cantSplit/>
          <w:jc w:val="center"/>
        </w:trPr>
        <w:tc>
          <w:tcPr>
            <w:tcW w:w="783" w:type="dxa"/>
            <w:tcBorders>
              <w:top w:val="nil"/>
              <w:left w:val="single" w:sz="6" w:space="0" w:color="000000"/>
              <w:bottom w:val="single" w:sz="2" w:space="0" w:color="000000"/>
              <w:right w:val="nil"/>
            </w:tcBorders>
            <w:shd w:val="clear" w:color="auto" w:fill="FFFFFF"/>
            <w:tcMar>
              <w:left w:w="60" w:type="dxa"/>
              <w:right w:w="60" w:type="dxa"/>
            </w:tcMar>
          </w:tcPr>
          <w:p w14:paraId="10734628" w14:textId="77777777" w:rsidR="00E1779F" w:rsidRPr="008A08FA" w:rsidRDefault="00E1779F" w:rsidP="008A08FA">
            <w:pPr>
              <w:adjustRightInd w:val="0"/>
              <w:spacing w:before="60" w:after="120" w:line="480" w:lineRule="auto"/>
              <w:rPr>
                <w:rFonts w:ascii="Cambria" w:hAnsi="Cambria"/>
                <w:color w:val="000000"/>
                <w:sz w:val="20"/>
                <w:szCs w:val="20"/>
              </w:rPr>
            </w:pPr>
            <w:r w:rsidRPr="008A08FA">
              <w:rPr>
                <w:rFonts w:ascii="Cambria" w:hAnsi="Cambria"/>
                <w:color w:val="000000"/>
                <w:sz w:val="20"/>
                <w:szCs w:val="20"/>
              </w:rPr>
              <w:t>6</w:t>
            </w:r>
          </w:p>
        </w:tc>
        <w:tc>
          <w:tcPr>
            <w:tcW w:w="1397" w:type="dxa"/>
            <w:tcBorders>
              <w:top w:val="nil"/>
              <w:left w:val="single" w:sz="2" w:space="0" w:color="000000"/>
              <w:bottom w:val="single" w:sz="2" w:space="0" w:color="000000"/>
              <w:right w:val="nil"/>
            </w:tcBorders>
            <w:shd w:val="clear" w:color="auto" w:fill="FFFFFF"/>
            <w:tcMar>
              <w:left w:w="60" w:type="dxa"/>
              <w:right w:w="60" w:type="dxa"/>
            </w:tcMar>
          </w:tcPr>
          <w:p w14:paraId="315732E4"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41/125</w:t>
            </w:r>
          </w:p>
        </w:tc>
        <w:tc>
          <w:tcPr>
            <w:tcW w:w="1185" w:type="dxa"/>
            <w:tcBorders>
              <w:top w:val="nil"/>
              <w:left w:val="single" w:sz="2" w:space="0" w:color="000000"/>
              <w:bottom w:val="single" w:sz="2" w:space="0" w:color="000000"/>
              <w:right w:val="nil"/>
            </w:tcBorders>
            <w:shd w:val="clear" w:color="auto" w:fill="FFFFFF"/>
            <w:tcMar>
              <w:left w:w="60" w:type="dxa"/>
              <w:right w:w="60" w:type="dxa"/>
            </w:tcMar>
          </w:tcPr>
          <w:p w14:paraId="79481DCE"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32.8%</w:t>
            </w:r>
          </w:p>
        </w:tc>
        <w:tc>
          <w:tcPr>
            <w:tcW w:w="1397" w:type="dxa"/>
            <w:tcBorders>
              <w:top w:val="nil"/>
              <w:left w:val="single" w:sz="2" w:space="0" w:color="000000"/>
              <w:bottom w:val="single" w:sz="2" w:space="0" w:color="000000"/>
              <w:right w:val="nil"/>
            </w:tcBorders>
            <w:shd w:val="clear" w:color="auto" w:fill="FFFFFF"/>
            <w:tcMar>
              <w:left w:w="60" w:type="dxa"/>
              <w:right w:w="60" w:type="dxa"/>
            </w:tcMar>
          </w:tcPr>
          <w:p w14:paraId="5EAC64E4"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8/58</w:t>
            </w:r>
          </w:p>
        </w:tc>
        <w:tc>
          <w:tcPr>
            <w:tcW w:w="1185"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16A75ED0"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13.8%</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2DED1F31"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11/15</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7CD2552B"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73.3%</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2C1A3F92"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9/10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06057BB7"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90.0%</w:t>
            </w:r>
          </w:p>
        </w:tc>
      </w:tr>
      <w:tr w:rsidR="00E1779F" w:rsidRPr="008A08FA" w14:paraId="70EB6F31" w14:textId="77777777" w:rsidTr="001D415F">
        <w:trPr>
          <w:cantSplit/>
          <w:jc w:val="center"/>
        </w:trPr>
        <w:tc>
          <w:tcPr>
            <w:tcW w:w="783" w:type="dxa"/>
            <w:tcBorders>
              <w:top w:val="nil"/>
              <w:left w:val="single" w:sz="6" w:space="0" w:color="000000"/>
              <w:bottom w:val="single" w:sz="2" w:space="0" w:color="000000"/>
              <w:right w:val="nil"/>
            </w:tcBorders>
            <w:shd w:val="clear" w:color="auto" w:fill="FFFFFF"/>
            <w:tcMar>
              <w:left w:w="60" w:type="dxa"/>
              <w:right w:w="60" w:type="dxa"/>
            </w:tcMar>
          </w:tcPr>
          <w:p w14:paraId="783F0163" w14:textId="77777777" w:rsidR="00E1779F" w:rsidRPr="008A08FA" w:rsidRDefault="00E1779F" w:rsidP="008A08FA">
            <w:pPr>
              <w:adjustRightInd w:val="0"/>
              <w:spacing w:before="60" w:after="120" w:line="480" w:lineRule="auto"/>
              <w:rPr>
                <w:rFonts w:ascii="Cambria" w:hAnsi="Cambria"/>
                <w:color w:val="000000"/>
                <w:sz w:val="20"/>
                <w:szCs w:val="20"/>
              </w:rPr>
            </w:pPr>
            <w:r w:rsidRPr="008A08FA">
              <w:rPr>
                <w:rFonts w:ascii="Cambria" w:hAnsi="Cambria"/>
                <w:color w:val="000000"/>
                <w:sz w:val="20"/>
                <w:szCs w:val="20"/>
              </w:rPr>
              <w:t>7</w:t>
            </w:r>
          </w:p>
        </w:tc>
        <w:tc>
          <w:tcPr>
            <w:tcW w:w="1397" w:type="dxa"/>
            <w:tcBorders>
              <w:top w:val="nil"/>
              <w:left w:val="single" w:sz="2" w:space="0" w:color="000000"/>
              <w:bottom w:val="single" w:sz="2" w:space="0" w:color="000000"/>
              <w:right w:val="nil"/>
            </w:tcBorders>
            <w:shd w:val="clear" w:color="auto" w:fill="FFFFFF"/>
            <w:tcMar>
              <w:left w:w="60" w:type="dxa"/>
              <w:right w:w="60" w:type="dxa"/>
            </w:tcMar>
          </w:tcPr>
          <w:p w14:paraId="24253C89"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61/583</w:t>
            </w:r>
          </w:p>
        </w:tc>
        <w:tc>
          <w:tcPr>
            <w:tcW w:w="1185" w:type="dxa"/>
            <w:tcBorders>
              <w:top w:val="nil"/>
              <w:left w:val="single" w:sz="2" w:space="0" w:color="000000"/>
              <w:bottom w:val="single" w:sz="2" w:space="0" w:color="000000"/>
              <w:right w:val="nil"/>
            </w:tcBorders>
            <w:shd w:val="clear" w:color="auto" w:fill="FFFFFF"/>
            <w:tcMar>
              <w:left w:w="60" w:type="dxa"/>
              <w:right w:w="60" w:type="dxa"/>
            </w:tcMar>
          </w:tcPr>
          <w:p w14:paraId="43901A21"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10.5%</w:t>
            </w:r>
          </w:p>
        </w:tc>
        <w:tc>
          <w:tcPr>
            <w:tcW w:w="1397" w:type="dxa"/>
            <w:tcBorders>
              <w:top w:val="nil"/>
              <w:left w:val="single" w:sz="2" w:space="0" w:color="000000"/>
              <w:bottom w:val="single" w:sz="2" w:space="0" w:color="000000"/>
              <w:right w:val="nil"/>
            </w:tcBorders>
            <w:shd w:val="clear" w:color="auto" w:fill="FFFFFF"/>
            <w:tcMar>
              <w:left w:w="60" w:type="dxa"/>
              <w:right w:w="60" w:type="dxa"/>
            </w:tcMar>
          </w:tcPr>
          <w:p w14:paraId="0A472CF9"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82/446</w:t>
            </w:r>
          </w:p>
        </w:tc>
        <w:tc>
          <w:tcPr>
            <w:tcW w:w="1185"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6794FCC9"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18.4%</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59B28AED"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73/101</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3188931F"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72.3%</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5F80CAC0"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80/115</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6AEF1452"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69.6%</w:t>
            </w:r>
          </w:p>
        </w:tc>
      </w:tr>
      <w:tr w:rsidR="00E1779F" w:rsidRPr="008A08FA" w14:paraId="4EC5A24A" w14:textId="77777777" w:rsidTr="001D415F">
        <w:trPr>
          <w:cantSplit/>
          <w:jc w:val="center"/>
        </w:trPr>
        <w:tc>
          <w:tcPr>
            <w:tcW w:w="783" w:type="dxa"/>
            <w:tcBorders>
              <w:top w:val="nil"/>
              <w:left w:val="single" w:sz="6" w:space="0" w:color="000000"/>
              <w:bottom w:val="single" w:sz="2" w:space="0" w:color="000000"/>
              <w:right w:val="nil"/>
            </w:tcBorders>
            <w:shd w:val="clear" w:color="auto" w:fill="FFFFFF"/>
            <w:tcMar>
              <w:left w:w="60" w:type="dxa"/>
              <w:right w:w="60" w:type="dxa"/>
            </w:tcMar>
          </w:tcPr>
          <w:p w14:paraId="1315B01A" w14:textId="77777777" w:rsidR="00E1779F" w:rsidRPr="008A08FA" w:rsidRDefault="00E1779F" w:rsidP="008A08FA">
            <w:pPr>
              <w:adjustRightInd w:val="0"/>
              <w:spacing w:before="60" w:after="120" w:line="480" w:lineRule="auto"/>
              <w:rPr>
                <w:rFonts w:ascii="Cambria" w:hAnsi="Cambria"/>
                <w:color w:val="000000"/>
                <w:sz w:val="20"/>
                <w:szCs w:val="20"/>
              </w:rPr>
            </w:pPr>
            <w:r w:rsidRPr="008A08FA">
              <w:rPr>
                <w:rFonts w:ascii="Cambria" w:hAnsi="Cambria"/>
                <w:color w:val="000000"/>
                <w:sz w:val="20"/>
                <w:szCs w:val="20"/>
              </w:rPr>
              <w:t>8</w:t>
            </w:r>
          </w:p>
        </w:tc>
        <w:tc>
          <w:tcPr>
            <w:tcW w:w="1397" w:type="dxa"/>
            <w:tcBorders>
              <w:top w:val="nil"/>
              <w:left w:val="single" w:sz="2" w:space="0" w:color="000000"/>
              <w:bottom w:val="single" w:sz="2" w:space="0" w:color="000000"/>
              <w:right w:val="nil"/>
            </w:tcBorders>
            <w:shd w:val="clear" w:color="auto" w:fill="FFFFFF"/>
            <w:tcMar>
              <w:left w:w="60" w:type="dxa"/>
              <w:right w:w="60" w:type="dxa"/>
            </w:tcMar>
          </w:tcPr>
          <w:p w14:paraId="42118E51"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86/726</w:t>
            </w:r>
          </w:p>
        </w:tc>
        <w:tc>
          <w:tcPr>
            <w:tcW w:w="1185" w:type="dxa"/>
            <w:tcBorders>
              <w:top w:val="nil"/>
              <w:left w:val="single" w:sz="2" w:space="0" w:color="000000"/>
              <w:bottom w:val="single" w:sz="2" w:space="0" w:color="000000"/>
              <w:right w:val="nil"/>
            </w:tcBorders>
            <w:shd w:val="clear" w:color="auto" w:fill="FFFFFF"/>
            <w:tcMar>
              <w:left w:w="60" w:type="dxa"/>
              <w:right w:w="60" w:type="dxa"/>
            </w:tcMar>
          </w:tcPr>
          <w:p w14:paraId="368D8E18"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11.8%</w:t>
            </w:r>
          </w:p>
        </w:tc>
        <w:tc>
          <w:tcPr>
            <w:tcW w:w="1397" w:type="dxa"/>
            <w:tcBorders>
              <w:top w:val="nil"/>
              <w:left w:val="single" w:sz="2" w:space="0" w:color="000000"/>
              <w:bottom w:val="single" w:sz="2" w:space="0" w:color="000000"/>
              <w:right w:val="nil"/>
            </w:tcBorders>
            <w:shd w:val="clear" w:color="auto" w:fill="FFFFFF"/>
            <w:tcMar>
              <w:left w:w="60" w:type="dxa"/>
              <w:right w:w="60" w:type="dxa"/>
            </w:tcMar>
          </w:tcPr>
          <w:p w14:paraId="6F91124C"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52/371</w:t>
            </w:r>
          </w:p>
        </w:tc>
        <w:tc>
          <w:tcPr>
            <w:tcW w:w="1185"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2B77D6CF"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14.0%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2F789DF0"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119/153</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414FD8C1"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77.8%</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2F3B326A"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48/76</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0D09DF3B"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63.2%</w:t>
            </w:r>
          </w:p>
        </w:tc>
      </w:tr>
      <w:tr w:rsidR="00E1779F" w:rsidRPr="008A08FA" w14:paraId="22816302" w14:textId="77777777" w:rsidTr="001D415F">
        <w:trPr>
          <w:cantSplit/>
          <w:jc w:val="center"/>
        </w:trPr>
        <w:tc>
          <w:tcPr>
            <w:tcW w:w="783" w:type="dxa"/>
            <w:tcBorders>
              <w:top w:val="nil"/>
              <w:left w:val="single" w:sz="6" w:space="0" w:color="000000"/>
              <w:bottom w:val="single" w:sz="2" w:space="0" w:color="000000"/>
              <w:right w:val="nil"/>
            </w:tcBorders>
            <w:shd w:val="clear" w:color="auto" w:fill="FFFFFF"/>
            <w:tcMar>
              <w:left w:w="60" w:type="dxa"/>
              <w:right w:w="60" w:type="dxa"/>
            </w:tcMar>
          </w:tcPr>
          <w:p w14:paraId="0EEFD225" w14:textId="77777777" w:rsidR="00E1779F" w:rsidRPr="008A08FA" w:rsidRDefault="00E1779F" w:rsidP="008A08FA">
            <w:pPr>
              <w:adjustRightInd w:val="0"/>
              <w:spacing w:before="60" w:after="120" w:line="480" w:lineRule="auto"/>
              <w:rPr>
                <w:rFonts w:ascii="Cambria" w:hAnsi="Cambria"/>
                <w:color w:val="000000"/>
                <w:sz w:val="20"/>
                <w:szCs w:val="20"/>
              </w:rPr>
            </w:pPr>
            <w:r w:rsidRPr="008A08FA">
              <w:rPr>
                <w:rFonts w:ascii="Cambria" w:hAnsi="Cambria"/>
                <w:color w:val="000000"/>
                <w:sz w:val="20"/>
                <w:szCs w:val="20"/>
              </w:rPr>
              <w:t>9</w:t>
            </w:r>
          </w:p>
        </w:tc>
        <w:tc>
          <w:tcPr>
            <w:tcW w:w="1397" w:type="dxa"/>
            <w:tcBorders>
              <w:top w:val="nil"/>
              <w:left w:val="single" w:sz="2" w:space="0" w:color="000000"/>
              <w:bottom w:val="single" w:sz="2" w:space="0" w:color="000000"/>
              <w:right w:val="nil"/>
            </w:tcBorders>
            <w:shd w:val="clear" w:color="auto" w:fill="FFFFFF"/>
            <w:tcMar>
              <w:left w:w="60" w:type="dxa"/>
              <w:right w:w="60" w:type="dxa"/>
            </w:tcMar>
          </w:tcPr>
          <w:p w14:paraId="215D8014"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138/1283</w:t>
            </w:r>
          </w:p>
        </w:tc>
        <w:tc>
          <w:tcPr>
            <w:tcW w:w="1185" w:type="dxa"/>
            <w:tcBorders>
              <w:top w:val="nil"/>
              <w:left w:val="single" w:sz="2" w:space="0" w:color="000000"/>
              <w:bottom w:val="single" w:sz="2" w:space="0" w:color="000000"/>
              <w:right w:val="nil"/>
            </w:tcBorders>
            <w:shd w:val="clear" w:color="auto" w:fill="FFFFFF"/>
            <w:tcMar>
              <w:left w:w="60" w:type="dxa"/>
              <w:right w:w="60" w:type="dxa"/>
            </w:tcMar>
          </w:tcPr>
          <w:p w14:paraId="1B07404E"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10.8%</w:t>
            </w:r>
          </w:p>
        </w:tc>
        <w:tc>
          <w:tcPr>
            <w:tcW w:w="1397" w:type="dxa"/>
            <w:tcBorders>
              <w:top w:val="nil"/>
              <w:left w:val="single" w:sz="2" w:space="0" w:color="000000"/>
              <w:bottom w:val="single" w:sz="2" w:space="0" w:color="000000"/>
              <w:right w:val="nil"/>
            </w:tcBorders>
            <w:shd w:val="clear" w:color="auto" w:fill="FFFFFF"/>
            <w:tcMar>
              <w:left w:w="60" w:type="dxa"/>
              <w:right w:w="60" w:type="dxa"/>
            </w:tcMar>
          </w:tcPr>
          <w:p w14:paraId="003ABD4B"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98/703</w:t>
            </w:r>
          </w:p>
        </w:tc>
        <w:tc>
          <w:tcPr>
            <w:tcW w:w="1185"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687C8843"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13.9%</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0C845E04"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192/272</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4D1781FD"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70.6%</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19E2AC24"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150/204</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27F2A3C4"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73.5%</w:t>
            </w:r>
          </w:p>
        </w:tc>
      </w:tr>
      <w:tr w:rsidR="00E1779F" w:rsidRPr="008A08FA" w14:paraId="1FB63148" w14:textId="77777777" w:rsidTr="001D415F">
        <w:trPr>
          <w:cantSplit/>
          <w:jc w:val="center"/>
        </w:trPr>
        <w:tc>
          <w:tcPr>
            <w:tcW w:w="783" w:type="dxa"/>
            <w:tcBorders>
              <w:top w:val="nil"/>
              <w:left w:val="single" w:sz="6" w:space="0" w:color="000000"/>
              <w:bottom w:val="single" w:sz="2" w:space="0" w:color="000000"/>
              <w:right w:val="nil"/>
            </w:tcBorders>
            <w:shd w:val="clear" w:color="auto" w:fill="FFFFFF"/>
            <w:tcMar>
              <w:left w:w="60" w:type="dxa"/>
              <w:right w:w="60" w:type="dxa"/>
            </w:tcMar>
          </w:tcPr>
          <w:p w14:paraId="58BFFE2B" w14:textId="77777777" w:rsidR="00E1779F" w:rsidRPr="008A08FA" w:rsidRDefault="00E1779F" w:rsidP="008A08FA">
            <w:pPr>
              <w:keepNext/>
              <w:adjustRightInd w:val="0"/>
              <w:spacing w:before="60" w:after="120" w:line="480" w:lineRule="auto"/>
              <w:rPr>
                <w:rFonts w:ascii="Cambria" w:hAnsi="Cambria"/>
                <w:color w:val="000000"/>
                <w:sz w:val="20"/>
                <w:szCs w:val="20"/>
              </w:rPr>
            </w:pPr>
            <w:r w:rsidRPr="008A08FA">
              <w:rPr>
                <w:rFonts w:ascii="Cambria" w:hAnsi="Cambria"/>
                <w:color w:val="000000"/>
                <w:sz w:val="20"/>
                <w:szCs w:val="20"/>
              </w:rPr>
              <w:t>10</w:t>
            </w:r>
          </w:p>
        </w:tc>
        <w:tc>
          <w:tcPr>
            <w:tcW w:w="1397" w:type="dxa"/>
            <w:tcBorders>
              <w:top w:val="nil"/>
              <w:left w:val="single" w:sz="2" w:space="0" w:color="000000"/>
              <w:bottom w:val="single" w:sz="2" w:space="0" w:color="000000"/>
              <w:right w:val="nil"/>
            </w:tcBorders>
            <w:shd w:val="clear" w:color="auto" w:fill="FFFFFF"/>
            <w:tcMar>
              <w:left w:w="60" w:type="dxa"/>
              <w:right w:w="60" w:type="dxa"/>
            </w:tcMar>
          </w:tcPr>
          <w:p w14:paraId="5886AB89" w14:textId="77777777" w:rsidR="00E1779F" w:rsidRPr="008A08FA" w:rsidRDefault="00E1779F" w:rsidP="008A08FA">
            <w:pPr>
              <w:keepNext/>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109/813</w:t>
            </w:r>
          </w:p>
        </w:tc>
        <w:tc>
          <w:tcPr>
            <w:tcW w:w="1185" w:type="dxa"/>
            <w:tcBorders>
              <w:top w:val="nil"/>
              <w:left w:val="single" w:sz="2" w:space="0" w:color="000000"/>
              <w:bottom w:val="single" w:sz="2" w:space="0" w:color="000000"/>
              <w:right w:val="nil"/>
            </w:tcBorders>
            <w:shd w:val="clear" w:color="auto" w:fill="FFFFFF"/>
            <w:tcMar>
              <w:left w:w="60" w:type="dxa"/>
              <w:right w:w="60" w:type="dxa"/>
            </w:tcMar>
          </w:tcPr>
          <w:p w14:paraId="416F8089" w14:textId="77777777" w:rsidR="00E1779F" w:rsidRPr="008A08FA" w:rsidRDefault="00E1779F" w:rsidP="008A08FA">
            <w:pPr>
              <w:keepNext/>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13.4%</w:t>
            </w:r>
          </w:p>
        </w:tc>
        <w:tc>
          <w:tcPr>
            <w:tcW w:w="1397" w:type="dxa"/>
            <w:tcBorders>
              <w:top w:val="nil"/>
              <w:left w:val="single" w:sz="2" w:space="0" w:color="000000"/>
              <w:bottom w:val="single" w:sz="2" w:space="0" w:color="000000"/>
              <w:right w:val="nil"/>
            </w:tcBorders>
            <w:shd w:val="clear" w:color="auto" w:fill="FFFFFF"/>
            <w:tcMar>
              <w:left w:w="60" w:type="dxa"/>
              <w:right w:w="60" w:type="dxa"/>
            </w:tcMar>
          </w:tcPr>
          <w:p w14:paraId="6DA2D278" w14:textId="77777777" w:rsidR="00E1779F" w:rsidRPr="008A08FA" w:rsidRDefault="00E1779F" w:rsidP="008A08FA">
            <w:pPr>
              <w:keepNext/>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69/417</w:t>
            </w:r>
          </w:p>
        </w:tc>
        <w:tc>
          <w:tcPr>
            <w:tcW w:w="1185"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1A714978" w14:textId="77777777" w:rsidR="00E1779F" w:rsidRPr="008A08FA" w:rsidRDefault="00E1779F" w:rsidP="008A08FA">
            <w:pPr>
              <w:keepNext/>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16.5%</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071C4E73" w14:textId="77777777" w:rsidR="00E1779F" w:rsidRPr="008A08FA" w:rsidRDefault="00E1779F" w:rsidP="008A08FA">
            <w:pPr>
              <w:keepNext/>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121/160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63FA3AB0" w14:textId="77777777" w:rsidR="00E1779F" w:rsidRPr="008A08FA" w:rsidRDefault="00E1779F" w:rsidP="008A08FA">
            <w:pPr>
              <w:keepNext/>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75.6%</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11AA5286" w14:textId="77777777" w:rsidR="00E1779F" w:rsidRPr="008A08FA" w:rsidRDefault="00E1779F" w:rsidP="008A08FA">
            <w:pPr>
              <w:keepNext/>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64/86</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4E2C9753" w14:textId="77777777" w:rsidR="00E1779F" w:rsidRPr="008A08FA" w:rsidRDefault="00E1779F" w:rsidP="008A08FA">
            <w:pPr>
              <w:keepNext/>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74.4%</w:t>
            </w:r>
          </w:p>
        </w:tc>
      </w:tr>
      <w:tr w:rsidR="00E1779F" w:rsidRPr="008A08FA" w14:paraId="2B3E8FA4" w14:textId="77777777" w:rsidTr="001D415F">
        <w:trPr>
          <w:cantSplit/>
          <w:jc w:val="center"/>
        </w:trPr>
        <w:tc>
          <w:tcPr>
            <w:tcW w:w="783" w:type="dxa"/>
            <w:tcBorders>
              <w:top w:val="nil"/>
              <w:left w:val="single" w:sz="6" w:space="0" w:color="000000"/>
              <w:bottom w:val="single" w:sz="6" w:space="0" w:color="000000"/>
              <w:right w:val="nil"/>
            </w:tcBorders>
            <w:shd w:val="clear" w:color="auto" w:fill="FFFFFF"/>
            <w:tcMar>
              <w:left w:w="60" w:type="dxa"/>
              <w:right w:w="60" w:type="dxa"/>
            </w:tcMar>
          </w:tcPr>
          <w:p w14:paraId="2B8D60BD" w14:textId="77777777" w:rsidR="00E1779F" w:rsidRPr="008A08FA" w:rsidRDefault="00E1779F" w:rsidP="008A08FA">
            <w:pPr>
              <w:adjustRightInd w:val="0"/>
              <w:spacing w:before="60" w:after="120" w:line="480" w:lineRule="auto"/>
              <w:rPr>
                <w:rFonts w:ascii="Cambria" w:hAnsi="Cambria"/>
                <w:color w:val="000000"/>
                <w:sz w:val="20"/>
                <w:szCs w:val="20"/>
              </w:rPr>
            </w:pPr>
            <w:r w:rsidRPr="008A08FA">
              <w:rPr>
                <w:rFonts w:ascii="Cambria" w:hAnsi="Cambria"/>
                <w:color w:val="000000"/>
                <w:sz w:val="20"/>
                <w:szCs w:val="20"/>
              </w:rPr>
              <w:t>11</w:t>
            </w:r>
          </w:p>
        </w:tc>
        <w:tc>
          <w:tcPr>
            <w:tcW w:w="1397" w:type="dxa"/>
            <w:tcBorders>
              <w:top w:val="nil"/>
              <w:left w:val="single" w:sz="2" w:space="0" w:color="000000"/>
              <w:bottom w:val="single" w:sz="6" w:space="0" w:color="000000"/>
              <w:right w:val="nil"/>
            </w:tcBorders>
            <w:shd w:val="clear" w:color="auto" w:fill="FFFFFF"/>
            <w:tcMar>
              <w:left w:w="60" w:type="dxa"/>
              <w:right w:w="60" w:type="dxa"/>
            </w:tcMar>
          </w:tcPr>
          <w:p w14:paraId="69C4F45F"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79/737</w:t>
            </w:r>
          </w:p>
        </w:tc>
        <w:tc>
          <w:tcPr>
            <w:tcW w:w="1185" w:type="dxa"/>
            <w:tcBorders>
              <w:top w:val="nil"/>
              <w:left w:val="single" w:sz="2" w:space="0" w:color="000000"/>
              <w:bottom w:val="single" w:sz="6" w:space="0" w:color="000000"/>
              <w:right w:val="nil"/>
            </w:tcBorders>
            <w:shd w:val="clear" w:color="auto" w:fill="FFFFFF"/>
            <w:tcMar>
              <w:left w:w="60" w:type="dxa"/>
              <w:right w:w="60" w:type="dxa"/>
            </w:tcMar>
          </w:tcPr>
          <w:p w14:paraId="43DFC5D1"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10.7%</w:t>
            </w:r>
          </w:p>
        </w:tc>
        <w:tc>
          <w:tcPr>
            <w:tcW w:w="1397" w:type="dxa"/>
            <w:tcBorders>
              <w:top w:val="nil"/>
              <w:left w:val="single" w:sz="2" w:space="0" w:color="000000"/>
              <w:bottom w:val="single" w:sz="6" w:space="0" w:color="000000"/>
              <w:right w:val="nil"/>
            </w:tcBorders>
            <w:shd w:val="clear" w:color="auto" w:fill="FFFFFF"/>
            <w:tcMar>
              <w:left w:w="60" w:type="dxa"/>
              <w:right w:w="60" w:type="dxa"/>
            </w:tcMar>
          </w:tcPr>
          <w:p w14:paraId="7AB4AC94"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47/350</w:t>
            </w:r>
          </w:p>
        </w:tc>
        <w:tc>
          <w:tcPr>
            <w:tcW w:w="1185" w:type="dxa"/>
            <w:tcBorders>
              <w:top w:val="nil"/>
              <w:left w:val="single" w:sz="2" w:space="0" w:color="000000"/>
              <w:bottom w:val="single" w:sz="6" w:space="0" w:color="000000"/>
              <w:right w:val="single" w:sz="4" w:space="0" w:color="auto"/>
            </w:tcBorders>
            <w:shd w:val="clear" w:color="auto" w:fill="FFFFFF"/>
            <w:tcMar>
              <w:left w:w="60" w:type="dxa"/>
              <w:right w:w="60" w:type="dxa"/>
            </w:tcMar>
          </w:tcPr>
          <w:p w14:paraId="004D98D0"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13.4%</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3BEC1E88"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122/147</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6C5C1F5F"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83.0%</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252C712E"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63/94</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34FEBA51"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67.0%</w:t>
            </w:r>
          </w:p>
        </w:tc>
      </w:tr>
    </w:tbl>
    <w:p w14:paraId="1A1954BB" w14:textId="77777777" w:rsidR="00E1779F" w:rsidRPr="008A08FA" w:rsidRDefault="00E1779F" w:rsidP="008A08FA">
      <w:pPr>
        <w:spacing w:after="120" w:line="480" w:lineRule="auto"/>
        <w:rPr>
          <w:rFonts w:ascii="Cambria" w:hAnsi="Cambria"/>
          <w:lang w:val="en-US"/>
        </w:rPr>
      </w:pPr>
    </w:p>
    <w:p w14:paraId="58D44EB7" w14:textId="77777777" w:rsidR="00E1779F" w:rsidRPr="008A08FA" w:rsidRDefault="00E1779F" w:rsidP="008A08FA">
      <w:pPr>
        <w:spacing w:after="120" w:line="480" w:lineRule="auto"/>
        <w:rPr>
          <w:rFonts w:ascii="Cambria" w:hAnsi="Cambria"/>
          <w:lang w:val="en-US"/>
        </w:rPr>
      </w:pPr>
    </w:p>
    <w:p w14:paraId="63DCB8F1" w14:textId="77777777" w:rsidR="00E1779F" w:rsidRPr="008A08FA" w:rsidRDefault="00E1779F" w:rsidP="008A08FA">
      <w:pPr>
        <w:spacing w:after="120" w:line="480" w:lineRule="auto"/>
        <w:rPr>
          <w:rFonts w:ascii="Cambria" w:hAnsi="Cambria"/>
          <w:lang w:val="en-US"/>
        </w:rPr>
      </w:pPr>
    </w:p>
    <w:p w14:paraId="25AFD60F" w14:textId="77777777" w:rsidR="00E1779F" w:rsidRPr="008A08FA" w:rsidRDefault="00E1779F" w:rsidP="008A08FA">
      <w:pPr>
        <w:spacing w:after="120" w:line="480" w:lineRule="auto"/>
        <w:rPr>
          <w:rFonts w:ascii="Cambria" w:hAnsi="Cambria"/>
          <w:lang w:val="en-US"/>
        </w:rPr>
      </w:pPr>
    </w:p>
    <w:p w14:paraId="65B3D57D" w14:textId="77777777" w:rsidR="00E1779F" w:rsidRPr="008A08FA" w:rsidRDefault="00E1779F" w:rsidP="008A08FA">
      <w:pPr>
        <w:spacing w:after="120" w:line="480" w:lineRule="auto"/>
        <w:rPr>
          <w:rFonts w:ascii="Cambria" w:hAnsi="Cambria"/>
        </w:rPr>
      </w:pPr>
      <w:r w:rsidRPr="008A08FA">
        <w:rPr>
          <w:rFonts w:ascii="Cambria" w:hAnsi="Cambria"/>
          <w:lang w:val="en-US"/>
        </w:rPr>
        <w:br w:type="page"/>
      </w:r>
    </w:p>
    <w:p w14:paraId="3F1206A9" w14:textId="10B5BAD5" w:rsidR="00E1779F" w:rsidRPr="008A08FA" w:rsidRDefault="00E1779F" w:rsidP="00646361">
      <w:pPr>
        <w:spacing w:after="120" w:line="480" w:lineRule="auto"/>
        <w:rPr>
          <w:rFonts w:ascii="Cambria" w:hAnsi="Cambria"/>
          <w:b/>
          <w:lang w:val="en-US"/>
        </w:rPr>
      </w:pPr>
      <w:r w:rsidRPr="008A08FA">
        <w:rPr>
          <w:rFonts w:ascii="Cambria" w:hAnsi="Cambria"/>
          <w:b/>
          <w:lang w:val="en-US"/>
        </w:rPr>
        <w:lastRenderedPageBreak/>
        <w:t xml:space="preserve">Table 3: Adjusted odds ratios for being prescribed an antibiotic for an acute URTI for all variables found to be statistically significantly associated with antibiotic </w:t>
      </w:r>
      <w:r w:rsidR="00A95853">
        <w:rPr>
          <w:rFonts w:ascii="Cambria" w:hAnsi="Cambria"/>
          <w:b/>
          <w:lang w:val="en-US"/>
        </w:rPr>
        <w:t>use in the univariate analysis</w:t>
      </w:r>
    </w:p>
    <w:tbl>
      <w:tblPr>
        <w:tblW w:w="0" w:type="auto"/>
        <w:jc w:val="center"/>
        <w:tblLayout w:type="fixed"/>
        <w:tblCellMar>
          <w:left w:w="0" w:type="dxa"/>
          <w:right w:w="0" w:type="dxa"/>
        </w:tblCellMar>
        <w:tblLook w:val="0000" w:firstRow="0" w:lastRow="0" w:firstColumn="0" w:lastColumn="0" w:noHBand="0" w:noVBand="0"/>
      </w:tblPr>
      <w:tblGrid>
        <w:gridCol w:w="3311"/>
        <w:gridCol w:w="1671"/>
        <w:gridCol w:w="2156"/>
        <w:gridCol w:w="898"/>
      </w:tblGrid>
      <w:tr w:rsidR="00E1779F" w:rsidRPr="008A08FA" w14:paraId="2B221EC3" w14:textId="77777777" w:rsidTr="001D415F">
        <w:trPr>
          <w:cantSplit/>
          <w:tblHeader/>
          <w:jc w:val="center"/>
        </w:trPr>
        <w:tc>
          <w:tcPr>
            <w:tcW w:w="3311" w:type="dxa"/>
            <w:tcBorders>
              <w:top w:val="single" w:sz="6" w:space="0" w:color="000000"/>
              <w:left w:val="single" w:sz="6" w:space="0" w:color="000000"/>
              <w:bottom w:val="single" w:sz="2" w:space="0" w:color="000000"/>
              <w:right w:val="nil"/>
            </w:tcBorders>
            <w:shd w:val="clear" w:color="auto" w:fill="BBBBBB"/>
            <w:tcMar>
              <w:left w:w="60" w:type="dxa"/>
              <w:right w:w="60" w:type="dxa"/>
            </w:tcMar>
            <w:vAlign w:val="bottom"/>
          </w:tcPr>
          <w:p w14:paraId="6DB8BB2D" w14:textId="77777777" w:rsidR="00E1779F" w:rsidRPr="008A08FA" w:rsidRDefault="00E1779F" w:rsidP="00646361">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Characteristic</w:t>
            </w:r>
          </w:p>
        </w:tc>
        <w:tc>
          <w:tcPr>
            <w:tcW w:w="1671"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62F1A741" w14:textId="77777777" w:rsidR="00E1779F" w:rsidRPr="008A08FA" w:rsidRDefault="00E1779F" w:rsidP="00646361">
            <w:pPr>
              <w:keepNext/>
              <w:adjustRightInd w:val="0"/>
              <w:spacing w:before="60" w:after="120" w:line="240" w:lineRule="auto"/>
              <w:jc w:val="center"/>
              <w:rPr>
                <w:rFonts w:ascii="Cambria" w:hAnsi="Cambria"/>
                <w:b/>
                <w:bCs/>
                <w:color w:val="000000"/>
                <w:sz w:val="20"/>
                <w:szCs w:val="20"/>
              </w:rPr>
            </w:pPr>
          </w:p>
        </w:tc>
        <w:tc>
          <w:tcPr>
            <w:tcW w:w="2156"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6BAA56D5" w14:textId="77777777" w:rsidR="00E1779F" w:rsidRPr="008A08FA" w:rsidRDefault="00E1779F" w:rsidP="00646361">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Odds ratio (95% CI)</w:t>
            </w:r>
          </w:p>
        </w:tc>
        <w:tc>
          <w:tcPr>
            <w:tcW w:w="898"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00D20AA4" w14:textId="77777777" w:rsidR="00E1779F" w:rsidRPr="008A08FA" w:rsidRDefault="00E1779F" w:rsidP="00646361">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Adjusted</w:t>
            </w:r>
          </w:p>
          <w:p w14:paraId="14EEE05D" w14:textId="77777777" w:rsidR="00E1779F" w:rsidRPr="008A08FA" w:rsidRDefault="00E1779F" w:rsidP="00646361">
            <w:pPr>
              <w:keepNext/>
              <w:adjustRightInd w:val="0"/>
              <w:spacing w:before="60" w:after="120" w:line="240" w:lineRule="auto"/>
              <w:jc w:val="center"/>
              <w:rPr>
                <w:rFonts w:ascii="Cambria" w:hAnsi="Cambria"/>
                <w:b/>
                <w:bCs/>
                <w:color w:val="000000"/>
                <w:sz w:val="20"/>
                <w:szCs w:val="20"/>
              </w:rPr>
            </w:pPr>
            <w:r w:rsidRPr="008A08FA">
              <w:rPr>
                <w:rFonts w:ascii="Cambria" w:hAnsi="Cambria"/>
                <w:b/>
                <w:bCs/>
                <w:color w:val="000000"/>
                <w:sz w:val="20"/>
                <w:szCs w:val="20"/>
              </w:rPr>
              <w:t>p -value</w:t>
            </w:r>
          </w:p>
        </w:tc>
      </w:tr>
      <w:tr w:rsidR="00E1779F" w:rsidRPr="008A08FA" w14:paraId="0DB006F8"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5702EF0D"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Period</w:t>
            </w: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26999D81"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Post</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6E3C1C80"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0.99 (0.73 to 1.35)</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31E5503"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0.97</w:t>
            </w:r>
          </w:p>
        </w:tc>
      </w:tr>
      <w:tr w:rsidR="00E1779F" w:rsidRPr="008A08FA" w14:paraId="013D5AFF"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35081862"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Treatment</w:t>
            </w: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129C3B99"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Intervention</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0EA727D0"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1.16 (0.89 to 1.53)</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DAF1820"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0.28</w:t>
            </w:r>
          </w:p>
        </w:tc>
      </w:tr>
      <w:tr w:rsidR="00E1779F" w:rsidRPr="008A08FA" w14:paraId="1BBF0E5C"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29D8942C" w14:textId="77777777" w:rsidR="00E1779F" w:rsidRPr="008A08FA" w:rsidRDefault="00E1779F" w:rsidP="00646361">
            <w:pPr>
              <w:adjustRightInd w:val="0"/>
              <w:spacing w:before="60" w:after="120" w:line="240" w:lineRule="auto"/>
              <w:rPr>
                <w:rFonts w:ascii="Cambria" w:hAnsi="Cambria"/>
                <w:b/>
                <w:i/>
                <w:color w:val="000000"/>
                <w:sz w:val="20"/>
                <w:szCs w:val="20"/>
              </w:rPr>
            </w:pPr>
            <w:r w:rsidRPr="008A08FA">
              <w:rPr>
                <w:rFonts w:ascii="Cambria" w:hAnsi="Cambria"/>
                <w:b/>
                <w:i/>
                <w:color w:val="000000"/>
                <w:sz w:val="20"/>
                <w:szCs w:val="20"/>
              </w:rPr>
              <w:t>Period by treatment</w:t>
            </w: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74B923EA" w14:textId="77777777" w:rsidR="00E1779F" w:rsidRPr="008A08FA" w:rsidRDefault="00E1779F" w:rsidP="00646361">
            <w:pPr>
              <w:adjustRightInd w:val="0"/>
              <w:spacing w:before="60" w:after="120" w:line="240" w:lineRule="auto"/>
              <w:rPr>
                <w:rFonts w:ascii="Cambria" w:hAnsi="Cambria"/>
                <w:b/>
                <w:i/>
                <w:color w:val="000000"/>
                <w:sz w:val="20"/>
                <w:szCs w:val="20"/>
              </w:rPr>
            </w:pPr>
            <w:r w:rsidRPr="008A08FA">
              <w:rPr>
                <w:rFonts w:ascii="Cambria" w:hAnsi="Cambria"/>
                <w:b/>
                <w:i/>
                <w:color w:val="000000"/>
                <w:sz w:val="20"/>
                <w:szCs w:val="20"/>
              </w:rPr>
              <w:t>Post - intervention</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7DA3BBBB" w14:textId="77777777" w:rsidR="00E1779F" w:rsidRPr="008A08FA" w:rsidRDefault="00E1779F" w:rsidP="00646361">
            <w:pPr>
              <w:adjustRightInd w:val="0"/>
              <w:spacing w:before="60" w:after="120" w:line="240" w:lineRule="auto"/>
              <w:jc w:val="center"/>
              <w:rPr>
                <w:rFonts w:ascii="Cambria" w:hAnsi="Cambria"/>
                <w:b/>
                <w:i/>
                <w:color w:val="000000"/>
                <w:sz w:val="20"/>
                <w:szCs w:val="20"/>
              </w:rPr>
            </w:pPr>
            <w:r w:rsidRPr="008A08FA">
              <w:rPr>
                <w:rFonts w:ascii="Cambria" w:hAnsi="Cambria"/>
                <w:b/>
                <w:i/>
                <w:color w:val="000000"/>
                <w:sz w:val="20"/>
                <w:szCs w:val="20"/>
              </w:rPr>
              <w:t>0.88 (0.54 to 1.44)</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D65F6F0" w14:textId="77777777" w:rsidR="00E1779F" w:rsidRPr="008A08FA" w:rsidRDefault="00E1779F" w:rsidP="00646361">
            <w:pPr>
              <w:adjustRightInd w:val="0"/>
              <w:spacing w:before="60" w:after="120" w:line="240" w:lineRule="auto"/>
              <w:jc w:val="center"/>
              <w:rPr>
                <w:rFonts w:ascii="Cambria" w:hAnsi="Cambria"/>
                <w:b/>
                <w:i/>
                <w:color w:val="000000"/>
                <w:sz w:val="20"/>
                <w:szCs w:val="20"/>
              </w:rPr>
            </w:pPr>
            <w:r w:rsidRPr="008A08FA">
              <w:rPr>
                <w:rFonts w:ascii="Cambria" w:hAnsi="Cambria"/>
                <w:b/>
                <w:i/>
                <w:color w:val="000000"/>
                <w:sz w:val="20"/>
                <w:szCs w:val="20"/>
              </w:rPr>
              <w:t>0.62</w:t>
            </w:r>
          </w:p>
        </w:tc>
      </w:tr>
      <w:tr w:rsidR="00E1779F" w:rsidRPr="008A08FA" w14:paraId="6EAA31A3"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1B000CBD"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Patients age group</w:t>
            </w: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6BF56F3F"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&lt;5</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41B9B3C1"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Referent</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C31D44C"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r>
      <w:tr w:rsidR="00E1779F" w:rsidRPr="008A08FA" w14:paraId="5F382B69"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123F25BD"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1B979050"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5 to &lt;15</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20881FEF"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1.70 (1.27  to 2.29 )</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3DE99F"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&lt;0.001</w:t>
            </w:r>
          </w:p>
        </w:tc>
      </w:tr>
      <w:tr w:rsidR="00E1779F" w:rsidRPr="008A08FA" w14:paraId="36EAD582"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08E65342"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0714C4FA"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15 to &lt;25</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42D54E90"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1.91 (1.41  to 2.59 )</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C33B671"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&lt;.001</w:t>
            </w:r>
          </w:p>
        </w:tc>
      </w:tr>
      <w:tr w:rsidR="00E1779F" w:rsidRPr="008A08FA" w14:paraId="6CAE83DC"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6A0DA880"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29063342"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25 to &lt;45</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6DE92F02"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2.31 (1.80  to 2.97 )</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5BD5D3C"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&lt;.001</w:t>
            </w:r>
          </w:p>
        </w:tc>
      </w:tr>
      <w:tr w:rsidR="00E1779F" w:rsidRPr="008A08FA" w14:paraId="26430E48"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7E05908B"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36872DFE"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45 to &lt;65</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7AFC28BC"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2.80 (2.14  to 3.66 )</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6B3AEBB"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&lt;.001</w:t>
            </w:r>
          </w:p>
        </w:tc>
      </w:tr>
      <w:tr w:rsidR="00E1779F" w:rsidRPr="008A08FA" w14:paraId="465FAC80"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7587AB88"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70CC7644"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&gt;=65</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6EE20443"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4.11 (2.93  to 5.75 )</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CA7E64"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&lt;.001</w:t>
            </w:r>
          </w:p>
        </w:tc>
      </w:tr>
      <w:tr w:rsidR="00E1779F" w:rsidRPr="008A08FA" w14:paraId="7881CDA7"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5F69932C"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Assistance sought</w:t>
            </w: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703FF5AB"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No</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60C09688"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Referent</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75BD185"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r>
      <w:tr w:rsidR="00E1779F" w:rsidRPr="008A08FA" w14:paraId="7595E8A5"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26BB86EA"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0333939B"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Yes</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6CB2578E"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3.63 (2.60  to 5.05 )</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0D5CFE9"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&lt;.001</w:t>
            </w:r>
          </w:p>
        </w:tc>
      </w:tr>
      <w:tr w:rsidR="00E1779F" w:rsidRPr="008A08FA" w14:paraId="0E216354"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130AFB54"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Is it a new problem</w:t>
            </w: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275882E2"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No</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09A1E8E1"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Referent</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36FABE0"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r>
      <w:tr w:rsidR="00E1779F" w:rsidRPr="008A08FA" w14:paraId="34F9A97B"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31EC54C6"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527CFFCD"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Yes</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206E4D71"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0.67 (0.49  to 0.92 )</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29DA617"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0.013</w:t>
            </w:r>
          </w:p>
        </w:tc>
      </w:tr>
      <w:tr w:rsidR="00E1779F" w:rsidRPr="008A08FA" w14:paraId="6725BE48"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68E7A774"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Qualified as a doctor in Australia</w:t>
            </w: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1A0FE9D4"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No</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6F8A37F0"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Referent</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490EECC"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r>
      <w:tr w:rsidR="00E1779F" w:rsidRPr="008A08FA" w14:paraId="55622F94"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2E01B682"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12C377B7"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Yes</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6FD45CD4"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0.66 (0.47  to 0.91 )</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FA1771"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0.012</w:t>
            </w:r>
          </w:p>
        </w:tc>
      </w:tr>
      <w:tr w:rsidR="00E1779F" w:rsidRPr="008A08FA" w14:paraId="62DB6490" w14:textId="77777777" w:rsidTr="001D415F">
        <w:trPr>
          <w:cantSplit/>
          <w:jc w:val="center"/>
        </w:trPr>
        <w:tc>
          <w:tcPr>
            <w:tcW w:w="3311" w:type="dxa"/>
            <w:tcBorders>
              <w:top w:val="nil"/>
              <w:left w:val="single" w:sz="6" w:space="0" w:color="000000"/>
              <w:bottom w:val="single" w:sz="2" w:space="0" w:color="000000"/>
              <w:right w:val="nil"/>
            </w:tcBorders>
            <w:shd w:val="clear" w:color="auto" w:fill="FFFFFF"/>
            <w:tcMar>
              <w:left w:w="60" w:type="dxa"/>
              <w:right w:w="60" w:type="dxa"/>
            </w:tcMar>
          </w:tcPr>
          <w:p w14:paraId="32C81F54" w14:textId="77777777" w:rsidR="00E1779F" w:rsidRPr="008A08FA" w:rsidRDefault="00E1779F" w:rsidP="00646361">
            <w:pPr>
              <w:keepNext/>
              <w:adjustRightInd w:val="0"/>
              <w:spacing w:before="60" w:after="120" w:line="240" w:lineRule="auto"/>
              <w:rPr>
                <w:rFonts w:ascii="Cambria" w:hAnsi="Cambria"/>
                <w:color w:val="000000"/>
                <w:sz w:val="20"/>
                <w:szCs w:val="20"/>
              </w:rPr>
            </w:pPr>
            <w:r w:rsidRPr="008A08FA">
              <w:rPr>
                <w:rFonts w:ascii="Cambria" w:hAnsi="Cambria"/>
                <w:color w:val="000000"/>
                <w:sz w:val="20"/>
                <w:szCs w:val="20"/>
              </w:rPr>
              <w:t>Does the practice routinely bulk bill</w:t>
            </w:r>
          </w:p>
        </w:tc>
        <w:tc>
          <w:tcPr>
            <w:tcW w:w="1671" w:type="dxa"/>
            <w:tcBorders>
              <w:top w:val="nil"/>
              <w:left w:val="single" w:sz="2" w:space="0" w:color="000000"/>
              <w:bottom w:val="single" w:sz="2" w:space="0" w:color="000000"/>
              <w:right w:val="nil"/>
            </w:tcBorders>
            <w:shd w:val="clear" w:color="auto" w:fill="FFFFFF"/>
            <w:tcMar>
              <w:left w:w="60" w:type="dxa"/>
              <w:right w:w="60" w:type="dxa"/>
            </w:tcMar>
          </w:tcPr>
          <w:p w14:paraId="426695D5" w14:textId="77777777" w:rsidR="00E1779F" w:rsidRPr="008A08FA" w:rsidRDefault="00E1779F" w:rsidP="00646361">
            <w:pPr>
              <w:keepNext/>
              <w:adjustRightInd w:val="0"/>
              <w:spacing w:before="60" w:after="120" w:line="240" w:lineRule="auto"/>
              <w:rPr>
                <w:rFonts w:ascii="Cambria" w:hAnsi="Cambria"/>
                <w:color w:val="000000"/>
                <w:sz w:val="20"/>
                <w:szCs w:val="20"/>
              </w:rPr>
            </w:pPr>
            <w:r w:rsidRPr="008A08FA">
              <w:rPr>
                <w:rFonts w:ascii="Cambria" w:hAnsi="Cambria"/>
                <w:color w:val="000000"/>
                <w:sz w:val="20"/>
                <w:szCs w:val="20"/>
              </w:rPr>
              <w:t>No</w:t>
            </w:r>
          </w:p>
        </w:tc>
        <w:tc>
          <w:tcPr>
            <w:tcW w:w="2156" w:type="dxa"/>
            <w:tcBorders>
              <w:top w:val="nil"/>
              <w:left w:val="single" w:sz="2" w:space="0" w:color="000000"/>
              <w:bottom w:val="single" w:sz="2" w:space="0" w:color="000000"/>
              <w:right w:val="nil"/>
            </w:tcBorders>
            <w:shd w:val="clear" w:color="auto" w:fill="FFFFFF"/>
            <w:tcMar>
              <w:left w:w="60" w:type="dxa"/>
              <w:right w:w="60" w:type="dxa"/>
            </w:tcMar>
          </w:tcPr>
          <w:p w14:paraId="748EEEAF" w14:textId="77777777" w:rsidR="00E1779F" w:rsidRPr="008A08FA" w:rsidRDefault="00E1779F" w:rsidP="00646361">
            <w:pPr>
              <w:keepNext/>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Referent</w:t>
            </w:r>
          </w:p>
        </w:tc>
        <w:tc>
          <w:tcPr>
            <w:tcW w:w="898"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A679567" w14:textId="77777777" w:rsidR="00E1779F" w:rsidRPr="008A08FA" w:rsidRDefault="00E1779F" w:rsidP="00646361">
            <w:pPr>
              <w:keepNext/>
              <w:adjustRightInd w:val="0"/>
              <w:spacing w:before="60" w:after="120" w:line="240" w:lineRule="auto"/>
              <w:jc w:val="center"/>
              <w:rPr>
                <w:rFonts w:ascii="Cambria" w:hAnsi="Cambria"/>
                <w:color w:val="000000"/>
                <w:sz w:val="20"/>
                <w:szCs w:val="20"/>
              </w:rPr>
            </w:pPr>
          </w:p>
        </w:tc>
      </w:tr>
      <w:tr w:rsidR="00E1779F" w:rsidRPr="008A08FA" w14:paraId="0105EF39" w14:textId="77777777" w:rsidTr="001D415F">
        <w:trPr>
          <w:cantSplit/>
          <w:jc w:val="center"/>
        </w:trPr>
        <w:tc>
          <w:tcPr>
            <w:tcW w:w="3311" w:type="dxa"/>
            <w:tcBorders>
              <w:top w:val="nil"/>
              <w:left w:val="single" w:sz="6" w:space="0" w:color="000000"/>
              <w:bottom w:val="single" w:sz="6" w:space="0" w:color="000000"/>
              <w:right w:val="nil"/>
            </w:tcBorders>
            <w:shd w:val="clear" w:color="auto" w:fill="FFFFFF"/>
            <w:tcMar>
              <w:left w:w="60" w:type="dxa"/>
              <w:right w:w="60" w:type="dxa"/>
            </w:tcMar>
          </w:tcPr>
          <w:p w14:paraId="15ADC17B" w14:textId="77777777" w:rsidR="00E1779F" w:rsidRPr="008A08FA" w:rsidRDefault="00E1779F" w:rsidP="00646361">
            <w:pPr>
              <w:adjustRightInd w:val="0"/>
              <w:spacing w:before="60" w:after="120" w:line="240" w:lineRule="auto"/>
              <w:jc w:val="center"/>
              <w:rPr>
                <w:rFonts w:ascii="Cambria" w:hAnsi="Cambria"/>
                <w:color w:val="000000"/>
                <w:sz w:val="20"/>
                <w:szCs w:val="20"/>
              </w:rPr>
            </w:pPr>
          </w:p>
        </w:tc>
        <w:tc>
          <w:tcPr>
            <w:tcW w:w="1671" w:type="dxa"/>
            <w:tcBorders>
              <w:top w:val="nil"/>
              <w:left w:val="single" w:sz="2" w:space="0" w:color="000000"/>
              <w:bottom w:val="single" w:sz="6" w:space="0" w:color="000000"/>
              <w:right w:val="nil"/>
            </w:tcBorders>
            <w:shd w:val="clear" w:color="auto" w:fill="FFFFFF"/>
            <w:tcMar>
              <w:left w:w="60" w:type="dxa"/>
              <w:right w:w="60" w:type="dxa"/>
            </w:tcMar>
          </w:tcPr>
          <w:p w14:paraId="45E44501" w14:textId="77777777" w:rsidR="00E1779F" w:rsidRPr="008A08FA" w:rsidRDefault="00E1779F" w:rsidP="00646361">
            <w:pPr>
              <w:adjustRightInd w:val="0"/>
              <w:spacing w:before="60" w:after="120" w:line="240" w:lineRule="auto"/>
              <w:rPr>
                <w:rFonts w:ascii="Cambria" w:hAnsi="Cambria"/>
                <w:color w:val="000000"/>
                <w:sz w:val="20"/>
                <w:szCs w:val="20"/>
              </w:rPr>
            </w:pPr>
            <w:r w:rsidRPr="008A08FA">
              <w:rPr>
                <w:rFonts w:ascii="Cambria" w:hAnsi="Cambria"/>
                <w:color w:val="000000"/>
                <w:sz w:val="20"/>
                <w:szCs w:val="20"/>
              </w:rPr>
              <w:t>Yes</w:t>
            </w:r>
          </w:p>
        </w:tc>
        <w:tc>
          <w:tcPr>
            <w:tcW w:w="2156" w:type="dxa"/>
            <w:tcBorders>
              <w:top w:val="nil"/>
              <w:left w:val="single" w:sz="2" w:space="0" w:color="000000"/>
              <w:bottom w:val="single" w:sz="6" w:space="0" w:color="000000"/>
              <w:right w:val="nil"/>
            </w:tcBorders>
            <w:shd w:val="clear" w:color="auto" w:fill="FFFFFF"/>
            <w:tcMar>
              <w:left w:w="60" w:type="dxa"/>
              <w:right w:w="60" w:type="dxa"/>
            </w:tcMar>
          </w:tcPr>
          <w:p w14:paraId="61380F7A"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0.66 (0.50  to 0.88 )</w:t>
            </w:r>
          </w:p>
        </w:tc>
        <w:tc>
          <w:tcPr>
            <w:tcW w:w="898"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3EB6AC8A" w14:textId="77777777" w:rsidR="00E1779F" w:rsidRPr="008A08FA" w:rsidRDefault="00E1779F" w:rsidP="00646361">
            <w:pPr>
              <w:adjustRightInd w:val="0"/>
              <w:spacing w:before="60" w:after="120" w:line="240" w:lineRule="auto"/>
              <w:jc w:val="center"/>
              <w:rPr>
                <w:rFonts w:ascii="Cambria" w:hAnsi="Cambria"/>
                <w:color w:val="000000"/>
                <w:sz w:val="20"/>
                <w:szCs w:val="20"/>
              </w:rPr>
            </w:pPr>
            <w:r w:rsidRPr="008A08FA">
              <w:rPr>
                <w:rFonts w:ascii="Cambria" w:hAnsi="Cambria"/>
                <w:color w:val="000000"/>
                <w:sz w:val="20"/>
                <w:szCs w:val="20"/>
              </w:rPr>
              <w:t>0.004</w:t>
            </w:r>
          </w:p>
        </w:tc>
      </w:tr>
    </w:tbl>
    <w:p w14:paraId="5BB6FCF3" w14:textId="77777777" w:rsidR="00E1779F" w:rsidRPr="008A08FA" w:rsidRDefault="00E1779F" w:rsidP="008A08FA">
      <w:pPr>
        <w:spacing w:after="120" w:line="480" w:lineRule="auto"/>
        <w:rPr>
          <w:rFonts w:ascii="Cambria" w:hAnsi="Cambria"/>
          <w:lang w:val="en-US"/>
        </w:rPr>
      </w:pPr>
    </w:p>
    <w:p w14:paraId="1612ECAB" w14:textId="77777777" w:rsidR="00E1779F" w:rsidRPr="008A08FA" w:rsidRDefault="00E1779F" w:rsidP="008A08FA">
      <w:pPr>
        <w:spacing w:after="120" w:line="480" w:lineRule="auto"/>
        <w:rPr>
          <w:rFonts w:ascii="Cambria" w:hAnsi="Cambria"/>
        </w:rPr>
      </w:pPr>
    </w:p>
    <w:p w14:paraId="6F0E1AC2" w14:textId="77777777" w:rsidR="00E1779F" w:rsidRPr="008A08FA" w:rsidRDefault="00E1779F" w:rsidP="008A08FA">
      <w:pPr>
        <w:spacing w:after="120" w:line="480" w:lineRule="auto"/>
        <w:rPr>
          <w:rFonts w:ascii="Cambria" w:hAnsi="Cambria"/>
        </w:rPr>
      </w:pPr>
    </w:p>
    <w:p w14:paraId="388562CA" w14:textId="30B89616" w:rsidR="00E1779F" w:rsidRPr="008A08FA" w:rsidRDefault="00E1779F" w:rsidP="008A08FA">
      <w:pPr>
        <w:spacing w:after="120" w:line="480" w:lineRule="auto"/>
        <w:rPr>
          <w:rFonts w:ascii="Cambria" w:hAnsi="Cambria"/>
          <w:b/>
          <w:lang w:val="en-US"/>
        </w:rPr>
      </w:pPr>
      <w:r w:rsidRPr="008A08FA">
        <w:rPr>
          <w:rFonts w:ascii="Cambria" w:hAnsi="Cambria"/>
          <w:b/>
          <w:lang w:val="en-US"/>
        </w:rPr>
        <w:lastRenderedPageBreak/>
        <w:t xml:space="preserve">Table 4:  Adjusted odds ratios for being prescribed an antibiotic for an acute bronchitis for all variables found to be statistically significantly associated with antibiotic </w:t>
      </w:r>
      <w:r w:rsidR="00807826">
        <w:rPr>
          <w:rFonts w:ascii="Cambria" w:hAnsi="Cambria"/>
          <w:b/>
          <w:lang w:val="en-US"/>
        </w:rPr>
        <w:t>use in the univariate analysis</w:t>
      </w:r>
    </w:p>
    <w:p w14:paraId="702B9FAB" w14:textId="77777777" w:rsidR="00E1779F" w:rsidRPr="008A08FA" w:rsidRDefault="00E1779F" w:rsidP="008A08FA">
      <w:pPr>
        <w:spacing w:after="120" w:line="480" w:lineRule="auto"/>
        <w:rPr>
          <w:rFonts w:ascii="Cambria" w:hAnsi="Cambria"/>
          <w:lang w:val="en-US"/>
        </w:rPr>
      </w:pPr>
    </w:p>
    <w:tbl>
      <w:tblPr>
        <w:tblW w:w="0" w:type="auto"/>
        <w:jc w:val="center"/>
        <w:tblLayout w:type="fixed"/>
        <w:tblCellMar>
          <w:left w:w="0" w:type="dxa"/>
          <w:right w:w="0" w:type="dxa"/>
        </w:tblCellMar>
        <w:tblLook w:val="0000" w:firstRow="0" w:lastRow="0" w:firstColumn="0" w:lastColumn="0" w:noHBand="0" w:noVBand="0"/>
      </w:tblPr>
      <w:tblGrid>
        <w:gridCol w:w="3083"/>
        <w:gridCol w:w="2061"/>
        <w:gridCol w:w="2007"/>
        <w:gridCol w:w="992"/>
      </w:tblGrid>
      <w:tr w:rsidR="00E1779F" w:rsidRPr="008A08FA" w14:paraId="42AF7BE1" w14:textId="77777777" w:rsidTr="001D415F">
        <w:trPr>
          <w:cantSplit/>
          <w:tblHeader/>
          <w:jc w:val="center"/>
        </w:trPr>
        <w:tc>
          <w:tcPr>
            <w:tcW w:w="3083" w:type="dxa"/>
            <w:tcBorders>
              <w:top w:val="single" w:sz="6" w:space="0" w:color="000000"/>
              <w:left w:val="single" w:sz="6" w:space="0" w:color="000000"/>
              <w:bottom w:val="single" w:sz="2" w:space="0" w:color="000000"/>
              <w:right w:val="nil"/>
            </w:tcBorders>
            <w:shd w:val="clear" w:color="auto" w:fill="BBBBBB"/>
            <w:tcMar>
              <w:left w:w="60" w:type="dxa"/>
              <w:right w:w="60" w:type="dxa"/>
            </w:tcMar>
            <w:vAlign w:val="bottom"/>
          </w:tcPr>
          <w:p w14:paraId="54995D7A" w14:textId="77777777" w:rsidR="00E1779F" w:rsidRPr="008A08FA" w:rsidRDefault="00E1779F" w:rsidP="00807826">
            <w:pPr>
              <w:keepNext/>
              <w:adjustRightInd w:val="0"/>
              <w:spacing w:before="60" w:after="120" w:line="360" w:lineRule="auto"/>
              <w:jc w:val="center"/>
              <w:rPr>
                <w:rFonts w:ascii="Cambria" w:hAnsi="Cambria"/>
                <w:b/>
                <w:bCs/>
                <w:color w:val="000000"/>
                <w:sz w:val="20"/>
                <w:szCs w:val="20"/>
              </w:rPr>
            </w:pPr>
            <w:r w:rsidRPr="008A08FA">
              <w:rPr>
                <w:rFonts w:ascii="Cambria" w:hAnsi="Cambria"/>
                <w:b/>
                <w:bCs/>
                <w:color w:val="000000"/>
                <w:sz w:val="20"/>
                <w:szCs w:val="20"/>
              </w:rPr>
              <w:t>Characteristic</w:t>
            </w:r>
          </w:p>
        </w:tc>
        <w:tc>
          <w:tcPr>
            <w:tcW w:w="2061"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1AA402FD" w14:textId="77777777" w:rsidR="00E1779F" w:rsidRPr="008A08FA" w:rsidRDefault="00E1779F" w:rsidP="00807826">
            <w:pPr>
              <w:keepNext/>
              <w:adjustRightInd w:val="0"/>
              <w:spacing w:before="60" w:after="120" w:line="360" w:lineRule="auto"/>
              <w:jc w:val="center"/>
              <w:rPr>
                <w:rFonts w:ascii="Cambria" w:hAnsi="Cambria"/>
                <w:b/>
                <w:bCs/>
                <w:color w:val="000000"/>
                <w:sz w:val="20"/>
                <w:szCs w:val="20"/>
              </w:rPr>
            </w:pPr>
          </w:p>
        </w:tc>
        <w:tc>
          <w:tcPr>
            <w:tcW w:w="2007" w:type="dxa"/>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21136C71" w14:textId="77777777" w:rsidR="00E1779F" w:rsidRPr="008A08FA" w:rsidRDefault="00E1779F" w:rsidP="00807826">
            <w:pPr>
              <w:keepNext/>
              <w:adjustRightInd w:val="0"/>
              <w:spacing w:before="60" w:after="120" w:line="360" w:lineRule="auto"/>
              <w:jc w:val="center"/>
              <w:rPr>
                <w:rFonts w:ascii="Cambria" w:hAnsi="Cambria"/>
                <w:b/>
                <w:bCs/>
                <w:color w:val="000000"/>
                <w:sz w:val="20"/>
                <w:szCs w:val="20"/>
              </w:rPr>
            </w:pPr>
            <w:r w:rsidRPr="008A08FA">
              <w:rPr>
                <w:rFonts w:ascii="Cambria" w:hAnsi="Cambria"/>
                <w:b/>
                <w:bCs/>
                <w:color w:val="000000"/>
                <w:sz w:val="20"/>
                <w:szCs w:val="20"/>
              </w:rPr>
              <w:t>Odds ratio (95% CI)</w:t>
            </w:r>
          </w:p>
        </w:tc>
        <w:tc>
          <w:tcPr>
            <w:tcW w:w="992" w:type="dxa"/>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0133FE4D" w14:textId="77777777" w:rsidR="00E1779F" w:rsidRPr="008A08FA" w:rsidRDefault="00E1779F" w:rsidP="00807826">
            <w:pPr>
              <w:keepNext/>
              <w:adjustRightInd w:val="0"/>
              <w:spacing w:before="60" w:after="120" w:line="360" w:lineRule="auto"/>
              <w:jc w:val="center"/>
              <w:rPr>
                <w:rFonts w:ascii="Cambria" w:hAnsi="Cambria"/>
                <w:b/>
                <w:bCs/>
                <w:color w:val="000000"/>
                <w:sz w:val="20"/>
                <w:szCs w:val="20"/>
              </w:rPr>
            </w:pPr>
            <w:r w:rsidRPr="008A08FA">
              <w:rPr>
                <w:rFonts w:ascii="Cambria" w:hAnsi="Cambria"/>
                <w:b/>
                <w:bCs/>
                <w:color w:val="000000"/>
                <w:sz w:val="20"/>
                <w:szCs w:val="20"/>
              </w:rPr>
              <w:t>p-value</w:t>
            </w:r>
          </w:p>
        </w:tc>
      </w:tr>
      <w:tr w:rsidR="00E1779F" w:rsidRPr="008A08FA" w14:paraId="71CEA3F1" w14:textId="77777777" w:rsidTr="001D415F">
        <w:trPr>
          <w:cantSplit/>
          <w:jc w:val="center"/>
        </w:trPr>
        <w:tc>
          <w:tcPr>
            <w:tcW w:w="3083" w:type="dxa"/>
            <w:tcBorders>
              <w:top w:val="nil"/>
              <w:left w:val="single" w:sz="6" w:space="0" w:color="000000"/>
              <w:bottom w:val="single" w:sz="2" w:space="0" w:color="000000"/>
              <w:right w:val="nil"/>
            </w:tcBorders>
            <w:shd w:val="clear" w:color="auto" w:fill="FFFFFF"/>
            <w:tcMar>
              <w:left w:w="60" w:type="dxa"/>
              <w:right w:w="60" w:type="dxa"/>
            </w:tcMar>
          </w:tcPr>
          <w:p w14:paraId="61305183"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Period</w:t>
            </w:r>
          </w:p>
        </w:tc>
        <w:tc>
          <w:tcPr>
            <w:tcW w:w="2061" w:type="dxa"/>
            <w:tcBorders>
              <w:top w:val="nil"/>
              <w:left w:val="single" w:sz="2" w:space="0" w:color="000000"/>
              <w:bottom w:val="single" w:sz="2" w:space="0" w:color="000000"/>
              <w:right w:val="nil"/>
            </w:tcBorders>
            <w:shd w:val="clear" w:color="auto" w:fill="FFFFFF"/>
            <w:tcMar>
              <w:left w:w="60" w:type="dxa"/>
              <w:right w:w="60" w:type="dxa"/>
            </w:tcMar>
          </w:tcPr>
          <w:p w14:paraId="15B3EDAD"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Post</w:t>
            </w:r>
          </w:p>
        </w:tc>
        <w:tc>
          <w:tcPr>
            <w:tcW w:w="2007" w:type="dxa"/>
            <w:tcBorders>
              <w:top w:val="nil"/>
              <w:left w:val="single" w:sz="2" w:space="0" w:color="000000"/>
              <w:bottom w:val="single" w:sz="2" w:space="0" w:color="000000"/>
              <w:right w:val="nil"/>
            </w:tcBorders>
            <w:shd w:val="clear" w:color="auto" w:fill="FFFFFF"/>
            <w:tcMar>
              <w:left w:w="60" w:type="dxa"/>
              <w:right w:w="60" w:type="dxa"/>
            </w:tcMar>
          </w:tcPr>
          <w:p w14:paraId="32B1CC95"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1.43 (0.92 to 2.23)</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A023596"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0.12</w:t>
            </w:r>
          </w:p>
        </w:tc>
      </w:tr>
      <w:tr w:rsidR="00E1779F" w:rsidRPr="008A08FA" w14:paraId="2D3DE7A8" w14:textId="77777777" w:rsidTr="001D415F">
        <w:trPr>
          <w:cantSplit/>
          <w:jc w:val="center"/>
        </w:trPr>
        <w:tc>
          <w:tcPr>
            <w:tcW w:w="3083" w:type="dxa"/>
            <w:tcBorders>
              <w:top w:val="nil"/>
              <w:left w:val="single" w:sz="6" w:space="0" w:color="000000"/>
              <w:bottom w:val="single" w:sz="2" w:space="0" w:color="000000"/>
              <w:right w:val="nil"/>
            </w:tcBorders>
            <w:shd w:val="clear" w:color="auto" w:fill="FFFFFF"/>
            <w:tcMar>
              <w:left w:w="60" w:type="dxa"/>
              <w:right w:w="60" w:type="dxa"/>
            </w:tcMar>
          </w:tcPr>
          <w:p w14:paraId="1F743656"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Treatment</w:t>
            </w:r>
          </w:p>
        </w:tc>
        <w:tc>
          <w:tcPr>
            <w:tcW w:w="2061" w:type="dxa"/>
            <w:tcBorders>
              <w:top w:val="nil"/>
              <w:left w:val="single" w:sz="2" w:space="0" w:color="000000"/>
              <w:bottom w:val="single" w:sz="2" w:space="0" w:color="000000"/>
              <w:right w:val="nil"/>
            </w:tcBorders>
            <w:shd w:val="clear" w:color="auto" w:fill="FFFFFF"/>
            <w:tcMar>
              <w:left w:w="60" w:type="dxa"/>
              <w:right w:w="60" w:type="dxa"/>
            </w:tcMar>
          </w:tcPr>
          <w:p w14:paraId="4855365E"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Intervention</w:t>
            </w:r>
          </w:p>
        </w:tc>
        <w:tc>
          <w:tcPr>
            <w:tcW w:w="2007" w:type="dxa"/>
            <w:tcBorders>
              <w:top w:val="nil"/>
              <w:left w:val="single" w:sz="2" w:space="0" w:color="000000"/>
              <w:bottom w:val="single" w:sz="2" w:space="0" w:color="000000"/>
              <w:right w:val="nil"/>
            </w:tcBorders>
            <w:shd w:val="clear" w:color="auto" w:fill="FFFFFF"/>
            <w:tcMar>
              <w:left w:w="60" w:type="dxa"/>
              <w:right w:w="60" w:type="dxa"/>
            </w:tcMar>
          </w:tcPr>
          <w:p w14:paraId="081385AD"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1.11 (0.79 to 1.56)</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FFBE2EF"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0.55</w:t>
            </w:r>
          </w:p>
        </w:tc>
      </w:tr>
      <w:tr w:rsidR="00E1779F" w:rsidRPr="008A08FA" w14:paraId="11519A70" w14:textId="77777777" w:rsidTr="001D415F">
        <w:trPr>
          <w:cantSplit/>
          <w:jc w:val="center"/>
        </w:trPr>
        <w:tc>
          <w:tcPr>
            <w:tcW w:w="3083" w:type="dxa"/>
            <w:tcBorders>
              <w:top w:val="nil"/>
              <w:left w:val="single" w:sz="6" w:space="0" w:color="000000"/>
              <w:bottom w:val="single" w:sz="2" w:space="0" w:color="000000"/>
              <w:right w:val="nil"/>
            </w:tcBorders>
            <w:shd w:val="clear" w:color="auto" w:fill="FFFFFF"/>
            <w:tcMar>
              <w:left w:w="60" w:type="dxa"/>
              <w:right w:w="60" w:type="dxa"/>
            </w:tcMar>
          </w:tcPr>
          <w:p w14:paraId="3AECE32F" w14:textId="77777777" w:rsidR="00E1779F" w:rsidRPr="008A08FA" w:rsidRDefault="00E1779F" w:rsidP="00807826">
            <w:pPr>
              <w:adjustRightInd w:val="0"/>
              <w:spacing w:before="60" w:after="120" w:line="360" w:lineRule="auto"/>
              <w:rPr>
                <w:rFonts w:ascii="Cambria" w:hAnsi="Cambria"/>
                <w:b/>
                <w:i/>
                <w:color w:val="000000"/>
                <w:sz w:val="20"/>
                <w:szCs w:val="20"/>
              </w:rPr>
            </w:pPr>
            <w:r w:rsidRPr="008A08FA">
              <w:rPr>
                <w:rFonts w:ascii="Cambria" w:hAnsi="Cambria"/>
                <w:b/>
                <w:i/>
                <w:color w:val="000000"/>
                <w:sz w:val="20"/>
                <w:szCs w:val="20"/>
              </w:rPr>
              <w:t>Period by treatment</w:t>
            </w:r>
          </w:p>
        </w:tc>
        <w:tc>
          <w:tcPr>
            <w:tcW w:w="2061" w:type="dxa"/>
            <w:tcBorders>
              <w:top w:val="nil"/>
              <w:left w:val="single" w:sz="2" w:space="0" w:color="000000"/>
              <w:bottom w:val="single" w:sz="2" w:space="0" w:color="000000"/>
              <w:right w:val="nil"/>
            </w:tcBorders>
            <w:shd w:val="clear" w:color="auto" w:fill="FFFFFF"/>
            <w:tcMar>
              <w:left w:w="60" w:type="dxa"/>
              <w:right w:w="60" w:type="dxa"/>
            </w:tcMar>
          </w:tcPr>
          <w:p w14:paraId="2CD46308" w14:textId="77777777" w:rsidR="00E1779F" w:rsidRPr="008A08FA" w:rsidRDefault="00E1779F" w:rsidP="00807826">
            <w:pPr>
              <w:adjustRightInd w:val="0"/>
              <w:spacing w:before="60" w:after="120" w:line="360" w:lineRule="auto"/>
              <w:rPr>
                <w:rFonts w:ascii="Cambria" w:hAnsi="Cambria"/>
                <w:b/>
                <w:i/>
                <w:color w:val="000000"/>
                <w:sz w:val="20"/>
                <w:szCs w:val="20"/>
              </w:rPr>
            </w:pPr>
            <w:r w:rsidRPr="008A08FA">
              <w:rPr>
                <w:rFonts w:ascii="Cambria" w:hAnsi="Cambria"/>
                <w:b/>
                <w:i/>
                <w:color w:val="000000"/>
                <w:sz w:val="20"/>
                <w:szCs w:val="20"/>
              </w:rPr>
              <w:t>Post-intervention</w:t>
            </w:r>
          </w:p>
        </w:tc>
        <w:tc>
          <w:tcPr>
            <w:tcW w:w="2007" w:type="dxa"/>
            <w:tcBorders>
              <w:top w:val="nil"/>
              <w:left w:val="single" w:sz="2" w:space="0" w:color="000000"/>
              <w:bottom w:val="single" w:sz="2" w:space="0" w:color="000000"/>
              <w:right w:val="nil"/>
            </w:tcBorders>
            <w:shd w:val="clear" w:color="auto" w:fill="FFFFFF"/>
            <w:tcMar>
              <w:left w:w="60" w:type="dxa"/>
              <w:right w:w="60" w:type="dxa"/>
            </w:tcMar>
          </w:tcPr>
          <w:p w14:paraId="6AE80564" w14:textId="77777777" w:rsidR="00E1779F" w:rsidRPr="008A08FA" w:rsidRDefault="00E1779F" w:rsidP="00807826">
            <w:pPr>
              <w:adjustRightInd w:val="0"/>
              <w:spacing w:before="60" w:after="120" w:line="360" w:lineRule="auto"/>
              <w:jc w:val="center"/>
              <w:rPr>
                <w:rFonts w:ascii="Cambria" w:hAnsi="Cambria"/>
                <w:b/>
                <w:i/>
                <w:color w:val="000000"/>
                <w:sz w:val="20"/>
                <w:szCs w:val="20"/>
              </w:rPr>
            </w:pPr>
            <w:r w:rsidRPr="008A08FA">
              <w:rPr>
                <w:rFonts w:ascii="Cambria" w:hAnsi="Cambria"/>
                <w:b/>
                <w:i/>
                <w:color w:val="000000"/>
                <w:sz w:val="20"/>
                <w:szCs w:val="20"/>
              </w:rPr>
              <w:t>0.47 (0.23 to 0.96)</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223C536" w14:textId="77777777" w:rsidR="00E1779F" w:rsidRPr="008A08FA" w:rsidRDefault="00E1779F" w:rsidP="00807826">
            <w:pPr>
              <w:adjustRightInd w:val="0"/>
              <w:spacing w:before="60" w:after="120" w:line="360" w:lineRule="auto"/>
              <w:jc w:val="center"/>
              <w:rPr>
                <w:rFonts w:ascii="Cambria" w:hAnsi="Cambria"/>
                <w:b/>
                <w:i/>
                <w:color w:val="000000"/>
                <w:sz w:val="20"/>
                <w:szCs w:val="20"/>
              </w:rPr>
            </w:pPr>
            <w:r w:rsidRPr="008A08FA">
              <w:rPr>
                <w:rFonts w:ascii="Cambria" w:hAnsi="Cambria"/>
                <w:b/>
                <w:i/>
                <w:color w:val="000000"/>
                <w:sz w:val="20"/>
                <w:szCs w:val="20"/>
              </w:rPr>
              <w:t>0.040</w:t>
            </w:r>
          </w:p>
        </w:tc>
      </w:tr>
      <w:tr w:rsidR="00E1779F" w:rsidRPr="008A08FA" w14:paraId="193D1306" w14:textId="77777777" w:rsidTr="001D415F">
        <w:trPr>
          <w:cantSplit/>
          <w:jc w:val="center"/>
        </w:trPr>
        <w:tc>
          <w:tcPr>
            <w:tcW w:w="3083" w:type="dxa"/>
            <w:tcBorders>
              <w:top w:val="nil"/>
              <w:left w:val="single" w:sz="6" w:space="0" w:color="000000"/>
              <w:bottom w:val="single" w:sz="2" w:space="0" w:color="000000"/>
              <w:right w:val="nil"/>
            </w:tcBorders>
            <w:shd w:val="clear" w:color="auto" w:fill="FFFFFF"/>
            <w:tcMar>
              <w:left w:w="60" w:type="dxa"/>
              <w:right w:w="60" w:type="dxa"/>
            </w:tcMar>
          </w:tcPr>
          <w:p w14:paraId="31F7C346"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Patients age group</w:t>
            </w:r>
          </w:p>
        </w:tc>
        <w:tc>
          <w:tcPr>
            <w:tcW w:w="2061" w:type="dxa"/>
            <w:tcBorders>
              <w:top w:val="nil"/>
              <w:left w:val="single" w:sz="2" w:space="0" w:color="000000"/>
              <w:bottom w:val="single" w:sz="2" w:space="0" w:color="000000"/>
              <w:right w:val="nil"/>
            </w:tcBorders>
            <w:shd w:val="clear" w:color="auto" w:fill="FFFFFF"/>
            <w:tcMar>
              <w:left w:w="60" w:type="dxa"/>
              <w:right w:w="60" w:type="dxa"/>
            </w:tcMar>
          </w:tcPr>
          <w:p w14:paraId="090B256E"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&lt;5</w:t>
            </w:r>
          </w:p>
        </w:tc>
        <w:tc>
          <w:tcPr>
            <w:tcW w:w="2007" w:type="dxa"/>
            <w:tcBorders>
              <w:top w:val="nil"/>
              <w:left w:val="single" w:sz="2" w:space="0" w:color="000000"/>
              <w:bottom w:val="single" w:sz="2" w:space="0" w:color="000000"/>
              <w:right w:val="nil"/>
            </w:tcBorders>
            <w:shd w:val="clear" w:color="auto" w:fill="FFFFFF"/>
            <w:tcMar>
              <w:left w:w="60" w:type="dxa"/>
              <w:right w:w="60" w:type="dxa"/>
            </w:tcMar>
          </w:tcPr>
          <w:p w14:paraId="0BA7AE01"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Referent</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ACB02F4" w14:textId="77777777" w:rsidR="00E1779F" w:rsidRPr="008A08FA" w:rsidRDefault="00E1779F" w:rsidP="00807826">
            <w:pPr>
              <w:adjustRightInd w:val="0"/>
              <w:spacing w:before="60" w:after="120" w:line="360" w:lineRule="auto"/>
              <w:jc w:val="center"/>
              <w:rPr>
                <w:rFonts w:ascii="Cambria" w:hAnsi="Cambria"/>
                <w:color w:val="000000"/>
                <w:sz w:val="20"/>
                <w:szCs w:val="20"/>
              </w:rPr>
            </w:pPr>
          </w:p>
        </w:tc>
      </w:tr>
      <w:tr w:rsidR="00E1779F" w:rsidRPr="008A08FA" w14:paraId="434829D3" w14:textId="77777777" w:rsidTr="001D415F">
        <w:trPr>
          <w:cantSplit/>
          <w:jc w:val="center"/>
        </w:trPr>
        <w:tc>
          <w:tcPr>
            <w:tcW w:w="3083" w:type="dxa"/>
            <w:tcBorders>
              <w:top w:val="nil"/>
              <w:left w:val="single" w:sz="6" w:space="0" w:color="000000"/>
              <w:bottom w:val="single" w:sz="2" w:space="0" w:color="000000"/>
              <w:right w:val="nil"/>
            </w:tcBorders>
            <w:shd w:val="clear" w:color="auto" w:fill="FFFFFF"/>
            <w:tcMar>
              <w:left w:w="60" w:type="dxa"/>
              <w:right w:w="60" w:type="dxa"/>
            </w:tcMar>
          </w:tcPr>
          <w:p w14:paraId="570F927D" w14:textId="77777777" w:rsidR="00E1779F" w:rsidRPr="008A08FA" w:rsidRDefault="00E1779F" w:rsidP="00807826">
            <w:pPr>
              <w:adjustRightInd w:val="0"/>
              <w:spacing w:before="60" w:after="120" w:line="360" w:lineRule="auto"/>
              <w:jc w:val="center"/>
              <w:rPr>
                <w:rFonts w:ascii="Cambria" w:hAnsi="Cambria"/>
                <w:color w:val="000000"/>
                <w:sz w:val="20"/>
                <w:szCs w:val="20"/>
              </w:rPr>
            </w:pPr>
          </w:p>
        </w:tc>
        <w:tc>
          <w:tcPr>
            <w:tcW w:w="2061" w:type="dxa"/>
            <w:tcBorders>
              <w:top w:val="nil"/>
              <w:left w:val="single" w:sz="2" w:space="0" w:color="000000"/>
              <w:bottom w:val="single" w:sz="2" w:space="0" w:color="000000"/>
              <w:right w:val="nil"/>
            </w:tcBorders>
            <w:shd w:val="clear" w:color="auto" w:fill="FFFFFF"/>
            <w:tcMar>
              <w:left w:w="60" w:type="dxa"/>
              <w:right w:w="60" w:type="dxa"/>
            </w:tcMar>
          </w:tcPr>
          <w:p w14:paraId="0B739FED"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15 to &lt;25</w:t>
            </w:r>
          </w:p>
        </w:tc>
        <w:tc>
          <w:tcPr>
            <w:tcW w:w="2007" w:type="dxa"/>
            <w:tcBorders>
              <w:top w:val="nil"/>
              <w:left w:val="single" w:sz="2" w:space="0" w:color="000000"/>
              <w:bottom w:val="single" w:sz="2" w:space="0" w:color="000000"/>
              <w:right w:val="nil"/>
            </w:tcBorders>
            <w:shd w:val="clear" w:color="auto" w:fill="FFFFFF"/>
            <w:tcMar>
              <w:left w:w="60" w:type="dxa"/>
              <w:right w:w="60" w:type="dxa"/>
            </w:tcMar>
          </w:tcPr>
          <w:p w14:paraId="6DCB0AC1"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5.15 (2.86  to 9.28)</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1688F24"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&lt;.001</w:t>
            </w:r>
          </w:p>
        </w:tc>
      </w:tr>
      <w:tr w:rsidR="00E1779F" w:rsidRPr="008A08FA" w14:paraId="397085AB" w14:textId="77777777" w:rsidTr="001D415F">
        <w:trPr>
          <w:cantSplit/>
          <w:jc w:val="center"/>
        </w:trPr>
        <w:tc>
          <w:tcPr>
            <w:tcW w:w="3083" w:type="dxa"/>
            <w:tcBorders>
              <w:top w:val="nil"/>
              <w:left w:val="single" w:sz="6" w:space="0" w:color="000000"/>
              <w:bottom w:val="single" w:sz="2" w:space="0" w:color="000000"/>
              <w:right w:val="nil"/>
            </w:tcBorders>
            <w:shd w:val="clear" w:color="auto" w:fill="FFFFFF"/>
            <w:tcMar>
              <w:left w:w="60" w:type="dxa"/>
              <w:right w:w="60" w:type="dxa"/>
            </w:tcMar>
          </w:tcPr>
          <w:p w14:paraId="42796403" w14:textId="77777777" w:rsidR="00E1779F" w:rsidRPr="008A08FA" w:rsidRDefault="00E1779F" w:rsidP="00807826">
            <w:pPr>
              <w:adjustRightInd w:val="0"/>
              <w:spacing w:before="60" w:after="120" w:line="360" w:lineRule="auto"/>
              <w:jc w:val="center"/>
              <w:rPr>
                <w:rFonts w:ascii="Cambria" w:hAnsi="Cambria"/>
                <w:color w:val="000000"/>
                <w:sz w:val="20"/>
                <w:szCs w:val="20"/>
              </w:rPr>
            </w:pPr>
          </w:p>
        </w:tc>
        <w:tc>
          <w:tcPr>
            <w:tcW w:w="2061" w:type="dxa"/>
            <w:tcBorders>
              <w:top w:val="nil"/>
              <w:left w:val="single" w:sz="2" w:space="0" w:color="000000"/>
              <w:bottom w:val="single" w:sz="2" w:space="0" w:color="000000"/>
              <w:right w:val="nil"/>
            </w:tcBorders>
            <w:shd w:val="clear" w:color="auto" w:fill="FFFFFF"/>
            <w:tcMar>
              <w:left w:w="60" w:type="dxa"/>
              <w:right w:w="60" w:type="dxa"/>
            </w:tcMar>
          </w:tcPr>
          <w:p w14:paraId="45FE9132"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25 to &lt;45</w:t>
            </w:r>
          </w:p>
        </w:tc>
        <w:tc>
          <w:tcPr>
            <w:tcW w:w="2007" w:type="dxa"/>
            <w:tcBorders>
              <w:top w:val="nil"/>
              <w:left w:val="single" w:sz="2" w:space="0" w:color="000000"/>
              <w:bottom w:val="single" w:sz="2" w:space="0" w:color="000000"/>
              <w:right w:val="nil"/>
            </w:tcBorders>
            <w:shd w:val="clear" w:color="auto" w:fill="FFFFFF"/>
            <w:tcMar>
              <w:left w:w="60" w:type="dxa"/>
              <w:right w:w="60" w:type="dxa"/>
            </w:tcMar>
          </w:tcPr>
          <w:p w14:paraId="5214F74A"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5.77 (3.12  to 10.6 )</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95FC0B5"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&lt;.001</w:t>
            </w:r>
          </w:p>
        </w:tc>
      </w:tr>
      <w:tr w:rsidR="00E1779F" w:rsidRPr="008A08FA" w14:paraId="13804890" w14:textId="77777777" w:rsidTr="001D415F">
        <w:trPr>
          <w:cantSplit/>
          <w:jc w:val="center"/>
        </w:trPr>
        <w:tc>
          <w:tcPr>
            <w:tcW w:w="3083" w:type="dxa"/>
            <w:tcBorders>
              <w:top w:val="nil"/>
              <w:left w:val="single" w:sz="6" w:space="0" w:color="000000"/>
              <w:bottom w:val="single" w:sz="2" w:space="0" w:color="000000"/>
              <w:right w:val="nil"/>
            </w:tcBorders>
            <w:shd w:val="clear" w:color="auto" w:fill="FFFFFF"/>
            <w:tcMar>
              <w:left w:w="60" w:type="dxa"/>
              <w:right w:w="60" w:type="dxa"/>
            </w:tcMar>
          </w:tcPr>
          <w:p w14:paraId="2CC4C784" w14:textId="77777777" w:rsidR="00E1779F" w:rsidRPr="008A08FA" w:rsidRDefault="00E1779F" w:rsidP="00807826">
            <w:pPr>
              <w:adjustRightInd w:val="0"/>
              <w:spacing w:before="60" w:after="120" w:line="360" w:lineRule="auto"/>
              <w:jc w:val="center"/>
              <w:rPr>
                <w:rFonts w:ascii="Cambria" w:hAnsi="Cambria"/>
                <w:color w:val="000000"/>
                <w:sz w:val="20"/>
                <w:szCs w:val="20"/>
              </w:rPr>
            </w:pPr>
          </w:p>
        </w:tc>
        <w:tc>
          <w:tcPr>
            <w:tcW w:w="2061" w:type="dxa"/>
            <w:tcBorders>
              <w:top w:val="nil"/>
              <w:left w:val="single" w:sz="2" w:space="0" w:color="000000"/>
              <w:bottom w:val="single" w:sz="2" w:space="0" w:color="000000"/>
              <w:right w:val="nil"/>
            </w:tcBorders>
            <w:shd w:val="clear" w:color="auto" w:fill="FFFFFF"/>
            <w:tcMar>
              <w:left w:w="60" w:type="dxa"/>
              <w:right w:w="60" w:type="dxa"/>
            </w:tcMar>
          </w:tcPr>
          <w:p w14:paraId="1426D6FE"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45 to &lt;65</w:t>
            </w:r>
          </w:p>
        </w:tc>
        <w:tc>
          <w:tcPr>
            <w:tcW w:w="2007" w:type="dxa"/>
            <w:tcBorders>
              <w:top w:val="nil"/>
              <w:left w:val="single" w:sz="2" w:space="0" w:color="000000"/>
              <w:bottom w:val="single" w:sz="2" w:space="0" w:color="000000"/>
              <w:right w:val="nil"/>
            </w:tcBorders>
            <w:shd w:val="clear" w:color="auto" w:fill="FFFFFF"/>
            <w:tcMar>
              <w:left w:w="60" w:type="dxa"/>
              <w:right w:w="60" w:type="dxa"/>
            </w:tcMar>
          </w:tcPr>
          <w:p w14:paraId="31127F0E"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4.09 (2.65  to 6.29 )</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A0F914"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&lt;.001</w:t>
            </w:r>
          </w:p>
        </w:tc>
      </w:tr>
      <w:tr w:rsidR="00E1779F" w:rsidRPr="008A08FA" w14:paraId="284AC0ED" w14:textId="77777777" w:rsidTr="001D415F">
        <w:trPr>
          <w:cantSplit/>
          <w:jc w:val="center"/>
        </w:trPr>
        <w:tc>
          <w:tcPr>
            <w:tcW w:w="3083" w:type="dxa"/>
            <w:tcBorders>
              <w:top w:val="nil"/>
              <w:left w:val="single" w:sz="6" w:space="0" w:color="000000"/>
              <w:bottom w:val="single" w:sz="2" w:space="0" w:color="000000"/>
              <w:right w:val="nil"/>
            </w:tcBorders>
            <w:shd w:val="clear" w:color="auto" w:fill="FFFFFF"/>
            <w:tcMar>
              <w:left w:w="60" w:type="dxa"/>
              <w:right w:w="60" w:type="dxa"/>
            </w:tcMar>
          </w:tcPr>
          <w:p w14:paraId="3B6C7D0D" w14:textId="77777777" w:rsidR="00E1779F" w:rsidRPr="008A08FA" w:rsidRDefault="00E1779F" w:rsidP="00807826">
            <w:pPr>
              <w:adjustRightInd w:val="0"/>
              <w:spacing w:before="60" w:after="120" w:line="360" w:lineRule="auto"/>
              <w:jc w:val="center"/>
              <w:rPr>
                <w:rFonts w:ascii="Cambria" w:hAnsi="Cambria"/>
                <w:color w:val="000000"/>
                <w:sz w:val="20"/>
                <w:szCs w:val="20"/>
              </w:rPr>
            </w:pPr>
          </w:p>
        </w:tc>
        <w:tc>
          <w:tcPr>
            <w:tcW w:w="2061" w:type="dxa"/>
            <w:tcBorders>
              <w:top w:val="nil"/>
              <w:left w:val="single" w:sz="2" w:space="0" w:color="000000"/>
              <w:bottom w:val="single" w:sz="2" w:space="0" w:color="000000"/>
              <w:right w:val="nil"/>
            </w:tcBorders>
            <w:shd w:val="clear" w:color="auto" w:fill="FFFFFF"/>
            <w:tcMar>
              <w:left w:w="60" w:type="dxa"/>
              <w:right w:w="60" w:type="dxa"/>
            </w:tcMar>
          </w:tcPr>
          <w:p w14:paraId="4C06332A"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5 to &lt;15</w:t>
            </w:r>
          </w:p>
        </w:tc>
        <w:tc>
          <w:tcPr>
            <w:tcW w:w="2007" w:type="dxa"/>
            <w:tcBorders>
              <w:top w:val="nil"/>
              <w:left w:val="single" w:sz="2" w:space="0" w:color="000000"/>
              <w:bottom w:val="single" w:sz="2" w:space="0" w:color="000000"/>
              <w:right w:val="nil"/>
            </w:tcBorders>
            <w:shd w:val="clear" w:color="auto" w:fill="FFFFFF"/>
            <w:tcMar>
              <w:left w:w="60" w:type="dxa"/>
              <w:right w:w="60" w:type="dxa"/>
            </w:tcMar>
          </w:tcPr>
          <w:p w14:paraId="24E5AB20"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5.64 (3.71  to 8.57 )</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9E2AE70"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&lt;.001</w:t>
            </w:r>
          </w:p>
        </w:tc>
      </w:tr>
      <w:tr w:rsidR="00E1779F" w:rsidRPr="008A08FA" w14:paraId="7E973A74" w14:textId="77777777" w:rsidTr="001D415F">
        <w:trPr>
          <w:cantSplit/>
          <w:jc w:val="center"/>
        </w:trPr>
        <w:tc>
          <w:tcPr>
            <w:tcW w:w="3083" w:type="dxa"/>
            <w:tcBorders>
              <w:top w:val="nil"/>
              <w:left w:val="single" w:sz="6" w:space="0" w:color="000000"/>
              <w:bottom w:val="single" w:sz="2" w:space="0" w:color="000000"/>
              <w:right w:val="nil"/>
            </w:tcBorders>
            <w:shd w:val="clear" w:color="auto" w:fill="FFFFFF"/>
            <w:tcMar>
              <w:left w:w="60" w:type="dxa"/>
              <w:right w:w="60" w:type="dxa"/>
            </w:tcMar>
          </w:tcPr>
          <w:p w14:paraId="56D80D74" w14:textId="77777777" w:rsidR="00E1779F" w:rsidRPr="008A08FA" w:rsidRDefault="00E1779F" w:rsidP="00807826">
            <w:pPr>
              <w:adjustRightInd w:val="0"/>
              <w:spacing w:before="60" w:after="120" w:line="360" w:lineRule="auto"/>
              <w:jc w:val="center"/>
              <w:rPr>
                <w:rFonts w:ascii="Cambria" w:hAnsi="Cambria"/>
                <w:color w:val="000000"/>
                <w:sz w:val="20"/>
                <w:szCs w:val="20"/>
              </w:rPr>
            </w:pPr>
          </w:p>
        </w:tc>
        <w:tc>
          <w:tcPr>
            <w:tcW w:w="2061" w:type="dxa"/>
            <w:tcBorders>
              <w:top w:val="nil"/>
              <w:left w:val="single" w:sz="2" w:space="0" w:color="000000"/>
              <w:bottom w:val="single" w:sz="2" w:space="0" w:color="000000"/>
              <w:right w:val="nil"/>
            </w:tcBorders>
            <w:shd w:val="clear" w:color="auto" w:fill="FFFFFF"/>
            <w:tcMar>
              <w:left w:w="60" w:type="dxa"/>
              <w:right w:w="60" w:type="dxa"/>
            </w:tcMar>
          </w:tcPr>
          <w:p w14:paraId="3988EE50"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&gt;=65</w:t>
            </w:r>
          </w:p>
        </w:tc>
        <w:tc>
          <w:tcPr>
            <w:tcW w:w="2007" w:type="dxa"/>
            <w:tcBorders>
              <w:top w:val="nil"/>
              <w:left w:val="single" w:sz="2" w:space="0" w:color="000000"/>
              <w:bottom w:val="single" w:sz="2" w:space="0" w:color="000000"/>
              <w:right w:val="nil"/>
            </w:tcBorders>
            <w:shd w:val="clear" w:color="auto" w:fill="FFFFFF"/>
            <w:tcMar>
              <w:left w:w="60" w:type="dxa"/>
              <w:right w:w="60" w:type="dxa"/>
            </w:tcMar>
          </w:tcPr>
          <w:p w14:paraId="552B3E5D"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5.67 (3.62  to 8.87 )</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70464AD"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&lt;.001</w:t>
            </w:r>
          </w:p>
        </w:tc>
      </w:tr>
      <w:tr w:rsidR="00E1779F" w:rsidRPr="008A08FA" w14:paraId="4DC4E1EB" w14:textId="77777777" w:rsidTr="001D415F">
        <w:trPr>
          <w:cantSplit/>
          <w:jc w:val="center"/>
        </w:trPr>
        <w:tc>
          <w:tcPr>
            <w:tcW w:w="3083" w:type="dxa"/>
            <w:tcBorders>
              <w:top w:val="nil"/>
              <w:left w:val="single" w:sz="6" w:space="0" w:color="000000"/>
              <w:bottom w:val="single" w:sz="2" w:space="0" w:color="000000"/>
              <w:right w:val="nil"/>
            </w:tcBorders>
            <w:shd w:val="clear" w:color="auto" w:fill="FFFFFF"/>
            <w:tcMar>
              <w:left w:w="60" w:type="dxa"/>
              <w:right w:w="60" w:type="dxa"/>
            </w:tcMar>
          </w:tcPr>
          <w:p w14:paraId="0AAA6CDB"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Is it a new problem</w:t>
            </w:r>
          </w:p>
        </w:tc>
        <w:tc>
          <w:tcPr>
            <w:tcW w:w="2061" w:type="dxa"/>
            <w:tcBorders>
              <w:top w:val="nil"/>
              <w:left w:val="single" w:sz="2" w:space="0" w:color="000000"/>
              <w:bottom w:val="single" w:sz="2" w:space="0" w:color="000000"/>
              <w:right w:val="nil"/>
            </w:tcBorders>
            <w:shd w:val="clear" w:color="auto" w:fill="FFFFFF"/>
            <w:tcMar>
              <w:left w:w="60" w:type="dxa"/>
              <w:right w:w="60" w:type="dxa"/>
            </w:tcMar>
          </w:tcPr>
          <w:p w14:paraId="471EB2A6"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No</w:t>
            </w:r>
          </w:p>
        </w:tc>
        <w:tc>
          <w:tcPr>
            <w:tcW w:w="2007" w:type="dxa"/>
            <w:tcBorders>
              <w:top w:val="nil"/>
              <w:left w:val="single" w:sz="2" w:space="0" w:color="000000"/>
              <w:bottom w:val="single" w:sz="2" w:space="0" w:color="000000"/>
              <w:right w:val="nil"/>
            </w:tcBorders>
            <w:shd w:val="clear" w:color="auto" w:fill="FFFFFF"/>
            <w:tcMar>
              <w:left w:w="60" w:type="dxa"/>
              <w:right w:w="60" w:type="dxa"/>
            </w:tcMar>
          </w:tcPr>
          <w:p w14:paraId="7FB860C5"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Referent</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6556EE" w14:textId="77777777" w:rsidR="00E1779F" w:rsidRPr="008A08FA" w:rsidRDefault="00E1779F" w:rsidP="00807826">
            <w:pPr>
              <w:adjustRightInd w:val="0"/>
              <w:spacing w:before="60" w:after="120" w:line="360" w:lineRule="auto"/>
              <w:jc w:val="center"/>
              <w:rPr>
                <w:rFonts w:ascii="Cambria" w:hAnsi="Cambria"/>
                <w:color w:val="000000"/>
                <w:sz w:val="20"/>
                <w:szCs w:val="20"/>
              </w:rPr>
            </w:pPr>
          </w:p>
        </w:tc>
      </w:tr>
      <w:tr w:rsidR="00E1779F" w:rsidRPr="008A08FA" w14:paraId="511CACCF" w14:textId="77777777" w:rsidTr="001D415F">
        <w:trPr>
          <w:cantSplit/>
          <w:jc w:val="center"/>
        </w:trPr>
        <w:tc>
          <w:tcPr>
            <w:tcW w:w="3083" w:type="dxa"/>
            <w:tcBorders>
              <w:top w:val="single" w:sz="2" w:space="0" w:color="000000"/>
              <w:left w:val="single" w:sz="6" w:space="0" w:color="000000"/>
              <w:bottom w:val="single" w:sz="2" w:space="0" w:color="000000"/>
              <w:right w:val="nil"/>
            </w:tcBorders>
            <w:shd w:val="clear" w:color="auto" w:fill="FFFFFF"/>
            <w:tcMar>
              <w:left w:w="60" w:type="dxa"/>
              <w:right w:w="60" w:type="dxa"/>
            </w:tcMar>
          </w:tcPr>
          <w:p w14:paraId="151BDF12" w14:textId="77777777" w:rsidR="00E1779F" w:rsidRPr="008A08FA" w:rsidRDefault="00E1779F" w:rsidP="00807826">
            <w:pPr>
              <w:adjustRightInd w:val="0"/>
              <w:spacing w:before="60" w:after="120" w:line="360" w:lineRule="auto"/>
              <w:rPr>
                <w:rFonts w:ascii="Cambria" w:hAnsi="Cambria"/>
                <w:color w:val="000000"/>
                <w:sz w:val="20"/>
                <w:szCs w:val="20"/>
              </w:rPr>
            </w:pPr>
          </w:p>
        </w:tc>
        <w:tc>
          <w:tcPr>
            <w:tcW w:w="2061"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69498230"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Yes</w:t>
            </w:r>
          </w:p>
        </w:tc>
        <w:tc>
          <w:tcPr>
            <w:tcW w:w="2007"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441464AC"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2.74 (1.95 to 3.85)</w:t>
            </w:r>
          </w:p>
        </w:tc>
        <w:tc>
          <w:tcPr>
            <w:tcW w:w="992"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5D66F047"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&lt;.001</w:t>
            </w:r>
          </w:p>
        </w:tc>
      </w:tr>
      <w:tr w:rsidR="00E1779F" w:rsidRPr="008A08FA" w14:paraId="0E22CC04" w14:textId="77777777" w:rsidTr="001D415F">
        <w:trPr>
          <w:cantSplit/>
          <w:jc w:val="center"/>
        </w:trPr>
        <w:tc>
          <w:tcPr>
            <w:tcW w:w="3083" w:type="dxa"/>
            <w:tcBorders>
              <w:top w:val="single" w:sz="2" w:space="0" w:color="000000"/>
              <w:left w:val="single" w:sz="6" w:space="0" w:color="000000"/>
              <w:bottom w:val="single" w:sz="2" w:space="0" w:color="000000"/>
              <w:right w:val="nil"/>
            </w:tcBorders>
            <w:shd w:val="clear" w:color="auto" w:fill="FFFFFF"/>
            <w:tcMar>
              <w:left w:w="60" w:type="dxa"/>
              <w:right w:w="60" w:type="dxa"/>
            </w:tcMar>
          </w:tcPr>
          <w:p w14:paraId="541E52F2"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New patient to practice or registrar</w:t>
            </w:r>
          </w:p>
        </w:tc>
        <w:tc>
          <w:tcPr>
            <w:tcW w:w="2061"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2A60EE46"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No</w:t>
            </w:r>
          </w:p>
        </w:tc>
        <w:tc>
          <w:tcPr>
            <w:tcW w:w="2007"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63A1BD88"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Referent</w:t>
            </w:r>
          </w:p>
        </w:tc>
        <w:tc>
          <w:tcPr>
            <w:tcW w:w="992"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4EF0FCE5" w14:textId="77777777" w:rsidR="00E1779F" w:rsidRPr="008A08FA" w:rsidRDefault="00E1779F" w:rsidP="00807826">
            <w:pPr>
              <w:adjustRightInd w:val="0"/>
              <w:spacing w:before="60" w:after="120" w:line="360" w:lineRule="auto"/>
              <w:jc w:val="center"/>
              <w:rPr>
                <w:rFonts w:ascii="Cambria" w:hAnsi="Cambria"/>
                <w:color w:val="000000"/>
                <w:sz w:val="20"/>
                <w:szCs w:val="20"/>
              </w:rPr>
            </w:pPr>
          </w:p>
        </w:tc>
      </w:tr>
      <w:tr w:rsidR="00E1779F" w:rsidRPr="008A08FA" w14:paraId="11327538" w14:textId="77777777" w:rsidTr="001D415F">
        <w:trPr>
          <w:cantSplit/>
          <w:jc w:val="center"/>
        </w:trPr>
        <w:tc>
          <w:tcPr>
            <w:tcW w:w="3083" w:type="dxa"/>
            <w:tcBorders>
              <w:top w:val="single" w:sz="2" w:space="0" w:color="000000"/>
              <w:left w:val="single" w:sz="6" w:space="0" w:color="000000"/>
              <w:bottom w:val="single" w:sz="2" w:space="0" w:color="000000"/>
              <w:right w:val="nil"/>
            </w:tcBorders>
            <w:shd w:val="clear" w:color="auto" w:fill="FFFFFF"/>
            <w:tcMar>
              <w:left w:w="60" w:type="dxa"/>
              <w:right w:w="60" w:type="dxa"/>
            </w:tcMar>
          </w:tcPr>
          <w:p w14:paraId="67F95B5D" w14:textId="77777777" w:rsidR="00E1779F" w:rsidRPr="008A08FA" w:rsidRDefault="00E1779F" w:rsidP="00807826">
            <w:pPr>
              <w:adjustRightInd w:val="0"/>
              <w:spacing w:before="60" w:after="120" w:line="360" w:lineRule="auto"/>
              <w:jc w:val="center"/>
              <w:rPr>
                <w:rFonts w:ascii="Cambria" w:hAnsi="Cambria"/>
                <w:color w:val="000000"/>
                <w:sz w:val="20"/>
                <w:szCs w:val="20"/>
              </w:rPr>
            </w:pPr>
          </w:p>
        </w:tc>
        <w:tc>
          <w:tcPr>
            <w:tcW w:w="2061"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6432FB8A" w14:textId="77777777" w:rsidR="00E1779F" w:rsidRPr="008A08FA" w:rsidRDefault="00E1779F" w:rsidP="00807826">
            <w:pPr>
              <w:adjustRightInd w:val="0"/>
              <w:spacing w:before="60" w:after="120" w:line="360" w:lineRule="auto"/>
              <w:rPr>
                <w:rFonts w:ascii="Cambria" w:hAnsi="Cambria"/>
                <w:color w:val="000000"/>
                <w:sz w:val="20"/>
                <w:szCs w:val="20"/>
              </w:rPr>
            </w:pPr>
            <w:r w:rsidRPr="008A08FA">
              <w:rPr>
                <w:rFonts w:ascii="Cambria" w:hAnsi="Cambria"/>
                <w:color w:val="000000"/>
                <w:sz w:val="20"/>
                <w:szCs w:val="20"/>
              </w:rPr>
              <w:t>New patient to registrar</w:t>
            </w:r>
          </w:p>
        </w:tc>
        <w:tc>
          <w:tcPr>
            <w:tcW w:w="2007" w:type="dxa"/>
            <w:tcBorders>
              <w:top w:val="single" w:sz="2" w:space="0" w:color="000000"/>
              <w:left w:val="single" w:sz="2" w:space="0" w:color="000000"/>
              <w:bottom w:val="single" w:sz="2" w:space="0" w:color="000000"/>
              <w:right w:val="nil"/>
            </w:tcBorders>
            <w:shd w:val="clear" w:color="auto" w:fill="FFFFFF"/>
            <w:tcMar>
              <w:left w:w="60" w:type="dxa"/>
              <w:right w:w="60" w:type="dxa"/>
            </w:tcMar>
          </w:tcPr>
          <w:p w14:paraId="12E8C789"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1.17 (0.87 to 1.58)</w:t>
            </w:r>
          </w:p>
        </w:tc>
        <w:tc>
          <w:tcPr>
            <w:tcW w:w="992" w:type="dxa"/>
            <w:tcBorders>
              <w:top w:val="single" w:sz="2" w:space="0" w:color="000000"/>
              <w:left w:val="single" w:sz="2" w:space="0" w:color="000000"/>
              <w:bottom w:val="single" w:sz="2" w:space="0" w:color="000000"/>
              <w:right w:val="single" w:sz="6" w:space="0" w:color="000000"/>
            </w:tcBorders>
            <w:shd w:val="clear" w:color="auto" w:fill="FFFFFF"/>
            <w:tcMar>
              <w:left w:w="60" w:type="dxa"/>
              <w:right w:w="60" w:type="dxa"/>
            </w:tcMar>
          </w:tcPr>
          <w:p w14:paraId="073B838D" w14:textId="77777777" w:rsidR="00E1779F" w:rsidRPr="008A08FA" w:rsidRDefault="00E1779F" w:rsidP="00807826">
            <w:pPr>
              <w:adjustRightInd w:val="0"/>
              <w:spacing w:before="60" w:after="120" w:line="360" w:lineRule="auto"/>
              <w:jc w:val="center"/>
              <w:rPr>
                <w:rFonts w:ascii="Cambria" w:hAnsi="Cambria"/>
                <w:color w:val="000000"/>
                <w:sz w:val="20"/>
                <w:szCs w:val="20"/>
              </w:rPr>
            </w:pPr>
            <w:r w:rsidRPr="008A08FA">
              <w:rPr>
                <w:rFonts w:ascii="Cambria" w:hAnsi="Cambria"/>
                <w:color w:val="000000"/>
                <w:sz w:val="20"/>
                <w:szCs w:val="20"/>
              </w:rPr>
              <w:t>0.28</w:t>
            </w:r>
          </w:p>
        </w:tc>
      </w:tr>
    </w:tbl>
    <w:p w14:paraId="2D13BC5C" w14:textId="77777777" w:rsidR="00A95853" w:rsidRDefault="00A95853" w:rsidP="00A95853">
      <w:pPr>
        <w:spacing w:after="120" w:line="480" w:lineRule="auto"/>
        <w:jc w:val="both"/>
        <w:rPr>
          <w:rFonts w:ascii="Cambria" w:hAnsi="Cambria"/>
          <w:sz w:val="20"/>
          <w:szCs w:val="20"/>
          <w:lang w:val="en-US"/>
        </w:rPr>
      </w:pPr>
    </w:p>
    <w:p w14:paraId="57C79346" w14:textId="77777777" w:rsidR="00E1779F" w:rsidRPr="008A08FA" w:rsidRDefault="00E1779F" w:rsidP="00A95853">
      <w:pPr>
        <w:spacing w:after="120" w:line="480" w:lineRule="auto"/>
        <w:jc w:val="both"/>
        <w:rPr>
          <w:rFonts w:ascii="Cambria" w:hAnsi="Cambria"/>
          <w:sz w:val="20"/>
          <w:szCs w:val="20"/>
          <w:lang w:val="en-US"/>
        </w:rPr>
      </w:pPr>
      <w:r w:rsidRPr="008A08FA">
        <w:rPr>
          <w:rFonts w:ascii="Cambria" w:hAnsi="Cambria"/>
          <w:sz w:val="20"/>
          <w:szCs w:val="20"/>
          <w:lang w:val="en-US"/>
        </w:rPr>
        <w:t>Note: The variable ‘is new to practice/registrar’ had to be removed from the model due to collinearity.</w:t>
      </w:r>
    </w:p>
    <w:p w14:paraId="1E69CB89" w14:textId="77777777" w:rsidR="00E1779F" w:rsidRPr="008A08FA" w:rsidRDefault="00E1779F" w:rsidP="008A08FA">
      <w:pPr>
        <w:spacing w:after="120" w:line="480" w:lineRule="auto"/>
        <w:rPr>
          <w:rFonts w:ascii="Cambria" w:hAnsi="Cambria"/>
          <w:lang w:val="en-US"/>
        </w:rPr>
      </w:pPr>
    </w:p>
    <w:p w14:paraId="61864ED6" w14:textId="1E249E59" w:rsidR="00E1779F" w:rsidRPr="008A08FA" w:rsidRDefault="00E1779F" w:rsidP="008A08FA">
      <w:pPr>
        <w:spacing w:after="120" w:line="480" w:lineRule="auto"/>
        <w:rPr>
          <w:rFonts w:ascii="Cambria" w:hAnsi="Cambria"/>
          <w:b/>
        </w:rPr>
      </w:pPr>
      <w:r w:rsidRPr="008A08FA">
        <w:rPr>
          <w:rFonts w:ascii="Cambria" w:hAnsi="Cambria"/>
          <w:b/>
          <w:lang w:val="en-US"/>
        </w:rPr>
        <w:lastRenderedPageBreak/>
        <w:t xml:space="preserve">Supplementary Table 1:  </w:t>
      </w:r>
      <w:r w:rsidRPr="008A08FA">
        <w:rPr>
          <w:rFonts w:ascii="Cambria" w:hAnsi="Cambria"/>
          <w:b/>
        </w:rPr>
        <w:t>Odds ratios (95% Confidence intervals) and p-values from the interaction term in the logistic regression model for acute bronchitis/bronchiolitis when the analyses are restricted by round of data</w:t>
      </w:r>
      <w:r w:rsidR="00A95853">
        <w:rPr>
          <w:rFonts w:ascii="Cambria" w:hAnsi="Cambria"/>
          <w:b/>
        </w:rPr>
        <w:t xml:space="preserve"> collection in the </w:t>
      </w:r>
      <w:proofErr w:type="spellStart"/>
      <w:r w:rsidR="00A95853">
        <w:rPr>
          <w:rFonts w:ascii="Cambria" w:hAnsi="Cambria"/>
          <w:b/>
        </w:rPr>
        <w:t>ReCEnT</w:t>
      </w:r>
      <w:proofErr w:type="spellEnd"/>
      <w:r w:rsidR="00A95853">
        <w:rPr>
          <w:rFonts w:ascii="Cambria" w:hAnsi="Cambria"/>
          <w:b/>
        </w:rPr>
        <w:t xml:space="preserve"> study</w:t>
      </w:r>
    </w:p>
    <w:p w14:paraId="788B5057" w14:textId="77777777" w:rsidR="00E1779F" w:rsidRPr="008A08FA" w:rsidRDefault="00E1779F" w:rsidP="008A08FA">
      <w:pPr>
        <w:spacing w:after="120" w:line="480" w:lineRule="auto"/>
        <w:rPr>
          <w:rFonts w:ascii="Cambria" w:hAnsi="Cambria"/>
        </w:rPr>
      </w:pPr>
    </w:p>
    <w:tbl>
      <w:tblPr>
        <w:tblW w:w="0" w:type="auto"/>
        <w:jc w:val="center"/>
        <w:tblLayout w:type="fixed"/>
        <w:tblCellMar>
          <w:left w:w="0" w:type="dxa"/>
          <w:right w:w="0" w:type="dxa"/>
        </w:tblCellMar>
        <w:tblLook w:val="04A0" w:firstRow="1" w:lastRow="0" w:firstColumn="1" w:lastColumn="0" w:noHBand="0" w:noVBand="1"/>
      </w:tblPr>
      <w:tblGrid>
        <w:gridCol w:w="1985"/>
        <w:gridCol w:w="5103"/>
      </w:tblGrid>
      <w:tr w:rsidR="00E1779F" w:rsidRPr="008A08FA" w14:paraId="0FAD8354" w14:textId="77777777" w:rsidTr="001D415F">
        <w:trPr>
          <w:cantSplit/>
          <w:trHeight w:val="567"/>
          <w:tblHeader/>
          <w:jc w:val="center"/>
        </w:trPr>
        <w:tc>
          <w:tcPr>
            <w:tcW w:w="1985" w:type="dxa"/>
            <w:tcBorders>
              <w:top w:val="single" w:sz="6" w:space="0" w:color="000000"/>
              <w:left w:val="single" w:sz="2" w:space="0" w:color="000000"/>
              <w:bottom w:val="single" w:sz="6" w:space="0" w:color="000000"/>
              <w:right w:val="nil"/>
            </w:tcBorders>
            <w:shd w:val="clear" w:color="auto" w:fill="BBBBBB"/>
            <w:tcMar>
              <w:top w:w="0" w:type="dxa"/>
              <w:left w:w="60" w:type="dxa"/>
              <w:bottom w:w="0" w:type="dxa"/>
              <w:right w:w="60" w:type="dxa"/>
            </w:tcMar>
          </w:tcPr>
          <w:p w14:paraId="13960954"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Rounds included in the analysis</w:t>
            </w:r>
          </w:p>
        </w:tc>
        <w:tc>
          <w:tcPr>
            <w:tcW w:w="5103" w:type="dxa"/>
            <w:tcBorders>
              <w:top w:val="single" w:sz="6" w:space="0" w:color="000000"/>
              <w:left w:val="single" w:sz="2" w:space="0" w:color="000000"/>
              <w:bottom w:val="single" w:sz="6" w:space="0" w:color="000000"/>
              <w:right w:val="single" w:sz="6" w:space="0" w:color="000000"/>
            </w:tcBorders>
            <w:shd w:val="clear" w:color="auto" w:fill="BBBBBB"/>
            <w:tcMar>
              <w:top w:w="0" w:type="dxa"/>
              <w:left w:w="60" w:type="dxa"/>
              <w:bottom w:w="0" w:type="dxa"/>
              <w:right w:w="60" w:type="dxa"/>
            </w:tcMar>
          </w:tcPr>
          <w:p w14:paraId="7DF08865" w14:textId="77777777" w:rsidR="00E1779F" w:rsidRPr="008A08FA" w:rsidRDefault="00E1779F" w:rsidP="008A08FA">
            <w:pPr>
              <w:keepNext/>
              <w:adjustRightInd w:val="0"/>
              <w:spacing w:before="60" w:after="120" w:line="480" w:lineRule="auto"/>
              <w:jc w:val="center"/>
              <w:rPr>
                <w:rFonts w:ascii="Cambria" w:hAnsi="Cambria"/>
                <w:b/>
                <w:bCs/>
                <w:color w:val="000000"/>
                <w:sz w:val="20"/>
                <w:szCs w:val="20"/>
              </w:rPr>
            </w:pPr>
            <w:r w:rsidRPr="008A08FA">
              <w:rPr>
                <w:rFonts w:ascii="Cambria" w:hAnsi="Cambria"/>
                <w:b/>
                <w:bCs/>
                <w:color w:val="000000"/>
                <w:sz w:val="20"/>
                <w:szCs w:val="20"/>
              </w:rPr>
              <w:t>Odds ratios (95% Confidence Intervals); p-value</w:t>
            </w:r>
          </w:p>
        </w:tc>
      </w:tr>
      <w:tr w:rsidR="00E1779F" w:rsidRPr="008A08FA" w14:paraId="7F44095F" w14:textId="77777777" w:rsidTr="001D415F">
        <w:trPr>
          <w:cantSplit/>
          <w:jc w:val="center"/>
        </w:trPr>
        <w:tc>
          <w:tcPr>
            <w:tcW w:w="1985" w:type="dxa"/>
            <w:tcBorders>
              <w:top w:val="single" w:sz="6" w:space="0" w:color="000000"/>
              <w:left w:val="single" w:sz="2" w:space="0" w:color="000000"/>
              <w:bottom w:val="single" w:sz="2" w:space="0" w:color="000000"/>
              <w:right w:val="nil"/>
            </w:tcBorders>
            <w:shd w:val="clear" w:color="auto" w:fill="FFFFFF"/>
            <w:tcMar>
              <w:top w:w="0" w:type="dxa"/>
              <w:left w:w="60" w:type="dxa"/>
              <w:bottom w:w="0" w:type="dxa"/>
              <w:right w:w="60" w:type="dxa"/>
            </w:tcMar>
            <w:hideMark/>
          </w:tcPr>
          <w:p w14:paraId="0E93F214"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6-11</w:t>
            </w:r>
          </w:p>
        </w:tc>
        <w:tc>
          <w:tcPr>
            <w:tcW w:w="5103" w:type="dxa"/>
            <w:tcBorders>
              <w:top w:val="single" w:sz="6" w:space="0" w:color="000000"/>
              <w:left w:val="single" w:sz="2" w:space="0" w:color="000000"/>
              <w:bottom w:val="single" w:sz="2" w:space="0" w:color="000000"/>
              <w:right w:val="single" w:sz="6" w:space="0" w:color="000000"/>
            </w:tcBorders>
            <w:shd w:val="clear" w:color="auto" w:fill="FFFFFF"/>
            <w:tcMar>
              <w:top w:w="0" w:type="dxa"/>
              <w:left w:w="60" w:type="dxa"/>
              <w:bottom w:w="0" w:type="dxa"/>
              <w:right w:w="60" w:type="dxa"/>
            </w:tcMar>
          </w:tcPr>
          <w:p w14:paraId="5CBAA475"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0.46 (0.23 to 0.90); 0.024</w:t>
            </w:r>
          </w:p>
        </w:tc>
      </w:tr>
      <w:tr w:rsidR="00E1779F" w:rsidRPr="008A08FA" w14:paraId="5B355EE5" w14:textId="77777777" w:rsidTr="001D415F">
        <w:trPr>
          <w:cantSplit/>
          <w:jc w:val="center"/>
        </w:trPr>
        <w:tc>
          <w:tcPr>
            <w:tcW w:w="1985" w:type="dxa"/>
            <w:tcBorders>
              <w:top w:val="nil"/>
              <w:left w:val="single" w:sz="2" w:space="0" w:color="000000"/>
              <w:bottom w:val="single" w:sz="2" w:space="0" w:color="000000"/>
              <w:right w:val="nil"/>
            </w:tcBorders>
            <w:shd w:val="clear" w:color="auto" w:fill="FFFFFF"/>
            <w:tcMar>
              <w:top w:w="0" w:type="dxa"/>
              <w:left w:w="60" w:type="dxa"/>
              <w:bottom w:w="0" w:type="dxa"/>
              <w:right w:w="60" w:type="dxa"/>
            </w:tcMar>
          </w:tcPr>
          <w:p w14:paraId="70287ECA"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7-11</w:t>
            </w:r>
          </w:p>
        </w:tc>
        <w:tc>
          <w:tcPr>
            <w:tcW w:w="5103" w:type="dxa"/>
            <w:tcBorders>
              <w:top w:val="nil"/>
              <w:left w:val="single" w:sz="2" w:space="0" w:color="000000"/>
              <w:bottom w:val="single" w:sz="2" w:space="0" w:color="000000"/>
              <w:right w:val="single" w:sz="6" w:space="0" w:color="000000"/>
            </w:tcBorders>
            <w:shd w:val="clear" w:color="auto" w:fill="FFFFFF"/>
            <w:tcMar>
              <w:top w:w="0" w:type="dxa"/>
              <w:left w:w="60" w:type="dxa"/>
              <w:bottom w:w="0" w:type="dxa"/>
              <w:right w:w="60" w:type="dxa"/>
            </w:tcMar>
          </w:tcPr>
          <w:p w14:paraId="5C950032"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0.46 (0.23 to 0.92); 0.028</w:t>
            </w:r>
          </w:p>
        </w:tc>
      </w:tr>
      <w:tr w:rsidR="00E1779F" w:rsidRPr="008A08FA" w14:paraId="0F388E47" w14:textId="77777777" w:rsidTr="001D415F">
        <w:trPr>
          <w:cantSplit/>
          <w:jc w:val="center"/>
        </w:trPr>
        <w:tc>
          <w:tcPr>
            <w:tcW w:w="1985" w:type="dxa"/>
            <w:tcBorders>
              <w:top w:val="nil"/>
              <w:left w:val="single" w:sz="2" w:space="0" w:color="000000"/>
              <w:bottom w:val="single" w:sz="2" w:space="0" w:color="000000"/>
              <w:right w:val="nil"/>
            </w:tcBorders>
            <w:shd w:val="clear" w:color="auto" w:fill="FFFFFF"/>
            <w:tcMar>
              <w:top w:w="0" w:type="dxa"/>
              <w:left w:w="60" w:type="dxa"/>
              <w:bottom w:w="0" w:type="dxa"/>
              <w:right w:w="60" w:type="dxa"/>
            </w:tcMar>
          </w:tcPr>
          <w:p w14:paraId="29866424"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8-11</w:t>
            </w:r>
          </w:p>
        </w:tc>
        <w:tc>
          <w:tcPr>
            <w:tcW w:w="5103" w:type="dxa"/>
            <w:tcBorders>
              <w:top w:val="nil"/>
              <w:left w:val="single" w:sz="2" w:space="0" w:color="000000"/>
              <w:bottom w:val="single" w:sz="2" w:space="0" w:color="000000"/>
              <w:right w:val="single" w:sz="6" w:space="0" w:color="000000"/>
            </w:tcBorders>
            <w:shd w:val="clear" w:color="auto" w:fill="FFFFFF"/>
            <w:tcMar>
              <w:top w:w="0" w:type="dxa"/>
              <w:left w:w="60" w:type="dxa"/>
              <w:bottom w:w="0" w:type="dxa"/>
              <w:right w:w="60" w:type="dxa"/>
            </w:tcMar>
          </w:tcPr>
          <w:p w14:paraId="23BC709A"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0.46 (0.23 to 0.94); 0.033</w:t>
            </w:r>
          </w:p>
        </w:tc>
      </w:tr>
      <w:tr w:rsidR="00E1779F" w:rsidRPr="008A08FA" w14:paraId="2B837E8E" w14:textId="77777777" w:rsidTr="001D415F">
        <w:trPr>
          <w:cantSplit/>
          <w:jc w:val="center"/>
        </w:trPr>
        <w:tc>
          <w:tcPr>
            <w:tcW w:w="1985" w:type="dxa"/>
            <w:tcBorders>
              <w:top w:val="nil"/>
              <w:left w:val="single" w:sz="2" w:space="0" w:color="000000"/>
              <w:bottom w:val="single" w:sz="2" w:space="0" w:color="000000"/>
              <w:right w:val="nil"/>
            </w:tcBorders>
            <w:shd w:val="clear" w:color="auto" w:fill="FFFFFF"/>
            <w:tcMar>
              <w:top w:w="0" w:type="dxa"/>
              <w:left w:w="60" w:type="dxa"/>
              <w:bottom w:w="0" w:type="dxa"/>
              <w:right w:w="60" w:type="dxa"/>
            </w:tcMar>
          </w:tcPr>
          <w:p w14:paraId="07B6F477"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9-11</w:t>
            </w:r>
          </w:p>
        </w:tc>
        <w:tc>
          <w:tcPr>
            <w:tcW w:w="5103" w:type="dxa"/>
            <w:tcBorders>
              <w:top w:val="nil"/>
              <w:left w:val="single" w:sz="2" w:space="0" w:color="000000"/>
              <w:bottom w:val="single" w:sz="2" w:space="0" w:color="000000"/>
              <w:right w:val="single" w:sz="6" w:space="0" w:color="000000"/>
            </w:tcBorders>
            <w:shd w:val="clear" w:color="auto" w:fill="FFFFFF"/>
            <w:tcMar>
              <w:top w:w="0" w:type="dxa"/>
              <w:left w:w="60" w:type="dxa"/>
              <w:bottom w:w="0" w:type="dxa"/>
              <w:right w:w="60" w:type="dxa"/>
            </w:tcMar>
          </w:tcPr>
          <w:p w14:paraId="10CD3553" w14:textId="77777777" w:rsidR="00E1779F" w:rsidRPr="008A08FA" w:rsidRDefault="00E1779F" w:rsidP="008A08FA">
            <w:pPr>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0.41 (0.20 to 0.86); 0.018</w:t>
            </w:r>
          </w:p>
        </w:tc>
      </w:tr>
      <w:tr w:rsidR="00E1779F" w:rsidRPr="008A08FA" w14:paraId="483360FA" w14:textId="77777777" w:rsidTr="001D415F">
        <w:trPr>
          <w:cantSplit/>
          <w:jc w:val="center"/>
        </w:trPr>
        <w:tc>
          <w:tcPr>
            <w:tcW w:w="1985" w:type="dxa"/>
            <w:tcBorders>
              <w:top w:val="nil"/>
              <w:left w:val="single" w:sz="2" w:space="0" w:color="000000"/>
              <w:bottom w:val="single" w:sz="2" w:space="0" w:color="000000"/>
              <w:right w:val="nil"/>
            </w:tcBorders>
            <w:shd w:val="clear" w:color="auto" w:fill="FFFFFF"/>
            <w:tcMar>
              <w:top w:w="0" w:type="dxa"/>
              <w:left w:w="60" w:type="dxa"/>
              <w:bottom w:w="0" w:type="dxa"/>
              <w:right w:w="60" w:type="dxa"/>
            </w:tcMar>
          </w:tcPr>
          <w:p w14:paraId="6E9AD969" w14:textId="77777777" w:rsidR="00E1779F" w:rsidRPr="008A08FA" w:rsidRDefault="00E1779F" w:rsidP="008A08FA">
            <w:pPr>
              <w:keepNext/>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10-11</w:t>
            </w:r>
          </w:p>
        </w:tc>
        <w:tc>
          <w:tcPr>
            <w:tcW w:w="5103" w:type="dxa"/>
            <w:tcBorders>
              <w:top w:val="nil"/>
              <w:left w:val="single" w:sz="2" w:space="0" w:color="000000"/>
              <w:bottom w:val="single" w:sz="2" w:space="0" w:color="000000"/>
              <w:right w:val="single" w:sz="6" w:space="0" w:color="000000"/>
            </w:tcBorders>
            <w:shd w:val="clear" w:color="auto" w:fill="FFFFFF"/>
            <w:tcMar>
              <w:top w:w="0" w:type="dxa"/>
              <w:left w:w="60" w:type="dxa"/>
              <w:bottom w:w="0" w:type="dxa"/>
              <w:right w:w="60" w:type="dxa"/>
            </w:tcMar>
          </w:tcPr>
          <w:p w14:paraId="45938A74" w14:textId="77777777" w:rsidR="00E1779F" w:rsidRPr="008A08FA" w:rsidRDefault="00E1779F" w:rsidP="008A08FA">
            <w:pPr>
              <w:keepNext/>
              <w:adjustRightInd w:val="0"/>
              <w:spacing w:before="60" w:after="120" w:line="480" w:lineRule="auto"/>
              <w:jc w:val="center"/>
              <w:rPr>
                <w:rFonts w:ascii="Cambria" w:hAnsi="Cambria"/>
                <w:color w:val="000000"/>
                <w:sz w:val="20"/>
                <w:szCs w:val="20"/>
              </w:rPr>
            </w:pPr>
            <w:r w:rsidRPr="008A08FA">
              <w:rPr>
                <w:rFonts w:ascii="Cambria" w:hAnsi="Cambria"/>
                <w:color w:val="000000"/>
                <w:sz w:val="20"/>
                <w:szCs w:val="20"/>
              </w:rPr>
              <w:t>0.45 (0.19 to 1.07); 0.070</w:t>
            </w:r>
          </w:p>
        </w:tc>
      </w:tr>
    </w:tbl>
    <w:p w14:paraId="761C32AE" w14:textId="77777777" w:rsidR="00E1779F" w:rsidRPr="008A08FA" w:rsidRDefault="00E1779F" w:rsidP="008A08FA">
      <w:pPr>
        <w:spacing w:after="120" w:line="480" w:lineRule="auto"/>
        <w:rPr>
          <w:rFonts w:ascii="Cambria" w:hAnsi="Cambria"/>
          <w:lang w:val="en-US"/>
        </w:rPr>
      </w:pPr>
    </w:p>
    <w:p w14:paraId="32D13193" w14:textId="77777777" w:rsidR="00E1779F" w:rsidRPr="008A08FA" w:rsidRDefault="00E1779F" w:rsidP="008A08FA">
      <w:pPr>
        <w:spacing w:after="120" w:line="480" w:lineRule="auto"/>
        <w:rPr>
          <w:rFonts w:ascii="Cambria" w:hAnsi="Cambria"/>
          <w:lang w:val="en-US"/>
        </w:rPr>
      </w:pPr>
    </w:p>
    <w:p w14:paraId="1E67B1B1" w14:textId="77777777" w:rsidR="00E1779F" w:rsidRPr="008A08FA" w:rsidRDefault="00E1779F" w:rsidP="008A08FA">
      <w:pPr>
        <w:spacing w:after="120" w:line="480" w:lineRule="auto"/>
        <w:rPr>
          <w:rFonts w:ascii="Cambria" w:hAnsi="Cambria"/>
          <w:lang w:val="en-US"/>
        </w:rPr>
      </w:pPr>
    </w:p>
    <w:p w14:paraId="0B188C40" w14:textId="77777777" w:rsidR="00D676CE" w:rsidRPr="008A08FA" w:rsidRDefault="00D676CE" w:rsidP="008A08FA">
      <w:pPr>
        <w:spacing w:after="120" w:line="480" w:lineRule="auto"/>
        <w:rPr>
          <w:rFonts w:ascii="Cambria" w:hAnsi="Cambria"/>
        </w:rPr>
      </w:pPr>
    </w:p>
    <w:sectPr w:rsidR="00D676CE" w:rsidRPr="008A08FA" w:rsidSect="00A8647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90594" w14:textId="77777777" w:rsidR="00223728" w:rsidRDefault="00223728">
      <w:pPr>
        <w:spacing w:after="0" w:line="240" w:lineRule="auto"/>
      </w:pPr>
      <w:r>
        <w:separator/>
      </w:r>
    </w:p>
  </w:endnote>
  <w:endnote w:type="continuationSeparator" w:id="0">
    <w:p w14:paraId="1F15B19E" w14:textId="77777777" w:rsidR="00223728" w:rsidRDefault="0022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535833"/>
      <w:docPartObj>
        <w:docPartGallery w:val="Page Numbers (Bottom of Page)"/>
        <w:docPartUnique/>
      </w:docPartObj>
    </w:sdtPr>
    <w:sdtEndPr>
      <w:rPr>
        <w:noProof/>
      </w:rPr>
    </w:sdtEndPr>
    <w:sdtContent>
      <w:p w14:paraId="48F5A155" w14:textId="77777777" w:rsidR="00A5350E" w:rsidRDefault="00A5350E">
        <w:pPr>
          <w:pStyle w:val="Footer"/>
          <w:jc w:val="right"/>
        </w:pPr>
        <w:r>
          <w:fldChar w:fldCharType="begin"/>
        </w:r>
        <w:r>
          <w:instrText xml:space="preserve"> PAGE   \* MERGEFORMAT </w:instrText>
        </w:r>
        <w:r>
          <w:fldChar w:fldCharType="separate"/>
        </w:r>
        <w:r w:rsidR="00D7474F">
          <w:rPr>
            <w:noProof/>
          </w:rPr>
          <w:t>21</w:t>
        </w:r>
        <w:r>
          <w:rPr>
            <w:noProof/>
          </w:rPr>
          <w:fldChar w:fldCharType="end"/>
        </w:r>
      </w:p>
    </w:sdtContent>
  </w:sdt>
  <w:p w14:paraId="123B0C27" w14:textId="77777777" w:rsidR="00A5350E" w:rsidRDefault="00A5350E">
    <w:pPr>
      <w:pStyle w:val="Footer"/>
    </w:pPr>
  </w:p>
  <w:p w14:paraId="7E4DF893" w14:textId="77777777" w:rsidR="00A5350E" w:rsidRDefault="00A5350E"/>
  <w:p w14:paraId="10461964" w14:textId="77777777" w:rsidR="00A5350E" w:rsidRDefault="00A5350E" w:rsidP="008A08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942F6" w14:textId="77777777" w:rsidR="00223728" w:rsidRDefault="00223728">
      <w:pPr>
        <w:spacing w:after="0" w:line="240" w:lineRule="auto"/>
      </w:pPr>
      <w:r>
        <w:separator/>
      </w:r>
    </w:p>
  </w:footnote>
  <w:footnote w:type="continuationSeparator" w:id="0">
    <w:p w14:paraId="4BAA1B40" w14:textId="77777777" w:rsidR="00223728" w:rsidRDefault="00223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D6ECC"/>
    <w:multiLevelType w:val="hybridMultilevel"/>
    <w:tmpl w:val="69D229DA"/>
    <w:lvl w:ilvl="0" w:tplc="0C090001">
      <w:numFmt w:val="bullet"/>
      <w:pStyle w:val="Style1"/>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E612A0"/>
    <w:multiLevelType w:val="hybridMultilevel"/>
    <w:tmpl w:val="87A2C9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374F17D8"/>
    <w:multiLevelType w:val="hybridMultilevel"/>
    <w:tmpl w:val="8FA2BE9E"/>
    <w:lvl w:ilvl="0" w:tplc="3AD461E8">
      <w:start w:val="1"/>
      <w:numFmt w:val="lowerRoman"/>
      <w:lvlText w:val="%1)"/>
      <w:lvlJc w:val="left"/>
      <w:pPr>
        <w:ind w:left="770" w:hanging="72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3" w15:restartNumberingAfterBreak="0">
    <w:nsid w:val="5472586C"/>
    <w:multiLevelType w:val="hybridMultilevel"/>
    <w:tmpl w:val="BDBEAAC8"/>
    <w:lvl w:ilvl="0" w:tplc="3328FBF8">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1779F"/>
    <w:rsid w:val="001D415F"/>
    <w:rsid w:val="001D586E"/>
    <w:rsid w:val="00223728"/>
    <w:rsid w:val="00355DA0"/>
    <w:rsid w:val="004C4B83"/>
    <w:rsid w:val="004F585D"/>
    <w:rsid w:val="00507D09"/>
    <w:rsid w:val="005736ED"/>
    <w:rsid w:val="006433C8"/>
    <w:rsid w:val="00645459"/>
    <w:rsid w:val="00646361"/>
    <w:rsid w:val="006E5935"/>
    <w:rsid w:val="00705EDD"/>
    <w:rsid w:val="007A4496"/>
    <w:rsid w:val="00807826"/>
    <w:rsid w:val="0083609A"/>
    <w:rsid w:val="0088772E"/>
    <w:rsid w:val="008A08FA"/>
    <w:rsid w:val="00A4249B"/>
    <w:rsid w:val="00A5350E"/>
    <w:rsid w:val="00A86474"/>
    <w:rsid w:val="00A95853"/>
    <w:rsid w:val="00AB4DA7"/>
    <w:rsid w:val="00AC3CFB"/>
    <w:rsid w:val="00B0753D"/>
    <w:rsid w:val="00BB54C2"/>
    <w:rsid w:val="00BE2A27"/>
    <w:rsid w:val="00C367E3"/>
    <w:rsid w:val="00C416C1"/>
    <w:rsid w:val="00C871B8"/>
    <w:rsid w:val="00CE36A7"/>
    <w:rsid w:val="00D676CE"/>
    <w:rsid w:val="00D7474F"/>
    <w:rsid w:val="00E1779F"/>
    <w:rsid w:val="00F87B26"/>
    <w:rsid w:val="00F94A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B655B"/>
  <w14:defaultImageDpi w14:val="300"/>
  <w15:docId w15:val="{89336016-251C-43BB-8089-9F2E2635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F"/>
    <w:pPr>
      <w:spacing w:after="200" w:line="276" w:lineRule="auto"/>
    </w:pPr>
    <w:rPr>
      <w:rFonts w:eastAsiaTheme="minorHAnsi"/>
      <w:sz w:val="22"/>
      <w:szCs w:val="22"/>
      <w:lang w:val="en-AU" w:eastAsia="en-US"/>
    </w:rPr>
  </w:style>
  <w:style w:type="paragraph" w:styleId="Heading1">
    <w:name w:val="heading 1"/>
    <w:basedOn w:val="Normal"/>
    <w:next w:val="Normal"/>
    <w:link w:val="Heading1Char"/>
    <w:uiPriority w:val="9"/>
    <w:qFormat/>
    <w:rsid w:val="00E177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9F"/>
    <w:rPr>
      <w:rFonts w:asciiTheme="majorHAnsi" w:eastAsiaTheme="majorEastAsia" w:hAnsiTheme="majorHAnsi" w:cstheme="majorBidi"/>
      <w:color w:val="365F91" w:themeColor="accent1" w:themeShade="BF"/>
      <w:sz w:val="32"/>
      <w:szCs w:val="32"/>
      <w:lang w:val="en-AU" w:eastAsia="en-US"/>
    </w:rPr>
  </w:style>
  <w:style w:type="paragraph" w:styleId="BalloonText">
    <w:name w:val="Balloon Text"/>
    <w:basedOn w:val="Normal"/>
    <w:link w:val="BalloonTextChar"/>
    <w:uiPriority w:val="99"/>
    <w:semiHidden/>
    <w:unhideWhenUsed/>
    <w:rsid w:val="00E17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79F"/>
    <w:rPr>
      <w:rFonts w:ascii="Tahoma" w:eastAsiaTheme="minorHAnsi" w:hAnsi="Tahoma" w:cs="Tahoma"/>
      <w:sz w:val="16"/>
      <w:szCs w:val="16"/>
      <w:lang w:val="en-AU" w:eastAsia="en-US"/>
    </w:rPr>
  </w:style>
  <w:style w:type="paragraph" w:customStyle="1" w:styleId="Artikel-ondertitels">
    <w:name w:val="Artikel - ondertitels"/>
    <w:basedOn w:val="Normal"/>
    <w:link w:val="Artikel-ondertitelsChar"/>
    <w:autoRedefine/>
    <w:qFormat/>
    <w:rsid w:val="004F585D"/>
    <w:pPr>
      <w:spacing w:before="240" w:line="480" w:lineRule="auto"/>
    </w:pPr>
    <w:rPr>
      <w:rFonts w:ascii="Arial" w:hAnsi="Arial" w:cs="Arial"/>
      <w:b/>
      <w:szCs w:val="18"/>
    </w:rPr>
  </w:style>
  <w:style w:type="character" w:customStyle="1" w:styleId="Artikel-ondertitelsChar">
    <w:name w:val="Artikel - ondertitels Char"/>
    <w:basedOn w:val="DefaultParagraphFont"/>
    <w:link w:val="Artikel-ondertitels"/>
    <w:rsid w:val="004F585D"/>
    <w:rPr>
      <w:rFonts w:ascii="Arial" w:eastAsia="Times New Roman" w:hAnsi="Arial" w:cs="Arial"/>
      <w:b/>
      <w:sz w:val="22"/>
      <w:szCs w:val="18"/>
      <w:lang w:val="en-GB" w:eastAsia="en-US"/>
    </w:rPr>
  </w:style>
  <w:style w:type="paragraph" w:customStyle="1" w:styleId="Style1">
    <w:name w:val="Style1"/>
    <w:basedOn w:val="Normal"/>
    <w:link w:val="Style1Char"/>
    <w:autoRedefine/>
    <w:qFormat/>
    <w:rsid w:val="004F585D"/>
    <w:pPr>
      <w:numPr>
        <w:numId w:val="2"/>
      </w:numPr>
      <w:spacing w:line="480" w:lineRule="auto"/>
    </w:pPr>
    <w:rPr>
      <w:rFonts w:ascii="Arial" w:hAnsi="Arial"/>
      <w:b/>
      <w:szCs w:val="18"/>
    </w:rPr>
  </w:style>
  <w:style w:type="character" w:customStyle="1" w:styleId="Style1Char">
    <w:name w:val="Style1 Char"/>
    <w:basedOn w:val="DefaultParagraphFont"/>
    <w:link w:val="Style1"/>
    <w:rsid w:val="004F585D"/>
    <w:rPr>
      <w:rFonts w:ascii="Arial" w:eastAsia="Times New Roman" w:hAnsi="Arial"/>
      <w:b/>
      <w:sz w:val="22"/>
      <w:szCs w:val="18"/>
      <w:lang w:val="en-GB" w:eastAsia="en-US"/>
    </w:rPr>
  </w:style>
  <w:style w:type="paragraph" w:customStyle="1" w:styleId="THESIStekst">
    <w:name w:val="THESIS tekst"/>
    <w:basedOn w:val="Normal"/>
    <w:link w:val="THESIStekstChar"/>
    <w:autoRedefine/>
    <w:qFormat/>
    <w:rsid w:val="00A4249B"/>
    <w:pPr>
      <w:spacing w:after="120"/>
      <w:jc w:val="both"/>
    </w:pPr>
    <w:rPr>
      <w:szCs w:val="18"/>
    </w:rPr>
  </w:style>
  <w:style w:type="character" w:customStyle="1" w:styleId="THESIStekstChar">
    <w:name w:val="THESIS tekst Char"/>
    <w:basedOn w:val="DefaultParagraphFont"/>
    <w:link w:val="THESIStekst"/>
    <w:rsid w:val="00A4249B"/>
    <w:rPr>
      <w:rFonts w:ascii="Times New Roman" w:eastAsia="Times New Roman" w:hAnsi="Times New Roman" w:cs="Times New Roman"/>
      <w:szCs w:val="18"/>
      <w:lang w:val="en-GB" w:eastAsia="en-US"/>
    </w:rPr>
  </w:style>
  <w:style w:type="character" w:styleId="Hyperlink">
    <w:name w:val="Hyperlink"/>
    <w:basedOn w:val="DefaultParagraphFont"/>
    <w:uiPriority w:val="99"/>
    <w:unhideWhenUsed/>
    <w:rsid w:val="00E1779F"/>
    <w:rPr>
      <w:color w:val="0000FF" w:themeColor="hyperlink"/>
      <w:u w:val="single"/>
    </w:rPr>
  </w:style>
  <w:style w:type="character" w:styleId="CommentReference">
    <w:name w:val="annotation reference"/>
    <w:basedOn w:val="DefaultParagraphFont"/>
    <w:uiPriority w:val="99"/>
    <w:semiHidden/>
    <w:unhideWhenUsed/>
    <w:rsid w:val="00E1779F"/>
    <w:rPr>
      <w:sz w:val="16"/>
      <w:szCs w:val="16"/>
    </w:rPr>
  </w:style>
  <w:style w:type="paragraph" w:styleId="CommentText">
    <w:name w:val="annotation text"/>
    <w:basedOn w:val="Normal"/>
    <w:link w:val="CommentTextChar"/>
    <w:uiPriority w:val="99"/>
    <w:semiHidden/>
    <w:unhideWhenUsed/>
    <w:rsid w:val="00E1779F"/>
    <w:pPr>
      <w:spacing w:line="240" w:lineRule="auto"/>
    </w:pPr>
    <w:rPr>
      <w:sz w:val="20"/>
      <w:szCs w:val="20"/>
    </w:rPr>
  </w:style>
  <w:style w:type="character" w:customStyle="1" w:styleId="CommentTextChar">
    <w:name w:val="Comment Text Char"/>
    <w:basedOn w:val="DefaultParagraphFont"/>
    <w:link w:val="CommentText"/>
    <w:uiPriority w:val="99"/>
    <w:semiHidden/>
    <w:rsid w:val="00E1779F"/>
    <w:rPr>
      <w:rFonts w:eastAsiaTheme="minorHAnsi"/>
      <w:sz w:val="20"/>
      <w:szCs w:val="20"/>
      <w:lang w:val="en-AU" w:eastAsia="en-US"/>
    </w:rPr>
  </w:style>
  <w:style w:type="paragraph" w:styleId="CommentSubject">
    <w:name w:val="annotation subject"/>
    <w:basedOn w:val="CommentText"/>
    <w:next w:val="CommentText"/>
    <w:link w:val="CommentSubjectChar"/>
    <w:uiPriority w:val="99"/>
    <w:semiHidden/>
    <w:unhideWhenUsed/>
    <w:rsid w:val="00E1779F"/>
    <w:rPr>
      <w:b/>
      <w:bCs/>
    </w:rPr>
  </w:style>
  <w:style w:type="character" w:customStyle="1" w:styleId="CommentSubjectChar">
    <w:name w:val="Comment Subject Char"/>
    <w:basedOn w:val="CommentTextChar"/>
    <w:link w:val="CommentSubject"/>
    <w:uiPriority w:val="99"/>
    <w:semiHidden/>
    <w:rsid w:val="00E1779F"/>
    <w:rPr>
      <w:rFonts w:eastAsiaTheme="minorHAnsi"/>
      <w:b/>
      <w:bCs/>
      <w:sz w:val="20"/>
      <w:szCs w:val="20"/>
      <w:lang w:val="en-AU" w:eastAsia="en-US"/>
    </w:rPr>
  </w:style>
  <w:style w:type="paragraph" w:styleId="PlainText">
    <w:name w:val="Plain Text"/>
    <w:basedOn w:val="Normal"/>
    <w:link w:val="PlainTextChar"/>
    <w:uiPriority w:val="99"/>
    <w:unhideWhenUsed/>
    <w:rsid w:val="00E1779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E1779F"/>
    <w:rPr>
      <w:rFonts w:ascii="Consolas" w:eastAsia="Calibri" w:hAnsi="Consolas" w:cs="Times New Roman"/>
      <w:sz w:val="21"/>
      <w:szCs w:val="21"/>
      <w:lang w:val="en-AU" w:eastAsia="en-US"/>
    </w:rPr>
  </w:style>
  <w:style w:type="paragraph" w:styleId="Header">
    <w:name w:val="header"/>
    <w:basedOn w:val="Normal"/>
    <w:link w:val="HeaderChar"/>
    <w:uiPriority w:val="99"/>
    <w:unhideWhenUsed/>
    <w:rsid w:val="00E17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79F"/>
    <w:rPr>
      <w:rFonts w:eastAsiaTheme="minorHAnsi"/>
      <w:sz w:val="22"/>
      <w:szCs w:val="22"/>
      <w:lang w:val="en-AU" w:eastAsia="en-US"/>
    </w:rPr>
  </w:style>
  <w:style w:type="paragraph" w:styleId="Footer">
    <w:name w:val="footer"/>
    <w:basedOn w:val="Normal"/>
    <w:link w:val="FooterChar"/>
    <w:uiPriority w:val="99"/>
    <w:unhideWhenUsed/>
    <w:rsid w:val="00E17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79F"/>
    <w:rPr>
      <w:rFonts w:eastAsiaTheme="minorHAnsi"/>
      <w:sz w:val="22"/>
      <w:szCs w:val="22"/>
      <w:lang w:val="en-AU" w:eastAsia="en-US"/>
    </w:rPr>
  </w:style>
  <w:style w:type="paragraph" w:styleId="Revision">
    <w:name w:val="Revision"/>
    <w:hidden/>
    <w:uiPriority w:val="99"/>
    <w:semiHidden/>
    <w:rsid w:val="00E1779F"/>
    <w:rPr>
      <w:rFonts w:eastAsiaTheme="minorHAnsi"/>
      <w:sz w:val="22"/>
      <w:szCs w:val="22"/>
      <w:lang w:val="en-AU" w:eastAsia="en-US"/>
    </w:rPr>
  </w:style>
  <w:style w:type="paragraph" w:customStyle="1" w:styleId="EndNoteBibliographyTitle">
    <w:name w:val="EndNote Bibliography Title"/>
    <w:basedOn w:val="Normal"/>
    <w:link w:val="EndNoteBibliographyTitleChar"/>
    <w:rsid w:val="00E1779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1779F"/>
    <w:rPr>
      <w:rFonts w:ascii="Calibri" w:eastAsiaTheme="minorHAnsi" w:hAnsi="Calibri"/>
      <w:noProof/>
      <w:sz w:val="22"/>
      <w:szCs w:val="22"/>
      <w:lang w:eastAsia="en-US"/>
    </w:rPr>
  </w:style>
  <w:style w:type="paragraph" w:customStyle="1" w:styleId="EndNoteBibliography">
    <w:name w:val="EndNote Bibliography"/>
    <w:basedOn w:val="Normal"/>
    <w:link w:val="EndNoteBibliographyChar"/>
    <w:rsid w:val="00E1779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1779F"/>
    <w:rPr>
      <w:rFonts w:ascii="Calibri" w:eastAsiaTheme="minorHAnsi" w:hAnsi="Calibri"/>
      <w:noProof/>
      <w:sz w:val="22"/>
      <w:szCs w:val="22"/>
      <w:lang w:eastAsia="en-US"/>
    </w:rPr>
  </w:style>
  <w:style w:type="paragraph" w:styleId="ListParagraph">
    <w:name w:val="List Paragraph"/>
    <w:basedOn w:val="Normal"/>
    <w:uiPriority w:val="34"/>
    <w:qFormat/>
    <w:rsid w:val="00E1779F"/>
    <w:pPr>
      <w:ind w:left="720"/>
      <w:contextualSpacing/>
    </w:pPr>
  </w:style>
  <w:style w:type="table" w:styleId="TableGrid">
    <w:name w:val="Table Grid"/>
    <w:basedOn w:val="TableNormal"/>
    <w:uiPriority w:val="59"/>
    <w:rsid w:val="00E1779F"/>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779F"/>
    <w:rPr>
      <w:rFonts w:eastAsiaTheme="minorHAnsi"/>
      <w:sz w:val="22"/>
      <w:szCs w:val="22"/>
      <w:lang w:val="en-AU" w:eastAsia="en-US"/>
    </w:rPr>
  </w:style>
  <w:style w:type="paragraph" w:styleId="NormalWeb">
    <w:name w:val="Normal (Web)"/>
    <w:basedOn w:val="Normal"/>
    <w:uiPriority w:val="99"/>
    <w:unhideWhenUsed/>
    <w:rsid w:val="00E1779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1779F"/>
    <w:rPr>
      <w:i/>
      <w:iCs/>
    </w:rPr>
  </w:style>
  <w:style w:type="character" w:styleId="LineNumber">
    <w:name w:val="line number"/>
    <w:basedOn w:val="DefaultParagraphFont"/>
    <w:uiPriority w:val="99"/>
    <w:semiHidden/>
    <w:unhideWhenUsed/>
    <w:rsid w:val="00E17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29D9-E3C2-4104-B7AB-CE1AFE86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6044</Words>
  <Characters>34457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Deckx</dc:creator>
  <cp:keywords/>
  <dc:description/>
  <cp:lastModifiedBy>Edwards L.</cp:lastModifiedBy>
  <cp:revision>2</cp:revision>
  <dcterms:created xsi:type="dcterms:W3CDTF">2018-04-24T10:32:00Z</dcterms:created>
  <dcterms:modified xsi:type="dcterms:W3CDTF">2018-04-24T10:32:00Z</dcterms:modified>
  <cp:category/>
</cp:coreProperties>
</file>