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4AB23" w14:textId="77777777" w:rsidR="00C50AFB" w:rsidRPr="00266C82" w:rsidRDefault="00C50AFB" w:rsidP="00AB5DB5">
      <w:pPr>
        <w:bidi/>
        <w:jc w:val="center"/>
        <w:rPr>
          <w:b/>
          <w:lang w:val="en-US"/>
        </w:rPr>
      </w:pPr>
      <w:bookmarkStart w:id="0" w:name="_GoBack"/>
      <w:bookmarkEnd w:id="0"/>
      <w:r w:rsidRPr="00266C82">
        <w:rPr>
          <w:b/>
          <w:lang w:val="en-US"/>
        </w:rPr>
        <w:t xml:space="preserve">Financial </w:t>
      </w:r>
      <w:r w:rsidR="007127F3" w:rsidRPr="00266C82">
        <w:rPr>
          <w:b/>
          <w:lang w:val="en-US"/>
        </w:rPr>
        <w:t>Centr</w:t>
      </w:r>
      <w:r w:rsidR="0041130A" w:rsidRPr="00266C82">
        <w:rPr>
          <w:b/>
          <w:lang w:val="en-US"/>
        </w:rPr>
        <w:t>e</w:t>
      </w:r>
      <w:r w:rsidR="007127F3" w:rsidRPr="00266C82">
        <w:rPr>
          <w:b/>
          <w:lang w:val="en-US"/>
        </w:rPr>
        <w:t>s’</w:t>
      </w:r>
      <w:r w:rsidRPr="00266C82">
        <w:rPr>
          <w:b/>
          <w:lang w:val="en-US"/>
        </w:rPr>
        <w:t xml:space="preserve"> </w:t>
      </w:r>
      <w:r w:rsidR="0041130A" w:rsidRPr="00266C82">
        <w:rPr>
          <w:b/>
          <w:lang w:val="en-US"/>
        </w:rPr>
        <w:t>C</w:t>
      </w:r>
      <w:r w:rsidR="00072D2D" w:rsidRPr="00266C82">
        <w:rPr>
          <w:b/>
          <w:lang w:val="en-US"/>
        </w:rPr>
        <w:t xml:space="preserve">ompetitiveness </w:t>
      </w:r>
      <w:r w:rsidRPr="00266C82">
        <w:rPr>
          <w:b/>
          <w:lang w:val="en-US"/>
        </w:rPr>
        <w:t xml:space="preserve">and </w:t>
      </w:r>
      <w:r w:rsidR="0041130A" w:rsidRPr="00266C82">
        <w:rPr>
          <w:b/>
          <w:lang w:val="en-US"/>
        </w:rPr>
        <w:t>E</w:t>
      </w:r>
      <w:r w:rsidRPr="00266C82">
        <w:rPr>
          <w:b/>
          <w:lang w:val="en-US"/>
        </w:rPr>
        <w:t xml:space="preserve">conomic </w:t>
      </w:r>
      <w:r w:rsidR="0041130A" w:rsidRPr="00266C82">
        <w:rPr>
          <w:b/>
          <w:lang w:val="en-US"/>
        </w:rPr>
        <w:t>C</w:t>
      </w:r>
      <w:r w:rsidRPr="00266C82">
        <w:rPr>
          <w:b/>
          <w:lang w:val="en-US"/>
        </w:rPr>
        <w:t xml:space="preserve">onvergence: Evidence from </w:t>
      </w:r>
      <w:r w:rsidR="0041130A" w:rsidRPr="00266C82">
        <w:rPr>
          <w:b/>
          <w:lang w:val="en-US"/>
        </w:rPr>
        <w:t xml:space="preserve">the </w:t>
      </w:r>
      <w:r w:rsidRPr="00266C82">
        <w:rPr>
          <w:b/>
          <w:lang w:val="en-US"/>
        </w:rPr>
        <w:t xml:space="preserve">EU </w:t>
      </w:r>
      <w:r w:rsidR="0041130A" w:rsidRPr="00266C82">
        <w:rPr>
          <w:b/>
          <w:lang w:val="en-US"/>
        </w:rPr>
        <w:t>R</w:t>
      </w:r>
      <w:r w:rsidRPr="00266C82">
        <w:rPr>
          <w:b/>
          <w:lang w:val="en-US"/>
        </w:rPr>
        <w:t xml:space="preserve">egions </w:t>
      </w:r>
    </w:p>
    <w:p w14:paraId="09C63BAE" w14:textId="77777777" w:rsidR="00C50AFB" w:rsidRPr="00266C82" w:rsidRDefault="00C50AFB" w:rsidP="00882FF0">
      <w:pPr>
        <w:autoSpaceDE w:val="0"/>
        <w:autoSpaceDN w:val="0"/>
        <w:adjustRightInd w:val="0"/>
        <w:spacing w:line="480" w:lineRule="auto"/>
        <w:jc w:val="both"/>
        <w:rPr>
          <w:rStyle w:val="a"/>
        </w:rPr>
      </w:pPr>
    </w:p>
    <w:p w14:paraId="14EC2D26" w14:textId="77777777" w:rsidR="00C50AFB" w:rsidRPr="00266C82" w:rsidRDefault="00C50AFB" w:rsidP="000F4592">
      <w:pPr>
        <w:autoSpaceDE w:val="0"/>
        <w:autoSpaceDN w:val="0"/>
        <w:adjustRightInd w:val="0"/>
        <w:jc w:val="center"/>
        <w:rPr>
          <w:b/>
          <w:bCs/>
          <w:lang w:eastAsia="zh-CN"/>
        </w:rPr>
      </w:pPr>
      <w:r w:rsidRPr="00266C82">
        <w:rPr>
          <w:b/>
          <w:bCs/>
          <w:lang w:eastAsia="zh-CN"/>
        </w:rPr>
        <w:t>Abstract</w:t>
      </w:r>
    </w:p>
    <w:p w14:paraId="438CC15A" w14:textId="77777777" w:rsidR="00C50AFB" w:rsidRPr="00266C82" w:rsidRDefault="00C50AFB" w:rsidP="0054787A">
      <w:pPr>
        <w:autoSpaceDE w:val="0"/>
        <w:autoSpaceDN w:val="0"/>
        <w:adjustRightInd w:val="0"/>
        <w:jc w:val="both"/>
        <w:rPr>
          <w:b/>
          <w:bCs/>
          <w:lang w:eastAsia="zh-CN"/>
        </w:rPr>
      </w:pPr>
    </w:p>
    <w:p w14:paraId="09E27C88" w14:textId="7224C87F" w:rsidR="00C50AFB" w:rsidRPr="00266C82" w:rsidRDefault="00C50AFB" w:rsidP="005D5B14">
      <w:pPr>
        <w:autoSpaceDE w:val="0"/>
        <w:autoSpaceDN w:val="0"/>
        <w:adjustRightInd w:val="0"/>
        <w:jc w:val="both"/>
      </w:pPr>
      <w:r w:rsidRPr="00266C82">
        <w:rPr>
          <w:lang w:eastAsia="zh-CN"/>
        </w:rPr>
        <w:t xml:space="preserve">This study </w:t>
      </w:r>
      <w:r w:rsidRPr="00266C82">
        <w:t xml:space="preserve">analyses the gaps in financial centres’ competitiveness and their impact on regional economic convergence in </w:t>
      </w:r>
      <w:r w:rsidR="0041130A" w:rsidRPr="00266C82">
        <w:t>23</w:t>
      </w:r>
      <w:r w:rsidRPr="00266C82">
        <w:t xml:space="preserve"> EU </w:t>
      </w:r>
      <w:r w:rsidR="0041130A" w:rsidRPr="00266C82">
        <w:t xml:space="preserve">Member States </w:t>
      </w:r>
      <w:r w:rsidRPr="00266C82">
        <w:t>during the period of the Global Financial Crisis (GFC).</w:t>
      </w:r>
      <w:r w:rsidRPr="00266C82">
        <w:rPr>
          <w:lang w:eastAsia="zh-CN"/>
        </w:rPr>
        <w:t xml:space="preserve"> </w:t>
      </w:r>
      <w:r w:rsidR="009A7735" w:rsidRPr="00266C82">
        <w:t>In particular, we explore</w:t>
      </w:r>
      <w:r w:rsidR="00E8090F" w:rsidRPr="00266C82">
        <w:t xml:space="preserve"> the economic convergence and divergence patterns among regions from two different </w:t>
      </w:r>
      <w:r w:rsidR="00416946" w:rsidRPr="00266C82">
        <w:t xml:space="preserve">perspectives </w:t>
      </w:r>
      <w:r w:rsidR="00E8090F" w:rsidRPr="00266C82">
        <w:t xml:space="preserve">across the selected EU Member States and within each country. </w:t>
      </w:r>
      <w:r w:rsidR="009A7735" w:rsidRPr="00266C82">
        <w:rPr>
          <w:lang w:eastAsia="zh-CN"/>
        </w:rPr>
        <w:t>From a methodological viewpoint,</w:t>
      </w:r>
      <w:r w:rsidR="009A7735" w:rsidRPr="00266C82">
        <w:t xml:space="preserve"> we apply a fully non-parametric framework to the club convergence model and address the endogeneity problem between financial centres’ competitiveness and regional economic convergence. </w:t>
      </w:r>
      <w:r w:rsidRPr="00266C82">
        <w:rPr>
          <w:lang w:eastAsia="zh-CN"/>
        </w:rPr>
        <w:t xml:space="preserve">Our results show that </w:t>
      </w:r>
      <w:r w:rsidRPr="00266C82">
        <w:t>the large and internationally-oriented financial centres experienced a diverg</w:t>
      </w:r>
      <w:r w:rsidR="00250D3E" w:rsidRPr="00266C82">
        <w:t>ing</w:t>
      </w:r>
      <w:r w:rsidRPr="00266C82">
        <w:t xml:space="preserve"> trend in terms of the competitiveness of </w:t>
      </w:r>
      <w:r w:rsidR="00473F81" w:rsidRPr="00266C82">
        <w:t>financial centres’</w:t>
      </w:r>
      <w:r w:rsidRPr="00266C82">
        <w:t xml:space="preserve"> business environment during </w:t>
      </w:r>
      <w:r w:rsidR="00E8090F" w:rsidRPr="00266C82">
        <w:t xml:space="preserve">the peak of the crisis. </w:t>
      </w:r>
      <w:r w:rsidR="008E5ED7" w:rsidRPr="00266C82">
        <w:t>W</w:t>
      </w:r>
      <w:r w:rsidRPr="00266C82">
        <w:rPr>
          <w:lang w:eastAsia="zh-CN"/>
        </w:rPr>
        <w:t xml:space="preserve">e </w:t>
      </w:r>
      <w:r w:rsidR="00E8090F" w:rsidRPr="00266C82">
        <w:rPr>
          <w:lang w:eastAsia="zh-CN"/>
        </w:rPr>
        <w:t xml:space="preserve">also </w:t>
      </w:r>
      <w:r w:rsidRPr="00266C82">
        <w:rPr>
          <w:lang w:eastAsia="zh-CN"/>
        </w:rPr>
        <w:t>find evidence that the convergence of financial centres reduces regional economic inequalities between the regions where financial centres are located. In contrast, the increase in the competitiveness of financial centres only serves to widen existing inequalities at the national level.</w:t>
      </w:r>
      <w:r w:rsidR="00473F81" w:rsidRPr="00266C82">
        <w:rPr>
          <w:lang w:eastAsia="zh-CN"/>
        </w:rPr>
        <w:t xml:space="preserve"> Finally, we examine and discuss the impact of competitiveness drivers of financial centres on the convergence pattern of EU regions.</w:t>
      </w:r>
    </w:p>
    <w:p w14:paraId="50D010EC" w14:textId="77777777" w:rsidR="00C50AFB" w:rsidRPr="00266C82" w:rsidRDefault="00C50AFB" w:rsidP="005D5B14">
      <w:pPr>
        <w:autoSpaceDE w:val="0"/>
        <w:autoSpaceDN w:val="0"/>
        <w:adjustRightInd w:val="0"/>
        <w:jc w:val="both"/>
        <w:rPr>
          <w:lang w:eastAsia="zh-CN"/>
        </w:rPr>
      </w:pPr>
    </w:p>
    <w:p w14:paraId="59260B52" w14:textId="77777777" w:rsidR="00C50AFB" w:rsidRPr="00266C82" w:rsidRDefault="00C50AFB" w:rsidP="005D5B14">
      <w:pPr>
        <w:autoSpaceDE w:val="0"/>
        <w:autoSpaceDN w:val="0"/>
        <w:adjustRightInd w:val="0"/>
        <w:jc w:val="both"/>
        <w:rPr>
          <w:b/>
          <w:bCs/>
          <w:lang w:eastAsia="zh-CN"/>
        </w:rPr>
      </w:pPr>
    </w:p>
    <w:p w14:paraId="238D1D9C" w14:textId="77777777" w:rsidR="00C50AFB" w:rsidRPr="00266C82" w:rsidRDefault="00C50AFB" w:rsidP="00272D22">
      <w:pPr>
        <w:autoSpaceDE w:val="0"/>
        <w:autoSpaceDN w:val="0"/>
        <w:adjustRightInd w:val="0"/>
        <w:jc w:val="both"/>
        <w:rPr>
          <w:rFonts w:ascii="Verdana" w:hAnsi="Verdana"/>
          <w:color w:val="333333"/>
          <w:sz w:val="19"/>
          <w:szCs w:val="19"/>
        </w:rPr>
      </w:pPr>
    </w:p>
    <w:p w14:paraId="77B5B4D2" w14:textId="77777777" w:rsidR="00C50AFB" w:rsidRPr="00266C82" w:rsidRDefault="00C50AFB" w:rsidP="00272D22">
      <w:pPr>
        <w:autoSpaceDE w:val="0"/>
        <w:autoSpaceDN w:val="0"/>
        <w:adjustRightInd w:val="0"/>
        <w:jc w:val="both"/>
        <w:rPr>
          <w:rFonts w:ascii="Verdana" w:hAnsi="Verdana"/>
          <w:color w:val="333333"/>
          <w:sz w:val="19"/>
          <w:szCs w:val="19"/>
        </w:rPr>
      </w:pPr>
    </w:p>
    <w:p w14:paraId="10E6E39D" w14:textId="77777777" w:rsidR="00C50AFB" w:rsidRPr="00266C82" w:rsidRDefault="00C50AFB" w:rsidP="00272D22">
      <w:pPr>
        <w:autoSpaceDE w:val="0"/>
        <w:autoSpaceDN w:val="0"/>
        <w:adjustRightInd w:val="0"/>
        <w:jc w:val="both"/>
        <w:rPr>
          <w:rFonts w:ascii="Verdana" w:hAnsi="Verdana"/>
          <w:color w:val="333333"/>
          <w:sz w:val="19"/>
          <w:szCs w:val="19"/>
        </w:rPr>
      </w:pPr>
    </w:p>
    <w:p w14:paraId="04B6B350" w14:textId="77777777" w:rsidR="00C50AFB" w:rsidRPr="00266C82" w:rsidRDefault="00C50AFB" w:rsidP="00272D22">
      <w:pPr>
        <w:autoSpaceDE w:val="0"/>
        <w:autoSpaceDN w:val="0"/>
        <w:adjustRightInd w:val="0"/>
        <w:jc w:val="both"/>
        <w:rPr>
          <w:rStyle w:val="a"/>
          <w:b/>
          <w:bCs/>
          <w:lang w:eastAsia="zh-CN"/>
        </w:rPr>
      </w:pPr>
    </w:p>
    <w:p w14:paraId="7009BD28" w14:textId="77777777" w:rsidR="00C50AFB" w:rsidRPr="00266C82" w:rsidRDefault="00C50AFB" w:rsidP="007B24FA">
      <w:pPr>
        <w:autoSpaceDE w:val="0"/>
        <w:autoSpaceDN w:val="0"/>
        <w:adjustRightInd w:val="0"/>
        <w:jc w:val="both"/>
        <w:rPr>
          <w:rStyle w:val="a"/>
          <w:b/>
          <w:bCs/>
          <w:lang w:eastAsia="zh-CN"/>
        </w:rPr>
      </w:pPr>
    </w:p>
    <w:p w14:paraId="40AA911B" w14:textId="77777777" w:rsidR="00C50AFB" w:rsidRPr="00266C82" w:rsidRDefault="00C50AFB" w:rsidP="007B24FA">
      <w:pPr>
        <w:autoSpaceDE w:val="0"/>
        <w:autoSpaceDN w:val="0"/>
        <w:adjustRightInd w:val="0"/>
        <w:jc w:val="both"/>
        <w:rPr>
          <w:rStyle w:val="a"/>
          <w:b/>
          <w:bCs/>
          <w:lang w:eastAsia="zh-CN"/>
        </w:rPr>
      </w:pPr>
    </w:p>
    <w:p w14:paraId="6A8D9019" w14:textId="77777777" w:rsidR="00C50AFB" w:rsidRPr="00266C82" w:rsidRDefault="00C50AFB" w:rsidP="007B24FA">
      <w:pPr>
        <w:autoSpaceDE w:val="0"/>
        <w:autoSpaceDN w:val="0"/>
        <w:adjustRightInd w:val="0"/>
        <w:jc w:val="both"/>
        <w:rPr>
          <w:rStyle w:val="a"/>
          <w:b/>
          <w:bCs/>
          <w:lang w:eastAsia="zh-CN"/>
        </w:rPr>
      </w:pPr>
    </w:p>
    <w:p w14:paraId="53DE005F" w14:textId="77777777" w:rsidR="00C50AFB" w:rsidRPr="00266C82" w:rsidRDefault="00C50AFB" w:rsidP="007B24FA">
      <w:pPr>
        <w:autoSpaceDE w:val="0"/>
        <w:autoSpaceDN w:val="0"/>
        <w:adjustRightInd w:val="0"/>
        <w:jc w:val="both"/>
        <w:rPr>
          <w:rStyle w:val="a"/>
          <w:b/>
          <w:bCs/>
          <w:lang w:eastAsia="zh-CN"/>
        </w:rPr>
      </w:pPr>
    </w:p>
    <w:p w14:paraId="06C12EEE" w14:textId="77777777" w:rsidR="00C50AFB" w:rsidRPr="00266C82" w:rsidRDefault="00C50AFB" w:rsidP="007B24FA">
      <w:pPr>
        <w:autoSpaceDE w:val="0"/>
        <w:autoSpaceDN w:val="0"/>
        <w:adjustRightInd w:val="0"/>
        <w:jc w:val="both"/>
        <w:rPr>
          <w:rStyle w:val="a"/>
          <w:b/>
          <w:bCs/>
          <w:lang w:eastAsia="zh-CN"/>
        </w:rPr>
      </w:pPr>
    </w:p>
    <w:p w14:paraId="3C3221F3" w14:textId="77777777" w:rsidR="00C50AFB" w:rsidRPr="00266C82" w:rsidRDefault="00C50AFB" w:rsidP="007B24FA">
      <w:pPr>
        <w:autoSpaceDE w:val="0"/>
        <w:autoSpaceDN w:val="0"/>
        <w:adjustRightInd w:val="0"/>
        <w:jc w:val="both"/>
        <w:rPr>
          <w:rStyle w:val="a"/>
          <w:b/>
          <w:bCs/>
          <w:lang w:eastAsia="zh-CN"/>
        </w:rPr>
      </w:pPr>
    </w:p>
    <w:p w14:paraId="6A4D37AC" w14:textId="77777777" w:rsidR="00C50AFB" w:rsidRPr="00266C82" w:rsidRDefault="00C50AFB" w:rsidP="007B24FA">
      <w:pPr>
        <w:autoSpaceDE w:val="0"/>
        <w:autoSpaceDN w:val="0"/>
        <w:adjustRightInd w:val="0"/>
        <w:jc w:val="both"/>
        <w:rPr>
          <w:rStyle w:val="a"/>
          <w:b/>
          <w:bCs/>
          <w:lang w:eastAsia="zh-CN"/>
        </w:rPr>
      </w:pPr>
    </w:p>
    <w:p w14:paraId="2F5DBDDE" w14:textId="77777777" w:rsidR="00C50AFB" w:rsidRPr="00266C82" w:rsidRDefault="00C50AFB" w:rsidP="007B24FA">
      <w:pPr>
        <w:autoSpaceDE w:val="0"/>
        <w:autoSpaceDN w:val="0"/>
        <w:adjustRightInd w:val="0"/>
        <w:jc w:val="both"/>
        <w:rPr>
          <w:rStyle w:val="a"/>
          <w:b/>
          <w:bCs/>
          <w:lang w:eastAsia="zh-CN"/>
        </w:rPr>
      </w:pPr>
    </w:p>
    <w:p w14:paraId="3A49B535" w14:textId="77777777" w:rsidR="00C50AFB" w:rsidRPr="00266C82" w:rsidRDefault="00C50AFB" w:rsidP="007B24FA">
      <w:pPr>
        <w:autoSpaceDE w:val="0"/>
        <w:autoSpaceDN w:val="0"/>
        <w:adjustRightInd w:val="0"/>
        <w:jc w:val="both"/>
        <w:rPr>
          <w:rStyle w:val="a"/>
          <w:b/>
          <w:bCs/>
          <w:lang w:eastAsia="zh-CN"/>
        </w:rPr>
      </w:pPr>
    </w:p>
    <w:p w14:paraId="38B977A3" w14:textId="77777777" w:rsidR="00C50AFB" w:rsidRPr="00266C82" w:rsidRDefault="00C50AFB" w:rsidP="007B24FA">
      <w:pPr>
        <w:autoSpaceDE w:val="0"/>
        <w:autoSpaceDN w:val="0"/>
        <w:adjustRightInd w:val="0"/>
        <w:jc w:val="both"/>
        <w:rPr>
          <w:rStyle w:val="a"/>
          <w:b/>
          <w:bCs/>
          <w:lang w:eastAsia="zh-CN"/>
        </w:rPr>
      </w:pPr>
    </w:p>
    <w:p w14:paraId="3E2F89B2" w14:textId="77777777" w:rsidR="00C50AFB" w:rsidRPr="00266C82" w:rsidRDefault="00C50AFB" w:rsidP="007B24FA">
      <w:pPr>
        <w:autoSpaceDE w:val="0"/>
        <w:autoSpaceDN w:val="0"/>
        <w:adjustRightInd w:val="0"/>
        <w:jc w:val="both"/>
        <w:rPr>
          <w:rStyle w:val="a"/>
          <w:b/>
          <w:bCs/>
          <w:lang w:eastAsia="zh-CN"/>
        </w:rPr>
      </w:pPr>
    </w:p>
    <w:p w14:paraId="40C25791" w14:textId="77777777" w:rsidR="00C50AFB" w:rsidRPr="00266C82" w:rsidRDefault="00C50AFB" w:rsidP="007B24FA">
      <w:pPr>
        <w:autoSpaceDE w:val="0"/>
        <w:autoSpaceDN w:val="0"/>
        <w:adjustRightInd w:val="0"/>
        <w:jc w:val="both"/>
        <w:rPr>
          <w:rStyle w:val="a"/>
          <w:b/>
          <w:bCs/>
          <w:lang w:eastAsia="zh-CN"/>
        </w:rPr>
      </w:pPr>
    </w:p>
    <w:p w14:paraId="7AA630B6" w14:textId="77777777" w:rsidR="00C50AFB" w:rsidRPr="00266C82" w:rsidRDefault="00C50AFB" w:rsidP="007B24FA">
      <w:pPr>
        <w:autoSpaceDE w:val="0"/>
        <w:autoSpaceDN w:val="0"/>
        <w:adjustRightInd w:val="0"/>
        <w:jc w:val="both"/>
        <w:rPr>
          <w:rStyle w:val="a"/>
          <w:b/>
          <w:bCs/>
          <w:lang w:eastAsia="zh-CN"/>
        </w:rPr>
      </w:pPr>
    </w:p>
    <w:p w14:paraId="54A7AA8E" w14:textId="77777777" w:rsidR="00C50AFB" w:rsidRPr="00266C82" w:rsidRDefault="00C50AFB" w:rsidP="007B24FA">
      <w:pPr>
        <w:autoSpaceDE w:val="0"/>
        <w:autoSpaceDN w:val="0"/>
        <w:adjustRightInd w:val="0"/>
        <w:jc w:val="both"/>
        <w:rPr>
          <w:rStyle w:val="a"/>
          <w:b/>
          <w:bCs/>
          <w:lang w:eastAsia="zh-CN"/>
        </w:rPr>
      </w:pPr>
    </w:p>
    <w:p w14:paraId="3F46EDEA" w14:textId="77777777" w:rsidR="00C50AFB" w:rsidRPr="00266C82" w:rsidRDefault="00C50AFB" w:rsidP="007B24FA">
      <w:pPr>
        <w:autoSpaceDE w:val="0"/>
        <w:autoSpaceDN w:val="0"/>
        <w:adjustRightInd w:val="0"/>
        <w:jc w:val="both"/>
        <w:rPr>
          <w:rStyle w:val="a"/>
          <w:b/>
          <w:bCs/>
          <w:lang w:eastAsia="zh-CN"/>
        </w:rPr>
      </w:pPr>
    </w:p>
    <w:p w14:paraId="1F220C2B" w14:textId="77777777" w:rsidR="00C50AFB" w:rsidRPr="00266C82" w:rsidRDefault="00C50AFB" w:rsidP="007B24FA">
      <w:pPr>
        <w:autoSpaceDE w:val="0"/>
        <w:autoSpaceDN w:val="0"/>
        <w:adjustRightInd w:val="0"/>
        <w:jc w:val="both"/>
        <w:rPr>
          <w:rStyle w:val="a"/>
          <w:b/>
          <w:bCs/>
          <w:lang w:eastAsia="zh-CN"/>
        </w:rPr>
      </w:pPr>
    </w:p>
    <w:p w14:paraId="78397F25" w14:textId="77777777" w:rsidR="00C50AFB" w:rsidRPr="00266C82" w:rsidRDefault="00C50AFB" w:rsidP="007B24FA">
      <w:pPr>
        <w:autoSpaceDE w:val="0"/>
        <w:autoSpaceDN w:val="0"/>
        <w:adjustRightInd w:val="0"/>
        <w:jc w:val="both"/>
        <w:rPr>
          <w:rStyle w:val="a"/>
          <w:b/>
          <w:bCs/>
          <w:lang w:eastAsia="zh-CN"/>
        </w:rPr>
      </w:pPr>
    </w:p>
    <w:p w14:paraId="50CFB11E" w14:textId="77777777" w:rsidR="00C50AFB" w:rsidRPr="00266C82" w:rsidRDefault="00C50AFB" w:rsidP="007B24FA">
      <w:pPr>
        <w:autoSpaceDE w:val="0"/>
        <w:autoSpaceDN w:val="0"/>
        <w:adjustRightInd w:val="0"/>
        <w:jc w:val="both"/>
        <w:rPr>
          <w:rStyle w:val="a"/>
          <w:b/>
          <w:bCs/>
          <w:lang w:eastAsia="zh-CN"/>
        </w:rPr>
      </w:pPr>
    </w:p>
    <w:p w14:paraId="4ACA9D58" w14:textId="77777777" w:rsidR="00C50AFB" w:rsidRPr="00266C82" w:rsidRDefault="00C50AFB" w:rsidP="007B24FA">
      <w:pPr>
        <w:autoSpaceDE w:val="0"/>
        <w:autoSpaceDN w:val="0"/>
        <w:adjustRightInd w:val="0"/>
        <w:jc w:val="both"/>
        <w:rPr>
          <w:rStyle w:val="a"/>
          <w:b/>
          <w:bCs/>
          <w:lang w:eastAsia="zh-CN"/>
        </w:rPr>
      </w:pPr>
    </w:p>
    <w:p w14:paraId="5A0323D1" w14:textId="77777777" w:rsidR="00C50AFB" w:rsidRPr="00266C82" w:rsidRDefault="00C50AFB" w:rsidP="007B24FA">
      <w:pPr>
        <w:autoSpaceDE w:val="0"/>
        <w:autoSpaceDN w:val="0"/>
        <w:adjustRightInd w:val="0"/>
        <w:jc w:val="both"/>
        <w:rPr>
          <w:rStyle w:val="a"/>
          <w:b/>
          <w:bCs/>
          <w:lang w:eastAsia="zh-CN"/>
        </w:rPr>
      </w:pPr>
    </w:p>
    <w:p w14:paraId="4581E384" w14:textId="77777777" w:rsidR="00C50AFB" w:rsidRPr="00266C82" w:rsidRDefault="00C50AFB" w:rsidP="007B24FA">
      <w:pPr>
        <w:autoSpaceDE w:val="0"/>
        <w:autoSpaceDN w:val="0"/>
        <w:adjustRightInd w:val="0"/>
        <w:jc w:val="both"/>
        <w:rPr>
          <w:rStyle w:val="a"/>
          <w:b/>
          <w:bCs/>
          <w:lang w:eastAsia="zh-CN"/>
        </w:rPr>
      </w:pPr>
    </w:p>
    <w:p w14:paraId="23020995" w14:textId="77777777" w:rsidR="00C50AFB" w:rsidRPr="00266C82" w:rsidRDefault="00C50AFB" w:rsidP="007B24FA">
      <w:pPr>
        <w:autoSpaceDE w:val="0"/>
        <w:autoSpaceDN w:val="0"/>
        <w:adjustRightInd w:val="0"/>
        <w:jc w:val="both"/>
        <w:rPr>
          <w:rStyle w:val="a"/>
          <w:b/>
          <w:bCs/>
          <w:lang w:eastAsia="zh-CN"/>
        </w:rPr>
      </w:pPr>
    </w:p>
    <w:p w14:paraId="20366FAC" w14:textId="77777777" w:rsidR="00C50AFB" w:rsidRPr="00266C82" w:rsidRDefault="00C50AFB" w:rsidP="007B24FA">
      <w:pPr>
        <w:autoSpaceDE w:val="0"/>
        <w:autoSpaceDN w:val="0"/>
        <w:adjustRightInd w:val="0"/>
        <w:jc w:val="both"/>
        <w:rPr>
          <w:rStyle w:val="a"/>
          <w:b/>
          <w:bCs/>
          <w:lang w:eastAsia="zh-CN"/>
        </w:rPr>
      </w:pPr>
    </w:p>
    <w:p w14:paraId="6366EB74" w14:textId="77777777" w:rsidR="00C50AFB" w:rsidRPr="00266C82" w:rsidRDefault="00C50AFB" w:rsidP="007B24FA">
      <w:pPr>
        <w:autoSpaceDE w:val="0"/>
        <w:autoSpaceDN w:val="0"/>
        <w:adjustRightInd w:val="0"/>
        <w:jc w:val="both"/>
        <w:rPr>
          <w:rStyle w:val="a"/>
          <w:b/>
          <w:bCs/>
          <w:lang w:eastAsia="zh-CN"/>
        </w:rPr>
      </w:pPr>
    </w:p>
    <w:p w14:paraId="7E63B666" w14:textId="77777777" w:rsidR="00C50AFB" w:rsidRPr="00266C82" w:rsidRDefault="00C50AFB" w:rsidP="00457347">
      <w:pPr>
        <w:pStyle w:val="ListParagraph"/>
        <w:numPr>
          <w:ilvl w:val="0"/>
          <w:numId w:val="18"/>
        </w:numPr>
        <w:autoSpaceDE w:val="0"/>
        <w:autoSpaceDN w:val="0"/>
        <w:adjustRightInd w:val="0"/>
        <w:spacing w:before="120" w:after="120" w:line="480" w:lineRule="auto"/>
        <w:ind w:left="357" w:hanging="357"/>
        <w:jc w:val="both"/>
        <w:rPr>
          <w:b/>
          <w:bCs/>
          <w:lang w:eastAsia="zh-CN"/>
        </w:rPr>
      </w:pPr>
      <w:r w:rsidRPr="00266C82">
        <w:rPr>
          <w:rStyle w:val="a"/>
          <w:b/>
          <w:iCs/>
        </w:rPr>
        <w:lastRenderedPageBreak/>
        <w:t>Introduction</w:t>
      </w:r>
    </w:p>
    <w:p w14:paraId="52597185" w14:textId="77777777" w:rsidR="00C50AFB" w:rsidRPr="00266C82" w:rsidRDefault="00C50AFB" w:rsidP="00115167">
      <w:pPr>
        <w:autoSpaceDE w:val="0"/>
        <w:autoSpaceDN w:val="0"/>
        <w:adjustRightInd w:val="0"/>
        <w:spacing w:line="360" w:lineRule="auto"/>
        <w:jc w:val="both"/>
      </w:pPr>
      <w:r w:rsidRPr="00266C82">
        <w:rPr>
          <w:rStyle w:val="a"/>
        </w:rPr>
        <w:t>The process of economic convergence across E</w:t>
      </w:r>
      <w:r w:rsidR="00250D3E" w:rsidRPr="00266C82">
        <w:rPr>
          <w:rStyle w:val="a"/>
        </w:rPr>
        <w:t xml:space="preserve">uropean </w:t>
      </w:r>
      <w:r w:rsidRPr="00266C82">
        <w:rPr>
          <w:rStyle w:val="a"/>
        </w:rPr>
        <w:t>U</w:t>
      </w:r>
      <w:r w:rsidR="00250D3E" w:rsidRPr="00266C82">
        <w:rPr>
          <w:rStyle w:val="a"/>
        </w:rPr>
        <w:t>nion (EU)</w:t>
      </w:r>
      <w:r w:rsidRPr="00266C82">
        <w:rPr>
          <w:rStyle w:val="a"/>
        </w:rPr>
        <w:t xml:space="preserve"> </w:t>
      </w:r>
      <w:r w:rsidR="0041130A" w:rsidRPr="00266C82">
        <w:rPr>
          <w:rStyle w:val="a"/>
        </w:rPr>
        <w:t xml:space="preserve">Member States </w:t>
      </w:r>
      <w:r w:rsidRPr="00266C82">
        <w:rPr>
          <w:rStyle w:val="a"/>
        </w:rPr>
        <w:t>and regions has attracted considerable attention from researchers and policymakers in the last t</w:t>
      </w:r>
      <w:r w:rsidR="001F3F7F">
        <w:rPr>
          <w:rStyle w:val="a"/>
        </w:rPr>
        <w:t>wo decades. A number of recent</w:t>
      </w:r>
      <w:r w:rsidRPr="00266C82">
        <w:rPr>
          <w:rStyle w:val="a"/>
        </w:rPr>
        <w:t xml:space="preserve"> studies have contributed to academic discussions on economic convergence and growth patte</w:t>
      </w:r>
      <w:r w:rsidR="00B867A1" w:rsidRPr="00266C82">
        <w:rPr>
          <w:rStyle w:val="a"/>
        </w:rPr>
        <w:t xml:space="preserve">rns in the EU (see </w:t>
      </w:r>
      <w:r w:rsidRPr="00266C82">
        <w:rPr>
          <w:rStyle w:val="a"/>
          <w:lang w:eastAsia="zh-TW"/>
        </w:rPr>
        <w:t>Ezcurra et al</w:t>
      </w:r>
      <w:r w:rsidR="009C70FC" w:rsidRPr="00266C82">
        <w:rPr>
          <w:rStyle w:val="a"/>
          <w:lang w:eastAsia="zh-TW"/>
        </w:rPr>
        <w:t>.</w:t>
      </w:r>
      <w:r w:rsidR="00B664A8" w:rsidRPr="00266C82">
        <w:rPr>
          <w:rStyle w:val="a"/>
          <w:lang w:eastAsia="zh-TW"/>
        </w:rPr>
        <w:t>, 2009</w:t>
      </w:r>
      <w:r w:rsidR="00A7574E" w:rsidRPr="00266C82">
        <w:rPr>
          <w:rStyle w:val="a"/>
          <w:lang w:eastAsia="zh-TW"/>
        </w:rPr>
        <w:t>; Le Gallo and Dall’Erba</w:t>
      </w:r>
      <w:r w:rsidR="00A7574E" w:rsidRPr="00266C82">
        <w:rPr>
          <w:rStyle w:val="a"/>
        </w:rPr>
        <w:t xml:space="preserve">, </w:t>
      </w:r>
      <w:r w:rsidR="00A7574E" w:rsidRPr="00266C82">
        <w:rPr>
          <w:rStyle w:val="a"/>
          <w:lang w:eastAsia="zh-TW"/>
        </w:rPr>
        <w:t>2008</w:t>
      </w:r>
      <w:r w:rsidR="00A7574E" w:rsidRPr="00266C82">
        <w:rPr>
          <w:rStyle w:val="a"/>
        </w:rPr>
        <w:t xml:space="preserve">; </w:t>
      </w:r>
      <w:r w:rsidR="009A0261" w:rsidRPr="00266C82">
        <w:rPr>
          <w:rStyle w:val="a"/>
        </w:rPr>
        <w:t>López-Bazo et al., 1999;</w:t>
      </w:r>
      <w:r w:rsidR="009A0261">
        <w:rPr>
          <w:rStyle w:val="a"/>
        </w:rPr>
        <w:t xml:space="preserve"> </w:t>
      </w:r>
      <w:r w:rsidR="00B664A8" w:rsidRPr="00266C82">
        <w:rPr>
          <w:rStyle w:val="a"/>
          <w:lang w:eastAsia="zh-TW"/>
        </w:rPr>
        <w:t xml:space="preserve">Petrakos et al., 2005; </w:t>
      </w:r>
      <w:r w:rsidR="00E5178E" w:rsidRPr="00266C82">
        <w:rPr>
          <w:rStyle w:val="a"/>
          <w:lang w:eastAsia="zh-TW"/>
        </w:rPr>
        <w:t>Tselios et al., 2012</w:t>
      </w:r>
      <w:r w:rsidRPr="00266C82">
        <w:rPr>
          <w:rStyle w:val="a"/>
          <w:lang w:eastAsia="zh-TW"/>
        </w:rPr>
        <w:t xml:space="preserve">). </w:t>
      </w:r>
      <w:r w:rsidR="00197F40" w:rsidRPr="00266C82">
        <w:rPr>
          <w:rStyle w:val="a"/>
          <w:lang w:eastAsia="zh-TW"/>
        </w:rPr>
        <w:t>The common thread that runs through all these studies</w:t>
      </w:r>
      <w:r w:rsidR="00B664A8" w:rsidRPr="00266C82">
        <w:rPr>
          <w:rStyle w:val="a"/>
          <w:lang w:eastAsia="zh-TW"/>
        </w:rPr>
        <w:t xml:space="preserve"> </w:t>
      </w:r>
      <w:r w:rsidRPr="00266C82">
        <w:rPr>
          <w:rStyle w:val="a"/>
          <w:lang w:eastAsia="zh-TW"/>
        </w:rPr>
        <w:t xml:space="preserve">is </w:t>
      </w:r>
      <w:r w:rsidRPr="00266C82">
        <w:t xml:space="preserve">that </w:t>
      </w:r>
      <w:r w:rsidRPr="00266C82">
        <w:rPr>
          <w:rStyle w:val="a"/>
        </w:rPr>
        <w:t>EU regions display significant and persistent disparities</w:t>
      </w:r>
      <w:r w:rsidR="00197F40" w:rsidRPr="00266C82">
        <w:rPr>
          <w:rStyle w:val="a"/>
        </w:rPr>
        <w:t xml:space="preserve">. Such findings raise questions </w:t>
      </w:r>
      <w:r w:rsidR="00250D3E" w:rsidRPr="00266C82">
        <w:rPr>
          <w:rStyle w:val="a"/>
        </w:rPr>
        <w:t>as to</w:t>
      </w:r>
      <w:r w:rsidR="00FE7E65" w:rsidRPr="00266C82">
        <w:rPr>
          <w:rStyle w:val="a"/>
        </w:rPr>
        <w:t xml:space="preserve"> </w:t>
      </w:r>
      <w:r w:rsidR="00197F40" w:rsidRPr="00266C82">
        <w:rPr>
          <w:rStyle w:val="a"/>
        </w:rPr>
        <w:t xml:space="preserve">whether </w:t>
      </w:r>
      <w:r w:rsidRPr="00266C82">
        <w:rPr>
          <w:rStyle w:val="a"/>
        </w:rPr>
        <w:t xml:space="preserve">the convergence process </w:t>
      </w:r>
      <w:r w:rsidR="00197F40" w:rsidRPr="00266C82">
        <w:rPr>
          <w:rStyle w:val="a"/>
        </w:rPr>
        <w:t xml:space="preserve">is achievable in </w:t>
      </w:r>
      <w:r w:rsidR="002F4B19" w:rsidRPr="00266C82">
        <w:rPr>
          <w:rStyle w:val="a"/>
        </w:rPr>
        <w:t xml:space="preserve">the </w:t>
      </w:r>
      <w:r w:rsidR="00A9160A" w:rsidRPr="00266C82">
        <w:rPr>
          <w:rStyle w:val="a"/>
        </w:rPr>
        <w:t>near</w:t>
      </w:r>
      <w:r w:rsidR="00197F40" w:rsidRPr="00266C82">
        <w:rPr>
          <w:rStyle w:val="a"/>
        </w:rPr>
        <w:t xml:space="preserve"> future within EU regions and consequently </w:t>
      </w:r>
      <w:r w:rsidR="00250D3E" w:rsidRPr="00266C82">
        <w:rPr>
          <w:rStyle w:val="a"/>
        </w:rPr>
        <w:t xml:space="preserve">within </w:t>
      </w:r>
      <w:r w:rsidR="0041130A" w:rsidRPr="00266C82">
        <w:rPr>
          <w:rStyle w:val="a"/>
        </w:rPr>
        <w:t>Member States</w:t>
      </w:r>
      <w:r w:rsidR="00197F40" w:rsidRPr="00266C82">
        <w:rPr>
          <w:rStyle w:val="a"/>
        </w:rPr>
        <w:t>.</w:t>
      </w:r>
      <w:r w:rsidRPr="00266C82">
        <w:t xml:space="preserve"> </w:t>
      </w:r>
    </w:p>
    <w:p w14:paraId="4C64EEEE" w14:textId="79DE5083" w:rsidR="00115167" w:rsidRDefault="009A7735" w:rsidP="006D5112">
      <w:pPr>
        <w:spacing w:line="360" w:lineRule="auto"/>
        <w:ind w:firstLine="567"/>
        <w:jc w:val="both"/>
        <w:rPr>
          <w:lang w:eastAsia="zh-CN"/>
        </w:rPr>
      </w:pPr>
      <w:r w:rsidRPr="00266C82">
        <w:rPr>
          <w:lang w:eastAsia="zh-CN"/>
        </w:rPr>
        <w:t xml:space="preserve">Drawing </w:t>
      </w:r>
      <w:r w:rsidR="00EE390C" w:rsidRPr="00266C82">
        <w:rPr>
          <w:lang w:eastAsia="zh-CN"/>
        </w:rPr>
        <w:t xml:space="preserve">on the regional convergence theory (López-Bazo et al., 1999), </w:t>
      </w:r>
      <w:r w:rsidRPr="00266C82">
        <w:rPr>
          <w:lang w:eastAsia="zh-CN"/>
        </w:rPr>
        <w:t xml:space="preserve">this </w:t>
      </w:r>
      <w:r w:rsidR="00001010" w:rsidRPr="00266C82">
        <w:rPr>
          <w:lang w:eastAsia="zh-CN"/>
        </w:rPr>
        <w:t xml:space="preserve">study </w:t>
      </w:r>
      <w:r w:rsidR="00540284" w:rsidRPr="00266C82">
        <w:rPr>
          <w:lang w:eastAsia="zh-CN"/>
        </w:rPr>
        <w:t xml:space="preserve">explores </w:t>
      </w:r>
      <w:r w:rsidR="005B1BFA" w:rsidRPr="00266C82">
        <w:rPr>
          <w:lang w:eastAsia="zh-CN"/>
        </w:rPr>
        <w:t xml:space="preserve">the convergence process within EU regions during the period of </w:t>
      </w:r>
      <w:r w:rsidR="00AE1507">
        <w:rPr>
          <w:lang w:eastAsia="zh-CN"/>
        </w:rPr>
        <w:t xml:space="preserve">the </w:t>
      </w:r>
      <w:r w:rsidR="00540284" w:rsidRPr="00266C82">
        <w:rPr>
          <w:lang w:eastAsia="zh-CN"/>
        </w:rPr>
        <w:t>Global Financial Crisis (</w:t>
      </w:r>
      <w:r w:rsidR="00001010" w:rsidRPr="00266C82">
        <w:rPr>
          <w:lang w:eastAsia="zh-CN"/>
        </w:rPr>
        <w:t>GFC</w:t>
      </w:r>
      <w:r w:rsidR="00540284" w:rsidRPr="00266C82">
        <w:rPr>
          <w:lang w:eastAsia="zh-CN"/>
        </w:rPr>
        <w:t>)</w:t>
      </w:r>
      <w:r w:rsidR="00001010" w:rsidRPr="00266C82">
        <w:rPr>
          <w:lang w:eastAsia="zh-CN"/>
        </w:rPr>
        <w:t xml:space="preserve"> by </w:t>
      </w:r>
      <w:r w:rsidR="00C50AFB" w:rsidRPr="00266C82">
        <w:rPr>
          <w:lang w:eastAsia="zh-CN"/>
        </w:rPr>
        <w:t>extend</w:t>
      </w:r>
      <w:r w:rsidR="00001010" w:rsidRPr="00266C82">
        <w:rPr>
          <w:lang w:eastAsia="zh-CN"/>
        </w:rPr>
        <w:t xml:space="preserve">ing </w:t>
      </w:r>
      <w:r w:rsidR="00C50AFB" w:rsidRPr="00266C82">
        <w:rPr>
          <w:lang w:eastAsia="zh-CN"/>
        </w:rPr>
        <w:t>the previous</w:t>
      </w:r>
      <w:r w:rsidR="00001010" w:rsidRPr="00266C82">
        <w:rPr>
          <w:lang w:eastAsia="zh-CN"/>
        </w:rPr>
        <w:t xml:space="preserve"> empirical research </w:t>
      </w:r>
      <w:r w:rsidR="00C50AFB" w:rsidRPr="00266C82">
        <w:rPr>
          <w:lang w:eastAsia="zh-CN"/>
        </w:rPr>
        <w:t xml:space="preserve">on financial development and </w:t>
      </w:r>
      <w:r w:rsidR="008D3F86">
        <w:rPr>
          <w:lang w:eastAsia="zh-CN"/>
        </w:rPr>
        <w:t>economic growth</w:t>
      </w:r>
      <w:r w:rsidR="00540284" w:rsidRPr="00266C82">
        <w:rPr>
          <w:lang w:eastAsia="zh-CN"/>
        </w:rPr>
        <w:t xml:space="preserve"> (</w:t>
      </w:r>
      <w:r w:rsidR="0031253E" w:rsidRPr="00266C82">
        <w:t xml:space="preserve">e.g. </w:t>
      </w:r>
      <w:r w:rsidR="0031253E" w:rsidRPr="00266C82">
        <w:rPr>
          <w:lang w:val="en-US" w:eastAsia="zh-TW"/>
        </w:rPr>
        <w:t xml:space="preserve">Aghion et al., 2005; </w:t>
      </w:r>
      <w:r w:rsidR="0031253E" w:rsidRPr="00266C82">
        <w:t>Henderson et al., 2013; Petrakos et al., 2005, 2011</w:t>
      </w:r>
      <w:r w:rsidR="00540284" w:rsidRPr="00266C82">
        <w:rPr>
          <w:lang w:eastAsia="zh-CN"/>
        </w:rPr>
        <w:t xml:space="preserve">). </w:t>
      </w:r>
      <w:r w:rsidR="00115167">
        <w:t xml:space="preserve"> </w:t>
      </w:r>
      <w:r w:rsidR="007766F0" w:rsidRPr="00266C82">
        <w:rPr>
          <w:lang w:eastAsia="zh-CN"/>
        </w:rPr>
        <w:t xml:space="preserve">The contribution of this paper can be summarised as follows. First, we </w:t>
      </w:r>
      <w:r w:rsidR="00115167">
        <w:rPr>
          <w:lang w:eastAsia="zh-CN"/>
        </w:rPr>
        <w:t>advance</w:t>
      </w:r>
      <w:r w:rsidR="007766F0" w:rsidRPr="00266C82">
        <w:rPr>
          <w:lang w:eastAsia="zh-CN"/>
        </w:rPr>
        <w:t xml:space="preserve"> the current research on financial development and regional studies by analysing the effect of financial centres’ competitiveness on interregional economic dynamics</w:t>
      </w:r>
      <w:r w:rsidR="00634DDC" w:rsidRPr="00266C82">
        <w:t>.</w:t>
      </w:r>
      <w:r w:rsidR="00C47F53">
        <w:t xml:space="preserve"> </w:t>
      </w:r>
      <w:r w:rsidR="007766F0" w:rsidRPr="00266C82">
        <w:rPr>
          <w:lang w:eastAsia="zh-CN"/>
        </w:rPr>
        <w:t xml:space="preserve">Current empirical research has not extensively investigated the </w:t>
      </w:r>
      <w:r w:rsidR="001F3F7F">
        <w:rPr>
          <w:lang w:eastAsia="zh-CN"/>
        </w:rPr>
        <w:t>influence</w:t>
      </w:r>
      <w:r w:rsidR="007766F0" w:rsidRPr="00266C82">
        <w:rPr>
          <w:lang w:eastAsia="zh-CN"/>
        </w:rPr>
        <w:t xml:space="preserve"> of global financial centres on the conve</w:t>
      </w:r>
      <w:r w:rsidR="001F3F7F">
        <w:rPr>
          <w:lang w:eastAsia="zh-CN"/>
        </w:rPr>
        <w:t xml:space="preserve">rgence trend of EU regions. </w:t>
      </w:r>
      <w:r w:rsidR="007766F0" w:rsidRPr="00266C82">
        <w:t>Up until now, co</w:t>
      </w:r>
      <w:r w:rsidR="001F3F7F">
        <w:t>ntemporary studies have analysed</w:t>
      </w:r>
      <w:r w:rsidR="007766F0" w:rsidRPr="00266C82">
        <w:t xml:space="preserve"> only individual financial centres (Amsterdam, London and Frankfurt)</w:t>
      </w:r>
      <w:r w:rsidR="001F3F7F">
        <w:t xml:space="preserve"> in the period</w:t>
      </w:r>
      <w:r w:rsidR="007766F0" w:rsidRPr="00266C82">
        <w:t xml:space="preserve"> before the GFC </w:t>
      </w:r>
      <w:r w:rsidR="007766F0" w:rsidRPr="00266C82">
        <w:rPr>
          <w:lang w:eastAsia="zh-CN"/>
        </w:rPr>
        <w:t>(</w:t>
      </w:r>
      <w:r w:rsidR="007766F0" w:rsidRPr="00266C82">
        <w:t>Engelen, 2007</w:t>
      </w:r>
      <w:r w:rsidR="007766F0" w:rsidRPr="00266C82">
        <w:rPr>
          <w:rFonts w:ascii="AdvT905" w:eastAsia="Times New Roman" w:hAnsi="AdvT905" w:cs="AdvT905"/>
          <w:sz w:val="19"/>
          <w:szCs w:val="19"/>
          <w:lang w:eastAsia="zh-CN"/>
        </w:rPr>
        <w:t xml:space="preserve">; </w:t>
      </w:r>
      <w:r w:rsidR="007766F0" w:rsidRPr="00266C82">
        <w:t>Engelen and Grote, 2009; Klagge and Martin, 2005; Karreman and Van der Knaap, 2009</w:t>
      </w:r>
      <w:r w:rsidR="00AA14F3">
        <w:t xml:space="preserve">; </w:t>
      </w:r>
      <w:r w:rsidR="00AA14F3">
        <w:rPr>
          <w:lang w:eastAsia="zh-CN"/>
        </w:rPr>
        <w:t>Poon, 2003</w:t>
      </w:r>
      <w:r w:rsidR="007766F0" w:rsidRPr="00266C82">
        <w:rPr>
          <w:lang w:eastAsia="zh-CN"/>
        </w:rPr>
        <w:t>)</w:t>
      </w:r>
      <w:r w:rsidR="00D83C7D">
        <w:rPr>
          <w:rStyle w:val="EndnoteReference"/>
          <w:lang w:eastAsia="zh-CN"/>
        </w:rPr>
        <w:endnoteReference w:id="1"/>
      </w:r>
      <w:r w:rsidR="00AA14F3">
        <w:rPr>
          <w:lang w:eastAsia="zh-CN"/>
        </w:rPr>
        <w:t>.</w:t>
      </w:r>
      <w:r w:rsidR="007766F0" w:rsidRPr="00266C82">
        <w:rPr>
          <w:lang w:eastAsia="zh-CN"/>
        </w:rPr>
        <w:t xml:space="preserve"> </w:t>
      </w:r>
      <w:r w:rsidR="00820510">
        <w:rPr>
          <w:lang w:eastAsia="zh-CN"/>
        </w:rPr>
        <w:t>Instead</w:t>
      </w:r>
      <w:r w:rsidR="006D5112">
        <w:rPr>
          <w:lang w:eastAsia="zh-CN"/>
        </w:rPr>
        <w:t>, t</w:t>
      </w:r>
      <w:r w:rsidR="002221A2">
        <w:rPr>
          <w:lang w:eastAsia="zh-CN"/>
        </w:rPr>
        <w:t>he period that</w:t>
      </w:r>
      <w:r w:rsidR="00820510">
        <w:rPr>
          <w:lang w:eastAsia="zh-CN"/>
        </w:rPr>
        <w:t xml:space="preserve"> we examine</w:t>
      </w:r>
      <w:r w:rsidR="002221A2" w:rsidRPr="00266C82">
        <w:t xml:space="preserve"> spans from 2008 to 2012. </w:t>
      </w:r>
      <w:r w:rsidR="002221A2">
        <w:t>In this way, we contribute</w:t>
      </w:r>
      <w:r w:rsidR="002221A2" w:rsidRPr="00266C82">
        <w:t xml:space="preserve"> to the understanding of regional </w:t>
      </w:r>
      <w:r w:rsidR="00667C98" w:rsidRPr="002A48DC">
        <w:t>convergence</w:t>
      </w:r>
      <w:r w:rsidR="002221A2" w:rsidRPr="00266C82">
        <w:t xml:space="preserve"> dynamics and policies during </w:t>
      </w:r>
      <w:r w:rsidR="002221A2">
        <w:t>the</w:t>
      </w:r>
      <w:r w:rsidR="002221A2" w:rsidRPr="00266C82">
        <w:t xml:space="preserve"> </w:t>
      </w:r>
      <w:r w:rsidR="002221A2">
        <w:t>‘</w:t>
      </w:r>
      <w:r w:rsidR="002221A2" w:rsidRPr="00266C82">
        <w:t>shock period</w:t>
      </w:r>
      <w:r w:rsidR="002221A2">
        <w:t xml:space="preserve">’ of the </w:t>
      </w:r>
      <w:r w:rsidR="002221A2" w:rsidRPr="00266C82">
        <w:t>GFC.</w:t>
      </w:r>
    </w:p>
    <w:p w14:paraId="572F04B7" w14:textId="77777777" w:rsidR="0009770E" w:rsidRDefault="00DC6DB3" w:rsidP="00115167">
      <w:pPr>
        <w:spacing w:line="360" w:lineRule="auto"/>
        <w:ind w:firstLine="567"/>
        <w:jc w:val="both"/>
      </w:pPr>
      <w:r w:rsidRPr="00266C82">
        <w:rPr>
          <w:lang w:eastAsia="zh-CN"/>
        </w:rPr>
        <w:t xml:space="preserve">Second, </w:t>
      </w:r>
      <w:r w:rsidR="00EC6E78" w:rsidRPr="00266C82">
        <w:rPr>
          <w:lang w:eastAsia="zh-CN"/>
        </w:rPr>
        <w:t xml:space="preserve">we </w:t>
      </w:r>
      <w:r w:rsidR="00C4228F">
        <w:rPr>
          <w:lang w:eastAsia="zh-CN"/>
        </w:rPr>
        <w:t>investigate</w:t>
      </w:r>
      <w:r w:rsidR="00EC6E78" w:rsidRPr="00266C82">
        <w:rPr>
          <w:lang w:eastAsia="zh-CN"/>
        </w:rPr>
        <w:t xml:space="preserve"> how </w:t>
      </w:r>
      <w:r w:rsidR="005B1BFA" w:rsidRPr="00266C82">
        <w:t xml:space="preserve">financial centres’ </w:t>
      </w:r>
      <w:r w:rsidR="001F2CDE" w:rsidRPr="00266C82">
        <w:t xml:space="preserve">competitiveness </w:t>
      </w:r>
      <w:r w:rsidR="00EC6E78" w:rsidRPr="00266C82">
        <w:t>explain</w:t>
      </w:r>
      <w:r w:rsidR="007766F0" w:rsidRPr="00266C82">
        <w:t>s</w:t>
      </w:r>
      <w:r w:rsidR="00EC6E78" w:rsidRPr="00266C82">
        <w:t xml:space="preserve"> the</w:t>
      </w:r>
      <w:r w:rsidR="007766F0" w:rsidRPr="00266C82">
        <w:t xml:space="preserve"> trend of </w:t>
      </w:r>
      <w:r w:rsidR="00EC6E78" w:rsidRPr="00266C82">
        <w:t>economic converg</w:t>
      </w:r>
      <w:r w:rsidR="007766F0" w:rsidRPr="00266C82">
        <w:t>ence</w:t>
      </w:r>
      <w:r w:rsidR="00EC6E78" w:rsidRPr="00266C82">
        <w:t xml:space="preserve"> </w:t>
      </w:r>
      <w:r w:rsidR="007766F0" w:rsidRPr="00266C82">
        <w:t xml:space="preserve">(divergence) </w:t>
      </w:r>
      <w:r w:rsidR="00EC6E78" w:rsidRPr="00266C82">
        <w:t xml:space="preserve">at </w:t>
      </w:r>
      <w:r w:rsidR="00AE1507">
        <w:t>national and regional</w:t>
      </w:r>
      <w:r w:rsidR="00EC6E78" w:rsidRPr="00266C82">
        <w:t xml:space="preserve"> level</w:t>
      </w:r>
      <w:r w:rsidR="00AE1507">
        <w:t>s</w:t>
      </w:r>
      <w:r w:rsidR="002D28C0" w:rsidRPr="00266C82">
        <w:t xml:space="preserve">. </w:t>
      </w:r>
      <w:r w:rsidR="00EC6E78" w:rsidRPr="00266C82">
        <w:t xml:space="preserve">In particular, </w:t>
      </w:r>
      <w:r w:rsidR="007766F0" w:rsidRPr="00266C82">
        <w:t>one part of our analysis</w:t>
      </w:r>
      <w:r w:rsidR="005B1BFA" w:rsidRPr="00266C82">
        <w:t xml:space="preserve"> focus</w:t>
      </w:r>
      <w:r w:rsidR="007766F0" w:rsidRPr="00266C82">
        <w:t>es</w:t>
      </w:r>
      <w:r w:rsidR="006F2139" w:rsidRPr="00266C82">
        <w:t xml:space="preserve"> on </w:t>
      </w:r>
      <w:r w:rsidR="002D28C0" w:rsidRPr="00266C82">
        <w:t>the effect of financial centres on</w:t>
      </w:r>
      <w:r w:rsidR="005B1BFA" w:rsidRPr="00266C82">
        <w:t xml:space="preserve"> the </w:t>
      </w:r>
      <w:r w:rsidR="002D28C0" w:rsidRPr="00266C82">
        <w:t>economic convergence</w:t>
      </w:r>
      <w:r w:rsidR="00C17B6F" w:rsidRPr="00266C82">
        <w:t xml:space="preserve"> of the regions</w:t>
      </w:r>
      <w:r w:rsidR="002D28C0" w:rsidRPr="00266C82">
        <w:t xml:space="preserve"> </w:t>
      </w:r>
      <w:r w:rsidR="005B1BFA" w:rsidRPr="00266C82">
        <w:t xml:space="preserve">in which the </w:t>
      </w:r>
      <w:r w:rsidR="002D28C0" w:rsidRPr="00266C82">
        <w:t xml:space="preserve">financial centres are located. </w:t>
      </w:r>
      <w:r w:rsidR="00B71291">
        <w:t>Another part</w:t>
      </w:r>
      <w:r w:rsidR="007766F0" w:rsidRPr="00266C82">
        <w:t xml:space="preserve"> </w:t>
      </w:r>
      <w:r w:rsidR="00C50AFB" w:rsidRPr="00266C82">
        <w:t>investigate</w:t>
      </w:r>
      <w:r w:rsidR="00B71291">
        <w:t>s</w:t>
      </w:r>
      <w:r w:rsidR="00C50AFB" w:rsidRPr="00266C82">
        <w:t xml:space="preserve"> </w:t>
      </w:r>
      <w:r w:rsidR="00C17B6F" w:rsidRPr="00266C82">
        <w:t xml:space="preserve">the effect of </w:t>
      </w:r>
      <w:r w:rsidR="00C50AFB" w:rsidRPr="00266C82">
        <w:t>financial centres</w:t>
      </w:r>
      <w:r w:rsidR="00C17B6F" w:rsidRPr="00266C82">
        <w:t>’ development on regional inequality levels</w:t>
      </w:r>
      <w:r w:rsidR="00577389">
        <w:t xml:space="preserve"> within countries</w:t>
      </w:r>
      <w:r w:rsidR="00C17B6F" w:rsidRPr="00266C82">
        <w:t xml:space="preserve">. </w:t>
      </w:r>
      <w:r w:rsidR="001F3F7F">
        <w:t>We also discuss and examine</w:t>
      </w:r>
      <w:r w:rsidR="001F3F7F" w:rsidRPr="00266C82">
        <w:t xml:space="preserve"> the factors that drive the convergence of economic performance of regions where financial centres are located</w:t>
      </w:r>
      <w:r w:rsidR="00C4228F">
        <w:t>.</w:t>
      </w:r>
    </w:p>
    <w:p w14:paraId="41D4BBAB" w14:textId="4BEBDB49" w:rsidR="00C50AFB" w:rsidRPr="00266C82" w:rsidRDefault="008B78AA" w:rsidP="0009770E">
      <w:pPr>
        <w:spacing w:line="360" w:lineRule="auto"/>
        <w:ind w:firstLine="567"/>
        <w:jc w:val="both"/>
      </w:pPr>
      <w:r w:rsidRPr="00266C82">
        <w:rPr>
          <w:color w:val="000000"/>
        </w:rPr>
        <w:t xml:space="preserve">Third, </w:t>
      </w:r>
      <w:r w:rsidR="00A105CF" w:rsidRPr="00CD19FF">
        <w:rPr>
          <w:color w:val="000000"/>
        </w:rPr>
        <w:t>this is</w:t>
      </w:r>
      <w:r w:rsidR="002221A2">
        <w:rPr>
          <w:color w:val="000000"/>
        </w:rPr>
        <w:t>,</w:t>
      </w:r>
      <w:r w:rsidR="00A105CF" w:rsidRPr="00CD19FF">
        <w:rPr>
          <w:color w:val="000000"/>
        </w:rPr>
        <w:t xml:space="preserve"> </w:t>
      </w:r>
      <w:r w:rsidR="002221A2">
        <w:rPr>
          <w:color w:val="000000"/>
        </w:rPr>
        <w:t xml:space="preserve">to the best of </w:t>
      </w:r>
      <w:r w:rsidR="002221A2" w:rsidRPr="00CD19FF">
        <w:rPr>
          <w:color w:val="000000"/>
        </w:rPr>
        <w:t xml:space="preserve">our knowledge, </w:t>
      </w:r>
      <w:r w:rsidR="00A105CF" w:rsidRPr="00CD19FF">
        <w:rPr>
          <w:color w:val="000000"/>
        </w:rPr>
        <w:t xml:space="preserve">the first </w:t>
      </w:r>
      <w:r w:rsidR="00A105CF">
        <w:rPr>
          <w:color w:val="000000"/>
        </w:rPr>
        <w:t xml:space="preserve">study </w:t>
      </w:r>
      <w:r w:rsidR="00A105CF" w:rsidRPr="00CD19FF">
        <w:rPr>
          <w:color w:val="000000"/>
        </w:rPr>
        <w:t xml:space="preserve">that applies a </w:t>
      </w:r>
      <w:r w:rsidR="00A105CF">
        <w:rPr>
          <w:color w:val="000000"/>
        </w:rPr>
        <w:t>local linear estimator</w:t>
      </w:r>
      <w:r w:rsidR="00A105CF" w:rsidRPr="00CD19FF">
        <w:rPr>
          <w:color w:val="000000"/>
        </w:rPr>
        <w:t xml:space="preserve"> (Li and Racine </w:t>
      </w:r>
      <w:r w:rsidR="00A105CF">
        <w:rPr>
          <w:color w:val="000000"/>
        </w:rPr>
        <w:t xml:space="preserve">2004, </w:t>
      </w:r>
      <w:r w:rsidR="00A105CF" w:rsidRPr="00CD19FF">
        <w:rPr>
          <w:color w:val="000000"/>
        </w:rPr>
        <w:t>2007) to the club convergence model</w:t>
      </w:r>
      <w:r w:rsidR="00A105CF">
        <w:rPr>
          <w:color w:val="000000"/>
        </w:rPr>
        <w:t xml:space="preserve"> of </w:t>
      </w:r>
      <w:r w:rsidR="00A105CF" w:rsidRPr="00CD19FF">
        <w:rPr>
          <w:color w:val="000000"/>
        </w:rPr>
        <w:t>Chat</w:t>
      </w:r>
      <w:r w:rsidR="00A105CF">
        <w:rPr>
          <w:color w:val="000000"/>
        </w:rPr>
        <w:t>terji and Dewhurst (1996)</w:t>
      </w:r>
      <w:r w:rsidR="002221A2">
        <w:rPr>
          <w:color w:val="000000"/>
        </w:rPr>
        <w:t xml:space="preserve">. </w:t>
      </w:r>
      <w:r w:rsidR="008428ED" w:rsidRPr="00266C82">
        <w:rPr>
          <w:color w:val="000000"/>
        </w:rPr>
        <w:t xml:space="preserve">The proposed methodological framework allows us </w:t>
      </w:r>
      <w:r w:rsidR="006F2139" w:rsidRPr="00266C82">
        <w:rPr>
          <w:color w:val="000000"/>
        </w:rPr>
        <w:t>to estimate</w:t>
      </w:r>
      <w:r w:rsidR="008428ED" w:rsidRPr="00266C82">
        <w:rPr>
          <w:color w:val="000000"/>
        </w:rPr>
        <w:t xml:space="preserve"> </w:t>
      </w:r>
      <w:r w:rsidR="00785A15" w:rsidRPr="00266C82">
        <w:rPr>
          <w:color w:val="000000"/>
        </w:rPr>
        <w:t xml:space="preserve">the convergence of </w:t>
      </w:r>
      <w:r w:rsidRPr="00266C82">
        <w:rPr>
          <w:color w:val="000000"/>
        </w:rPr>
        <w:lastRenderedPageBreak/>
        <w:t>financial centres</w:t>
      </w:r>
      <w:r w:rsidR="00785A15" w:rsidRPr="00266C82">
        <w:rPr>
          <w:color w:val="000000"/>
        </w:rPr>
        <w:t>’ competitiveness</w:t>
      </w:r>
      <w:r w:rsidRPr="00266C82">
        <w:rPr>
          <w:color w:val="000000"/>
        </w:rPr>
        <w:t xml:space="preserve"> </w:t>
      </w:r>
      <w:r w:rsidR="00785A15" w:rsidRPr="00266C82">
        <w:rPr>
          <w:color w:val="000000"/>
        </w:rPr>
        <w:t>on regional economic convergence</w:t>
      </w:r>
      <w:r w:rsidR="00A105CF">
        <w:rPr>
          <w:color w:val="000000"/>
        </w:rPr>
        <w:t xml:space="preserve"> </w:t>
      </w:r>
      <w:r w:rsidR="00A105CF" w:rsidRPr="00266C82">
        <w:rPr>
          <w:color w:val="000000"/>
        </w:rPr>
        <w:t>in a fully non</w:t>
      </w:r>
      <w:r w:rsidR="00A105CF">
        <w:rPr>
          <w:color w:val="000000"/>
        </w:rPr>
        <w:t>-</w:t>
      </w:r>
      <w:r w:rsidR="00A105CF" w:rsidRPr="00266C82">
        <w:rPr>
          <w:color w:val="000000"/>
        </w:rPr>
        <w:t>parametric setting</w:t>
      </w:r>
      <w:r w:rsidR="00577389">
        <w:rPr>
          <w:color w:val="000000"/>
        </w:rPr>
        <w:t>.</w:t>
      </w:r>
      <w:r w:rsidR="003661FA" w:rsidRPr="00266C82">
        <w:rPr>
          <w:color w:val="000000"/>
        </w:rPr>
        <w:t xml:space="preserve"> </w:t>
      </w:r>
      <w:r w:rsidR="00BD06FD">
        <w:rPr>
          <w:color w:val="000000"/>
        </w:rPr>
        <w:t>This approach</w:t>
      </w:r>
      <w:r w:rsidR="002221A2">
        <w:rPr>
          <w:color w:val="000000"/>
        </w:rPr>
        <w:t xml:space="preserve"> is </w:t>
      </w:r>
      <w:r w:rsidR="00CD19FF" w:rsidRPr="00266C82">
        <w:rPr>
          <w:color w:val="000000"/>
        </w:rPr>
        <w:t>more flexib</w:t>
      </w:r>
      <w:r w:rsidR="002221A2">
        <w:rPr>
          <w:color w:val="000000"/>
        </w:rPr>
        <w:t>le</w:t>
      </w:r>
      <w:r w:rsidR="00447686" w:rsidRPr="00266C82">
        <w:rPr>
          <w:color w:val="000000"/>
        </w:rPr>
        <w:t xml:space="preserve"> </w:t>
      </w:r>
      <w:r w:rsidR="00CD19FF" w:rsidRPr="00266C82">
        <w:rPr>
          <w:color w:val="000000"/>
        </w:rPr>
        <w:t xml:space="preserve">and </w:t>
      </w:r>
      <w:r w:rsidR="00250D3E" w:rsidRPr="00266C82">
        <w:rPr>
          <w:color w:val="000000"/>
        </w:rPr>
        <w:t>overcomes</w:t>
      </w:r>
      <w:r w:rsidR="00246DF6" w:rsidRPr="00266C82">
        <w:rPr>
          <w:color w:val="000000"/>
        </w:rPr>
        <w:t xml:space="preserve"> several</w:t>
      </w:r>
      <w:r w:rsidR="00CD19FF" w:rsidRPr="00266C82">
        <w:rPr>
          <w:color w:val="000000"/>
        </w:rPr>
        <w:t xml:space="preserve"> limitations </w:t>
      </w:r>
      <w:r w:rsidR="00246DF6" w:rsidRPr="00266C82">
        <w:rPr>
          <w:color w:val="000000"/>
        </w:rPr>
        <w:t xml:space="preserve">of the </w:t>
      </w:r>
      <w:r w:rsidR="00447686" w:rsidRPr="00266C82">
        <w:rPr>
          <w:color w:val="000000"/>
        </w:rPr>
        <w:t xml:space="preserve">traditional </w:t>
      </w:r>
      <w:r w:rsidR="00CD19FF" w:rsidRPr="00266C82">
        <w:rPr>
          <w:color w:val="000000"/>
        </w:rPr>
        <w:t>parametric technique</w:t>
      </w:r>
      <w:r w:rsidR="00074E4C" w:rsidRPr="00266C82">
        <w:rPr>
          <w:color w:val="000000"/>
        </w:rPr>
        <w:t>s</w:t>
      </w:r>
      <w:r w:rsidR="00CD19FF" w:rsidRPr="00266C82">
        <w:rPr>
          <w:color w:val="000000"/>
        </w:rPr>
        <w:t xml:space="preserve"> </w:t>
      </w:r>
      <w:r w:rsidR="00447686" w:rsidRPr="00266C82">
        <w:rPr>
          <w:color w:val="000000"/>
        </w:rPr>
        <w:t xml:space="preserve">commonly </w:t>
      </w:r>
      <w:r w:rsidR="00CD19FF" w:rsidRPr="00266C82">
        <w:rPr>
          <w:color w:val="000000"/>
        </w:rPr>
        <w:t>used in the convergence literature</w:t>
      </w:r>
      <w:r w:rsidR="00785A15" w:rsidRPr="00266C82">
        <w:rPr>
          <w:color w:val="000000"/>
        </w:rPr>
        <w:t>.</w:t>
      </w:r>
      <w:r w:rsidR="00A52560">
        <w:rPr>
          <w:color w:val="000000"/>
        </w:rPr>
        <w:t xml:space="preserve"> We also </w:t>
      </w:r>
      <w:r w:rsidR="00142508" w:rsidRPr="00266C82">
        <w:t xml:space="preserve">address the potential endogeneity problem </w:t>
      </w:r>
      <w:r w:rsidR="002A7623" w:rsidRPr="00266C82">
        <w:t xml:space="preserve">between the competitiveness of financial centres and the </w:t>
      </w:r>
      <w:r w:rsidR="00BD06FD">
        <w:t xml:space="preserve">regional economic </w:t>
      </w:r>
      <w:r w:rsidR="002A7623" w:rsidRPr="00266C82">
        <w:t>convergence/divergence</w:t>
      </w:r>
      <w:r w:rsidR="008428ED" w:rsidRPr="00266C82">
        <w:t xml:space="preserve">. We introduce </w:t>
      </w:r>
      <w:r w:rsidR="00FA66D5" w:rsidRPr="00266C82">
        <w:t>a new non</w:t>
      </w:r>
      <w:r w:rsidR="00180319" w:rsidRPr="00266C82">
        <w:t>-</w:t>
      </w:r>
      <w:r w:rsidR="00FA66D5" w:rsidRPr="00266C82">
        <w:t>parametric instrumental regression</w:t>
      </w:r>
      <w:r w:rsidR="00D57FEF">
        <w:t xml:space="preserve"> </w:t>
      </w:r>
      <w:r w:rsidR="00D57FEF" w:rsidRPr="00266C82">
        <w:t>in the context of this analysis</w:t>
      </w:r>
      <w:r w:rsidR="005D7BF7" w:rsidRPr="00266C82">
        <w:t xml:space="preserve"> (Horowitz, 2011)</w:t>
      </w:r>
      <w:r w:rsidR="002A7623" w:rsidRPr="00266C82">
        <w:t xml:space="preserve">. The applied estimator </w:t>
      </w:r>
      <w:r w:rsidR="0059172C" w:rsidRPr="00266C82">
        <w:t xml:space="preserve">deals </w:t>
      </w:r>
      <w:r w:rsidR="00AD003F" w:rsidRPr="00266C82">
        <w:t>directly in a fully non</w:t>
      </w:r>
      <w:r w:rsidR="00577389">
        <w:t>-</w:t>
      </w:r>
      <w:r w:rsidR="00AD003F" w:rsidRPr="00266C82">
        <w:t>parametric framework</w:t>
      </w:r>
      <w:r w:rsidR="002A7623" w:rsidRPr="00266C82">
        <w:t xml:space="preserve"> </w:t>
      </w:r>
      <w:r w:rsidR="0059172C" w:rsidRPr="00266C82">
        <w:t xml:space="preserve">with </w:t>
      </w:r>
      <w:r w:rsidR="002A7623" w:rsidRPr="00266C82">
        <w:t xml:space="preserve">the </w:t>
      </w:r>
      <w:r w:rsidR="00FA66D5" w:rsidRPr="00266C82">
        <w:t>pot</w:t>
      </w:r>
      <w:r w:rsidR="005D7BF7" w:rsidRPr="00266C82">
        <w:t>ential endogeneity</w:t>
      </w:r>
      <w:r w:rsidR="0059172C" w:rsidRPr="00266C82">
        <w:t xml:space="preserve"> problems. </w:t>
      </w:r>
      <w:r w:rsidR="00D75315">
        <w:t xml:space="preserve"> Finally, </w:t>
      </w:r>
      <w:r w:rsidR="00A105CF">
        <w:t>as a</w:t>
      </w:r>
      <w:r w:rsidR="0059172C" w:rsidRPr="00266C82">
        <w:t xml:space="preserve"> robustness check of our empirical finding we </w:t>
      </w:r>
      <w:r w:rsidR="00680DB2">
        <w:t>apply</w:t>
      </w:r>
      <w:r w:rsidR="00142508" w:rsidRPr="00266C82">
        <w:t xml:space="preserve"> probability transition matri</w:t>
      </w:r>
      <w:r w:rsidR="00577389">
        <w:t>c</w:t>
      </w:r>
      <w:r w:rsidR="00142508" w:rsidRPr="00266C82">
        <w:t xml:space="preserve">es </w:t>
      </w:r>
      <w:r w:rsidR="00547FDE" w:rsidRPr="00266C82">
        <w:t>(</w:t>
      </w:r>
      <w:r w:rsidR="00253DFB" w:rsidRPr="00266C82">
        <w:t>Hammond</w:t>
      </w:r>
      <w:r w:rsidR="00DE0375" w:rsidRPr="00266C82">
        <w:t xml:space="preserve"> and Thompson</w:t>
      </w:r>
      <w:r w:rsidR="00547FDE" w:rsidRPr="00266C82">
        <w:t xml:space="preserve">, 2002; </w:t>
      </w:r>
      <w:r w:rsidR="00586F8E" w:rsidRPr="00266C82">
        <w:t>Pittau and Zelli</w:t>
      </w:r>
      <w:r w:rsidR="00547FDE" w:rsidRPr="00266C82">
        <w:t xml:space="preserve">, </w:t>
      </w:r>
      <w:r w:rsidR="00586F8E" w:rsidRPr="00266C82">
        <w:t>2006</w:t>
      </w:r>
      <w:r w:rsidR="00D63D1D">
        <w:t>; Quah, 1996</w:t>
      </w:r>
      <w:r w:rsidR="009E4700" w:rsidRPr="00266C82">
        <w:t>)</w:t>
      </w:r>
      <w:r w:rsidR="00142508" w:rsidRPr="00266C82">
        <w:t>.</w:t>
      </w:r>
    </w:p>
    <w:p w14:paraId="19306B23" w14:textId="77777777" w:rsidR="00F47FE0" w:rsidRPr="00266C82" w:rsidRDefault="00DB4CA4" w:rsidP="002C720D">
      <w:pPr>
        <w:autoSpaceDE w:val="0"/>
        <w:autoSpaceDN w:val="0"/>
        <w:adjustRightInd w:val="0"/>
        <w:spacing w:after="240" w:line="360" w:lineRule="auto"/>
        <w:jc w:val="both"/>
      </w:pPr>
      <w:r w:rsidRPr="00266C82">
        <w:tab/>
      </w:r>
      <w:r w:rsidR="00C50AFB" w:rsidRPr="00266C82">
        <w:t>The structure of the paper is as follows: Section 2 discusses the convergence of the European financial centres; Section 3 describes the database</w:t>
      </w:r>
      <w:r w:rsidR="00E2539E" w:rsidRPr="00266C82">
        <w:t xml:space="preserve"> and</w:t>
      </w:r>
      <w:r w:rsidR="00C50AFB" w:rsidRPr="00266C82">
        <w:t xml:space="preserve"> methodology; Section </w:t>
      </w:r>
      <w:r w:rsidR="00E2539E" w:rsidRPr="00266C82">
        <w:t>4</w:t>
      </w:r>
      <w:r w:rsidR="00C50AFB" w:rsidRPr="00266C82">
        <w:t xml:space="preserve"> discusses the empirical findings; Section </w:t>
      </w:r>
      <w:r w:rsidR="00E2539E" w:rsidRPr="00266C82">
        <w:t>5</w:t>
      </w:r>
      <w:r w:rsidR="00C50AFB" w:rsidRPr="00266C82">
        <w:t xml:space="preserve"> </w:t>
      </w:r>
      <w:r w:rsidR="00577389">
        <w:t>sets out our conclusions</w:t>
      </w:r>
      <w:r w:rsidR="00577389" w:rsidRPr="00266C82">
        <w:t xml:space="preserve"> </w:t>
      </w:r>
      <w:r w:rsidR="00C50AFB" w:rsidRPr="00266C82">
        <w:t>and outlines directions for further research.</w:t>
      </w:r>
    </w:p>
    <w:p w14:paraId="718AD349" w14:textId="77777777" w:rsidR="00EC25AE" w:rsidRPr="00266C82" w:rsidRDefault="00EC25AE" w:rsidP="00115167">
      <w:pPr>
        <w:autoSpaceDE w:val="0"/>
        <w:autoSpaceDN w:val="0"/>
        <w:adjustRightInd w:val="0"/>
        <w:spacing w:line="360" w:lineRule="auto"/>
        <w:ind w:firstLine="567"/>
        <w:jc w:val="both"/>
        <w:rPr>
          <w:rFonts w:ascii="T10" w:hAnsi="T10" w:cs="T10"/>
          <w:sz w:val="2"/>
          <w:szCs w:val="2"/>
          <w:lang w:eastAsia="zh-CN"/>
        </w:rPr>
      </w:pPr>
    </w:p>
    <w:p w14:paraId="75D892D9" w14:textId="77777777" w:rsidR="00EC25AE" w:rsidRPr="00266C82" w:rsidRDefault="00EC25AE" w:rsidP="00457347">
      <w:pPr>
        <w:pStyle w:val="ListParagraph"/>
        <w:numPr>
          <w:ilvl w:val="0"/>
          <w:numId w:val="18"/>
        </w:numPr>
        <w:autoSpaceDE w:val="0"/>
        <w:autoSpaceDN w:val="0"/>
        <w:adjustRightInd w:val="0"/>
        <w:spacing w:before="120" w:after="120" w:line="480" w:lineRule="auto"/>
        <w:ind w:left="357" w:hanging="357"/>
        <w:jc w:val="both"/>
        <w:rPr>
          <w:rStyle w:val="a"/>
          <w:b/>
          <w:bCs/>
        </w:rPr>
      </w:pPr>
      <w:r w:rsidRPr="00266C82">
        <w:rPr>
          <w:rStyle w:val="a"/>
          <w:b/>
          <w:bCs/>
        </w:rPr>
        <w:t>Financial Centres and Economic Regional Convergence</w:t>
      </w:r>
    </w:p>
    <w:p w14:paraId="10868E70" w14:textId="77777777" w:rsidR="00EC25AE" w:rsidRPr="00266C82" w:rsidRDefault="00EC25AE" w:rsidP="00D37C8E">
      <w:pPr>
        <w:autoSpaceDE w:val="0"/>
        <w:autoSpaceDN w:val="0"/>
        <w:adjustRightInd w:val="0"/>
        <w:spacing w:line="360" w:lineRule="auto"/>
        <w:jc w:val="both"/>
        <w:rPr>
          <w:b/>
          <w:bCs/>
        </w:rPr>
      </w:pPr>
      <w:r w:rsidRPr="00266C82">
        <w:rPr>
          <w:rStyle w:val="a"/>
        </w:rPr>
        <w:t xml:space="preserve">The economic convergence and integration of European regions </w:t>
      </w:r>
      <w:r w:rsidR="0059172C" w:rsidRPr="00266C82">
        <w:rPr>
          <w:rStyle w:val="a"/>
        </w:rPr>
        <w:t xml:space="preserve">have been recently addressed in several studies, </w:t>
      </w:r>
      <w:r w:rsidR="00577389">
        <w:rPr>
          <w:rStyle w:val="a"/>
        </w:rPr>
        <w:t>for example,</w:t>
      </w:r>
      <w:r w:rsidR="0059172C" w:rsidRPr="00266C82">
        <w:rPr>
          <w:rStyle w:val="a"/>
        </w:rPr>
        <w:t xml:space="preserve"> </w:t>
      </w:r>
      <w:r w:rsidRPr="00266C82">
        <w:rPr>
          <w:rStyle w:val="a"/>
        </w:rPr>
        <w:t>Ezcurra and Rapun, 2005; Ezcurra et al., 2009; Le Gallo and Dall’Erba, 2008; Petrakos et al., 2005; 2009; Tselios et al., 2012</w:t>
      </w:r>
      <w:r w:rsidR="0059172C" w:rsidRPr="00266C82">
        <w:rPr>
          <w:rStyle w:val="a"/>
        </w:rPr>
        <w:t>, among others</w:t>
      </w:r>
      <w:r w:rsidRPr="00266C82">
        <w:rPr>
          <w:rStyle w:val="a"/>
        </w:rPr>
        <w:t xml:space="preserve">. In particular, the high variability of economic resources and the uneven geographical growth within European countries has </w:t>
      </w:r>
      <w:r w:rsidRPr="00266C82">
        <w:rPr>
          <w:rFonts w:eastAsiaTheme="minorHAnsi"/>
          <w:lang w:eastAsia="en-US"/>
        </w:rPr>
        <w:t>drawn a lot of</w:t>
      </w:r>
      <w:r w:rsidRPr="00266C82">
        <w:t xml:space="preserve"> </w:t>
      </w:r>
      <w:r w:rsidRPr="00266C82">
        <w:rPr>
          <w:rFonts w:eastAsiaTheme="minorHAnsi"/>
          <w:lang w:eastAsia="en-US"/>
        </w:rPr>
        <w:t>attention</w:t>
      </w:r>
      <w:r w:rsidR="0059172C" w:rsidRPr="00266C82">
        <w:rPr>
          <w:rFonts w:eastAsiaTheme="minorHAnsi"/>
          <w:lang w:eastAsia="en-US"/>
        </w:rPr>
        <w:t xml:space="preserve">. The main research questions are </w:t>
      </w:r>
      <w:r w:rsidR="00820510">
        <w:rPr>
          <w:rFonts w:eastAsiaTheme="minorHAnsi"/>
          <w:lang w:eastAsia="en-US"/>
        </w:rPr>
        <w:t>aimed at</w:t>
      </w:r>
      <w:r w:rsidR="0059172C" w:rsidRPr="00266C82">
        <w:rPr>
          <w:rFonts w:eastAsiaTheme="minorHAnsi"/>
          <w:lang w:eastAsia="en-US"/>
        </w:rPr>
        <w:t xml:space="preserve"> </w:t>
      </w:r>
      <w:r w:rsidRPr="00266C82">
        <w:rPr>
          <w:rStyle w:val="a"/>
        </w:rPr>
        <w:t>understand</w:t>
      </w:r>
      <w:r w:rsidR="00820510">
        <w:rPr>
          <w:rStyle w:val="a"/>
        </w:rPr>
        <w:t>ing</w:t>
      </w:r>
      <w:r w:rsidRPr="00266C82">
        <w:rPr>
          <w:rStyle w:val="a"/>
        </w:rPr>
        <w:t xml:space="preserve"> regional growth patterns and to what extent regional economic dissimilarities are intrinsically structural</w:t>
      </w:r>
      <w:r w:rsidR="00577389">
        <w:rPr>
          <w:rStyle w:val="a"/>
        </w:rPr>
        <w:t>,</w:t>
      </w:r>
      <w:r w:rsidRPr="00266C82">
        <w:rPr>
          <w:rStyle w:val="a"/>
        </w:rPr>
        <w:t xml:space="preserve"> or rather cyclical.  </w:t>
      </w:r>
      <w:r w:rsidRPr="00266C82">
        <w:rPr>
          <w:rFonts w:eastAsiaTheme="minorHAnsi"/>
          <w:lang w:eastAsia="en-US"/>
        </w:rPr>
        <w:t xml:space="preserve">This is an important issue because </w:t>
      </w:r>
      <w:r w:rsidRPr="00266C82">
        <w:rPr>
          <w:rFonts w:eastAsiaTheme="minorHAnsi"/>
          <w:color w:val="141314"/>
          <w:lang w:eastAsia="en-US"/>
        </w:rPr>
        <w:t>the catch-up</w:t>
      </w:r>
      <w:r w:rsidRPr="00266C82">
        <w:t xml:space="preserve"> </w:t>
      </w:r>
      <w:r w:rsidRPr="00266C82">
        <w:rPr>
          <w:rFonts w:eastAsiaTheme="minorHAnsi"/>
          <w:color w:val="141314"/>
          <w:lang w:eastAsia="en-US"/>
        </w:rPr>
        <w:t xml:space="preserve">process has not always been deemed effective or fast enough, even though </w:t>
      </w:r>
      <w:r w:rsidRPr="00266C82">
        <w:t xml:space="preserve">the European Commission has promoted European economic integration through several key policy initiatives (the </w:t>
      </w:r>
      <w:r w:rsidR="00577389">
        <w:t>S</w:t>
      </w:r>
      <w:r w:rsidRPr="00266C82">
        <w:t xml:space="preserve">ingle </w:t>
      </w:r>
      <w:r w:rsidR="00577389">
        <w:t>M</w:t>
      </w:r>
      <w:r w:rsidRPr="00266C82">
        <w:t>arket, Monetary Union, and, more recently, through the European Regional Development Fund, the Cohesion Fund</w:t>
      </w:r>
      <w:r w:rsidR="00577389">
        <w:t>,</w:t>
      </w:r>
      <w:r w:rsidRPr="00266C82">
        <w:t xml:space="preserve"> and the European Social Fund)</w:t>
      </w:r>
      <w:r w:rsidRPr="00266C82">
        <w:rPr>
          <w:rFonts w:eastAsiaTheme="minorHAnsi"/>
          <w:color w:val="141314"/>
          <w:lang w:eastAsia="en-US"/>
        </w:rPr>
        <w:t>.</w:t>
      </w:r>
    </w:p>
    <w:p w14:paraId="15131F0E" w14:textId="77777777" w:rsidR="00EC25AE" w:rsidRPr="00266C82" w:rsidRDefault="00EC25AE" w:rsidP="00EC25AE">
      <w:pPr>
        <w:autoSpaceDE w:val="0"/>
        <w:autoSpaceDN w:val="0"/>
        <w:adjustRightInd w:val="0"/>
        <w:spacing w:line="360" w:lineRule="auto"/>
        <w:ind w:firstLine="567"/>
        <w:jc w:val="both"/>
      </w:pPr>
      <w:r w:rsidRPr="00266C82">
        <w:rPr>
          <w:rStyle w:val="a"/>
        </w:rPr>
        <w:t>In addition, opposite dynamics appear to prevail for national and regional economies in Europe, namely a converging trend at the national level and a diverging trend at the regional level. As some authors have emphasi</w:t>
      </w:r>
      <w:r w:rsidR="00577389">
        <w:rPr>
          <w:rStyle w:val="a"/>
        </w:rPr>
        <w:t>s</w:t>
      </w:r>
      <w:r w:rsidRPr="00266C82">
        <w:rPr>
          <w:rStyle w:val="a"/>
        </w:rPr>
        <w:t>ed (Longhi and Musolesi, 2007; Petrakos et al., 2011), the main driver of this paradox can be traced to the development of metropolitan areas. The New Economic Geography</w:t>
      </w:r>
      <w:r w:rsidR="00253DFB" w:rsidRPr="00266C82">
        <w:rPr>
          <w:rStyle w:val="a"/>
        </w:rPr>
        <w:t xml:space="preserve"> (NEG)</w:t>
      </w:r>
      <w:r w:rsidRPr="00266C82">
        <w:rPr>
          <w:rStyle w:val="a"/>
        </w:rPr>
        <w:t xml:space="preserve"> developed by Krugman (</w:t>
      </w:r>
      <w:r w:rsidR="007F36A2">
        <w:rPr>
          <w:rStyle w:val="a"/>
        </w:rPr>
        <w:t xml:space="preserve">1981, </w:t>
      </w:r>
      <w:r w:rsidR="005A1170">
        <w:rPr>
          <w:rStyle w:val="a"/>
        </w:rPr>
        <w:t>1991) can explain part of the above mentioned paradox.</w:t>
      </w:r>
      <w:r w:rsidR="00270403">
        <w:rPr>
          <w:rFonts w:eastAsiaTheme="minorHAnsi"/>
          <w:color w:val="141314"/>
          <w:lang w:eastAsia="en-US"/>
        </w:rPr>
        <w:t xml:space="preserve"> </w:t>
      </w:r>
      <w:r w:rsidRPr="00266C82">
        <w:rPr>
          <w:rFonts w:eastAsiaTheme="minorHAnsi"/>
          <w:color w:val="141314"/>
          <w:lang w:eastAsia="en-US"/>
        </w:rPr>
        <w:t xml:space="preserve">In particular, the NEG accounts for the existence of a diverging trend in the process of economic integration in Europe. The reason is that </w:t>
      </w:r>
      <w:r w:rsidRPr="00266C82">
        <w:rPr>
          <w:lang w:eastAsia="zh-CN"/>
        </w:rPr>
        <w:t xml:space="preserve">the combination of </w:t>
      </w:r>
      <w:r w:rsidRPr="00266C82">
        <w:rPr>
          <w:lang w:eastAsia="zh-CN"/>
        </w:rPr>
        <w:lastRenderedPageBreak/>
        <w:t>agglomeration forces and market size creates the conditio</w:t>
      </w:r>
      <w:r w:rsidR="00270403">
        <w:rPr>
          <w:lang w:eastAsia="zh-CN"/>
        </w:rPr>
        <w:t>ns in which leader regions can</w:t>
      </w:r>
      <w:r w:rsidRPr="00266C82">
        <w:rPr>
          <w:lang w:eastAsia="zh-CN"/>
        </w:rPr>
        <w:t xml:space="preserve"> </w:t>
      </w:r>
      <w:r w:rsidR="00577389">
        <w:rPr>
          <w:lang w:eastAsia="zh-CN"/>
        </w:rPr>
        <w:t>develop and grow</w:t>
      </w:r>
      <w:r w:rsidRPr="00266C82">
        <w:rPr>
          <w:lang w:eastAsia="zh-CN"/>
        </w:rPr>
        <w:t xml:space="preserve">, and it predicts the process of geographical agglomeration of production, high quality resources, and services in specific locations. The rationale is that agglomeration economies on the local allocation of resources favour the polarisation of regions into different ‘clubs’: poor peripheral regions and rich central-core regions. In this process, metropolitan areas have played a pivotal role, as they are strategic nodes of the modern economy because they offer high-level innovation services and a large labour market with a wide range of specialised qualifications (Longhi and Musolesi, 2007). These are all conditions that are crucial for both the stability and viability of firms.  Large metropolitan areas therefore attract an increasing number of firms and tend to absorb resources from the surrounding areas.  </w:t>
      </w:r>
    </w:p>
    <w:p w14:paraId="199B10B0" w14:textId="4FCE1F2A" w:rsidR="00EC25AE" w:rsidRPr="00266C82" w:rsidRDefault="00EC25AE" w:rsidP="00EC25AE">
      <w:pPr>
        <w:spacing w:line="360" w:lineRule="auto"/>
        <w:ind w:firstLine="567"/>
        <w:jc w:val="both"/>
      </w:pPr>
      <w:r w:rsidRPr="00266C82">
        <w:rPr>
          <w:lang w:eastAsia="zh-CN"/>
        </w:rPr>
        <w:t xml:space="preserve">In this context of increasing </w:t>
      </w:r>
      <w:r w:rsidRPr="00266C82">
        <w:rPr>
          <w:rFonts w:eastAsiaTheme="minorHAnsi"/>
          <w:color w:val="141314"/>
          <w:lang w:eastAsia="en-US"/>
        </w:rPr>
        <w:t>metropolisation</w:t>
      </w:r>
      <w:r w:rsidRPr="00266C82">
        <w:rPr>
          <w:lang w:eastAsia="zh-CN"/>
        </w:rPr>
        <w:t xml:space="preserve">, our first </w:t>
      </w:r>
      <w:r w:rsidR="00253DFB" w:rsidRPr="00266C82">
        <w:rPr>
          <w:lang w:eastAsia="zh-CN"/>
        </w:rPr>
        <w:t xml:space="preserve">research </w:t>
      </w:r>
      <w:r w:rsidRPr="00266C82">
        <w:rPr>
          <w:lang w:eastAsia="zh-CN"/>
        </w:rPr>
        <w:t xml:space="preserve">question is </w:t>
      </w:r>
      <w:r w:rsidR="00253DFB" w:rsidRPr="00266C82">
        <w:rPr>
          <w:lang w:eastAsia="zh-CN"/>
        </w:rPr>
        <w:t xml:space="preserve">based on </w:t>
      </w:r>
      <w:r w:rsidRPr="00266C82">
        <w:rPr>
          <w:lang w:eastAsia="zh-CN"/>
        </w:rPr>
        <w:t xml:space="preserve">whether </w:t>
      </w:r>
      <w:r w:rsidRPr="00266C82">
        <w:rPr>
          <w:rFonts w:eastAsiaTheme="minorHAnsi"/>
          <w:color w:val="141314"/>
          <w:lang w:eastAsia="en-US"/>
        </w:rPr>
        <w:t xml:space="preserve">the competitiveness of financial centres can contribute to explain the opposite trends between national and regional economies. Our investigation is motivated by the fact that </w:t>
      </w:r>
      <w:r w:rsidRPr="00266C82">
        <w:rPr>
          <w:rStyle w:val="a"/>
        </w:rPr>
        <w:t xml:space="preserve">financial centres are well-integrated in metropolitan areas that are major international hubs of business (Daniels, 2002). </w:t>
      </w:r>
      <w:r w:rsidRPr="00266C82">
        <w:t xml:space="preserve">The headquarters of the majority of financial firms and services are also concentrated in international financial centres (Amin and Thrift, 1992). </w:t>
      </w:r>
      <w:r w:rsidRPr="00266C82">
        <w:rPr>
          <w:rStyle w:val="a"/>
        </w:rPr>
        <w:t xml:space="preserve">This is because it is almost imperative for financial institutions to be close to clients. </w:t>
      </w:r>
      <w:r w:rsidRPr="00266C82">
        <w:rPr>
          <w:rFonts w:eastAsiaTheme="minorHAnsi"/>
          <w:lang w:eastAsia="en-US"/>
        </w:rPr>
        <w:t>A tight spatial proximity to financial institutions located in international financial centres appears, in fact, to still facilitate the process of knowledge creation and dispersion (</w:t>
      </w:r>
      <w:r w:rsidRPr="00266C82">
        <w:t xml:space="preserve">Engelen 2007; </w:t>
      </w:r>
      <w:r w:rsidRPr="00266C82">
        <w:rPr>
          <w:rFonts w:eastAsiaTheme="minorHAnsi"/>
          <w:lang w:eastAsia="en-US"/>
        </w:rPr>
        <w:t xml:space="preserve">Faulconbridge et al., 2007). This is crucial for conducting profitable trade despite the advancement in information and communication technology (ICT) and the consequent reduction of the costs of communication and trading across space. </w:t>
      </w:r>
      <w:r w:rsidRPr="00266C82">
        <w:rPr>
          <w:rStyle w:val="a"/>
        </w:rPr>
        <w:t>Our hypothesis is</w:t>
      </w:r>
      <w:r w:rsidR="00577389">
        <w:rPr>
          <w:rStyle w:val="a"/>
        </w:rPr>
        <w:t>,</w:t>
      </w:r>
      <w:r w:rsidRPr="00266C82">
        <w:rPr>
          <w:rStyle w:val="a"/>
        </w:rPr>
        <w:t xml:space="preserve"> therefore</w:t>
      </w:r>
      <w:r w:rsidR="00577389">
        <w:rPr>
          <w:rStyle w:val="a"/>
        </w:rPr>
        <w:t>,</w:t>
      </w:r>
      <w:r w:rsidRPr="00266C82">
        <w:rPr>
          <w:rStyle w:val="a"/>
        </w:rPr>
        <w:t xml:space="preserve"> that the convergence of competitiveness of financial centres could help to explain the two opposite dynamics (</w:t>
      </w:r>
      <w:r w:rsidR="00253DFB" w:rsidRPr="00266C82">
        <w:rPr>
          <w:rStyle w:val="a"/>
        </w:rPr>
        <w:t xml:space="preserve">regional </w:t>
      </w:r>
      <w:r w:rsidR="00EC686C" w:rsidRPr="00266C82">
        <w:rPr>
          <w:rStyle w:val="a"/>
        </w:rPr>
        <w:t xml:space="preserve">economic </w:t>
      </w:r>
      <w:r w:rsidRPr="00266C82">
        <w:rPr>
          <w:rStyle w:val="a"/>
        </w:rPr>
        <w:t xml:space="preserve">convergence and divergence) at the European level. </w:t>
      </w:r>
      <w:r w:rsidRPr="00266C82">
        <w:t>However, the way through which financial centres affect the regional economic convergence trends is not straightforward</w:t>
      </w:r>
      <w:r w:rsidR="00577389">
        <w:t>,</w:t>
      </w:r>
      <w:r w:rsidRPr="00266C82">
        <w:t xml:space="preserve"> especially during periods of financial turmoil. </w:t>
      </w:r>
    </w:p>
    <w:p w14:paraId="6CDBF70B" w14:textId="6FBEAFCA" w:rsidR="00EC25AE" w:rsidRPr="00266C82" w:rsidRDefault="00F46F9B" w:rsidP="00EC25AE">
      <w:pPr>
        <w:spacing w:line="360" w:lineRule="auto"/>
        <w:ind w:firstLine="567"/>
        <w:jc w:val="both"/>
      </w:pPr>
      <w:r w:rsidRPr="00266C82">
        <w:rPr>
          <w:lang w:eastAsia="zh-CN"/>
        </w:rPr>
        <w:t>On the one hand</w:t>
      </w:r>
      <w:r w:rsidR="00253DFB" w:rsidRPr="00266C82">
        <w:rPr>
          <w:lang w:eastAsia="zh-CN"/>
        </w:rPr>
        <w:t>,</w:t>
      </w:r>
      <w:r w:rsidR="00EC25AE" w:rsidRPr="00266C82">
        <w:rPr>
          <w:lang w:eastAsia="zh-CN"/>
        </w:rPr>
        <w:t xml:space="preserve"> </w:t>
      </w:r>
      <w:r w:rsidR="00EC25AE" w:rsidRPr="00266C82">
        <w:t xml:space="preserve">a structural convergence of European financial centres can increase the international business cycle correlations of European regions and therefore </w:t>
      </w:r>
      <w:r w:rsidR="00253DFB" w:rsidRPr="00266C82">
        <w:t>c</w:t>
      </w:r>
      <w:r w:rsidR="0059172C" w:rsidRPr="00266C82">
        <w:t xml:space="preserve">ould </w:t>
      </w:r>
      <w:r w:rsidR="00EC25AE" w:rsidRPr="00266C82">
        <w:t xml:space="preserve">lead to convergence in per capita income. </w:t>
      </w:r>
      <w:r w:rsidR="00EC25AE" w:rsidRPr="00266C82">
        <w:rPr>
          <w:rStyle w:val="a"/>
        </w:rPr>
        <w:t xml:space="preserve">This view is consistent with </w:t>
      </w:r>
      <w:r w:rsidR="00EC25AE" w:rsidRPr="00266C82">
        <w:t xml:space="preserve">Wacziarg (2001), who suggests that structural sector convergence </w:t>
      </w:r>
      <w:r w:rsidR="0088179E">
        <w:t>within</w:t>
      </w:r>
      <w:r w:rsidR="0088179E" w:rsidRPr="00266C82">
        <w:t xml:space="preserve"> </w:t>
      </w:r>
      <w:r w:rsidR="00EC25AE" w:rsidRPr="00266C82">
        <w:t xml:space="preserve">regions can lead to convergence in their per capita income. In this case, </w:t>
      </w:r>
      <w:r w:rsidR="00253DFB" w:rsidRPr="00266C82">
        <w:t xml:space="preserve">we argue that </w:t>
      </w:r>
      <w:r w:rsidR="00EC25AE" w:rsidRPr="00266C82">
        <w:rPr>
          <w:lang w:eastAsia="zh-CN"/>
        </w:rPr>
        <w:t>the increasing appeal of a financial centre can contribute to explain</w:t>
      </w:r>
      <w:r w:rsidR="0080416A">
        <w:rPr>
          <w:lang w:eastAsia="zh-CN"/>
        </w:rPr>
        <w:t>ing</w:t>
      </w:r>
      <w:r w:rsidR="00EC25AE" w:rsidRPr="00266C82">
        <w:rPr>
          <w:lang w:eastAsia="zh-CN"/>
        </w:rPr>
        <w:t xml:space="preserve"> the catch-up process of regional </w:t>
      </w:r>
      <w:r w:rsidR="0080416A" w:rsidRPr="00266C82">
        <w:rPr>
          <w:lang w:eastAsia="zh-CN"/>
        </w:rPr>
        <w:t>econom</w:t>
      </w:r>
      <w:r w:rsidR="0080416A">
        <w:rPr>
          <w:lang w:eastAsia="zh-CN"/>
        </w:rPr>
        <w:t>ies</w:t>
      </w:r>
      <w:r w:rsidR="00EC25AE" w:rsidRPr="00266C82">
        <w:rPr>
          <w:lang w:eastAsia="zh-CN"/>
        </w:rPr>
        <w:t xml:space="preserve">. </w:t>
      </w:r>
      <w:r w:rsidR="00661686" w:rsidRPr="00266C82">
        <w:rPr>
          <w:lang w:eastAsia="zh-CN"/>
        </w:rPr>
        <w:t>However,</w:t>
      </w:r>
      <w:r w:rsidR="00EC25AE" w:rsidRPr="00266C82">
        <w:rPr>
          <w:lang w:eastAsia="zh-CN"/>
        </w:rPr>
        <w:t xml:space="preserve"> </w:t>
      </w:r>
      <w:r w:rsidR="00253DFB" w:rsidRPr="00266C82">
        <w:rPr>
          <w:lang w:eastAsia="zh-CN"/>
        </w:rPr>
        <w:t xml:space="preserve">we </w:t>
      </w:r>
      <w:r w:rsidR="00EC686C" w:rsidRPr="00266C82">
        <w:rPr>
          <w:lang w:eastAsia="zh-CN"/>
        </w:rPr>
        <w:t xml:space="preserve">maintain </w:t>
      </w:r>
      <w:r w:rsidR="00253DFB" w:rsidRPr="00266C82">
        <w:rPr>
          <w:lang w:eastAsia="zh-CN"/>
        </w:rPr>
        <w:t xml:space="preserve">that </w:t>
      </w:r>
      <w:r w:rsidR="00EC25AE" w:rsidRPr="00266C82">
        <w:t xml:space="preserve">peripheral regions in a certain country can further lose their competitiveness because of a sort of draining process of capital and technological resources towards the regions where financial centres are </w:t>
      </w:r>
      <w:r w:rsidR="00EC25AE" w:rsidRPr="00266C82">
        <w:lastRenderedPageBreak/>
        <w:t xml:space="preserve">located. </w:t>
      </w:r>
      <w:r w:rsidR="00EC25AE" w:rsidRPr="00266C82">
        <w:rPr>
          <w:lang w:eastAsia="zh-CN"/>
        </w:rPr>
        <w:t xml:space="preserve">Financial centres have been widely recognised to work as catalysts for labour forces, business, specialised corporate services and major financial institutions, and to promote technical innovation (Cassis, 2007). </w:t>
      </w:r>
      <w:r w:rsidR="00EC25AE" w:rsidRPr="00266C82">
        <w:rPr>
          <w:rFonts w:eastAsia="Times New Roman"/>
          <w:lang w:eastAsia="en-GB"/>
        </w:rPr>
        <w:t xml:space="preserve">While regions where financial centres are located have a greater capacity to attract businesses and human resources, peripheral regions do not exert the same appeal. The distance from advanced regions can in fact discourage location decisions by firms operating mainly in national and international markets (Limao and Venables, 2001). </w:t>
      </w:r>
      <w:r w:rsidR="00DB7FE5" w:rsidRPr="00266C82">
        <w:rPr>
          <w:rFonts w:eastAsia="Times New Roman"/>
          <w:lang w:eastAsia="en-GB"/>
        </w:rPr>
        <w:t>As a</w:t>
      </w:r>
      <w:r w:rsidR="00680DB2">
        <w:rPr>
          <w:rFonts w:eastAsia="Times New Roman"/>
          <w:lang w:eastAsia="en-GB"/>
        </w:rPr>
        <w:t xml:space="preserve"> </w:t>
      </w:r>
      <w:r w:rsidR="00DB7FE5" w:rsidRPr="00266C82">
        <w:rPr>
          <w:rFonts w:eastAsia="Times New Roman"/>
          <w:lang w:eastAsia="en-GB"/>
        </w:rPr>
        <w:t>result</w:t>
      </w:r>
      <w:r w:rsidR="00680DB2">
        <w:rPr>
          <w:rFonts w:eastAsia="Times New Roman"/>
          <w:lang w:eastAsia="en-GB"/>
        </w:rPr>
        <w:t>,</w:t>
      </w:r>
      <w:r w:rsidR="00DB7FE5" w:rsidRPr="00266C82">
        <w:rPr>
          <w:rFonts w:eastAsia="Times New Roman"/>
          <w:lang w:eastAsia="en-GB"/>
        </w:rPr>
        <w:t xml:space="preserve"> t</w:t>
      </w:r>
      <w:r w:rsidR="00EC25AE" w:rsidRPr="00266C82">
        <w:rPr>
          <w:rFonts w:eastAsia="Times New Roman"/>
          <w:lang w:eastAsia="en-GB"/>
        </w:rPr>
        <w:t>his outlook could explain the uneven spatial distribution of economic and financial firms and services and explain the existence of different regional clubs.</w:t>
      </w:r>
    </w:p>
    <w:p w14:paraId="4DA1494C" w14:textId="65F0CB7F" w:rsidR="00EC25AE" w:rsidRPr="00266C82" w:rsidRDefault="00EC25AE" w:rsidP="00EC25AE">
      <w:pPr>
        <w:spacing w:line="360" w:lineRule="auto"/>
        <w:ind w:firstLine="567"/>
        <w:jc w:val="both"/>
      </w:pPr>
      <w:r w:rsidRPr="00266C82">
        <w:rPr>
          <w:rFonts w:eastAsiaTheme="minorHAnsi"/>
          <w:lang w:eastAsia="en-US"/>
        </w:rPr>
        <w:t xml:space="preserve">On the other hand, the correlation and the increasing international profile of financial centres can make them </w:t>
      </w:r>
      <w:r w:rsidRPr="00266C82">
        <w:rPr>
          <w:rStyle w:val="a"/>
        </w:rPr>
        <w:t>more exposed to external shock</w:t>
      </w:r>
      <w:r w:rsidR="00DB7FE5" w:rsidRPr="00266C82">
        <w:rPr>
          <w:rStyle w:val="a"/>
        </w:rPr>
        <w:t>s</w:t>
      </w:r>
      <w:r w:rsidRPr="00266C82">
        <w:rPr>
          <w:rStyle w:val="a"/>
        </w:rPr>
        <w:t xml:space="preserve">. </w:t>
      </w:r>
      <w:r w:rsidR="00DB7FE5" w:rsidRPr="00266C82">
        <w:rPr>
          <w:rStyle w:val="a"/>
        </w:rPr>
        <w:t>P</w:t>
      </w:r>
      <w:r w:rsidRPr="00266C82">
        <w:rPr>
          <w:lang w:eastAsia="zh-CN"/>
        </w:rPr>
        <w:t xml:space="preserve">revious research acknowledges that </w:t>
      </w:r>
      <w:r w:rsidRPr="00266C82">
        <w:t>there are some limits regarding the financial development and economic growth nexus during financially unstable periods. For example, Dell’Arricia et al. (2008) show that financial development does not always lead to economic growth in periods of financial turbulence. Kroszner et al. (2007) argue that those sectors that are highly dependent on external finance are more vulnerable to bank crises and experience a greater contraction in the valued added, especially in more developed financial systems.</w:t>
      </w:r>
      <w:r w:rsidR="00680DB2">
        <w:t xml:space="preserve"> T</w:t>
      </w:r>
      <w:r w:rsidR="0059172C" w:rsidRPr="00266C82">
        <w:t xml:space="preserve">he </w:t>
      </w:r>
      <w:r w:rsidRPr="00266C82">
        <w:t>financial centres</w:t>
      </w:r>
      <w:r w:rsidR="00EC686C" w:rsidRPr="00266C82">
        <w:t xml:space="preserve"> have </w:t>
      </w:r>
      <w:r w:rsidRPr="00266C82">
        <w:t>played a pivotal role in originating and spreading the GFC to domestic financial systems, ‘real’ economies, and everyday households</w:t>
      </w:r>
      <w:r w:rsidR="004C0D53" w:rsidRPr="00266C82">
        <w:t xml:space="preserve"> (French et al., 2009)</w:t>
      </w:r>
      <w:r w:rsidRPr="00266C82">
        <w:t xml:space="preserve">. Therefore, </w:t>
      </w:r>
      <w:r w:rsidR="00EC686C" w:rsidRPr="00266C82">
        <w:t xml:space="preserve">we </w:t>
      </w:r>
      <w:r w:rsidR="00E22113" w:rsidRPr="00266C82">
        <w:t xml:space="preserve">assume </w:t>
      </w:r>
      <w:r w:rsidR="00DB7FE5" w:rsidRPr="00266C82">
        <w:t xml:space="preserve">that </w:t>
      </w:r>
      <w:r w:rsidRPr="00266C82">
        <w:t xml:space="preserve">the convergence of financial centres could </w:t>
      </w:r>
      <w:r w:rsidR="004C0D53" w:rsidRPr="00266C82">
        <w:t xml:space="preserve">have further </w:t>
      </w:r>
      <w:r w:rsidRPr="00266C82">
        <w:t>weaken</w:t>
      </w:r>
      <w:r w:rsidR="00661686" w:rsidRPr="00266C82">
        <w:t>ed</w:t>
      </w:r>
      <w:r w:rsidRPr="00266C82">
        <w:t xml:space="preserve"> the regional economic convergence at the European level during times of crisis. In this case, </w:t>
      </w:r>
      <w:r w:rsidRPr="00266C82">
        <w:rPr>
          <w:lang w:eastAsia="zh-CN"/>
        </w:rPr>
        <w:t xml:space="preserve">the regions of leading financial centres would not be in </w:t>
      </w:r>
      <w:r w:rsidR="0088179E">
        <w:rPr>
          <w:lang w:eastAsia="zh-CN"/>
        </w:rPr>
        <w:t>a</w:t>
      </w:r>
      <w:r w:rsidR="0088179E" w:rsidRPr="00266C82">
        <w:rPr>
          <w:lang w:eastAsia="zh-CN"/>
        </w:rPr>
        <w:t xml:space="preserve"> </w:t>
      </w:r>
      <w:r w:rsidR="00E22113" w:rsidRPr="00266C82">
        <w:rPr>
          <w:lang w:eastAsia="zh-CN"/>
        </w:rPr>
        <w:t xml:space="preserve">position </w:t>
      </w:r>
      <w:r w:rsidRPr="00266C82">
        <w:rPr>
          <w:lang w:eastAsia="zh-CN"/>
        </w:rPr>
        <w:t xml:space="preserve">to widen their existing spatial disparities with respect to less advanced regions. </w:t>
      </w:r>
      <w:r w:rsidRPr="00266C82">
        <w:rPr>
          <w:rFonts w:eastAsiaTheme="minorHAnsi"/>
          <w:lang w:eastAsia="en-US"/>
        </w:rPr>
        <w:t xml:space="preserve">In addition, </w:t>
      </w:r>
      <w:r w:rsidR="00E22113" w:rsidRPr="00266C82">
        <w:rPr>
          <w:rFonts w:eastAsiaTheme="minorHAnsi"/>
          <w:lang w:eastAsia="en-US"/>
        </w:rPr>
        <w:t xml:space="preserve">one may question whether we </w:t>
      </w:r>
      <w:r w:rsidRPr="00266C82">
        <w:rPr>
          <w:rFonts w:eastAsiaTheme="minorHAnsi"/>
          <w:lang w:eastAsia="en-US"/>
        </w:rPr>
        <w:t>can observe a diverg</w:t>
      </w:r>
      <w:r w:rsidR="00D57FEF">
        <w:rPr>
          <w:rFonts w:eastAsiaTheme="minorHAnsi"/>
          <w:lang w:eastAsia="en-US"/>
        </w:rPr>
        <w:t>ing</w:t>
      </w:r>
      <w:r w:rsidRPr="00266C82">
        <w:rPr>
          <w:rFonts w:eastAsiaTheme="minorHAnsi"/>
          <w:lang w:eastAsia="en-US"/>
        </w:rPr>
        <w:t xml:space="preserve"> trend between regions at the national level. </w:t>
      </w:r>
      <w:r w:rsidRPr="00266C82">
        <w:rPr>
          <w:rStyle w:val="a"/>
        </w:rPr>
        <w:t>In fact</w:t>
      </w:r>
      <w:r w:rsidRPr="00266C82">
        <w:t>, the potentially negative impact of the GFC on international financial centres could have slowed the transfer of resources from other regions to the regions where financial centres are located. However, such an impact depends on the connectivity and speciali</w:t>
      </w:r>
      <w:r w:rsidR="0088179E">
        <w:t>s</w:t>
      </w:r>
      <w:r w:rsidRPr="00266C82">
        <w:t xml:space="preserve">ation of financial centres. European </w:t>
      </w:r>
      <w:r w:rsidRPr="00266C82">
        <w:rPr>
          <w:lang w:eastAsia="zh-CN"/>
        </w:rPr>
        <w:t>g</w:t>
      </w:r>
      <w:r w:rsidRPr="00266C82">
        <w:rPr>
          <w:rFonts w:eastAsiaTheme="minorHAnsi"/>
          <w:lang w:eastAsia="en-US"/>
        </w:rPr>
        <w:t>lobal financial centres (such as London, Frankfurt, Luxemb</w:t>
      </w:r>
      <w:r w:rsidR="00B4211A">
        <w:rPr>
          <w:rFonts w:eastAsiaTheme="minorHAnsi"/>
          <w:lang w:eastAsia="en-US"/>
        </w:rPr>
        <w:t>o</w:t>
      </w:r>
      <w:r w:rsidRPr="00266C82">
        <w:rPr>
          <w:rFonts w:eastAsiaTheme="minorHAnsi"/>
          <w:lang w:eastAsia="en-US"/>
        </w:rPr>
        <w:t>urg</w:t>
      </w:r>
      <w:r w:rsidR="0088179E">
        <w:rPr>
          <w:rFonts w:eastAsiaTheme="minorHAnsi"/>
          <w:lang w:eastAsia="en-US"/>
        </w:rPr>
        <w:t xml:space="preserve"> and</w:t>
      </w:r>
      <w:r w:rsidRPr="00266C82">
        <w:rPr>
          <w:rFonts w:eastAsiaTheme="minorHAnsi"/>
          <w:lang w:eastAsia="en-US"/>
        </w:rPr>
        <w:t xml:space="preserve"> Paris) rely more on global and international relations with</w:t>
      </w:r>
      <w:r w:rsidR="0088179E">
        <w:rPr>
          <w:rFonts w:eastAsiaTheme="minorHAnsi"/>
          <w:lang w:eastAsia="en-US"/>
        </w:rPr>
        <w:t>,</w:t>
      </w:r>
      <w:r w:rsidRPr="00266C82">
        <w:rPr>
          <w:rFonts w:eastAsiaTheme="minorHAnsi"/>
          <w:lang w:eastAsia="en-US"/>
        </w:rPr>
        <w:t xml:space="preserve"> for example</w:t>
      </w:r>
      <w:r w:rsidR="0088179E">
        <w:rPr>
          <w:rFonts w:eastAsiaTheme="minorHAnsi"/>
          <w:lang w:eastAsia="en-US"/>
        </w:rPr>
        <w:t>,</w:t>
      </w:r>
      <w:r w:rsidRPr="00266C82">
        <w:rPr>
          <w:rFonts w:eastAsiaTheme="minorHAnsi"/>
          <w:lang w:eastAsia="en-US"/>
        </w:rPr>
        <w:t xml:space="preserve"> each other rather than on their national </w:t>
      </w:r>
      <w:r w:rsidR="0088179E">
        <w:rPr>
          <w:rFonts w:eastAsiaTheme="minorHAnsi"/>
          <w:lang w:eastAsia="en-US"/>
        </w:rPr>
        <w:t xml:space="preserve">city </w:t>
      </w:r>
      <w:r w:rsidRPr="00266C82">
        <w:rPr>
          <w:rFonts w:eastAsiaTheme="minorHAnsi"/>
          <w:lang w:eastAsia="en-US"/>
        </w:rPr>
        <w:t>systems (Z/Yen Group, 2010). Instead, second and third-tier financial centres are more orientated on the transnational and local businesses, and act primarily as producer service centres</w:t>
      </w:r>
      <w:r w:rsidR="0088179E">
        <w:rPr>
          <w:rFonts w:eastAsiaTheme="minorHAnsi"/>
          <w:lang w:eastAsia="en-US"/>
        </w:rPr>
        <w:t>,</w:t>
      </w:r>
      <w:r w:rsidRPr="00266C82">
        <w:rPr>
          <w:rFonts w:eastAsiaTheme="minorHAnsi"/>
          <w:lang w:eastAsia="en-US"/>
        </w:rPr>
        <w:t xml:space="preserve"> rather than dealing with large-scale and global financial transactions (Lee et al., 1993). This makes second and third-tier financial centres less exposed to financial crises, which in turn would suggest that these latter financial centres can diverge from their growth pattern at a slower rate compared to financial centres that are more connected to each other.</w:t>
      </w:r>
    </w:p>
    <w:p w14:paraId="3F85BC74" w14:textId="59863666" w:rsidR="00EC25AE" w:rsidRPr="00266C82" w:rsidRDefault="00EC25AE" w:rsidP="00EC25AE">
      <w:pPr>
        <w:spacing w:line="360" w:lineRule="auto"/>
        <w:ind w:firstLine="567"/>
        <w:jc w:val="both"/>
      </w:pPr>
      <w:r w:rsidRPr="00266C82">
        <w:rPr>
          <w:lang w:eastAsia="zh-CN"/>
        </w:rPr>
        <w:t xml:space="preserve">A second question that emerges here is what factors contribute to the attractiveness of financial centres </w:t>
      </w:r>
      <w:r w:rsidR="00DB7FE5" w:rsidRPr="00266C82">
        <w:rPr>
          <w:lang w:eastAsia="zh-CN"/>
        </w:rPr>
        <w:t>and</w:t>
      </w:r>
      <w:r w:rsidR="00661686" w:rsidRPr="00266C82">
        <w:rPr>
          <w:lang w:eastAsia="zh-CN"/>
        </w:rPr>
        <w:t>,</w:t>
      </w:r>
      <w:r w:rsidR="0088179E">
        <w:rPr>
          <w:lang w:eastAsia="zh-CN"/>
        </w:rPr>
        <w:t xml:space="preserve"> </w:t>
      </w:r>
      <w:r w:rsidR="004C0D53" w:rsidRPr="00266C82">
        <w:rPr>
          <w:lang w:eastAsia="zh-CN"/>
        </w:rPr>
        <w:t>in turn</w:t>
      </w:r>
      <w:r w:rsidR="00661686" w:rsidRPr="00266C82">
        <w:rPr>
          <w:lang w:eastAsia="zh-CN"/>
        </w:rPr>
        <w:t>, what</w:t>
      </w:r>
      <w:r w:rsidR="004C0D53" w:rsidRPr="00266C82">
        <w:rPr>
          <w:lang w:eastAsia="zh-CN"/>
        </w:rPr>
        <w:t xml:space="preserve"> explain</w:t>
      </w:r>
      <w:r w:rsidR="00661686" w:rsidRPr="00266C82">
        <w:rPr>
          <w:lang w:eastAsia="zh-CN"/>
        </w:rPr>
        <w:t>s</w:t>
      </w:r>
      <w:r w:rsidR="00DB7FE5" w:rsidRPr="00266C82">
        <w:rPr>
          <w:lang w:eastAsia="zh-CN"/>
        </w:rPr>
        <w:t xml:space="preserve"> </w:t>
      </w:r>
      <w:r w:rsidR="004C0D53" w:rsidRPr="00266C82">
        <w:rPr>
          <w:lang w:eastAsia="zh-CN"/>
        </w:rPr>
        <w:t xml:space="preserve">the </w:t>
      </w:r>
      <w:r w:rsidR="00DB7FE5" w:rsidRPr="00266C82">
        <w:rPr>
          <w:lang w:eastAsia="zh-CN"/>
        </w:rPr>
        <w:t>regional convergence</w:t>
      </w:r>
      <w:r w:rsidRPr="00266C82">
        <w:rPr>
          <w:lang w:eastAsia="zh-CN"/>
        </w:rPr>
        <w:t xml:space="preserve"> at the European level and </w:t>
      </w:r>
      <w:r w:rsidR="00DB7FE5" w:rsidRPr="00266C82">
        <w:rPr>
          <w:lang w:eastAsia="zh-CN"/>
        </w:rPr>
        <w:t xml:space="preserve">regional </w:t>
      </w:r>
      <w:r w:rsidRPr="00266C82">
        <w:rPr>
          <w:lang w:eastAsia="zh-CN"/>
        </w:rPr>
        <w:t>divergence at the national level. This issue is</w:t>
      </w:r>
      <w:r w:rsidRPr="00266C82">
        <w:rPr>
          <w:rStyle w:val="a"/>
        </w:rPr>
        <w:t xml:space="preserve"> important because </w:t>
      </w:r>
      <w:r w:rsidRPr="00266C82">
        <w:t xml:space="preserve">there are still relevant dissimilarities among financial centres, such as local financial regulations, corporate governance practices, and the business environment (Klagge and Martin, 2005; Karreman and Van der Knaap, 2009). In particular, </w:t>
      </w:r>
      <w:r w:rsidRPr="00266C82">
        <w:rPr>
          <w:lang w:eastAsia="zh-CN"/>
        </w:rPr>
        <w:t>previous studies have extensively investigated the organisational structure of the European financial system and the factors that contribute to the success of the stock exchange and financial market, and richness of local economies. While economic theory has traditionally attributed regional difference between financial centres to initial endowments (such as reputation, openness to foreign banks</w:t>
      </w:r>
      <w:r w:rsidR="00D63D1D">
        <w:rPr>
          <w:lang w:eastAsia="zh-CN"/>
        </w:rPr>
        <w:t xml:space="preserve"> and accessibility (Jones, 1992</w:t>
      </w:r>
      <w:r w:rsidRPr="00266C82">
        <w:rPr>
          <w:lang w:eastAsia="zh-CN"/>
        </w:rPr>
        <w:t>)</w:t>
      </w:r>
      <w:r w:rsidR="00B4211A">
        <w:rPr>
          <w:lang w:eastAsia="zh-CN"/>
        </w:rPr>
        <w:t>)</w:t>
      </w:r>
      <w:r w:rsidRPr="00266C82">
        <w:rPr>
          <w:lang w:eastAsia="zh-CN"/>
        </w:rPr>
        <w:t xml:space="preserve">, comparative advantages do not provide enough explanation for the spatial concentration of activity in specific financial centres with similar production structures. Financial centres benefit from a combination of agglomeration forces and market size to </w:t>
      </w:r>
      <w:r w:rsidRPr="00266C82">
        <w:t xml:space="preserve">attract more businesses and financial services firms, </w:t>
      </w:r>
      <w:r w:rsidRPr="00266C82">
        <w:rPr>
          <w:lang w:eastAsia="zh-CN"/>
        </w:rPr>
        <w:t>high quality human resources, and services (</w:t>
      </w:r>
      <w:r w:rsidRPr="00266C82">
        <w:t>Grote, 2008). Agglomeration mechanisms allow financial centres to improve their competitiveness</w:t>
      </w:r>
      <w:r w:rsidRPr="00266C82">
        <w:rPr>
          <w:lang w:eastAsia="zh-CN"/>
        </w:rPr>
        <w:t xml:space="preserve"> through economies of scale, increasing inter-sectoral linkages, technological spillovers, and </w:t>
      </w:r>
      <w:r w:rsidR="00374250">
        <w:rPr>
          <w:lang w:eastAsia="zh-CN"/>
        </w:rPr>
        <w:t>reduced</w:t>
      </w:r>
      <w:r w:rsidR="00374250" w:rsidRPr="00266C82">
        <w:rPr>
          <w:lang w:eastAsia="zh-CN"/>
        </w:rPr>
        <w:t xml:space="preserve"> </w:t>
      </w:r>
      <w:r w:rsidRPr="00266C82">
        <w:t>transaction and transportation costs</w:t>
      </w:r>
      <w:r w:rsidRPr="00266C82">
        <w:rPr>
          <w:lang w:eastAsia="zh-CN"/>
        </w:rPr>
        <w:t>. Furthermore, Thrift (1994) and Porteous (1999), and more recently Faulconbridge et al. (2007), have emphasised that regulations and administrative procedures clearly matter for the spatial distribution of financial activities. The Bund-future market offers a clear example of the importance of regulation. In particular, due to the prevention of derivatives trading in Germany until 1990, the Bund-future market was initially traded and regulated in London even though it was primarily based on German federal bonds (Laulajainen</w:t>
      </w:r>
      <w:r w:rsidR="0065436A">
        <w:rPr>
          <w:lang w:eastAsia="zh-CN"/>
        </w:rPr>
        <w:t>,</w:t>
      </w:r>
      <w:r w:rsidRPr="00266C82">
        <w:rPr>
          <w:lang w:eastAsia="zh-CN"/>
        </w:rPr>
        <w:t xml:space="preserve"> 2001). Subsequently, as a result of the re-regulation process, the Bund-future market moved to Frankfurt because of the advantages of the German electronic trading system, especially its cost-efficiency (Faulconbridge et al., 2007). </w:t>
      </w:r>
      <w:r w:rsidRPr="00266C82">
        <w:rPr>
          <w:rFonts w:eastAsiaTheme="minorHAnsi"/>
          <w:lang w:eastAsia="en-US"/>
        </w:rPr>
        <w:t xml:space="preserve">Other examples in this regard are </w:t>
      </w:r>
      <w:r w:rsidRPr="00266C82">
        <w:rPr>
          <w:rFonts w:eastAsia="Times New Roman"/>
          <w:lang w:eastAsia="en-GB"/>
        </w:rPr>
        <w:t>Luxembourg and Dublin, who appeal to hedge funds and other money managers because of their</w:t>
      </w:r>
      <w:r w:rsidRPr="00266C82">
        <w:rPr>
          <w:lang w:eastAsia="zh-CN"/>
        </w:rPr>
        <w:t xml:space="preserve"> </w:t>
      </w:r>
      <w:r w:rsidR="00D63D1D">
        <w:rPr>
          <w:rFonts w:eastAsia="Times New Roman"/>
          <w:lang w:eastAsia="en-GB"/>
        </w:rPr>
        <w:t>competitive fiscal systems.</w:t>
      </w:r>
      <w:r w:rsidRPr="00266C82">
        <w:rPr>
          <w:rFonts w:eastAsia="Times New Roman"/>
          <w:lang w:eastAsia="en-GB"/>
        </w:rPr>
        <w:t xml:space="preserve"> </w:t>
      </w:r>
    </w:p>
    <w:p w14:paraId="089B91CD" w14:textId="57F498F3" w:rsidR="00115167" w:rsidRPr="00266C82" w:rsidRDefault="00EC25AE" w:rsidP="00457347">
      <w:pPr>
        <w:spacing w:after="240" w:line="360" w:lineRule="auto"/>
        <w:ind w:firstLine="567"/>
        <w:jc w:val="both"/>
      </w:pPr>
      <w:r w:rsidRPr="00266C82">
        <w:rPr>
          <w:rFonts w:eastAsiaTheme="minorHAnsi"/>
          <w:lang w:eastAsia="en-US"/>
        </w:rPr>
        <w:t xml:space="preserve">The attractiveness and comparative advantage of a given financial centre is also determined by sectoral specialisation. </w:t>
      </w:r>
      <w:r w:rsidR="002277A3" w:rsidRPr="00266C82">
        <w:rPr>
          <w:rFonts w:eastAsia="Times New Roman"/>
          <w:lang w:eastAsia="en-GB"/>
        </w:rPr>
        <w:t>Historically,</w:t>
      </w:r>
      <w:r w:rsidRPr="00266C82">
        <w:rPr>
          <w:rFonts w:eastAsia="Times New Roman"/>
          <w:lang w:eastAsia="en-GB"/>
        </w:rPr>
        <w:t xml:space="preserve"> London and New York are the main global financial centres that attract a high number of firms</w:t>
      </w:r>
      <w:r w:rsidR="0065436A">
        <w:rPr>
          <w:rFonts w:eastAsia="Times New Roman"/>
          <w:lang w:eastAsia="en-GB"/>
        </w:rPr>
        <w:t xml:space="preserve"> </w:t>
      </w:r>
      <w:r w:rsidR="008224FE" w:rsidRPr="00266C82">
        <w:rPr>
          <w:rFonts w:eastAsia="Times New Roman"/>
          <w:lang w:eastAsia="en-GB"/>
        </w:rPr>
        <w:t>because of their agglomerations of financial institutions and speciali</w:t>
      </w:r>
      <w:r w:rsidR="0065436A">
        <w:rPr>
          <w:rFonts w:eastAsia="Times New Roman"/>
          <w:lang w:eastAsia="en-GB"/>
        </w:rPr>
        <w:t>s</w:t>
      </w:r>
      <w:r w:rsidR="008224FE" w:rsidRPr="00266C82">
        <w:rPr>
          <w:rFonts w:eastAsia="Times New Roman"/>
          <w:lang w:eastAsia="en-GB"/>
        </w:rPr>
        <w:t>ed and timeliness services (Wójcik, 2013)</w:t>
      </w:r>
      <w:r w:rsidR="002277A3" w:rsidRPr="00266C82">
        <w:rPr>
          <w:rFonts w:eastAsia="Times New Roman"/>
          <w:lang w:eastAsia="en-GB"/>
        </w:rPr>
        <w:t>. However,</w:t>
      </w:r>
      <w:r w:rsidRPr="00266C82">
        <w:rPr>
          <w:rFonts w:eastAsia="Times New Roman"/>
          <w:lang w:eastAsia="en-GB"/>
        </w:rPr>
        <w:t xml:space="preserve"> national or local financial centres still preserve their comparative advantages. </w:t>
      </w:r>
      <w:r w:rsidR="008224FE" w:rsidRPr="00266C82">
        <w:rPr>
          <w:rFonts w:eastAsia="Times New Roman"/>
          <w:lang w:eastAsia="en-GB"/>
        </w:rPr>
        <w:t>These latter</w:t>
      </w:r>
      <w:r w:rsidRPr="00266C82">
        <w:rPr>
          <w:rFonts w:eastAsiaTheme="minorHAnsi"/>
          <w:lang w:eastAsia="en-US"/>
        </w:rPr>
        <w:t xml:space="preserve"> centres tend to compensate lower economies of scale and reduce asymmetric information </w:t>
      </w:r>
      <w:r w:rsidR="008224FE" w:rsidRPr="00266C82">
        <w:rPr>
          <w:rFonts w:eastAsiaTheme="minorHAnsi"/>
          <w:lang w:eastAsia="en-US"/>
        </w:rPr>
        <w:t>provided by nationally</w:t>
      </w:r>
      <w:r w:rsidR="0065436A">
        <w:rPr>
          <w:rFonts w:eastAsiaTheme="minorHAnsi"/>
          <w:lang w:eastAsia="en-US"/>
        </w:rPr>
        <w:t>-</w:t>
      </w:r>
      <w:r w:rsidR="008224FE" w:rsidRPr="00266C82">
        <w:rPr>
          <w:rFonts w:eastAsiaTheme="minorHAnsi"/>
          <w:lang w:eastAsia="en-US"/>
        </w:rPr>
        <w:t xml:space="preserve">oriented firms </w:t>
      </w:r>
      <w:r w:rsidRPr="00266C82">
        <w:rPr>
          <w:rFonts w:eastAsiaTheme="minorHAnsi"/>
          <w:lang w:eastAsia="en-US"/>
        </w:rPr>
        <w:t xml:space="preserve">with a higher focus on specific financial products or services (Karreman and Van der Knaap, 2009). This can favour an in-depth knowledge of supplier and costumers, which is important to conduct complex and sophisticated trades. Aside from market characteristics, the attractiveness of financial centres is also determined by the local institutional, social, and environmental settings (Engelen et al., 2010; Gertler, 2010; Karreman and Van der Knaap, 2009). In fact, </w:t>
      </w:r>
      <w:r w:rsidR="001B5C82">
        <w:rPr>
          <w:rFonts w:eastAsiaTheme="minorHAnsi"/>
          <w:lang w:eastAsia="en-US"/>
        </w:rPr>
        <w:t>these factors</w:t>
      </w:r>
      <w:r w:rsidRPr="00266C82">
        <w:rPr>
          <w:rFonts w:eastAsiaTheme="minorHAnsi"/>
          <w:lang w:eastAsia="en-US"/>
        </w:rPr>
        <w:t xml:space="preserve"> exert a pervasive influence</w:t>
      </w:r>
      <w:r w:rsidRPr="00266C82">
        <w:t xml:space="preserve"> on the economy </w:t>
      </w:r>
      <w:r w:rsidR="00EB5050">
        <w:t xml:space="preserve">as </w:t>
      </w:r>
      <w:r w:rsidR="00D348F4">
        <w:t xml:space="preserve">a </w:t>
      </w:r>
      <w:r w:rsidR="00EB5050">
        <w:t xml:space="preserve">whole </w:t>
      </w:r>
      <w:r w:rsidRPr="00266C82">
        <w:t>as they influence the business objectives and conduct of firms, managers, investors, and workers through an ensemble of formal regulations, and legislation as well as informal societal norms (Gertler, 2004). The existence of an advanced environmental and institutional setting</w:t>
      </w:r>
      <w:r w:rsidR="0065436A">
        <w:t>,</w:t>
      </w:r>
      <w:r w:rsidRPr="00266C82">
        <w:t xml:space="preserve"> together with the attraction of high-skill labour and innovation</w:t>
      </w:r>
      <w:r w:rsidR="0065436A">
        <w:t>,</w:t>
      </w:r>
      <w:r w:rsidRPr="00266C82">
        <w:t xml:space="preserve"> are all factors that </w:t>
      </w:r>
      <w:r w:rsidR="00EB5050">
        <w:t xml:space="preserve">can specifically </w:t>
      </w:r>
      <w:r w:rsidRPr="00266C82">
        <w:t xml:space="preserve">increase the success of financial centres and favour the agglomeration of financial services. </w:t>
      </w:r>
      <w:r w:rsidR="00942BD7" w:rsidRPr="00266C82">
        <w:t>As a result</w:t>
      </w:r>
      <w:r w:rsidR="00743F13" w:rsidRPr="00266C82">
        <w:t xml:space="preserve">, </w:t>
      </w:r>
      <w:r w:rsidRPr="00266C82">
        <w:rPr>
          <w:rFonts w:eastAsia="Times New Roman"/>
          <w:lang w:eastAsia="en-GB"/>
        </w:rPr>
        <w:t xml:space="preserve">the combination of all these factors </w:t>
      </w:r>
      <w:r w:rsidR="00661686" w:rsidRPr="00266C82">
        <w:rPr>
          <w:rFonts w:eastAsia="Times New Roman"/>
          <w:lang w:eastAsia="en-GB"/>
        </w:rPr>
        <w:t>will give rise to</w:t>
      </w:r>
      <w:r w:rsidR="00942BD7" w:rsidRPr="00266C82">
        <w:rPr>
          <w:rFonts w:eastAsia="Times New Roman"/>
          <w:lang w:eastAsia="en-GB"/>
        </w:rPr>
        <w:t xml:space="preserve"> higher</w:t>
      </w:r>
      <w:r w:rsidRPr="00266C82">
        <w:rPr>
          <w:rFonts w:eastAsia="Times New Roman"/>
          <w:lang w:eastAsia="en-GB"/>
        </w:rPr>
        <w:t xml:space="preserve"> </w:t>
      </w:r>
      <w:r w:rsidR="00942BD7" w:rsidRPr="00266C82">
        <w:rPr>
          <w:rFonts w:eastAsia="Times New Roman"/>
          <w:lang w:eastAsia="en-GB"/>
        </w:rPr>
        <w:t xml:space="preserve">regional </w:t>
      </w:r>
      <w:r w:rsidRPr="00266C82">
        <w:rPr>
          <w:rFonts w:eastAsia="Times New Roman"/>
          <w:lang w:eastAsia="en-GB"/>
        </w:rPr>
        <w:t xml:space="preserve">economic growth rates over time and further enlarge the gap between more and less advanced regions where financial centres are located. </w:t>
      </w:r>
      <w:r w:rsidR="00942BD7" w:rsidRPr="00266C82">
        <w:rPr>
          <w:rFonts w:eastAsia="Times New Roman"/>
          <w:lang w:eastAsia="en-GB"/>
        </w:rPr>
        <w:t xml:space="preserve">Arguably, </w:t>
      </w:r>
      <w:r w:rsidR="00661686" w:rsidRPr="00266C82">
        <w:t xml:space="preserve">as the relevant </w:t>
      </w:r>
      <w:r w:rsidR="00942BD7" w:rsidRPr="00266C82">
        <w:t>literature</w:t>
      </w:r>
      <w:r w:rsidRPr="00266C82">
        <w:t xml:space="preserve"> </w:t>
      </w:r>
      <w:r w:rsidR="00942BD7" w:rsidRPr="00266C82">
        <w:t xml:space="preserve">suggests </w:t>
      </w:r>
      <w:r w:rsidRPr="00266C82">
        <w:t>(</w:t>
      </w:r>
      <w:r w:rsidR="0065436A">
        <w:t>for example,</w:t>
      </w:r>
      <w:r w:rsidRPr="00266C82">
        <w:t xml:space="preserve"> Crescenzi and Giua, 2016; Crescenzi and Rodríguez-Pose, 2011; Petrakos et al., 2005, 2011)</w:t>
      </w:r>
      <w:r w:rsidR="00E90BD5" w:rsidRPr="00266C82">
        <w:t>,</w:t>
      </w:r>
      <w:r w:rsidRPr="00266C82">
        <w:t xml:space="preserve"> structural socio-economic conditions in terms of productive structure, labour market, innovative capacity, and infrastructural endowment act as important determinants of regional</w:t>
      </w:r>
      <w:r w:rsidRPr="00266C82">
        <w:rPr>
          <w:rFonts w:eastAsia="Times New Roman"/>
          <w:lang w:eastAsia="en-GB"/>
        </w:rPr>
        <w:t xml:space="preserve"> economic growth. </w:t>
      </w:r>
      <w:r w:rsidRPr="00266C82">
        <w:t xml:space="preserve">In particular, more advanced regions </w:t>
      </w:r>
      <w:r w:rsidR="0065436A">
        <w:t>–</w:t>
      </w:r>
      <w:r w:rsidRPr="00266C82">
        <w:t xml:space="preserve"> where financial centres are typically located </w:t>
      </w:r>
      <w:r w:rsidR="0065436A">
        <w:t>–</w:t>
      </w:r>
      <w:r w:rsidRPr="00266C82">
        <w:t xml:space="preserve"> can better benefit from higher economies of scale, agglomeration economies, </w:t>
      </w:r>
      <w:r w:rsidRPr="00266C82">
        <w:rPr>
          <w:rFonts w:eastAsia="Times New Roman"/>
          <w:lang w:eastAsia="en-GB"/>
        </w:rPr>
        <w:t>higher level of innovation, more skilled human resources, and a more advanced market structure</w:t>
      </w:r>
      <w:r w:rsidR="0065436A">
        <w:rPr>
          <w:rFonts w:eastAsia="Times New Roman"/>
          <w:lang w:eastAsia="en-GB"/>
        </w:rPr>
        <w:t>,</w:t>
      </w:r>
      <w:r w:rsidRPr="00266C82">
        <w:rPr>
          <w:rFonts w:eastAsia="Times New Roman"/>
          <w:lang w:eastAsia="en-GB"/>
        </w:rPr>
        <w:t xml:space="preserve"> compared to less advanced regions </w:t>
      </w:r>
      <w:r w:rsidRPr="00266C82">
        <w:t>(Petrakos et al., 2011)</w:t>
      </w:r>
      <w:r w:rsidRPr="00266C82">
        <w:rPr>
          <w:rFonts w:eastAsia="Times New Roman"/>
          <w:lang w:eastAsia="en-GB"/>
        </w:rPr>
        <w:t>. While the attractiveness of</w:t>
      </w:r>
      <w:r w:rsidRPr="00266C82">
        <w:t xml:space="preserve"> </w:t>
      </w:r>
      <w:r w:rsidRPr="00266C82">
        <w:rPr>
          <w:rFonts w:eastAsiaTheme="minorHAnsi"/>
          <w:lang w:eastAsia="en-US"/>
        </w:rPr>
        <w:t>financial centres is affected by regulatory, institutional and technological environment</w:t>
      </w:r>
      <w:r w:rsidR="0065436A">
        <w:rPr>
          <w:rFonts w:eastAsiaTheme="minorHAnsi"/>
          <w:lang w:eastAsia="en-US"/>
        </w:rPr>
        <w:t>s</w:t>
      </w:r>
      <w:r w:rsidRPr="00266C82">
        <w:rPr>
          <w:rFonts w:eastAsiaTheme="minorHAnsi"/>
          <w:lang w:eastAsia="en-US"/>
        </w:rPr>
        <w:t xml:space="preserve">, financial centres are not merely passive recipients of the geography of uneven development (Lee et al., 1993). They in fact contribute themselves to the development and growth of the </w:t>
      </w:r>
      <w:r w:rsidR="00661686" w:rsidRPr="00266C82">
        <w:rPr>
          <w:rFonts w:eastAsiaTheme="minorHAnsi"/>
          <w:lang w:eastAsia="en-US"/>
        </w:rPr>
        <w:t xml:space="preserve">economic </w:t>
      </w:r>
      <w:r w:rsidRPr="00266C82">
        <w:rPr>
          <w:rFonts w:eastAsiaTheme="minorHAnsi"/>
          <w:lang w:eastAsia="en-US"/>
        </w:rPr>
        <w:t>context where</w:t>
      </w:r>
      <w:r w:rsidR="00661686" w:rsidRPr="00266C82">
        <w:rPr>
          <w:rFonts w:eastAsiaTheme="minorHAnsi"/>
          <w:lang w:eastAsia="en-US"/>
        </w:rPr>
        <w:t>in</w:t>
      </w:r>
      <w:r w:rsidRPr="00266C82">
        <w:rPr>
          <w:rFonts w:eastAsiaTheme="minorHAnsi"/>
          <w:lang w:eastAsia="en-US"/>
        </w:rPr>
        <w:t xml:space="preserve"> they operate.</w:t>
      </w:r>
      <w:r w:rsidR="00863A1B" w:rsidRPr="00266C82">
        <w:rPr>
          <w:rFonts w:eastAsiaTheme="minorHAnsi"/>
          <w:lang w:eastAsia="en-US"/>
        </w:rPr>
        <w:t xml:space="preserve"> </w:t>
      </w:r>
      <w:r w:rsidRPr="00266C82">
        <w:rPr>
          <w:rFonts w:eastAsiaTheme="minorHAnsi"/>
          <w:lang w:eastAsia="en-US"/>
        </w:rPr>
        <w:t xml:space="preserve">This reciprocal effect </w:t>
      </w:r>
      <w:r w:rsidR="0093798F" w:rsidRPr="00266C82">
        <w:rPr>
          <w:rFonts w:eastAsiaTheme="minorHAnsi"/>
          <w:lang w:eastAsia="en-US"/>
        </w:rPr>
        <w:t>generate</w:t>
      </w:r>
      <w:r w:rsidR="00661686" w:rsidRPr="00266C82">
        <w:rPr>
          <w:rFonts w:eastAsiaTheme="minorHAnsi"/>
          <w:lang w:eastAsia="en-US"/>
        </w:rPr>
        <w:t>s</w:t>
      </w:r>
      <w:r w:rsidR="0093798F" w:rsidRPr="00266C82">
        <w:rPr>
          <w:rFonts w:eastAsiaTheme="minorHAnsi"/>
          <w:lang w:eastAsia="en-US"/>
        </w:rPr>
        <w:t xml:space="preserve"> </w:t>
      </w:r>
      <w:r w:rsidR="00661686" w:rsidRPr="00266C82">
        <w:rPr>
          <w:rFonts w:eastAsiaTheme="minorHAnsi"/>
          <w:lang w:eastAsia="en-US"/>
        </w:rPr>
        <w:t xml:space="preserve">a </w:t>
      </w:r>
      <w:r w:rsidR="0093798F" w:rsidRPr="00266C82">
        <w:rPr>
          <w:rFonts w:eastAsiaTheme="minorHAnsi"/>
          <w:lang w:eastAsia="en-US"/>
        </w:rPr>
        <w:t xml:space="preserve">potential </w:t>
      </w:r>
      <w:r w:rsidRPr="00266C82">
        <w:t xml:space="preserve">endogeneity </w:t>
      </w:r>
      <w:r w:rsidR="00661686" w:rsidRPr="00266C82">
        <w:t>issue</w:t>
      </w:r>
      <w:r w:rsidR="0093798F" w:rsidRPr="00266C82">
        <w:t xml:space="preserve"> </w:t>
      </w:r>
      <w:r w:rsidR="00743F13" w:rsidRPr="00266C82">
        <w:t xml:space="preserve">that is typical of </w:t>
      </w:r>
      <w:r w:rsidR="00743F13" w:rsidRPr="00266C82">
        <w:rPr>
          <w:rFonts w:eastAsiaTheme="minorHAnsi"/>
          <w:lang w:eastAsia="en-US"/>
        </w:rPr>
        <w:t>the economic growth-financial development relationship (</w:t>
      </w:r>
      <w:r w:rsidR="0065436A">
        <w:rPr>
          <w:rFonts w:eastAsiaTheme="minorHAnsi"/>
          <w:lang w:eastAsia="en-US"/>
        </w:rPr>
        <w:t>for example,</w:t>
      </w:r>
      <w:r w:rsidR="00743F13" w:rsidRPr="00266C82">
        <w:rPr>
          <w:rFonts w:eastAsiaTheme="minorHAnsi"/>
          <w:lang w:eastAsia="en-US"/>
        </w:rPr>
        <w:t xml:space="preserve"> Aghion et al., 2005; Henderson et al., 2013).</w:t>
      </w:r>
      <w:r w:rsidR="0093798F" w:rsidRPr="00266C82">
        <w:t xml:space="preserve"> </w:t>
      </w:r>
      <w:r w:rsidR="00743F13" w:rsidRPr="00266C82">
        <w:t xml:space="preserve">This issue </w:t>
      </w:r>
      <w:r w:rsidRPr="00266C82">
        <w:t>needs to be fully addressed from a methodological viewpoint</w:t>
      </w:r>
      <w:r w:rsidR="0093798F" w:rsidRPr="00266C82">
        <w:t>.</w:t>
      </w:r>
    </w:p>
    <w:p w14:paraId="533508EA" w14:textId="77777777" w:rsidR="00FF7027" w:rsidRPr="00266C82" w:rsidRDefault="00FF7027" w:rsidP="00457347">
      <w:pPr>
        <w:pStyle w:val="ListParagraph"/>
        <w:numPr>
          <w:ilvl w:val="0"/>
          <w:numId w:val="19"/>
        </w:numPr>
        <w:autoSpaceDE w:val="0"/>
        <w:autoSpaceDN w:val="0"/>
        <w:adjustRightInd w:val="0"/>
        <w:spacing w:before="120" w:after="120" w:line="480" w:lineRule="auto"/>
        <w:ind w:left="357" w:hanging="357"/>
        <w:jc w:val="both"/>
        <w:rPr>
          <w:b/>
          <w:bCs/>
          <w:lang w:eastAsia="zh-TW"/>
        </w:rPr>
      </w:pPr>
      <w:r w:rsidRPr="00266C82">
        <w:rPr>
          <w:b/>
          <w:bCs/>
          <w:lang w:eastAsia="zh-TW"/>
        </w:rPr>
        <w:t>Data and Methodology</w:t>
      </w:r>
    </w:p>
    <w:p w14:paraId="34A3CFA0" w14:textId="77777777" w:rsidR="00C50AFB" w:rsidRPr="00266C82" w:rsidRDefault="00CD19FF" w:rsidP="00457347">
      <w:pPr>
        <w:pStyle w:val="ListParagraph"/>
        <w:numPr>
          <w:ilvl w:val="1"/>
          <w:numId w:val="19"/>
        </w:numPr>
        <w:autoSpaceDE w:val="0"/>
        <w:autoSpaceDN w:val="0"/>
        <w:adjustRightInd w:val="0"/>
        <w:spacing w:before="120" w:after="120" w:line="480" w:lineRule="auto"/>
        <w:ind w:left="357" w:hanging="357"/>
        <w:jc w:val="both"/>
        <w:rPr>
          <w:rStyle w:val="a"/>
          <w:bCs/>
          <w:i/>
          <w:lang w:eastAsia="zh-TW"/>
        </w:rPr>
      </w:pPr>
      <w:r w:rsidRPr="00266C82">
        <w:rPr>
          <w:bCs/>
          <w:i/>
        </w:rPr>
        <w:t xml:space="preserve">Data </w:t>
      </w:r>
      <w:r w:rsidR="00FF7027" w:rsidRPr="00266C82">
        <w:rPr>
          <w:bCs/>
          <w:i/>
        </w:rPr>
        <w:t>sample</w:t>
      </w:r>
      <w:r w:rsidR="006C0ED3" w:rsidRPr="00266C82">
        <w:rPr>
          <w:bCs/>
          <w:i/>
        </w:rPr>
        <w:t xml:space="preserve"> </w:t>
      </w:r>
    </w:p>
    <w:p w14:paraId="0B610612" w14:textId="77777777" w:rsidR="00C50AFB" w:rsidRPr="00266C82" w:rsidRDefault="00C50AFB" w:rsidP="00115167">
      <w:pPr>
        <w:autoSpaceDE w:val="0"/>
        <w:autoSpaceDN w:val="0"/>
        <w:adjustRightInd w:val="0"/>
        <w:spacing w:line="360" w:lineRule="auto"/>
        <w:jc w:val="both"/>
        <w:rPr>
          <w:i/>
          <w:iCs/>
        </w:rPr>
      </w:pPr>
      <w:r w:rsidRPr="00266C82">
        <w:t xml:space="preserve">The data on the competitiveness of European financial centres is provided by the </w:t>
      </w:r>
      <w:r w:rsidR="00D83B52">
        <w:t>Global Financial Centres Index (</w:t>
      </w:r>
      <w:r w:rsidR="005500AF" w:rsidRPr="00266C82">
        <w:t>GFCI</w:t>
      </w:r>
      <w:r w:rsidR="00D83B52">
        <w:t>)</w:t>
      </w:r>
      <w:r w:rsidR="00072D2D" w:rsidRPr="00266C82">
        <w:t>, which</w:t>
      </w:r>
      <w:r w:rsidRPr="00266C82">
        <w:t xml:space="preserve"> is produced by </w:t>
      </w:r>
      <w:r w:rsidR="00347B89" w:rsidRPr="00266C82">
        <w:t xml:space="preserve">the </w:t>
      </w:r>
      <w:r w:rsidRPr="00266C82">
        <w:t xml:space="preserve">Z/Yen Group in association with the City of London Corporation. </w:t>
      </w:r>
      <w:r w:rsidR="00C02523" w:rsidRPr="00266C82">
        <w:t>T</w:t>
      </w:r>
      <w:r w:rsidRPr="00266C82">
        <w:t>he GFCI provides profiles, ratings and rankings for 75 financial centres</w:t>
      </w:r>
      <w:r w:rsidR="00D83B52">
        <w:t>,</w:t>
      </w:r>
      <w:r w:rsidRPr="00266C82">
        <w:t xml:space="preserve"> drawing on two distinct sources of data: external indices</w:t>
      </w:r>
      <w:r w:rsidR="00792DDF" w:rsidRPr="00266C82">
        <w:t xml:space="preserve"> available at the country level</w:t>
      </w:r>
      <w:r w:rsidRPr="00266C82">
        <w:t xml:space="preserve"> (for example</w:t>
      </w:r>
      <w:r w:rsidR="0031565B" w:rsidRPr="00266C82">
        <w:t>,</w:t>
      </w:r>
      <w:r w:rsidR="00966C3C" w:rsidRPr="00266C82">
        <w:t xml:space="preserve"> </w:t>
      </w:r>
      <w:r w:rsidR="00347B89" w:rsidRPr="00266C82">
        <w:t xml:space="preserve">the </w:t>
      </w:r>
      <w:r w:rsidR="0031565B" w:rsidRPr="00266C82">
        <w:t xml:space="preserve">Global Competitiveness Index, Business Environment, </w:t>
      </w:r>
      <w:r w:rsidR="00347B89" w:rsidRPr="00266C82">
        <w:t xml:space="preserve">the </w:t>
      </w:r>
      <w:r w:rsidR="0031565B" w:rsidRPr="00266C82">
        <w:t xml:space="preserve">Centres of Commerce Index, </w:t>
      </w:r>
      <w:r w:rsidR="00E049E9" w:rsidRPr="00266C82">
        <w:t xml:space="preserve">the </w:t>
      </w:r>
      <w:r w:rsidRPr="00266C82">
        <w:t>occupancy costs index</w:t>
      </w:r>
      <w:r w:rsidR="002D3B1E" w:rsidRPr="00266C82">
        <w:t>,</w:t>
      </w:r>
      <w:r w:rsidRPr="00266C82">
        <w:t xml:space="preserve"> </w:t>
      </w:r>
      <w:r w:rsidR="00D83B52">
        <w:t xml:space="preserve">and </w:t>
      </w:r>
      <w:r w:rsidR="00E049E9" w:rsidRPr="00266C82">
        <w:t xml:space="preserve">the </w:t>
      </w:r>
      <w:r w:rsidRPr="00266C82">
        <w:t xml:space="preserve">corruption perception index) and responses to an online survey. The index encompasses five key indicators as reported below: </w:t>
      </w:r>
      <w:r w:rsidRPr="00266C82">
        <w:rPr>
          <w:i/>
          <w:iCs/>
        </w:rPr>
        <w:t xml:space="preserve">people, business environment, market access, infrastructure </w:t>
      </w:r>
      <w:r w:rsidRPr="00266C82">
        <w:t xml:space="preserve">and </w:t>
      </w:r>
      <w:r w:rsidRPr="00266C82">
        <w:rPr>
          <w:i/>
          <w:iCs/>
        </w:rPr>
        <w:t>general competitiveness</w:t>
      </w:r>
      <w:r w:rsidR="00072D2D" w:rsidRPr="00266C82">
        <w:t xml:space="preserve">. </w:t>
      </w:r>
      <w:r w:rsidR="00072D2D" w:rsidRPr="00266C82">
        <w:rPr>
          <w:i/>
        </w:rPr>
        <w:t>P</w:t>
      </w:r>
      <w:r w:rsidRPr="00266C82">
        <w:rPr>
          <w:i/>
          <w:iCs/>
        </w:rPr>
        <w:t>eople</w:t>
      </w:r>
      <w:r w:rsidRPr="00266C82">
        <w:t xml:space="preserve"> refers to the availability of good personnel, business education, and the flexibility of the labour market; </w:t>
      </w:r>
      <w:r w:rsidRPr="00266C82">
        <w:rPr>
          <w:i/>
          <w:iCs/>
        </w:rPr>
        <w:t>business environment</w:t>
      </w:r>
      <w:r w:rsidRPr="00266C82">
        <w:t xml:space="preserve"> measures the regulation system (e.g. tax rates, levels of corruption, economic freedom and the ease of doing business); </w:t>
      </w:r>
      <w:r w:rsidRPr="00266C82">
        <w:rPr>
          <w:i/>
          <w:iCs/>
        </w:rPr>
        <w:t>market access</w:t>
      </w:r>
      <w:r w:rsidRPr="00266C82">
        <w:t xml:space="preserve"> includes the level of securiti</w:t>
      </w:r>
      <w:r w:rsidR="002D3B1E" w:rsidRPr="00266C82">
        <w:t>s</w:t>
      </w:r>
      <w:r w:rsidRPr="00266C82">
        <w:t>ation, volume and value of trading in equities and bonds</w:t>
      </w:r>
      <w:r w:rsidR="00347B89" w:rsidRPr="00266C82">
        <w:t>,</w:t>
      </w:r>
      <w:r w:rsidRPr="00266C82">
        <w:t xml:space="preserve"> and </w:t>
      </w:r>
      <w:r w:rsidR="002D3B1E" w:rsidRPr="00266C82">
        <w:t xml:space="preserve">the </w:t>
      </w:r>
      <w:r w:rsidRPr="00266C82">
        <w:t xml:space="preserve">number of firms engaged in the financial service sector; </w:t>
      </w:r>
      <w:r w:rsidRPr="00266C82">
        <w:rPr>
          <w:i/>
          <w:iCs/>
        </w:rPr>
        <w:t>infrastructure</w:t>
      </w:r>
      <w:r w:rsidRPr="00266C82">
        <w:t xml:space="preserve"> takes in</w:t>
      </w:r>
      <w:r w:rsidR="002D3B1E" w:rsidRPr="00266C82">
        <w:t>to</w:t>
      </w:r>
      <w:r w:rsidRPr="00266C82">
        <w:t xml:space="preserve"> consideration the cost and availability of buildings and office space; and finally</w:t>
      </w:r>
      <w:r w:rsidR="00072D2D" w:rsidRPr="00266C82">
        <w:t>,</w:t>
      </w:r>
      <w:r w:rsidRPr="00266C82">
        <w:t xml:space="preserve"> </w:t>
      </w:r>
      <w:r w:rsidRPr="00266C82">
        <w:rPr>
          <w:i/>
          <w:iCs/>
        </w:rPr>
        <w:t>general competitiveness</w:t>
      </w:r>
      <w:r w:rsidRPr="00266C82">
        <w:t xml:space="preserve"> refers to the overall competitiveness of the city and quality of life</w:t>
      </w:r>
      <w:r w:rsidRPr="00266C82">
        <w:rPr>
          <w:i/>
          <w:iCs/>
        </w:rPr>
        <w:t xml:space="preserve">. </w:t>
      </w:r>
      <w:r w:rsidR="00F07753" w:rsidRPr="00266C82">
        <w:rPr>
          <w:i/>
          <w:iCs/>
        </w:rPr>
        <w:t xml:space="preserve"> </w:t>
      </w:r>
    </w:p>
    <w:p w14:paraId="243284F5" w14:textId="77777777" w:rsidR="00C50AFB" w:rsidRPr="00266C82" w:rsidRDefault="00C50AFB" w:rsidP="00C710C3">
      <w:pPr>
        <w:spacing w:line="360" w:lineRule="auto"/>
        <w:ind w:firstLine="567"/>
        <w:jc w:val="both"/>
      </w:pPr>
      <w:r w:rsidRPr="00266C82">
        <w:t>The uniqueness of the database is that the GFCI index</w:t>
      </w:r>
      <w:r w:rsidR="00F07753" w:rsidRPr="00266C82">
        <w:rPr>
          <w:rStyle w:val="EndnoteReference"/>
        </w:rPr>
        <w:endnoteReference w:id="2"/>
      </w:r>
      <w:r w:rsidRPr="00266C82">
        <w:t xml:space="preserve"> incorporates all the essential aspects identified by the economic geography literature to be important for productivity growth, agglomeration economies and increasing returns, such as a skilled and flexible labour market, access to capital, infrastructure efficiency and quality, transportation costs, and regulatory and institutional settings.</w:t>
      </w:r>
      <w:r w:rsidR="00C92EF1" w:rsidRPr="00266C82">
        <w:t xml:space="preserve"> </w:t>
      </w:r>
      <w:r w:rsidR="00944E0E" w:rsidRPr="00266C82">
        <w:t xml:space="preserve">We collect data </w:t>
      </w:r>
      <w:r w:rsidR="001A3609" w:rsidRPr="00266C82">
        <w:t>for</w:t>
      </w:r>
      <w:r w:rsidR="00944E0E" w:rsidRPr="00266C82">
        <w:t xml:space="preserve"> these five key indicators </w:t>
      </w:r>
      <w:r w:rsidR="002D0B26" w:rsidRPr="00266C82">
        <w:t xml:space="preserve">from the Global Competitiveness Index </w:t>
      </w:r>
      <w:r w:rsidR="00053E92" w:rsidRPr="00266C82">
        <w:t xml:space="preserve">(GFI) </w:t>
      </w:r>
      <w:r w:rsidR="002D0B26" w:rsidRPr="00266C82">
        <w:t xml:space="preserve">Database provided by the </w:t>
      </w:r>
      <w:r w:rsidR="00944E0E" w:rsidRPr="00266C82">
        <w:t>World Economic Forum</w:t>
      </w:r>
      <w:r w:rsidR="002D0B26" w:rsidRPr="00266C82">
        <w:t>.</w:t>
      </w:r>
      <w:r w:rsidR="00010097" w:rsidRPr="00266C82">
        <w:rPr>
          <w:rStyle w:val="EndnoteReference"/>
        </w:rPr>
        <w:endnoteReference w:id="3"/>
      </w:r>
      <w:r w:rsidR="00944E0E" w:rsidRPr="00266C82">
        <w:t xml:space="preserve"> Based</w:t>
      </w:r>
      <w:r w:rsidR="002D0B26" w:rsidRPr="00266C82">
        <w:t xml:space="preserve"> on</w:t>
      </w:r>
      <w:r w:rsidR="00944E0E" w:rsidRPr="00266C82">
        <w:t xml:space="preserve"> the reports produced by</w:t>
      </w:r>
      <w:r w:rsidR="00347B89" w:rsidRPr="00266C82">
        <w:t xml:space="preserve"> the</w:t>
      </w:r>
      <w:r w:rsidR="00944E0E" w:rsidRPr="00266C82">
        <w:t xml:space="preserve"> Z/Yen Group, </w:t>
      </w:r>
      <w:r w:rsidR="005D7BF7" w:rsidRPr="00266C82">
        <w:t>the GFI</w:t>
      </w:r>
      <w:r w:rsidR="005D7707" w:rsidRPr="00266C82">
        <w:t xml:space="preserve"> displays</w:t>
      </w:r>
      <w:r w:rsidR="00347B89" w:rsidRPr="00266C82">
        <w:t xml:space="preserve"> a</w:t>
      </w:r>
      <w:r w:rsidR="005D7707" w:rsidRPr="00266C82">
        <w:t xml:space="preserve"> high correlation</w:t>
      </w:r>
      <w:r w:rsidR="00AD5350" w:rsidRPr="00266C82">
        <w:t xml:space="preserve"> </w:t>
      </w:r>
      <w:r w:rsidR="002D0B26" w:rsidRPr="00266C82">
        <w:t>with the GFCI</w:t>
      </w:r>
      <w:r w:rsidR="000B5C3B" w:rsidRPr="00266C82">
        <w:t>. F</w:t>
      </w:r>
      <w:r w:rsidR="002D0B26" w:rsidRPr="00266C82">
        <w:t>urthermore, it</w:t>
      </w:r>
      <w:r w:rsidR="00944E0E" w:rsidRPr="00266C82">
        <w:t xml:space="preserve"> encompasses the </w:t>
      </w:r>
      <w:r w:rsidR="002D0B26" w:rsidRPr="00266C82">
        <w:t xml:space="preserve">most relevant and recurrent </w:t>
      </w:r>
      <w:r w:rsidR="005D7BF7" w:rsidRPr="00266C82">
        <w:t>(</w:t>
      </w:r>
      <w:r w:rsidR="00053E92" w:rsidRPr="00266C82">
        <w:t>list</w:t>
      </w:r>
      <w:r w:rsidR="005D7BF7" w:rsidRPr="00266C82">
        <w:t>ed as an important source for</w:t>
      </w:r>
      <w:r w:rsidR="00053E92" w:rsidRPr="00266C82">
        <w:t xml:space="preserve"> the GFCI for at least three years) </w:t>
      </w:r>
      <w:r w:rsidR="002D0B26" w:rsidRPr="00266C82">
        <w:t>sources of competitiveness at the country level for financial centres</w:t>
      </w:r>
      <w:r w:rsidR="00944E0E" w:rsidRPr="00266C82">
        <w:t xml:space="preserve">. </w:t>
      </w:r>
      <w:r w:rsidR="00053E92" w:rsidRPr="00266C82">
        <w:t>We consider</w:t>
      </w:r>
      <w:r w:rsidR="001A3609" w:rsidRPr="00266C82">
        <w:t xml:space="preserve"> as drivers of the economic convergence/divergence of European regions</w:t>
      </w:r>
      <w:r w:rsidR="00053E92" w:rsidRPr="00266C82">
        <w:t xml:space="preserve"> the</w:t>
      </w:r>
      <w:r w:rsidR="00944E0E" w:rsidRPr="00266C82">
        <w:t xml:space="preserve"> following </w:t>
      </w:r>
      <w:r w:rsidR="00D83B52">
        <w:t>indices</w:t>
      </w:r>
      <w:r w:rsidR="00D83B52" w:rsidRPr="00266C82">
        <w:t xml:space="preserve"> </w:t>
      </w:r>
      <w:r w:rsidR="001A3609" w:rsidRPr="00266C82">
        <w:t xml:space="preserve">of the GFI database: </w:t>
      </w:r>
      <w:r w:rsidR="00920C79" w:rsidRPr="00266C82">
        <w:t>infrastructure (</w:t>
      </w:r>
      <w:r w:rsidR="00920C79" w:rsidRPr="00266C82">
        <w:rPr>
          <w:i/>
        </w:rPr>
        <w:t>infrastructure</w:t>
      </w:r>
      <w:r w:rsidR="00920C79" w:rsidRPr="00266C82">
        <w:t>); higher education and training</w:t>
      </w:r>
      <w:r w:rsidR="00347B89" w:rsidRPr="00266C82">
        <w:t>,</w:t>
      </w:r>
      <w:r w:rsidR="00920C79" w:rsidRPr="00266C82">
        <w:t xml:space="preserve"> and labour market efficiency (</w:t>
      </w:r>
      <w:r w:rsidR="00920C79" w:rsidRPr="00266C82">
        <w:rPr>
          <w:i/>
        </w:rPr>
        <w:t>people</w:t>
      </w:r>
      <w:r w:rsidR="00920C79" w:rsidRPr="00266C82">
        <w:t xml:space="preserve">); </w:t>
      </w:r>
      <w:r w:rsidR="00053E92" w:rsidRPr="00266C82">
        <w:t>market size</w:t>
      </w:r>
      <w:r w:rsidR="00920C79" w:rsidRPr="00266C82">
        <w:t xml:space="preserve"> and goods market efficiency (</w:t>
      </w:r>
      <w:r w:rsidR="00920C79" w:rsidRPr="00266C82">
        <w:rPr>
          <w:i/>
        </w:rPr>
        <w:t>market access</w:t>
      </w:r>
      <w:r w:rsidR="00920C79" w:rsidRPr="00266C82">
        <w:t xml:space="preserve">); </w:t>
      </w:r>
      <w:r w:rsidR="00053E92" w:rsidRPr="00266C82">
        <w:t>business sophistication,</w:t>
      </w:r>
      <w:r w:rsidR="00944E0E" w:rsidRPr="00266C82">
        <w:t xml:space="preserve"> </w:t>
      </w:r>
      <w:r w:rsidR="00053E92" w:rsidRPr="00266C82">
        <w:t>i</w:t>
      </w:r>
      <w:r w:rsidR="00944E0E" w:rsidRPr="00266C82">
        <w:t xml:space="preserve">nnovation, </w:t>
      </w:r>
      <w:r w:rsidR="00053E92" w:rsidRPr="00266C82">
        <w:t>i</w:t>
      </w:r>
      <w:r w:rsidR="00944E0E" w:rsidRPr="00266C82">
        <w:t xml:space="preserve">nstitutions, </w:t>
      </w:r>
      <w:r w:rsidR="00053E92" w:rsidRPr="00266C82">
        <w:t>m</w:t>
      </w:r>
      <w:r w:rsidR="00944E0E" w:rsidRPr="00266C82">
        <w:t>acroeconomic environment</w:t>
      </w:r>
      <w:r w:rsidR="00920C79" w:rsidRPr="00266C82">
        <w:t xml:space="preserve"> and technological readiness (</w:t>
      </w:r>
      <w:r w:rsidR="00920C79" w:rsidRPr="00266C82">
        <w:rPr>
          <w:i/>
        </w:rPr>
        <w:t>business environment</w:t>
      </w:r>
      <w:r w:rsidR="00920C79" w:rsidRPr="00266C82">
        <w:t>)</w:t>
      </w:r>
      <w:r w:rsidR="00944E0E" w:rsidRPr="00266C82">
        <w:t>,</w:t>
      </w:r>
      <w:r w:rsidR="001F2CDE" w:rsidRPr="00266C82">
        <w:t xml:space="preserve"> </w:t>
      </w:r>
      <w:r w:rsidR="00053E92" w:rsidRPr="00266C82">
        <w:t>h</w:t>
      </w:r>
      <w:r w:rsidR="00944E0E" w:rsidRPr="00266C82">
        <w:t>ealth and primary education</w:t>
      </w:r>
      <w:r w:rsidR="00920C79" w:rsidRPr="00266C82">
        <w:t xml:space="preserve"> (</w:t>
      </w:r>
      <w:r w:rsidR="00920C79" w:rsidRPr="00266C82">
        <w:rPr>
          <w:i/>
        </w:rPr>
        <w:t>overall competitiveness</w:t>
      </w:r>
      <w:r w:rsidR="00920C79" w:rsidRPr="00266C82">
        <w:t>)</w:t>
      </w:r>
      <w:r w:rsidR="002D0B26" w:rsidRPr="00266C82">
        <w:t>.</w:t>
      </w:r>
    </w:p>
    <w:p w14:paraId="4123691F" w14:textId="77777777" w:rsidR="00FF7027" w:rsidRPr="00266C82" w:rsidRDefault="001F2CDE" w:rsidP="00C710C3">
      <w:pPr>
        <w:pStyle w:val="EndnoteText"/>
        <w:spacing w:line="360" w:lineRule="auto"/>
        <w:ind w:firstLine="567"/>
        <w:jc w:val="both"/>
        <w:rPr>
          <w:sz w:val="24"/>
          <w:szCs w:val="24"/>
        </w:rPr>
      </w:pPr>
      <w:r w:rsidRPr="00266C82">
        <w:rPr>
          <w:sz w:val="24"/>
          <w:szCs w:val="24"/>
        </w:rPr>
        <w:t xml:space="preserve">We </w:t>
      </w:r>
      <w:r w:rsidR="001A3609" w:rsidRPr="00266C82">
        <w:rPr>
          <w:sz w:val="24"/>
          <w:szCs w:val="24"/>
        </w:rPr>
        <w:t xml:space="preserve">then </w:t>
      </w:r>
      <w:r w:rsidR="00C50AFB" w:rsidRPr="00266C82">
        <w:rPr>
          <w:sz w:val="24"/>
          <w:szCs w:val="24"/>
        </w:rPr>
        <w:t>assess</w:t>
      </w:r>
      <w:r w:rsidR="00C50AFB" w:rsidRPr="00266C82">
        <w:rPr>
          <w:sz w:val="24"/>
          <w:szCs w:val="24"/>
          <w:lang w:eastAsia="zh-CN"/>
        </w:rPr>
        <w:t xml:space="preserve"> the level of welfare in terms of regional GD</w:t>
      </w:r>
      <w:r w:rsidR="00010097" w:rsidRPr="00266C82">
        <w:rPr>
          <w:sz w:val="24"/>
          <w:szCs w:val="24"/>
          <w:lang w:eastAsia="zh-CN"/>
        </w:rPr>
        <w:t>P per capita at the NUTS3 level. We collect</w:t>
      </w:r>
      <w:r w:rsidR="005D7BF7" w:rsidRPr="00266C82">
        <w:rPr>
          <w:sz w:val="24"/>
          <w:szCs w:val="24"/>
          <w:lang w:eastAsia="zh-CN"/>
        </w:rPr>
        <w:t>ed</w:t>
      </w:r>
      <w:r w:rsidR="00010097" w:rsidRPr="00266C82">
        <w:rPr>
          <w:sz w:val="24"/>
          <w:szCs w:val="24"/>
          <w:lang w:eastAsia="zh-CN"/>
        </w:rPr>
        <w:t xml:space="preserve"> </w:t>
      </w:r>
      <w:r w:rsidR="005D7BF7" w:rsidRPr="00266C82">
        <w:rPr>
          <w:sz w:val="24"/>
          <w:szCs w:val="24"/>
          <w:lang w:eastAsia="zh-CN"/>
        </w:rPr>
        <w:t xml:space="preserve">the </w:t>
      </w:r>
      <w:r w:rsidR="00010097" w:rsidRPr="00266C82">
        <w:rPr>
          <w:sz w:val="24"/>
          <w:szCs w:val="24"/>
          <w:lang w:eastAsia="zh-CN"/>
        </w:rPr>
        <w:t>data on GDP per capita from Eurostat</w:t>
      </w:r>
      <w:r w:rsidR="00C50AFB" w:rsidRPr="00266C82">
        <w:rPr>
          <w:sz w:val="24"/>
          <w:szCs w:val="24"/>
          <w:lang w:eastAsia="zh-CN"/>
        </w:rPr>
        <w:t xml:space="preserve">. </w:t>
      </w:r>
      <w:r w:rsidR="0062152C" w:rsidRPr="00266C82">
        <w:rPr>
          <w:sz w:val="24"/>
          <w:szCs w:val="24"/>
          <w:lang w:eastAsia="zh-CN"/>
        </w:rPr>
        <w:t>Our sample covers the period 2008</w:t>
      </w:r>
      <w:r w:rsidR="00D83B52">
        <w:rPr>
          <w:sz w:val="24"/>
          <w:szCs w:val="24"/>
          <w:lang w:eastAsia="zh-CN"/>
        </w:rPr>
        <w:t>–</w:t>
      </w:r>
      <w:r w:rsidR="0062152C" w:rsidRPr="00266C82">
        <w:rPr>
          <w:sz w:val="24"/>
          <w:szCs w:val="24"/>
          <w:lang w:eastAsia="zh-CN"/>
        </w:rPr>
        <w:t>2012.</w:t>
      </w:r>
      <w:r w:rsidR="006C0ED3" w:rsidRPr="00266C82">
        <w:rPr>
          <w:sz w:val="24"/>
          <w:szCs w:val="24"/>
          <w:lang w:eastAsia="zh-CN"/>
        </w:rPr>
        <w:t xml:space="preserve"> We exclude </w:t>
      </w:r>
      <w:r w:rsidR="00347B89" w:rsidRPr="00266C82">
        <w:rPr>
          <w:sz w:val="24"/>
          <w:szCs w:val="24"/>
          <w:lang w:eastAsia="zh-CN"/>
        </w:rPr>
        <w:t xml:space="preserve">the </w:t>
      </w:r>
      <w:r w:rsidR="00D83B52">
        <w:rPr>
          <w:sz w:val="24"/>
          <w:szCs w:val="24"/>
          <w:lang w:eastAsia="zh-CN"/>
        </w:rPr>
        <w:t>C</w:t>
      </w:r>
      <w:r w:rsidR="00347B89" w:rsidRPr="00266C82">
        <w:rPr>
          <w:sz w:val="24"/>
          <w:szCs w:val="24"/>
          <w:lang w:eastAsia="zh-CN"/>
        </w:rPr>
        <w:t xml:space="preserve">ity of London </w:t>
      </w:r>
      <w:r w:rsidR="006C0ED3" w:rsidRPr="00266C82">
        <w:rPr>
          <w:sz w:val="24"/>
          <w:szCs w:val="24"/>
          <w:lang w:eastAsia="zh-CN"/>
        </w:rPr>
        <w:t>from our sample</w:t>
      </w:r>
      <w:r w:rsidR="006C0ED3" w:rsidRPr="003470D2">
        <w:rPr>
          <w:sz w:val="24"/>
          <w:szCs w:val="24"/>
          <w:lang w:eastAsia="zh-CN"/>
        </w:rPr>
        <w:t xml:space="preserve">. </w:t>
      </w:r>
      <w:r w:rsidR="00C50AFB" w:rsidRPr="003470D2">
        <w:rPr>
          <w:sz w:val="24"/>
          <w:szCs w:val="24"/>
        </w:rPr>
        <w:t>Clark (2002)</w:t>
      </w:r>
      <w:r w:rsidR="00C50AFB" w:rsidRPr="00266C82">
        <w:rPr>
          <w:sz w:val="24"/>
          <w:szCs w:val="24"/>
        </w:rPr>
        <w:t xml:space="preserve"> and Faulconbridge (2004)</w:t>
      </w:r>
      <w:r w:rsidR="006C0ED3" w:rsidRPr="00266C82">
        <w:rPr>
          <w:sz w:val="24"/>
          <w:szCs w:val="24"/>
        </w:rPr>
        <w:t xml:space="preserve"> show that </w:t>
      </w:r>
      <w:r w:rsidR="00C50AFB" w:rsidRPr="00266C82">
        <w:rPr>
          <w:sz w:val="24"/>
          <w:szCs w:val="24"/>
        </w:rPr>
        <w:t xml:space="preserve">London </w:t>
      </w:r>
      <w:r w:rsidR="00A526AA" w:rsidRPr="00266C82">
        <w:rPr>
          <w:sz w:val="24"/>
          <w:szCs w:val="24"/>
        </w:rPr>
        <w:t xml:space="preserve">has </w:t>
      </w:r>
      <w:r w:rsidR="00C50AFB" w:rsidRPr="00266C82">
        <w:rPr>
          <w:sz w:val="24"/>
          <w:szCs w:val="24"/>
        </w:rPr>
        <w:t>a different type of financial system compared to continental Europe</w:t>
      </w:r>
      <w:r w:rsidR="00A526AA" w:rsidRPr="00266C82">
        <w:rPr>
          <w:sz w:val="24"/>
          <w:szCs w:val="24"/>
        </w:rPr>
        <w:t xml:space="preserve">. It has a </w:t>
      </w:r>
      <w:r w:rsidR="00C50AFB" w:rsidRPr="00266C82">
        <w:rPr>
          <w:sz w:val="24"/>
          <w:szCs w:val="24"/>
        </w:rPr>
        <w:t>high volume of institutional and pension fund asset</w:t>
      </w:r>
      <w:r w:rsidR="001D17C8" w:rsidRPr="00266C82">
        <w:rPr>
          <w:sz w:val="24"/>
          <w:szCs w:val="24"/>
        </w:rPr>
        <w:t>s</w:t>
      </w:r>
      <w:r w:rsidR="00C50AFB" w:rsidRPr="00266C82">
        <w:rPr>
          <w:sz w:val="24"/>
          <w:szCs w:val="24"/>
        </w:rPr>
        <w:t xml:space="preserve">, privileged interchange with the US, diversification, and </w:t>
      </w:r>
      <w:r w:rsidR="001D17C8" w:rsidRPr="00266C82">
        <w:rPr>
          <w:sz w:val="24"/>
          <w:szCs w:val="24"/>
        </w:rPr>
        <w:t xml:space="preserve">different </w:t>
      </w:r>
      <w:r w:rsidR="00C50AFB" w:rsidRPr="00266C82">
        <w:rPr>
          <w:sz w:val="24"/>
          <w:szCs w:val="24"/>
        </w:rPr>
        <w:t>services and product range</w:t>
      </w:r>
      <w:r w:rsidR="001D17C8" w:rsidRPr="00266C82">
        <w:rPr>
          <w:sz w:val="24"/>
          <w:szCs w:val="24"/>
        </w:rPr>
        <w:t>s</w:t>
      </w:r>
      <w:r w:rsidR="00A526AA" w:rsidRPr="00266C82">
        <w:rPr>
          <w:sz w:val="24"/>
          <w:szCs w:val="24"/>
        </w:rPr>
        <w:t xml:space="preserve">. </w:t>
      </w:r>
      <w:r w:rsidR="00C50AFB" w:rsidRPr="00266C82">
        <w:rPr>
          <w:sz w:val="24"/>
          <w:szCs w:val="24"/>
        </w:rPr>
        <w:t xml:space="preserve">London </w:t>
      </w:r>
      <w:r w:rsidR="007C56CF" w:rsidRPr="00266C82">
        <w:rPr>
          <w:sz w:val="24"/>
          <w:szCs w:val="24"/>
        </w:rPr>
        <w:t>acts as</w:t>
      </w:r>
      <w:r w:rsidR="00A526AA" w:rsidRPr="00266C82">
        <w:rPr>
          <w:sz w:val="24"/>
          <w:szCs w:val="24"/>
        </w:rPr>
        <w:t xml:space="preserve"> an </w:t>
      </w:r>
      <w:r w:rsidR="00C50AFB" w:rsidRPr="00266C82">
        <w:rPr>
          <w:sz w:val="24"/>
          <w:szCs w:val="24"/>
        </w:rPr>
        <w:t>outlier</w:t>
      </w:r>
      <w:r w:rsidR="00A526AA" w:rsidRPr="00266C82">
        <w:rPr>
          <w:sz w:val="24"/>
          <w:szCs w:val="24"/>
        </w:rPr>
        <w:t xml:space="preserve"> in our sample</w:t>
      </w:r>
      <w:r w:rsidR="007C56CF" w:rsidRPr="00266C82">
        <w:rPr>
          <w:sz w:val="24"/>
          <w:szCs w:val="24"/>
        </w:rPr>
        <w:t xml:space="preserve"> </w:t>
      </w:r>
      <w:r w:rsidR="00D83B52">
        <w:rPr>
          <w:sz w:val="24"/>
          <w:szCs w:val="24"/>
        </w:rPr>
        <w:t>because</w:t>
      </w:r>
      <w:r w:rsidR="00D83B52" w:rsidRPr="00266C82">
        <w:rPr>
          <w:sz w:val="24"/>
          <w:szCs w:val="24"/>
        </w:rPr>
        <w:t xml:space="preserve"> </w:t>
      </w:r>
      <w:r w:rsidR="008224FE" w:rsidRPr="00266C82">
        <w:rPr>
          <w:sz w:val="24"/>
          <w:szCs w:val="24"/>
        </w:rPr>
        <w:t>it shows</w:t>
      </w:r>
      <w:r w:rsidR="00C50AFB" w:rsidRPr="00266C82">
        <w:rPr>
          <w:sz w:val="24"/>
          <w:szCs w:val="24"/>
        </w:rPr>
        <w:t xml:space="preserve"> a very high rating </w:t>
      </w:r>
      <w:r w:rsidR="000A3D6C" w:rsidRPr="00266C82">
        <w:rPr>
          <w:sz w:val="24"/>
          <w:szCs w:val="24"/>
        </w:rPr>
        <w:t xml:space="preserve">and GDP </w:t>
      </w:r>
      <w:r w:rsidR="007C56CF" w:rsidRPr="00266C82">
        <w:rPr>
          <w:sz w:val="24"/>
          <w:szCs w:val="24"/>
        </w:rPr>
        <w:t>compared to</w:t>
      </w:r>
      <w:r w:rsidR="000A3D6C" w:rsidRPr="00266C82">
        <w:rPr>
          <w:sz w:val="24"/>
          <w:szCs w:val="24"/>
        </w:rPr>
        <w:t xml:space="preserve"> respectively</w:t>
      </w:r>
      <w:r w:rsidR="007C56CF" w:rsidRPr="00266C82">
        <w:rPr>
          <w:sz w:val="24"/>
          <w:szCs w:val="24"/>
        </w:rPr>
        <w:t xml:space="preserve"> the other European financial centres </w:t>
      </w:r>
      <w:r w:rsidR="000A3D6C" w:rsidRPr="00266C82">
        <w:rPr>
          <w:sz w:val="24"/>
          <w:szCs w:val="24"/>
        </w:rPr>
        <w:t xml:space="preserve">and </w:t>
      </w:r>
      <w:r w:rsidR="007C56CF" w:rsidRPr="00266C82">
        <w:rPr>
          <w:sz w:val="24"/>
          <w:szCs w:val="24"/>
        </w:rPr>
        <w:t>regions</w:t>
      </w:r>
      <w:r w:rsidR="00C50AFB" w:rsidRPr="00266C82">
        <w:rPr>
          <w:sz w:val="24"/>
          <w:szCs w:val="24"/>
        </w:rPr>
        <w:t xml:space="preserve">. </w:t>
      </w:r>
    </w:p>
    <w:p w14:paraId="068493FF" w14:textId="77777777" w:rsidR="00BA1001" w:rsidRDefault="00B93D12" w:rsidP="00BA1001">
      <w:pPr>
        <w:autoSpaceDE w:val="0"/>
        <w:autoSpaceDN w:val="0"/>
        <w:adjustRightInd w:val="0"/>
        <w:spacing w:line="360" w:lineRule="auto"/>
        <w:ind w:firstLine="567"/>
        <w:jc w:val="both"/>
        <w:rPr>
          <w:lang w:eastAsia="zh-CN"/>
        </w:rPr>
      </w:pPr>
      <w:r w:rsidRPr="00266C82">
        <w:t xml:space="preserve">Table 1 reports the descriptive statistics of the GFCI gaps, drivers of competitiveness and instruments used to address the endogeneity issue. </w:t>
      </w:r>
      <w:r w:rsidRPr="00266C82">
        <w:rPr>
          <w:lang w:eastAsia="zh-CN"/>
        </w:rPr>
        <w:t>Table 1 clearly indicates a wide heterogeneity GDP per capita within the European regions. It also shows that the GFCI is highly volatile, which means that it differs considerably across individual financial centres.</w:t>
      </w:r>
      <w:r w:rsidR="00C710C3" w:rsidRPr="00266C82">
        <w:rPr>
          <w:lang w:eastAsia="zh-CN"/>
        </w:rPr>
        <w:t xml:space="preserve"> </w:t>
      </w:r>
    </w:p>
    <w:p w14:paraId="272E46ED" w14:textId="77777777" w:rsidR="00BA1001" w:rsidRPr="00BA1001" w:rsidRDefault="00BA1001" w:rsidP="00BA1001">
      <w:pPr>
        <w:spacing w:before="120" w:after="120" w:line="480" w:lineRule="auto"/>
        <w:jc w:val="center"/>
        <w:rPr>
          <w:i/>
        </w:rPr>
      </w:pPr>
      <w:r w:rsidRPr="00266C82">
        <w:rPr>
          <w:i/>
        </w:rPr>
        <w:t>Insert Table</w:t>
      </w:r>
      <w:r>
        <w:rPr>
          <w:i/>
        </w:rPr>
        <w:t xml:space="preserve"> </w:t>
      </w:r>
      <w:r w:rsidRPr="00266C82">
        <w:rPr>
          <w:i/>
        </w:rPr>
        <w:t>1 about here</w:t>
      </w:r>
    </w:p>
    <w:p w14:paraId="3563A8CC" w14:textId="0225A1FC" w:rsidR="00B93D12" w:rsidRPr="00266C82" w:rsidRDefault="00B93D12" w:rsidP="00BA1001">
      <w:pPr>
        <w:autoSpaceDE w:val="0"/>
        <w:autoSpaceDN w:val="0"/>
        <w:adjustRightInd w:val="0"/>
        <w:spacing w:line="360" w:lineRule="auto"/>
        <w:ind w:firstLine="567"/>
        <w:jc w:val="both"/>
      </w:pPr>
      <w:r w:rsidRPr="00266C82">
        <w:t>Table 2 shows the average level of the GFCI for the 23 European financial centres for the period 2008</w:t>
      </w:r>
      <w:r w:rsidR="00064029">
        <w:t>–</w:t>
      </w:r>
      <w:r w:rsidRPr="00266C82">
        <w:t xml:space="preserve">2012. In particular, we observe that Frankfurt is the benchmark city in terms of the GFCI for our analysis as it was the leading centre in continental Europe during the period from 2008 to 2012. In particular, </w:t>
      </w:r>
      <w:r w:rsidRPr="00266C82">
        <w:rPr>
          <w:lang w:eastAsia="zh-CN"/>
        </w:rPr>
        <w:t>Frankfurt is competitive in the areas of human capital and business environment. It has also gained a strategic importance by being Germany’s leading financial centre, which also provides specialist business services for transnational firms (Taylor et al., 2014). It is</w:t>
      </w:r>
      <w:r w:rsidRPr="00266C82">
        <w:t xml:space="preserve"> </w:t>
      </w:r>
      <w:r w:rsidRPr="00266C82">
        <w:rPr>
          <w:lang w:eastAsia="zh-CN"/>
        </w:rPr>
        <w:t>well-known globally, and presents a rich environment of different types of financial service institutions (</w:t>
      </w:r>
      <w:r w:rsidRPr="00266C82">
        <w:t>Z/Yen Group, 201</w:t>
      </w:r>
      <w:r w:rsidR="00935239" w:rsidRPr="00266C82">
        <w:t>0</w:t>
      </w:r>
      <w:r w:rsidRPr="00266C82">
        <w:t>)</w:t>
      </w:r>
      <w:r w:rsidRPr="00266C82">
        <w:rPr>
          <w:lang w:eastAsia="zh-CN"/>
        </w:rPr>
        <w:t xml:space="preserve">. Table 2 reports the average GDP per capita from 2008 to 2012 for the NUTS3 level regions where financial centres are located. Paris is the leading centre in terms of GDP per capita. </w:t>
      </w:r>
      <w:r w:rsidR="00EB1F0E">
        <w:rPr>
          <w:lang w:eastAsia="zh-CN"/>
        </w:rPr>
        <w:t xml:space="preserve">Table 2 also shows the </w:t>
      </w:r>
      <w:r w:rsidR="001B38CD">
        <w:rPr>
          <w:lang w:eastAsia="zh-CN"/>
        </w:rPr>
        <w:t>average growth of GDP for the regions where the financial centres are located and those of all the other regions</w:t>
      </w:r>
      <w:r w:rsidR="00507157">
        <w:rPr>
          <w:lang w:eastAsia="zh-CN"/>
        </w:rPr>
        <w:t xml:space="preserve"> </w:t>
      </w:r>
      <w:r w:rsidR="001B38CD">
        <w:rPr>
          <w:lang w:eastAsia="zh-CN"/>
        </w:rPr>
        <w:t>within a country.</w:t>
      </w:r>
    </w:p>
    <w:p w14:paraId="4B4F6483" w14:textId="77777777" w:rsidR="00B93D12" w:rsidRPr="00266C82" w:rsidRDefault="00B93D12" w:rsidP="00457347">
      <w:pPr>
        <w:spacing w:before="120" w:after="240" w:line="480" w:lineRule="auto"/>
        <w:jc w:val="center"/>
        <w:rPr>
          <w:i/>
        </w:rPr>
      </w:pPr>
      <w:r w:rsidRPr="00266C82">
        <w:rPr>
          <w:i/>
        </w:rPr>
        <w:t>Insert Table</w:t>
      </w:r>
      <w:r w:rsidR="00093206">
        <w:rPr>
          <w:i/>
        </w:rPr>
        <w:t xml:space="preserve"> </w:t>
      </w:r>
      <w:r w:rsidRPr="00266C82">
        <w:rPr>
          <w:i/>
        </w:rPr>
        <w:t>2 about here</w:t>
      </w:r>
    </w:p>
    <w:p w14:paraId="3FCFDD97" w14:textId="77777777" w:rsidR="00C50AFB" w:rsidRPr="00266C82" w:rsidRDefault="00C50AFB" w:rsidP="00457347">
      <w:pPr>
        <w:autoSpaceDE w:val="0"/>
        <w:autoSpaceDN w:val="0"/>
        <w:adjustRightInd w:val="0"/>
        <w:spacing w:before="120" w:after="120" w:line="480" w:lineRule="auto"/>
        <w:jc w:val="both"/>
        <w:rPr>
          <w:i/>
          <w:lang w:val="en-US" w:eastAsia="zh-TW"/>
        </w:rPr>
      </w:pPr>
      <w:r w:rsidRPr="00266C82">
        <w:rPr>
          <w:i/>
          <w:lang w:val="en-US" w:eastAsia="zh-TW"/>
        </w:rPr>
        <w:t>3.</w:t>
      </w:r>
      <w:r w:rsidR="00FF7027" w:rsidRPr="00266C82">
        <w:rPr>
          <w:i/>
          <w:lang w:val="en-US" w:eastAsia="zh-TW"/>
        </w:rPr>
        <w:t>2</w:t>
      </w:r>
      <w:r w:rsidRPr="00266C82">
        <w:rPr>
          <w:i/>
          <w:lang w:val="en-US" w:eastAsia="zh-TW"/>
        </w:rPr>
        <w:t xml:space="preserve"> Methodological </w:t>
      </w:r>
      <w:r w:rsidR="00064029">
        <w:rPr>
          <w:i/>
          <w:lang w:val="en-US" w:eastAsia="zh-TW"/>
        </w:rPr>
        <w:t>a</w:t>
      </w:r>
      <w:r w:rsidRPr="00266C82">
        <w:rPr>
          <w:i/>
          <w:lang w:val="en-US" w:eastAsia="zh-TW"/>
        </w:rPr>
        <w:t>pproach</w:t>
      </w:r>
    </w:p>
    <w:p w14:paraId="2474C831" w14:textId="77777777" w:rsidR="00AA18B1" w:rsidRPr="00266C82" w:rsidRDefault="00562E4B" w:rsidP="00266C82">
      <w:pPr>
        <w:autoSpaceDE w:val="0"/>
        <w:autoSpaceDN w:val="0"/>
        <w:adjustRightInd w:val="0"/>
        <w:spacing w:line="360" w:lineRule="auto"/>
        <w:jc w:val="both"/>
        <w:rPr>
          <w:lang w:eastAsia="en-GB"/>
        </w:rPr>
      </w:pPr>
      <w:r w:rsidRPr="00266C82">
        <w:rPr>
          <w:lang w:eastAsia="zh-CN"/>
        </w:rPr>
        <w:t>The</w:t>
      </w:r>
      <w:r w:rsidR="008F593A" w:rsidRPr="00266C82">
        <w:rPr>
          <w:lang w:eastAsia="zh-CN"/>
        </w:rPr>
        <w:t xml:space="preserve"> </w:t>
      </w:r>
      <w:r w:rsidR="00553FF9" w:rsidRPr="00266C82">
        <w:rPr>
          <w:lang w:eastAsia="zh-CN"/>
        </w:rPr>
        <w:t xml:space="preserve">methodological approach </w:t>
      </w:r>
      <w:r w:rsidR="008F593A" w:rsidRPr="00266C82">
        <w:rPr>
          <w:lang w:eastAsia="zh-CN"/>
        </w:rPr>
        <w:t xml:space="preserve">refers to the </w:t>
      </w:r>
      <w:r w:rsidR="008F593A" w:rsidRPr="00266C82">
        <w:rPr>
          <w:lang w:eastAsia="en-GB"/>
        </w:rPr>
        <w:t>notion of</w:t>
      </w:r>
      <w:r w:rsidR="00E90BD5" w:rsidRPr="00266C82">
        <w:rPr>
          <w:lang w:eastAsia="en-GB"/>
        </w:rPr>
        <w:t xml:space="preserve"> a</w:t>
      </w:r>
      <w:r w:rsidR="008F593A" w:rsidRPr="00266C82">
        <w:rPr>
          <w:lang w:eastAsia="en-GB"/>
        </w:rPr>
        <w:t xml:space="preserve"> club that can be traced back to Baumol (1986). </w:t>
      </w:r>
      <w:r w:rsidRPr="00266C82">
        <w:rPr>
          <w:lang w:eastAsia="zh-CN"/>
        </w:rPr>
        <w:t>This</w:t>
      </w:r>
      <w:r w:rsidR="00AA18B1" w:rsidRPr="00266C82">
        <w:rPr>
          <w:lang w:eastAsia="zh-CN"/>
        </w:rPr>
        <w:t xml:space="preserve"> framework examines the long-run growth </w:t>
      </w:r>
      <w:r w:rsidR="008224FE" w:rsidRPr="00266C82">
        <w:rPr>
          <w:lang w:eastAsia="zh-CN"/>
        </w:rPr>
        <w:t>determined by</w:t>
      </w:r>
      <w:r w:rsidR="00AA18B1" w:rsidRPr="00266C82">
        <w:rPr>
          <w:lang w:eastAsia="zh-CN"/>
        </w:rPr>
        <w:t xml:space="preserve"> different tendencies in regional patterns of growth and convergence</w:t>
      </w:r>
      <w:r w:rsidR="008F593A" w:rsidRPr="00266C82">
        <w:rPr>
          <w:lang w:eastAsia="zh-CN"/>
        </w:rPr>
        <w:t>.</w:t>
      </w:r>
    </w:p>
    <w:p w14:paraId="2F30CD94" w14:textId="77777777" w:rsidR="00AA18B1" w:rsidRPr="0009770E" w:rsidRDefault="00AA18B1" w:rsidP="0009770E">
      <w:pPr>
        <w:spacing w:line="360" w:lineRule="auto"/>
        <w:jc w:val="both"/>
        <w:rPr>
          <w:color w:val="000000"/>
          <w:lang w:val="en-US"/>
        </w:rPr>
      </w:pPr>
      <w:r w:rsidRPr="00266C82">
        <w:rPr>
          <w:lang w:eastAsia="zh-CN"/>
        </w:rPr>
        <w:tab/>
      </w:r>
      <w:r w:rsidR="00064029" w:rsidRPr="00266C82">
        <w:rPr>
          <w:lang w:val="en-US"/>
        </w:rPr>
        <w:t>Differ</w:t>
      </w:r>
      <w:r w:rsidR="00064029">
        <w:rPr>
          <w:lang w:val="en-US"/>
        </w:rPr>
        <w:t>ing</w:t>
      </w:r>
      <w:r w:rsidR="00064029" w:rsidRPr="00266C82">
        <w:rPr>
          <w:lang w:val="en-US"/>
        </w:rPr>
        <w:t xml:space="preserve"> </w:t>
      </w:r>
      <w:r w:rsidR="00562E4B" w:rsidRPr="00266C82">
        <w:rPr>
          <w:lang w:val="en-US"/>
        </w:rPr>
        <w:t>from previous studies, w</w:t>
      </w:r>
      <w:r w:rsidRPr="00266C82">
        <w:rPr>
          <w:lang w:val="en-US"/>
        </w:rPr>
        <w:t>e</w:t>
      </w:r>
      <w:r w:rsidR="008F593A" w:rsidRPr="00266C82">
        <w:rPr>
          <w:lang w:val="en-US"/>
        </w:rPr>
        <w:t xml:space="preserve"> exten</w:t>
      </w:r>
      <w:r w:rsidR="00064029">
        <w:rPr>
          <w:lang w:val="en-US"/>
        </w:rPr>
        <w:t>d</w:t>
      </w:r>
      <w:r w:rsidR="008F593A" w:rsidRPr="00266C82">
        <w:rPr>
          <w:lang w:val="en-US"/>
        </w:rPr>
        <w:t xml:space="preserve"> the </w:t>
      </w:r>
      <w:r w:rsidR="008F593A" w:rsidRPr="00266C82">
        <w:rPr>
          <w:color w:val="000000"/>
        </w:rPr>
        <w:t>club convergence model proposed by Chatterji and Dewhurst (1996)</w:t>
      </w:r>
      <w:r w:rsidR="008F593A" w:rsidRPr="00266C82">
        <w:rPr>
          <w:lang w:val="en-US"/>
        </w:rPr>
        <w:t xml:space="preserve"> by </w:t>
      </w:r>
      <w:r w:rsidRPr="00266C82">
        <w:rPr>
          <w:lang w:val="en-US"/>
        </w:rPr>
        <w:t>apply</w:t>
      </w:r>
      <w:r w:rsidR="00562E4B" w:rsidRPr="00266C82">
        <w:rPr>
          <w:lang w:val="en-US"/>
        </w:rPr>
        <w:t>ing</w:t>
      </w:r>
      <w:r w:rsidR="00990F2F" w:rsidRPr="00266C82">
        <w:rPr>
          <w:lang w:val="en-US"/>
        </w:rPr>
        <w:t xml:space="preserve"> for </w:t>
      </w:r>
      <w:r w:rsidR="008F593A" w:rsidRPr="00266C82">
        <w:rPr>
          <w:lang w:val="en-US"/>
        </w:rPr>
        <w:t xml:space="preserve">the </w:t>
      </w:r>
      <w:r w:rsidR="00990F2F" w:rsidRPr="00266C82">
        <w:rPr>
          <w:lang w:val="en-US"/>
        </w:rPr>
        <w:t>first time</w:t>
      </w:r>
      <w:r w:rsidRPr="00266C82">
        <w:rPr>
          <w:lang w:val="en-US"/>
        </w:rPr>
        <w:t xml:space="preserve"> a local linear non-parametric technique (Li and Racine 2004, 2007)</w:t>
      </w:r>
      <w:r w:rsidRPr="00266C82">
        <w:rPr>
          <w:color w:val="000000"/>
        </w:rPr>
        <w:t xml:space="preserve">. </w:t>
      </w:r>
      <w:r w:rsidR="00E90BD5" w:rsidRPr="00266C82">
        <w:t>T</w:t>
      </w:r>
      <w:r w:rsidRPr="00266C82">
        <w:t xml:space="preserve">he majority of previous </w:t>
      </w:r>
      <w:r w:rsidR="00E90BD5" w:rsidRPr="00266C82">
        <w:t xml:space="preserve">studies on </w:t>
      </w:r>
      <w:r w:rsidR="00B301BF" w:rsidRPr="00266C82">
        <w:t xml:space="preserve">club convergence </w:t>
      </w:r>
      <w:r w:rsidRPr="00266C82">
        <w:t xml:space="preserve">use parametric estimation in order to examine the non-linear specification of convergence clubs with a few exceptions (Ezcurra et al., 2009). </w:t>
      </w:r>
      <w:r w:rsidR="00E90BD5" w:rsidRPr="00266C82">
        <w:t xml:space="preserve">Our approach </w:t>
      </w:r>
      <w:r w:rsidR="00E90BD5" w:rsidRPr="00266C82">
        <w:rPr>
          <w:color w:val="000000"/>
        </w:rPr>
        <w:t>i</w:t>
      </w:r>
      <w:r w:rsidRPr="00266C82">
        <w:rPr>
          <w:color w:val="000000"/>
        </w:rPr>
        <w:t xml:space="preserve">s more flexible </w:t>
      </w:r>
      <w:r w:rsidR="00562E4B" w:rsidRPr="00266C82">
        <w:rPr>
          <w:color w:val="000000"/>
        </w:rPr>
        <w:t>as</w:t>
      </w:r>
      <w:r w:rsidR="00064029">
        <w:rPr>
          <w:color w:val="000000"/>
        </w:rPr>
        <w:t xml:space="preserve"> </w:t>
      </w:r>
      <w:r w:rsidRPr="00266C82">
        <w:rPr>
          <w:color w:val="000000"/>
        </w:rPr>
        <w:t xml:space="preserve">it does not require several necessary assumptions, such as the relationship form between the </w:t>
      </w:r>
      <w:r w:rsidR="00990F2F" w:rsidRPr="00266C82">
        <w:rPr>
          <w:color w:val="000000"/>
        </w:rPr>
        <w:t xml:space="preserve">estimated </w:t>
      </w:r>
      <w:r w:rsidRPr="00266C82">
        <w:rPr>
          <w:color w:val="000000"/>
        </w:rPr>
        <w:t xml:space="preserve">initial and final gap, the existence of equilibria points, as well as </w:t>
      </w:r>
      <w:r w:rsidRPr="00266C82">
        <w:rPr>
          <w:color w:val="000000"/>
          <w:lang w:val="en-US"/>
        </w:rPr>
        <w:t>monotonicity, concavity</w:t>
      </w:r>
      <w:r w:rsidR="00347B89" w:rsidRPr="00266C82">
        <w:rPr>
          <w:color w:val="000000"/>
          <w:lang w:val="en-US"/>
        </w:rPr>
        <w:t xml:space="preserve"> and</w:t>
      </w:r>
      <w:r w:rsidR="00990F2F" w:rsidRPr="00266C82">
        <w:rPr>
          <w:color w:val="000000"/>
          <w:lang w:val="en-US"/>
        </w:rPr>
        <w:t xml:space="preserve"> homogeneity</w:t>
      </w:r>
      <w:r w:rsidRPr="00266C82">
        <w:rPr>
          <w:color w:val="000000"/>
          <w:lang w:val="en-US"/>
        </w:rPr>
        <w:t>.</w:t>
      </w:r>
      <w:r w:rsidR="008F593A" w:rsidRPr="00266C82">
        <w:rPr>
          <w:color w:val="000000"/>
          <w:lang w:val="en-US"/>
        </w:rPr>
        <w:t xml:space="preserve"> Furthermore, </w:t>
      </w:r>
      <w:r w:rsidRPr="00266C82">
        <w:rPr>
          <w:color w:val="000000"/>
          <w:lang w:val="en-US"/>
        </w:rPr>
        <w:t>the data directly determines the shape of the relationship between initial gaps and final gaps, and consequently the speed and size of convergence/divergence.</w:t>
      </w:r>
      <w:r w:rsidRPr="00266C82">
        <w:rPr>
          <w:lang w:val="en-US"/>
        </w:rPr>
        <w:t xml:space="preserve"> </w:t>
      </w:r>
      <w:r w:rsidR="00B301BF" w:rsidRPr="00266C82">
        <w:rPr>
          <w:lang w:val="en-US"/>
        </w:rPr>
        <w:t>We describe the main steps to replicate our analysis</w:t>
      </w:r>
      <w:r w:rsidR="00661686" w:rsidRPr="00266C82">
        <w:rPr>
          <w:lang w:val="en-US"/>
        </w:rPr>
        <w:t xml:space="preserve"> as follows</w:t>
      </w:r>
      <w:r w:rsidR="00B301BF" w:rsidRPr="00266C82">
        <w:rPr>
          <w:lang w:val="en-US"/>
        </w:rPr>
        <w:t>.</w:t>
      </w:r>
    </w:p>
    <w:p w14:paraId="7E4B6F11" w14:textId="77777777" w:rsidR="00CF238F" w:rsidRPr="00266C82" w:rsidRDefault="00562E4B" w:rsidP="00F679C4">
      <w:pPr>
        <w:spacing w:line="360" w:lineRule="auto"/>
        <w:ind w:firstLine="567"/>
        <w:jc w:val="both"/>
      </w:pPr>
      <w:r w:rsidRPr="00266C82">
        <w:t xml:space="preserve">We start </w:t>
      </w:r>
      <w:r w:rsidR="00661686" w:rsidRPr="00266C82">
        <w:t>by</w:t>
      </w:r>
      <w:r w:rsidRPr="00266C82">
        <w:t xml:space="preserve"> formalis</w:t>
      </w:r>
      <w:r w:rsidR="00661686" w:rsidRPr="00266C82">
        <w:t>ing</w:t>
      </w:r>
      <w:r w:rsidRPr="00266C82">
        <w:t xml:space="preserve"> the technology gap between a leading region and other regions</w:t>
      </w:r>
      <w:r w:rsidR="00064029">
        <w:t>,</w:t>
      </w:r>
      <w:r w:rsidRPr="00266C82">
        <w:t xml:space="preserve"> following </w:t>
      </w:r>
      <w:r w:rsidR="00AA18B1" w:rsidRPr="00266C82">
        <w:t xml:space="preserve">Chatterji (1992) and Chatterji and Dewhurst (1996). </w:t>
      </w:r>
      <w:r w:rsidR="00AA18B1" w:rsidRPr="00266C82">
        <w:rPr>
          <w:lang w:val="en-US"/>
        </w:rPr>
        <w:t xml:space="preserve">Specifically, </w:t>
      </w:r>
      <w:r w:rsidR="00AA18B1" w:rsidRPr="00266C82">
        <w:rPr>
          <w:position w:val="-4"/>
          <w:lang w:val="en-US"/>
        </w:rPr>
        <w:object w:dxaOrig="200" w:dyaOrig="260" w14:anchorId="0601EF93">
          <v:shape id="_x0000_i1026" type="#_x0000_t75" style="width:9pt;height:16.5pt" o:ole="">
            <v:imagedata r:id="rId8" o:title=""/>
          </v:shape>
          <o:OLEObject Type="Embed" ProgID="Equation.DSMT4" ShapeID="_x0000_i1026" DrawAspect="Content" ObjectID="_1569911507" r:id="rId9"/>
        </w:object>
      </w:r>
      <w:r w:rsidR="00AA18B1" w:rsidRPr="00266C82">
        <w:rPr>
          <w:lang w:val="en-US"/>
        </w:rPr>
        <w:t xml:space="preserve">and </w:t>
      </w:r>
      <w:r w:rsidR="00AA18B1" w:rsidRPr="00266C82">
        <w:rPr>
          <w:position w:val="-4"/>
          <w:lang w:val="en-US"/>
        </w:rPr>
        <w:object w:dxaOrig="260" w:dyaOrig="260" w14:anchorId="135091B4">
          <v:shape id="_x0000_i1027" type="#_x0000_t75" style="width:16.5pt;height:16.5pt" o:ole="">
            <v:imagedata r:id="rId10" o:title=""/>
          </v:shape>
          <o:OLEObject Type="Embed" ProgID="Equation.DSMT4" ShapeID="_x0000_i1027" DrawAspect="Content" ObjectID="_1569911508" r:id="rId11"/>
        </w:object>
      </w:r>
      <w:r w:rsidRPr="00266C82">
        <w:rPr>
          <w:lang w:val="en-US"/>
        </w:rPr>
        <w:t>are</w:t>
      </w:r>
      <w:r w:rsidR="00AA18B1" w:rsidRPr="00266C82">
        <w:rPr>
          <w:lang w:val="en-US"/>
        </w:rPr>
        <w:t xml:space="preserve"> the initial and final period under investigation</w:t>
      </w:r>
      <w:r w:rsidRPr="00266C82">
        <w:rPr>
          <w:lang w:val="en-US"/>
        </w:rPr>
        <w:t>.</w:t>
      </w:r>
      <w:r w:rsidR="00AA18B1" w:rsidRPr="00266C82">
        <w:t xml:space="preserve"> </w:t>
      </w:r>
      <w:r w:rsidR="00347B89" w:rsidRPr="00266C82">
        <w:t>T</w:t>
      </w:r>
      <w:r w:rsidR="00AA18B1" w:rsidRPr="00266C82">
        <w:t xml:space="preserve">he </w:t>
      </w:r>
      <w:r w:rsidR="00464405" w:rsidRPr="00266C82">
        <w:t>GDP</w:t>
      </w:r>
      <w:r w:rsidR="00AA18B1" w:rsidRPr="00266C82">
        <w:t xml:space="preserve"> per capita in a final year </w:t>
      </w:r>
      <w:r w:rsidR="00F90866" w:rsidRPr="00266C82">
        <w:rPr>
          <w:position w:val="-16"/>
        </w:rPr>
        <w:object w:dxaOrig="1260" w:dyaOrig="440" w14:anchorId="14F25BD1">
          <v:shape id="_x0000_i1028" type="#_x0000_t75" style="width:59.25pt;height:21.75pt" o:ole="">
            <v:imagedata r:id="rId12" o:title=""/>
          </v:shape>
          <o:OLEObject Type="Embed" ProgID="Equation.DSMT4" ShapeID="_x0000_i1028" DrawAspect="Content" ObjectID="_1569911509" r:id="rId13"/>
        </w:object>
      </w:r>
      <w:r w:rsidR="00AA18B1" w:rsidRPr="00266C82">
        <w:t xml:space="preserve">can </w:t>
      </w:r>
      <w:r w:rsidR="00A57CE6" w:rsidRPr="00266C82">
        <w:t xml:space="preserve">then </w:t>
      </w:r>
      <w:r w:rsidR="00AA18B1" w:rsidRPr="00266C82">
        <w:t>be represented as</w:t>
      </w:r>
      <w:r w:rsidR="00CF238F" w:rsidRPr="00266C82">
        <w:t>:</w:t>
      </w:r>
    </w:p>
    <w:p w14:paraId="2EF0EA3E" w14:textId="77777777" w:rsidR="00CF238F" w:rsidRPr="00266C82" w:rsidRDefault="00AA18B1" w:rsidP="00F679C4">
      <w:pPr>
        <w:spacing w:line="360" w:lineRule="auto"/>
        <w:ind w:firstLine="567"/>
        <w:jc w:val="both"/>
      </w:pPr>
      <w:r w:rsidRPr="00266C82">
        <w:t xml:space="preserve"> </w:t>
      </w:r>
      <w:r w:rsidR="00F90866" w:rsidRPr="00266C82">
        <w:rPr>
          <w:position w:val="-14"/>
        </w:rPr>
        <w:object w:dxaOrig="2500" w:dyaOrig="400" w14:anchorId="30B927F6">
          <v:shape id="_x0000_i1029" type="#_x0000_t75" style="width:126.75pt;height:21.75pt" o:ole="">
            <v:imagedata r:id="rId14" o:title=""/>
          </v:shape>
          <o:OLEObject Type="Embed" ProgID="Equation.DSMT4" ShapeID="_x0000_i1029" DrawAspect="Content" ObjectID="_1569911510" r:id="rId15"/>
        </w:object>
      </w:r>
      <w:r w:rsidRPr="00266C82">
        <w:t xml:space="preserve">, </w:t>
      </w:r>
      <w:r w:rsidR="00CF238F" w:rsidRPr="00266C82">
        <w:tab/>
      </w:r>
      <w:r w:rsidR="00CF238F" w:rsidRPr="00266C82">
        <w:tab/>
      </w:r>
      <w:r w:rsidR="00CF238F" w:rsidRPr="00266C82">
        <w:tab/>
      </w:r>
      <w:r w:rsidR="00CF238F" w:rsidRPr="00266C82">
        <w:tab/>
      </w:r>
      <w:r w:rsidR="00CF238F" w:rsidRPr="00266C82">
        <w:tab/>
      </w:r>
      <w:r w:rsidR="00CF238F" w:rsidRPr="00266C82">
        <w:tab/>
      </w:r>
      <w:r w:rsidR="00CF238F" w:rsidRPr="00266C82">
        <w:tab/>
      </w:r>
      <w:r w:rsidR="00CF238F" w:rsidRPr="00266C82">
        <w:tab/>
        <w:t>(1)</w:t>
      </w:r>
    </w:p>
    <w:p w14:paraId="6B572B28" w14:textId="77777777" w:rsidR="00AA18B1" w:rsidRPr="00266C82" w:rsidRDefault="00AA18B1" w:rsidP="00F679C4">
      <w:pPr>
        <w:spacing w:line="360" w:lineRule="auto"/>
        <w:jc w:val="both"/>
      </w:pPr>
      <w:r w:rsidRPr="00266C82">
        <w:t xml:space="preserve">where </w:t>
      </w:r>
      <w:r w:rsidR="00F90866" w:rsidRPr="00266C82">
        <w:rPr>
          <w:position w:val="-16"/>
        </w:rPr>
        <w:object w:dxaOrig="1219" w:dyaOrig="440" w14:anchorId="4A3EC356">
          <v:shape id="_x0000_i1030" type="#_x0000_t75" style="width:63pt;height:21.75pt" o:ole="">
            <v:imagedata r:id="rId16" o:title=""/>
          </v:shape>
          <o:OLEObject Type="Embed" ProgID="Equation.DSMT4" ShapeID="_x0000_i1030" DrawAspect="Content" ObjectID="_1569911511" r:id="rId17"/>
        </w:object>
      </w:r>
      <w:r w:rsidRPr="00266C82">
        <w:rPr>
          <w:lang w:val="en-US"/>
        </w:rPr>
        <w:t xml:space="preserve">is the natural logarithm of </w:t>
      </w:r>
      <w:r w:rsidR="00464405" w:rsidRPr="00266C82">
        <w:t>GDP</w:t>
      </w:r>
      <w:r w:rsidRPr="00266C82">
        <w:t xml:space="preserve"> per capita </w:t>
      </w:r>
      <w:r w:rsidRPr="00266C82">
        <w:rPr>
          <w:lang w:val="en-US"/>
        </w:rPr>
        <w:t>in the initial period. Then taking the logarithms and solving for</w:t>
      </w:r>
      <w:r w:rsidR="00AD5350" w:rsidRPr="00266C82">
        <w:rPr>
          <w:lang w:val="en-US"/>
        </w:rPr>
        <w:t xml:space="preserve"> </w:t>
      </w:r>
      <w:r w:rsidRPr="00266C82">
        <w:rPr>
          <w:position w:val="-14"/>
        </w:rPr>
        <w:object w:dxaOrig="440" w:dyaOrig="400" w14:anchorId="64D89235">
          <v:shape id="_x0000_i1031" type="#_x0000_t75" style="width:21.75pt;height:21.75pt" o:ole="">
            <v:imagedata r:id="rId18" o:title=""/>
          </v:shape>
          <o:OLEObject Type="Embed" ProgID="Equation.DSMT4" ShapeID="_x0000_i1031" DrawAspect="Content" ObjectID="_1569911512" r:id="rId19"/>
        </w:object>
      </w:r>
      <w:r w:rsidRPr="00266C82">
        <w:t>, the growth rate over a specific period can be estimated as</w:t>
      </w:r>
      <w:r w:rsidR="00F90866" w:rsidRPr="00266C82">
        <w:rPr>
          <w:position w:val="-14"/>
          <w:lang w:val="en-US"/>
        </w:rPr>
        <w:object w:dxaOrig="2659" w:dyaOrig="380" w14:anchorId="636DDE88">
          <v:shape id="_x0000_i1032" type="#_x0000_t75" style="width:126.75pt;height:21pt" o:ole="">
            <v:imagedata r:id="rId20" o:title=""/>
          </v:shape>
          <o:OLEObject Type="Embed" ProgID="Equation.DSMT4" ShapeID="_x0000_i1032" DrawAspect="Content" ObjectID="_1569911513" r:id="rId21"/>
        </w:object>
      </w:r>
      <w:r w:rsidRPr="00266C82">
        <w:rPr>
          <w:lang w:val="en-US"/>
        </w:rPr>
        <w:t>. T</w:t>
      </w:r>
      <w:r w:rsidRPr="00266C82">
        <w:t xml:space="preserve">he </w:t>
      </w:r>
      <w:r w:rsidR="00464405" w:rsidRPr="00266C82">
        <w:t>GDP</w:t>
      </w:r>
      <w:r w:rsidRPr="00266C82">
        <w:t xml:space="preserve"> per capita gaps between leading region (L) and another region i (i=1,..,N) can then be expressed as:</w:t>
      </w:r>
    </w:p>
    <w:p w14:paraId="0A1F872F" w14:textId="77777777" w:rsidR="00AA18B1" w:rsidRPr="00266C82" w:rsidRDefault="00F90866" w:rsidP="00F679C4">
      <w:pPr>
        <w:spacing w:line="360" w:lineRule="auto"/>
        <w:jc w:val="both"/>
      </w:pPr>
      <w:r w:rsidRPr="00266C82">
        <w:rPr>
          <w:position w:val="-14"/>
        </w:rPr>
        <w:object w:dxaOrig="4080" w:dyaOrig="380" w14:anchorId="08FEFB19">
          <v:shape id="_x0000_i1033" type="#_x0000_t75" style="width:198pt;height:21pt" o:ole="">
            <v:imagedata r:id="rId22" o:title=""/>
          </v:shape>
          <o:OLEObject Type="Embed" ProgID="Equation.DSMT4" ShapeID="_x0000_i1033" DrawAspect="Content" ObjectID="_1569911514" r:id="rId23"/>
        </w:object>
      </w:r>
      <w:r w:rsidR="00AA18B1" w:rsidRPr="00266C82">
        <w:t>,</w:t>
      </w:r>
      <w:r w:rsidR="00AA18B1" w:rsidRPr="00266C82">
        <w:tab/>
      </w:r>
      <w:r w:rsidR="00AA18B1" w:rsidRPr="00266C82">
        <w:tab/>
      </w:r>
      <w:r w:rsidR="00AA18B1" w:rsidRPr="00266C82">
        <w:tab/>
      </w:r>
      <w:r w:rsidR="00AA18B1" w:rsidRPr="00266C82">
        <w:tab/>
      </w:r>
      <w:r w:rsidR="00AA18B1" w:rsidRPr="00266C82">
        <w:tab/>
      </w:r>
      <w:r w:rsidR="00AA18B1" w:rsidRPr="00266C82">
        <w:tab/>
        <w:t xml:space="preserve">           (</w:t>
      </w:r>
      <w:r w:rsidR="00CF238F" w:rsidRPr="00266C82">
        <w:t>2</w:t>
      </w:r>
      <w:r w:rsidR="00AA18B1" w:rsidRPr="00266C82">
        <w:t>)</w:t>
      </w:r>
    </w:p>
    <w:p w14:paraId="7691CE0B" w14:textId="77777777" w:rsidR="00AA18B1" w:rsidRPr="00266C82" w:rsidRDefault="00F90866" w:rsidP="00F679C4">
      <w:pPr>
        <w:spacing w:line="360" w:lineRule="auto"/>
        <w:jc w:val="both"/>
      </w:pPr>
      <w:r w:rsidRPr="00266C82">
        <w:rPr>
          <w:position w:val="-14"/>
        </w:rPr>
        <w:object w:dxaOrig="3940" w:dyaOrig="380" w14:anchorId="38F3B2F1">
          <v:shape id="_x0000_i1034" type="#_x0000_t75" style="width:187.5pt;height:21pt" o:ole="">
            <v:imagedata r:id="rId24" o:title=""/>
          </v:shape>
          <o:OLEObject Type="Embed" ProgID="Equation.DSMT4" ShapeID="_x0000_i1034" DrawAspect="Content" ObjectID="_1569911515" r:id="rId25"/>
        </w:object>
      </w:r>
      <w:r w:rsidR="00AA18B1" w:rsidRPr="00266C82">
        <w:t>.</w:t>
      </w:r>
      <w:r w:rsidR="00AA18B1" w:rsidRPr="00266C82">
        <w:tab/>
      </w:r>
      <w:r w:rsidR="00AA18B1" w:rsidRPr="00266C82">
        <w:tab/>
      </w:r>
      <w:r w:rsidR="00AA18B1" w:rsidRPr="00266C82">
        <w:tab/>
      </w:r>
      <w:r w:rsidR="00AA18B1" w:rsidRPr="00266C82">
        <w:tab/>
      </w:r>
      <w:r w:rsidR="00AA18B1" w:rsidRPr="00266C82">
        <w:tab/>
      </w:r>
      <w:r w:rsidR="00AA18B1" w:rsidRPr="00266C82">
        <w:tab/>
        <w:t xml:space="preserve">           (</w:t>
      </w:r>
      <w:r w:rsidR="00CF238F" w:rsidRPr="00266C82">
        <w:t>3</w:t>
      </w:r>
      <w:r w:rsidR="00AA18B1" w:rsidRPr="00266C82">
        <w:t>)</w:t>
      </w:r>
    </w:p>
    <w:p w14:paraId="529A7022" w14:textId="77777777" w:rsidR="00AA18B1" w:rsidRPr="00266C82" w:rsidRDefault="00AA18B1" w:rsidP="00F679C4">
      <w:pPr>
        <w:spacing w:line="360" w:lineRule="auto"/>
        <w:jc w:val="both"/>
      </w:pPr>
      <w:r w:rsidRPr="00266C82">
        <w:rPr>
          <w:lang w:val="en-US"/>
        </w:rPr>
        <w:t xml:space="preserve">where </w:t>
      </w:r>
      <w:r w:rsidR="00A57CE6" w:rsidRPr="00266C82">
        <w:rPr>
          <w:lang w:val="en-US"/>
        </w:rPr>
        <w:t>α</w:t>
      </w:r>
      <w:r w:rsidRPr="00266C82">
        <w:rPr>
          <w:lang w:val="en-US"/>
        </w:rPr>
        <w:t xml:space="preserve"> is the steady state growth rate and </w:t>
      </w:r>
      <w:r w:rsidRPr="00266C82">
        <w:rPr>
          <w:position w:val="-6"/>
          <w:lang w:val="en-US"/>
        </w:rPr>
        <w:object w:dxaOrig="200" w:dyaOrig="279" w14:anchorId="78249E9D">
          <v:shape id="_x0000_i1035" type="#_x0000_t75" style="width:9pt;height:12.75pt" o:ole="">
            <v:imagedata r:id="rId26" o:title=""/>
          </v:shape>
          <o:OLEObject Type="Embed" ProgID="Equation.DSMT4" ShapeID="_x0000_i1035" DrawAspect="Content" ObjectID="_1569911516" r:id="rId27"/>
        </w:object>
      </w:r>
      <w:r w:rsidRPr="00266C82">
        <w:rPr>
          <w:lang w:val="en-US"/>
        </w:rPr>
        <w:t>is the convergence coefficient.</w:t>
      </w:r>
    </w:p>
    <w:p w14:paraId="09CCB72D" w14:textId="77777777" w:rsidR="00AA18B1" w:rsidRPr="00266C82" w:rsidRDefault="00AA18B1" w:rsidP="00F679C4">
      <w:pPr>
        <w:spacing w:line="360" w:lineRule="auto"/>
        <w:jc w:val="both"/>
      </w:pPr>
      <w:r w:rsidRPr="00266C82">
        <w:t>By subtracting and re-arranging (</w:t>
      </w:r>
      <w:r w:rsidR="00CF238F" w:rsidRPr="00266C82">
        <w:t>3</w:t>
      </w:r>
      <w:r w:rsidRPr="00266C82">
        <w:t>) from (</w:t>
      </w:r>
      <w:r w:rsidR="00CF238F" w:rsidRPr="00266C82">
        <w:t>2</w:t>
      </w:r>
      <w:r w:rsidRPr="00266C82">
        <w:t xml:space="preserve">), we obtain: </w:t>
      </w:r>
    </w:p>
    <w:p w14:paraId="0D9BDF44" w14:textId="77777777" w:rsidR="00AA18B1" w:rsidRPr="00266C82" w:rsidRDefault="00F90866" w:rsidP="00F679C4">
      <w:pPr>
        <w:spacing w:line="360" w:lineRule="auto"/>
        <w:jc w:val="both"/>
      </w:pPr>
      <w:r w:rsidRPr="00266C82">
        <w:rPr>
          <w:position w:val="-16"/>
        </w:rPr>
        <w:object w:dxaOrig="5760" w:dyaOrig="440" w14:anchorId="2FE5EFC9">
          <v:shape id="_x0000_i1036" type="#_x0000_t75" style="width:294pt;height:21.75pt" o:ole="">
            <v:imagedata r:id="rId28" o:title=""/>
          </v:shape>
          <o:OLEObject Type="Embed" ProgID="Equation.DSMT4" ShapeID="_x0000_i1036" DrawAspect="Content" ObjectID="_1569911517" r:id="rId29"/>
        </w:object>
      </w:r>
      <w:r w:rsidR="00AA18B1" w:rsidRPr="00266C82">
        <w:t xml:space="preserve">, </w:t>
      </w:r>
      <w:r w:rsidR="00AA18B1" w:rsidRPr="00266C82">
        <w:tab/>
      </w:r>
      <w:r w:rsidR="00AA18B1" w:rsidRPr="00266C82">
        <w:tab/>
      </w:r>
      <w:r w:rsidR="00AA18B1" w:rsidRPr="00266C82">
        <w:tab/>
        <w:t xml:space="preserve">           (</w:t>
      </w:r>
      <w:r w:rsidR="00CF238F" w:rsidRPr="00266C82">
        <w:t>4</w:t>
      </w:r>
      <w:r w:rsidR="00AA18B1" w:rsidRPr="00266C82">
        <w:t>)</w:t>
      </w:r>
    </w:p>
    <w:p w14:paraId="2FD0E3BC" w14:textId="77777777" w:rsidR="00AA18B1" w:rsidRPr="00266C82" w:rsidRDefault="00A57CE6" w:rsidP="00F679C4">
      <w:pPr>
        <w:spacing w:line="360" w:lineRule="auto"/>
        <w:jc w:val="both"/>
      </w:pPr>
      <w:r w:rsidRPr="00266C82">
        <w:t>E</w:t>
      </w:r>
      <w:r w:rsidR="00AA18B1" w:rsidRPr="00266C82">
        <w:t>quation (</w:t>
      </w:r>
      <w:r w:rsidR="00CF238F" w:rsidRPr="00266C82">
        <w:t>4</w:t>
      </w:r>
      <w:r w:rsidR="00AA18B1" w:rsidRPr="00266C82">
        <w:t>) can be re-written as:</w:t>
      </w:r>
    </w:p>
    <w:p w14:paraId="7BBD6754" w14:textId="77777777" w:rsidR="00AA18B1" w:rsidRPr="00266C82" w:rsidRDefault="00F90866" w:rsidP="00F679C4">
      <w:pPr>
        <w:spacing w:line="360" w:lineRule="auto"/>
        <w:jc w:val="both"/>
      </w:pPr>
      <w:r w:rsidRPr="00266C82">
        <w:rPr>
          <w:position w:val="-14"/>
        </w:rPr>
        <w:object w:dxaOrig="2760" w:dyaOrig="380" w14:anchorId="232CCA83">
          <v:shape id="_x0000_i1037" type="#_x0000_t75" style="width:139.5pt;height:21pt" o:ole="">
            <v:imagedata r:id="rId30" o:title=""/>
          </v:shape>
          <o:OLEObject Type="Embed" ProgID="Equation.DSMT4" ShapeID="_x0000_i1037" DrawAspect="Content" ObjectID="_1569911518" r:id="rId31"/>
        </w:object>
      </w:r>
      <w:r w:rsidR="00AA18B1" w:rsidRPr="00266C82">
        <w:t xml:space="preserve">, </w:t>
      </w:r>
      <w:r w:rsidR="00AA18B1" w:rsidRPr="00266C82">
        <w:tab/>
      </w:r>
      <w:r w:rsidR="00AA18B1" w:rsidRPr="00266C82">
        <w:tab/>
      </w:r>
      <w:r w:rsidR="00AA18B1" w:rsidRPr="00266C82">
        <w:tab/>
      </w:r>
      <w:r w:rsidR="00AA18B1" w:rsidRPr="00266C82">
        <w:tab/>
      </w:r>
      <w:r w:rsidR="00AA18B1" w:rsidRPr="00266C82">
        <w:tab/>
      </w:r>
      <w:r w:rsidR="00AA18B1" w:rsidRPr="00266C82">
        <w:tab/>
      </w:r>
      <w:r w:rsidR="00AA18B1" w:rsidRPr="00266C82">
        <w:tab/>
      </w:r>
      <w:r w:rsidR="00AA18B1" w:rsidRPr="00266C82">
        <w:tab/>
        <w:t>(</w:t>
      </w:r>
      <w:r w:rsidR="00CF238F" w:rsidRPr="00266C82">
        <w:t>5</w:t>
      </w:r>
      <w:r w:rsidR="00AA18B1" w:rsidRPr="00266C82">
        <w:t>)</w:t>
      </w:r>
    </w:p>
    <w:p w14:paraId="2C31FF06" w14:textId="59154445" w:rsidR="00AA18B1" w:rsidRPr="00266C82" w:rsidRDefault="00AA18B1" w:rsidP="00F679C4">
      <w:pPr>
        <w:spacing w:line="360" w:lineRule="auto"/>
        <w:jc w:val="both"/>
      </w:pPr>
      <w:r w:rsidRPr="00266C82">
        <w:t xml:space="preserve">where </w:t>
      </w:r>
      <w:r w:rsidRPr="00266C82">
        <w:rPr>
          <w:position w:val="-14"/>
        </w:rPr>
        <w:object w:dxaOrig="1040" w:dyaOrig="400" w14:anchorId="0861CAED">
          <v:shape id="_x0000_i1038" type="#_x0000_t75" style="width:51pt;height:21.75pt" o:ole="">
            <v:imagedata r:id="rId32" o:title=""/>
          </v:shape>
          <o:OLEObject Type="Embed" ProgID="Equation.DSMT4" ShapeID="_x0000_i1038" DrawAspect="Content" ObjectID="_1569911519" r:id="rId33"/>
        </w:object>
      </w:r>
      <w:r w:rsidRPr="00266C82">
        <w:t>and</w:t>
      </w:r>
      <w:r w:rsidR="00BC50A5">
        <w:t xml:space="preserve"> GGDPPC</w:t>
      </w:r>
      <w:r w:rsidR="00BC50A5" w:rsidRPr="00BC50A5">
        <w:rPr>
          <w:sz w:val="20"/>
        </w:rPr>
        <w:t>i</w:t>
      </w:r>
      <w:r w:rsidRPr="00266C82">
        <w:t xml:space="preserve"> represents the gap between the leading </w:t>
      </w:r>
      <w:r w:rsidR="008307BE" w:rsidRPr="00266C82">
        <w:t xml:space="preserve">regions </w:t>
      </w:r>
      <w:r w:rsidRPr="00266C82">
        <w:t>and the other regions</w:t>
      </w:r>
      <w:r w:rsidR="008307BE" w:rsidRPr="00266C82">
        <w:t xml:space="preserve">’ </w:t>
      </w:r>
      <w:r w:rsidR="00FB7108" w:rsidRPr="00266C82">
        <w:t>GDP</w:t>
      </w:r>
      <w:r w:rsidR="00347B89" w:rsidRPr="00266C82">
        <w:t xml:space="preserve"> </w:t>
      </w:r>
      <w:r w:rsidR="008307BE" w:rsidRPr="00266C82">
        <w:t>per capita levels</w:t>
      </w:r>
      <w:r w:rsidRPr="00266C82">
        <w:t xml:space="preserve">. </w:t>
      </w:r>
      <w:r w:rsidR="00FB7108" w:rsidRPr="00266C82">
        <w:t>Following the same procedure</w:t>
      </w:r>
      <w:r w:rsidR="00347B89" w:rsidRPr="00266C82">
        <w:t>,</w:t>
      </w:r>
      <w:r w:rsidR="008307BE" w:rsidRPr="00266C82">
        <w:t xml:space="preserve"> </w:t>
      </w:r>
      <w:r w:rsidRPr="00266C82">
        <w:t xml:space="preserve">we </w:t>
      </w:r>
      <w:r w:rsidR="00A57CE6" w:rsidRPr="00266C82">
        <w:t xml:space="preserve">also </w:t>
      </w:r>
      <w:r w:rsidR="008307BE" w:rsidRPr="00266C82">
        <w:t>construct</w:t>
      </w:r>
      <w:r w:rsidRPr="00266C82">
        <w:t xml:space="preserve"> two </w:t>
      </w:r>
      <w:r w:rsidR="00347B89" w:rsidRPr="00266C82">
        <w:t xml:space="preserve">other </w:t>
      </w:r>
      <w:r w:rsidRPr="00266C82">
        <w:t>gaps</w:t>
      </w:r>
      <w:r w:rsidR="00FB7108" w:rsidRPr="00266C82">
        <w:t xml:space="preserve">: </w:t>
      </w:r>
      <w:r w:rsidR="00064029">
        <w:t>(i</w:t>
      </w:r>
      <w:r w:rsidR="00A57CE6" w:rsidRPr="00266C82">
        <w:t>)</w:t>
      </w:r>
      <w:r w:rsidRPr="00266C82">
        <w:t xml:space="preserve"> </w:t>
      </w:r>
      <w:r w:rsidR="00A57CE6" w:rsidRPr="00266C82">
        <w:t>between</w:t>
      </w:r>
      <w:r w:rsidRPr="00266C82">
        <w:t xml:space="preserve"> financial centres’ rating levels </w:t>
      </w:r>
      <w:r w:rsidR="00075099" w:rsidRPr="00266C82">
        <w:t>(GRAT)</w:t>
      </w:r>
      <w:r w:rsidR="00BA382A" w:rsidRPr="00266C82">
        <w:t xml:space="preserve">; </w:t>
      </w:r>
      <w:r w:rsidR="00347B89" w:rsidRPr="00266C82">
        <w:t xml:space="preserve">and </w:t>
      </w:r>
      <w:r w:rsidR="00064029">
        <w:t>(ii</w:t>
      </w:r>
      <w:r w:rsidR="00A57CE6" w:rsidRPr="00266C82">
        <w:t>)</w:t>
      </w:r>
      <w:r w:rsidR="00075099" w:rsidRPr="00266C82">
        <w:t xml:space="preserve"> </w:t>
      </w:r>
      <w:r w:rsidR="00A57CE6" w:rsidRPr="00266C82">
        <w:rPr>
          <w:rFonts w:eastAsia="Times New Roman"/>
          <w:color w:val="000000"/>
        </w:rPr>
        <w:t xml:space="preserve">between </w:t>
      </w:r>
      <w:r w:rsidR="00075099" w:rsidRPr="00266C82">
        <w:rPr>
          <w:rFonts w:eastAsia="Times New Roman"/>
          <w:color w:val="000000"/>
        </w:rPr>
        <w:t xml:space="preserve">the </w:t>
      </w:r>
      <w:r w:rsidR="00C92EF1" w:rsidRPr="00266C82">
        <w:t>GDP per capita</w:t>
      </w:r>
      <w:r w:rsidR="008307BE" w:rsidRPr="00266C82">
        <w:rPr>
          <w:rFonts w:eastAsia="Times New Roman"/>
          <w:color w:val="000000"/>
        </w:rPr>
        <w:t xml:space="preserve"> levels of the </w:t>
      </w:r>
      <w:r w:rsidR="00075099" w:rsidRPr="00266C82">
        <w:rPr>
          <w:rFonts w:eastAsia="Times New Roman"/>
          <w:color w:val="000000"/>
        </w:rPr>
        <w:t xml:space="preserve">regions where a financial centre is located and </w:t>
      </w:r>
      <w:r w:rsidR="001F71C1" w:rsidRPr="00266C82">
        <w:rPr>
          <w:rFonts w:eastAsia="Times New Roman"/>
          <w:color w:val="000000"/>
        </w:rPr>
        <w:t>those of</w:t>
      </w:r>
      <w:r w:rsidR="00075099" w:rsidRPr="00266C82">
        <w:rPr>
          <w:rFonts w:eastAsia="Times New Roman"/>
          <w:color w:val="000000"/>
        </w:rPr>
        <w:t xml:space="preserve"> </w:t>
      </w:r>
      <w:r w:rsidR="00FB7108" w:rsidRPr="00266C82">
        <w:rPr>
          <w:rFonts w:eastAsia="Times New Roman"/>
          <w:color w:val="000000"/>
        </w:rPr>
        <w:t xml:space="preserve">other </w:t>
      </w:r>
      <w:r w:rsidR="00075099" w:rsidRPr="00266C82">
        <w:rPr>
          <w:rFonts w:eastAsia="Times New Roman"/>
          <w:color w:val="000000"/>
        </w:rPr>
        <w:t xml:space="preserve">regions </w:t>
      </w:r>
      <w:r w:rsidR="007167C8" w:rsidRPr="00266C82">
        <w:rPr>
          <w:rFonts w:eastAsia="Times New Roman"/>
          <w:color w:val="000000"/>
        </w:rPr>
        <w:t>within the same</w:t>
      </w:r>
      <w:r w:rsidR="008307BE" w:rsidRPr="00266C82">
        <w:rPr>
          <w:rFonts w:eastAsia="Times New Roman"/>
          <w:color w:val="000000"/>
        </w:rPr>
        <w:t xml:space="preserve"> </w:t>
      </w:r>
      <w:r w:rsidR="00075099" w:rsidRPr="00266C82">
        <w:rPr>
          <w:rFonts w:eastAsia="Times New Roman"/>
          <w:color w:val="000000"/>
        </w:rPr>
        <w:t>country</w:t>
      </w:r>
      <w:r w:rsidRPr="00266C82">
        <w:t xml:space="preserve"> </w:t>
      </w:r>
      <w:r w:rsidR="00075099" w:rsidRPr="00266C82">
        <w:t>(</w:t>
      </w:r>
      <w:r w:rsidR="00075099" w:rsidRPr="00266C82">
        <w:rPr>
          <w:rFonts w:eastAsia="Times New Roman"/>
          <w:bCs/>
          <w:color w:val="000000"/>
        </w:rPr>
        <w:t>WGGDPPC</w:t>
      </w:r>
      <w:r w:rsidR="00075099" w:rsidRPr="00266C82">
        <w:rPr>
          <w:rFonts w:eastAsia="Times New Roman"/>
          <w:color w:val="000000"/>
        </w:rPr>
        <w:t>).</w:t>
      </w:r>
      <w:r w:rsidR="00F75BF4" w:rsidRPr="00266C82">
        <w:rPr>
          <w:rFonts w:eastAsia="Times New Roman"/>
          <w:color w:val="000000"/>
        </w:rPr>
        <w:t xml:space="preserve"> </w:t>
      </w:r>
      <w:r w:rsidR="00F75BF4" w:rsidRPr="00266C82">
        <w:t xml:space="preserve">For the calculation of </w:t>
      </w:r>
      <w:r w:rsidR="00F75BF4" w:rsidRPr="00266C82">
        <w:rPr>
          <w:rFonts w:eastAsia="Times New Roman"/>
          <w:bCs/>
          <w:color w:val="000000"/>
        </w:rPr>
        <w:t>WGGDPPC</w:t>
      </w:r>
      <w:r w:rsidR="00F75BF4" w:rsidRPr="00266C82">
        <w:rPr>
          <w:rFonts w:eastAsia="Times New Roman"/>
          <w:color w:val="000000"/>
        </w:rPr>
        <w:t>, we</w:t>
      </w:r>
      <w:r w:rsidR="00F75BF4" w:rsidRPr="00266C82">
        <w:t xml:space="preserve"> consider all regions</w:t>
      </w:r>
      <w:r w:rsidR="00500213" w:rsidRPr="00266C82">
        <w:t xml:space="preserve"> at the </w:t>
      </w:r>
      <w:r w:rsidR="00F75BF4" w:rsidRPr="00266C82">
        <w:t>NUT</w:t>
      </w:r>
      <w:r w:rsidR="00500213" w:rsidRPr="00266C82">
        <w:t>S</w:t>
      </w:r>
      <w:r w:rsidR="00F75BF4" w:rsidRPr="00266C82">
        <w:t>3 level in each country.</w:t>
      </w:r>
    </w:p>
    <w:p w14:paraId="15114640" w14:textId="77777777" w:rsidR="00AA18B1" w:rsidRPr="00266C82" w:rsidRDefault="00B301BF" w:rsidP="00F679C4">
      <w:pPr>
        <w:spacing w:line="360" w:lineRule="auto"/>
        <w:ind w:firstLine="567"/>
        <w:jc w:val="both"/>
      </w:pPr>
      <w:r w:rsidRPr="00266C82">
        <w:t>W</w:t>
      </w:r>
      <w:r w:rsidR="00AA18B1" w:rsidRPr="00266C82">
        <w:t xml:space="preserve">e </w:t>
      </w:r>
      <w:r w:rsidRPr="00266C82">
        <w:t xml:space="preserve">then </w:t>
      </w:r>
      <w:r w:rsidR="00AA18B1" w:rsidRPr="00266C82">
        <w:t xml:space="preserve">apply the </w:t>
      </w:r>
      <w:r w:rsidR="00AA18B1" w:rsidRPr="00266C82">
        <w:rPr>
          <w:iCs/>
          <w:lang w:val="en-US"/>
        </w:rPr>
        <w:t>local linear non-parametric regression</w:t>
      </w:r>
      <w:r w:rsidR="00AA18B1" w:rsidRPr="00266C82">
        <w:t xml:space="preserve"> (Li and Racine 2004, 2007) </w:t>
      </w:r>
      <w:r w:rsidR="00FB7108" w:rsidRPr="00266C82">
        <w:t>that takes the following form</w:t>
      </w:r>
      <w:r w:rsidR="00064029">
        <w:t>:</w:t>
      </w:r>
      <w:r w:rsidR="008307BE" w:rsidRPr="00266C82">
        <w:rPr>
          <w:rStyle w:val="EndnoteReference"/>
        </w:rPr>
        <w:endnoteReference w:id="4"/>
      </w:r>
    </w:p>
    <w:p w14:paraId="52C0BA26" w14:textId="77777777" w:rsidR="00AA18B1" w:rsidRPr="00266C82" w:rsidRDefault="00AA18B1" w:rsidP="00F679C4">
      <w:pPr>
        <w:spacing w:line="360" w:lineRule="auto"/>
        <w:jc w:val="both"/>
      </w:pPr>
      <w:r w:rsidRPr="00266C82">
        <w:t xml:space="preserve"> </w:t>
      </w:r>
      <w:r w:rsidR="003E3C1F" w:rsidRPr="00266C82">
        <w:rPr>
          <w:position w:val="-16"/>
        </w:rPr>
        <w:object w:dxaOrig="4480" w:dyaOrig="440" w14:anchorId="2AB29694">
          <v:shape id="_x0000_i1039" type="#_x0000_t75" style="width:225.75pt;height:21.75pt" o:ole="">
            <v:imagedata r:id="rId34" o:title=""/>
          </v:shape>
          <o:OLEObject Type="Embed" ProgID="Equation.DSMT4" ShapeID="_x0000_i1039" DrawAspect="Content" ObjectID="_1569911520" r:id="rId35"/>
        </w:object>
      </w:r>
      <w:r w:rsidRPr="00266C82">
        <w:t xml:space="preserve"> </w:t>
      </w:r>
      <w:r w:rsidRPr="00266C82">
        <w:tab/>
      </w:r>
      <w:r w:rsidRPr="00266C82">
        <w:tab/>
        <w:t xml:space="preserve"> </w:t>
      </w:r>
      <w:r w:rsidRPr="00266C82">
        <w:tab/>
        <w:t xml:space="preserve">                          </w:t>
      </w:r>
      <w:r w:rsidRPr="00266C82">
        <w:tab/>
        <w:t>(</w:t>
      </w:r>
      <w:r w:rsidR="00CF238F" w:rsidRPr="00266C82">
        <w:t>6</w:t>
      </w:r>
      <w:r w:rsidRPr="00266C82">
        <w:t>)</w:t>
      </w:r>
    </w:p>
    <w:p w14:paraId="46B226C9" w14:textId="77777777" w:rsidR="003E3C1F" w:rsidRPr="00266C82" w:rsidRDefault="003E3C1F" w:rsidP="00F679C4">
      <w:pPr>
        <w:spacing w:line="360" w:lineRule="auto"/>
        <w:jc w:val="both"/>
      </w:pPr>
      <w:r w:rsidRPr="00266C82">
        <w:rPr>
          <w:position w:val="-16"/>
        </w:rPr>
        <w:object w:dxaOrig="3700" w:dyaOrig="440" w14:anchorId="20477340">
          <v:shape id="_x0000_i1040" type="#_x0000_t75" style="width:184.5pt;height:21.75pt" o:ole="">
            <v:imagedata r:id="rId36" o:title=""/>
          </v:shape>
          <o:OLEObject Type="Embed" ProgID="Equation.DSMT4" ShapeID="_x0000_i1040" DrawAspect="Content" ObjectID="_1569911521" r:id="rId37"/>
        </w:object>
      </w:r>
      <w:r w:rsidR="00E07144" w:rsidRPr="00266C82">
        <w:t xml:space="preserve"> </w:t>
      </w:r>
      <w:r w:rsidR="00E07144" w:rsidRPr="00266C82">
        <w:tab/>
      </w:r>
      <w:r w:rsidR="00E07144" w:rsidRPr="00266C82">
        <w:tab/>
      </w:r>
      <w:r w:rsidR="00E07144" w:rsidRPr="00266C82">
        <w:tab/>
      </w:r>
      <w:r w:rsidR="00E07144" w:rsidRPr="00266C82">
        <w:tab/>
      </w:r>
      <w:r w:rsidR="00E07144" w:rsidRPr="00266C82">
        <w:tab/>
      </w:r>
      <w:r w:rsidR="00E07144" w:rsidRPr="00266C82">
        <w:tab/>
      </w:r>
      <w:r w:rsidR="00E07144" w:rsidRPr="00266C82">
        <w:tab/>
        <w:t>(</w:t>
      </w:r>
      <w:r w:rsidR="00CF238F" w:rsidRPr="00266C82">
        <w:t>7</w:t>
      </w:r>
      <w:r w:rsidR="00E07144" w:rsidRPr="00266C82">
        <w:t>)</w:t>
      </w:r>
    </w:p>
    <w:p w14:paraId="3B86C4D6" w14:textId="016A2968" w:rsidR="007167C8" w:rsidRPr="00266C82" w:rsidRDefault="00562E4B" w:rsidP="00F679C4">
      <w:pPr>
        <w:spacing w:line="360" w:lineRule="auto"/>
        <w:jc w:val="both"/>
        <w:rPr>
          <w:rFonts w:eastAsia="Times New Roman"/>
          <w:color w:val="000000"/>
        </w:rPr>
      </w:pPr>
      <w:r w:rsidRPr="00266C82">
        <w:t xml:space="preserve">Equation (6) </w:t>
      </w:r>
      <w:r w:rsidR="00B301BF" w:rsidRPr="00266C82">
        <w:t>refers to</w:t>
      </w:r>
      <w:r w:rsidRPr="00266C82">
        <w:t xml:space="preserve"> the club convergence-divergence of GDP per capita gaps (GGDPPC) using the local linear estimator, whereas equation (7) analyses the club convergence-divergence of financial centres’ rating gaps (GRAT). </w:t>
      </w:r>
      <w:r w:rsidR="00CF238F" w:rsidRPr="00266C82">
        <w:t xml:space="preserve">In equations (6) and (7) </w:t>
      </w:r>
      <w:r w:rsidR="00BC50A5" w:rsidRPr="00BC50A5">
        <w:rPr>
          <w:i/>
        </w:rPr>
        <w:t>m(.)</w:t>
      </w:r>
      <w:r w:rsidR="00CB4B87" w:rsidRPr="00266C82">
        <w:t xml:space="preserve"> represents the unknown smooth function </w:t>
      </w:r>
      <w:r w:rsidR="00A57CE6" w:rsidRPr="00266C82">
        <w:t xml:space="preserve">that </w:t>
      </w:r>
      <w:r w:rsidR="00CB4B87" w:rsidRPr="00266C82">
        <w:t>can be interpreted as the conditional mean of the dependent variable</w:t>
      </w:r>
      <w:r w:rsidR="00E005DA" w:rsidRPr="00266C82">
        <w:t xml:space="preserve"> given the independent variable, whereas</w:t>
      </w:r>
      <w:r w:rsidR="00E005DA" w:rsidRPr="00266C82">
        <w:rPr>
          <w:position w:val="-12"/>
        </w:rPr>
        <w:object w:dxaOrig="240" w:dyaOrig="360" w14:anchorId="701D1CAA">
          <v:shape id="_x0000_i1041" type="#_x0000_t75" style="width:12.75pt;height:18.75pt" o:ole="">
            <v:imagedata r:id="rId38" o:title=""/>
          </v:shape>
          <o:OLEObject Type="Embed" ProgID="Equation.DSMT4" ShapeID="_x0000_i1041" DrawAspect="Content" ObjectID="_1569911522" r:id="rId39"/>
        </w:object>
      </w:r>
      <w:r w:rsidR="00E005DA" w:rsidRPr="00266C82">
        <w:t xml:space="preserve">denotes the disturbances. </w:t>
      </w:r>
      <w:r w:rsidR="00FB7108" w:rsidRPr="00266C82">
        <w:t>We also use</w:t>
      </w:r>
      <w:r w:rsidR="00DA6045" w:rsidRPr="00266C82">
        <w:t xml:space="preserve"> the local linear estimator </w:t>
      </w:r>
      <w:r w:rsidR="00FB7108" w:rsidRPr="00266C82">
        <w:t>to</w:t>
      </w:r>
      <w:r w:rsidR="00DA6045" w:rsidRPr="00266C82">
        <w:t xml:space="preserve"> </w:t>
      </w:r>
      <w:r w:rsidR="00A57CE6" w:rsidRPr="00266C82">
        <w:t xml:space="preserve">investigate </w:t>
      </w:r>
      <w:r w:rsidR="00DA6045" w:rsidRPr="00266C82">
        <w:t>the effect of financial</w:t>
      </w:r>
      <w:r w:rsidR="00AD5350" w:rsidRPr="00266C82">
        <w:t xml:space="preserve"> centres’ rating gaps (GRAT) on</w:t>
      </w:r>
      <w:r w:rsidR="00FB7108" w:rsidRPr="00266C82">
        <w:t xml:space="preserve">: </w:t>
      </w:r>
      <w:r w:rsidR="00064029">
        <w:t>(</w:t>
      </w:r>
      <w:r w:rsidR="00FB7108" w:rsidRPr="00266C82">
        <w:t xml:space="preserve">i) </w:t>
      </w:r>
      <w:r w:rsidR="00CF238F" w:rsidRPr="00266C82">
        <w:t xml:space="preserve">the </w:t>
      </w:r>
      <w:r w:rsidR="007167C8" w:rsidRPr="00266C82">
        <w:t xml:space="preserve">regions’ GDP </w:t>
      </w:r>
      <w:r w:rsidR="00FB7108" w:rsidRPr="00266C82">
        <w:t xml:space="preserve">per capita </w:t>
      </w:r>
      <w:r w:rsidR="007167C8" w:rsidRPr="00266C82">
        <w:t>gaps (GGDPPC) in which the financial centres are located</w:t>
      </w:r>
      <w:r w:rsidR="00FB7108" w:rsidRPr="00266C82">
        <w:t>; and</w:t>
      </w:r>
      <w:r w:rsidR="00AD5350" w:rsidRPr="00266C82">
        <w:t xml:space="preserve"> </w:t>
      </w:r>
      <w:r w:rsidR="00064029">
        <w:t>(</w:t>
      </w:r>
      <w:r w:rsidR="00FB7108" w:rsidRPr="00266C82">
        <w:t xml:space="preserve">ii) </w:t>
      </w:r>
      <w:r w:rsidR="007167C8" w:rsidRPr="00266C82">
        <w:rPr>
          <w:rFonts w:eastAsia="Times New Roman"/>
          <w:color w:val="000000"/>
        </w:rPr>
        <w:t>the GDP per capita gaps of the region</w:t>
      </w:r>
      <w:r w:rsidR="00CF238F" w:rsidRPr="00266C82">
        <w:rPr>
          <w:rFonts w:eastAsia="Times New Roman"/>
          <w:color w:val="000000"/>
        </w:rPr>
        <w:t>s</w:t>
      </w:r>
      <w:r w:rsidR="007167C8" w:rsidRPr="00266C82">
        <w:rPr>
          <w:rFonts w:eastAsia="Times New Roman"/>
          <w:color w:val="000000"/>
        </w:rPr>
        <w:t xml:space="preserve"> where a financial centre is located and </w:t>
      </w:r>
      <w:r w:rsidR="00FB7108" w:rsidRPr="00266C82">
        <w:rPr>
          <w:rFonts w:eastAsia="Times New Roman"/>
          <w:color w:val="000000"/>
        </w:rPr>
        <w:t>the other</w:t>
      </w:r>
      <w:r w:rsidR="007167C8" w:rsidRPr="00266C82">
        <w:rPr>
          <w:rFonts w:eastAsia="Times New Roman"/>
          <w:color w:val="000000"/>
        </w:rPr>
        <w:t xml:space="preserve"> regions within the same country</w:t>
      </w:r>
      <w:r w:rsidR="007167C8" w:rsidRPr="00266C82">
        <w:t xml:space="preserve"> (</w:t>
      </w:r>
      <w:r w:rsidR="007167C8" w:rsidRPr="00266C82">
        <w:rPr>
          <w:rFonts w:eastAsia="Times New Roman"/>
          <w:bCs/>
          <w:color w:val="000000"/>
        </w:rPr>
        <w:t>WGGDPPC</w:t>
      </w:r>
      <w:r w:rsidR="007167C8" w:rsidRPr="00266C82">
        <w:rPr>
          <w:rFonts w:eastAsia="Times New Roman"/>
          <w:color w:val="000000"/>
        </w:rPr>
        <w:t xml:space="preserve">). These </w:t>
      </w:r>
      <w:r w:rsidR="00FB7108" w:rsidRPr="00266C82">
        <w:rPr>
          <w:rFonts w:eastAsia="Times New Roman"/>
          <w:color w:val="000000"/>
        </w:rPr>
        <w:t>equations take the following form</w:t>
      </w:r>
      <w:r w:rsidR="007167C8" w:rsidRPr="00266C82">
        <w:rPr>
          <w:rFonts w:eastAsia="Times New Roman"/>
          <w:color w:val="000000"/>
        </w:rPr>
        <w:t>:</w:t>
      </w:r>
    </w:p>
    <w:p w14:paraId="3C3A1B16" w14:textId="77777777" w:rsidR="007167C8" w:rsidRPr="00266C82" w:rsidRDefault="007167C8" w:rsidP="00F679C4">
      <w:pPr>
        <w:spacing w:line="360" w:lineRule="auto"/>
        <w:jc w:val="both"/>
      </w:pPr>
      <w:r w:rsidRPr="00266C82">
        <w:rPr>
          <w:position w:val="-16"/>
        </w:rPr>
        <w:object w:dxaOrig="3940" w:dyaOrig="440" w14:anchorId="27E18B5D">
          <v:shape id="_x0000_i1042" type="#_x0000_t75" style="width:198.75pt;height:21.75pt" o:ole="">
            <v:imagedata r:id="rId40" o:title=""/>
          </v:shape>
          <o:OLEObject Type="Embed" ProgID="Equation.DSMT4" ShapeID="_x0000_i1042" DrawAspect="Content" ObjectID="_1569911523" r:id="rId41"/>
        </w:object>
      </w:r>
      <w:r w:rsidRPr="00266C82">
        <w:t xml:space="preserve"> </w:t>
      </w:r>
      <w:r w:rsidRPr="00266C82">
        <w:tab/>
      </w:r>
      <w:r w:rsidRPr="00266C82">
        <w:tab/>
      </w:r>
      <w:r w:rsidRPr="00266C82">
        <w:tab/>
      </w:r>
      <w:r w:rsidRPr="00266C82">
        <w:tab/>
      </w:r>
      <w:r w:rsidRPr="00266C82">
        <w:tab/>
      </w:r>
      <w:r w:rsidRPr="00266C82">
        <w:tab/>
      </w:r>
      <w:r w:rsidRPr="00266C82">
        <w:tab/>
        <w:t>(</w:t>
      </w:r>
      <w:r w:rsidR="00CF238F" w:rsidRPr="00266C82">
        <w:t>8</w:t>
      </w:r>
      <w:r w:rsidRPr="00266C82">
        <w:t>)</w:t>
      </w:r>
    </w:p>
    <w:p w14:paraId="1C2DF090" w14:textId="77777777" w:rsidR="00DA6045" w:rsidRPr="00266C82" w:rsidRDefault="007167C8" w:rsidP="00F679C4">
      <w:pPr>
        <w:spacing w:line="360" w:lineRule="auto"/>
        <w:jc w:val="both"/>
      </w:pPr>
      <w:r w:rsidRPr="00266C82">
        <w:rPr>
          <w:position w:val="-16"/>
        </w:rPr>
        <w:object w:dxaOrig="4120" w:dyaOrig="440" w14:anchorId="12AC2DF4">
          <v:shape id="_x0000_i1043" type="#_x0000_t75" style="width:207pt;height:21.75pt" o:ole="">
            <v:imagedata r:id="rId42" o:title=""/>
          </v:shape>
          <o:OLEObject Type="Embed" ProgID="Equation.DSMT4" ShapeID="_x0000_i1043" DrawAspect="Content" ObjectID="_1569911524" r:id="rId43"/>
        </w:object>
      </w:r>
      <w:r w:rsidRPr="00266C82">
        <w:t xml:space="preserve"> </w:t>
      </w:r>
      <w:r w:rsidRPr="00266C82">
        <w:tab/>
      </w:r>
      <w:r w:rsidRPr="00266C82">
        <w:tab/>
      </w:r>
      <w:r w:rsidRPr="00266C82">
        <w:tab/>
      </w:r>
      <w:r w:rsidRPr="00266C82">
        <w:tab/>
      </w:r>
      <w:r w:rsidRPr="00266C82">
        <w:tab/>
      </w:r>
      <w:r w:rsidRPr="00266C82">
        <w:tab/>
      </w:r>
      <w:r w:rsidRPr="00266C82">
        <w:tab/>
        <w:t>(</w:t>
      </w:r>
      <w:r w:rsidR="00CF238F" w:rsidRPr="00266C82">
        <w:t>9</w:t>
      </w:r>
      <w:r w:rsidRPr="00266C82">
        <w:t>)</w:t>
      </w:r>
    </w:p>
    <w:p w14:paraId="2972886D" w14:textId="1944260D" w:rsidR="001B38CD" w:rsidRDefault="00A4789D" w:rsidP="001B38CD">
      <w:pPr>
        <w:spacing w:line="360" w:lineRule="auto"/>
        <w:ind w:firstLine="567"/>
        <w:jc w:val="both"/>
      </w:pPr>
      <w:r>
        <w:t>However, it must be mentioned that the</w:t>
      </w:r>
      <w:r w:rsidR="00F96AA4">
        <w:t xml:space="preserve"> analysis of the regional gaps does not allows us to identify whether the divergence/convergence is driven by the lead</w:t>
      </w:r>
      <w:r w:rsidR="008B1BF2">
        <w:t>ing</w:t>
      </w:r>
      <w:r w:rsidR="00F96AA4">
        <w:t xml:space="preserve"> or lagging regions. Furthermore, the divergence/convergence process between the GDP can </w:t>
      </w:r>
      <w:r w:rsidR="003621BF">
        <w:t xml:space="preserve">also </w:t>
      </w:r>
      <w:r w:rsidR="00F96AA4">
        <w:t>be driven by further characteristics of both the regions where financial centres are</w:t>
      </w:r>
      <w:r w:rsidR="00A5566D">
        <w:t xml:space="preserve"> located and the other regions.</w:t>
      </w:r>
      <w:r w:rsidR="00F96AA4">
        <w:t xml:space="preserve"> </w:t>
      </w:r>
      <w:r w:rsidR="005A062A">
        <w:t>T</w:t>
      </w:r>
      <w:r w:rsidR="005A062A" w:rsidRPr="005A062A">
        <w:t>he rel</w:t>
      </w:r>
      <w:r w:rsidR="008B1BF2">
        <w:t>evant</w:t>
      </w:r>
      <w:r w:rsidR="005A062A" w:rsidRPr="005A062A">
        <w:t xml:space="preserve"> literature </w:t>
      </w:r>
      <w:r w:rsidR="008B1BF2">
        <w:t xml:space="preserve">analytically </w:t>
      </w:r>
      <w:r w:rsidR="005A062A">
        <w:t xml:space="preserve">explains a the </w:t>
      </w:r>
      <w:r w:rsidR="005A062A" w:rsidRPr="005A062A">
        <w:t>mechanisms of converging/diverging patterns between EU regions (e.g. Crescenzi, 2005; Crescenzi and Giua, 2016; Le Gallo and Dall’Erba, 2008; Petrak</w:t>
      </w:r>
      <w:r w:rsidR="005A062A" w:rsidRPr="001D4401">
        <w:t>os et al., 2005, 2011).</w:t>
      </w:r>
      <w:r w:rsidR="001B38CD" w:rsidRPr="001D4401">
        <w:t xml:space="preserve"> </w:t>
      </w:r>
      <w:r w:rsidR="005A062A" w:rsidRPr="001D4401">
        <w:t xml:space="preserve">However, </w:t>
      </w:r>
      <w:r w:rsidR="001D4401" w:rsidRPr="001D4401">
        <w:t>and given the potential limitations of the adopted methodology,</w:t>
      </w:r>
      <w:r w:rsidR="005A062A" w:rsidRPr="001D4401">
        <w:t xml:space="preserve"> o</w:t>
      </w:r>
      <w:r w:rsidR="001B38CD" w:rsidRPr="001D4401">
        <w:t>ne</w:t>
      </w:r>
      <w:r w:rsidR="001B38CD" w:rsidRPr="00AC3362">
        <w:t xml:space="preserve"> of the advantage</w:t>
      </w:r>
      <w:r w:rsidR="00904601">
        <w:t>s</w:t>
      </w:r>
      <w:r w:rsidR="001B38CD" w:rsidRPr="00AC3362">
        <w:t xml:space="preserve"> of the non-parametric model is that it is robust to </w:t>
      </w:r>
      <w:r w:rsidR="005A062A">
        <w:t xml:space="preserve">potential </w:t>
      </w:r>
      <w:r w:rsidR="001B38CD" w:rsidRPr="00AC3362">
        <w:t>omitted variables.</w:t>
      </w:r>
      <w:r w:rsidR="005A062A">
        <w:t xml:space="preserve"> (Frölich, </w:t>
      </w:r>
      <w:r w:rsidR="005A062A" w:rsidRPr="00266C82">
        <w:t>200</w:t>
      </w:r>
      <w:r w:rsidR="005A062A">
        <w:t>7, Li and Racine, 2007</w:t>
      </w:r>
      <w:r w:rsidR="005A062A" w:rsidRPr="00266C82">
        <w:t>)</w:t>
      </w:r>
      <w:r w:rsidR="005A062A">
        <w:t xml:space="preserve">. </w:t>
      </w:r>
      <w:r w:rsidR="001B38CD" w:rsidRPr="00AC3362">
        <w:t xml:space="preserve"> Therefore</w:t>
      </w:r>
      <w:r w:rsidR="00904601">
        <w:t>,</w:t>
      </w:r>
      <w:r w:rsidR="001B38CD" w:rsidRPr="00AC3362">
        <w:t xml:space="preserve"> we are still able to get robust results</w:t>
      </w:r>
      <w:r w:rsidR="005A062A">
        <w:t xml:space="preserve"> of the included variables</w:t>
      </w:r>
      <w:r w:rsidR="000B37DA">
        <w:t xml:space="preserve"> </w:t>
      </w:r>
      <w:r w:rsidR="000B37DA" w:rsidRPr="00AC3362">
        <w:t>without including specific regional variables for lagging regions</w:t>
      </w:r>
      <w:r w:rsidR="005A062A">
        <w:t>.</w:t>
      </w:r>
      <w:r w:rsidR="001B38CD" w:rsidRPr="00AC3362">
        <w:t xml:space="preserve"> </w:t>
      </w:r>
    </w:p>
    <w:p w14:paraId="29E87559" w14:textId="0A9F08F7" w:rsidR="004247D3" w:rsidRPr="00266C82" w:rsidRDefault="005A062A" w:rsidP="004247D3">
      <w:pPr>
        <w:spacing w:line="360" w:lineRule="auto"/>
        <w:ind w:firstLine="567"/>
        <w:jc w:val="both"/>
        <w:rPr>
          <w:lang w:val="en-US"/>
        </w:rPr>
      </w:pPr>
      <w:r>
        <w:t>Regardless of this potential advantage</w:t>
      </w:r>
      <w:r w:rsidR="008B1BF2">
        <w:t>,</w:t>
      </w:r>
      <w:r>
        <w:t xml:space="preserve"> and a</w:t>
      </w:r>
      <w:r w:rsidR="004247D3" w:rsidRPr="00266C82">
        <w:t xml:space="preserve">s </w:t>
      </w:r>
      <w:r w:rsidR="00E5062A" w:rsidRPr="00266C82">
        <w:t xml:space="preserve">a </w:t>
      </w:r>
      <w:r>
        <w:t xml:space="preserve">further </w:t>
      </w:r>
      <w:r w:rsidR="004247D3" w:rsidRPr="00266C82">
        <w:t xml:space="preserve">robustness check, we apply a probability transition matrix </w:t>
      </w:r>
      <w:r w:rsidR="00935239" w:rsidRPr="00266C82">
        <w:t>(inter alia Hammond and Thompson, 2002; Pittau and Zelli, 2006; Quah, 1996)</w:t>
      </w:r>
      <w:r w:rsidR="00064029">
        <w:t xml:space="preserve"> </w:t>
      </w:r>
      <w:r w:rsidR="004247D3" w:rsidRPr="00266C82">
        <w:t>in order to examine the probability of divergence/convergence of</w:t>
      </w:r>
      <w:r w:rsidR="00E5062A" w:rsidRPr="00266C82">
        <w:t xml:space="preserve"> </w:t>
      </w:r>
      <w:r w:rsidR="004247D3" w:rsidRPr="00266C82">
        <w:t>GRAT, GGDPPC</w:t>
      </w:r>
      <w:r w:rsidR="00E5062A" w:rsidRPr="00266C82">
        <w:t>,</w:t>
      </w:r>
      <w:r w:rsidR="004247D3" w:rsidRPr="00266C82">
        <w:t xml:space="preserve"> and WGGDPPC. As a first step of the analysis we separate the estimated gaps (i.e. GRAT, GGDPPC and WGGDPPC) into four states representing four discrete states (i.e. from State 1: lower gaps to State 4: largest gaps) over the period 2008</w:t>
      </w:r>
      <w:r w:rsidR="00064029">
        <w:t>–</w:t>
      </w:r>
      <w:r w:rsidR="004247D3" w:rsidRPr="00266C82">
        <w:t xml:space="preserve">2012 (see Appendix </w:t>
      </w:r>
      <w:r w:rsidR="00951B3F" w:rsidRPr="00266C82">
        <w:t>C</w:t>
      </w:r>
      <w:r w:rsidR="004247D3" w:rsidRPr="00266C82">
        <w:t xml:space="preserve"> for details).</w:t>
      </w:r>
    </w:p>
    <w:p w14:paraId="55EA9034" w14:textId="07C854FC" w:rsidR="0009770E" w:rsidRPr="00D37C8E" w:rsidRDefault="00B301BF" w:rsidP="00457347">
      <w:pPr>
        <w:spacing w:after="240" w:line="360" w:lineRule="auto"/>
        <w:ind w:firstLine="567"/>
        <w:jc w:val="both"/>
        <w:rPr>
          <w:rStyle w:val="a"/>
          <w:rFonts w:eastAsia="Times New Roman"/>
        </w:rPr>
      </w:pPr>
      <w:r w:rsidRPr="00266C82">
        <w:rPr>
          <w:lang w:val="en-US"/>
        </w:rPr>
        <w:t>As discussed in the literature review, there can be an endogeneity issue between financial centres’ competitiveness and regional economic convergence. Such</w:t>
      </w:r>
      <w:r w:rsidR="00E5062A" w:rsidRPr="00266C82">
        <w:rPr>
          <w:lang w:val="en-US"/>
        </w:rPr>
        <w:t xml:space="preserve"> an</w:t>
      </w:r>
      <w:r w:rsidRPr="00266C82">
        <w:rPr>
          <w:lang w:val="en-US"/>
        </w:rPr>
        <w:t xml:space="preserve"> issue should be tackled by </w:t>
      </w:r>
      <w:r w:rsidR="00804758" w:rsidRPr="00266C82">
        <w:rPr>
          <w:lang w:val="en-US"/>
        </w:rPr>
        <w:t xml:space="preserve">the </w:t>
      </w:r>
      <w:r w:rsidRPr="00266C82">
        <w:rPr>
          <w:lang w:val="en-US"/>
        </w:rPr>
        <w:t>non</w:t>
      </w:r>
      <w:r w:rsidR="003470D2">
        <w:rPr>
          <w:lang w:val="en-US"/>
        </w:rPr>
        <w:t>-parametric regression analysis.</w:t>
      </w:r>
      <w:r w:rsidR="00AA18B1" w:rsidRPr="00266C82">
        <w:rPr>
          <w:lang w:val="en-US"/>
        </w:rPr>
        <w:t xml:space="preserve"> </w:t>
      </w:r>
      <w:r w:rsidRPr="00266C82">
        <w:t xml:space="preserve">As pointed out by </w:t>
      </w:r>
      <w:r w:rsidR="00AA18B1" w:rsidRPr="00266C82">
        <w:t>Frölich (200</w:t>
      </w:r>
      <w:r w:rsidR="003470D2">
        <w:t>7</w:t>
      </w:r>
      <w:r w:rsidR="00AA18B1" w:rsidRPr="00266C82">
        <w:t>)</w:t>
      </w:r>
      <w:r w:rsidR="008B1BF2">
        <w:t>,</w:t>
      </w:r>
      <w:r w:rsidR="00064029">
        <w:t xml:space="preserve"> </w:t>
      </w:r>
      <w:r w:rsidR="00AA18B1" w:rsidRPr="00266C82">
        <w:t>non-parametric approaches permit</w:t>
      </w:r>
      <w:r w:rsidRPr="00266C82">
        <w:t xml:space="preserve"> </w:t>
      </w:r>
      <w:r w:rsidR="00AA18B1" w:rsidRPr="00266C82">
        <w:t>a better treatment of the effect of heterogeneity (over the parametric specifications)</w:t>
      </w:r>
      <w:r w:rsidR="00804758" w:rsidRPr="00266C82">
        <w:t xml:space="preserve"> since the</w:t>
      </w:r>
      <w:r w:rsidR="00064029">
        <w:t xml:space="preserve"> </w:t>
      </w:r>
      <w:r w:rsidR="00AA18B1" w:rsidRPr="00266C82">
        <w:t xml:space="preserve">local linear estimator </w:t>
      </w:r>
      <w:r w:rsidR="00064029">
        <w:t>gives</w:t>
      </w:r>
      <w:r w:rsidR="00064029" w:rsidRPr="00266C82">
        <w:t xml:space="preserve"> </w:t>
      </w:r>
      <w:r w:rsidR="00AA18B1" w:rsidRPr="00266C82">
        <w:rPr>
          <w:lang w:val="en-US"/>
        </w:rPr>
        <w:t>the value of the regression function at a given point by using neighbo</w:t>
      </w:r>
      <w:r w:rsidR="00064029">
        <w:rPr>
          <w:lang w:val="en-US"/>
        </w:rPr>
        <w:t>u</w:t>
      </w:r>
      <w:r w:rsidR="00AA18B1" w:rsidRPr="00266C82">
        <w:rPr>
          <w:lang w:val="en-US"/>
        </w:rPr>
        <w:t>ring observations</w:t>
      </w:r>
      <w:r w:rsidR="00AA18B1" w:rsidRPr="00266C82">
        <w:t xml:space="preserve">. As a result, it minimises possible endogeneity problems that can affect the relationship between the financial centres’ gaps and regional economic gaps. </w:t>
      </w:r>
      <w:r w:rsidR="00C015FC" w:rsidRPr="00266C82">
        <w:t xml:space="preserve">We also </w:t>
      </w:r>
      <w:r w:rsidRPr="00266C82">
        <w:t>address</w:t>
      </w:r>
      <w:r w:rsidR="00C015FC" w:rsidRPr="00266C82">
        <w:t xml:space="preserve"> the</w:t>
      </w:r>
      <w:r w:rsidRPr="00266C82">
        <w:t xml:space="preserve"> endogeneity problem </w:t>
      </w:r>
      <w:r w:rsidR="00C015FC" w:rsidRPr="00266C82">
        <w:t>by running a non-parametric instrumental variable regression</w:t>
      </w:r>
      <w:r w:rsidR="004247D3" w:rsidRPr="00266C82">
        <w:t xml:space="preserve">. This is </w:t>
      </w:r>
      <w:r w:rsidR="00E5062A" w:rsidRPr="00266C82">
        <w:t>important because</w:t>
      </w:r>
      <w:r w:rsidR="004247D3" w:rsidRPr="00266C82">
        <w:t xml:space="preserve"> t</w:t>
      </w:r>
      <w:r w:rsidR="00801A6F" w:rsidRPr="00266C82">
        <w:t xml:space="preserve">he vast majority of </w:t>
      </w:r>
      <w:r w:rsidR="000E09C8" w:rsidRPr="00266C82">
        <w:t>the previous empirical investigations</w:t>
      </w:r>
      <w:r w:rsidR="00801A6F" w:rsidRPr="00266C82">
        <w:t xml:space="preserve"> do not include endogenous regressors in their non</w:t>
      </w:r>
      <w:r w:rsidR="00180319" w:rsidRPr="00266C82">
        <w:t>-</w:t>
      </w:r>
      <w:r w:rsidR="00801A6F" w:rsidRPr="00266C82">
        <w:t>parametric regression analysis</w:t>
      </w:r>
      <w:r w:rsidR="001B5C82">
        <w:t xml:space="preserve">. </w:t>
      </w:r>
      <w:r w:rsidR="000E09C8" w:rsidRPr="00266C82">
        <w:t>In particular</w:t>
      </w:r>
      <w:r w:rsidR="00FB02BC" w:rsidRPr="00266C82">
        <w:t>,</w:t>
      </w:r>
      <w:r w:rsidR="000E09C8" w:rsidRPr="00266C82">
        <w:t xml:space="preserve"> by following</w:t>
      </w:r>
      <w:r w:rsidR="0064083B" w:rsidRPr="00266C82">
        <w:t xml:space="preserve"> </w:t>
      </w:r>
      <w:r w:rsidR="00801A6F" w:rsidRPr="00266C82">
        <w:t>Horowitz (2011)</w:t>
      </w:r>
      <w:r w:rsidR="000E09C8" w:rsidRPr="00266C82">
        <w:t xml:space="preserve">, we employ a </w:t>
      </w:r>
      <w:r w:rsidR="00801A6F" w:rsidRPr="00266C82">
        <w:t xml:space="preserve">methodological framework </w:t>
      </w:r>
      <w:r w:rsidR="000E09C8" w:rsidRPr="00266C82">
        <w:t>that</w:t>
      </w:r>
      <w:r w:rsidR="00347B89" w:rsidRPr="00266C82">
        <w:t xml:space="preserve"> directly</w:t>
      </w:r>
      <w:r w:rsidR="000E09C8" w:rsidRPr="00266C82">
        <w:t xml:space="preserve"> </w:t>
      </w:r>
      <w:r w:rsidR="00801A6F" w:rsidRPr="00266C82">
        <w:t>incorporates the instrumental variables into the estimatio</w:t>
      </w:r>
      <w:r w:rsidR="00FB02BC" w:rsidRPr="00266C82">
        <w:t xml:space="preserve">n. This framework </w:t>
      </w:r>
      <w:r w:rsidR="00801A6F" w:rsidRPr="00266C82">
        <w:t>is based</w:t>
      </w:r>
      <w:r w:rsidR="005F5820" w:rsidRPr="00266C82">
        <w:t xml:space="preserve"> </w:t>
      </w:r>
      <w:r w:rsidR="0092072F" w:rsidRPr="00266C82">
        <w:t>on</w:t>
      </w:r>
      <w:r w:rsidR="00FB02BC" w:rsidRPr="00266C82">
        <w:t xml:space="preserve"> a</w:t>
      </w:r>
      <w:r w:rsidR="0092072F" w:rsidRPr="00266C82">
        <w:t xml:space="preserve"> </w:t>
      </w:r>
      <w:r w:rsidR="005F5820" w:rsidRPr="00266C82">
        <w:t xml:space="preserve">local polynomial kernel regression. </w:t>
      </w:r>
      <w:r w:rsidR="00CB6DF8" w:rsidRPr="00266C82">
        <w:t xml:space="preserve">Specifically, the applied estimator </w:t>
      </w:r>
      <w:r w:rsidR="000E09C8" w:rsidRPr="00266C82">
        <w:t>allows</w:t>
      </w:r>
      <w:r w:rsidR="00CB6DF8" w:rsidRPr="00266C82">
        <w:t xml:space="preserve"> </w:t>
      </w:r>
      <w:r w:rsidR="00064029">
        <w:t>–</w:t>
      </w:r>
      <w:r w:rsidR="000E09C8" w:rsidRPr="00266C82">
        <w:t xml:space="preserve"> </w:t>
      </w:r>
      <w:r w:rsidR="005F5820" w:rsidRPr="00266C82">
        <w:t>under the presence of instrumental variables</w:t>
      </w:r>
      <w:r w:rsidR="00064029">
        <w:t xml:space="preserve"> –</w:t>
      </w:r>
      <w:r w:rsidR="00BC50A5">
        <w:t xml:space="preserve"> </w:t>
      </w:r>
      <w:r w:rsidR="00BC50A5" w:rsidRPr="00BC50A5">
        <w:rPr>
          <w:i/>
        </w:rPr>
        <w:t>m</w:t>
      </w:r>
      <m:oMath>
        <m:r>
          <w:rPr>
            <w:rFonts w:ascii="Cambria Math" w:hAnsi="Cambria Math"/>
          </w:rPr>
          <m:t xml:space="preserve"> </m:t>
        </m:r>
      </m:oMath>
      <w:r w:rsidR="005F5820" w:rsidRPr="00266C82">
        <w:t xml:space="preserve">in equations (8) and (9) </w:t>
      </w:r>
      <w:r w:rsidR="000E09C8" w:rsidRPr="00266C82">
        <w:t>to be</w:t>
      </w:r>
      <w:r w:rsidR="00FB62F4" w:rsidRPr="00266C82">
        <w:t xml:space="preserve"> defined as a</w:t>
      </w:r>
      <w:r w:rsidR="005F5820" w:rsidRPr="00266C82">
        <w:t xml:space="preserve"> Fredholm equation of the first kind</w:t>
      </w:r>
      <w:r w:rsidR="00FB02BC" w:rsidRPr="00266C82">
        <w:t>,</w:t>
      </w:r>
      <w:r w:rsidR="005F5820" w:rsidRPr="00266C82">
        <w:t xml:space="preserve"> </w:t>
      </w:r>
      <w:r w:rsidR="00CB6DF8" w:rsidRPr="00266C82">
        <w:t xml:space="preserve">which </w:t>
      </w:r>
      <w:r w:rsidR="005F5820" w:rsidRPr="00266C82">
        <w:t>is the solution to an ill-posed inverse problem.</w:t>
      </w:r>
      <w:r w:rsidR="00D06614" w:rsidRPr="00266C82">
        <w:rPr>
          <w:rStyle w:val="EndnoteReference"/>
        </w:rPr>
        <w:endnoteReference w:id="5"/>
      </w:r>
      <w:r w:rsidR="005F5820" w:rsidRPr="00266C82">
        <w:t xml:space="preserve"> </w:t>
      </w:r>
      <w:r w:rsidR="000E09C8" w:rsidRPr="00266C82">
        <w:t xml:space="preserve">This </w:t>
      </w:r>
      <w:r w:rsidR="00FB02BC" w:rsidRPr="00266C82">
        <w:t xml:space="preserve">enables </w:t>
      </w:r>
      <w:r w:rsidR="000E09C8" w:rsidRPr="00266C82">
        <w:t xml:space="preserve">us to </w:t>
      </w:r>
      <w:r w:rsidR="0092072F" w:rsidRPr="00266C82">
        <w:t xml:space="preserve">directly </w:t>
      </w:r>
      <w:r w:rsidR="00205ECA" w:rsidRPr="00266C82">
        <w:t xml:space="preserve">address the </w:t>
      </w:r>
      <w:r w:rsidR="005D7BF7" w:rsidRPr="00266C82">
        <w:t>endogeneity</w:t>
      </w:r>
      <w:r w:rsidR="000E09C8" w:rsidRPr="00266C82">
        <w:t xml:space="preserve"> issues without </w:t>
      </w:r>
      <w:r w:rsidR="00FB02BC" w:rsidRPr="00266C82">
        <w:t>imposing any</w:t>
      </w:r>
      <w:r w:rsidR="0092072F" w:rsidRPr="00266C82">
        <w:t xml:space="preserve"> functional form</w:t>
      </w:r>
      <w:r w:rsidR="00347B89" w:rsidRPr="00266C82">
        <w:t xml:space="preserve"> on</w:t>
      </w:r>
      <w:r w:rsidR="00064029">
        <w:t>,</w:t>
      </w:r>
      <w:r w:rsidR="0092072F" w:rsidRPr="00266C82">
        <w:t xml:space="preserve"> </w:t>
      </w:r>
      <w:r w:rsidR="000E09C8" w:rsidRPr="00266C82">
        <w:t xml:space="preserve">and linearity </w:t>
      </w:r>
      <w:r w:rsidR="00FB02BC" w:rsidRPr="00266C82">
        <w:t>between</w:t>
      </w:r>
      <w:r w:rsidR="00064029">
        <w:t>,</w:t>
      </w:r>
      <w:r w:rsidR="00FB02BC" w:rsidRPr="00266C82">
        <w:t xml:space="preserve"> </w:t>
      </w:r>
      <w:r w:rsidR="0092072F" w:rsidRPr="00266C82">
        <w:t>the variables</w:t>
      </w:r>
      <w:r w:rsidR="00AD5350" w:rsidRPr="00266C82">
        <w:t xml:space="preserve">. </w:t>
      </w:r>
      <w:r w:rsidR="000E09C8" w:rsidRPr="00266C82">
        <w:t xml:space="preserve">For the choice of the instrument variables </w:t>
      </w:r>
      <w:r w:rsidR="00966C3C" w:rsidRPr="00266C82">
        <w:t xml:space="preserve">to </w:t>
      </w:r>
      <w:r w:rsidR="000E09C8" w:rsidRPr="00266C82">
        <w:t xml:space="preserve">be included in our model, we follow the procedure introduced recently by </w:t>
      </w:r>
      <w:r w:rsidR="001F71C1" w:rsidRPr="00266C82">
        <w:t xml:space="preserve">Henderson et al. (2013). </w:t>
      </w:r>
      <w:r w:rsidR="000E09C8" w:rsidRPr="00266C82">
        <w:t xml:space="preserve">They propose a rigorous and innovative </w:t>
      </w:r>
      <w:r w:rsidR="00FB02BC" w:rsidRPr="00266C82">
        <w:t xml:space="preserve">approach </w:t>
      </w:r>
      <w:r w:rsidR="000E09C8" w:rsidRPr="00266C82">
        <w:t>to select appropriate instrumental variables in a non</w:t>
      </w:r>
      <w:r w:rsidR="00180319" w:rsidRPr="00266C82">
        <w:t>-</w:t>
      </w:r>
      <w:r w:rsidR="000E09C8" w:rsidRPr="00266C82">
        <w:t xml:space="preserve">parametric regression framework. </w:t>
      </w:r>
      <w:r w:rsidR="00CF238F" w:rsidRPr="00266C82">
        <w:rPr>
          <w:rFonts w:eastAsia="Times New Roman"/>
        </w:rPr>
        <w:t xml:space="preserve"> </w:t>
      </w:r>
      <w:r w:rsidR="00990F2F" w:rsidRPr="00266C82">
        <w:t>As a result</w:t>
      </w:r>
      <w:r w:rsidR="000E09C8" w:rsidRPr="00266C82">
        <w:t xml:space="preserve">, we </w:t>
      </w:r>
      <w:r w:rsidR="00E5062A" w:rsidRPr="00266C82">
        <w:t xml:space="preserve">first </w:t>
      </w:r>
      <w:r w:rsidR="000E09C8" w:rsidRPr="00266C82">
        <w:t>regress the potential instruments on the regional economic gaps by employing a local linear least square regression (Li and Racine, 2007). We</w:t>
      </w:r>
      <w:r w:rsidR="00AD5350" w:rsidRPr="00266C82">
        <w:t xml:space="preserve"> then</w:t>
      </w:r>
      <w:r w:rsidR="000E09C8" w:rsidRPr="00266C82">
        <w:t xml:space="preserve"> select only the variables that are not related </w:t>
      </w:r>
      <w:r w:rsidR="00BA382A" w:rsidRPr="00266C82">
        <w:t>to</w:t>
      </w:r>
      <w:r w:rsidR="000E09C8" w:rsidRPr="00266C82">
        <w:t xml:space="preserve"> the dependent variable (regional economic gap, see equations 8 and 9). </w:t>
      </w:r>
      <w:r w:rsidR="001B7E4A" w:rsidRPr="00266C82">
        <w:t xml:space="preserve">A further step of our analysis is to </w:t>
      </w:r>
      <w:r w:rsidR="000E09C8" w:rsidRPr="00266C82">
        <w:t>examine the correlation of the selected instruments with the endogenous regressors</w:t>
      </w:r>
      <w:r w:rsidR="00FB02BC" w:rsidRPr="00266C82">
        <w:t xml:space="preserve"> and </w:t>
      </w:r>
      <w:r w:rsidR="000E09C8" w:rsidRPr="00266C82">
        <w:t>we use them as instrumental variables in the non</w:t>
      </w:r>
      <w:r w:rsidR="00180319" w:rsidRPr="00266C82">
        <w:t>-</w:t>
      </w:r>
      <w:r w:rsidR="000E09C8" w:rsidRPr="00266C82">
        <w:t xml:space="preserve">parametric IV regression. After applying the described procedure, </w:t>
      </w:r>
      <w:r w:rsidR="001F71C1" w:rsidRPr="00266C82">
        <w:t>consistent</w:t>
      </w:r>
      <w:r w:rsidR="008164FB" w:rsidRPr="00266C82">
        <w:t xml:space="preserve"> with Henderson et al. (2013), </w:t>
      </w:r>
      <w:r w:rsidR="000E09C8" w:rsidRPr="00266C82">
        <w:t xml:space="preserve">we use the following </w:t>
      </w:r>
      <w:r w:rsidR="00FB02BC" w:rsidRPr="00266C82">
        <w:t>instruments</w:t>
      </w:r>
      <w:r w:rsidR="000E09C8" w:rsidRPr="00266C82">
        <w:t xml:space="preserve">: </w:t>
      </w:r>
      <w:r w:rsidR="000E09C8" w:rsidRPr="00266C82">
        <w:rPr>
          <w:rFonts w:eastAsia="Times New Roman"/>
        </w:rPr>
        <w:t xml:space="preserve">Deposit Money Bank Assets/ (Deposit Money + Central) Bank Assets (DBACBA); Deposit Money Bank Assets/GDP (DBAGDP); Private Credit by Deposit Money Banks/GDP (PCRDGDP); </w:t>
      </w:r>
      <w:r w:rsidR="00064029">
        <w:rPr>
          <w:rFonts w:eastAsia="Times New Roman"/>
        </w:rPr>
        <w:t xml:space="preserve">and </w:t>
      </w:r>
      <w:r w:rsidR="000E09C8" w:rsidRPr="00266C82">
        <w:rPr>
          <w:rFonts w:eastAsia="Times New Roman"/>
        </w:rPr>
        <w:t xml:space="preserve">Bank Deposits/GDP (BDGDP). </w:t>
      </w:r>
    </w:p>
    <w:p w14:paraId="22AAEF90" w14:textId="77777777" w:rsidR="006C3316" w:rsidRPr="00266C82" w:rsidRDefault="00447C7C" w:rsidP="00457347">
      <w:pPr>
        <w:pStyle w:val="Heading1"/>
        <w:spacing w:before="120" w:after="120" w:line="480" w:lineRule="auto"/>
        <w:rPr>
          <w:rFonts w:ascii="Times New Roman" w:hAnsi="Times New Roman"/>
          <w:b/>
          <w:bCs/>
          <w:color w:val="auto"/>
          <w:sz w:val="24"/>
          <w:szCs w:val="24"/>
          <w:lang w:eastAsia="zh-TW"/>
        </w:rPr>
      </w:pPr>
      <w:r w:rsidRPr="00266C82">
        <w:rPr>
          <w:rStyle w:val="a"/>
          <w:rFonts w:ascii="Times New Roman" w:hAnsi="Times New Roman"/>
          <w:b/>
          <w:bCs/>
          <w:color w:val="auto"/>
          <w:sz w:val="24"/>
          <w:szCs w:val="24"/>
          <w:lang w:eastAsia="zh-TW"/>
        </w:rPr>
        <w:t xml:space="preserve">4. </w:t>
      </w:r>
      <w:r w:rsidR="00C50AFB" w:rsidRPr="00266C82">
        <w:rPr>
          <w:rStyle w:val="a"/>
          <w:rFonts w:ascii="Times New Roman" w:hAnsi="Times New Roman"/>
          <w:b/>
          <w:bCs/>
          <w:color w:val="auto"/>
          <w:sz w:val="24"/>
          <w:szCs w:val="24"/>
          <w:lang w:eastAsia="zh-TW"/>
        </w:rPr>
        <w:t xml:space="preserve">Empirical </w:t>
      </w:r>
      <w:r w:rsidR="00493452" w:rsidRPr="00266C82">
        <w:rPr>
          <w:rStyle w:val="a"/>
          <w:rFonts w:ascii="Times New Roman" w:hAnsi="Times New Roman"/>
          <w:b/>
          <w:bCs/>
          <w:color w:val="auto"/>
          <w:sz w:val="24"/>
          <w:szCs w:val="24"/>
          <w:lang w:eastAsia="zh-TW"/>
        </w:rPr>
        <w:t>R</w:t>
      </w:r>
      <w:r w:rsidR="00C50AFB" w:rsidRPr="00266C82">
        <w:rPr>
          <w:rStyle w:val="a"/>
          <w:rFonts w:ascii="Times New Roman" w:hAnsi="Times New Roman"/>
          <w:b/>
          <w:bCs/>
          <w:color w:val="auto"/>
          <w:sz w:val="24"/>
          <w:szCs w:val="24"/>
          <w:lang w:eastAsia="zh-TW"/>
        </w:rPr>
        <w:t>esult</w:t>
      </w:r>
      <w:r w:rsidR="00B20004" w:rsidRPr="00266C82">
        <w:rPr>
          <w:rStyle w:val="a"/>
          <w:rFonts w:ascii="Times New Roman" w:hAnsi="Times New Roman"/>
          <w:b/>
          <w:bCs/>
          <w:color w:val="auto"/>
          <w:sz w:val="24"/>
          <w:szCs w:val="24"/>
          <w:lang w:eastAsia="zh-TW"/>
        </w:rPr>
        <w:t>s</w:t>
      </w:r>
    </w:p>
    <w:p w14:paraId="12B52488" w14:textId="77777777" w:rsidR="00F679C4" w:rsidRPr="00266C82" w:rsidRDefault="00F679C4" w:rsidP="00457347">
      <w:pPr>
        <w:spacing w:before="120" w:after="120" w:line="480" w:lineRule="auto"/>
        <w:rPr>
          <w:i/>
          <w:lang w:eastAsia="zh-TW"/>
        </w:rPr>
      </w:pPr>
      <w:r w:rsidRPr="00266C82">
        <w:rPr>
          <w:i/>
          <w:lang w:eastAsia="zh-TW"/>
        </w:rPr>
        <w:t xml:space="preserve">4.1 Convergence clubs for financial centres and regional </w:t>
      </w:r>
      <w:r w:rsidR="001E6C3F">
        <w:rPr>
          <w:i/>
          <w:lang w:eastAsia="zh-TW"/>
        </w:rPr>
        <w:t>GDP</w:t>
      </w:r>
      <w:r w:rsidRPr="00266C82">
        <w:rPr>
          <w:i/>
          <w:lang w:eastAsia="zh-TW"/>
        </w:rPr>
        <w:t xml:space="preserve"> per capita</w:t>
      </w:r>
    </w:p>
    <w:p w14:paraId="4A47383E" w14:textId="1FBB5324" w:rsidR="00F679C4" w:rsidRPr="00266C82" w:rsidRDefault="00F679C4" w:rsidP="00D37C8E">
      <w:pPr>
        <w:spacing w:line="360" w:lineRule="auto"/>
        <w:jc w:val="both"/>
      </w:pPr>
      <w:r w:rsidRPr="00266C82">
        <w:t xml:space="preserve">In this subsection we discuss the results that we obtain for the club convergence of our sample of EU23 financial centres. </w:t>
      </w:r>
      <w:r w:rsidR="00CD7184" w:rsidRPr="00266C82">
        <w:t>In particular</w:t>
      </w:r>
      <w:r w:rsidR="002C6E47" w:rsidRPr="00266C82">
        <w:t xml:space="preserve">, we assess how </w:t>
      </w:r>
      <w:r w:rsidR="004335FA" w:rsidRPr="00266C82">
        <w:t xml:space="preserve">various </w:t>
      </w:r>
      <w:r w:rsidR="002C6E47" w:rsidRPr="00266C82">
        <w:t>global financial centr</w:t>
      </w:r>
      <w:r w:rsidR="00064029">
        <w:t>e</w:t>
      </w:r>
      <w:r w:rsidR="002C6E47" w:rsidRPr="00266C82">
        <w:t xml:space="preserve">s </w:t>
      </w:r>
      <w:r w:rsidR="00CD7184" w:rsidRPr="00266C82">
        <w:t>(</w:t>
      </w:r>
      <w:r w:rsidR="002C6E47" w:rsidRPr="00266C82">
        <w:rPr>
          <w:rFonts w:eastAsiaTheme="minorHAnsi"/>
          <w:lang w:eastAsia="en-US"/>
        </w:rPr>
        <w:t>such as Frankfurt, Luxemb</w:t>
      </w:r>
      <w:r w:rsidR="008B1BF2">
        <w:rPr>
          <w:rFonts w:eastAsiaTheme="minorHAnsi"/>
          <w:lang w:eastAsia="en-US"/>
        </w:rPr>
        <w:t>o</w:t>
      </w:r>
      <w:r w:rsidR="002C6E47" w:rsidRPr="00266C82">
        <w:rPr>
          <w:rFonts w:eastAsiaTheme="minorHAnsi"/>
          <w:lang w:eastAsia="en-US"/>
        </w:rPr>
        <w:t>urg</w:t>
      </w:r>
      <w:r w:rsidR="00064029">
        <w:rPr>
          <w:rFonts w:eastAsiaTheme="minorHAnsi"/>
          <w:lang w:eastAsia="en-US"/>
        </w:rPr>
        <w:t xml:space="preserve"> and</w:t>
      </w:r>
      <w:r w:rsidR="002C6E47" w:rsidRPr="00266C82">
        <w:rPr>
          <w:rFonts w:eastAsiaTheme="minorHAnsi"/>
          <w:lang w:eastAsia="en-US"/>
        </w:rPr>
        <w:t xml:space="preserve"> Paris</w:t>
      </w:r>
      <w:r w:rsidR="00CD7184" w:rsidRPr="00266C82">
        <w:rPr>
          <w:rFonts w:eastAsiaTheme="minorHAnsi"/>
          <w:lang w:eastAsia="en-US"/>
        </w:rPr>
        <w:t>),</w:t>
      </w:r>
      <w:r w:rsidR="002C6E47" w:rsidRPr="00266C82">
        <w:t xml:space="preserve"> and </w:t>
      </w:r>
      <w:r w:rsidR="002C6E47" w:rsidRPr="00266C82">
        <w:rPr>
          <w:rFonts w:eastAsiaTheme="minorHAnsi"/>
          <w:lang w:eastAsia="en-US"/>
        </w:rPr>
        <w:t>second and third-tier financial centres were</w:t>
      </w:r>
      <w:r w:rsidR="004335FA" w:rsidRPr="00266C82">
        <w:rPr>
          <w:rFonts w:eastAsiaTheme="minorHAnsi"/>
          <w:lang w:eastAsia="en-US"/>
        </w:rPr>
        <w:t xml:space="preserve"> differently</w:t>
      </w:r>
      <w:r w:rsidR="002C6E47" w:rsidRPr="00266C82">
        <w:rPr>
          <w:rFonts w:eastAsiaTheme="minorHAnsi"/>
          <w:lang w:eastAsia="en-US"/>
        </w:rPr>
        <w:t xml:space="preserve"> </w:t>
      </w:r>
      <w:r w:rsidR="004335FA" w:rsidRPr="00266C82">
        <w:rPr>
          <w:rFonts w:eastAsiaTheme="minorHAnsi"/>
          <w:lang w:eastAsia="en-US"/>
        </w:rPr>
        <w:t>affected by</w:t>
      </w:r>
      <w:r w:rsidR="002C6E47" w:rsidRPr="00266C82">
        <w:rPr>
          <w:rFonts w:eastAsiaTheme="minorHAnsi"/>
          <w:lang w:eastAsia="en-US"/>
        </w:rPr>
        <w:t xml:space="preserve"> the GFC. </w:t>
      </w:r>
      <w:r w:rsidR="00CD7184" w:rsidRPr="00266C82">
        <w:rPr>
          <w:rFonts w:eastAsiaTheme="minorHAnsi"/>
          <w:lang w:eastAsia="en-US"/>
        </w:rPr>
        <w:t xml:space="preserve">This </w:t>
      </w:r>
      <w:r w:rsidR="002C6E47" w:rsidRPr="00266C82">
        <w:rPr>
          <w:rFonts w:eastAsiaTheme="minorHAnsi"/>
          <w:lang w:eastAsia="en-US"/>
        </w:rPr>
        <w:t xml:space="preserve">analysis </w:t>
      </w:r>
      <w:r w:rsidR="00CD7184" w:rsidRPr="00266C82">
        <w:rPr>
          <w:rFonts w:eastAsiaTheme="minorHAnsi"/>
          <w:lang w:eastAsia="en-US"/>
        </w:rPr>
        <w:t>also allows us</w:t>
      </w:r>
      <w:r w:rsidR="002C6E47" w:rsidRPr="00266C82">
        <w:rPr>
          <w:rFonts w:eastAsiaTheme="minorHAnsi"/>
          <w:lang w:eastAsia="en-US"/>
        </w:rPr>
        <w:t xml:space="preserve"> to </w:t>
      </w:r>
      <w:r w:rsidR="00CD7184" w:rsidRPr="00266C82">
        <w:rPr>
          <w:rFonts w:eastAsiaTheme="minorHAnsi"/>
          <w:lang w:eastAsia="en-US"/>
        </w:rPr>
        <w:t xml:space="preserve">better </w:t>
      </w:r>
      <w:r w:rsidR="002C6E47" w:rsidRPr="00266C82">
        <w:rPr>
          <w:rFonts w:eastAsiaTheme="minorHAnsi"/>
          <w:lang w:eastAsia="en-US"/>
        </w:rPr>
        <w:t xml:space="preserve">understand whether the reduction of economic regional inequalities </w:t>
      </w:r>
      <w:r w:rsidR="00CD7184" w:rsidRPr="00266C82">
        <w:t xml:space="preserve">where financial centres are located </w:t>
      </w:r>
      <w:r w:rsidR="002C6E47" w:rsidRPr="00266C82">
        <w:rPr>
          <w:rFonts w:eastAsiaTheme="minorHAnsi"/>
          <w:lang w:eastAsia="en-US"/>
        </w:rPr>
        <w:t xml:space="preserve">is </w:t>
      </w:r>
      <w:r w:rsidR="00CD7184" w:rsidRPr="00266C82">
        <w:rPr>
          <w:rFonts w:eastAsiaTheme="minorHAnsi"/>
          <w:lang w:eastAsia="en-US"/>
        </w:rPr>
        <w:t>explained by</w:t>
      </w:r>
      <w:r w:rsidR="002C6E47" w:rsidRPr="00266C82">
        <w:rPr>
          <w:rFonts w:eastAsiaTheme="minorHAnsi"/>
          <w:lang w:eastAsia="en-US"/>
        </w:rPr>
        <w:t xml:space="preserve"> a loss of competitiveness by top-tier financial centres rather than the catch-up process of second a</w:t>
      </w:r>
      <w:r w:rsidR="001B5C82">
        <w:rPr>
          <w:rFonts w:eastAsiaTheme="minorHAnsi"/>
          <w:lang w:eastAsia="en-US"/>
        </w:rPr>
        <w:t>nd third-tier financial centres.</w:t>
      </w:r>
    </w:p>
    <w:p w14:paraId="29457D43" w14:textId="77777777" w:rsidR="00F679C4" w:rsidRPr="00266C82" w:rsidRDefault="00F679C4" w:rsidP="00F679C4">
      <w:pPr>
        <w:autoSpaceDE w:val="0"/>
        <w:autoSpaceDN w:val="0"/>
        <w:adjustRightInd w:val="0"/>
        <w:spacing w:before="120" w:after="120" w:line="480" w:lineRule="auto"/>
        <w:jc w:val="center"/>
        <w:rPr>
          <w:i/>
        </w:rPr>
      </w:pPr>
      <w:r w:rsidRPr="00266C82">
        <w:rPr>
          <w:i/>
        </w:rPr>
        <w:t>Insert Figure 1.a-b about here</w:t>
      </w:r>
    </w:p>
    <w:p w14:paraId="69E34BE7" w14:textId="225F2A39" w:rsidR="00F679C4" w:rsidRPr="001B5C82" w:rsidRDefault="00F679C4" w:rsidP="00BA1001">
      <w:pPr>
        <w:pStyle w:val="Default"/>
        <w:spacing w:line="360" w:lineRule="auto"/>
        <w:ind w:firstLine="567"/>
        <w:jc w:val="both"/>
        <w:rPr>
          <w:rFonts w:ascii="Times New Roman" w:hAnsi="Times New Roman" w:cs="Times New Roman"/>
          <w:color w:val="auto"/>
          <w:lang w:val="en-GB" w:eastAsia="el-GR"/>
        </w:rPr>
      </w:pPr>
      <w:r w:rsidRPr="00266C82">
        <w:rPr>
          <w:rFonts w:ascii="Times New Roman" w:hAnsi="Times New Roman" w:cs="Times New Roman"/>
          <w:color w:val="auto"/>
          <w:lang w:val="en-GB" w:eastAsia="el-GR"/>
        </w:rPr>
        <w:t xml:space="preserve">Figure 1 shows the convergence of the GFCI index (Subfigure 1.a) and </w:t>
      </w:r>
      <w:r w:rsidR="001E6C3F">
        <w:rPr>
          <w:rFonts w:ascii="Times New Roman" w:hAnsi="Times New Roman" w:cs="Times New Roman"/>
          <w:color w:val="auto"/>
          <w:lang w:val="en-GB" w:eastAsia="el-GR"/>
        </w:rPr>
        <w:t>GDP</w:t>
      </w:r>
      <w:r w:rsidRPr="00266C82">
        <w:rPr>
          <w:rFonts w:ascii="Times New Roman" w:hAnsi="Times New Roman" w:cs="Times New Roman"/>
          <w:color w:val="auto"/>
          <w:lang w:val="en-GB" w:eastAsia="el-GR"/>
        </w:rPr>
        <w:t xml:space="preserve"> per capita between the regions where the financial centres are located (Subfigure 1.b) </w:t>
      </w:r>
      <w:r w:rsidR="00CD7184" w:rsidRPr="00266C82">
        <w:rPr>
          <w:rFonts w:ascii="Times New Roman" w:hAnsi="Times New Roman" w:cs="Times New Roman"/>
          <w:color w:val="auto"/>
          <w:lang w:val="en-GB" w:eastAsia="el-GR"/>
        </w:rPr>
        <w:t>in</w:t>
      </w:r>
      <w:r w:rsidRPr="00266C82">
        <w:rPr>
          <w:rFonts w:ascii="Times New Roman" w:hAnsi="Times New Roman" w:cs="Times New Roman"/>
          <w:color w:val="auto"/>
          <w:lang w:val="en-GB" w:eastAsia="el-GR"/>
        </w:rPr>
        <w:t xml:space="preserve"> 2008 </w:t>
      </w:r>
      <w:r w:rsidR="00CD7184" w:rsidRPr="00266C82">
        <w:rPr>
          <w:rFonts w:ascii="Times New Roman" w:hAnsi="Times New Roman" w:cs="Times New Roman"/>
          <w:color w:val="auto"/>
          <w:lang w:val="en-GB" w:eastAsia="el-GR"/>
        </w:rPr>
        <w:t xml:space="preserve">compared </w:t>
      </w:r>
      <w:r w:rsidRPr="00266C82">
        <w:rPr>
          <w:rFonts w:ascii="Times New Roman" w:hAnsi="Times New Roman" w:cs="Times New Roman"/>
          <w:color w:val="auto"/>
          <w:lang w:val="en-GB" w:eastAsia="el-GR"/>
        </w:rPr>
        <w:t>to 2012.  In Sub</w:t>
      </w:r>
      <w:r w:rsidR="00894E83" w:rsidRPr="00266C82">
        <w:rPr>
          <w:rFonts w:ascii="Times New Roman" w:hAnsi="Times New Roman" w:cs="Times New Roman"/>
          <w:color w:val="auto"/>
          <w:lang w:val="en-GB" w:eastAsia="el-GR"/>
        </w:rPr>
        <w:t>f</w:t>
      </w:r>
      <w:r w:rsidRPr="00266C82">
        <w:rPr>
          <w:rFonts w:ascii="Times New Roman" w:hAnsi="Times New Roman" w:cs="Times New Roman"/>
          <w:color w:val="auto"/>
          <w:lang w:val="en-GB" w:eastAsia="el-GR"/>
        </w:rPr>
        <w:t xml:space="preserve">igure 1.a, we see that there are two clubs of financial centres in Europe, which indicates the existence of multi-equilibria points. Specifically, the first club encompasses the financial centres that have the highest GFCI, such as Frankfurt, Luxemburg, Paris, Dublin, Edinburgh and Munich, and those with a mid-high level GFCI. </w:t>
      </w:r>
      <w:r w:rsidRPr="00AB0C99">
        <w:rPr>
          <w:rFonts w:ascii="Times New Roman" w:hAnsi="Times New Roman" w:cs="Times New Roman"/>
        </w:rPr>
        <w:t xml:space="preserve">The group of leading financial centres </w:t>
      </w:r>
      <w:r w:rsidR="00567387" w:rsidRPr="00AB0C99">
        <w:rPr>
          <w:rFonts w:ascii="Times New Roman" w:hAnsi="Times New Roman" w:cs="Times New Roman"/>
        </w:rPr>
        <w:t xml:space="preserve">in terms of competitiveness, </w:t>
      </w:r>
      <w:r w:rsidR="008B1BF2">
        <w:rPr>
          <w:rFonts w:ascii="Times New Roman" w:hAnsi="Times New Roman" w:cs="Times New Roman"/>
        </w:rPr>
        <w:t>which</w:t>
      </w:r>
      <w:r w:rsidRPr="00AB0C99">
        <w:rPr>
          <w:rFonts w:ascii="Times New Roman" w:hAnsi="Times New Roman" w:cs="Times New Roman"/>
        </w:rPr>
        <w:t xml:space="preserve"> includes Dublin, Edinburgh</w:t>
      </w:r>
      <w:r w:rsidR="00567387" w:rsidRPr="00AB0C99">
        <w:rPr>
          <w:rFonts w:ascii="Times New Roman" w:hAnsi="Times New Roman" w:cs="Times New Roman"/>
        </w:rPr>
        <w:t>,</w:t>
      </w:r>
      <w:r w:rsidRPr="00AB0C99">
        <w:rPr>
          <w:rFonts w:ascii="Times New Roman" w:hAnsi="Times New Roman" w:cs="Times New Roman"/>
        </w:rPr>
        <w:t xml:space="preserve"> Luxemb</w:t>
      </w:r>
      <w:r w:rsidR="00DB5EFE" w:rsidRPr="00AB0C99">
        <w:rPr>
          <w:rFonts w:ascii="Times New Roman" w:hAnsi="Times New Roman" w:cs="Times New Roman"/>
        </w:rPr>
        <w:t>o</w:t>
      </w:r>
      <w:r w:rsidRPr="00AB0C99">
        <w:rPr>
          <w:rFonts w:ascii="Times New Roman" w:hAnsi="Times New Roman" w:cs="Times New Roman"/>
        </w:rPr>
        <w:t>urg</w:t>
      </w:r>
      <w:r w:rsidR="00567387" w:rsidRPr="00AB0C99">
        <w:rPr>
          <w:rFonts w:ascii="Times New Roman" w:hAnsi="Times New Roman" w:cs="Times New Roman"/>
        </w:rPr>
        <w:t xml:space="preserve">, </w:t>
      </w:r>
      <w:r w:rsidR="008B1BF2">
        <w:rPr>
          <w:rFonts w:ascii="Times New Roman" w:hAnsi="Times New Roman" w:cs="Times New Roman"/>
        </w:rPr>
        <w:t xml:space="preserve">and </w:t>
      </w:r>
      <w:r w:rsidR="00567387" w:rsidRPr="00AB0C99">
        <w:rPr>
          <w:rFonts w:ascii="Times New Roman" w:hAnsi="Times New Roman" w:cs="Times New Roman"/>
        </w:rPr>
        <w:t xml:space="preserve">Paris, </w:t>
      </w:r>
      <w:r w:rsidRPr="00AB0C99">
        <w:rPr>
          <w:rFonts w:ascii="Times New Roman" w:hAnsi="Times New Roman" w:cs="Times New Roman"/>
        </w:rPr>
        <w:t xml:space="preserve">shows a diverging pattern from Frankfurt </w:t>
      </w:r>
      <w:r w:rsidR="00541E57" w:rsidRPr="00AB0C99">
        <w:rPr>
          <w:rFonts w:ascii="Times New Roman" w:hAnsi="Times New Roman" w:cs="Times New Roman"/>
        </w:rPr>
        <w:t>over the period 2008-2012</w:t>
      </w:r>
      <w:r w:rsidRPr="00AB0C99">
        <w:rPr>
          <w:rFonts w:ascii="Times New Roman" w:hAnsi="Times New Roman" w:cs="Times New Roman"/>
        </w:rPr>
        <w:t xml:space="preserve">. </w:t>
      </w:r>
      <w:r w:rsidRPr="00AB0C99">
        <w:rPr>
          <w:rFonts w:ascii="Times New Roman" w:eastAsia="Times New Roman" w:hAnsi="Times New Roman" w:cs="Times New Roman"/>
        </w:rPr>
        <w:t xml:space="preserve">In a borderline position between the first and second club, there are the financial centres in </w:t>
      </w:r>
      <w:r w:rsidR="002B2B34" w:rsidRPr="00AB0C99">
        <w:rPr>
          <w:rFonts w:ascii="Times New Roman" w:eastAsia="Times New Roman" w:hAnsi="Times New Roman" w:cs="Times New Roman"/>
        </w:rPr>
        <w:t xml:space="preserve">western </w:t>
      </w:r>
      <w:r w:rsidRPr="00AB0C99">
        <w:rPr>
          <w:rFonts w:ascii="Times New Roman" w:eastAsia="Times New Roman" w:hAnsi="Times New Roman" w:cs="Times New Roman"/>
        </w:rPr>
        <w:t>Europe with a mid-high GFCI, such as Amsterdam, Stockholm, Copenhagen, Munich, Glasgow, Helsinki and Vienna. Among them</w:t>
      </w:r>
      <w:r w:rsidR="008B1BF2">
        <w:rPr>
          <w:rFonts w:ascii="Times New Roman" w:eastAsia="Times New Roman" w:hAnsi="Times New Roman" w:cs="Times New Roman"/>
        </w:rPr>
        <w:t xml:space="preserve">, </w:t>
      </w:r>
      <w:r w:rsidRPr="00AB0C99">
        <w:rPr>
          <w:rFonts w:ascii="Times New Roman" w:hAnsi="Times New Roman" w:cs="Times New Roman"/>
          <w:lang w:val="en-US"/>
        </w:rPr>
        <w:t>the Nordic financial centres, Helsinki, Copenhagen and Stockholm</w:t>
      </w:r>
      <w:r w:rsidR="002B2B34" w:rsidRPr="00AB0C99">
        <w:rPr>
          <w:rFonts w:ascii="Times New Roman" w:hAnsi="Times New Roman" w:cs="Times New Roman"/>
          <w:lang w:val="en-US"/>
        </w:rPr>
        <w:t>,</w:t>
      </w:r>
      <w:r w:rsidRPr="00AB0C99">
        <w:rPr>
          <w:rFonts w:ascii="Times New Roman" w:hAnsi="Times New Roman" w:cs="Times New Roman"/>
          <w:lang w:val="en-US"/>
        </w:rPr>
        <w:t xml:space="preserve"> converge toward </w:t>
      </w:r>
      <w:r w:rsidR="00CD7184" w:rsidRPr="00AB0C99">
        <w:rPr>
          <w:rFonts w:ascii="Times New Roman" w:hAnsi="Times New Roman" w:cs="Times New Roman"/>
          <w:lang w:val="en-US"/>
        </w:rPr>
        <w:t>the top</w:t>
      </w:r>
      <w:r w:rsidRPr="00AB0C99">
        <w:rPr>
          <w:rFonts w:ascii="Times New Roman" w:hAnsi="Times New Roman" w:cs="Times New Roman"/>
          <w:lang w:val="en-US"/>
        </w:rPr>
        <w:t xml:space="preserve"> club.</w:t>
      </w:r>
      <w:r w:rsidRPr="00266C82">
        <w:rPr>
          <w:lang w:val="en-US"/>
        </w:rPr>
        <w:t xml:space="preserve"> </w:t>
      </w:r>
    </w:p>
    <w:p w14:paraId="4FE3D195" w14:textId="246EA4E2" w:rsidR="00F679C4" w:rsidRPr="00266C82" w:rsidRDefault="00F679C4" w:rsidP="00727E8E">
      <w:pPr>
        <w:autoSpaceDE w:val="0"/>
        <w:autoSpaceDN w:val="0"/>
        <w:adjustRightInd w:val="0"/>
        <w:spacing w:line="360" w:lineRule="auto"/>
        <w:ind w:firstLine="567"/>
        <w:jc w:val="both"/>
        <w:rPr>
          <w:lang w:eastAsia="zh-CN"/>
        </w:rPr>
      </w:pPr>
      <w:r w:rsidRPr="00266C82">
        <w:rPr>
          <w:color w:val="000000"/>
          <w:lang w:val="en-US"/>
        </w:rPr>
        <w:t xml:space="preserve">The second club includes the financial centres in </w:t>
      </w:r>
      <w:r w:rsidR="00864518">
        <w:rPr>
          <w:color w:val="000000"/>
          <w:lang w:val="en-US"/>
        </w:rPr>
        <w:t>W</w:t>
      </w:r>
      <w:r w:rsidRPr="00266C82">
        <w:rPr>
          <w:color w:val="000000"/>
          <w:lang w:val="en-US"/>
        </w:rPr>
        <w:t>estern Europe (such as Milan,</w:t>
      </w:r>
      <w:r w:rsidR="00FF74AA" w:rsidRPr="00266C82">
        <w:rPr>
          <w:color w:val="000000"/>
          <w:lang w:val="en-US"/>
        </w:rPr>
        <w:t xml:space="preserve"> Rome,</w:t>
      </w:r>
      <w:r w:rsidRPr="00266C82">
        <w:rPr>
          <w:color w:val="000000"/>
          <w:lang w:val="en-US"/>
        </w:rPr>
        <w:t xml:space="preserve"> Madrid</w:t>
      </w:r>
      <w:r w:rsidR="008B1BF2">
        <w:rPr>
          <w:color w:val="000000"/>
          <w:lang w:val="en-US"/>
        </w:rPr>
        <w:t>,</w:t>
      </w:r>
      <w:r w:rsidR="002B2B34">
        <w:rPr>
          <w:color w:val="000000"/>
          <w:lang w:val="en-US"/>
        </w:rPr>
        <w:t xml:space="preserve"> and</w:t>
      </w:r>
      <w:r w:rsidRPr="00266C82">
        <w:rPr>
          <w:color w:val="000000"/>
          <w:lang w:val="en-US"/>
        </w:rPr>
        <w:t xml:space="preserve"> Brussels) that have a transnational profile. </w:t>
      </w:r>
      <w:r w:rsidR="00CD7184" w:rsidRPr="00266C82">
        <w:rPr>
          <w:color w:val="000000"/>
          <w:lang w:val="en-US"/>
        </w:rPr>
        <w:t xml:space="preserve">These centres </w:t>
      </w:r>
      <w:r w:rsidR="00CB37DE" w:rsidRPr="00266C82">
        <w:rPr>
          <w:color w:val="000000"/>
          <w:lang w:val="en-US"/>
        </w:rPr>
        <w:t>maintain</w:t>
      </w:r>
      <w:r w:rsidRPr="00266C82">
        <w:rPr>
          <w:color w:val="000000"/>
          <w:lang w:val="en-US"/>
        </w:rPr>
        <w:t xml:space="preserve"> a leading position with respect to the other Easter</w:t>
      </w:r>
      <w:r w:rsidR="00EC1BA6">
        <w:rPr>
          <w:color w:val="000000"/>
          <w:lang w:val="en-US"/>
        </w:rPr>
        <w:t xml:space="preserve">n and Western financial centres </w:t>
      </w:r>
      <w:r w:rsidRPr="00266C82">
        <w:rPr>
          <w:color w:val="000000"/>
          <w:lang w:val="en-US"/>
        </w:rPr>
        <w:t xml:space="preserve">such as Lisbon and Athens. Several </w:t>
      </w:r>
      <w:r w:rsidR="00864518">
        <w:rPr>
          <w:color w:val="000000"/>
          <w:lang w:val="en-US"/>
        </w:rPr>
        <w:t>E</w:t>
      </w:r>
      <w:r w:rsidRPr="00266C82">
        <w:rPr>
          <w:color w:val="000000"/>
          <w:lang w:val="en-US"/>
        </w:rPr>
        <w:t>astern European financial centres</w:t>
      </w:r>
      <w:r w:rsidR="002B2B34">
        <w:rPr>
          <w:color w:val="000000"/>
          <w:lang w:val="en-US"/>
        </w:rPr>
        <w:t>,</w:t>
      </w:r>
      <w:r w:rsidRPr="00266C82">
        <w:rPr>
          <w:color w:val="000000"/>
          <w:lang w:val="en-US"/>
        </w:rPr>
        <w:t xml:space="preserve"> such as Warsaw, Prague, Budapest</w:t>
      </w:r>
      <w:r w:rsidR="008B1BF2">
        <w:rPr>
          <w:color w:val="000000"/>
          <w:lang w:val="en-US"/>
        </w:rPr>
        <w:t>,</w:t>
      </w:r>
      <w:r w:rsidRPr="00266C82">
        <w:rPr>
          <w:color w:val="000000"/>
          <w:lang w:val="en-US"/>
        </w:rPr>
        <w:t xml:space="preserve"> and Tallinn exhibit a </w:t>
      </w:r>
      <w:r w:rsidR="00864518">
        <w:rPr>
          <w:color w:val="000000"/>
          <w:lang w:val="en-US"/>
        </w:rPr>
        <w:t>careful</w:t>
      </w:r>
      <w:r w:rsidRPr="00266C82">
        <w:rPr>
          <w:color w:val="000000"/>
          <w:lang w:val="en-US"/>
        </w:rPr>
        <w:t xml:space="preserve"> increase in competitiveness</w:t>
      </w:r>
      <w:r w:rsidR="00541E57">
        <w:rPr>
          <w:color w:val="000000"/>
          <w:lang w:val="en-US"/>
        </w:rPr>
        <w:t xml:space="preserve"> during the period 2008-2012</w:t>
      </w:r>
      <w:r w:rsidRPr="00266C82">
        <w:rPr>
          <w:color w:val="000000"/>
          <w:lang w:val="en-US"/>
        </w:rPr>
        <w:t xml:space="preserve">. </w:t>
      </w:r>
      <w:r w:rsidR="00021B58" w:rsidRPr="00DB2A56">
        <w:rPr>
          <w:color w:val="000000"/>
          <w:lang w:val="en-US"/>
        </w:rPr>
        <w:t>The exi</w:t>
      </w:r>
      <w:r w:rsidR="00864518">
        <w:rPr>
          <w:color w:val="000000"/>
          <w:lang w:val="en-US"/>
        </w:rPr>
        <w:t xml:space="preserve">stence of multiple clubs among </w:t>
      </w:r>
      <w:r w:rsidR="00021B58" w:rsidRPr="00DB2A56">
        <w:rPr>
          <w:color w:val="000000"/>
          <w:lang w:val="en-US"/>
        </w:rPr>
        <w:t xml:space="preserve">financial centres aligns with the findings </w:t>
      </w:r>
      <w:r w:rsidR="008868A0" w:rsidRPr="00DB2A56">
        <w:rPr>
          <w:color w:val="000000"/>
          <w:lang w:val="en-US"/>
        </w:rPr>
        <w:t xml:space="preserve">of </w:t>
      </w:r>
      <w:r w:rsidR="00021B58" w:rsidRPr="00DB2A56">
        <w:rPr>
          <w:color w:val="000000"/>
          <w:lang w:val="en-US"/>
        </w:rPr>
        <w:t>Poon (2003</w:t>
      </w:r>
      <w:r w:rsidR="008868A0" w:rsidRPr="00DB2A56">
        <w:rPr>
          <w:color w:val="000000"/>
          <w:lang w:val="en-US"/>
        </w:rPr>
        <w:t xml:space="preserve">) who </w:t>
      </w:r>
      <w:r w:rsidR="00AB0C99" w:rsidRPr="00DB2A56">
        <w:rPr>
          <w:color w:val="000000"/>
          <w:lang w:val="en-US"/>
        </w:rPr>
        <w:t xml:space="preserve">shows </w:t>
      </w:r>
      <w:r w:rsidR="00021B58" w:rsidRPr="00DB2A56">
        <w:rPr>
          <w:color w:val="000000"/>
          <w:lang w:val="en-US"/>
        </w:rPr>
        <w:t xml:space="preserve">that </w:t>
      </w:r>
      <w:r w:rsidR="004C0B12" w:rsidRPr="00DB2A56">
        <w:rPr>
          <w:color w:val="000000"/>
          <w:lang w:val="en-US"/>
        </w:rPr>
        <w:t xml:space="preserve">the global system of world financial and capital centers (WFCC) </w:t>
      </w:r>
      <w:r w:rsidR="00CC2F88">
        <w:rPr>
          <w:color w:val="000000"/>
          <w:lang w:val="en-US"/>
        </w:rPr>
        <w:t>is</w:t>
      </w:r>
      <w:r w:rsidR="006343C2" w:rsidRPr="00DB2A56">
        <w:rPr>
          <w:color w:val="000000"/>
          <w:lang w:val="en-US"/>
        </w:rPr>
        <w:t xml:space="preserve"> characterized by</w:t>
      </w:r>
      <w:r w:rsidR="004C0B12" w:rsidRPr="00DB2A56">
        <w:rPr>
          <w:color w:val="000000"/>
          <w:lang w:val="en-US"/>
        </w:rPr>
        <w:t xml:space="preserve"> different tiers. </w:t>
      </w:r>
      <w:r w:rsidR="00F92F15" w:rsidRPr="00DB2A56">
        <w:rPr>
          <w:color w:val="000000"/>
          <w:lang w:val="en-US"/>
        </w:rPr>
        <w:t>Moreover, our</w:t>
      </w:r>
      <w:r w:rsidR="006343C2" w:rsidRPr="00DB2A56">
        <w:rPr>
          <w:color w:val="000000"/>
          <w:lang w:val="en-US"/>
        </w:rPr>
        <w:t xml:space="preserve"> findings suggest</w:t>
      </w:r>
      <w:r w:rsidR="002B1C24" w:rsidRPr="00DB2A56">
        <w:rPr>
          <w:color w:val="000000"/>
          <w:lang w:val="en-US"/>
        </w:rPr>
        <w:t xml:space="preserve"> </w:t>
      </w:r>
      <w:r w:rsidR="00F92F15" w:rsidRPr="00DB2A56">
        <w:rPr>
          <w:color w:val="000000"/>
          <w:lang w:val="en-US"/>
        </w:rPr>
        <w:t xml:space="preserve">that regardless </w:t>
      </w:r>
      <w:r w:rsidR="00864518">
        <w:rPr>
          <w:color w:val="000000"/>
          <w:lang w:val="en-US"/>
        </w:rPr>
        <w:t xml:space="preserve">of </w:t>
      </w:r>
      <w:r w:rsidR="00F92F15" w:rsidRPr="00DB2A56">
        <w:rPr>
          <w:color w:val="000000"/>
          <w:lang w:val="en-US"/>
        </w:rPr>
        <w:t>the</w:t>
      </w:r>
      <w:r w:rsidR="006343C2" w:rsidRPr="00DB2A56">
        <w:rPr>
          <w:color w:val="000000"/>
          <w:lang w:val="en-US"/>
        </w:rPr>
        <w:t xml:space="preserve"> </w:t>
      </w:r>
      <w:r w:rsidRPr="00DB2A56">
        <w:rPr>
          <w:color w:val="000000"/>
          <w:lang w:val="en-US"/>
        </w:rPr>
        <w:t>increase</w:t>
      </w:r>
      <w:r w:rsidR="002B1C24" w:rsidRPr="00DB2A56">
        <w:rPr>
          <w:color w:val="000000"/>
          <w:lang w:val="en-US"/>
        </w:rPr>
        <w:t>d trend of</w:t>
      </w:r>
      <w:r w:rsidRPr="00DB2A56">
        <w:rPr>
          <w:color w:val="000000"/>
          <w:lang w:val="en-US"/>
        </w:rPr>
        <w:t xml:space="preserve"> </w:t>
      </w:r>
      <w:r w:rsidR="00F92F15" w:rsidRPr="00DB2A56">
        <w:rPr>
          <w:color w:val="000000"/>
          <w:lang w:val="en-US"/>
        </w:rPr>
        <w:t>competitiveness among the cross-country regions in which the financial centres are located</w:t>
      </w:r>
      <w:r w:rsidR="002B1C24" w:rsidRPr="00DB2A56">
        <w:rPr>
          <w:color w:val="000000"/>
          <w:lang w:val="en-US"/>
        </w:rPr>
        <w:t xml:space="preserve">, </w:t>
      </w:r>
      <w:r w:rsidRPr="00DB2A56">
        <w:rPr>
          <w:color w:val="000000"/>
          <w:lang w:val="en-US"/>
        </w:rPr>
        <w:t xml:space="preserve">there are still </w:t>
      </w:r>
      <w:r w:rsidR="00F92F15" w:rsidRPr="00DB2A56">
        <w:rPr>
          <w:color w:val="000000"/>
          <w:lang w:val="en-US"/>
        </w:rPr>
        <w:t xml:space="preserve">consistent intra-country regional </w:t>
      </w:r>
      <w:r w:rsidRPr="00DB2A56">
        <w:rPr>
          <w:color w:val="000000"/>
          <w:lang w:val="en-US"/>
        </w:rPr>
        <w:t>discrepancies</w:t>
      </w:r>
      <w:r w:rsidR="00F92F15" w:rsidRPr="00DB2A56">
        <w:rPr>
          <w:color w:val="000000"/>
          <w:lang w:val="en-US"/>
        </w:rPr>
        <w:t>.</w:t>
      </w:r>
      <w:r w:rsidR="00680DB2" w:rsidRPr="00DB2A56">
        <w:rPr>
          <w:color w:val="000000"/>
          <w:lang w:val="en-US"/>
        </w:rPr>
        <w:t xml:space="preserve"> </w:t>
      </w:r>
      <w:r w:rsidR="002B1C24" w:rsidRPr="00DB2A56">
        <w:rPr>
          <w:color w:val="000000"/>
          <w:lang w:val="en-US"/>
        </w:rPr>
        <w:t>This is due to the fact that</w:t>
      </w:r>
      <w:r w:rsidRPr="00DB2A56">
        <w:rPr>
          <w:color w:val="000000"/>
          <w:lang w:val="en-US"/>
        </w:rPr>
        <w:t xml:space="preserve"> industrial production and financial activities </w:t>
      </w:r>
      <w:r w:rsidR="002B1C24" w:rsidRPr="00DB2A56">
        <w:rPr>
          <w:color w:val="000000"/>
          <w:lang w:val="en-US"/>
        </w:rPr>
        <w:t xml:space="preserve">have been </w:t>
      </w:r>
      <w:r w:rsidRPr="00DB2A56">
        <w:rPr>
          <w:color w:val="000000"/>
          <w:lang w:val="en-US"/>
        </w:rPr>
        <w:t>mainly concentrated in the capital cities</w:t>
      </w:r>
      <w:r w:rsidR="002B1C24" w:rsidRPr="00DB2A56">
        <w:rPr>
          <w:color w:val="000000"/>
          <w:lang w:val="en-US"/>
        </w:rPr>
        <w:t xml:space="preserve"> in which financial centres are located</w:t>
      </w:r>
      <w:r w:rsidRPr="00DB2A56">
        <w:rPr>
          <w:color w:val="000000"/>
          <w:lang w:val="en-US"/>
        </w:rPr>
        <w:t xml:space="preserve">. </w:t>
      </w:r>
      <w:r w:rsidR="00727E8E" w:rsidRPr="00DB2A56">
        <w:rPr>
          <w:color w:val="000000"/>
          <w:lang w:val="en-US"/>
        </w:rPr>
        <w:t>This finding aligns with the view</w:t>
      </w:r>
      <w:r w:rsidR="00864518">
        <w:rPr>
          <w:color w:val="000000"/>
          <w:lang w:val="en-US"/>
        </w:rPr>
        <w:t xml:space="preserve"> held</w:t>
      </w:r>
      <w:r w:rsidR="00727E8E" w:rsidRPr="00DB2A56">
        <w:rPr>
          <w:color w:val="000000"/>
          <w:lang w:val="en-US"/>
        </w:rPr>
        <w:t xml:space="preserve"> by Klagge and Martin (2005)</w:t>
      </w:r>
      <w:r w:rsidR="00AB0C99" w:rsidRPr="00DB2A56">
        <w:rPr>
          <w:color w:val="000000"/>
          <w:lang w:val="en-US"/>
        </w:rPr>
        <w:t xml:space="preserve">, who argue that </w:t>
      </w:r>
      <w:r w:rsidR="00727E8E" w:rsidRPr="00DB2A56">
        <w:rPr>
          <w:color w:val="000000"/>
          <w:lang w:val="en-US"/>
        </w:rPr>
        <w:t>financial market</w:t>
      </w:r>
      <w:r w:rsidR="00532409" w:rsidRPr="00DB2A56">
        <w:rPr>
          <w:color w:val="000000"/>
          <w:lang w:val="en-US"/>
        </w:rPr>
        <w:t xml:space="preserve">s operate </w:t>
      </w:r>
      <w:r w:rsidR="00864518">
        <w:rPr>
          <w:color w:val="000000"/>
          <w:lang w:val="en-US"/>
        </w:rPr>
        <w:t xml:space="preserve">in a non-neutral way. This means </w:t>
      </w:r>
      <w:r w:rsidR="00532409" w:rsidRPr="00DB2A56">
        <w:rPr>
          <w:color w:val="000000"/>
          <w:lang w:val="en-US"/>
        </w:rPr>
        <w:t>that the</w:t>
      </w:r>
      <w:r w:rsidR="00727E8E" w:rsidRPr="00DB2A56">
        <w:rPr>
          <w:color w:val="000000"/>
          <w:lang w:val="en-US"/>
        </w:rPr>
        <w:t xml:space="preserve"> concentration of capital markets in a specific region has a detrimental effect on the allocation of funds and resources </w:t>
      </w:r>
      <w:r w:rsidR="00864518">
        <w:rPr>
          <w:color w:val="000000"/>
          <w:lang w:val="en-US"/>
        </w:rPr>
        <w:t>with</w:t>
      </w:r>
      <w:r w:rsidR="00727E8E" w:rsidRPr="00DB2A56">
        <w:rPr>
          <w:color w:val="000000"/>
          <w:lang w:val="en-US"/>
        </w:rPr>
        <w:t xml:space="preserve"> respect to other (non-central) regions.</w:t>
      </w:r>
      <w:r w:rsidR="00727E8E">
        <w:rPr>
          <w:color w:val="000000"/>
          <w:lang w:val="en-US"/>
        </w:rPr>
        <w:t xml:space="preserve">   </w:t>
      </w:r>
    </w:p>
    <w:p w14:paraId="5C288DF3" w14:textId="1FC9B7C1" w:rsidR="00D51A5E" w:rsidRDefault="00F679C4" w:rsidP="00D51A5E">
      <w:pPr>
        <w:autoSpaceDE w:val="0"/>
        <w:autoSpaceDN w:val="0"/>
        <w:adjustRightInd w:val="0"/>
        <w:spacing w:line="360" w:lineRule="auto"/>
        <w:ind w:firstLine="567"/>
        <w:jc w:val="both"/>
      </w:pPr>
      <w:r w:rsidRPr="00266C82">
        <w:tab/>
        <w:t xml:space="preserve">Sub-Figure 1.b shows the convergence and divergence patterns between the GDP </w:t>
      </w:r>
      <w:r w:rsidRPr="00266C82">
        <w:rPr>
          <w:lang w:eastAsia="zh-CN"/>
        </w:rPr>
        <w:t>per capita gap</w:t>
      </w:r>
      <w:r w:rsidRPr="00266C82">
        <w:t xml:space="preserve"> of European regions where financial centres are located and the leading city, Paris. What emerges from Sub-Figure 1.b is that the speed of convergence and divergence of regional economies is slower and characterised by more steady states as suggested by previous studies (</w:t>
      </w:r>
      <w:r w:rsidR="00622D12">
        <w:t>for example,</w:t>
      </w:r>
      <w:r w:rsidRPr="00266C82">
        <w:t xml:space="preserve"> Le Gallo and Dall’Erba, 2008). This finding confirms that there is a persistent inequality within European regions </w:t>
      </w:r>
      <w:r w:rsidRPr="00266C82">
        <w:rPr>
          <w:color w:val="000000"/>
          <w:lang w:eastAsia="zh-CN"/>
        </w:rPr>
        <w:t>with two convergence clubs within the wealthier EU regions</w:t>
      </w:r>
      <w:r w:rsidR="00FF74AA" w:rsidRPr="00266C82">
        <w:t>.</w:t>
      </w:r>
      <w:r w:rsidRPr="00266C82">
        <w:rPr>
          <w:color w:val="FF0000"/>
        </w:rPr>
        <w:t xml:space="preserve"> </w:t>
      </w:r>
      <w:r w:rsidRPr="00266C82">
        <w:t xml:space="preserve">Among the second club of rich regions, Brussels and Dublin show a diverging trend from the leading centres. In contrast, Stockholm, Amsterdam, but also Munich appear to catch up with the richer </w:t>
      </w:r>
      <w:r w:rsidR="00FF74AA" w:rsidRPr="00266C82">
        <w:t>regions</w:t>
      </w:r>
      <w:r w:rsidRPr="00266C82">
        <w:t xml:space="preserve"> in terms of both competitiveness, as seen earlier, and welfare.</w:t>
      </w:r>
      <w:r w:rsidRPr="00266C82">
        <w:rPr>
          <w:color w:val="FF0000"/>
        </w:rPr>
        <w:t xml:space="preserve"> </w:t>
      </w:r>
      <w:r w:rsidRPr="00266C82">
        <w:t>Furthermore, it is evident that the financial crisis has slowed the economic growth of the majority of financial centres. In contrast, we find that</w:t>
      </w:r>
      <w:r w:rsidR="00FF74AA" w:rsidRPr="00266C82">
        <w:t xml:space="preserve"> the regions of</w:t>
      </w:r>
      <w:r w:rsidRPr="00266C82">
        <w:t xml:space="preserve"> Frankfurt, Paris and Luxemburg, </w:t>
      </w:r>
      <w:r w:rsidR="00622D12">
        <w:t>where the top European centres</w:t>
      </w:r>
      <w:r w:rsidR="00FF74AA" w:rsidRPr="00266C82">
        <w:t xml:space="preserve"> are located</w:t>
      </w:r>
      <w:r w:rsidRPr="00266C82">
        <w:t xml:space="preserve">, grew at a constant rate over the entire period. These results are consistent with several empirical studies (Corrado et al., 2005), which state that </w:t>
      </w:r>
      <w:r w:rsidR="001B5C82">
        <w:t xml:space="preserve">economic </w:t>
      </w:r>
      <w:r w:rsidRPr="00266C82">
        <w:t>convergence is more likely to happen for highly developed economies.</w:t>
      </w:r>
      <w:r w:rsidR="00D51A5E">
        <w:t xml:space="preserve"> </w:t>
      </w:r>
    </w:p>
    <w:p w14:paraId="71EC13D9" w14:textId="76F0086E" w:rsidR="00E336CB" w:rsidRDefault="00F679C4" w:rsidP="004247D3">
      <w:pPr>
        <w:autoSpaceDE w:val="0"/>
        <w:autoSpaceDN w:val="0"/>
        <w:adjustRightInd w:val="0"/>
        <w:spacing w:line="360" w:lineRule="auto"/>
        <w:ind w:firstLine="567"/>
        <w:jc w:val="both"/>
      </w:pPr>
      <w:r w:rsidRPr="00266C82">
        <w:t xml:space="preserve"> A third club consists of the </w:t>
      </w:r>
      <w:r w:rsidR="00622D12">
        <w:t>w</w:t>
      </w:r>
      <w:r w:rsidRPr="00266C82">
        <w:t xml:space="preserve">estern European regions that exhibit a decreasing trend compared to the leading </w:t>
      </w:r>
      <w:r w:rsidR="00FF74AA" w:rsidRPr="00266C82">
        <w:t>regions</w:t>
      </w:r>
      <w:r w:rsidRPr="00266C82">
        <w:t xml:space="preserve">. A diverging trend is also evident for low-productivity eastern </w:t>
      </w:r>
      <w:r w:rsidR="00F10834" w:rsidRPr="00266C82">
        <w:t>regions</w:t>
      </w:r>
      <w:r w:rsidR="00622D12">
        <w:t>, such as</w:t>
      </w:r>
      <w:r w:rsidRPr="00266C82">
        <w:t xml:space="preserve"> Tallinn, Budapest, Warsaw and Prague. This in turn suggests the existence of a persistent trend rather than a cyclical trend for some </w:t>
      </w:r>
      <w:r w:rsidR="00622D12">
        <w:t>eastern European</w:t>
      </w:r>
      <w:r w:rsidR="00622D12" w:rsidRPr="00266C82">
        <w:t xml:space="preserve"> </w:t>
      </w:r>
      <w:r w:rsidRPr="00266C82">
        <w:t>economies. The dynamic</w:t>
      </w:r>
      <w:r w:rsidR="00F10834" w:rsidRPr="00266C82">
        <w:t>s</w:t>
      </w:r>
      <w:r w:rsidRPr="00266C82">
        <w:t xml:space="preserve"> of financial c</w:t>
      </w:r>
      <w:r w:rsidR="00AB0C99">
        <w:t>e</w:t>
      </w:r>
      <w:r w:rsidRPr="00266C82">
        <w:t xml:space="preserve">ntres’ inequalities during the </w:t>
      </w:r>
      <w:r w:rsidR="00F10834" w:rsidRPr="00266C82">
        <w:t xml:space="preserve">examined </w:t>
      </w:r>
      <w:r w:rsidRPr="00266C82">
        <w:t xml:space="preserve">short-term period </w:t>
      </w:r>
      <w:r w:rsidR="00F10834" w:rsidRPr="00266C82">
        <w:t>appear to slow</w:t>
      </w:r>
      <w:r w:rsidRPr="00266C82">
        <w:t xml:space="preserve"> down </w:t>
      </w:r>
      <w:r w:rsidR="00F10834" w:rsidRPr="00266C82">
        <w:t xml:space="preserve">regions’ </w:t>
      </w:r>
      <w:r w:rsidRPr="00266C82">
        <w:t>economic growth</w:t>
      </w:r>
      <w:r w:rsidR="00F10834" w:rsidRPr="00266C82">
        <w:t xml:space="preserve"> prospects</w:t>
      </w:r>
      <w:r w:rsidRPr="00266C82">
        <w:t xml:space="preserve">. </w:t>
      </w:r>
    </w:p>
    <w:p w14:paraId="2305860E" w14:textId="77777777" w:rsidR="00E336CB" w:rsidRPr="00266C82" w:rsidRDefault="00E336CB" w:rsidP="00E336CB">
      <w:pPr>
        <w:autoSpaceDE w:val="0"/>
        <w:autoSpaceDN w:val="0"/>
        <w:adjustRightInd w:val="0"/>
        <w:spacing w:before="120" w:after="120" w:line="360" w:lineRule="auto"/>
        <w:jc w:val="center"/>
        <w:rPr>
          <w:i/>
          <w:lang w:eastAsia="zh-TW"/>
        </w:rPr>
      </w:pPr>
      <w:r w:rsidRPr="00266C82">
        <w:rPr>
          <w:i/>
        </w:rPr>
        <w:t>Insert</w:t>
      </w:r>
      <w:r w:rsidRPr="00266C82">
        <w:rPr>
          <w:rStyle w:val="a"/>
          <w:i/>
          <w:lang w:eastAsia="zh-TW"/>
        </w:rPr>
        <w:t xml:space="preserve"> Table </w:t>
      </w:r>
      <w:r>
        <w:rPr>
          <w:rStyle w:val="a"/>
          <w:i/>
          <w:lang w:eastAsia="zh-TW"/>
        </w:rPr>
        <w:t>3</w:t>
      </w:r>
      <w:r w:rsidRPr="00266C82">
        <w:rPr>
          <w:rStyle w:val="a"/>
          <w:i/>
          <w:lang w:eastAsia="zh-TW"/>
        </w:rPr>
        <w:t xml:space="preserve"> about here </w:t>
      </w:r>
      <w:r w:rsidRPr="00266C82">
        <w:rPr>
          <w:rFonts w:eastAsia="Times New Roman"/>
        </w:rPr>
        <w:t xml:space="preserve"> </w:t>
      </w:r>
    </w:p>
    <w:p w14:paraId="34869901" w14:textId="749E2A85" w:rsidR="00F679C4" w:rsidRPr="00266C82" w:rsidRDefault="001A4D4D" w:rsidP="003470D2">
      <w:pPr>
        <w:autoSpaceDE w:val="0"/>
        <w:autoSpaceDN w:val="0"/>
        <w:adjustRightInd w:val="0"/>
        <w:spacing w:line="360" w:lineRule="auto"/>
        <w:ind w:firstLine="567"/>
        <w:jc w:val="both"/>
      </w:pPr>
      <w:r w:rsidRPr="00266C82">
        <w:t xml:space="preserve">Table 3 presents the </w:t>
      </w:r>
      <w:r w:rsidR="004D63EE" w:rsidRPr="00266C82">
        <w:t>average of annual transition matri</w:t>
      </w:r>
      <w:r w:rsidR="00622D12">
        <w:t>c</w:t>
      </w:r>
      <w:r w:rsidR="004D63EE" w:rsidRPr="00266C82">
        <w:t>es over the GFC</w:t>
      </w:r>
      <w:r w:rsidRPr="00266C82">
        <w:t xml:space="preserve"> for the three </w:t>
      </w:r>
      <w:r w:rsidR="00BB17E0" w:rsidRPr="00266C82">
        <w:t>gap-</w:t>
      </w:r>
      <w:r w:rsidRPr="00266C82">
        <w:t>categories</w:t>
      </w:r>
      <w:r w:rsidR="00BB17E0" w:rsidRPr="00266C82">
        <w:t xml:space="preserve"> and the four states</w:t>
      </w:r>
      <w:r w:rsidRPr="00266C82">
        <w:t>.</w:t>
      </w:r>
      <w:r w:rsidRPr="00266C82">
        <w:rPr>
          <w:rStyle w:val="EndnoteReference"/>
        </w:rPr>
        <w:endnoteReference w:id="6"/>
      </w:r>
      <w:r w:rsidR="004D63EE" w:rsidRPr="00266C82">
        <w:t xml:space="preserve"> Specifically, </w:t>
      </w:r>
      <w:r w:rsidR="00622D12">
        <w:t>P</w:t>
      </w:r>
      <w:r w:rsidR="004D63EE" w:rsidRPr="00266C82">
        <w:t xml:space="preserve">anel A presents the </w:t>
      </w:r>
      <w:r w:rsidR="00794291" w:rsidRPr="00266C82">
        <w:t xml:space="preserve">different states of the financial centres’ rating gaps. The diagonal elements indicate the probability of </w:t>
      </w:r>
      <w:r w:rsidR="00622D12">
        <w:t>countries</w:t>
      </w:r>
      <w:r w:rsidR="00622D12" w:rsidRPr="00266C82">
        <w:t xml:space="preserve"> </w:t>
      </w:r>
      <w:r w:rsidR="00794291" w:rsidRPr="00266C82">
        <w:t>remaining in the same state over the e</w:t>
      </w:r>
      <w:r w:rsidR="00E5062A" w:rsidRPr="00266C82">
        <w:t>xamined period, whereas the off-</w:t>
      </w:r>
      <w:r w:rsidR="00794291" w:rsidRPr="00266C82">
        <w:t xml:space="preserve">diagonal elements indicate the probability of movement across </w:t>
      </w:r>
      <w:r w:rsidR="001B5C82">
        <w:t>states</w:t>
      </w:r>
      <w:r w:rsidR="00794291" w:rsidRPr="00266C82">
        <w:t xml:space="preserve">. It is evident that financial centres with lower financial </w:t>
      </w:r>
      <w:r w:rsidR="00A53034" w:rsidRPr="00266C82">
        <w:t>rating gaps (</w:t>
      </w:r>
      <w:r w:rsidR="00622D12">
        <w:t>S</w:t>
      </w:r>
      <w:r w:rsidR="00794291" w:rsidRPr="00266C82">
        <w:t xml:space="preserve">tate 1) </w:t>
      </w:r>
      <w:r w:rsidR="00C80BED" w:rsidRPr="00266C82">
        <w:t>and higher rating gaps (</w:t>
      </w:r>
      <w:r w:rsidR="00622D12">
        <w:t>S</w:t>
      </w:r>
      <w:r w:rsidR="00C80BED" w:rsidRPr="00266C82">
        <w:t xml:space="preserve">tate 4) </w:t>
      </w:r>
      <w:r w:rsidR="00794291" w:rsidRPr="00266C82">
        <w:t>are more likely to stay in the same state rat</w:t>
      </w:r>
      <w:r w:rsidR="00A53034" w:rsidRPr="00266C82">
        <w:t xml:space="preserve">her </w:t>
      </w:r>
      <w:r w:rsidR="00C80BED" w:rsidRPr="00266C82">
        <w:t xml:space="preserve">than </w:t>
      </w:r>
      <w:r w:rsidR="00A53034" w:rsidRPr="00266C82">
        <w:t xml:space="preserve">move to a </w:t>
      </w:r>
      <w:r w:rsidR="004247D3" w:rsidRPr="00266C82">
        <w:t xml:space="preserve">higher </w:t>
      </w:r>
      <w:r w:rsidR="00A53034" w:rsidRPr="00266C82">
        <w:t>state (</w:t>
      </w:r>
      <w:r w:rsidR="00622D12">
        <w:t>S</w:t>
      </w:r>
      <w:r w:rsidR="00794291" w:rsidRPr="00266C82">
        <w:t>tate 2)</w:t>
      </w:r>
      <w:r w:rsidR="00C80BED" w:rsidRPr="00266C82">
        <w:t xml:space="preserve"> or lower state (</w:t>
      </w:r>
      <w:r w:rsidR="00622D12">
        <w:t>S</w:t>
      </w:r>
      <w:r w:rsidR="00C80BED" w:rsidRPr="00266C82">
        <w:t>tate 3)</w:t>
      </w:r>
      <w:r w:rsidR="00E5062A" w:rsidRPr="00266C82">
        <w:t>, respectively</w:t>
      </w:r>
      <w:r w:rsidR="00C80BED" w:rsidRPr="00266C82">
        <w:t xml:space="preserve">. Instead, financial centres in </w:t>
      </w:r>
      <w:r w:rsidR="00622D12">
        <w:t>S</w:t>
      </w:r>
      <w:r w:rsidR="00C80BED" w:rsidRPr="00266C82">
        <w:t xml:space="preserve">tate 2 or 3 have </w:t>
      </w:r>
      <w:r w:rsidR="00E5062A" w:rsidRPr="00266C82">
        <w:t xml:space="preserve">a </w:t>
      </w:r>
      <w:r w:rsidR="00C80BED" w:rsidRPr="00266C82">
        <w:t xml:space="preserve">higher probability </w:t>
      </w:r>
      <w:r w:rsidR="00E5062A" w:rsidRPr="00266C82">
        <w:t>of</w:t>
      </w:r>
      <w:r w:rsidR="00C80BED" w:rsidRPr="00266C82">
        <w:t xml:space="preserve"> either converg</w:t>
      </w:r>
      <w:r w:rsidR="00E5062A" w:rsidRPr="00266C82">
        <w:t>ing to</w:t>
      </w:r>
      <w:r w:rsidR="00266205" w:rsidRPr="00266C82">
        <w:t xml:space="preserve"> (move towards a lower state)</w:t>
      </w:r>
      <w:r w:rsidR="00C80BED" w:rsidRPr="00266C82">
        <w:t xml:space="preserve"> or diverg</w:t>
      </w:r>
      <w:r w:rsidR="00E5062A" w:rsidRPr="00266C82">
        <w:t>ing</w:t>
      </w:r>
      <w:r w:rsidR="00C80BED" w:rsidRPr="00266C82">
        <w:t xml:space="preserve"> from leading financial centres</w:t>
      </w:r>
      <w:r w:rsidR="00266205" w:rsidRPr="00266C82">
        <w:t xml:space="preserve"> (move towards a higher state)</w:t>
      </w:r>
      <w:r w:rsidR="00266205" w:rsidRPr="00266C82">
        <w:rPr>
          <w:rStyle w:val="EndnoteReference"/>
        </w:rPr>
        <w:endnoteReference w:id="7"/>
      </w:r>
      <w:r w:rsidR="00C80BED" w:rsidRPr="00266C82">
        <w:t>.</w:t>
      </w:r>
      <w:r w:rsidR="00E05292" w:rsidRPr="00266C82">
        <w:t xml:space="preserve"> In a similar manner</w:t>
      </w:r>
      <w:r w:rsidR="00E5062A" w:rsidRPr="00266C82">
        <w:t>,</w:t>
      </w:r>
      <w:r w:rsidR="00E05292" w:rsidRPr="00266C82">
        <w:t xml:space="preserve"> </w:t>
      </w:r>
      <w:r w:rsidR="00622D12">
        <w:t>P</w:t>
      </w:r>
      <w:r w:rsidR="00E05292" w:rsidRPr="00266C82">
        <w:t>anel B of Table 3 examines the movements of GDP gaps among the different EU regions in which the financial centres are located</w:t>
      </w:r>
      <w:r w:rsidR="00266205" w:rsidRPr="00266C82">
        <w:t xml:space="preserve">, while </w:t>
      </w:r>
      <w:r w:rsidR="00622D12">
        <w:t>P</w:t>
      </w:r>
      <w:r w:rsidR="00266205" w:rsidRPr="00266C82">
        <w:t xml:space="preserve">anel C </w:t>
      </w:r>
      <w:r w:rsidR="00C81C06" w:rsidRPr="00266C82">
        <w:t xml:space="preserve">analyses </w:t>
      </w:r>
      <w:r w:rsidR="00266205" w:rsidRPr="00266C82">
        <w:t>the movements of GDP gaps between the region where a financial centre is located a</w:t>
      </w:r>
      <w:r w:rsidR="00E5062A" w:rsidRPr="00266C82">
        <w:t>nd</w:t>
      </w:r>
      <w:r w:rsidR="00266205" w:rsidRPr="00266C82">
        <w:t xml:space="preserve"> the other regions in the same country</w:t>
      </w:r>
      <w:r w:rsidR="008A4ED1">
        <w:t>.</w:t>
      </w:r>
      <w:r w:rsidR="001C011D" w:rsidRPr="00266C82">
        <w:t xml:space="preserve"> </w:t>
      </w:r>
      <w:r w:rsidR="00266205" w:rsidRPr="00266C82">
        <w:t xml:space="preserve">Finally, </w:t>
      </w:r>
      <w:r w:rsidR="00622D12">
        <w:t>P</w:t>
      </w:r>
      <w:r w:rsidR="00E5062A" w:rsidRPr="00266C82">
        <w:t>anel C</w:t>
      </w:r>
      <w:r w:rsidR="001C011D" w:rsidRPr="00266C82">
        <w:t xml:space="preserve"> suggest</w:t>
      </w:r>
      <w:r w:rsidR="00E5062A" w:rsidRPr="00266C82">
        <w:t>s</w:t>
      </w:r>
      <w:r w:rsidR="001C011D" w:rsidRPr="00266C82">
        <w:t xml:space="preserve"> that there </w:t>
      </w:r>
      <w:r w:rsidR="00622D12">
        <w:t xml:space="preserve">is not a high probability that within country regions’ GDP gaps will not change from their initial state during the examined period. </w:t>
      </w:r>
      <w:r w:rsidR="00FD66B3" w:rsidRPr="00266C82">
        <w:t>The results from the above analysis complement and verify our previous findings</w:t>
      </w:r>
      <w:r w:rsidR="00622D12">
        <w:t>,</w:t>
      </w:r>
      <w:r w:rsidR="00FD66B3" w:rsidRPr="00266C82">
        <w:t xml:space="preserve"> suggesting different convergence/divergence clubs among the regions and the financial centres. </w:t>
      </w:r>
    </w:p>
    <w:p w14:paraId="2AA888B1" w14:textId="77777777" w:rsidR="00F679C4" w:rsidRPr="00266C82" w:rsidRDefault="00F679C4" w:rsidP="00457347">
      <w:pPr>
        <w:spacing w:before="240" w:after="240"/>
        <w:jc w:val="both"/>
        <w:rPr>
          <w:i/>
          <w:lang w:eastAsia="zh-TW"/>
        </w:rPr>
      </w:pPr>
      <w:r w:rsidRPr="00266C82">
        <w:rPr>
          <w:i/>
          <w:lang w:eastAsia="zh-TW"/>
        </w:rPr>
        <w:t xml:space="preserve">4.2 </w:t>
      </w:r>
      <w:r w:rsidR="00CB37DE" w:rsidRPr="00266C82">
        <w:rPr>
          <w:i/>
          <w:lang w:eastAsia="zh-TW"/>
        </w:rPr>
        <w:t>Financial c</w:t>
      </w:r>
      <w:r w:rsidRPr="00266C82">
        <w:rPr>
          <w:i/>
          <w:lang w:eastAsia="zh-TW"/>
        </w:rPr>
        <w:t xml:space="preserve">entres’ competitiveness and </w:t>
      </w:r>
      <w:r w:rsidR="00CB37DE" w:rsidRPr="00266C82">
        <w:rPr>
          <w:i/>
          <w:lang w:eastAsia="zh-TW"/>
        </w:rPr>
        <w:t xml:space="preserve">the </w:t>
      </w:r>
      <w:r w:rsidRPr="00266C82">
        <w:rPr>
          <w:i/>
          <w:lang w:eastAsia="zh-TW"/>
        </w:rPr>
        <w:t>European economic converging trend and national diverging trend</w:t>
      </w:r>
    </w:p>
    <w:p w14:paraId="1E90B32A" w14:textId="77777777" w:rsidR="00F679C4" w:rsidRPr="00266C82" w:rsidRDefault="00F679C4" w:rsidP="00115167">
      <w:pPr>
        <w:spacing w:line="360" w:lineRule="auto"/>
        <w:jc w:val="both"/>
        <w:rPr>
          <w:rFonts w:eastAsia="Times New Roman"/>
        </w:rPr>
      </w:pPr>
      <w:r w:rsidRPr="00266C82">
        <w:rPr>
          <w:rStyle w:val="a"/>
        </w:rPr>
        <w:t xml:space="preserve">This section addresses our </w:t>
      </w:r>
      <w:r w:rsidR="00CB37DE" w:rsidRPr="00266C82">
        <w:rPr>
          <w:rStyle w:val="a"/>
        </w:rPr>
        <w:t xml:space="preserve">first research question, namely </w:t>
      </w:r>
      <w:r w:rsidRPr="00266C82">
        <w:rPr>
          <w:rStyle w:val="a"/>
        </w:rPr>
        <w:t>whether the convergence of competitiveness of financial centres could help to explain the two opposite dynamics (</w:t>
      </w:r>
      <w:r w:rsidR="00091AA0" w:rsidRPr="00266C82">
        <w:rPr>
          <w:rStyle w:val="a"/>
        </w:rPr>
        <w:t xml:space="preserve">economic regional </w:t>
      </w:r>
      <w:r w:rsidRPr="00266C82">
        <w:rPr>
          <w:rStyle w:val="a"/>
        </w:rPr>
        <w:t>convergence and divergence) at the European level.</w:t>
      </w:r>
    </w:p>
    <w:p w14:paraId="303602F6" w14:textId="3A6D3623" w:rsidR="00F679C4" w:rsidRPr="00266C82" w:rsidRDefault="00F679C4" w:rsidP="004247D3">
      <w:pPr>
        <w:spacing w:line="360" w:lineRule="auto"/>
        <w:ind w:firstLine="567"/>
        <w:jc w:val="both"/>
        <w:rPr>
          <w:rFonts w:eastAsia="Times New Roman"/>
        </w:rPr>
      </w:pPr>
      <w:r w:rsidRPr="00266C82">
        <w:rPr>
          <w:rFonts w:eastAsia="Times New Roman"/>
        </w:rPr>
        <w:t xml:space="preserve">In particular, Figure 2 examines the effect of the convergence </w:t>
      </w:r>
      <w:r w:rsidRPr="00266C82">
        <w:t xml:space="preserve">of the </w:t>
      </w:r>
      <w:r w:rsidR="001E6C3F">
        <w:t xml:space="preserve">financial centres’ ratings </w:t>
      </w:r>
      <w:r w:rsidR="00D948AE" w:rsidRPr="00266C82">
        <w:t>gaps (GRAT)</w:t>
      </w:r>
      <w:r w:rsidRPr="00266C82">
        <w:rPr>
          <w:rFonts w:eastAsia="Times New Roman"/>
        </w:rPr>
        <w:t xml:space="preserve"> on the regional inequality measured in terms of </w:t>
      </w:r>
      <w:r w:rsidR="001E6C3F">
        <w:t>GDP</w:t>
      </w:r>
      <w:r w:rsidR="008224FE" w:rsidRPr="00266C82">
        <w:t xml:space="preserve"> </w:t>
      </w:r>
      <w:r w:rsidRPr="00266C82">
        <w:t>per capita</w:t>
      </w:r>
      <w:r w:rsidR="00D948AE" w:rsidRPr="00266C82">
        <w:t xml:space="preserve"> (GGDPPC) of the regions in which  financial centres are located</w:t>
      </w:r>
      <w:r w:rsidRPr="00266C82">
        <w:rPr>
          <w:rFonts w:eastAsia="Times New Roman"/>
        </w:rPr>
        <w:t>.</w:t>
      </w:r>
      <w:r w:rsidR="0009770E">
        <w:rPr>
          <w:rStyle w:val="EndnoteReference"/>
          <w:rFonts w:eastAsia="Times New Roman"/>
        </w:rPr>
        <w:endnoteReference w:id="8"/>
      </w:r>
      <w:r w:rsidRPr="00266C82">
        <w:rPr>
          <w:rFonts w:eastAsia="Times New Roman"/>
        </w:rPr>
        <w:t xml:space="preserve">  </w:t>
      </w:r>
    </w:p>
    <w:p w14:paraId="231C73C2" w14:textId="77777777" w:rsidR="00F679C4" w:rsidRPr="00266C82" w:rsidRDefault="00F679C4" w:rsidP="004247D3">
      <w:pPr>
        <w:autoSpaceDE w:val="0"/>
        <w:autoSpaceDN w:val="0"/>
        <w:adjustRightInd w:val="0"/>
        <w:spacing w:before="120" w:after="120" w:line="360" w:lineRule="auto"/>
        <w:jc w:val="center"/>
        <w:rPr>
          <w:rStyle w:val="a"/>
          <w:i/>
          <w:lang w:eastAsia="zh-TW"/>
        </w:rPr>
      </w:pPr>
      <w:r w:rsidRPr="00266C82">
        <w:rPr>
          <w:i/>
        </w:rPr>
        <w:t>Insert</w:t>
      </w:r>
      <w:r w:rsidRPr="00266C82">
        <w:rPr>
          <w:rStyle w:val="a"/>
          <w:i/>
          <w:lang w:eastAsia="zh-TW"/>
        </w:rPr>
        <w:t xml:space="preserve"> Figure 2.a-b about here</w:t>
      </w:r>
    </w:p>
    <w:p w14:paraId="15918B88" w14:textId="77777777" w:rsidR="00D37C8E" w:rsidRDefault="00F679C4" w:rsidP="004247D3">
      <w:pPr>
        <w:spacing w:line="360" w:lineRule="auto"/>
        <w:jc w:val="both"/>
        <w:rPr>
          <w:rFonts w:eastAsia="Times New Roman"/>
        </w:rPr>
      </w:pPr>
      <w:r w:rsidRPr="00266C82">
        <w:rPr>
          <w:rFonts w:eastAsia="Times New Roman"/>
        </w:rPr>
        <w:t xml:space="preserve">Subfigure </w:t>
      </w:r>
      <w:r w:rsidR="00D948AE" w:rsidRPr="00266C82">
        <w:rPr>
          <w:rFonts w:eastAsia="Times New Roman"/>
        </w:rPr>
        <w:t>2</w:t>
      </w:r>
      <w:r w:rsidRPr="00266C82">
        <w:rPr>
          <w:rFonts w:eastAsia="Times New Roman"/>
        </w:rPr>
        <w:t xml:space="preserve">.a shows the results for the non-parametric regression (Li and Racine, 2007) (red dash-dotted line). To take into account the possible endogeneity issue between </w:t>
      </w:r>
      <w:r w:rsidR="00622D12">
        <w:rPr>
          <w:rFonts w:eastAsia="Times New Roman"/>
        </w:rPr>
        <w:t xml:space="preserve">the </w:t>
      </w:r>
      <w:r w:rsidRPr="00266C82">
        <w:rPr>
          <w:rFonts w:eastAsia="Times New Roman"/>
        </w:rPr>
        <w:t>GFCI rating‘s gaps (</w:t>
      </w:r>
      <w:r w:rsidR="00D948AE" w:rsidRPr="00266C82">
        <w:rPr>
          <w:rFonts w:eastAsia="Times New Roman"/>
        </w:rPr>
        <w:t>GRAT</w:t>
      </w:r>
      <w:r w:rsidRPr="00266C82">
        <w:rPr>
          <w:rFonts w:eastAsia="Times New Roman"/>
        </w:rPr>
        <w:t xml:space="preserve">) and the gaps in terms of </w:t>
      </w:r>
      <w:r w:rsidRPr="00266C82">
        <w:t>GDP per capita between the regions where financial centres are located (</w:t>
      </w:r>
      <w:r w:rsidRPr="00266C82">
        <w:rPr>
          <w:rFonts w:eastAsia="Times New Roman"/>
          <w:bCs/>
          <w:color w:val="000000"/>
        </w:rPr>
        <w:t>GGDPPC</w:t>
      </w:r>
      <w:r w:rsidRPr="00266C82">
        <w:t>) we also run a</w:t>
      </w:r>
      <w:r w:rsidRPr="00266C82">
        <w:rPr>
          <w:rFonts w:eastAsia="Times New Roman"/>
        </w:rPr>
        <w:t xml:space="preserve"> non-parametric instrumental variable</w:t>
      </w:r>
      <w:r w:rsidR="003536B2" w:rsidRPr="00266C82">
        <w:rPr>
          <w:rFonts w:eastAsia="Times New Roman"/>
        </w:rPr>
        <w:t xml:space="preserve"> regression </w:t>
      </w:r>
      <w:r w:rsidRPr="00266C82">
        <w:rPr>
          <w:rFonts w:eastAsia="Times New Roman"/>
        </w:rPr>
        <w:t>(Horowitz, 2011) (blue dashed-line)</w:t>
      </w:r>
      <w:r w:rsidR="00D948AE" w:rsidRPr="00266C82">
        <w:rPr>
          <w:rFonts w:eastAsia="Times New Roman"/>
        </w:rPr>
        <w:t>. Our findings suggest</w:t>
      </w:r>
      <w:r w:rsidRPr="00266C82">
        <w:t xml:space="preserve"> that an increase of the gaps of financial centres’ rating levels (GRAT) has a positive effect on the in</w:t>
      </w:r>
      <w:r w:rsidR="00622D12">
        <w:t>-</w:t>
      </w:r>
      <w:r w:rsidRPr="00266C82">
        <w:t>terms GDP per capita gap between the regions where financial centres are located (</w:t>
      </w:r>
      <w:r w:rsidRPr="00266C82">
        <w:rPr>
          <w:rFonts w:eastAsia="Times New Roman"/>
          <w:bCs/>
        </w:rPr>
        <w:t>GGDPPC</w:t>
      </w:r>
      <w:r w:rsidRPr="00266C82">
        <w:t>), as indicated by the increasing non-parametric line.</w:t>
      </w:r>
      <w:r w:rsidR="00D948AE" w:rsidRPr="00266C82">
        <w:rPr>
          <w:rStyle w:val="EndnoteReference"/>
        </w:rPr>
        <w:t xml:space="preserve"> </w:t>
      </w:r>
      <w:r w:rsidRPr="00266C82">
        <w:t>A similar trend is also confirmed by</w:t>
      </w:r>
      <w:r w:rsidRPr="00266C82">
        <w:rPr>
          <w:rFonts w:eastAsia="Times New Roman"/>
        </w:rPr>
        <w:t xml:space="preserve"> </w:t>
      </w:r>
      <w:r w:rsidR="00CB37DE" w:rsidRPr="00266C82">
        <w:rPr>
          <w:rFonts w:eastAsia="Times New Roman"/>
        </w:rPr>
        <w:t xml:space="preserve">the </w:t>
      </w:r>
      <w:r w:rsidRPr="00266C82">
        <w:rPr>
          <w:rFonts w:eastAsia="Times New Roman"/>
        </w:rPr>
        <w:t>non-parametric instrumental variable regression</w:t>
      </w:r>
      <w:r w:rsidR="00FD66B3" w:rsidRPr="00266C82">
        <w:rPr>
          <w:rFonts w:eastAsia="Times New Roman"/>
        </w:rPr>
        <w:t>.</w:t>
      </w:r>
      <w:r w:rsidR="00D948AE" w:rsidRPr="00266C82">
        <w:rPr>
          <w:rFonts w:eastAsia="Times New Roman"/>
        </w:rPr>
        <w:t xml:space="preserve"> </w:t>
      </w:r>
      <w:r w:rsidRPr="00266C82">
        <w:t>These two finding</w:t>
      </w:r>
      <w:r w:rsidR="00CB37DE" w:rsidRPr="00266C82">
        <w:t>s provide</w:t>
      </w:r>
      <w:r w:rsidRPr="00266C82">
        <w:t xml:space="preserve"> strong support for the fact that the competitiveness of financial centres contributes to explain</w:t>
      </w:r>
      <w:r w:rsidR="00FD66B3" w:rsidRPr="00266C82">
        <w:t xml:space="preserve"> </w:t>
      </w:r>
      <w:r w:rsidRPr="00266C82">
        <w:t>the economic converging trend</w:t>
      </w:r>
      <w:r w:rsidR="00D948AE" w:rsidRPr="00266C82">
        <w:t>s</w:t>
      </w:r>
      <w:r w:rsidRPr="00266C82">
        <w:t xml:space="preserve"> of the regions where financial centres are located.</w:t>
      </w:r>
      <w:r w:rsidRPr="00266C82">
        <w:rPr>
          <w:rStyle w:val="EndnoteReference"/>
        </w:rPr>
        <w:t xml:space="preserve"> </w:t>
      </w:r>
      <w:r w:rsidRPr="00266C82">
        <w:rPr>
          <w:rFonts w:eastAsia="Times New Roman"/>
        </w:rPr>
        <w:t xml:space="preserve">However, this relationship appears to follow a non-linear pattern especially when we focus on the non-parametric instrumental variable regression (dashed line). </w:t>
      </w:r>
    </w:p>
    <w:p w14:paraId="0BA2A0C6" w14:textId="262B6B67" w:rsidR="00BA1001" w:rsidRPr="00D74961" w:rsidRDefault="00F679C4" w:rsidP="00D74961">
      <w:pPr>
        <w:spacing w:line="360" w:lineRule="auto"/>
        <w:ind w:firstLine="567"/>
        <w:jc w:val="both"/>
        <w:rPr>
          <w:rFonts w:eastAsia="Times New Roman"/>
        </w:rPr>
      </w:pPr>
      <w:r w:rsidRPr="00266C82">
        <w:t>Subfigure 2.b. focuses on the relationship between</w:t>
      </w:r>
      <w:r w:rsidRPr="00266C82">
        <w:rPr>
          <w:rFonts w:eastAsia="Times New Roman"/>
        </w:rPr>
        <w:t xml:space="preserve"> the GFCI rating</w:t>
      </w:r>
      <w:r w:rsidR="00622D12">
        <w:rPr>
          <w:rFonts w:eastAsia="Times New Roman"/>
        </w:rPr>
        <w:t>’</w:t>
      </w:r>
      <w:r w:rsidRPr="00266C82">
        <w:rPr>
          <w:rFonts w:eastAsia="Times New Roman"/>
        </w:rPr>
        <w:t>s gaps (</w:t>
      </w:r>
      <w:r w:rsidR="00D61D00" w:rsidRPr="00266C82">
        <w:rPr>
          <w:rFonts w:eastAsia="Times New Roman"/>
        </w:rPr>
        <w:t>GRAT</w:t>
      </w:r>
      <w:r w:rsidRPr="00266C82">
        <w:rPr>
          <w:rFonts w:eastAsia="Times New Roman"/>
        </w:rPr>
        <w:t xml:space="preserve">) and the gaps in terms of </w:t>
      </w:r>
      <w:r w:rsidRPr="00266C82">
        <w:t>GDP per capita between the regions where financial centres are located and the other regions within the same country (</w:t>
      </w:r>
      <w:r w:rsidRPr="00266C82">
        <w:rPr>
          <w:rFonts w:eastAsia="Times New Roman"/>
          <w:bCs/>
          <w:color w:val="000000"/>
        </w:rPr>
        <w:t>WGGDPPC</w:t>
      </w:r>
      <w:r w:rsidRPr="00266C82">
        <w:t xml:space="preserve">). </w:t>
      </w:r>
      <w:r w:rsidRPr="00266C82">
        <w:rPr>
          <w:rFonts w:eastAsia="Times New Roman"/>
        </w:rPr>
        <w:t xml:space="preserve"> </w:t>
      </w:r>
      <w:r w:rsidR="00D61D00" w:rsidRPr="00266C82">
        <w:rPr>
          <w:rFonts w:eastAsia="Times New Roman"/>
        </w:rPr>
        <w:t>In a similar manner</w:t>
      </w:r>
      <w:r w:rsidR="00E5062A" w:rsidRPr="00266C82">
        <w:rPr>
          <w:rFonts w:eastAsia="Times New Roman"/>
        </w:rPr>
        <w:t xml:space="preserve">, </w:t>
      </w:r>
      <w:r w:rsidR="00D61D00" w:rsidRPr="00266C82">
        <w:rPr>
          <w:rFonts w:eastAsia="Times New Roman"/>
        </w:rPr>
        <w:t>our findings suggest</w:t>
      </w:r>
      <w:r w:rsidRPr="00266C82">
        <w:rPr>
          <w:rFonts w:eastAsia="Times New Roman"/>
        </w:rPr>
        <w:t xml:space="preserve"> that </w:t>
      </w:r>
      <w:r w:rsidRPr="00266C82">
        <w:rPr>
          <w:rFonts w:eastAsia="Times New Roman"/>
          <w:bCs/>
          <w:color w:val="000000"/>
        </w:rPr>
        <w:t>WGGDPPC</w:t>
      </w:r>
      <w:r w:rsidRPr="00266C82">
        <w:t xml:space="preserve"> decreases </w:t>
      </w:r>
      <w:r w:rsidRPr="00266C82">
        <w:rPr>
          <w:rFonts w:eastAsia="Times New Roman"/>
        </w:rPr>
        <w:t>as the GRAT increases</w:t>
      </w:r>
      <w:r w:rsidRPr="00266C82">
        <w:t xml:space="preserve">, </w:t>
      </w:r>
      <w:r w:rsidRPr="00266C82">
        <w:rPr>
          <w:rFonts w:eastAsia="Times New Roman"/>
        </w:rPr>
        <w:t>which indicates that an increase in financial centres’ competitiveness contributes to the enlargement of existing inequalities between regions within countries (</w:t>
      </w:r>
      <w:r w:rsidRPr="00266C82">
        <w:rPr>
          <w:rFonts w:eastAsia="Times New Roman"/>
          <w:bCs/>
          <w:color w:val="000000"/>
        </w:rPr>
        <w:t>WGGDPPC</w:t>
      </w:r>
      <w:r w:rsidRPr="00266C82">
        <w:t>)</w:t>
      </w:r>
      <w:r w:rsidRPr="00266C82">
        <w:rPr>
          <w:rFonts w:eastAsia="Times New Roman"/>
        </w:rPr>
        <w:t xml:space="preserve">. Furthermore, we note that in this case the line of the non-parametric instrumental variable regression has a remarkable curvilinear pattern. Overall, this result </w:t>
      </w:r>
      <w:r w:rsidR="001B5C82">
        <w:rPr>
          <w:rFonts w:eastAsia="Times New Roman"/>
        </w:rPr>
        <w:t>shows that</w:t>
      </w:r>
      <w:r w:rsidRPr="00266C82">
        <w:rPr>
          <w:rFonts w:eastAsia="Times New Roman"/>
        </w:rPr>
        <w:t xml:space="preserve"> financial centres also contribute to determine the diverging trend between regions at the national level. This would suggest that the regions where financial centres are located attract resources from more peripheral regions in this way enlarging their existing gap with them. Poor regions therefore become poorer, while rich regions can </w:t>
      </w:r>
      <w:r w:rsidR="00622D12">
        <w:rPr>
          <w:rFonts w:eastAsia="Times New Roman"/>
        </w:rPr>
        <w:t>r</w:t>
      </w:r>
      <w:r w:rsidRPr="00266C82">
        <w:rPr>
          <w:rFonts w:eastAsia="Times New Roman"/>
        </w:rPr>
        <w:t>e</w:t>
      </w:r>
      <w:r w:rsidR="00622D12">
        <w:rPr>
          <w:rFonts w:eastAsia="Times New Roman"/>
        </w:rPr>
        <w:t>i</w:t>
      </w:r>
      <w:r w:rsidRPr="00266C82">
        <w:rPr>
          <w:rFonts w:eastAsia="Times New Roman"/>
        </w:rPr>
        <w:t>nforce their prevailing position.</w:t>
      </w:r>
      <w:r w:rsidR="00D74961">
        <w:rPr>
          <w:rFonts w:eastAsia="Times New Roman"/>
        </w:rPr>
        <w:t xml:space="preserve"> </w:t>
      </w:r>
      <w:r w:rsidR="00D74961" w:rsidRPr="00680DB2">
        <w:rPr>
          <w:rFonts w:eastAsia="Times New Roman"/>
        </w:rPr>
        <w:t>This finding again verifies the non-neutrality hypothesis</w:t>
      </w:r>
      <w:r w:rsidRPr="00680DB2">
        <w:rPr>
          <w:rFonts w:eastAsia="Times New Roman"/>
        </w:rPr>
        <w:t xml:space="preserve"> </w:t>
      </w:r>
      <w:r w:rsidR="00D74961" w:rsidRPr="00680DB2">
        <w:rPr>
          <w:rFonts w:eastAsia="Times New Roman"/>
        </w:rPr>
        <w:t>described previously</w:t>
      </w:r>
      <w:r w:rsidR="00662012" w:rsidRPr="00680DB2">
        <w:rPr>
          <w:rFonts w:eastAsia="Times New Roman"/>
        </w:rPr>
        <w:t xml:space="preserve">. It means that </w:t>
      </w:r>
      <w:r w:rsidR="00D74961" w:rsidRPr="00680DB2">
        <w:rPr>
          <w:rFonts w:eastAsia="Times New Roman"/>
        </w:rPr>
        <w:t xml:space="preserve">the allocation of resources </w:t>
      </w:r>
      <w:r w:rsidR="00662012">
        <w:rPr>
          <w:rFonts w:eastAsia="Times New Roman"/>
        </w:rPr>
        <w:t xml:space="preserve">is </w:t>
      </w:r>
      <w:r w:rsidR="00D74961" w:rsidRPr="00680DB2">
        <w:rPr>
          <w:rFonts w:eastAsia="Times New Roman"/>
        </w:rPr>
        <w:t>concentrated only on the regions in which the financial markets are located (Klagge and Martin, 2005).</w:t>
      </w:r>
    </w:p>
    <w:p w14:paraId="78FE8087" w14:textId="4FF19DF3" w:rsidR="00F679C4" w:rsidRPr="00266C82" w:rsidRDefault="00F679C4" w:rsidP="00BA1001">
      <w:pPr>
        <w:spacing w:line="360" w:lineRule="auto"/>
        <w:ind w:firstLine="567"/>
        <w:jc w:val="both"/>
        <w:rPr>
          <w:rFonts w:eastAsia="Times New Roman"/>
        </w:rPr>
      </w:pPr>
      <w:r w:rsidRPr="00266C82">
        <w:rPr>
          <w:rFonts w:eastAsia="Times New Roman"/>
        </w:rPr>
        <w:t>Table 4 addresses our second research hypothesis</w:t>
      </w:r>
      <w:r w:rsidR="00D37C92" w:rsidRPr="00266C82">
        <w:rPr>
          <w:rFonts w:eastAsia="Times New Roman"/>
        </w:rPr>
        <w:t>, which</w:t>
      </w:r>
      <w:r w:rsidRPr="00266C82">
        <w:rPr>
          <w:rFonts w:eastAsia="Times New Roman"/>
        </w:rPr>
        <w:t xml:space="preserve"> is related to </w:t>
      </w:r>
      <w:r w:rsidR="00D37C92" w:rsidRPr="00266C82">
        <w:rPr>
          <w:lang w:eastAsia="zh-CN"/>
        </w:rPr>
        <w:t>the</w:t>
      </w:r>
      <w:r w:rsidRPr="00266C82">
        <w:rPr>
          <w:lang w:eastAsia="zh-CN"/>
        </w:rPr>
        <w:t xml:space="preserve"> factors </w:t>
      </w:r>
      <w:r w:rsidR="00824335">
        <w:rPr>
          <w:lang w:eastAsia="zh-CN"/>
        </w:rPr>
        <w:t>that</w:t>
      </w:r>
      <w:r w:rsidR="00D37C92" w:rsidRPr="00266C82">
        <w:rPr>
          <w:lang w:eastAsia="zh-CN"/>
        </w:rPr>
        <w:t xml:space="preserve"> </w:t>
      </w:r>
      <w:r w:rsidRPr="00266C82">
        <w:rPr>
          <w:lang w:eastAsia="zh-CN"/>
        </w:rPr>
        <w:t>contribute to the attractiveness of financial centres</w:t>
      </w:r>
      <w:r w:rsidR="00AE1326">
        <w:rPr>
          <w:lang w:eastAsia="zh-CN"/>
        </w:rPr>
        <w:t xml:space="preserve"> and in turn affect</w:t>
      </w:r>
      <w:r w:rsidR="00662012">
        <w:rPr>
          <w:lang w:eastAsia="zh-CN"/>
        </w:rPr>
        <w:t>s</w:t>
      </w:r>
      <w:r w:rsidR="00AE1326">
        <w:rPr>
          <w:lang w:eastAsia="zh-CN"/>
        </w:rPr>
        <w:t xml:space="preserve"> the regions where </w:t>
      </w:r>
      <w:r w:rsidR="001D4401">
        <w:rPr>
          <w:lang w:eastAsia="zh-CN"/>
        </w:rPr>
        <w:t xml:space="preserve">the </w:t>
      </w:r>
      <w:r w:rsidR="00AE1326">
        <w:rPr>
          <w:lang w:eastAsia="zh-CN"/>
        </w:rPr>
        <w:t>financial centres are located</w:t>
      </w:r>
      <w:r w:rsidR="00EB5050">
        <w:rPr>
          <w:lang w:eastAsia="zh-CN"/>
        </w:rPr>
        <w:t xml:space="preserve">. Therefore, </w:t>
      </w:r>
      <w:r w:rsidR="001D4401">
        <w:rPr>
          <w:lang w:eastAsia="zh-CN"/>
        </w:rPr>
        <w:t>we are able to identify and analyse</w:t>
      </w:r>
      <w:r w:rsidRPr="00266C82">
        <w:rPr>
          <w:lang w:eastAsia="zh-CN"/>
        </w:rPr>
        <w:t xml:space="preserve"> the convergence process at the European level and divergence process at the national level. In particular, Table 4 </w:t>
      </w:r>
      <w:r w:rsidRPr="00266C82">
        <w:rPr>
          <w:rFonts w:eastAsia="Times New Roman"/>
        </w:rPr>
        <w:t xml:space="preserve">reports the </w:t>
      </w:r>
      <w:r w:rsidRPr="00266C82">
        <w:t>F-statistics and estimated p-values of the non-parametric regressions</w:t>
      </w:r>
      <w:r w:rsidRPr="00266C82">
        <w:rPr>
          <w:rFonts w:eastAsia="Times New Roman"/>
        </w:rPr>
        <w:t xml:space="preserve"> where we examine the impact of competitiveness drivers on </w:t>
      </w:r>
      <w:r w:rsidRPr="00266C82">
        <w:rPr>
          <w:rFonts w:eastAsia="Times New Roman"/>
          <w:bCs/>
          <w:color w:val="000000"/>
        </w:rPr>
        <w:t>WGGDPPC</w:t>
      </w:r>
      <w:r w:rsidRPr="00266C82">
        <w:rPr>
          <w:rFonts w:eastAsia="Times New Roman"/>
        </w:rPr>
        <w:t xml:space="preserve"> and </w:t>
      </w:r>
      <w:r w:rsidRPr="00266C82">
        <w:rPr>
          <w:rFonts w:eastAsia="Times New Roman"/>
          <w:bCs/>
          <w:color w:val="000000"/>
        </w:rPr>
        <w:t>GGDPPC</w:t>
      </w:r>
      <w:r w:rsidRPr="00266C82">
        <w:rPr>
          <w:rFonts w:eastAsia="Times New Roman"/>
        </w:rPr>
        <w:t>. In</w:t>
      </w:r>
      <w:r w:rsidR="00E11C9F" w:rsidRPr="00266C82">
        <w:rPr>
          <w:rFonts w:eastAsia="Times New Roman"/>
        </w:rPr>
        <w:t xml:space="preserve"> addition</w:t>
      </w:r>
      <w:r w:rsidRPr="00266C82">
        <w:rPr>
          <w:rFonts w:eastAsia="Times New Roman"/>
        </w:rPr>
        <w:t xml:space="preserve">, Figure 3 displays how </w:t>
      </w:r>
      <w:r w:rsidRPr="00266C82">
        <w:rPr>
          <w:rFonts w:eastAsia="Times New Roman"/>
          <w:bCs/>
          <w:color w:val="000000"/>
        </w:rPr>
        <w:t>WGGDPPC</w:t>
      </w:r>
      <w:r w:rsidRPr="00266C82">
        <w:rPr>
          <w:rFonts w:eastAsia="Times New Roman"/>
        </w:rPr>
        <w:t xml:space="preserve"> and </w:t>
      </w:r>
      <w:r w:rsidRPr="00266C82">
        <w:rPr>
          <w:rFonts w:eastAsia="Times New Roman"/>
          <w:bCs/>
          <w:color w:val="000000"/>
        </w:rPr>
        <w:t>GGDPPC</w:t>
      </w:r>
      <w:r w:rsidRPr="00266C82">
        <w:rPr>
          <w:rFonts w:eastAsia="Times New Roman"/>
        </w:rPr>
        <w:t xml:space="preserve"> change for the effect of the increase of each competitiveness source of the GFCI. </w:t>
      </w:r>
    </w:p>
    <w:p w14:paraId="5695A883" w14:textId="77777777" w:rsidR="00F679C4" w:rsidRPr="00266C82" w:rsidRDefault="00F679C4" w:rsidP="004247D3">
      <w:pPr>
        <w:autoSpaceDE w:val="0"/>
        <w:autoSpaceDN w:val="0"/>
        <w:adjustRightInd w:val="0"/>
        <w:spacing w:before="120" w:after="120" w:line="360" w:lineRule="auto"/>
        <w:jc w:val="center"/>
        <w:rPr>
          <w:i/>
          <w:lang w:eastAsia="zh-TW"/>
        </w:rPr>
      </w:pPr>
      <w:r w:rsidRPr="00266C82">
        <w:rPr>
          <w:i/>
        </w:rPr>
        <w:t>Insert</w:t>
      </w:r>
      <w:r w:rsidRPr="00266C82">
        <w:rPr>
          <w:rStyle w:val="a"/>
          <w:i/>
          <w:lang w:eastAsia="zh-TW"/>
        </w:rPr>
        <w:t xml:space="preserve"> Table 4 about here </w:t>
      </w:r>
      <w:r w:rsidRPr="00266C82">
        <w:rPr>
          <w:rFonts w:eastAsia="Times New Roman"/>
        </w:rPr>
        <w:t xml:space="preserve"> </w:t>
      </w:r>
    </w:p>
    <w:p w14:paraId="466E91F7" w14:textId="77777777" w:rsidR="00F679C4" w:rsidRPr="00266C82" w:rsidRDefault="00F679C4" w:rsidP="004247D3">
      <w:pPr>
        <w:autoSpaceDE w:val="0"/>
        <w:autoSpaceDN w:val="0"/>
        <w:adjustRightInd w:val="0"/>
        <w:spacing w:before="120" w:after="120" w:line="360" w:lineRule="auto"/>
        <w:jc w:val="center"/>
        <w:rPr>
          <w:i/>
          <w:lang w:eastAsia="zh-TW"/>
        </w:rPr>
      </w:pPr>
      <w:r w:rsidRPr="00266C82">
        <w:rPr>
          <w:i/>
        </w:rPr>
        <w:t>Insert</w:t>
      </w:r>
      <w:r w:rsidRPr="00266C82">
        <w:rPr>
          <w:rStyle w:val="a"/>
          <w:i/>
          <w:lang w:eastAsia="zh-TW"/>
        </w:rPr>
        <w:t xml:space="preserve"> Figure 3.a-b about here </w:t>
      </w:r>
      <w:r w:rsidRPr="00266C82">
        <w:rPr>
          <w:rFonts w:eastAsia="Times New Roman"/>
        </w:rPr>
        <w:t xml:space="preserve"> </w:t>
      </w:r>
    </w:p>
    <w:p w14:paraId="1AE28B8C" w14:textId="72D220B5" w:rsidR="00F679C4" w:rsidRPr="00266C82" w:rsidRDefault="00F679C4" w:rsidP="00B4726E">
      <w:pPr>
        <w:spacing w:line="360" w:lineRule="auto"/>
        <w:jc w:val="both"/>
        <w:rPr>
          <w:rFonts w:eastAsia="Times New Roman"/>
        </w:rPr>
      </w:pPr>
      <w:r w:rsidRPr="00266C82">
        <w:rPr>
          <w:rFonts w:eastAsia="Times New Roman"/>
          <w:lang w:eastAsia="en-GB"/>
        </w:rPr>
        <w:t xml:space="preserve">From Table 4, we observe that the competitiveness drivers of the GFCI exhibit a contrary impact on </w:t>
      </w:r>
      <w:r w:rsidRPr="00266C82">
        <w:rPr>
          <w:rFonts w:eastAsia="Times New Roman"/>
          <w:bCs/>
          <w:color w:val="000000"/>
        </w:rPr>
        <w:t>WGGDPPC</w:t>
      </w:r>
      <w:r w:rsidRPr="00266C82">
        <w:rPr>
          <w:rFonts w:eastAsia="Times New Roman"/>
        </w:rPr>
        <w:t xml:space="preserve"> and </w:t>
      </w:r>
      <w:r w:rsidRPr="00266C82">
        <w:rPr>
          <w:rFonts w:eastAsia="Times New Roman"/>
          <w:bCs/>
          <w:color w:val="000000"/>
        </w:rPr>
        <w:t>GGDPPC. This is plausible since the GFCI exerts a diverging impact on WGGDPPC</w:t>
      </w:r>
      <w:r w:rsidRPr="00266C82">
        <w:rPr>
          <w:rFonts w:eastAsia="Times New Roman"/>
        </w:rPr>
        <w:t xml:space="preserve"> and </w:t>
      </w:r>
      <w:r w:rsidRPr="00266C82">
        <w:rPr>
          <w:rFonts w:eastAsia="Times New Roman"/>
          <w:bCs/>
          <w:color w:val="000000"/>
        </w:rPr>
        <w:t xml:space="preserve">GGDPPC. </w:t>
      </w:r>
      <w:r w:rsidRPr="00266C82">
        <w:rPr>
          <w:rFonts w:eastAsia="Times New Roman"/>
        </w:rPr>
        <w:t xml:space="preserve">As depicted in Subfigure 3.a.1-2, our results provide evidence that infrastructure (INFRA), goods market efficiency (MAREFFG), market size (MARKSIZ) </w:t>
      </w:r>
      <w:r w:rsidRPr="00266C82">
        <w:rPr>
          <w:rFonts w:eastAsia="Times New Roman"/>
          <w:color w:val="000000"/>
        </w:rPr>
        <w:t>and business sophistication (BUSSOPH)</w:t>
      </w:r>
      <w:r w:rsidRPr="00266C82">
        <w:rPr>
          <w:rFonts w:eastAsia="Times New Roman"/>
        </w:rPr>
        <w:t xml:space="preserve"> contribute to the economic catch-up process of regions where financial centres are located. These findings provide further support for existing studies (</w:t>
      </w:r>
      <w:r w:rsidR="00622D12">
        <w:rPr>
          <w:rFonts w:eastAsia="Times New Roman"/>
        </w:rPr>
        <w:t>for example,</w:t>
      </w:r>
      <w:r w:rsidRPr="00266C82">
        <w:rPr>
          <w:rFonts w:eastAsia="Times New Roman"/>
        </w:rPr>
        <w:t xml:space="preserve"> Petrakos et al. 2011) that find similar sources to be important factors for economic growth</w:t>
      </w:r>
      <w:r w:rsidR="00D37C92" w:rsidRPr="00266C82">
        <w:rPr>
          <w:rFonts w:eastAsia="Times New Roman"/>
        </w:rPr>
        <w:t>,</w:t>
      </w:r>
      <w:r w:rsidRPr="00266C82">
        <w:rPr>
          <w:rFonts w:eastAsia="Times New Roman"/>
        </w:rPr>
        <w:t xml:space="preserve"> especially in the case of wealthier regions. These regions are more likely to benefit from agglomeration economies, positive externalities and a high-skilled labour force. As a result, they grow faster and tend to accelerate their interregional divergence pattern with respect to less wealthy regions. When looking at the role of key drivers of WGGDPPC (Subfigure 3.b.1-2), we find that infrastructure (INFRA)</w:t>
      </w:r>
      <w:r w:rsidR="00622D12">
        <w:rPr>
          <w:rFonts w:eastAsia="Times New Roman"/>
        </w:rPr>
        <w:t>;</w:t>
      </w:r>
      <w:r w:rsidRPr="00266C82">
        <w:rPr>
          <w:rFonts w:eastAsia="Times New Roman"/>
        </w:rPr>
        <w:t xml:space="preserve"> health and primary education (HEALTH)</w:t>
      </w:r>
      <w:r w:rsidR="00622D12">
        <w:rPr>
          <w:rFonts w:eastAsia="Times New Roman"/>
        </w:rPr>
        <w:t>;</w:t>
      </w:r>
      <w:r w:rsidRPr="00266C82">
        <w:rPr>
          <w:rFonts w:eastAsia="Times New Roman"/>
        </w:rPr>
        <w:t xml:space="preserve"> </w:t>
      </w:r>
      <w:r w:rsidRPr="00266C82">
        <w:rPr>
          <w:rFonts w:eastAsia="Times New Roman"/>
          <w:color w:val="000000"/>
        </w:rPr>
        <w:t>higher education and training</w:t>
      </w:r>
      <w:r w:rsidRPr="00266C82">
        <w:rPr>
          <w:rFonts w:eastAsia="Times New Roman"/>
        </w:rPr>
        <w:t xml:space="preserve"> (EDU)</w:t>
      </w:r>
      <w:r w:rsidR="00622D12">
        <w:rPr>
          <w:rFonts w:eastAsia="Times New Roman"/>
        </w:rPr>
        <w:t>;</w:t>
      </w:r>
      <w:r w:rsidR="00E11C9F" w:rsidRPr="00266C82">
        <w:rPr>
          <w:rFonts w:eastAsia="Times New Roman"/>
        </w:rPr>
        <w:t xml:space="preserve"> </w:t>
      </w:r>
      <w:r w:rsidRPr="00266C82">
        <w:rPr>
          <w:rFonts w:eastAsia="Times New Roman"/>
        </w:rPr>
        <w:t>goods market efficiency (MARKEFFG)</w:t>
      </w:r>
      <w:r w:rsidR="00622D12">
        <w:rPr>
          <w:rFonts w:eastAsia="Times New Roman"/>
        </w:rPr>
        <w:t>;</w:t>
      </w:r>
      <w:r w:rsidRPr="00266C82">
        <w:rPr>
          <w:rFonts w:eastAsia="Times New Roman"/>
        </w:rPr>
        <w:t xml:space="preserve"> market size (MARKSIZ)</w:t>
      </w:r>
      <w:r w:rsidR="00622D12">
        <w:rPr>
          <w:rFonts w:eastAsia="Times New Roman"/>
        </w:rPr>
        <w:t>;</w:t>
      </w:r>
      <w:r w:rsidRPr="00266C82">
        <w:rPr>
          <w:rFonts w:eastAsia="Times New Roman"/>
        </w:rPr>
        <w:t xml:space="preserve"> institutional quality (INST)</w:t>
      </w:r>
      <w:r w:rsidR="00622D12">
        <w:rPr>
          <w:rFonts w:eastAsia="Times New Roman"/>
        </w:rPr>
        <w:t>;</w:t>
      </w:r>
      <w:r w:rsidRPr="00266C82">
        <w:rPr>
          <w:rFonts w:eastAsia="Times New Roman"/>
        </w:rPr>
        <w:t xml:space="preserve"> </w:t>
      </w:r>
      <w:r w:rsidRPr="00266C82">
        <w:rPr>
          <w:rFonts w:eastAsia="Times New Roman"/>
          <w:color w:val="000000"/>
        </w:rPr>
        <w:t>technological readiness (TECHREAD)</w:t>
      </w:r>
      <w:r w:rsidR="00622D12">
        <w:rPr>
          <w:rFonts w:eastAsia="Times New Roman"/>
          <w:color w:val="000000"/>
        </w:rPr>
        <w:t>;</w:t>
      </w:r>
      <w:r w:rsidRPr="00266C82">
        <w:rPr>
          <w:rFonts w:eastAsia="Times New Roman"/>
          <w:color w:val="000000"/>
        </w:rPr>
        <w:t xml:space="preserve"> business sophistication (BUSSOPH)</w:t>
      </w:r>
      <w:r w:rsidR="00622D12">
        <w:rPr>
          <w:rFonts w:eastAsia="Times New Roman"/>
          <w:color w:val="000000"/>
        </w:rPr>
        <w:t>;</w:t>
      </w:r>
      <w:r w:rsidRPr="00266C82">
        <w:rPr>
          <w:rFonts w:eastAsia="Times New Roman"/>
        </w:rPr>
        <w:t xml:space="preserve"> and innovation (INN) have a highly significant impact (Table 3). Consistent with previous studies (</w:t>
      </w:r>
      <w:r w:rsidRPr="00266C82">
        <w:t xml:space="preserve">Crescenzi and Giua, 2016; Crescenzi and Rodríguez-Pose, 2011; Petrakos et al., 2005, 2011), </w:t>
      </w:r>
      <w:r w:rsidRPr="00266C82">
        <w:rPr>
          <w:rFonts w:eastAsia="Times New Roman"/>
        </w:rPr>
        <w:t>our findings confirm the importance of structural</w:t>
      </w:r>
      <w:r w:rsidRPr="00266C82">
        <w:t xml:space="preserve"> socio-economic conditions</w:t>
      </w:r>
      <w:r w:rsidR="00622D12">
        <w:t>,</w:t>
      </w:r>
      <w:r w:rsidRPr="00266C82">
        <w:t xml:space="preserve"> such as </w:t>
      </w:r>
      <w:r w:rsidRPr="00266C82">
        <w:rPr>
          <w:rFonts w:eastAsia="Times New Roman"/>
          <w:lang w:eastAsia="en-GB"/>
        </w:rPr>
        <w:t>market forces, policy factors</w:t>
      </w:r>
      <w:r w:rsidR="008A4ED1">
        <w:rPr>
          <w:rFonts w:eastAsia="Times New Roman"/>
          <w:lang w:eastAsia="en-GB"/>
        </w:rPr>
        <w:t>,</w:t>
      </w:r>
      <w:r w:rsidRPr="00266C82">
        <w:rPr>
          <w:rFonts w:eastAsia="Times New Roman"/>
          <w:lang w:eastAsia="en-GB"/>
        </w:rPr>
        <w:t xml:space="preserve"> </w:t>
      </w:r>
      <w:r w:rsidRPr="00266C82">
        <w:t>and infrastructural endowment for regional</w:t>
      </w:r>
      <w:r w:rsidRPr="00266C82">
        <w:rPr>
          <w:rFonts w:eastAsia="Times New Roman"/>
          <w:lang w:eastAsia="en-GB"/>
        </w:rPr>
        <w:t xml:space="preserve"> economic convergence. </w:t>
      </w:r>
      <w:r w:rsidRPr="00266C82">
        <w:rPr>
          <w:rFonts w:eastAsia="Times New Roman"/>
        </w:rPr>
        <w:t xml:space="preserve">In particular, </w:t>
      </w:r>
      <w:r w:rsidRPr="00266C82">
        <w:rPr>
          <w:rFonts w:eastAsia="Times New Roman"/>
          <w:lang w:eastAsia="en-GB"/>
        </w:rPr>
        <w:t>we find that the quality of transport, electricity and telephony infrastructure (INFRA)</w:t>
      </w:r>
      <w:r w:rsidR="00622D12">
        <w:rPr>
          <w:rFonts w:eastAsia="Times New Roman"/>
          <w:lang w:eastAsia="en-GB"/>
        </w:rPr>
        <w:t>,</w:t>
      </w:r>
      <w:r w:rsidRPr="00266C82">
        <w:rPr>
          <w:rStyle w:val="EndnoteReference"/>
          <w:rFonts w:eastAsia="Times New Roman"/>
        </w:rPr>
        <w:t xml:space="preserve"> </w:t>
      </w:r>
      <w:r w:rsidRPr="00266C82">
        <w:rPr>
          <w:rStyle w:val="EndnoteReference"/>
          <w:rFonts w:eastAsia="Times New Roman"/>
        </w:rPr>
        <w:endnoteReference w:id="9"/>
      </w:r>
      <w:r w:rsidRPr="00266C82">
        <w:rPr>
          <w:rFonts w:eastAsia="Times New Roman"/>
          <w:lang w:eastAsia="en-GB"/>
        </w:rPr>
        <w:t xml:space="preserve"> high level</w:t>
      </w:r>
      <w:r w:rsidR="00622D12">
        <w:rPr>
          <w:rFonts w:eastAsia="Times New Roman"/>
          <w:lang w:eastAsia="en-GB"/>
        </w:rPr>
        <w:t>s</w:t>
      </w:r>
      <w:r w:rsidRPr="00266C82">
        <w:rPr>
          <w:rFonts w:eastAsia="Times New Roman"/>
          <w:lang w:eastAsia="en-GB"/>
        </w:rPr>
        <w:t xml:space="preserve"> of efficiency of the institutions (</w:t>
      </w:r>
      <w:r w:rsidRPr="00266C82">
        <w:rPr>
          <w:rFonts w:eastAsia="Times New Roman"/>
          <w:color w:val="000000"/>
        </w:rPr>
        <w:t>INST)</w:t>
      </w:r>
      <w:r w:rsidRPr="00266C82">
        <w:rPr>
          <w:rFonts w:eastAsia="Times New Roman"/>
          <w:lang w:eastAsia="en-GB"/>
        </w:rPr>
        <w:t xml:space="preserve"> (in terms of adequate property rights, low undue influence, government efficiency</w:t>
      </w:r>
      <w:r w:rsidR="00622D12">
        <w:rPr>
          <w:rFonts w:eastAsia="Times New Roman"/>
          <w:lang w:eastAsia="en-GB"/>
        </w:rPr>
        <w:t xml:space="preserve"> and</w:t>
      </w:r>
      <w:r w:rsidRPr="00266C82">
        <w:rPr>
          <w:rFonts w:eastAsia="Times New Roman"/>
          <w:lang w:eastAsia="en-GB"/>
        </w:rPr>
        <w:t xml:space="preserve"> security), ITC use, technological adoption (TECH READ), and </w:t>
      </w:r>
      <w:r w:rsidRPr="00266C82">
        <w:rPr>
          <w:rFonts w:eastAsia="Times New Roman"/>
          <w:color w:val="000000"/>
        </w:rPr>
        <w:t xml:space="preserve">business sophistication (BUSSOPH) </w:t>
      </w:r>
      <w:r w:rsidRPr="00266C82">
        <w:rPr>
          <w:rFonts w:eastAsia="Times New Roman"/>
          <w:lang w:eastAsia="en-GB"/>
        </w:rPr>
        <w:t>reduce regional disparities within a country. In contrast, market size and efficiency, health and primary education, and capacity of innovation appear to enlarge the interregional gaps within a country (WGGDPPC). In line with Crescenzi (2005)’s argument, freely available technological knowledge (such as TECHREAD) can favour converge</w:t>
      </w:r>
      <w:r w:rsidR="002D4F51">
        <w:rPr>
          <w:rFonts w:eastAsia="Times New Roman"/>
          <w:lang w:eastAsia="en-GB"/>
        </w:rPr>
        <w:t>nce</w:t>
      </w:r>
      <w:r w:rsidRPr="00266C82">
        <w:rPr>
          <w:rFonts w:eastAsia="Times New Roman"/>
          <w:lang w:eastAsia="en-GB"/>
        </w:rPr>
        <w:t xml:space="preserve"> among regions, while innovative activities acquired through education, R&amp;D investment and other innovation activities (such as INN) can lead to regional disparities</w:t>
      </w:r>
      <w:r w:rsidR="002D4F51">
        <w:rPr>
          <w:rFonts w:eastAsia="Times New Roman"/>
          <w:lang w:eastAsia="en-GB"/>
        </w:rPr>
        <w:t>,</w:t>
      </w:r>
      <w:r w:rsidRPr="00266C82">
        <w:rPr>
          <w:rFonts w:eastAsia="Times New Roman"/>
          <w:lang w:eastAsia="en-GB"/>
        </w:rPr>
        <w:t xml:space="preserve"> due to the accumulation of knowledge in wealthier regions. This can therefore explain the contrasting trend between TECH READ and INN. </w:t>
      </w:r>
    </w:p>
    <w:p w14:paraId="46EBB630" w14:textId="390E12D4" w:rsidR="00B23DBB" w:rsidRDefault="00F679C4" w:rsidP="00457347">
      <w:pPr>
        <w:spacing w:after="240" w:line="360" w:lineRule="auto"/>
        <w:ind w:firstLine="357"/>
        <w:jc w:val="both"/>
        <w:rPr>
          <w:rFonts w:eastAsia="Times New Roman"/>
          <w:lang w:eastAsia="en-GB"/>
        </w:rPr>
      </w:pPr>
      <w:r w:rsidRPr="00266C82">
        <w:rPr>
          <w:rFonts w:eastAsia="Times New Roman"/>
          <w:lang w:eastAsia="en-GB"/>
        </w:rPr>
        <w:t xml:space="preserve">Furthermore, as suggested by </w:t>
      </w:r>
      <w:r w:rsidRPr="00266C82">
        <w:rPr>
          <w:lang w:val="es-ES"/>
        </w:rPr>
        <w:t>Rodríguez</w:t>
      </w:r>
      <w:r w:rsidRPr="00266C82">
        <w:rPr>
          <w:lang w:val="es-ES" w:eastAsia="zh-CN"/>
        </w:rPr>
        <w:t xml:space="preserve">-Pose and Fratesi </w:t>
      </w:r>
      <w:r w:rsidRPr="00266C82">
        <w:rPr>
          <w:rFonts w:eastAsia="Times New Roman"/>
          <w:lang w:eastAsia="en-GB"/>
        </w:rPr>
        <w:t xml:space="preserve">(2004), an increase in market access and the opening of borders could help wealthier regions to compete in integrated markets as they are able to attract more innovative firms and high-skilled labour. In contrast, poorer regions within a country cannot usually rely on the same entrepreneurial activities as wealthier regions. They depend more on public employment, </w:t>
      </w:r>
      <w:r w:rsidR="00CB16EF">
        <w:rPr>
          <w:rFonts w:eastAsia="Times New Roman"/>
          <w:lang w:eastAsia="en-GB"/>
        </w:rPr>
        <w:t>S</w:t>
      </w:r>
      <w:r w:rsidRPr="00266C82">
        <w:rPr>
          <w:rFonts w:eastAsia="Times New Roman"/>
          <w:lang w:eastAsia="en-GB"/>
        </w:rPr>
        <w:t xml:space="preserve">tate and European support and are therefore less capable of competing in more integrated markets. An open market, MARKEFFG and MARKSIZ, can thus contribute to the catch-up process of regions where financial centres are located on an international basis, but at the same time can harm the economic converge process within a country. </w:t>
      </w:r>
    </w:p>
    <w:p w14:paraId="12121318" w14:textId="77777777" w:rsidR="00C50AFB" w:rsidRPr="00266C82" w:rsidRDefault="00C50AFB" w:rsidP="00457347">
      <w:pPr>
        <w:pStyle w:val="ListParagraph"/>
        <w:numPr>
          <w:ilvl w:val="0"/>
          <w:numId w:val="14"/>
        </w:numPr>
        <w:spacing w:before="120" w:after="120" w:line="480" w:lineRule="auto"/>
        <w:ind w:left="357" w:hanging="357"/>
        <w:jc w:val="both"/>
        <w:rPr>
          <w:b/>
          <w:bCs/>
          <w:lang w:eastAsia="zh-TW"/>
        </w:rPr>
      </w:pPr>
      <w:r w:rsidRPr="00266C82">
        <w:rPr>
          <w:b/>
          <w:bCs/>
          <w:lang w:eastAsia="zh-TW"/>
        </w:rPr>
        <w:t>Concluding Remarks</w:t>
      </w:r>
    </w:p>
    <w:p w14:paraId="6F0B3BCC" w14:textId="6962CF3D" w:rsidR="002878BC" w:rsidRDefault="00E7349F" w:rsidP="00C35B6E">
      <w:pPr>
        <w:pStyle w:val="PlainText"/>
        <w:spacing w:line="360" w:lineRule="auto"/>
        <w:ind w:firstLine="567"/>
        <w:jc w:val="both"/>
        <w:rPr>
          <w:rFonts w:ascii="Times New Roman" w:hAnsi="Times New Roman"/>
          <w:sz w:val="24"/>
          <w:szCs w:val="24"/>
          <w:lang w:eastAsia="en-GB"/>
        </w:rPr>
      </w:pPr>
      <w:r>
        <w:rPr>
          <w:rFonts w:ascii="Times New Roman" w:hAnsi="Times New Roman"/>
          <w:sz w:val="24"/>
          <w:szCs w:val="24"/>
          <w:lang w:eastAsia="en-GB"/>
        </w:rPr>
        <w:t>T</w:t>
      </w:r>
      <w:r w:rsidR="00713975" w:rsidRPr="00713975">
        <w:rPr>
          <w:rFonts w:ascii="Times New Roman" w:hAnsi="Times New Roman"/>
          <w:sz w:val="24"/>
          <w:szCs w:val="24"/>
          <w:lang w:eastAsia="en-GB"/>
        </w:rPr>
        <w:t xml:space="preserve">his paper </w:t>
      </w:r>
      <w:r w:rsidR="00864518">
        <w:rPr>
          <w:rFonts w:ascii="Times New Roman" w:hAnsi="Times New Roman"/>
          <w:sz w:val="24"/>
          <w:szCs w:val="24"/>
          <w:lang w:eastAsia="en-GB"/>
        </w:rPr>
        <w:t>provide</w:t>
      </w:r>
      <w:r>
        <w:rPr>
          <w:rFonts w:ascii="Times New Roman" w:hAnsi="Times New Roman"/>
          <w:sz w:val="24"/>
          <w:szCs w:val="24"/>
          <w:lang w:eastAsia="en-GB"/>
        </w:rPr>
        <w:t>s</w:t>
      </w:r>
      <w:r w:rsidR="00667C98">
        <w:rPr>
          <w:rFonts w:ascii="Times New Roman" w:hAnsi="Times New Roman"/>
          <w:sz w:val="24"/>
          <w:szCs w:val="24"/>
          <w:lang w:eastAsia="en-GB"/>
        </w:rPr>
        <w:t xml:space="preserve"> further</w:t>
      </w:r>
      <w:r w:rsidR="00713975" w:rsidRPr="00713975">
        <w:rPr>
          <w:rFonts w:ascii="Times New Roman" w:hAnsi="Times New Roman"/>
          <w:sz w:val="24"/>
          <w:szCs w:val="24"/>
          <w:lang w:eastAsia="en-GB"/>
        </w:rPr>
        <w:t xml:space="preserve"> </w:t>
      </w:r>
      <w:r w:rsidR="00864518">
        <w:rPr>
          <w:rFonts w:ascii="Times New Roman" w:hAnsi="Times New Roman"/>
          <w:sz w:val="24"/>
          <w:szCs w:val="24"/>
          <w:lang w:eastAsia="en-GB"/>
        </w:rPr>
        <w:t>insight</w:t>
      </w:r>
      <w:r w:rsidR="00713975" w:rsidRPr="00713975">
        <w:rPr>
          <w:rFonts w:ascii="Times New Roman" w:hAnsi="Times New Roman"/>
          <w:sz w:val="24"/>
          <w:szCs w:val="24"/>
          <w:lang w:eastAsia="en-GB"/>
        </w:rPr>
        <w:t xml:space="preserve"> on</w:t>
      </w:r>
      <w:r w:rsidR="006810CC">
        <w:rPr>
          <w:rFonts w:ascii="Times New Roman" w:hAnsi="Times New Roman"/>
          <w:sz w:val="24"/>
          <w:szCs w:val="24"/>
          <w:lang w:eastAsia="en-GB"/>
        </w:rPr>
        <w:t xml:space="preserve"> the role of financial centres i</w:t>
      </w:r>
      <w:r w:rsidR="00713975" w:rsidRPr="00713975">
        <w:rPr>
          <w:rFonts w:ascii="Times New Roman" w:hAnsi="Times New Roman"/>
          <w:sz w:val="24"/>
          <w:szCs w:val="24"/>
          <w:lang w:eastAsia="en-GB"/>
        </w:rPr>
        <w:t xml:space="preserve">n the creation of the opposite convergence dynamics that </w:t>
      </w:r>
      <w:r w:rsidR="00864518" w:rsidRPr="003D3F04">
        <w:rPr>
          <w:rFonts w:ascii="Times New Roman" w:hAnsi="Times New Roman"/>
          <w:sz w:val="24"/>
          <w:szCs w:val="24"/>
          <w:lang w:eastAsia="en-GB"/>
        </w:rPr>
        <w:t>appear to prevail for national and regional economies in Europe</w:t>
      </w:r>
      <w:r w:rsidR="00E51992">
        <w:rPr>
          <w:rFonts w:ascii="Times New Roman" w:hAnsi="Times New Roman"/>
          <w:sz w:val="24"/>
          <w:szCs w:val="24"/>
          <w:lang w:eastAsia="en-GB"/>
        </w:rPr>
        <w:t>.</w:t>
      </w:r>
      <w:r w:rsidR="00B64F7F">
        <w:rPr>
          <w:rFonts w:ascii="Times New Roman" w:hAnsi="Times New Roman"/>
          <w:sz w:val="24"/>
          <w:szCs w:val="24"/>
          <w:lang w:eastAsia="en-GB"/>
        </w:rPr>
        <w:t xml:space="preserve"> </w:t>
      </w:r>
      <w:r w:rsidR="00E51992">
        <w:rPr>
          <w:rFonts w:ascii="Times New Roman" w:hAnsi="Times New Roman"/>
          <w:sz w:val="24"/>
          <w:szCs w:val="24"/>
          <w:lang w:eastAsia="en-GB"/>
        </w:rPr>
        <w:t xml:space="preserve">In particular, we examine </w:t>
      </w:r>
      <w:r w:rsidR="006D5719">
        <w:rPr>
          <w:rFonts w:ascii="Times New Roman" w:hAnsi="Times New Roman"/>
          <w:sz w:val="24"/>
          <w:szCs w:val="24"/>
          <w:lang w:eastAsia="en-GB"/>
        </w:rPr>
        <w:t>this issue</w:t>
      </w:r>
      <w:r w:rsidR="00E51992">
        <w:rPr>
          <w:rFonts w:ascii="Times New Roman" w:hAnsi="Times New Roman"/>
          <w:sz w:val="24"/>
          <w:szCs w:val="24"/>
          <w:lang w:eastAsia="en-GB"/>
        </w:rPr>
        <w:t xml:space="preserve"> </w:t>
      </w:r>
      <w:r w:rsidR="00E51992" w:rsidRPr="00713975">
        <w:rPr>
          <w:rFonts w:ascii="Times New Roman" w:hAnsi="Times New Roman"/>
          <w:sz w:val="24"/>
          <w:szCs w:val="24"/>
          <w:lang w:eastAsia="en-GB"/>
        </w:rPr>
        <w:t xml:space="preserve">from </w:t>
      </w:r>
      <w:r w:rsidR="00E51992">
        <w:rPr>
          <w:rFonts w:ascii="Times New Roman" w:hAnsi="Times New Roman"/>
          <w:sz w:val="24"/>
          <w:szCs w:val="24"/>
          <w:lang w:eastAsia="en-GB"/>
        </w:rPr>
        <w:t xml:space="preserve">two </w:t>
      </w:r>
      <w:r w:rsidR="00E51992" w:rsidRPr="00713975">
        <w:rPr>
          <w:rFonts w:ascii="Times New Roman" w:hAnsi="Times New Roman"/>
          <w:sz w:val="24"/>
          <w:szCs w:val="24"/>
          <w:lang w:eastAsia="en-GB"/>
        </w:rPr>
        <w:t xml:space="preserve">different perspectives. </w:t>
      </w:r>
      <w:r w:rsidR="002A48DC">
        <w:rPr>
          <w:rFonts w:ascii="Times New Roman" w:hAnsi="Times New Roman"/>
          <w:sz w:val="24"/>
          <w:szCs w:val="24"/>
          <w:lang w:eastAsia="en-GB"/>
        </w:rPr>
        <w:t>First</w:t>
      </w:r>
      <w:r w:rsidR="00713975" w:rsidRPr="00713975">
        <w:rPr>
          <w:rFonts w:ascii="Times New Roman" w:hAnsi="Times New Roman"/>
          <w:sz w:val="24"/>
          <w:szCs w:val="24"/>
          <w:lang w:eastAsia="en-GB"/>
        </w:rPr>
        <w:t xml:space="preserve">, we </w:t>
      </w:r>
      <w:r w:rsidR="00662012">
        <w:rPr>
          <w:rFonts w:ascii="Times New Roman" w:hAnsi="Times New Roman"/>
          <w:sz w:val="24"/>
          <w:szCs w:val="24"/>
          <w:lang w:eastAsia="en-GB"/>
        </w:rPr>
        <w:t xml:space="preserve">analyse </w:t>
      </w:r>
      <w:r w:rsidR="00713975" w:rsidRPr="00713975">
        <w:rPr>
          <w:rFonts w:ascii="Times New Roman" w:hAnsi="Times New Roman"/>
          <w:sz w:val="24"/>
          <w:szCs w:val="24"/>
          <w:lang w:eastAsia="en-GB"/>
        </w:rPr>
        <w:t xml:space="preserve">the </w:t>
      </w:r>
      <w:r w:rsidR="000C7EBD">
        <w:rPr>
          <w:rFonts w:ascii="Times New Roman" w:hAnsi="Times New Roman"/>
          <w:sz w:val="24"/>
          <w:szCs w:val="24"/>
          <w:lang w:eastAsia="en-GB"/>
        </w:rPr>
        <w:t xml:space="preserve">economic </w:t>
      </w:r>
      <w:r w:rsidR="00713975" w:rsidRPr="00713975">
        <w:rPr>
          <w:rFonts w:ascii="Times New Roman" w:hAnsi="Times New Roman"/>
          <w:sz w:val="24"/>
          <w:szCs w:val="24"/>
          <w:lang w:eastAsia="en-GB"/>
        </w:rPr>
        <w:t xml:space="preserve">converging process </w:t>
      </w:r>
      <w:r w:rsidR="002A48DC">
        <w:rPr>
          <w:rFonts w:ascii="Times New Roman" w:hAnsi="Times New Roman"/>
          <w:sz w:val="24"/>
          <w:szCs w:val="24"/>
          <w:lang w:eastAsia="en-GB"/>
        </w:rPr>
        <w:t xml:space="preserve">between </w:t>
      </w:r>
      <w:r w:rsidR="006D5719">
        <w:rPr>
          <w:rFonts w:ascii="Times New Roman" w:hAnsi="Times New Roman"/>
          <w:sz w:val="24"/>
          <w:szCs w:val="24"/>
          <w:lang w:eastAsia="en-GB"/>
        </w:rPr>
        <w:t xml:space="preserve">the </w:t>
      </w:r>
      <w:r w:rsidR="000C7EBD">
        <w:rPr>
          <w:rFonts w:ascii="Times New Roman" w:hAnsi="Times New Roman"/>
          <w:sz w:val="24"/>
          <w:szCs w:val="24"/>
          <w:lang w:eastAsia="en-GB"/>
        </w:rPr>
        <w:t>regions</w:t>
      </w:r>
      <w:r w:rsidR="006D5719">
        <w:rPr>
          <w:rFonts w:ascii="Times New Roman" w:hAnsi="Times New Roman"/>
          <w:sz w:val="24"/>
          <w:szCs w:val="24"/>
          <w:lang w:eastAsia="en-GB"/>
        </w:rPr>
        <w:t xml:space="preserve"> of financial centres</w:t>
      </w:r>
      <w:r w:rsidR="000C7EBD">
        <w:rPr>
          <w:rFonts w:ascii="Times New Roman" w:hAnsi="Times New Roman"/>
          <w:sz w:val="24"/>
          <w:szCs w:val="24"/>
          <w:lang w:eastAsia="en-GB"/>
        </w:rPr>
        <w:t xml:space="preserve"> at the</w:t>
      </w:r>
      <w:r w:rsidR="00E51992">
        <w:rPr>
          <w:rFonts w:ascii="Times New Roman" w:hAnsi="Times New Roman"/>
          <w:sz w:val="24"/>
          <w:szCs w:val="24"/>
          <w:lang w:eastAsia="en-GB"/>
        </w:rPr>
        <w:t xml:space="preserve"> cross-country level. Second</w:t>
      </w:r>
      <w:r w:rsidR="00662012">
        <w:rPr>
          <w:rFonts w:ascii="Times New Roman" w:hAnsi="Times New Roman"/>
          <w:sz w:val="24"/>
          <w:szCs w:val="24"/>
          <w:lang w:eastAsia="en-GB"/>
        </w:rPr>
        <w:t xml:space="preserve">, we </w:t>
      </w:r>
      <w:r w:rsidR="002A48DC">
        <w:rPr>
          <w:rFonts w:ascii="Times New Roman" w:hAnsi="Times New Roman"/>
          <w:sz w:val="24"/>
          <w:szCs w:val="24"/>
          <w:lang w:eastAsia="en-GB"/>
        </w:rPr>
        <w:t xml:space="preserve">investigate </w:t>
      </w:r>
      <w:r w:rsidR="00713975" w:rsidRPr="00713975">
        <w:rPr>
          <w:rFonts w:ascii="Times New Roman" w:hAnsi="Times New Roman"/>
          <w:sz w:val="24"/>
          <w:szCs w:val="24"/>
          <w:lang w:eastAsia="en-GB"/>
        </w:rPr>
        <w:t xml:space="preserve">the converging process among the regions </w:t>
      </w:r>
      <w:r w:rsidR="0087400C">
        <w:rPr>
          <w:rFonts w:ascii="Times New Roman" w:hAnsi="Times New Roman"/>
          <w:sz w:val="24"/>
          <w:szCs w:val="24"/>
          <w:lang w:eastAsia="en-GB"/>
        </w:rPr>
        <w:t>of</w:t>
      </w:r>
      <w:r w:rsidR="00713975" w:rsidRPr="00713975">
        <w:rPr>
          <w:rFonts w:ascii="Times New Roman" w:hAnsi="Times New Roman"/>
          <w:sz w:val="24"/>
          <w:szCs w:val="24"/>
          <w:lang w:eastAsia="en-GB"/>
        </w:rPr>
        <w:t xml:space="preserve"> financial centres </w:t>
      </w:r>
      <w:r w:rsidR="003D3F04">
        <w:rPr>
          <w:rFonts w:ascii="Times New Roman" w:hAnsi="Times New Roman"/>
          <w:sz w:val="24"/>
          <w:szCs w:val="24"/>
          <w:lang w:eastAsia="en-GB"/>
        </w:rPr>
        <w:t>and the other regions in the same country</w:t>
      </w:r>
      <w:r w:rsidR="00662012">
        <w:rPr>
          <w:rFonts w:ascii="Times New Roman" w:hAnsi="Times New Roman"/>
          <w:sz w:val="24"/>
          <w:szCs w:val="24"/>
          <w:lang w:eastAsia="en-GB"/>
        </w:rPr>
        <w:t xml:space="preserve">. </w:t>
      </w:r>
      <w:r w:rsidR="000C7EBD">
        <w:rPr>
          <w:rFonts w:ascii="Times New Roman" w:hAnsi="Times New Roman"/>
          <w:sz w:val="24"/>
          <w:szCs w:val="24"/>
          <w:lang w:eastAsia="en-GB"/>
        </w:rPr>
        <w:t xml:space="preserve">From a methodological viewpoint, </w:t>
      </w:r>
      <w:r w:rsidR="009058ED" w:rsidRPr="009058ED">
        <w:rPr>
          <w:rFonts w:ascii="Times New Roman" w:hAnsi="Times New Roman"/>
          <w:sz w:val="24"/>
          <w:szCs w:val="24"/>
          <w:lang w:eastAsia="en-GB"/>
        </w:rPr>
        <w:t xml:space="preserve">we extend the club convergence model proposed by </w:t>
      </w:r>
      <w:r w:rsidR="005E3518" w:rsidRPr="00713975">
        <w:rPr>
          <w:rFonts w:ascii="Times New Roman" w:hAnsi="Times New Roman"/>
          <w:sz w:val="24"/>
          <w:szCs w:val="24"/>
          <w:lang w:eastAsia="en-GB"/>
        </w:rPr>
        <w:t xml:space="preserve">Chatterji (1992) </w:t>
      </w:r>
      <w:r w:rsidR="005E3518">
        <w:rPr>
          <w:rFonts w:ascii="Times New Roman" w:hAnsi="Times New Roman"/>
          <w:sz w:val="24"/>
          <w:szCs w:val="24"/>
          <w:lang w:eastAsia="en-GB"/>
        </w:rPr>
        <w:t xml:space="preserve">and </w:t>
      </w:r>
      <w:r w:rsidR="009058ED" w:rsidRPr="009058ED">
        <w:rPr>
          <w:rFonts w:ascii="Times New Roman" w:hAnsi="Times New Roman"/>
          <w:sz w:val="24"/>
          <w:szCs w:val="24"/>
          <w:lang w:eastAsia="en-GB"/>
        </w:rPr>
        <w:t>Chatterji and Dewhurst (1996) by applying for the first time a local linear non-parametric technique (Li and Racine 2004, 2007).</w:t>
      </w:r>
    </w:p>
    <w:p w14:paraId="5B1F45C7" w14:textId="03A75F8A" w:rsidR="008F541E" w:rsidRDefault="00B64F7F" w:rsidP="00F0117A">
      <w:pPr>
        <w:pStyle w:val="PlainText"/>
        <w:spacing w:line="360" w:lineRule="auto"/>
        <w:ind w:firstLine="720"/>
        <w:jc w:val="both"/>
        <w:rPr>
          <w:rFonts w:ascii="Times New Roman" w:hAnsi="Times New Roman"/>
          <w:sz w:val="24"/>
          <w:szCs w:val="24"/>
          <w:lang w:eastAsia="en-GB"/>
        </w:rPr>
      </w:pPr>
      <w:r w:rsidRPr="001D1F74">
        <w:rPr>
          <w:rFonts w:ascii="Times New Roman" w:hAnsi="Times New Roman"/>
          <w:sz w:val="24"/>
          <w:szCs w:val="24"/>
          <w:lang w:eastAsia="zh-CN"/>
        </w:rPr>
        <w:t xml:space="preserve">Our </w:t>
      </w:r>
      <w:r>
        <w:rPr>
          <w:rFonts w:ascii="Times New Roman" w:hAnsi="Times New Roman"/>
          <w:sz w:val="24"/>
          <w:szCs w:val="24"/>
          <w:lang w:eastAsia="zh-CN"/>
        </w:rPr>
        <w:t>results</w:t>
      </w:r>
      <w:r w:rsidRPr="001D1F74">
        <w:rPr>
          <w:rFonts w:ascii="Times New Roman" w:hAnsi="Times New Roman"/>
          <w:sz w:val="24"/>
          <w:szCs w:val="24"/>
          <w:lang w:eastAsia="zh-CN"/>
        </w:rPr>
        <w:t xml:space="preserve"> </w:t>
      </w:r>
      <w:r>
        <w:rPr>
          <w:rFonts w:ascii="Times New Roman" w:hAnsi="Times New Roman"/>
          <w:sz w:val="24"/>
          <w:szCs w:val="24"/>
          <w:lang w:eastAsia="zh-CN"/>
        </w:rPr>
        <w:t>show</w:t>
      </w:r>
      <w:r w:rsidRPr="001D1F74">
        <w:rPr>
          <w:rFonts w:ascii="Times New Roman" w:hAnsi="Times New Roman"/>
          <w:sz w:val="24"/>
          <w:szCs w:val="24"/>
          <w:lang w:eastAsia="zh-CN"/>
        </w:rPr>
        <w:t xml:space="preserve"> that</w:t>
      </w:r>
      <w:r>
        <w:rPr>
          <w:rFonts w:ascii="Times New Roman" w:hAnsi="Times New Roman"/>
          <w:sz w:val="24"/>
          <w:szCs w:val="24"/>
          <w:lang w:eastAsia="zh-CN"/>
        </w:rPr>
        <w:t xml:space="preserve"> </w:t>
      </w:r>
      <w:r w:rsidRPr="001D1F74">
        <w:rPr>
          <w:rFonts w:ascii="Times New Roman" w:hAnsi="Times New Roman"/>
          <w:sz w:val="24"/>
          <w:szCs w:val="24"/>
          <w:lang w:eastAsia="zh-CN"/>
        </w:rPr>
        <w:t>the convergence of financial centres’ competitiveness reduce</w:t>
      </w:r>
      <w:r w:rsidR="00775B22">
        <w:rPr>
          <w:rFonts w:ascii="Times New Roman" w:hAnsi="Times New Roman"/>
          <w:sz w:val="24"/>
          <w:szCs w:val="24"/>
          <w:lang w:eastAsia="zh-CN"/>
        </w:rPr>
        <w:t>s</w:t>
      </w:r>
      <w:r w:rsidRPr="001D1F74">
        <w:rPr>
          <w:rFonts w:ascii="Times New Roman" w:hAnsi="Times New Roman"/>
          <w:sz w:val="24"/>
          <w:szCs w:val="24"/>
          <w:lang w:eastAsia="zh-CN"/>
        </w:rPr>
        <w:t xml:space="preserve"> the economic inequalities of the regions </w:t>
      </w:r>
      <w:r w:rsidR="00546A74">
        <w:rPr>
          <w:rFonts w:ascii="Times New Roman" w:hAnsi="Times New Roman"/>
          <w:sz w:val="24"/>
          <w:szCs w:val="24"/>
          <w:lang w:eastAsia="zh-CN"/>
        </w:rPr>
        <w:t>where they are located</w:t>
      </w:r>
      <w:r w:rsidRPr="001D1F74">
        <w:rPr>
          <w:rFonts w:ascii="Times New Roman" w:hAnsi="Times New Roman"/>
          <w:sz w:val="24"/>
          <w:szCs w:val="24"/>
          <w:lang w:eastAsia="zh-CN"/>
        </w:rPr>
        <w:t xml:space="preserve">. </w:t>
      </w:r>
      <w:r w:rsidR="001D1F74" w:rsidRPr="001D1F74">
        <w:rPr>
          <w:rFonts w:ascii="Times New Roman" w:hAnsi="Times New Roman"/>
          <w:sz w:val="24"/>
          <w:szCs w:val="24"/>
          <w:lang w:eastAsia="en-GB"/>
        </w:rPr>
        <w:t>As a counter effect</w:t>
      </w:r>
      <w:r w:rsidR="00B1725B" w:rsidRPr="00F166C6">
        <w:rPr>
          <w:rFonts w:ascii="Times New Roman" w:hAnsi="Times New Roman"/>
          <w:sz w:val="24"/>
          <w:szCs w:val="24"/>
          <w:lang w:eastAsia="en-GB"/>
        </w:rPr>
        <w:t>,</w:t>
      </w:r>
      <w:r w:rsidR="00713975" w:rsidRPr="00F166C6">
        <w:rPr>
          <w:rFonts w:ascii="Times New Roman" w:hAnsi="Times New Roman"/>
          <w:sz w:val="24"/>
          <w:szCs w:val="24"/>
          <w:lang w:eastAsia="en-GB"/>
        </w:rPr>
        <w:t xml:space="preserve"> </w:t>
      </w:r>
      <w:r w:rsidR="002878BC" w:rsidRPr="00F166C6">
        <w:rPr>
          <w:rFonts w:ascii="Times New Roman" w:hAnsi="Times New Roman"/>
          <w:sz w:val="24"/>
          <w:szCs w:val="24"/>
          <w:lang w:eastAsia="en-GB"/>
        </w:rPr>
        <w:t xml:space="preserve">we </w:t>
      </w:r>
      <w:r w:rsidR="00B1725B" w:rsidRPr="00F166C6">
        <w:rPr>
          <w:rFonts w:ascii="Times New Roman" w:hAnsi="Times New Roman"/>
          <w:sz w:val="24"/>
          <w:szCs w:val="24"/>
          <w:lang w:eastAsia="en-GB"/>
        </w:rPr>
        <w:t>find</w:t>
      </w:r>
      <w:r w:rsidR="002878BC" w:rsidRPr="0055257A">
        <w:rPr>
          <w:rFonts w:ascii="Times New Roman" w:hAnsi="Times New Roman"/>
          <w:sz w:val="24"/>
          <w:szCs w:val="24"/>
          <w:lang w:eastAsia="en-GB"/>
        </w:rPr>
        <w:t xml:space="preserve"> that </w:t>
      </w:r>
      <w:r w:rsidR="00713975" w:rsidRPr="002F0B0D">
        <w:rPr>
          <w:rFonts w:ascii="Times New Roman" w:hAnsi="Times New Roman"/>
          <w:sz w:val="24"/>
          <w:szCs w:val="24"/>
          <w:lang w:eastAsia="en-GB"/>
        </w:rPr>
        <w:t xml:space="preserve">the reduction of the gaps of financial centres’ competitiveness sharpens the inequalities between the regions </w:t>
      </w:r>
      <w:r w:rsidR="00134298">
        <w:rPr>
          <w:rFonts w:ascii="Times New Roman" w:hAnsi="Times New Roman"/>
          <w:sz w:val="24"/>
          <w:szCs w:val="24"/>
          <w:lang w:eastAsia="en-GB"/>
        </w:rPr>
        <w:t>of</w:t>
      </w:r>
      <w:r w:rsidR="00713975" w:rsidRPr="00B4726E">
        <w:rPr>
          <w:rFonts w:ascii="Times New Roman" w:hAnsi="Times New Roman"/>
          <w:sz w:val="24"/>
          <w:szCs w:val="24"/>
          <w:lang w:eastAsia="en-GB"/>
        </w:rPr>
        <w:t xml:space="preserve"> financial centres and other regions within the same country. </w:t>
      </w:r>
      <w:r w:rsidR="0060081E">
        <w:rPr>
          <w:rFonts w:ascii="Times New Roman" w:hAnsi="Times New Roman"/>
          <w:sz w:val="24"/>
          <w:szCs w:val="24"/>
          <w:lang w:eastAsia="en-GB"/>
        </w:rPr>
        <w:t>This result</w:t>
      </w:r>
      <w:r w:rsidR="001665C7" w:rsidRPr="00F166C6">
        <w:rPr>
          <w:rFonts w:ascii="Times New Roman" w:hAnsi="Times New Roman"/>
          <w:sz w:val="24"/>
          <w:szCs w:val="24"/>
          <w:lang w:eastAsia="en-GB"/>
        </w:rPr>
        <w:t xml:space="preserve"> </w:t>
      </w:r>
      <w:r w:rsidR="0096515E" w:rsidRPr="00F166C6">
        <w:rPr>
          <w:rFonts w:ascii="Times New Roman" w:hAnsi="Times New Roman"/>
          <w:sz w:val="24"/>
          <w:szCs w:val="24"/>
          <w:lang w:eastAsia="en-GB"/>
        </w:rPr>
        <w:t>is consistent with</w:t>
      </w:r>
      <w:r w:rsidR="001665C7" w:rsidRPr="00F166C6">
        <w:rPr>
          <w:rFonts w:ascii="Times New Roman" w:hAnsi="Times New Roman"/>
          <w:sz w:val="24"/>
          <w:szCs w:val="24"/>
          <w:lang w:eastAsia="en-GB"/>
        </w:rPr>
        <w:t xml:space="preserve"> </w:t>
      </w:r>
      <w:r w:rsidR="0087400C">
        <w:rPr>
          <w:rFonts w:ascii="Times New Roman" w:hAnsi="Times New Roman"/>
          <w:sz w:val="24"/>
          <w:szCs w:val="24"/>
          <w:lang w:eastAsia="en-GB"/>
        </w:rPr>
        <w:t>the</w:t>
      </w:r>
      <w:r w:rsidR="001665C7" w:rsidRPr="00F166C6">
        <w:rPr>
          <w:rFonts w:ascii="Times New Roman" w:hAnsi="Times New Roman"/>
          <w:sz w:val="24"/>
          <w:szCs w:val="24"/>
          <w:lang w:eastAsia="en-GB"/>
        </w:rPr>
        <w:t xml:space="preserve"> view of </w:t>
      </w:r>
      <w:r w:rsidR="00713975" w:rsidRPr="00F166C6">
        <w:rPr>
          <w:rFonts w:ascii="Times New Roman" w:hAnsi="Times New Roman"/>
          <w:sz w:val="24"/>
          <w:szCs w:val="24"/>
          <w:lang w:eastAsia="en-GB"/>
        </w:rPr>
        <w:t xml:space="preserve">Klagge and Martin </w:t>
      </w:r>
      <w:r w:rsidR="00C72016">
        <w:rPr>
          <w:rFonts w:ascii="Times New Roman" w:hAnsi="Times New Roman"/>
          <w:sz w:val="24"/>
          <w:szCs w:val="24"/>
          <w:lang w:eastAsia="en-GB"/>
        </w:rPr>
        <w:t>(2005</w:t>
      </w:r>
      <w:r w:rsidR="00713975" w:rsidRPr="00F166C6">
        <w:rPr>
          <w:rFonts w:ascii="Times New Roman" w:hAnsi="Times New Roman"/>
          <w:sz w:val="24"/>
          <w:szCs w:val="24"/>
          <w:lang w:eastAsia="en-GB"/>
        </w:rPr>
        <w:t>)</w:t>
      </w:r>
      <w:r w:rsidR="00E444FE">
        <w:rPr>
          <w:rFonts w:ascii="Times New Roman" w:hAnsi="Times New Roman"/>
          <w:sz w:val="24"/>
          <w:szCs w:val="24"/>
          <w:lang w:eastAsia="en-GB"/>
        </w:rPr>
        <w:t>,</w:t>
      </w:r>
      <w:r w:rsidR="002878BC" w:rsidRPr="00F166C6">
        <w:rPr>
          <w:rFonts w:ascii="Times New Roman" w:hAnsi="Times New Roman"/>
          <w:sz w:val="24"/>
          <w:szCs w:val="24"/>
          <w:lang w:eastAsia="en-GB"/>
        </w:rPr>
        <w:t xml:space="preserve"> </w:t>
      </w:r>
      <w:r w:rsidR="0087400C">
        <w:rPr>
          <w:rFonts w:ascii="Times New Roman" w:hAnsi="Times New Roman"/>
          <w:sz w:val="24"/>
          <w:szCs w:val="24"/>
          <w:lang w:eastAsia="en-GB"/>
        </w:rPr>
        <w:t>who argue</w:t>
      </w:r>
      <w:r w:rsidR="0096515E" w:rsidRPr="00F166C6">
        <w:rPr>
          <w:rFonts w:ascii="Times New Roman" w:hAnsi="Times New Roman"/>
          <w:color w:val="292526"/>
          <w:sz w:val="24"/>
          <w:szCs w:val="24"/>
          <w:lang w:eastAsia="en-GB"/>
        </w:rPr>
        <w:t xml:space="preserve"> </w:t>
      </w:r>
      <w:r w:rsidR="0087400C">
        <w:rPr>
          <w:rFonts w:ascii="Times New Roman" w:hAnsi="Times New Roman"/>
          <w:color w:val="292526"/>
          <w:sz w:val="24"/>
          <w:szCs w:val="24"/>
          <w:lang w:eastAsia="en-GB"/>
        </w:rPr>
        <w:t xml:space="preserve">that </w:t>
      </w:r>
      <w:r w:rsidR="0096515E" w:rsidRPr="00F166C6">
        <w:rPr>
          <w:rFonts w:ascii="Times New Roman" w:hAnsi="Times New Roman"/>
          <w:color w:val="292526"/>
          <w:sz w:val="24"/>
          <w:szCs w:val="24"/>
          <w:lang w:eastAsia="en-GB"/>
        </w:rPr>
        <w:t xml:space="preserve">relationship between finance and the real economy is non-neutral. </w:t>
      </w:r>
      <w:r w:rsidR="0096515E" w:rsidRPr="00F166C6">
        <w:rPr>
          <w:rFonts w:ascii="Times New Roman" w:hAnsi="Times New Roman"/>
          <w:sz w:val="24"/>
          <w:szCs w:val="24"/>
          <w:lang w:eastAsia="en-GB"/>
        </w:rPr>
        <w:t xml:space="preserve">This means that the spatial structure of the financial system can lead to </w:t>
      </w:r>
      <w:r w:rsidR="00E444FE">
        <w:rPr>
          <w:rFonts w:ascii="Times New Roman" w:hAnsi="Times New Roman"/>
          <w:sz w:val="24"/>
          <w:szCs w:val="24"/>
          <w:lang w:eastAsia="en-GB"/>
        </w:rPr>
        <w:t xml:space="preserve">a </w:t>
      </w:r>
      <w:r w:rsidR="0096515E" w:rsidRPr="00F166C6">
        <w:rPr>
          <w:rFonts w:ascii="Times New Roman" w:hAnsi="Times New Roman"/>
          <w:sz w:val="24"/>
          <w:szCs w:val="24"/>
          <w:lang w:eastAsia="en-GB"/>
        </w:rPr>
        <w:t xml:space="preserve">geographical bias </w:t>
      </w:r>
      <w:r w:rsidR="00F166C6">
        <w:rPr>
          <w:rFonts w:ascii="Times New Roman" w:hAnsi="Times New Roman"/>
          <w:sz w:val="24"/>
          <w:szCs w:val="24"/>
          <w:lang w:eastAsia="en-GB"/>
        </w:rPr>
        <w:t>for</w:t>
      </w:r>
      <w:r w:rsidR="00F166C6" w:rsidRPr="0096515E">
        <w:rPr>
          <w:rFonts w:ascii="Times New Roman" w:hAnsi="Times New Roman"/>
          <w:sz w:val="24"/>
          <w:szCs w:val="24"/>
          <w:lang w:eastAsia="en-GB"/>
        </w:rPr>
        <w:t xml:space="preserve"> </w:t>
      </w:r>
      <w:r w:rsidR="00F166C6" w:rsidRPr="00F166C6">
        <w:rPr>
          <w:rFonts w:ascii="Times New Roman" w:hAnsi="Times New Roman"/>
          <w:sz w:val="24"/>
          <w:szCs w:val="24"/>
          <w:lang w:eastAsia="en-GB"/>
        </w:rPr>
        <w:t>resource</w:t>
      </w:r>
      <w:r w:rsidR="00713975" w:rsidRPr="00F166C6">
        <w:rPr>
          <w:rFonts w:ascii="Times New Roman" w:hAnsi="Times New Roman"/>
          <w:sz w:val="24"/>
          <w:szCs w:val="24"/>
          <w:lang w:eastAsia="en-GB"/>
        </w:rPr>
        <w:t xml:space="preserve"> and investment allocation. </w:t>
      </w:r>
      <w:r w:rsidR="0002781D">
        <w:rPr>
          <w:rFonts w:ascii="Times New Roman" w:hAnsi="Times New Roman"/>
          <w:sz w:val="24"/>
          <w:szCs w:val="24"/>
          <w:lang w:eastAsia="en-GB"/>
        </w:rPr>
        <w:t xml:space="preserve">This </w:t>
      </w:r>
      <w:r w:rsidR="001D1F74">
        <w:rPr>
          <w:rFonts w:ascii="Times New Roman" w:hAnsi="Times New Roman"/>
          <w:sz w:val="24"/>
          <w:szCs w:val="24"/>
          <w:lang w:eastAsia="en-GB"/>
        </w:rPr>
        <w:t>can be explained by the fact that</w:t>
      </w:r>
      <w:r w:rsidR="0002781D">
        <w:rPr>
          <w:rFonts w:ascii="Times New Roman" w:hAnsi="Times New Roman"/>
          <w:sz w:val="24"/>
          <w:szCs w:val="24"/>
          <w:lang w:eastAsia="en-GB"/>
        </w:rPr>
        <w:t xml:space="preserve"> </w:t>
      </w:r>
      <w:r w:rsidR="00713975" w:rsidRPr="00F166C6">
        <w:rPr>
          <w:rFonts w:ascii="Times New Roman" w:hAnsi="Times New Roman"/>
          <w:sz w:val="24"/>
          <w:szCs w:val="24"/>
          <w:lang w:eastAsia="en-GB"/>
        </w:rPr>
        <w:t xml:space="preserve">the regions </w:t>
      </w:r>
      <w:r w:rsidR="0002781D">
        <w:rPr>
          <w:rFonts w:ascii="Times New Roman" w:hAnsi="Times New Roman"/>
          <w:sz w:val="24"/>
          <w:szCs w:val="24"/>
          <w:lang w:eastAsia="en-GB"/>
        </w:rPr>
        <w:t>of</w:t>
      </w:r>
      <w:r w:rsidR="0096515E" w:rsidRPr="00F166C6">
        <w:rPr>
          <w:rFonts w:ascii="Times New Roman" w:hAnsi="Times New Roman"/>
          <w:sz w:val="24"/>
          <w:szCs w:val="24"/>
          <w:lang w:eastAsia="en-GB"/>
        </w:rPr>
        <w:t xml:space="preserve"> financial</w:t>
      </w:r>
      <w:r w:rsidR="00713975" w:rsidRPr="0096515E">
        <w:rPr>
          <w:rFonts w:ascii="Times New Roman" w:hAnsi="Times New Roman"/>
          <w:sz w:val="24"/>
          <w:szCs w:val="24"/>
          <w:lang w:eastAsia="en-GB"/>
        </w:rPr>
        <w:t xml:space="preserve"> </w:t>
      </w:r>
      <w:r w:rsidR="0087400C">
        <w:rPr>
          <w:rFonts w:ascii="Times New Roman" w:hAnsi="Times New Roman"/>
          <w:sz w:val="24"/>
          <w:szCs w:val="24"/>
          <w:lang w:eastAsia="en-GB"/>
        </w:rPr>
        <w:t xml:space="preserve">centres </w:t>
      </w:r>
      <w:r w:rsidR="00726CFE">
        <w:rPr>
          <w:rFonts w:ascii="Times New Roman" w:hAnsi="Times New Roman"/>
          <w:sz w:val="24"/>
          <w:szCs w:val="24"/>
          <w:lang w:eastAsia="en-GB"/>
        </w:rPr>
        <w:t xml:space="preserve">can </w:t>
      </w:r>
      <w:r w:rsidR="00713975" w:rsidRPr="0096515E">
        <w:rPr>
          <w:rFonts w:ascii="Times New Roman" w:hAnsi="Times New Roman"/>
          <w:sz w:val="24"/>
          <w:szCs w:val="24"/>
          <w:lang w:eastAsia="en-GB"/>
        </w:rPr>
        <w:t>absorb investments and skilled labo</w:t>
      </w:r>
      <w:r w:rsidR="00761884" w:rsidRPr="0096515E">
        <w:rPr>
          <w:rFonts w:ascii="Times New Roman" w:hAnsi="Times New Roman"/>
          <w:sz w:val="24"/>
          <w:szCs w:val="24"/>
          <w:lang w:eastAsia="en-GB"/>
        </w:rPr>
        <w:t>u</w:t>
      </w:r>
      <w:r w:rsidR="00713975" w:rsidRPr="00F166C6">
        <w:rPr>
          <w:rFonts w:ascii="Times New Roman" w:hAnsi="Times New Roman"/>
          <w:sz w:val="24"/>
          <w:szCs w:val="24"/>
          <w:lang w:eastAsia="en-GB"/>
        </w:rPr>
        <w:t xml:space="preserve">r </w:t>
      </w:r>
      <w:r w:rsidR="0096515E" w:rsidRPr="00F166C6">
        <w:rPr>
          <w:rFonts w:ascii="Times New Roman" w:hAnsi="Times New Roman"/>
          <w:sz w:val="24"/>
          <w:szCs w:val="24"/>
          <w:lang w:eastAsia="en-GB"/>
        </w:rPr>
        <w:t xml:space="preserve">from other regions. </w:t>
      </w:r>
      <w:r w:rsidR="0087400C">
        <w:rPr>
          <w:rFonts w:ascii="Times New Roman" w:hAnsi="Times New Roman"/>
          <w:sz w:val="24"/>
          <w:szCs w:val="24"/>
          <w:lang w:eastAsia="en-GB"/>
        </w:rPr>
        <w:t>T</w:t>
      </w:r>
      <w:r w:rsidR="00713975" w:rsidRPr="0096515E">
        <w:rPr>
          <w:rFonts w:ascii="Times New Roman" w:hAnsi="Times New Roman"/>
          <w:sz w:val="24"/>
          <w:szCs w:val="24"/>
          <w:lang w:eastAsia="en-GB"/>
        </w:rPr>
        <w:t>he</w:t>
      </w:r>
      <w:r w:rsidR="00B1725B" w:rsidRPr="0096515E">
        <w:rPr>
          <w:rFonts w:ascii="Times New Roman" w:hAnsi="Times New Roman"/>
          <w:sz w:val="24"/>
          <w:szCs w:val="24"/>
          <w:lang w:eastAsia="en-GB"/>
        </w:rPr>
        <w:t>y</w:t>
      </w:r>
      <w:r w:rsidR="00667C98">
        <w:rPr>
          <w:rFonts w:ascii="Times New Roman" w:hAnsi="Times New Roman"/>
          <w:sz w:val="24"/>
          <w:szCs w:val="24"/>
          <w:lang w:eastAsia="en-GB"/>
        </w:rPr>
        <w:t xml:space="preserve"> therefore</w:t>
      </w:r>
      <w:r w:rsidR="00F166C6">
        <w:rPr>
          <w:rFonts w:ascii="Times New Roman" w:hAnsi="Times New Roman"/>
          <w:sz w:val="24"/>
          <w:szCs w:val="24"/>
          <w:lang w:eastAsia="en-GB"/>
        </w:rPr>
        <w:t xml:space="preserve"> </w:t>
      </w:r>
      <w:r w:rsidR="0087400C">
        <w:rPr>
          <w:rFonts w:ascii="Times New Roman" w:hAnsi="Times New Roman"/>
          <w:sz w:val="24"/>
          <w:szCs w:val="24"/>
          <w:lang w:eastAsia="en-GB"/>
        </w:rPr>
        <w:t>grow in a disanalogous mode with respect to</w:t>
      </w:r>
      <w:r w:rsidR="00713975" w:rsidRPr="0096515E">
        <w:rPr>
          <w:rFonts w:ascii="Times New Roman" w:hAnsi="Times New Roman"/>
          <w:sz w:val="24"/>
          <w:szCs w:val="24"/>
          <w:lang w:eastAsia="en-GB"/>
        </w:rPr>
        <w:t xml:space="preserve"> the other regions. As a </w:t>
      </w:r>
      <w:r w:rsidR="00214DD4">
        <w:rPr>
          <w:rFonts w:ascii="Times New Roman" w:hAnsi="Times New Roman"/>
          <w:sz w:val="24"/>
          <w:szCs w:val="24"/>
          <w:lang w:eastAsia="en-GB"/>
        </w:rPr>
        <w:t>consequence</w:t>
      </w:r>
      <w:r w:rsidR="00713975" w:rsidRPr="0096515E">
        <w:rPr>
          <w:rFonts w:ascii="Times New Roman" w:hAnsi="Times New Roman"/>
          <w:sz w:val="24"/>
          <w:szCs w:val="24"/>
          <w:lang w:eastAsia="en-GB"/>
        </w:rPr>
        <w:t xml:space="preserve">, this </w:t>
      </w:r>
      <w:r w:rsidR="0096515E">
        <w:rPr>
          <w:rFonts w:ascii="Times New Roman" w:hAnsi="Times New Roman"/>
          <w:sz w:val="24"/>
          <w:szCs w:val="24"/>
          <w:lang w:eastAsia="en-GB"/>
        </w:rPr>
        <w:t xml:space="preserve">can </w:t>
      </w:r>
      <w:r w:rsidR="00713975" w:rsidRPr="0096515E">
        <w:rPr>
          <w:rFonts w:ascii="Times New Roman" w:hAnsi="Times New Roman"/>
          <w:sz w:val="24"/>
          <w:szCs w:val="24"/>
          <w:lang w:eastAsia="en-GB"/>
        </w:rPr>
        <w:t xml:space="preserve">initiate a diverging process between the regions </w:t>
      </w:r>
      <w:r w:rsidR="0002781D">
        <w:rPr>
          <w:rFonts w:ascii="Times New Roman" w:hAnsi="Times New Roman"/>
          <w:sz w:val="24"/>
          <w:szCs w:val="24"/>
          <w:lang w:eastAsia="en-GB"/>
        </w:rPr>
        <w:t>of</w:t>
      </w:r>
      <w:r w:rsidR="00713975" w:rsidRPr="0096515E">
        <w:rPr>
          <w:rFonts w:ascii="Times New Roman" w:hAnsi="Times New Roman"/>
          <w:sz w:val="24"/>
          <w:szCs w:val="24"/>
          <w:lang w:eastAsia="en-GB"/>
        </w:rPr>
        <w:t xml:space="preserve"> financial centres and the rest of the country</w:t>
      </w:r>
      <w:r w:rsidR="00E444FE">
        <w:rPr>
          <w:rFonts w:ascii="Times New Roman" w:hAnsi="Times New Roman"/>
          <w:sz w:val="24"/>
          <w:szCs w:val="24"/>
          <w:lang w:eastAsia="en-GB"/>
        </w:rPr>
        <w:t>’s</w:t>
      </w:r>
      <w:r w:rsidR="00713975" w:rsidRPr="0096515E">
        <w:rPr>
          <w:rFonts w:ascii="Times New Roman" w:hAnsi="Times New Roman"/>
          <w:sz w:val="24"/>
          <w:szCs w:val="24"/>
          <w:lang w:eastAsia="en-GB"/>
        </w:rPr>
        <w:t xml:space="preserve"> regions</w:t>
      </w:r>
      <w:r w:rsidR="0060081E">
        <w:rPr>
          <w:rFonts w:ascii="Times New Roman" w:hAnsi="Times New Roman"/>
          <w:sz w:val="24"/>
          <w:szCs w:val="24"/>
          <w:lang w:eastAsia="en-GB"/>
        </w:rPr>
        <w:t>.</w:t>
      </w:r>
      <w:r w:rsidR="00713975" w:rsidRPr="00713975">
        <w:rPr>
          <w:rFonts w:ascii="Times New Roman" w:hAnsi="Times New Roman"/>
          <w:sz w:val="24"/>
          <w:szCs w:val="24"/>
          <w:lang w:eastAsia="en-GB"/>
        </w:rPr>
        <w:t xml:space="preserve"> </w:t>
      </w:r>
    </w:p>
    <w:p w14:paraId="182896D5" w14:textId="3A1CEDE2" w:rsidR="00F166C6" w:rsidRPr="00F0117A" w:rsidRDefault="00B4726E" w:rsidP="00F0117A">
      <w:pPr>
        <w:pStyle w:val="PlainText"/>
        <w:spacing w:line="360" w:lineRule="auto"/>
        <w:ind w:firstLine="720"/>
        <w:jc w:val="both"/>
        <w:rPr>
          <w:rFonts w:ascii="Times New Roman" w:hAnsi="Times New Roman"/>
          <w:sz w:val="24"/>
          <w:szCs w:val="24"/>
          <w:lang w:eastAsia="en-GB"/>
        </w:rPr>
      </w:pPr>
      <w:r>
        <w:rPr>
          <w:rFonts w:ascii="Times New Roman" w:hAnsi="Times New Roman"/>
          <w:sz w:val="24"/>
          <w:szCs w:val="24"/>
          <w:lang w:eastAsia="en-GB"/>
        </w:rPr>
        <w:t>W</w:t>
      </w:r>
      <w:r w:rsidR="002C27B2" w:rsidRPr="00713975">
        <w:rPr>
          <w:rFonts w:ascii="Times New Roman" w:hAnsi="Times New Roman"/>
          <w:sz w:val="24"/>
          <w:szCs w:val="24"/>
          <w:lang w:eastAsia="en-GB"/>
        </w:rPr>
        <w:t>e</w:t>
      </w:r>
      <w:r w:rsidR="002C27B2">
        <w:rPr>
          <w:rFonts w:ascii="Times New Roman" w:hAnsi="Times New Roman"/>
          <w:sz w:val="24"/>
          <w:szCs w:val="24"/>
          <w:lang w:eastAsia="en-GB"/>
        </w:rPr>
        <w:t xml:space="preserve"> </w:t>
      </w:r>
      <w:r w:rsidR="00761884">
        <w:rPr>
          <w:rFonts w:ascii="Times New Roman" w:hAnsi="Times New Roman"/>
          <w:sz w:val="24"/>
          <w:szCs w:val="24"/>
          <w:lang w:eastAsia="en-GB"/>
        </w:rPr>
        <w:t>also</w:t>
      </w:r>
      <w:r w:rsidR="00713975" w:rsidRPr="00713975">
        <w:rPr>
          <w:rFonts w:ascii="Times New Roman" w:hAnsi="Times New Roman"/>
          <w:sz w:val="24"/>
          <w:szCs w:val="24"/>
          <w:lang w:eastAsia="en-GB"/>
        </w:rPr>
        <w:t xml:space="preserve"> </w:t>
      </w:r>
      <w:r w:rsidR="00031F57">
        <w:rPr>
          <w:rFonts w:ascii="Times New Roman" w:hAnsi="Times New Roman"/>
          <w:sz w:val="24"/>
          <w:szCs w:val="24"/>
          <w:lang w:eastAsia="en-GB"/>
        </w:rPr>
        <w:t xml:space="preserve">provide evidence </w:t>
      </w:r>
      <w:r w:rsidR="00713975" w:rsidRPr="00713975">
        <w:rPr>
          <w:rFonts w:ascii="Times New Roman" w:hAnsi="Times New Roman"/>
          <w:sz w:val="24"/>
          <w:szCs w:val="24"/>
          <w:lang w:eastAsia="en-GB"/>
        </w:rPr>
        <w:t>that</w:t>
      </w:r>
      <w:r>
        <w:rPr>
          <w:rFonts w:ascii="Times New Roman" w:hAnsi="Times New Roman"/>
          <w:sz w:val="24"/>
          <w:szCs w:val="24"/>
          <w:lang w:eastAsia="en-GB"/>
        </w:rPr>
        <w:t xml:space="preserve"> the drivers of</w:t>
      </w:r>
      <w:r w:rsidR="00713975" w:rsidRPr="00713975">
        <w:rPr>
          <w:rFonts w:ascii="Times New Roman" w:hAnsi="Times New Roman"/>
          <w:sz w:val="24"/>
          <w:szCs w:val="24"/>
          <w:lang w:eastAsia="en-GB"/>
        </w:rPr>
        <w:t xml:space="preserve"> </w:t>
      </w:r>
      <w:r w:rsidR="002C27B2">
        <w:rPr>
          <w:rFonts w:ascii="Times New Roman" w:hAnsi="Times New Roman"/>
          <w:sz w:val="24"/>
          <w:szCs w:val="24"/>
          <w:lang w:eastAsia="en-GB"/>
        </w:rPr>
        <w:t>financial centres</w:t>
      </w:r>
      <w:r w:rsidR="000A2206">
        <w:rPr>
          <w:rFonts w:ascii="Times New Roman" w:hAnsi="Times New Roman"/>
          <w:sz w:val="24"/>
          <w:szCs w:val="24"/>
          <w:lang w:eastAsia="en-GB"/>
        </w:rPr>
        <w:t xml:space="preserve">’ </w:t>
      </w:r>
      <w:r w:rsidR="00713975" w:rsidRPr="00713975">
        <w:rPr>
          <w:rFonts w:ascii="Times New Roman" w:hAnsi="Times New Roman"/>
          <w:sz w:val="24"/>
          <w:szCs w:val="24"/>
          <w:lang w:eastAsia="en-GB"/>
        </w:rPr>
        <w:t xml:space="preserve">competitiveness </w:t>
      </w:r>
      <w:r w:rsidR="00713975" w:rsidRPr="003B7CB8">
        <w:rPr>
          <w:rFonts w:ascii="Times New Roman" w:hAnsi="Times New Roman"/>
          <w:sz w:val="24"/>
          <w:szCs w:val="24"/>
          <w:lang w:eastAsia="en-GB"/>
        </w:rPr>
        <w:t>such as market efficiency, market size, education and innovation</w:t>
      </w:r>
      <w:r w:rsidR="0060081E">
        <w:rPr>
          <w:rFonts w:ascii="Times New Roman" w:hAnsi="Times New Roman"/>
          <w:sz w:val="24"/>
          <w:szCs w:val="24"/>
          <w:lang w:eastAsia="en-GB"/>
        </w:rPr>
        <w:t xml:space="preserve"> </w:t>
      </w:r>
      <w:r>
        <w:rPr>
          <w:rFonts w:ascii="Times New Roman" w:hAnsi="Times New Roman"/>
          <w:sz w:val="24"/>
          <w:szCs w:val="24"/>
          <w:lang w:eastAsia="en-GB"/>
        </w:rPr>
        <w:t>can r</w:t>
      </w:r>
      <w:r w:rsidR="002C27B2" w:rsidRPr="003B7CB8">
        <w:rPr>
          <w:rFonts w:ascii="Times New Roman" w:hAnsi="Times New Roman"/>
          <w:sz w:val="24"/>
          <w:szCs w:val="24"/>
          <w:lang w:eastAsia="en-GB"/>
        </w:rPr>
        <w:t xml:space="preserve">educe </w:t>
      </w:r>
      <w:r w:rsidR="00713975" w:rsidRPr="003B7CB8">
        <w:rPr>
          <w:rFonts w:ascii="Times New Roman" w:hAnsi="Times New Roman"/>
          <w:sz w:val="24"/>
          <w:szCs w:val="24"/>
          <w:lang w:eastAsia="en-GB"/>
        </w:rPr>
        <w:t xml:space="preserve">the existing economic gaps </w:t>
      </w:r>
      <w:r w:rsidR="002C27B2" w:rsidRPr="003B7CB8">
        <w:rPr>
          <w:rFonts w:ascii="Times New Roman" w:hAnsi="Times New Roman"/>
          <w:sz w:val="24"/>
          <w:szCs w:val="24"/>
          <w:lang w:eastAsia="en-GB"/>
        </w:rPr>
        <w:t>between regions where financial centres are located</w:t>
      </w:r>
      <w:r w:rsidR="002C27B2" w:rsidRPr="00F027ED">
        <w:rPr>
          <w:rFonts w:ascii="Times New Roman" w:hAnsi="Times New Roman"/>
          <w:sz w:val="24"/>
          <w:szCs w:val="24"/>
          <w:lang w:eastAsia="en-GB"/>
        </w:rPr>
        <w:t xml:space="preserve">. </w:t>
      </w:r>
      <w:r w:rsidR="00F0117A" w:rsidRPr="00F027ED">
        <w:rPr>
          <w:rFonts w:ascii="Times New Roman" w:hAnsi="Times New Roman"/>
          <w:sz w:val="24"/>
          <w:szCs w:val="24"/>
          <w:lang w:eastAsia="en-GB"/>
        </w:rPr>
        <w:t xml:space="preserve">This is </w:t>
      </w:r>
      <w:r w:rsidR="00600E55" w:rsidRPr="00F027ED">
        <w:rPr>
          <w:rFonts w:ascii="Times New Roman" w:hAnsi="Times New Roman"/>
          <w:sz w:val="24"/>
          <w:szCs w:val="24"/>
          <w:lang w:eastAsia="en-GB"/>
        </w:rPr>
        <w:t>line</w:t>
      </w:r>
      <w:r w:rsidR="00F0117A" w:rsidRPr="00F027ED">
        <w:rPr>
          <w:rFonts w:ascii="Times New Roman" w:hAnsi="Times New Roman"/>
          <w:sz w:val="24"/>
          <w:szCs w:val="24"/>
          <w:lang w:eastAsia="en-GB"/>
        </w:rPr>
        <w:t xml:space="preserve"> with Poon (2003)</w:t>
      </w:r>
      <w:r w:rsidR="007659A3" w:rsidRPr="00F027ED">
        <w:rPr>
          <w:rFonts w:ascii="Times New Roman" w:hAnsi="Times New Roman"/>
          <w:sz w:val="24"/>
          <w:szCs w:val="24"/>
          <w:lang w:eastAsia="en-GB"/>
        </w:rPr>
        <w:t>,</w:t>
      </w:r>
      <w:r w:rsidR="00F0117A" w:rsidRPr="00F027ED">
        <w:rPr>
          <w:rFonts w:ascii="Times New Roman" w:hAnsi="Times New Roman"/>
          <w:sz w:val="24"/>
          <w:szCs w:val="24"/>
          <w:lang w:eastAsia="en-GB"/>
        </w:rPr>
        <w:t xml:space="preserve"> who argue</w:t>
      </w:r>
      <w:r w:rsidR="007659A3" w:rsidRPr="00F027ED">
        <w:rPr>
          <w:rFonts w:ascii="Times New Roman" w:hAnsi="Times New Roman"/>
          <w:sz w:val="24"/>
          <w:szCs w:val="24"/>
          <w:lang w:eastAsia="en-GB"/>
        </w:rPr>
        <w:t>s</w:t>
      </w:r>
      <w:r w:rsidR="00F0117A" w:rsidRPr="00F027ED">
        <w:rPr>
          <w:rFonts w:ascii="Times New Roman" w:hAnsi="Times New Roman"/>
          <w:sz w:val="24"/>
          <w:szCs w:val="24"/>
          <w:lang w:eastAsia="en-GB"/>
        </w:rPr>
        <w:t xml:space="preserve"> that broad and deep markets, human capital</w:t>
      </w:r>
      <w:r w:rsidR="007659A3" w:rsidRPr="00F027ED">
        <w:rPr>
          <w:rFonts w:ascii="Times New Roman" w:hAnsi="Times New Roman"/>
          <w:sz w:val="24"/>
          <w:szCs w:val="24"/>
          <w:lang w:eastAsia="en-GB"/>
        </w:rPr>
        <w:t>,</w:t>
      </w:r>
      <w:r w:rsidR="00F0117A" w:rsidRPr="00F027ED">
        <w:rPr>
          <w:rFonts w:ascii="Times New Roman" w:hAnsi="Times New Roman"/>
          <w:sz w:val="24"/>
          <w:szCs w:val="24"/>
          <w:lang w:eastAsia="en-GB"/>
        </w:rPr>
        <w:t xml:space="preserve"> and market efficiency contribute to the development of a financial and capital c</w:t>
      </w:r>
      <w:r w:rsidR="007659A3" w:rsidRPr="00F027ED">
        <w:rPr>
          <w:rFonts w:ascii="Times New Roman" w:hAnsi="Times New Roman"/>
          <w:sz w:val="24"/>
          <w:szCs w:val="24"/>
          <w:lang w:eastAsia="en-GB"/>
        </w:rPr>
        <w:t>ent</w:t>
      </w:r>
      <w:r w:rsidR="00F0117A" w:rsidRPr="00F027ED">
        <w:rPr>
          <w:rFonts w:ascii="Times New Roman" w:hAnsi="Times New Roman"/>
          <w:sz w:val="24"/>
          <w:szCs w:val="24"/>
          <w:lang w:eastAsia="en-GB"/>
        </w:rPr>
        <w:t>r</w:t>
      </w:r>
      <w:r w:rsidR="007659A3" w:rsidRPr="00F027ED">
        <w:rPr>
          <w:rFonts w:ascii="Times New Roman" w:hAnsi="Times New Roman"/>
          <w:sz w:val="24"/>
          <w:szCs w:val="24"/>
          <w:lang w:eastAsia="en-GB"/>
        </w:rPr>
        <w:t>e</w:t>
      </w:r>
      <w:r w:rsidR="00F0117A" w:rsidRPr="00F027ED">
        <w:rPr>
          <w:rFonts w:ascii="Times New Roman" w:hAnsi="Times New Roman"/>
          <w:sz w:val="24"/>
          <w:szCs w:val="24"/>
          <w:lang w:eastAsia="en-GB"/>
        </w:rPr>
        <w:t>. We</w:t>
      </w:r>
      <w:r w:rsidR="00F0117A" w:rsidRPr="003E6765">
        <w:rPr>
          <w:rFonts w:ascii="Times New Roman" w:hAnsi="Times New Roman"/>
          <w:sz w:val="24"/>
          <w:szCs w:val="24"/>
          <w:lang w:eastAsia="en-GB"/>
        </w:rPr>
        <w:t xml:space="preserve"> however find that t</w:t>
      </w:r>
      <w:r w:rsidR="002C27B2" w:rsidRPr="003E6765">
        <w:rPr>
          <w:rFonts w:ascii="Times New Roman" w:hAnsi="Times New Roman"/>
          <w:sz w:val="24"/>
          <w:szCs w:val="24"/>
          <w:lang w:eastAsia="en-GB"/>
        </w:rPr>
        <w:t xml:space="preserve">he same factors enlarge the existing economic gaps between the regions </w:t>
      </w:r>
      <w:r w:rsidR="00EF46B6" w:rsidRPr="003E6765">
        <w:rPr>
          <w:rFonts w:ascii="Times New Roman" w:hAnsi="Times New Roman"/>
          <w:sz w:val="24"/>
          <w:szCs w:val="24"/>
          <w:lang w:eastAsia="en-GB"/>
        </w:rPr>
        <w:t>of</w:t>
      </w:r>
      <w:r w:rsidR="002C27B2" w:rsidRPr="003E6765">
        <w:rPr>
          <w:rFonts w:ascii="Times New Roman" w:hAnsi="Times New Roman"/>
          <w:sz w:val="24"/>
          <w:szCs w:val="24"/>
          <w:lang w:eastAsia="en-GB"/>
        </w:rPr>
        <w:t xml:space="preserve"> financial </w:t>
      </w:r>
      <w:r w:rsidR="00EF46B6" w:rsidRPr="003E6765">
        <w:rPr>
          <w:rFonts w:ascii="Times New Roman" w:hAnsi="Times New Roman"/>
          <w:sz w:val="24"/>
          <w:szCs w:val="24"/>
          <w:lang w:eastAsia="en-GB"/>
        </w:rPr>
        <w:t>centres</w:t>
      </w:r>
      <w:r w:rsidR="007659A3" w:rsidRPr="003E6765">
        <w:rPr>
          <w:rFonts w:ascii="Times New Roman" w:hAnsi="Times New Roman"/>
          <w:sz w:val="24"/>
          <w:szCs w:val="24"/>
          <w:lang w:eastAsia="en-GB"/>
        </w:rPr>
        <w:t xml:space="preserve"> and </w:t>
      </w:r>
      <w:r w:rsidR="002C27B2" w:rsidRPr="003E6765">
        <w:rPr>
          <w:rFonts w:ascii="Times New Roman" w:hAnsi="Times New Roman"/>
          <w:sz w:val="24"/>
          <w:szCs w:val="24"/>
          <w:lang w:eastAsia="en-GB"/>
        </w:rPr>
        <w:t>other regions</w:t>
      </w:r>
      <w:r w:rsidR="00675AEC" w:rsidRPr="003E6765">
        <w:rPr>
          <w:rFonts w:ascii="Times New Roman" w:hAnsi="Times New Roman"/>
          <w:sz w:val="24"/>
          <w:szCs w:val="24"/>
          <w:lang w:eastAsia="en-GB"/>
        </w:rPr>
        <w:t>.</w:t>
      </w:r>
      <w:r w:rsidR="00675AEC">
        <w:rPr>
          <w:rFonts w:ascii="Times New Roman" w:hAnsi="Times New Roman"/>
          <w:sz w:val="24"/>
          <w:szCs w:val="24"/>
          <w:lang w:eastAsia="en-GB"/>
        </w:rPr>
        <w:t xml:space="preserve"> </w:t>
      </w:r>
      <w:r w:rsidR="0002781D" w:rsidRPr="0002781D">
        <w:rPr>
          <w:rFonts w:ascii="Times New Roman" w:hAnsi="Times New Roman"/>
          <w:sz w:val="24"/>
          <w:szCs w:val="24"/>
          <w:lang w:eastAsia="en-GB"/>
        </w:rPr>
        <w:t xml:space="preserve">Conversely, </w:t>
      </w:r>
      <w:r w:rsidR="00775B22" w:rsidRPr="00775B22">
        <w:rPr>
          <w:rFonts w:ascii="Times New Roman" w:hAnsi="Times New Roman"/>
          <w:sz w:val="24"/>
          <w:szCs w:val="24"/>
          <w:lang w:eastAsia="en-GB"/>
        </w:rPr>
        <w:t>technological readiness</w:t>
      </w:r>
      <w:r w:rsidR="0002781D" w:rsidRPr="0002781D">
        <w:rPr>
          <w:rFonts w:ascii="Times New Roman" w:hAnsi="Times New Roman"/>
          <w:sz w:val="24"/>
          <w:szCs w:val="24"/>
          <w:lang w:eastAsia="en-GB"/>
        </w:rPr>
        <w:t xml:space="preserve">, the efficiency of institutions, business sophistication, and infrastructure can speed-up the convergence process </w:t>
      </w:r>
      <w:r w:rsidR="001D1F74" w:rsidRPr="003B7CB8">
        <w:rPr>
          <w:rFonts w:ascii="Times New Roman" w:hAnsi="Times New Roman"/>
          <w:sz w:val="24"/>
          <w:szCs w:val="24"/>
          <w:lang w:eastAsia="en-GB"/>
        </w:rPr>
        <w:t xml:space="preserve">between the regions </w:t>
      </w:r>
      <w:r w:rsidR="001D1F74">
        <w:rPr>
          <w:rFonts w:ascii="Times New Roman" w:hAnsi="Times New Roman"/>
          <w:sz w:val="24"/>
          <w:szCs w:val="24"/>
          <w:lang w:eastAsia="en-GB"/>
        </w:rPr>
        <w:t>of</w:t>
      </w:r>
      <w:r w:rsidR="001D1F74" w:rsidRPr="003B7CB8">
        <w:rPr>
          <w:rFonts w:ascii="Times New Roman" w:hAnsi="Times New Roman"/>
          <w:sz w:val="24"/>
          <w:szCs w:val="24"/>
          <w:lang w:eastAsia="en-GB"/>
        </w:rPr>
        <w:t xml:space="preserve"> financial </w:t>
      </w:r>
      <w:r w:rsidR="001D1F74">
        <w:rPr>
          <w:rFonts w:ascii="Times New Roman" w:hAnsi="Times New Roman"/>
          <w:sz w:val="24"/>
          <w:szCs w:val="24"/>
          <w:lang w:eastAsia="en-GB"/>
        </w:rPr>
        <w:t>centres</w:t>
      </w:r>
      <w:r w:rsidR="001D1F74" w:rsidRPr="003B7CB8">
        <w:rPr>
          <w:rFonts w:ascii="Times New Roman" w:hAnsi="Times New Roman"/>
          <w:sz w:val="24"/>
          <w:szCs w:val="24"/>
          <w:lang w:eastAsia="en-GB"/>
        </w:rPr>
        <w:t xml:space="preserve"> and the other regions</w:t>
      </w:r>
      <w:r w:rsidR="0002781D" w:rsidRPr="0002781D">
        <w:rPr>
          <w:rFonts w:ascii="Times New Roman" w:hAnsi="Times New Roman"/>
          <w:sz w:val="24"/>
          <w:szCs w:val="24"/>
          <w:lang w:eastAsia="en-GB"/>
        </w:rPr>
        <w:t xml:space="preserve">. </w:t>
      </w:r>
      <w:r w:rsidR="00713975" w:rsidRPr="00713975">
        <w:rPr>
          <w:rFonts w:ascii="Times New Roman" w:hAnsi="Times New Roman"/>
          <w:sz w:val="24"/>
          <w:szCs w:val="24"/>
          <w:lang w:eastAsia="en-GB"/>
        </w:rPr>
        <w:t xml:space="preserve">Finally, </w:t>
      </w:r>
      <w:r w:rsidR="0096515E" w:rsidRPr="00F166C6">
        <w:rPr>
          <w:rFonts w:ascii="Times New Roman" w:hAnsi="Times New Roman"/>
          <w:sz w:val="24"/>
          <w:szCs w:val="24"/>
          <w:lang w:eastAsia="en-GB"/>
        </w:rPr>
        <w:t>our findings remain the same also when we control for potential endogeneity problem</w:t>
      </w:r>
      <w:r w:rsidR="00EF46B6">
        <w:rPr>
          <w:rFonts w:ascii="Times New Roman" w:hAnsi="Times New Roman"/>
          <w:sz w:val="24"/>
          <w:szCs w:val="24"/>
          <w:lang w:eastAsia="en-GB"/>
        </w:rPr>
        <w:t>s</w:t>
      </w:r>
      <w:r w:rsidR="0096515E" w:rsidRPr="00F166C6">
        <w:rPr>
          <w:rFonts w:ascii="Times New Roman" w:hAnsi="Times New Roman"/>
          <w:sz w:val="24"/>
          <w:szCs w:val="24"/>
          <w:lang w:eastAsia="en-GB"/>
        </w:rPr>
        <w:t xml:space="preserve"> between the competitiveness of financial centres and the regional economic convergence/divergence</w:t>
      </w:r>
      <w:r w:rsidR="0096515E">
        <w:rPr>
          <w:rFonts w:ascii="Times New Roman" w:hAnsi="Times New Roman"/>
          <w:sz w:val="24"/>
          <w:szCs w:val="24"/>
          <w:lang w:eastAsia="en-GB"/>
        </w:rPr>
        <w:t xml:space="preserve">. </w:t>
      </w:r>
    </w:p>
    <w:p w14:paraId="3AA82E5E" w14:textId="33E33D46" w:rsidR="00675AEC" w:rsidRDefault="00F166C6" w:rsidP="00600E55">
      <w:pPr>
        <w:pStyle w:val="PlainText"/>
        <w:spacing w:line="360" w:lineRule="auto"/>
        <w:ind w:firstLine="567"/>
        <w:jc w:val="both"/>
        <w:rPr>
          <w:rFonts w:ascii="Times New Roman" w:hAnsi="Times New Roman"/>
          <w:sz w:val="24"/>
          <w:szCs w:val="24"/>
          <w:lang w:eastAsia="en-GB"/>
        </w:rPr>
      </w:pPr>
      <w:r w:rsidRPr="00F166C6">
        <w:rPr>
          <w:rFonts w:ascii="Times New Roman" w:hAnsi="Times New Roman"/>
          <w:sz w:val="24"/>
          <w:szCs w:val="24"/>
        </w:rPr>
        <w:t>Some key limitations should be considered when interpreting these results.</w:t>
      </w:r>
      <w:r w:rsidR="005E3518">
        <w:rPr>
          <w:rFonts w:ascii="Times New Roman" w:hAnsi="Times New Roman"/>
          <w:sz w:val="24"/>
          <w:szCs w:val="24"/>
          <w:lang w:eastAsia="en-GB"/>
        </w:rPr>
        <w:t xml:space="preserve"> T</w:t>
      </w:r>
      <w:r w:rsidR="005E3518" w:rsidRPr="00713975">
        <w:rPr>
          <w:rFonts w:ascii="Times New Roman" w:hAnsi="Times New Roman"/>
          <w:sz w:val="24"/>
          <w:szCs w:val="24"/>
          <w:lang w:eastAsia="en-GB"/>
        </w:rPr>
        <w:t>he adopted convergence model do</w:t>
      </w:r>
      <w:r>
        <w:rPr>
          <w:rFonts w:ascii="Times New Roman" w:hAnsi="Times New Roman"/>
          <w:sz w:val="24"/>
          <w:szCs w:val="24"/>
          <w:lang w:eastAsia="en-GB"/>
        </w:rPr>
        <w:t>es</w:t>
      </w:r>
      <w:r w:rsidR="005E3518" w:rsidRPr="00713975">
        <w:rPr>
          <w:rFonts w:ascii="Times New Roman" w:hAnsi="Times New Roman"/>
          <w:sz w:val="24"/>
          <w:szCs w:val="24"/>
          <w:lang w:eastAsia="en-GB"/>
        </w:rPr>
        <w:t xml:space="preserve"> not clearly allow</w:t>
      </w:r>
      <w:r w:rsidR="00EF46B6">
        <w:rPr>
          <w:rFonts w:ascii="Times New Roman" w:hAnsi="Times New Roman"/>
          <w:sz w:val="24"/>
          <w:szCs w:val="24"/>
          <w:lang w:eastAsia="en-GB"/>
        </w:rPr>
        <w:t xml:space="preserve"> us</w:t>
      </w:r>
      <w:r w:rsidR="005E3518" w:rsidRPr="00713975">
        <w:rPr>
          <w:rFonts w:ascii="Times New Roman" w:hAnsi="Times New Roman"/>
          <w:sz w:val="24"/>
          <w:szCs w:val="24"/>
          <w:lang w:eastAsia="en-GB"/>
        </w:rPr>
        <w:t xml:space="preserve"> </w:t>
      </w:r>
      <w:r>
        <w:rPr>
          <w:rFonts w:ascii="Times New Roman" w:hAnsi="Times New Roman"/>
          <w:sz w:val="24"/>
          <w:szCs w:val="24"/>
          <w:lang w:eastAsia="en-GB"/>
        </w:rPr>
        <w:t>to identify</w:t>
      </w:r>
      <w:r w:rsidR="005E3518" w:rsidRPr="00713975">
        <w:rPr>
          <w:rFonts w:ascii="Times New Roman" w:hAnsi="Times New Roman"/>
          <w:sz w:val="24"/>
          <w:szCs w:val="24"/>
          <w:lang w:eastAsia="en-GB"/>
        </w:rPr>
        <w:t xml:space="preserve"> whether the gap is driven by lead</w:t>
      </w:r>
      <w:r w:rsidR="00EF46B6">
        <w:rPr>
          <w:rFonts w:ascii="Times New Roman" w:hAnsi="Times New Roman"/>
          <w:sz w:val="24"/>
          <w:szCs w:val="24"/>
          <w:lang w:eastAsia="en-GB"/>
        </w:rPr>
        <w:t>ing</w:t>
      </w:r>
      <w:r w:rsidR="005E3518" w:rsidRPr="00713975">
        <w:rPr>
          <w:rFonts w:ascii="Times New Roman" w:hAnsi="Times New Roman"/>
          <w:sz w:val="24"/>
          <w:szCs w:val="24"/>
          <w:lang w:eastAsia="en-GB"/>
        </w:rPr>
        <w:t xml:space="preserve"> or lagging regions. </w:t>
      </w:r>
      <w:r w:rsidR="005E3518" w:rsidRPr="00F027ED">
        <w:rPr>
          <w:rFonts w:ascii="Times New Roman" w:hAnsi="Times New Roman"/>
          <w:sz w:val="24"/>
          <w:szCs w:val="24"/>
          <w:lang w:eastAsia="en-GB"/>
        </w:rPr>
        <w:t>We are also aware of the fact that ther</w:t>
      </w:r>
      <w:r w:rsidR="00C35B6E" w:rsidRPr="00F027ED">
        <w:rPr>
          <w:rFonts w:ascii="Times New Roman" w:hAnsi="Times New Roman"/>
          <w:sz w:val="24"/>
          <w:szCs w:val="24"/>
          <w:lang w:eastAsia="en-GB"/>
        </w:rPr>
        <w:t xml:space="preserve">e are other characteristics of </w:t>
      </w:r>
      <w:r w:rsidR="005E3518" w:rsidRPr="00F027ED">
        <w:rPr>
          <w:rFonts w:ascii="Times New Roman" w:hAnsi="Times New Roman"/>
          <w:sz w:val="24"/>
          <w:szCs w:val="24"/>
          <w:lang w:eastAsia="en-GB"/>
        </w:rPr>
        <w:t>leading and lagging regions alongside specific growth mechanisms</w:t>
      </w:r>
      <w:r w:rsidR="00600E55" w:rsidRPr="00F027ED">
        <w:rPr>
          <w:rFonts w:ascii="Times New Roman" w:hAnsi="Times New Roman"/>
          <w:sz w:val="24"/>
          <w:szCs w:val="24"/>
          <w:lang w:eastAsia="en-GB"/>
        </w:rPr>
        <w:t>, such as R&amp;D expenditure, patent intensity, productivity growth, spillover effects, and European Funds (Crescenzi, 2005; Crescenzi and Giua, 2016; Le Gallo and Dall’Erba, 2008; Petrakos et al., 2005, 2011</w:t>
      </w:r>
      <w:r w:rsidR="00AF1714">
        <w:rPr>
          <w:rFonts w:ascii="Times New Roman" w:hAnsi="Times New Roman"/>
          <w:sz w:val="24"/>
          <w:szCs w:val="24"/>
          <w:lang w:eastAsia="en-GB"/>
        </w:rPr>
        <w:t>;</w:t>
      </w:r>
      <w:r w:rsidR="00AF1714" w:rsidRPr="00AF1714">
        <w:rPr>
          <w:rFonts w:ascii="Times New Roman" w:hAnsi="Times New Roman"/>
          <w:sz w:val="24"/>
          <w:szCs w:val="24"/>
          <w:lang w:eastAsia="en-GB"/>
        </w:rPr>
        <w:t xml:space="preserve"> Tselios et a</w:t>
      </w:r>
      <w:r w:rsidR="00AF1714">
        <w:rPr>
          <w:rFonts w:ascii="Times New Roman" w:hAnsi="Times New Roman"/>
          <w:sz w:val="24"/>
          <w:szCs w:val="24"/>
          <w:lang w:eastAsia="en-GB"/>
        </w:rPr>
        <w:t>l</w:t>
      </w:r>
      <w:r w:rsidR="00AF1714" w:rsidRPr="00AF1714">
        <w:rPr>
          <w:rFonts w:ascii="Times New Roman" w:hAnsi="Times New Roman"/>
          <w:sz w:val="24"/>
          <w:szCs w:val="24"/>
          <w:lang w:eastAsia="en-GB"/>
        </w:rPr>
        <w:t>.</w:t>
      </w:r>
      <w:r w:rsidR="00AF1714">
        <w:rPr>
          <w:rFonts w:ascii="Times New Roman" w:hAnsi="Times New Roman"/>
          <w:sz w:val="24"/>
          <w:szCs w:val="24"/>
          <w:lang w:eastAsia="en-GB"/>
        </w:rPr>
        <w:t>,</w:t>
      </w:r>
      <w:r w:rsidR="00AF1714" w:rsidRPr="00AF1714">
        <w:rPr>
          <w:rFonts w:ascii="Times New Roman" w:hAnsi="Times New Roman"/>
          <w:sz w:val="24"/>
          <w:szCs w:val="24"/>
          <w:lang w:eastAsia="en-GB"/>
        </w:rPr>
        <w:t xml:space="preserve"> 2012</w:t>
      </w:r>
      <w:r w:rsidR="00600E55" w:rsidRPr="00F027ED">
        <w:rPr>
          <w:rFonts w:ascii="Times New Roman" w:hAnsi="Times New Roman"/>
          <w:sz w:val="24"/>
          <w:szCs w:val="24"/>
          <w:lang w:eastAsia="en-GB"/>
        </w:rPr>
        <w:t>)</w:t>
      </w:r>
      <w:r w:rsidR="005E3518" w:rsidRPr="00F027ED">
        <w:rPr>
          <w:rFonts w:ascii="Times New Roman" w:hAnsi="Times New Roman"/>
          <w:sz w:val="24"/>
          <w:szCs w:val="24"/>
          <w:lang w:eastAsia="en-GB"/>
        </w:rPr>
        <w:t xml:space="preserve"> that could affect the converging/dive</w:t>
      </w:r>
      <w:r w:rsidR="00600E55" w:rsidRPr="00F027ED">
        <w:rPr>
          <w:rFonts w:ascii="Times New Roman" w:hAnsi="Times New Roman"/>
          <w:sz w:val="24"/>
          <w:szCs w:val="24"/>
          <w:lang w:eastAsia="en-GB"/>
        </w:rPr>
        <w:t>rging patterns between regions.</w:t>
      </w:r>
      <w:r w:rsidR="00F027ED" w:rsidRPr="00F027ED">
        <w:rPr>
          <w:rFonts w:ascii="Times New Roman" w:hAnsi="Times New Roman"/>
          <w:sz w:val="24"/>
          <w:szCs w:val="24"/>
          <w:lang w:eastAsia="en-GB"/>
        </w:rPr>
        <w:t xml:space="preserve"> We do not include them in our analysis.</w:t>
      </w:r>
      <w:r w:rsidR="00F027ED">
        <w:rPr>
          <w:rFonts w:ascii="Times New Roman" w:hAnsi="Times New Roman"/>
          <w:sz w:val="24"/>
          <w:szCs w:val="24"/>
          <w:lang w:eastAsia="en-GB"/>
        </w:rPr>
        <w:t xml:space="preserve"> </w:t>
      </w:r>
      <w:r w:rsidRPr="006D4641">
        <w:rPr>
          <w:rFonts w:ascii="Times New Roman" w:hAnsi="Times New Roman"/>
          <w:sz w:val="24"/>
          <w:szCs w:val="24"/>
          <w:lang w:eastAsia="en-GB"/>
        </w:rPr>
        <w:t>Furthermore, national factors can explain the regional within</w:t>
      </w:r>
      <w:r w:rsidRPr="006D4641">
        <w:rPr>
          <w:rFonts w:ascii="Times New Roman" w:hAnsi="Times New Roman"/>
          <w:sz w:val="24"/>
          <w:szCs w:val="24"/>
        </w:rPr>
        <w:t>-country convergence/divergence only when these factors also reflect those of the regions where financial centres are located.</w:t>
      </w:r>
      <w:r w:rsidR="006D4641">
        <w:rPr>
          <w:rFonts w:ascii="Times New Roman" w:hAnsi="Times New Roman"/>
          <w:sz w:val="24"/>
          <w:szCs w:val="24"/>
        </w:rPr>
        <w:t xml:space="preserve"> </w:t>
      </w:r>
      <w:r>
        <w:rPr>
          <w:rFonts w:ascii="Times New Roman" w:hAnsi="Times New Roman"/>
          <w:sz w:val="24"/>
          <w:szCs w:val="24"/>
          <w:lang w:eastAsia="en-GB"/>
        </w:rPr>
        <w:t>Finally, our analysis focuses</w:t>
      </w:r>
      <w:r w:rsidR="006810CC">
        <w:rPr>
          <w:rFonts w:ascii="Times New Roman" w:hAnsi="Times New Roman"/>
          <w:sz w:val="24"/>
          <w:szCs w:val="24"/>
          <w:lang w:eastAsia="en-GB"/>
        </w:rPr>
        <w:t xml:space="preserve"> solely</w:t>
      </w:r>
      <w:r>
        <w:rPr>
          <w:rFonts w:ascii="Times New Roman" w:hAnsi="Times New Roman"/>
          <w:sz w:val="24"/>
          <w:szCs w:val="24"/>
          <w:lang w:eastAsia="en-GB"/>
        </w:rPr>
        <w:t xml:space="preserve"> on the period of the GFC.</w:t>
      </w:r>
      <w:r w:rsidR="005E3518">
        <w:rPr>
          <w:rFonts w:ascii="Times New Roman" w:hAnsi="Times New Roman"/>
          <w:sz w:val="24"/>
          <w:szCs w:val="24"/>
          <w:lang w:eastAsia="en-GB"/>
        </w:rPr>
        <w:t xml:space="preserve"> </w:t>
      </w:r>
    </w:p>
    <w:p w14:paraId="1263F23D" w14:textId="487350CE" w:rsidR="00713975" w:rsidRPr="00713975" w:rsidRDefault="006D4641" w:rsidP="00550D13">
      <w:pPr>
        <w:pStyle w:val="PlainText"/>
        <w:spacing w:line="360" w:lineRule="auto"/>
        <w:ind w:firstLine="567"/>
        <w:jc w:val="both"/>
        <w:rPr>
          <w:rFonts w:ascii="Times New Roman" w:hAnsi="Times New Roman"/>
          <w:sz w:val="24"/>
          <w:szCs w:val="24"/>
          <w:lang w:eastAsia="en-GB"/>
        </w:rPr>
      </w:pPr>
      <w:r>
        <w:rPr>
          <w:rFonts w:ascii="Times New Roman" w:hAnsi="Times New Roman"/>
          <w:sz w:val="24"/>
          <w:szCs w:val="24"/>
          <w:lang w:eastAsia="en-GB"/>
        </w:rPr>
        <w:t>Nevertheless</w:t>
      </w:r>
      <w:r w:rsidR="0087400C">
        <w:rPr>
          <w:rFonts w:ascii="Times New Roman" w:hAnsi="Times New Roman"/>
          <w:sz w:val="24"/>
          <w:szCs w:val="24"/>
          <w:lang w:eastAsia="en-GB"/>
        </w:rPr>
        <w:t>,</w:t>
      </w:r>
      <w:r>
        <w:rPr>
          <w:rFonts w:ascii="Times New Roman" w:hAnsi="Times New Roman"/>
          <w:sz w:val="24"/>
          <w:szCs w:val="24"/>
          <w:lang w:eastAsia="en-GB"/>
        </w:rPr>
        <w:t xml:space="preserve"> </w:t>
      </w:r>
      <w:r w:rsidR="00F166C6" w:rsidRPr="00F166C6">
        <w:rPr>
          <w:rFonts w:ascii="Times New Roman" w:hAnsi="Times New Roman"/>
          <w:sz w:val="24"/>
          <w:szCs w:val="24"/>
          <w:lang w:eastAsia="en-GB"/>
        </w:rPr>
        <w:t xml:space="preserve">our findings still </w:t>
      </w:r>
      <w:r w:rsidR="00C72016">
        <w:rPr>
          <w:rFonts w:ascii="Times New Roman" w:hAnsi="Times New Roman"/>
          <w:sz w:val="24"/>
          <w:szCs w:val="24"/>
          <w:lang w:eastAsia="en-GB"/>
        </w:rPr>
        <w:t>provide</w:t>
      </w:r>
      <w:r w:rsidR="00F166C6" w:rsidRPr="00F166C6">
        <w:rPr>
          <w:rFonts w:ascii="Times New Roman" w:hAnsi="Times New Roman"/>
          <w:sz w:val="24"/>
          <w:szCs w:val="24"/>
          <w:lang w:eastAsia="en-GB"/>
        </w:rPr>
        <w:t xml:space="preserve"> relevant policy considerations</w:t>
      </w:r>
      <w:r w:rsidR="00675AEC">
        <w:rPr>
          <w:rFonts w:ascii="Times New Roman" w:hAnsi="Times New Roman"/>
          <w:sz w:val="24"/>
          <w:szCs w:val="24"/>
          <w:lang w:eastAsia="en-GB"/>
        </w:rPr>
        <w:t>.</w:t>
      </w:r>
      <w:r w:rsidR="00AF1714">
        <w:rPr>
          <w:rFonts w:ascii="Times New Roman" w:hAnsi="Times New Roman"/>
          <w:sz w:val="24"/>
          <w:szCs w:val="24"/>
          <w:lang w:eastAsia="en-GB"/>
        </w:rPr>
        <w:t xml:space="preserve"> </w:t>
      </w:r>
      <w:r w:rsidR="007871BD">
        <w:rPr>
          <w:rFonts w:ascii="Times New Roman" w:hAnsi="Times New Roman"/>
          <w:sz w:val="24"/>
          <w:szCs w:val="24"/>
          <w:lang w:eastAsia="en-GB"/>
        </w:rPr>
        <w:t>Policy</w:t>
      </w:r>
      <w:r w:rsidR="00713975" w:rsidRPr="00713975">
        <w:rPr>
          <w:rFonts w:ascii="Times New Roman" w:hAnsi="Times New Roman"/>
          <w:sz w:val="24"/>
          <w:szCs w:val="24"/>
          <w:lang w:eastAsia="en-GB"/>
        </w:rPr>
        <w:t xml:space="preserve"> interventions</w:t>
      </w:r>
      <w:r w:rsidR="00641689">
        <w:rPr>
          <w:rFonts w:ascii="Times New Roman" w:hAnsi="Times New Roman"/>
          <w:sz w:val="24"/>
          <w:szCs w:val="24"/>
          <w:lang w:eastAsia="en-GB"/>
        </w:rPr>
        <w:t xml:space="preserve"> that </w:t>
      </w:r>
      <w:r w:rsidR="00DD1E8B">
        <w:rPr>
          <w:rFonts w:ascii="Times New Roman" w:hAnsi="Times New Roman"/>
          <w:sz w:val="24"/>
          <w:szCs w:val="24"/>
          <w:lang w:eastAsia="en-GB"/>
        </w:rPr>
        <w:t xml:space="preserve">are </w:t>
      </w:r>
      <w:r w:rsidR="00641689">
        <w:rPr>
          <w:rFonts w:ascii="Times New Roman" w:hAnsi="Times New Roman"/>
          <w:sz w:val="24"/>
          <w:szCs w:val="24"/>
          <w:lang w:eastAsia="en-GB"/>
        </w:rPr>
        <w:t>aim</w:t>
      </w:r>
      <w:r w:rsidR="00DD1E8B">
        <w:rPr>
          <w:rFonts w:ascii="Times New Roman" w:hAnsi="Times New Roman"/>
          <w:sz w:val="24"/>
          <w:szCs w:val="24"/>
          <w:lang w:eastAsia="en-GB"/>
        </w:rPr>
        <w:t>ed</w:t>
      </w:r>
      <w:r w:rsidR="00641689">
        <w:rPr>
          <w:rFonts w:ascii="Times New Roman" w:hAnsi="Times New Roman"/>
          <w:sz w:val="24"/>
          <w:szCs w:val="24"/>
          <w:lang w:eastAsia="en-GB"/>
        </w:rPr>
        <w:t xml:space="preserve"> </w:t>
      </w:r>
      <w:r w:rsidR="00DD1E8B">
        <w:rPr>
          <w:rFonts w:ascii="Times New Roman" w:hAnsi="Times New Roman"/>
          <w:sz w:val="24"/>
          <w:szCs w:val="24"/>
          <w:lang w:eastAsia="en-GB"/>
        </w:rPr>
        <w:t>at</w:t>
      </w:r>
      <w:r w:rsidR="0040475C" w:rsidRPr="00713975">
        <w:rPr>
          <w:rFonts w:ascii="Times New Roman" w:hAnsi="Times New Roman"/>
          <w:sz w:val="24"/>
          <w:szCs w:val="24"/>
          <w:lang w:eastAsia="en-GB"/>
        </w:rPr>
        <w:t xml:space="preserve"> maximis</w:t>
      </w:r>
      <w:r w:rsidR="00DD1E8B">
        <w:rPr>
          <w:rFonts w:ascii="Times New Roman" w:hAnsi="Times New Roman"/>
          <w:sz w:val="24"/>
          <w:szCs w:val="24"/>
          <w:lang w:eastAsia="en-GB"/>
        </w:rPr>
        <w:t>ing</w:t>
      </w:r>
      <w:r w:rsidR="0040475C" w:rsidRPr="00713975">
        <w:rPr>
          <w:rFonts w:ascii="Times New Roman" w:hAnsi="Times New Roman"/>
          <w:sz w:val="24"/>
          <w:szCs w:val="24"/>
          <w:lang w:eastAsia="en-GB"/>
        </w:rPr>
        <w:t xml:space="preserve"> the sources of competitiveness of the GFCI</w:t>
      </w:r>
      <w:r w:rsidR="00764CAD">
        <w:rPr>
          <w:rFonts w:ascii="Times New Roman" w:hAnsi="Times New Roman"/>
          <w:sz w:val="24"/>
          <w:szCs w:val="24"/>
          <w:lang w:eastAsia="en-GB"/>
        </w:rPr>
        <w:t xml:space="preserve"> </w:t>
      </w:r>
      <w:r w:rsidR="00713975" w:rsidRPr="00713975">
        <w:rPr>
          <w:rFonts w:ascii="Times New Roman" w:hAnsi="Times New Roman"/>
          <w:sz w:val="24"/>
          <w:szCs w:val="24"/>
          <w:lang w:eastAsia="en-GB"/>
        </w:rPr>
        <w:t>may penalise the regional economic catch-up of less advanced regions</w:t>
      </w:r>
      <w:r w:rsidR="0040475C">
        <w:rPr>
          <w:rFonts w:ascii="Times New Roman" w:hAnsi="Times New Roman"/>
          <w:sz w:val="24"/>
          <w:szCs w:val="24"/>
          <w:lang w:eastAsia="en-GB"/>
        </w:rPr>
        <w:t xml:space="preserve">. This can occur </w:t>
      </w:r>
      <w:r w:rsidR="00EF46B6">
        <w:rPr>
          <w:rFonts w:ascii="Times New Roman" w:hAnsi="Times New Roman"/>
          <w:sz w:val="24"/>
          <w:szCs w:val="24"/>
          <w:lang w:eastAsia="en-GB"/>
        </w:rPr>
        <w:t>when</w:t>
      </w:r>
      <w:r>
        <w:rPr>
          <w:rFonts w:ascii="Times New Roman" w:hAnsi="Times New Roman"/>
          <w:sz w:val="24"/>
          <w:szCs w:val="24"/>
          <w:lang w:eastAsia="en-GB"/>
        </w:rPr>
        <w:t xml:space="preserve"> </w:t>
      </w:r>
      <w:r w:rsidR="00713975" w:rsidRPr="00713975">
        <w:rPr>
          <w:rFonts w:ascii="Times New Roman" w:hAnsi="Times New Roman"/>
          <w:sz w:val="24"/>
          <w:szCs w:val="24"/>
          <w:lang w:eastAsia="en-GB"/>
        </w:rPr>
        <w:t>resources</w:t>
      </w:r>
      <w:r w:rsidR="0040475C">
        <w:rPr>
          <w:rFonts w:ascii="Times New Roman" w:hAnsi="Times New Roman"/>
          <w:sz w:val="24"/>
          <w:szCs w:val="24"/>
          <w:lang w:eastAsia="en-GB"/>
        </w:rPr>
        <w:t>, e.g.,</w:t>
      </w:r>
      <w:r w:rsidR="00713975" w:rsidRPr="00713975">
        <w:rPr>
          <w:rFonts w:ascii="Times New Roman" w:hAnsi="Times New Roman"/>
          <w:sz w:val="24"/>
          <w:szCs w:val="24"/>
          <w:lang w:eastAsia="en-GB"/>
        </w:rPr>
        <w:t xml:space="preserve"> investments</w:t>
      </w:r>
      <w:r w:rsidR="0040475C">
        <w:rPr>
          <w:rFonts w:ascii="Times New Roman" w:hAnsi="Times New Roman"/>
          <w:sz w:val="24"/>
          <w:szCs w:val="24"/>
          <w:lang w:eastAsia="en-GB"/>
        </w:rPr>
        <w:t xml:space="preserve"> and</w:t>
      </w:r>
      <w:r w:rsidR="0040475C" w:rsidRPr="00713975">
        <w:rPr>
          <w:rFonts w:ascii="Times New Roman" w:hAnsi="Times New Roman"/>
          <w:sz w:val="24"/>
          <w:szCs w:val="24"/>
          <w:lang w:eastAsia="en-GB"/>
        </w:rPr>
        <w:t xml:space="preserve"> </w:t>
      </w:r>
      <w:r w:rsidR="00713975" w:rsidRPr="00713975">
        <w:rPr>
          <w:rFonts w:ascii="Times New Roman" w:hAnsi="Times New Roman"/>
          <w:sz w:val="24"/>
          <w:szCs w:val="24"/>
          <w:lang w:eastAsia="en-GB"/>
        </w:rPr>
        <w:t>labo</w:t>
      </w:r>
      <w:r w:rsidR="0040475C">
        <w:rPr>
          <w:rFonts w:ascii="Times New Roman" w:hAnsi="Times New Roman"/>
          <w:sz w:val="24"/>
          <w:szCs w:val="24"/>
          <w:lang w:eastAsia="en-GB"/>
        </w:rPr>
        <w:t>u</w:t>
      </w:r>
      <w:r w:rsidR="00713975" w:rsidRPr="00713975">
        <w:rPr>
          <w:rFonts w:ascii="Times New Roman" w:hAnsi="Times New Roman"/>
          <w:sz w:val="24"/>
          <w:szCs w:val="24"/>
          <w:lang w:eastAsia="en-GB"/>
        </w:rPr>
        <w:t>r</w:t>
      </w:r>
      <w:r w:rsidR="003B7CB8">
        <w:rPr>
          <w:rFonts w:ascii="Times New Roman" w:hAnsi="Times New Roman"/>
          <w:sz w:val="24"/>
          <w:szCs w:val="24"/>
          <w:lang w:eastAsia="en-GB"/>
        </w:rPr>
        <w:t>, are centralized</w:t>
      </w:r>
      <w:r w:rsidR="0040475C">
        <w:rPr>
          <w:rFonts w:ascii="Times New Roman" w:hAnsi="Times New Roman"/>
          <w:sz w:val="24"/>
          <w:szCs w:val="24"/>
          <w:lang w:eastAsia="en-GB"/>
        </w:rPr>
        <w:t xml:space="preserve"> </w:t>
      </w:r>
      <w:r w:rsidR="00713975" w:rsidRPr="00713975">
        <w:rPr>
          <w:rFonts w:ascii="Times New Roman" w:hAnsi="Times New Roman"/>
          <w:sz w:val="24"/>
          <w:szCs w:val="24"/>
          <w:lang w:eastAsia="en-GB"/>
        </w:rPr>
        <w:t>towards more advanced regions in which financial</w:t>
      </w:r>
      <w:r w:rsidR="00680DB2">
        <w:rPr>
          <w:rFonts w:ascii="Times New Roman" w:hAnsi="Times New Roman"/>
          <w:sz w:val="24"/>
          <w:szCs w:val="24"/>
          <w:lang w:eastAsia="en-GB"/>
        </w:rPr>
        <w:t xml:space="preserve"> centres are typically located. </w:t>
      </w:r>
      <w:r w:rsidR="0087400C">
        <w:rPr>
          <w:rFonts w:ascii="Times New Roman" w:hAnsi="Times New Roman"/>
          <w:sz w:val="24"/>
          <w:szCs w:val="24"/>
          <w:lang w:eastAsia="en-GB"/>
        </w:rPr>
        <w:t>I</w:t>
      </w:r>
      <w:r w:rsidR="003B7CB8">
        <w:rPr>
          <w:rFonts w:ascii="Times New Roman" w:hAnsi="Times New Roman"/>
          <w:sz w:val="24"/>
          <w:szCs w:val="24"/>
          <w:lang w:eastAsia="en-GB"/>
        </w:rPr>
        <w:t>t is</w:t>
      </w:r>
      <w:r w:rsidR="0087400C">
        <w:rPr>
          <w:rFonts w:ascii="Times New Roman" w:hAnsi="Times New Roman"/>
          <w:sz w:val="24"/>
          <w:szCs w:val="24"/>
          <w:lang w:eastAsia="en-GB"/>
        </w:rPr>
        <w:t xml:space="preserve"> therefore</w:t>
      </w:r>
      <w:r w:rsidR="003B7CB8">
        <w:rPr>
          <w:rFonts w:ascii="Times New Roman" w:hAnsi="Times New Roman"/>
          <w:sz w:val="24"/>
          <w:szCs w:val="24"/>
          <w:lang w:eastAsia="en-GB"/>
        </w:rPr>
        <w:t xml:space="preserve"> crucial that</w:t>
      </w:r>
      <w:r w:rsidR="0040475C">
        <w:rPr>
          <w:rFonts w:ascii="Times New Roman" w:hAnsi="Times New Roman"/>
          <w:sz w:val="24"/>
          <w:szCs w:val="24"/>
          <w:lang w:eastAsia="en-GB"/>
        </w:rPr>
        <w:t xml:space="preserve"> interventions for regional </w:t>
      </w:r>
      <w:r>
        <w:rPr>
          <w:rFonts w:ascii="Times New Roman" w:hAnsi="Times New Roman"/>
          <w:sz w:val="24"/>
          <w:szCs w:val="24"/>
          <w:lang w:eastAsia="en-GB"/>
        </w:rPr>
        <w:t xml:space="preserve">development </w:t>
      </w:r>
      <w:r w:rsidR="008030E2">
        <w:rPr>
          <w:rFonts w:ascii="Times New Roman" w:hAnsi="Times New Roman"/>
          <w:sz w:val="24"/>
          <w:szCs w:val="24"/>
          <w:lang w:eastAsia="en-GB"/>
        </w:rPr>
        <w:t xml:space="preserve">take into account </w:t>
      </w:r>
      <w:r w:rsidR="00713975" w:rsidRPr="00713975">
        <w:rPr>
          <w:rFonts w:ascii="Times New Roman" w:hAnsi="Times New Roman"/>
          <w:sz w:val="24"/>
          <w:szCs w:val="24"/>
          <w:lang w:eastAsia="en-GB"/>
        </w:rPr>
        <w:t xml:space="preserve">both the international needs and pressures of the regions where financial centres are located along with the </w:t>
      </w:r>
      <w:r w:rsidR="00713975" w:rsidRPr="003E6765">
        <w:rPr>
          <w:rFonts w:ascii="Times New Roman" w:hAnsi="Times New Roman"/>
          <w:sz w:val="24"/>
          <w:szCs w:val="24"/>
          <w:lang w:eastAsia="en-GB"/>
        </w:rPr>
        <w:t xml:space="preserve">needs of more peripheral regions. </w:t>
      </w:r>
      <w:r w:rsidR="00DD1E8B" w:rsidRPr="003E6765">
        <w:rPr>
          <w:rFonts w:ascii="Times New Roman" w:hAnsi="Times New Roman"/>
          <w:sz w:val="24"/>
          <w:szCs w:val="24"/>
          <w:lang w:eastAsia="en-GB"/>
        </w:rPr>
        <w:t>T</w:t>
      </w:r>
      <w:r w:rsidR="00775B22" w:rsidRPr="003E6765">
        <w:rPr>
          <w:rFonts w:ascii="Times New Roman" w:hAnsi="Times New Roman"/>
          <w:sz w:val="24"/>
          <w:szCs w:val="24"/>
          <w:lang w:eastAsia="en-GB"/>
        </w:rPr>
        <w:t>he increase in the competitiveness of financial centres might</w:t>
      </w:r>
      <w:r w:rsidR="00F0117A" w:rsidRPr="003E6765">
        <w:rPr>
          <w:rFonts w:ascii="Times New Roman" w:hAnsi="Times New Roman"/>
          <w:sz w:val="24"/>
          <w:szCs w:val="24"/>
          <w:lang w:eastAsia="en-GB"/>
        </w:rPr>
        <w:t xml:space="preserve"> therefore</w:t>
      </w:r>
      <w:r w:rsidR="00775B22" w:rsidRPr="003E6765">
        <w:rPr>
          <w:rFonts w:ascii="Times New Roman" w:hAnsi="Times New Roman"/>
          <w:sz w:val="24"/>
          <w:szCs w:val="24"/>
          <w:lang w:eastAsia="en-GB"/>
        </w:rPr>
        <w:t xml:space="preserve"> require counterbalancing the aggregation of financial services in a specific location with a network</w:t>
      </w:r>
      <w:r w:rsidR="00775B22" w:rsidRPr="00713975">
        <w:rPr>
          <w:rFonts w:ascii="Times New Roman" w:hAnsi="Times New Roman"/>
          <w:sz w:val="24"/>
          <w:szCs w:val="24"/>
          <w:lang w:eastAsia="en-GB"/>
        </w:rPr>
        <w:t xml:space="preserve"> of financial institutions</w:t>
      </w:r>
      <w:r w:rsidR="00775B22">
        <w:rPr>
          <w:rFonts w:ascii="Times New Roman" w:hAnsi="Times New Roman"/>
          <w:sz w:val="24"/>
          <w:szCs w:val="24"/>
          <w:lang w:eastAsia="en-GB"/>
        </w:rPr>
        <w:t xml:space="preserve"> and </w:t>
      </w:r>
      <w:r w:rsidR="00775B22" w:rsidRPr="00713975">
        <w:rPr>
          <w:rFonts w:ascii="Times New Roman" w:hAnsi="Times New Roman"/>
          <w:sz w:val="24"/>
          <w:szCs w:val="24"/>
          <w:lang w:eastAsia="en-GB"/>
        </w:rPr>
        <w:t>services</w:t>
      </w:r>
      <w:r w:rsidR="00775B22">
        <w:rPr>
          <w:rFonts w:ascii="Times New Roman" w:hAnsi="Times New Roman"/>
          <w:sz w:val="24"/>
          <w:szCs w:val="24"/>
          <w:lang w:eastAsia="en-GB"/>
        </w:rPr>
        <w:t xml:space="preserve"> </w:t>
      </w:r>
      <w:r w:rsidR="00775B22" w:rsidRPr="00713975">
        <w:rPr>
          <w:rFonts w:ascii="Times New Roman" w:hAnsi="Times New Roman"/>
          <w:sz w:val="24"/>
          <w:szCs w:val="24"/>
          <w:lang w:eastAsia="en-GB"/>
        </w:rPr>
        <w:t>dedicated to the support and stimulation of the local regional demand and economies.</w:t>
      </w:r>
      <w:r w:rsidR="00775B22">
        <w:rPr>
          <w:rFonts w:ascii="Times New Roman" w:hAnsi="Times New Roman"/>
          <w:sz w:val="24"/>
          <w:szCs w:val="24"/>
          <w:lang w:eastAsia="en-GB"/>
        </w:rPr>
        <w:t xml:space="preserve"> </w:t>
      </w:r>
      <w:r w:rsidR="00EC5EBB">
        <w:rPr>
          <w:rFonts w:ascii="Times New Roman" w:hAnsi="Times New Roman"/>
          <w:sz w:val="24"/>
          <w:szCs w:val="24"/>
          <w:lang w:eastAsia="en-GB"/>
        </w:rPr>
        <w:t>In this context,</w:t>
      </w:r>
      <w:r w:rsidR="00D24385">
        <w:rPr>
          <w:rFonts w:ascii="Times New Roman" w:hAnsi="Times New Roman"/>
          <w:sz w:val="24"/>
          <w:szCs w:val="24"/>
          <w:lang w:eastAsia="en-GB"/>
        </w:rPr>
        <w:t xml:space="preserve"> </w:t>
      </w:r>
      <w:r w:rsidR="00EC5EBB" w:rsidRPr="00713975">
        <w:rPr>
          <w:rFonts w:ascii="Times New Roman" w:hAnsi="Times New Roman"/>
          <w:sz w:val="24"/>
          <w:szCs w:val="24"/>
          <w:lang w:eastAsia="en-GB"/>
        </w:rPr>
        <w:t xml:space="preserve">regional development policies </w:t>
      </w:r>
      <w:r w:rsidR="00EC5EBB">
        <w:rPr>
          <w:rFonts w:ascii="Times New Roman" w:hAnsi="Times New Roman"/>
          <w:sz w:val="24"/>
          <w:szCs w:val="24"/>
          <w:lang w:eastAsia="en-GB"/>
        </w:rPr>
        <w:t>can play a pivotal role</w:t>
      </w:r>
      <w:r w:rsidR="00713975" w:rsidRPr="00713975">
        <w:rPr>
          <w:rFonts w:ascii="Times New Roman" w:hAnsi="Times New Roman"/>
          <w:sz w:val="24"/>
          <w:szCs w:val="24"/>
          <w:lang w:eastAsia="en-GB"/>
        </w:rPr>
        <w:t xml:space="preserve"> </w:t>
      </w:r>
      <w:r w:rsidR="0060665C">
        <w:rPr>
          <w:rFonts w:ascii="Times New Roman" w:hAnsi="Times New Roman"/>
          <w:sz w:val="24"/>
          <w:szCs w:val="24"/>
          <w:lang w:eastAsia="en-GB"/>
        </w:rPr>
        <w:t>in</w:t>
      </w:r>
      <w:r w:rsidR="0060665C" w:rsidRPr="00713975">
        <w:rPr>
          <w:rFonts w:ascii="Times New Roman" w:hAnsi="Times New Roman"/>
          <w:sz w:val="24"/>
          <w:szCs w:val="24"/>
          <w:lang w:eastAsia="en-GB"/>
        </w:rPr>
        <w:t xml:space="preserve"> </w:t>
      </w:r>
      <w:r w:rsidR="00D24385">
        <w:rPr>
          <w:rFonts w:ascii="Times New Roman" w:hAnsi="Times New Roman"/>
          <w:sz w:val="24"/>
          <w:szCs w:val="24"/>
          <w:lang w:eastAsia="en-GB"/>
        </w:rPr>
        <w:t xml:space="preserve">supporting </w:t>
      </w:r>
      <w:r w:rsidR="00600E55">
        <w:rPr>
          <w:rFonts w:ascii="Times New Roman" w:hAnsi="Times New Roman"/>
          <w:sz w:val="24"/>
          <w:szCs w:val="24"/>
          <w:lang w:eastAsia="en-GB"/>
        </w:rPr>
        <w:t>a more decentralized financial system</w:t>
      </w:r>
      <w:r w:rsidR="00D24385">
        <w:rPr>
          <w:rFonts w:ascii="Times New Roman" w:hAnsi="Times New Roman"/>
          <w:sz w:val="24"/>
          <w:szCs w:val="24"/>
          <w:lang w:eastAsia="en-GB"/>
        </w:rPr>
        <w:t xml:space="preserve">. As suggested by </w:t>
      </w:r>
      <w:r w:rsidR="00D24385" w:rsidRPr="00B4726E">
        <w:rPr>
          <w:rFonts w:ascii="Times New Roman" w:hAnsi="Times New Roman"/>
          <w:sz w:val="24"/>
          <w:szCs w:val="24"/>
          <w:lang w:eastAsia="en-GB"/>
        </w:rPr>
        <w:t>Klagge and Martin</w:t>
      </w:r>
      <w:r w:rsidR="00D24385">
        <w:rPr>
          <w:rFonts w:ascii="Times New Roman" w:hAnsi="Times New Roman"/>
          <w:sz w:val="24"/>
          <w:szCs w:val="24"/>
          <w:lang w:eastAsia="en-GB"/>
        </w:rPr>
        <w:t xml:space="preserve"> (</w:t>
      </w:r>
      <w:r w:rsidR="00D24385" w:rsidRPr="00B4726E">
        <w:rPr>
          <w:rFonts w:ascii="Times New Roman" w:hAnsi="Times New Roman"/>
          <w:sz w:val="24"/>
          <w:szCs w:val="24"/>
          <w:lang w:eastAsia="en-GB"/>
        </w:rPr>
        <w:t>2005</w:t>
      </w:r>
      <w:r w:rsidR="00D24385">
        <w:rPr>
          <w:rFonts w:ascii="Times New Roman" w:hAnsi="Times New Roman"/>
          <w:sz w:val="24"/>
          <w:szCs w:val="24"/>
          <w:lang w:eastAsia="en-GB"/>
        </w:rPr>
        <w:t xml:space="preserve">), this can be </w:t>
      </w:r>
      <w:r w:rsidR="00DD1E8B">
        <w:rPr>
          <w:rFonts w:ascii="Times New Roman" w:hAnsi="Times New Roman"/>
          <w:sz w:val="24"/>
          <w:szCs w:val="24"/>
          <w:lang w:eastAsia="en-GB"/>
        </w:rPr>
        <w:t>a</w:t>
      </w:r>
      <w:r w:rsidR="008F541E">
        <w:rPr>
          <w:rFonts w:ascii="Times New Roman" w:hAnsi="Times New Roman"/>
          <w:sz w:val="24"/>
          <w:szCs w:val="24"/>
          <w:lang w:eastAsia="en-GB"/>
        </w:rPr>
        <w:t>chieved</w:t>
      </w:r>
      <w:r w:rsidR="00D24385" w:rsidRPr="00B4726E">
        <w:rPr>
          <w:rFonts w:ascii="Times New Roman" w:hAnsi="Times New Roman"/>
          <w:sz w:val="24"/>
          <w:szCs w:val="24"/>
          <w:lang w:eastAsia="en-GB"/>
        </w:rPr>
        <w:t xml:space="preserve"> </w:t>
      </w:r>
      <w:r w:rsidR="00D24385">
        <w:rPr>
          <w:rFonts w:ascii="Times New Roman" w:hAnsi="Times New Roman"/>
          <w:sz w:val="24"/>
          <w:szCs w:val="24"/>
          <w:lang w:eastAsia="en-GB"/>
        </w:rPr>
        <w:t xml:space="preserve">through </w:t>
      </w:r>
      <w:r w:rsidR="00DD1E8B">
        <w:rPr>
          <w:rFonts w:ascii="Times New Roman" w:hAnsi="Times New Roman"/>
          <w:sz w:val="24"/>
          <w:szCs w:val="24"/>
          <w:lang w:eastAsia="en-GB"/>
        </w:rPr>
        <w:t>the development of</w:t>
      </w:r>
      <w:r w:rsidR="00D24385" w:rsidRPr="00B4726E">
        <w:rPr>
          <w:rFonts w:ascii="Times New Roman" w:hAnsi="Times New Roman"/>
          <w:sz w:val="24"/>
          <w:szCs w:val="24"/>
          <w:lang w:eastAsia="en-GB"/>
        </w:rPr>
        <w:t xml:space="preserve"> local capital markets in terms of institutions, networks</w:t>
      </w:r>
      <w:r w:rsidR="00D24385">
        <w:rPr>
          <w:rFonts w:ascii="Times New Roman" w:hAnsi="Times New Roman"/>
          <w:sz w:val="24"/>
          <w:szCs w:val="24"/>
          <w:lang w:eastAsia="en-GB"/>
        </w:rPr>
        <w:t>,</w:t>
      </w:r>
      <w:r w:rsidR="00D24385" w:rsidRPr="00B4726E">
        <w:rPr>
          <w:rFonts w:ascii="Times New Roman" w:hAnsi="Times New Roman"/>
          <w:sz w:val="24"/>
          <w:szCs w:val="24"/>
          <w:lang w:eastAsia="en-GB"/>
        </w:rPr>
        <w:t xml:space="preserve"> and agents</w:t>
      </w:r>
      <w:r w:rsidR="00D24385">
        <w:rPr>
          <w:rFonts w:ascii="Times New Roman" w:hAnsi="Times New Roman"/>
          <w:sz w:val="24"/>
          <w:szCs w:val="24"/>
          <w:lang w:eastAsia="en-GB"/>
        </w:rPr>
        <w:t>.</w:t>
      </w:r>
      <w:r w:rsidR="00D24385" w:rsidRPr="00B4726E">
        <w:rPr>
          <w:rFonts w:ascii="Times New Roman" w:hAnsi="Times New Roman"/>
          <w:sz w:val="24"/>
          <w:szCs w:val="24"/>
          <w:lang w:eastAsia="en-GB"/>
        </w:rPr>
        <w:t xml:space="preserve"> </w:t>
      </w:r>
      <w:r w:rsidR="002F0B0D" w:rsidRPr="00B4726E">
        <w:rPr>
          <w:rFonts w:ascii="Times New Roman" w:hAnsi="Times New Roman"/>
          <w:sz w:val="24"/>
          <w:szCs w:val="24"/>
          <w:lang w:eastAsia="en-GB"/>
        </w:rPr>
        <w:t>Furthermore</w:t>
      </w:r>
      <w:r w:rsidR="00B606F6">
        <w:rPr>
          <w:rFonts w:ascii="Times New Roman" w:hAnsi="Times New Roman"/>
          <w:sz w:val="24"/>
          <w:szCs w:val="24"/>
          <w:lang w:eastAsia="en-GB"/>
        </w:rPr>
        <w:t>,</w:t>
      </w:r>
      <w:r w:rsidR="0060665C">
        <w:rPr>
          <w:rFonts w:ascii="Times New Roman" w:hAnsi="Times New Roman"/>
          <w:sz w:val="24"/>
          <w:szCs w:val="24"/>
          <w:lang w:eastAsia="en-GB"/>
        </w:rPr>
        <w:t xml:space="preserve"> </w:t>
      </w:r>
      <w:r w:rsidR="002F0B0D" w:rsidRPr="00B4726E">
        <w:rPr>
          <w:rFonts w:ascii="Times New Roman" w:hAnsi="Times New Roman"/>
          <w:sz w:val="24"/>
          <w:szCs w:val="24"/>
          <w:lang w:eastAsia="en-GB"/>
        </w:rPr>
        <w:t xml:space="preserve">national-level interventions </w:t>
      </w:r>
      <w:r w:rsidR="00B606F6">
        <w:rPr>
          <w:rFonts w:ascii="Times New Roman" w:hAnsi="Times New Roman"/>
          <w:sz w:val="24"/>
          <w:szCs w:val="24"/>
          <w:lang w:eastAsia="en-GB"/>
        </w:rPr>
        <w:t xml:space="preserve">that improve </w:t>
      </w:r>
      <w:r w:rsidR="002F0B0D" w:rsidRPr="00B4726E">
        <w:rPr>
          <w:rFonts w:ascii="Times New Roman" w:hAnsi="Times New Roman"/>
          <w:sz w:val="24"/>
          <w:szCs w:val="24"/>
          <w:lang w:eastAsia="en-GB"/>
        </w:rPr>
        <w:t xml:space="preserve">the quality of infrastructure, the skills and knowledge of human resources, market access, efficiency of business environment, and overall competitiveness can </w:t>
      </w:r>
      <w:r w:rsidR="00B606F6">
        <w:rPr>
          <w:rFonts w:ascii="Times New Roman" w:hAnsi="Times New Roman"/>
          <w:sz w:val="24"/>
          <w:szCs w:val="24"/>
          <w:lang w:eastAsia="en-GB"/>
        </w:rPr>
        <w:t xml:space="preserve">also </w:t>
      </w:r>
      <w:r w:rsidR="00ED001A">
        <w:rPr>
          <w:rFonts w:ascii="Times New Roman" w:hAnsi="Times New Roman"/>
          <w:sz w:val="24"/>
          <w:szCs w:val="24"/>
          <w:lang w:eastAsia="en-GB"/>
        </w:rPr>
        <w:t>contribute to</w:t>
      </w:r>
      <w:r w:rsidR="002F0B0D" w:rsidRPr="00B4726E">
        <w:rPr>
          <w:rFonts w:ascii="Times New Roman" w:hAnsi="Times New Roman"/>
          <w:sz w:val="24"/>
          <w:szCs w:val="24"/>
          <w:lang w:eastAsia="en-GB"/>
        </w:rPr>
        <w:t xml:space="preserve"> </w:t>
      </w:r>
      <w:r w:rsidR="0060665C">
        <w:rPr>
          <w:rFonts w:ascii="Times New Roman" w:hAnsi="Times New Roman"/>
          <w:sz w:val="24"/>
          <w:szCs w:val="24"/>
          <w:lang w:eastAsia="en-GB"/>
        </w:rPr>
        <w:t>r</w:t>
      </w:r>
      <w:r w:rsidR="002F0B0D" w:rsidRPr="00B4726E">
        <w:rPr>
          <w:rFonts w:ascii="Times New Roman" w:hAnsi="Times New Roman"/>
          <w:sz w:val="24"/>
          <w:szCs w:val="24"/>
          <w:lang w:eastAsia="en-GB"/>
        </w:rPr>
        <w:t xml:space="preserve">egional convergence dynamics. </w:t>
      </w:r>
      <w:r w:rsidR="00F027ED" w:rsidRPr="00F027ED">
        <w:rPr>
          <w:rFonts w:ascii="Times New Roman" w:hAnsi="Times New Roman"/>
          <w:sz w:val="24"/>
          <w:szCs w:val="24"/>
          <w:lang w:eastAsia="en-GB"/>
        </w:rPr>
        <w:t>In accordance</w:t>
      </w:r>
      <w:r w:rsidR="009C1F51" w:rsidRPr="00F027ED">
        <w:rPr>
          <w:rFonts w:ascii="Times New Roman" w:hAnsi="Times New Roman"/>
          <w:sz w:val="24"/>
          <w:szCs w:val="24"/>
          <w:lang w:eastAsia="en-GB"/>
        </w:rPr>
        <w:t xml:space="preserve"> with</w:t>
      </w:r>
      <w:r w:rsidR="00713975" w:rsidRPr="00F027ED">
        <w:rPr>
          <w:rFonts w:ascii="Times New Roman" w:hAnsi="Times New Roman"/>
          <w:sz w:val="24"/>
          <w:szCs w:val="24"/>
          <w:lang w:eastAsia="en-GB"/>
        </w:rPr>
        <w:t xml:space="preserve"> Crescenzi and Giua (2016)</w:t>
      </w:r>
      <w:r w:rsidR="009C1F51" w:rsidRPr="00F027ED">
        <w:rPr>
          <w:rFonts w:ascii="Times New Roman" w:hAnsi="Times New Roman"/>
          <w:sz w:val="24"/>
          <w:szCs w:val="24"/>
          <w:lang w:eastAsia="en-GB"/>
        </w:rPr>
        <w:t>’s arguments,</w:t>
      </w:r>
      <w:r w:rsidR="008030E2" w:rsidRPr="00F027ED">
        <w:rPr>
          <w:rFonts w:ascii="Times New Roman" w:hAnsi="Times New Roman"/>
          <w:sz w:val="24"/>
          <w:szCs w:val="24"/>
          <w:lang w:eastAsia="en-GB"/>
        </w:rPr>
        <w:t xml:space="preserve"> </w:t>
      </w:r>
      <w:r w:rsidR="009C1F51" w:rsidRPr="00F027ED">
        <w:rPr>
          <w:rFonts w:ascii="Times New Roman" w:hAnsi="Times New Roman"/>
          <w:sz w:val="24"/>
          <w:szCs w:val="24"/>
          <w:lang w:eastAsia="en-GB"/>
        </w:rPr>
        <w:t xml:space="preserve">this suggests that </w:t>
      </w:r>
      <w:r w:rsidR="00600E55" w:rsidRPr="00F027ED">
        <w:rPr>
          <w:rFonts w:ascii="Times New Roman" w:hAnsi="Times New Roman"/>
          <w:sz w:val="24"/>
          <w:szCs w:val="24"/>
          <w:lang w:eastAsia="en-GB"/>
        </w:rPr>
        <w:t>EU policies aimed to reduce regional inequalities should take into considerations not only territorial conditions, but also the national socio-economic environment.</w:t>
      </w:r>
    </w:p>
    <w:p w14:paraId="0BA11306" w14:textId="15C190DD" w:rsidR="00713975" w:rsidRPr="00153726" w:rsidRDefault="00E11BD1" w:rsidP="00153726">
      <w:pPr>
        <w:autoSpaceDE w:val="0"/>
        <w:autoSpaceDN w:val="0"/>
        <w:adjustRightInd w:val="0"/>
        <w:spacing w:line="360" w:lineRule="auto"/>
        <w:ind w:firstLine="567"/>
        <w:jc w:val="both"/>
      </w:pPr>
      <w:r w:rsidRPr="00266C82">
        <w:t xml:space="preserve">The paper can be further extended in several directions. One </w:t>
      </w:r>
      <w:r w:rsidR="0087400C">
        <w:t xml:space="preserve">of these </w:t>
      </w:r>
      <w:r w:rsidRPr="00266C82">
        <w:t>might</w:t>
      </w:r>
      <w:r w:rsidR="0087400C">
        <w:t xml:space="preserve"> be</w:t>
      </w:r>
      <w:r w:rsidRPr="00266C82">
        <w:t xml:space="preserve"> </w:t>
      </w:r>
      <w:r w:rsidR="0087400C">
        <w:t xml:space="preserve">by </w:t>
      </w:r>
      <w:r w:rsidRPr="00266C82">
        <w:t>focus</w:t>
      </w:r>
      <w:r w:rsidR="0087400C">
        <w:t>ing</w:t>
      </w:r>
      <w:r w:rsidRPr="00266C82">
        <w:t xml:space="preserve"> on possible spill</w:t>
      </w:r>
      <w:r>
        <w:t>-</w:t>
      </w:r>
      <w:r w:rsidRPr="00266C82">
        <w:t xml:space="preserve">over effects between regions by collecting additional data at the regional level to examine the convergence pattern of EU regions. Alternatively, an additional extension of our study might explore the ways through which resources move between regions </w:t>
      </w:r>
      <w:r w:rsidR="006D4641">
        <w:t>to</w:t>
      </w:r>
      <w:r w:rsidRPr="00266C82">
        <w:t xml:space="preserve"> better understand the factors underlying the regional economic dynamics. </w:t>
      </w:r>
      <w:r>
        <w:t xml:space="preserve">Finally, Brexit is likely to alter the existent equilibrium and competitiveness of EU financial centres. </w:t>
      </w:r>
      <w:r w:rsidR="0087400C">
        <w:t>It</w:t>
      </w:r>
      <w:r>
        <w:t xml:space="preserve"> would </w:t>
      </w:r>
      <w:r w:rsidR="006D4641">
        <w:t xml:space="preserve">be </w:t>
      </w:r>
      <w:r w:rsidR="0087400C">
        <w:t xml:space="preserve">therefore </w:t>
      </w:r>
      <w:r>
        <w:t>of great interest to a</w:t>
      </w:r>
      <w:r w:rsidR="00EF46B6">
        <w:t>nalyse how Brexit could</w:t>
      </w:r>
      <w:r>
        <w:t xml:space="preserve"> affect the r</w:t>
      </w:r>
      <w:r w:rsidR="00EF46B6">
        <w:t>egional economic dynamics in c</w:t>
      </w:r>
      <w:r>
        <w:t>ontinental Europe.</w:t>
      </w:r>
    </w:p>
    <w:p w14:paraId="7F7D80F8" w14:textId="573AF3A0" w:rsidR="008C0F71" w:rsidRPr="00266C82" w:rsidRDefault="008C0F71" w:rsidP="00B20004">
      <w:pPr>
        <w:pStyle w:val="PlainText"/>
        <w:spacing w:before="240" w:after="240"/>
        <w:rPr>
          <w:rFonts w:ascii="Times New Roman" w:hAnsi="Times New Roman"/>
          <w:b/>
          <w:sz w:val="24"/>
          <w:szCs w:val="24"/>
        </w:rPr>
      </w:pPr>
      <w:r w:rsidRPr="00266C82">
        <w:rPr>
          <w:rFonts w:ascii="Times New Roman" w:hAnsi="Times New Roman"/>
          <w:b/>
          <w:sz w:val="24"/>
          <w:szCs w:val="24"/>
        </w:rPr>
        <w:t>Acknowledgements</w:t>
      </w:r>
    </w:p>
    <w:p w14:paraId="52020F5B" w14:textId="287762CB" w:rsidR="00680DB2" w:rsidRPr="00F027ED" w:rsidRDefault="008C0F71" w:rsidP="00F027ED">
      <w:pPr>
        <w:pStyle w:val="PlainText"/>
        <w:rPr>
          <w:rFonts w:ascii="Times New Roman" w:hAnsi="Times New Roman"/>
          <w:sz w:val="24"/>
          <w:szCs w:val="24"/>
        </w:rPr>
      </w:pPr>
      <w:r w:rsidRPr="00266C82">
        <w:rPr>
          <w:rFonts w:ascii="Times New Roman" w:hAnsi="Times New Roman"/>
          <w:sz w:val="24"/>
          <w:szCs w:val="24"/>
        </w:rPr>
        <w:t xml:space="preserve">We would like to thank Professor Jessie Poon and the three anonymous reviewers for their helpful and constructive comments on an earlier version of our manuscript. Any remaining errors are solely the authors’ </w:t>
      </w:r>
      <w:r w:rsidR="0009770E">
        <w:rPr>
          <w:rFonts w:ascii="Times New Roman" w:hAnsi="Times New Roman"/>
          <w:sz w:val="24"/>
          <w:szCs w:val="24"/>
        </w:rPr>
        <w:t>responsibility</w:t>
      </w:r>
      <w:r w:rsidR="00F027ED">
        <w:rPr>
          <w:rFonts w:ascii="Times New Roman" w:hAnsi="Times New Roman"/>
          <w:sz w:val="24"/>
          <w:szCs w:val="24"/>
        </w:rPr>
        <w:t>.</w:t>
      </w:r>
    </w:p>
    <w:p w14:paraId="788E1F65" w14:textId="77777777" w:rsidR="00582D9C" w:rsidRDefault="00582D9C" w:rsidP="0077538D">
      <w:pPr>
        <w:spacing w:line="360" w:lineRule="auto"/>
        <w:jc w:val="both"/>
        <w:rPr>
          <w:b/>
        </w:rPr>
      </w:pPr>
    </w:p>
    <w:p w14:paraId="366F1633" w14:textId="617EA162" w:rsidR="0077538D" w:rsidRPr="0001096F" w:rsidRDefault="0077538D" w:rsidP="0077538D">
      <w:pPr>
        <w:spacing w:line="360" w:lineRule="auto"/>
        <w:jc w:val="both"/>
        <w:rPr>
          <w:b/>
        </w:rPr>
      </w:pPr>
      <w:r w:rsidRPr="0001096F">
        <w:rPr>
          <w:b/>
        </w:rPr>
        <w:t>References</w:t>
      </w:r>
    </w:p>
    <w:p w14:paraId="5EB382CF" w14:textId="77777777" w:rsidR="0077538D" w:rsidRPr="0073741D" w:rsidRDefault="0073741D" w:rsidP="0077538D">
      <w:pPr>
        <w:spacing w:line="360" w:lineRule="auto"/>
        <w:ind w:left="284" w:hanging="284"/>
        <w:jc w:val="both"/>
      </w:pPr>
      <w:r>
        <w:rPr>
          <w:lang w:val="en-US" w:eastAsia="zh-TW"/>
        </w:rPr>
        <w:t>Aghion P, Howitt P</w:t>
      </w:r>
      <w:r w:rsidR="0077538D" w:rsidRPr="0073741D">
        <w:rPr>
          <w:lang w:val="en-US" w:eastAsia="zh-TW"/>
        </w:rPr>
        <w:t xml:space="preserve"> and Mayer-Foulkes D (2005) The Effect of Financial Development on Convergence: Theory and Evidence. </w:t>
      </w:r>
      <w:r w:rsidR="0077538D" w:rsidRPr="0073741D">
        <w:rPr>
          <w:i/>
          <w:iCs/>
          <w:lang w:val="en-US" w:eastAsia="zh-TW"/>
        </w:rPr>
        <w:t>The Quarterly Journal of Economics</w:t>
      </w:r>
      <w:r w:rsidR="0077538D" w:rsidRPr="0073741D">
        <w:rPr>
          <w:lang w:val="en-US"/>
        </w:rPr>
        <w:t xml:space="preserve"> </w:t>
      </w:r>
      <w:r w:rsidR="0077538D" w:rsidRPr="0073741D">
        <w:rPr>
          <w:bCs/>
          <w:lang w:val="en-US" w:eastAsia="zh-TW"/>
        </w:rPr>
        <w:t>120 (1):</w:t>
      </w:r>
      <w:r w:rsidR="0077538D" w:rsidRPr="0073741D">
        <w:rPr>
          <w:lang w:val="en-US" w:eastAsia="zh-TW"/>
        </w:rPr>
        <w:t> 173</w:t>
      </w:r>
      <w:r w:rsidR="0077538D" w:rsidRPr="0073741D">
        <w:t>–</w:t>
      </w:r>
      <w:r w:rsidR="0077538D" w:rsidRPr="0073741D">
        <w:rPr>
          <w:lang w:val="en-US" w:eastAsia="zh-TW"/>
        </w:rPr>
        <w:t>222.</w:t>
      </w:r>
    </w:p>
    <w:p w14:paraId="27AE28B3" w14:textId="77777777" w:rsidR="0077538D" w:rsidRPr="0073741D" w:rsidRDefault="0077538D" w:rsidP="0077538D">
      <w:pPr>
        <w:spacing w:line="360" w:lineRule="auto"/>
        <w:ind w:left="284" w:hanging="284"/>
        <w:jc w:val="both"/>
      </w:pPr>
      <w:r w:rsidRPr="0073741D">
        <w:rPr>
          <w:rFonts w:eastAsiaTheme="minorHAnsi"/>
          <w:lang w:eastAsia="en-US"/>
        </w:rPr>
        <w:t>Amin</w:t>
      </w:r>
      <w:r w:rsidRPr="0073741D">
        <w:t xml:space="preserve"> A </w:t>
      </w:r>
      <w:r w:rsidRPr="0073741D">
        <w:rPr>
          <w:rFonts w:eastAsiaTheme="minorHAnsi"/>
          <w:lang w:eastAsia="en-US"/>
        </w:rPr>
        <w:t xml:space="preserve">and Thrift N (1992) Neo-Marshallian nodes in global networks. International Journal of Urban and Regional Research 16: 571-587. </w:t>
      </w:r>
    </w:p>
    <w:p w14:paraId="5F5C2B46" w14:textId="77777777" w:rsidR="0077538D" w:rsidRPr="0073741D" w:rsidRDefault="0077538D" w:rsidP="0077538D">
      <w:pPr>
        <w:spacing w:line="360" w:lineRule="auto"/>
        <w:ind w:left="284" w:hanging="284"/>
        <w:jc w:val="both"/>
      </w:pPr>
      <w:r w:rsidRPr="0073741D">
        <w:rPr>
          <w:lang w:val="en-US"/>
        </w:rPr>
        <w:t xml:space="preserve">Baumol W (1986) Productivity growth, convergence and welfare: what the long-run data show. </w:t>
      </w:r>
      <w:r w:rsidRPr="0073741D">
        <w:rPr>
          <w:i/>
          <w:iCs/>
          <w:lang w:val="en-US"/>
        </w:rPr>
        <w:t>American Economic Review</w:t>
      </w:r>
      <w:r w:rsidRPr="0073741D">
        <w:rPr>
          <w:lang w:val="en-US"/>
        </w:rPr>
        <w:t xml:space="preserve"> </w:t>
      </w:r>
      <w:r w:rsidRPr="0073741D">
        <w:rPr>
          <w:bCs/>
          <w:lang w:val="en-US"/>
        </w:rPr>
        <w:t>76(5):</w:t>
      </w:r>
      <w:r w:rsidRPr="0073741D">
        <w:rPr>
          <w:lang w:val="en-US"/>
        </w:rPr>
        <w:t xml:space="preserve"> 1072</w:t>
      </w:r>
      <w:r w:rsidRPr="0073741D">
        <w:t>–</w:t>
      </w:r>
      <w:r w:rsidRPr="0073741D">
        <w:rPr>
          <w:lang w:val="en-US"/>
        </w:rPr>
        <w:t>85.</w:t>
      </w:r>
    </w:p>
    <w:p w14:paraId="6DF50ADF" w14:textId="77777777" w:rsidR="0077538D" w:rsidRPr="0073741D" w:rsidRDefault="0077538D" w:rsidP="0077538D">
      <w:pPr>
        <w:spacing w:line="360" w:lineRule="auto"/>
        <w:ind w:left="284" w:hanging="284"/>
        <w:jc w:val="both"/>
      </w:pPr>
      <w:r w:rsidRPr="0073741D">
        <w:t>Cassis Y (2007) Capitals of Capital. A History of International Financial Centres, 1780–2005 (Cambridge University Press: Cambridge).</w:t>
      </w:r>
    </w:p>
    <w:p w14:paraId="6CAF032C" w14:textId="77777777" w:rsidR="0077538D" w:rsidRPr="0073741D" w:rsidRDefault="0077538D" w:rsidP="0077538D">
      <w:pPr>
        <w:spacing w:line="360" w:lineRule="auto"/>
        <w:ind w:left="284" w:hanging="284"/>
        <w:jc w:val="both"/>
      </w:pPr>
      <w:r w:rsidRPr="0073741D">
        <w:rPr>
          <w:lang w:val="en-US"/>
        </w:rPr>
        <w:t xml:space="preserve">Chatterji M (1992) Convergence clubs and endogenous growth. </w:t>
      </w:r>
      <w:r w:rsidRPr="0073741D">
        <w:rPr>
          <w:i/>
          <w:iCs/>
          <w:lang w:val="en-US"/>
        </w:rPr>
        <w:t>Oxford Review of Economic Policy</w:t>
      </w:r>
      <w:r w:rsidRPr="0073741D">
        <w:rPr>
          <w:iCs/>
          <w:lang w:val="en-US"/>
        </w:rPr>
        <w:t xml:space="preserve"> </w:t>
      </w:r>
      <w:r w:rsidRPr="0073741D">
        <w:rPr>
          <w:bCs/>
          <w:lang w:val="en-US"/>
        </w:rPr>
        <w:t>8(4):</w:t>
      </w:r>
      <w:r w:rsidRPr="0073741D">
        <w:rPr>
          <w:lang w:val="en-US"/>
        </w:rPr>
        <w:t xml:space="preserve"> 57–69.</w:t>
      </w:r>
    </w:p>
    <w:p w14:paraId="11199A0F" w14:textId="77777777" w:rsidR="0059278C" w:rsidRPr="0073741D" w:rsidRDefault="0077538D" w:rsidP="0059278C">
      <w:pPr>
        <w:spacing w:line="360" w:lineRule="auto"/>
        <w:ind w:left="284" w:hanging="284"/>
        <w:jc w:val="both"/>
      </w:pPr>
      <w:r w:rsidRPr="0073741D">
        <w:rPr>
          <w:lang w:val="en-US"/>
        </w:rPr>
        <w:t xml:space="preserve">Chatterji M and Dewhurst H (1996) Convergence clubs and relative economic performance in Great Britain: 1977–1991. </w:t>
      </w:r>
      <w:r w:rsidRPr="0073741D">
        <w:rPr>
          <w:i/>
          <w:iCs/>
          <w:lang w:val="en-US"/>
        </w:rPr>
        <w:t>Regional Studies</w:t>
      </w:r>
      <w:r w:rsidRPr="0073741D">
        <w:rPr>
          <w:lang w:val="en-US"/>
        </w:rPr>
        <w:t xml:space="preserve"> </w:t>
      </w:r>
      <w:r w:rsidRPr="0073741D">
        <w:rPr>
          <w:bCs/>
          <w:lang w:val="en-US"/>
        </w:rPr>
        <w:t>30(1):</w:t>
      </w:r>
      <w:r w:rsidRPr="0073741D">
        <w:rPr>
          <w:lang w:val="en-US"/>
        </w:rPr>
        <w:t xml:space="preserve"> 31–40.</w:t>
      </w:r>
    </w:p>
    <w:p w14:paraId="1E37FAA8" w14:textId="77777777" w:rsidR="0059278C" w:rsidRPr="0073741D" w:rsidRDefault="0059278C" w:rsidP="003470D2">
      <w:pPr>
        <w:spacing w:line="360" w:lineRule="auto"/>
        <w:ind w:left="284" w:hanging="284"/>
        <w:jc w:val="both"/>
      </w:pPr>
      <w:r w:rsidRPr="0073741D">
        <w:rPr>
          <w:lang w:eastAsia="zh-TW"/>
        </w:rPr>
        <w:t xml:space="preserve">Clark GL (2002) </w:t>
      </w:r>
      <w:r w:rsidRPr="0073741D">
        <w:t xml:space="preserve">London in the European financial services industry: locational advantages and product complementarities. </w:t>
      </w:r>
      <w:r w:rsidRPr="0073741D">
        <w:rPr>
          <w:i/>
          <w:iCs/>
        </w:rPr>
        <w:t>Journal of Economic Geography</w:t>
      </w:r>
      <w:r w:rsidRPr="0073741D">
        <w:t xml:space="preserve"> </w:t>
      </w:r>
      <w:r w:rsidRPr="0073741D">
        <w:rPr>
          <w:bCs/>
        </w:rPr>
        <w:t>2(4):</w:t>
      </w:r>
      <w:r w:rsidRPr="0073741D">
        <w:t xml:space="preserve"> 433–53.</w:t>
      </w:r>
    </w:p>
    <w:p w14:paraId="6497C443" w14:textId="77777777" w:rsidR="0077538D" w:rsidRPr="0073741D" w:rsidRDefault="0077538D" w:rsidP="0059278C">
      <w:pPr>
        <w:spacing w:line="360" w:lineRule="auto"/>
        <w:ind w:left="284" w:hanging="284"/>
        <w:jc w:val="both"/>
      </w:pPr>
      <w:r w:rsidRPr="0073741D">
        <w:t>Corrado L, Martin R and Weeks M (2005) Identifying and interpreting regional convergence clusters across Europe. The Economic Journal 115: C133–C160.</w:t>
      </w:r>
    </w:p>
    <w:p w14:paraId="2D513840" w14:textId="77777777" w:rsidR="0077538D" w:rsidRPr="0073741D" w:rsidRDefault="0077538D" w:rsidP="0073741D">
      <w:pPr>
        <w:spacing w:line="360" w:lineRule="auto"/>
        <w:ind w:left="284" w:hanging="284"/>
        <w:jc w:val="both"/>
      </w:pPr>
      <w:r w:rsidRPr="0073741D">
        <w:rPr>
          <w:lang w:val="en-US"/>
        </w:rPr>
        <w:t>Crescenzi R (2005) Innovation and regional growth in the enlarged Europe: The role of local</w:t>
      </w:r>
      <w:r w:rsidRPr="0073741D">
        <w:t xml:space="preserve"> </w:t>
      </w:r>
      <w:r w:rsidRPr="0073741D">
        <w:rPr>
          <w:lang w:val="en-US"/>
        </w:rPr>
        <w:t xml:space="preserve">innovative capabilities, peripherality and education. </w:t>
      </w:r>
      <w:r w:rsidRPr="0073741D">
        <w:rPr>
          <w:i/>
          <w:lang w:val="en-US"/>
        </w:rPr>
        <w:t>Growth and Change</w:t>
      </w:r>
      <w:r w:rsidRPr="0073741D">
        <w:rPr>
          <w:lang w:val="en-US"/>
        </w:rPr>
        <w:t xml:space="preserve"> 36(4): 471–507. </w:t>
      </w:r>
    </w:p>
    <w:p w14:paraId="1FE7B709" w14:textId="027EE206" w:rsidR="0077538D" w:rsidRPr="0073741D" w:rsidRDefault="0077538D" w:rsidP="0073741D">
      <w:pPr>
        <w:spacing w:line="360" w:lineRule="auto"/>
        <w:ind w:left="284" w:hanging="284"/>
        <w:jc w:val="both"/>
      </w:pPr>
      <w:r w:rsidRPr="0073741D">
        <w:t xml:space="preserve">Crescenzi R and Giua M (2016) The EU cohesion policy in context: does a bottom-up approach work in all regions? </w:t>
      </w:r>
      <w:r w:rsidRPr="0073741D">
        <w:rPr>
          <w:i/>
        </w:rPr>
        <w:t>Environment and Planning A</w:t>
      </w:r>
      <w:r w:rsidRPr="0073741D">
        <w:t xml:space="preserve"> </w:t>
      </w:r>
      <w:r w:rsidR="005D2741">
        <w:t>48(11):</w:t>
      </w:r>
      <w:r w:rsidR="005D2741" w:rsidRPr="005D2741">
        <w:t xml:space="preserve"> 2340–2357</w:t>
      </w:r>
      <w:r w:rsidRPr="0073741D">
        <w:t>.</w:t>
      </w:r>
    </w:p>
    <w:p w14:paraId="17658833" w14:textId="77777777" w:rsidR="0077538D" w:rsidRPr="0073741D" w:rsidRDefault="0073741D" w:rsidP="0073741D">
      <w:pPr>
        <w:spacing w:line="360" w:lineRule="auto"/>
        <w:ind w:left="284" w:hanging="284"/>
        <w:jc w:val="both"/>
      </w:pPr>
      <w:r>
        <w:t>Crescenzi R</w:t>
      </w:r>
      <w:r w:rsidR="0077538D" w:rsidRPr="0073741D">
        <w:t xml:space="preserve"> and Rodríguez-Pose A (2011) Reconciling top-down and bottom-up development policies. Environment and Planning A 43(4): 773–780.</w:t>
      </w:r>
    </w:p>
    <w:p w14:paraId="2D26BB49" w14:textId="77777777" w:rsidR="0077538D" w:rsidRPr="0073741D" w:rsidRDefault="0077538D" w:rsidP="0077538D">
      <w:pPr>
        <w:spacing w:line="360" w:lineRule="auto"/>
        <w:ind w:left="284" w:hanging="284"/>
        <w:jc w:val="both"/>
      </w:pPr>
      <w:r w:rsidRPr="0073741D">
        <w:t xml:space="preserve">Dell’Ariccia G, Detragiache E, and Rajan R (2008) The real effect of banking crises. </w:t>
      </w:r>
      <w:r w:rsidRPr="0073741D">
        <w:rPr>
          <w:i/>
        </w:rPr>
        <w:t>Journal of Financial Intermediation</w:t>
      </w:r>
      <w:r w:rsidRPr="0073741D">
        <w:t xml:space="preserve"> 17(1): 89–112.</w:t>
      </w:r>
    </w:p>
    <w:p w14:paraId="41EBA02F" w14:textId="77777777" w:rsidR="0077538D" w:rsidRPr="0073741D" w:rsidRDefault="0077538D" w:rsidP="0077538D">
      <w:pPr>
        <w:spacing w:line="360" w:lineRule="auto"/>
        <w:ind w:left="284" w:hanging="284"/>
        <w:jc w:val="both"/>
      </w:pPr>
      <w:r w:rsidRPr="0073741D">
        <w:t>Daniels P (2002) Services and Metropolitan Development (London: Routledge).</w:t>
      </w:r>
    </w:p>
    <w:p w14:paraId="076CFB8D" w14:textId="77777777" w:rsidR="0077538D" w:rsidRPr="0073741D" w:rsidRDefault="0077538D" w:rsidP="0077538D">
      <w:pPr>
        <w:spacing w:line="360" w:lineRule="auto"/>
        <w:ind w:left="284" w:hanging="284"/>
        <w:jc w:val="both"/>
      </w:pPr>
      <w:r w:rsidRPr="0073741D">
        <w:t xml:space="preserve">Engelen E (2007) Amsterdamned'? The uncertain future of a financial centre. </w:t>
      </w:r>
      <w:r w:rsidRPr="0073741D">
        <w:rPr>
          <w:i/>
        </w:rPr>
        <w:t>Environment and Planning A</w:t>
      </w:r>
      <w:r w:rsidRPr="0073741D">
        <w:t xml:space="preserve"> 39: 1306 -1324.</w:t>
      </w:r>
    </w:p>
    <w:p w14:paraId="7AFB06D8" w14:textId="77777777" w:rsidR="00136725" w:rsidRPr="0073741D" w:rsidRDefault="00136725" w:rsidP="0077538D">
      <w:pPr>
        <w:spacing w:line="360" w:lineRule="auto"/>
        <w:ind w:left="284" w:hanging="284"/>
        <w:jc w:val="both"/>
      </w:pPr>
      <w:r w:rsidRPr="0073741D">
        <w:t xml:space="preserve">Engelen E and Grote MH (2009) Stock exchange virtualisation and the decline of second-tier financial centres—the cases of Amsterdam and Frankfurt. </w:t>
      </w:r>
      <w:r w:rsidRPr="0073741D">
        <w:rPr>
          <w:i/>
        </w:rPr>
        <w:t>Journal of Economic Geography</w:t>
      </w:r>
      <w:r w:rsidRPr="0073741D">
        <w:t xml:space="preserve"> 9: 679–96.</w:t>
      </w:r>
    </w:p>
    <w:p w14:paraId="0B427645" w14:textId="77777777" w:rsidR="0077538D" w:rsidRPr="0073741D" w:rsidRDefault="0077538D" w:rsidP="0077538D">
      <w:pPr>
        <w:spacing w:line="360" w:lineRule="auto"/>
        <w:ind w:left="284" w:hanging="284"/>
        <w:jc w:val="both"/>
      </w:pPr>
      <w:r w:rsidRPr="0073741D">
        <w:t xml:space="preserve">Engelen E, Konings M and Fernandez R (2010) Geographies of Financialization in Disarray: The Dutch Case in Comparative Perspective. </w:t>
      </w:r>
      <w:r w:rsidRPr="0073741D">
        <w:rPr>
          <w:i/>
        </w:rPr>
        <w:t>Economic Geography</w:t>
      </w:r>
      <w:r w:rsidRPr="0073741D">
        <w:t xml:space="preserve"> 86(1): 53–73.</w:t>
      </w:r>
    </w:p>
    <w:p w14:paraId="0FBFFAD4" w14:textId="77777777" w:rsidR="0077538D" w:rsidRPr="0073741D" w:rsidRDefault="0077538D" w:rsidP="0077538D">
      <w:pPr>
        <w:spacing w:line="360" w:lineRule="auto"/>
        <w:ind w:left="284" w:hanging="284"/>
        <w:jc w:val="both"/>
      </w:pPr>
      <w:r w:rsidRPr="0073741D">
        <w:t>Ezcurra R and Rapún M (2006) Regional disparities and national development revisited: The case of Western Europe. European Urban and Regional Studies 13(4): 355–369.</w:t>
      </w:r>
    </w:p>
    <w:p w14:paraId="53064E9D" w14:textId="77777777" w:rsidR="0059278C" w:rsidRPr="0073741D" w:rsidRDefault="0077538D" w:rsidP="0059278C">
      <w:pPr>
        <w:spacing w:line="360" w:lineRule="auto"/>
        <w:ind w:left="284" w:hanging="284"/>
        <w:jc w:val="both"/>
      </w:pPr>
      <w:r w:rsidRPr="0073741D">
        <w:t xml:space="preserve">Ezcurra R, Iraizoz B and Pascual P (2009) Total factor productivity, efficiency, and technological change in the European regions: a non-parametric approach. </w:t>
      </w:r>
      <w:r w:rsidRPr="0073741D">
        <w:rPr>
          <w:i/>
        </w:rPr>
        <w:t>Environment and Planning A</w:t>
      </w:r>
      <w:r w:rsidRPr="0073741D">
        <w:t xml:space="preserve"> 41: 1152–70.</w:t>
      </w:r>
    </w:p>
    <w:p w14:paraId="3402AE55" w14:textId="77777777" w:rsidR="0059278C" w:rsidRPr="0073741D" w:rsidRDefault="0059278C" w:rsidP="0059278C">
      <w:pPr>
        <w:spacing w:line="360" w:lineRule="auto"/>
        <w:ind w:left="284" w:hanging="284"/>
        <w:jc w:val="both"/>
      </w:pPr>
      <w:r w:rsidRPr="0073741D">
        <w:t>Faulconbridge</w:t>
      </w:r>
      <w:r w:rsidRPr="0073741D">
        <w:rPr>
          <w:lang w:eastAsia="zh-TW"/>
        </w:rPr>
        <w:t xml:space="preserve"> JM (2004) </w:t>
      </w:r>
      <w:r w:rsidRPr="0073741D">
        <w:t>London and Frankfurt in Europe’s evolving</w:t>
      </w:r>
      <w:r w:rsidRPr="0073741D">
        <w:rPr>
          <w:lang w:eastAsia="zh-TW"/>
        </w:rPr>
        <w:t xml:space="preserve"> </w:t>
      </w:r>
      <w:r w:rsidRPr="0073741D">
        <w:t>financial centre network</w:t>
      </w:r>
      <w:r w:rsidRPr="0073741D">
        <w:rPr>
          <w:rFonts w:eastAsia="Times New Roman"/>
        </w:rPr>
        <w:t>.</w:t>
      </w:r>
      <w:r w:rsidRPr="0073741D">
        <w:rPr>
          <w:lang w:eastAsia="zh-TW"/>
        </w:rPr>
        <w:t xml:space="preserve"> </w:t>
      </w:r>
      <w:r w:rsidRPr="0073741D">
        <w:rPr>
          <w:i/>
          <w:iCs/>
        </w:rPr>
        <w:t>Are</w:t>
      </w:r>
      <w:r w:rsidRPr="0073741D">
        <w:rPr>
          <w:iCs/>
        </w:rPr>
        <w:t>a</w:t>
      </w:r>
      <w:r w:rsidRPr="0073741D">
        <w:rPr>
          <w:lang w:eastAsia="zh-TW"/>
        </w:rPr>
        <w:t xml:space="preserve"> </w:t>
      </w:r>
      <w:r w:rsidRPr="0073741D">
        <w:rPr>
          <w:bCs/>
        </w:rPr>
        <w:t>36</w:t>
      </w:r>
      <w:r w:rsidRPr="0073741D">
        <w:rPr>
          <w:bCs/>
          <w:lang w:eastAsia="zh-TW"/>
        </w:rPr>
        <w:t>(</w:t>
      </w:r>
      <w:r w:rsidRPr="0073741D">
        <w:rPr>
          <w:bCs/>
        </w:rPr>
        <w:t>3</w:t>
      </w:r>
      <w:r w:rsidRPr="0073741D">
        <w:rPr>
          <w:bCs/>
          <w:lang w:eastAsia="zh-TW"/>
        </w:rPr>
        <w:t>):</w:t>
      </w:r>
      <w:r w:rsidRPr="0073741D">
        <w:t xml:space="preserve"> 235–244.</w:t>
      </w:r>
    </w:p>
    <w:p w14:paraId="65E6CFCA" w14:textId="77777777" w:rsidR="0077538D" w:rsidRPr="0073741D" w:rsidRDefault="0073741D" w:rsidP="0077538D">
      <w:pPr>
        <w:spacing w:line="360" w:lineRule="auto"/>
        <w:ind w:left="284" w:hanging="284"/>
        <w:jc w:val="both"/>
      </w:pPr>
      <w:r>
        <w:rPr>
          <w:rFonts w:eastAsiaTheme="minorHAnsi"/>
          <w:lang w:eastAsia="en-US"/>
        </w:rPr>
        <w:t>Faulconbridge J, Engelen E, Hoyler M and Beaverstock J</w:t>
      </w:r>
      <w:r w:rsidR="0077538D" w:rsidRPr="0073741D">
        <w:rPr>
          <w:rFonts w:eastAsiaTheme="minorHAnsi"/>
          <w:lang w:eastAsia="en-US"/>
        </w:rPr>
        <w:t xml:space="preserve"> (2007) Analysing the changing</w:t>
      </w:r>
      <w:r w:rsidR="0077538D" w:rsidRPr="0073741D">
        <w:t xml:space="preserve"> </w:t>
      </w:r>
      <w:r w:rsidR="0077538D" w:rsidRPr="0073741D">
        <w:rPr>
          <w:rFonts w:eastAsiaTheme="minorHAnsi"/>
          <w:lang w:eastAsia="en-US"/>
        </w:rPr>
        <w:t>landscape of European financial centres: the role of financial products and the case of</w:t>
      </w:r>
      <w:r w:rsidR="0077538D" w:rsidRPr="0073741D">
        <w:t xml:space="preserve"> </w:t>
      </w:r>
      <w:r w:rsidR="0077538D" w:rsidRPr="0073741D">
        <w:rPr>
          <w:rFonts w:eastAsiaTheme="minorHAnsi"/>
          <w:lang w:eastAsia="en-US"/>
        </w:rPr>
        <w:t>Amsterdam.</w:t>
      </w:r>
      <w:r w:rsidR="0077538D" w:rsidRPr="0073741D">
        <w:t xml:space="preserve"> </w:t>
      </w:r>
      <w:r w:rsidR="0077538D" w:rsidRPr="0073741D">
        <w:rPr>
          <w:rFonts w:eastAsiaTheme="minorHAnsi"/>
          <w:i/>
          <w:lang w:eastAsia="en-US"/>
        </w:rPr>
        <w:t>Growth and Change</w:t>
      </w:r>
      <w:r w:rsidR="0077538D" w:rsidRPr="0073741D">
        <w:t xml:space="preserve"> </w:t>
      </w:r>
      <w:r w:rsidR="0077538D" w:rsidRPr="0073741D">
        <w:rPr>
          <w:rFonts w:eastAsiaTheme="minorHAnsi"/>
          <w:lang w:eastAsia="en-US"/>
        </w:rPr>
        <w:t>38: 285–309.</w:t>
      </w:r>
    </w:p>
    <w:p w14:paraId="62BE5B36" w14:textId="77777777" w:rsidR="0077538D" w:rsidRPr="0073741D" w:rsidRDefault="0073741D" w:rsidP="0077538D">
      <w:pPr>
        <w:spacing w:line="360" w:lineRule="auto"/>
        <w:ind w:left="284" w:hanging="284"/>
        <w:jc w:val="both"/>
      </w:pPr>
      <w:r>
        <w:t xml:space="preserve">French S, </w:t>
      </w:r>
      <w:r w:rsidR="0077538D" w:rsidRPr="0073741D">
        <w:t xml:space="preserve">Leyshon A and Thrift N (2009) A very geographical crisis: the making and breaking of the 2007–2008 financial crisis. </w:t>
      </w:r>
      <w:r w:rsidR="0077538D" w:rsidRPr="0073741D">
        <w:rPr>
          <w:i/>
        </w:rPr>
        <w:t>Cambridge Journal of Regions, Economy and Society</w:t>
      </w:r>
      <w:r w:rsidR="0077538D" w:rsidRPr="0073741D">
        <w:t xml:space="preserve"> 2 (2): 287–302.</w:t>
      </w:r>
    </w:p>
    <w:p w14:paraId="3BBE16DC" w14:textId="77777777" w:rsidR="0077538D" w:rsidRPr="0073741D" w:rsidRDefault="0077538D" w:rsidP="0077538D">
      <w:pPr>
        <w:spacing w:line="360" w:lineRule="auto"/>
        <w:ind w:left="284" w:hanging="284"/>
        <w:jc w:val="both"/>
      </w:pPr>
      <w:r w:rsidRPr="0073741D">
        <w:t xml:space="preserve">Frölich M (2007) Nonparametric IV estimation of local average treatment effects with covariates. </w:t>
      </w:r>
      <w:r w:rsidRPr="0073741D">
        <w:rPr>
          <w:i/>
          <w:iCs/>
        </w:rPr>
        <w:t>Journal of Econometrics</w:t>
      </w:r>
      <w:r w:rsidRPr="0073741D">
        <w:rPr>
          <w:iCs/>
        </w:rPr>
        <w:t xml:space="preserve"> 139: 35–75.</w:t>
      </w:r>
    </w:p>
    <w:p w14:paraId="067FD383" w14:textId="77777777" w:rsidR="0077538D" w:rsidRPr="0073741D" w:rsidRDefault="0077538D" w:rsidP="0077538D">
      <w:pPr>
        <w:spacing w:line="360" w:lineRule="auto"/>
        <w:ind w:left="284" w:hanging="284"/>
        <w:jc w:val="both"/>
      </w:pPr>
      <w:r w:rsidRPr="0073741D">
        <w:t>Gertler M S (2004) Manufacturing Culture: The Institutional Geography of Industrial Practice (Oxford University Press: Oxford).</w:t>
      </w:r>
    </w:p>
    <w:p w14:paraId="70E1F70B" w14:textId="77777777" w:rsidR="0077538D" w:rsidRPr="0073741D" w:rsidRDefault="0077538D" w:rsidP="0077538D">
      <w:pPr>
        <w:spacing w:line="360" w:lineRule="auto"/>
        <w:ind w:left="284" w:hanging="284"/>
        <w:jc w:val="both"/>
      </w:pPr>
      <w:r w:rsidRPr="0073741D">
        <w:t>Gertler MS (2010) Rules of the game: the place of institutions in regional economic change. Regional Studies 44(1): 1–15.</w:t>
      </w:r>
    </w:p>
    <w:p w14:paraId="27CF5284" w14:textId="77777777" w:rsidR="0077538D" w:rsidRPr="0073741D" w:rsidRDefault="0077538D" w:rsidP="0077538D">
      <w:pPr>
        <w:spacing w:line="360" w:lineRule="auto"/>
        <w:ind w:left="284" w:hanging="284"/>
        <w:jc w:val="both"/>
      </w:pPr>
      <w:r w:rsidRPr="0073741D">
        <w:t xml:space="preserve">Grote MH (2008) Foreign banks’ attraction to the financial centre Frankfurt—an inverted ‘U’-shaped relationship. </w:t>
      </w:r>
      <w:r w:rsidRPr="0073741D">
        <w:rPr>
          <w:i/>
        </w:rPr>
        <w:t>Journal of Economic Geography</w:t>
      </w:r>
      <w:r w:rsidRPr="0073741D">
        <w:t xml:space="preserve"> 8: 239–58.</w:t>
      </w:r>
    </w:p>
    <w:p w14:paraId="579D4C9F" w14:textId="77777777" w:rsidR="0077538D" w:rsidRPr="0073741D" w:rsidRDefault="0077538D" w:rsidP="0077538D">
      <w:pPr>
        <w:spacing w:line="360" w:lineRule="auto"/>
        <w:ind w:left="284" w:hanging="284"/>
        <w:jc w:val="both"/>
      </w:pPr>
      <w:r w:rsidRPr="0073741D">
        <w:t xml:space="preserve">Hall P and JL Horowitz (2005) Nonparametric methods for inference in the presence of instrumental variables. </w:t>
      </w:r>
      <w:r w:rsidRPr="0073741D">
        <w:rPr>
          <w:i/>
          <w:iCs/>
        </w:rPr>
        <w:t>The Annals of Statistics</w:t>
      </w:r>
      <w:r w:rsidRPr="0073741D">
        <w:t xml:space="preserve"> </w:t>
      </w:r>
      <w:r w:rsidRPr="0073741D">
        <w:rPr>
          <w:i/>
          <w:iCs/>
        </w:rPr>
        <w:t>33</w:t>
      </w:r>
      <w:r w:rsidRPr="0073741D">
        <w:t>(6): 2904-2929.</w:t>
      </w:r>
    </w:p>
    <w:p w14:paraId="48915238" w14:textId="77777777" w:rsidR="0077538D" w:rsidRPr="0073741D" w:rsidRDefault="0077538D" w:rsidP="0077538D">
      <w:pPr>
        <w:spacing w:line="360" w:lineRule="auto"/>
        <w:ind w:left="284" w:hanging="284"/>
        <w:jc w:val="both"/>
      </w:pPr>
      <w:r w:rsidRPr="0073741D">
        <w:t xml:space="preserve">Hammond GW and Thompson E (2002) Mobility and modality trends in US state personal income. </w:t>
      </w:r>
      <w:r w:rsidRPr="0073741D">
        <w:rPr>
          <w:i/>
        </w:rPr>
        <w:t>Regional Studies</w:t>
      </w:r>
      <w:r w:rsidRPr="0073741D">
        <w:t xml:space="preserve"> 36(4): 375-387.</w:t>
      </w:r>
    </w:p>
    <w:p w14:paraId="0A0BFBC0" w14:textId="77777777" w:rsidR="0077538D" w:rsidRPr="0073741D" w:rsidRDefault="0077538D" w:rsidP="0077538D">
      <w:pPr>
        <w:spacing w:line="360" w:lineRule="auto"/>
        <w:ind w:left="284" w:hanging="284"/>
        <w:jc w:val="both"/>
      </w:pPr>
      <w:r w:rsidRPr="0073741D">
        <w:t xml:space="preserve">Hayfield T and Racine JS (2008) Nonparametric Econometrics: The np Package. </w:t>
      </w:r>
      <w:r w:rsidRPr="0073741D">
        <w:rPr>
          <w:i/>
          <w:iCs/>
        </w:rPr>
        <w:t>Journal of Statistical Software</w:t>
      </w:r>
      <w:r w:rsidRPr="0073741D">
        <w:t xml:space="preserve"> </w:t>
      </w:r>
      <w:r w:rsidRPr="0073741D">
        <w:rPr>
          <w:bCs/>
        </w:rPr>
        <w:t>27(5):</w:t>
      </w:r>
      <w:r w:rsidRPr="0073741D">
        <w:t xml:space="preserve"> 1–32.</w:t>
      </w:r>
    </w:p>
    <w:p w14:paraId="08C59A38" w14:textId="77777777" w:rsidR="0077538D" w:rsidRPr="0073741D" w:rsidRDefault="0077538D" w:rsidP="0077538D">
      <w:pPr>
        <w:spacing w:line="360" w:lineRule="auto"/>
        <w:ind w:left="284" w:hanging="284"/>
        <w:jc w:val="both"/>
      </w:pPr>
      <w:r w:rsidRPr="0073741D">
        <w:t xml:space="preserve">Henderson DJ, Papageorgiou C and Parmeter CF (2013) Who benefits from financial development? New methods, new evidence. </w:t>
      </w:r>
      <w:r w:rsidRPr="0073741D">
        <w:rPr>
          <w:i/>
        </w:rPr>
        <w:t>European Economic Review</w:t>
      </w:r>
      <w:r w:rsidRPr="0073741D">
        <w:t xml:space="preserve"> 63: 47–67.</w:t>
      </w:r>
    </w:p>
    <w:p w14:paraId="1FBA02EE" w14:textId="77777777" w:rsidR="0077538D" w:rsidRPr="0073741D" w:rsidRDefault="0077538D" w:rsidP="0077538D">
      <w:pPr>
        <w:spacing w:line="360" w:lineRule="auto"/>
        <w:ind w:left="284" w:hanging="284"/>
        <w:jc w:val="both"/>
      </w:pPr>
      <w:r w:rsidRPr="0073741D">
        <w:t xml:space="preserve">Horowitz J L (2011) Applied nonparametric instrumental variables estimation. </w:t>
      </w:r>
      <w:r w:rsidRPr="0073741D">
        <w:rPr>
          <w:i/>
          <w:iCs/>
        </w:rPr>
        <w:t>Econometrica</w:t>
      </w:r>
      <w:r w:rsidRPr="0073741D">
        <w:t xml:space="preserve"> </w:t>
      </w:r>
      <w:r w:rsidRPr="0073741D">
        <w:rPr>
          <w:iCs/>
        </w:rPr>
        <w:t>79</w:t>
      </w:r>
      <w:r w:rsidRPr="0073741D">
        <w:t>(2): 347-394.</w:t>
      </w:r>
    </w:p>
    <w:p w14:paraId="3E0F1ADC" w14:textId="77777777" w:rsidR="0077538D" w:rsidRPr="0073741D" w:rsidRDefault="0077538D" w:rsidP="0077538D">
      <w:pPr>
        <w:spacing w:line="360" w:lineRule="auto"/>
        <w:ind w:left="284" w:hanging="284"/>
        <w:jc w:val="both"/>
        <w:rPr>
          <w:lang w:val="en-US"/>
        </w:rPr>
      </w:pPr>
      <w:r w:rsidRPr="0073741D">
        <w:t xml:space="preserve">Hurvich CM, Simonoff JS and Tsai CL (1998) Smoothing parameter selection in nonparametric </w:t>
      </w:r>
      <w:r w:rsidRPr="0073741D">
        <w:rPr>
          <w:lang w:val="en-US"/>
        </w:rPr>
        <w:t xml:space="preserve">regression using an improved Akaike information criterion. </w:t>
      </w:r>
      <w:r w:rsidRPr="0073741D">
        <w:rPr>
          <w:i/>
          <w:iCs/>
          <w:lang w:val="en-US"/>
        </w:rPr>
        <w:t>Journal of the Royal Statistical Society</w:t>
      </w:r>
      <w:r w:rsidRPr="0073741D">
        <w:rPr>
          <w:iCs/>
          <w:lang w:val="en-US"/>
        </w:rPr>
        <w:t xml:space="preserve"> </w:t>
      </w:r>
      <w:r w:rsidRPr="0073741D">
        <w:rPr>
          <w:i/>
          <w:iCs/>
          <w:lang w:val="en-US"/>
        </w:rPr>
        <w:t>B</w:t>
      </w:r>
      <w:r w:rsidRPr="0073741D">
        <w:rPr>
          <w:iCs/>
          <w:lang w:val="en-US"/>
        </w:rPr>
        <w:t xml:space="preserve"> </w:t>
      </w:r>
      <w:r w:rsidRPr="0073741D">
        <w:rPr>
          <w:bCs/>
          <w:lang w:val="en-US"/>
        </w:rPr>
        <w:t>60</w:t>
      </w:r>
      <w:r w:rsidRPr="0073741D">
        <w:rPr>
          <w:lang w:val="en-US"/>
        </w:rPr>
        <w:t>: 271</w:t>
      </w:r>
      <w:r w:rsidRPr="0073741D">
        <w:t>–</w:t>
      </w:r>
      <w:r w:rsidRPr="0073741D">
        <w:rPr>
          <w:lang w:val="en-US"/>
        </w:rPr>
        <w:t>93.</w:t>
      </w:r>
    </w:p>
    <w:p w14:paraId="64863ED0" w14:textId="77777777" w:rsidR="0077538D" w:rsidRPr="0073741D" w:rsidRDefault="0077538D" w:rsidP="0077538D">
      <w:pPr>
        <w:spacing w:line="360" w:lineRule="auto"/>
        <w:ind w:left="284" w:hanging="284"/>
        <w:jc w:val="both"/>
      </w:pPr>
      <w:r w:rsidRPr="0073741D">
        <w:t>Jones G (1992) Multinational and international banking (Edward Elgar: Aldershot).</w:t>
      </w:r>
    </w:p>
    <w:p w14:paraId="0D24AA0D" w14:textId="77777777" w:rsidR="0077538D" w:rsidRPr="0073741D" w:rsidRDefault="0077538D" w:rsidP="0077538D">
      <w:pPr>
        <w:spacing w:line="360" w:lineRule="auto"/>
        <w:ind w:left="284" w:hanging="284"/>
        <w:jc w:val="both"/>
      </w:pPr>
      <w:r w:rsidRPr="0073741D">
        <w:t xml:space="preserve">Karreman B and van der Knaap B (2009) The financial centres of Shanghai and Hong Kong: competition or complementarity? </w:t>
      </w:r>
      <w:r w:rsidRPr="0073741D">
        <w:rPr>
          <w:i/>
        </w:rPr>
        <w:t>Environment and Planning A</w:t>
      </w:r>
      <w:r w:rsidRPr="0073741D">
        <w:t xml:space="preserve"> 41: 563–80.</w:t>
      </w:r>
    </w:p>
    <w:p w14:paraId="529C6B32" w14:textId="77777777" w:rsidR="0077538D" w:rsidRPr="0073741D" w:rsidRDefault="0077538D" w:rsidP="0077538D">
      <w:pPr>
        <w:spacing w:line="360" w:lineRule="auto"/>
        <w:ind w:left="284" w:hanging="284"/>
        <w:jc w:val="both"/>
      </w:pPr>
      <w:r w:rsidRPr="0073741D">
        <w:t xml:space="preserve">Klagge B and Martin R (2005) Decentralized versus centralized financial systems: is there a case for local capital markets? </w:t>
      </w:r>
      <w:r w:rsidRPr="0073741D">
        <w:rPr>
          <w:i/>
        </w:rPr>
        <w:t>Journal of Economic Geography</w:t>
      </w:r>
      <w:r w:rsidRPr="0073741D">
        <w:t xml:space="preserve"> 5: 387–421.</w:t>
      </w:r>
    </w:p>
    <w:p w14:paraId="55C93906" w14:textId="77777777" w:rsidR="0077538D" w:rsidRPr="0073741D" w:rsidRDefault="0077538D" w:rsidP="0077538D">
      <w:pPr>
        <w:spacing w:line="360" w:lineRule="auto"/>
        <w:ind w:left="284" w:hanging="284"/>
        <w:jc w:val="both"/>
      </w:pPr>
      <w:r w:rsidRPr="0073741D">
        <w:t xml:space="preserve">Kroszner RS, Laeven L and Klingebiel D (2007) Banking crises, financial dependence, and growth. </w:t>
      </w:r>
      <w:r w:rsidRPr="0073741D">
        <w:rPr>
          <w:i/>
        </w:rPr>
        <w:t>Journal of Financial Economics</w:t>
      </w:r>
      <w:r w:rsidRPr="0073741D">
        <w:t xml:space="preserve"> 84(1): 187–228.</w:t>
      </w:r>
    </w:p>
    <w:p w14:paraId="239D8F8C" w14:textId="77777777" w:rsidR="007F36A2" w:rsidRPr="0073741D" w:rsidRDefault="007F36A2" w:rsidP="007F36A2">
      <w:pPr>
        <w:spacing w:line="360" w:lineRule="auto"/>
        <w:ind w:left="284" w:hanging="284"/>
        <w:jc w:val="both"/>
      </w:pPr>
      <w:r w:rsidRPr="0073741D">
        <w:t xml:space="preserve">Krugman P (1981) Trade, accumulation and uneven development. </w:t>
      </w:r>
      <w:r w:rsidRPr="0073741D">
        <w:rPr>
          <w:i/>
        </w:rPr>
        <w:t>Journal of Development Economics</w:t>
      </w:r>
      <w:r w:rsidRPr="0073741D">
        <w:t xml:space="preserve"> 8(2): 149–161.</w:t>
      </w:r>
    </w:p>
    <w:p w14:paraId="6E98A4B4" w14:textId="77777777" w:rsidR="007F36A2" w:rsidRPr="0073741D" w:rsidRDefault="007F36A2" w:rsidP="007F36A2">
      <w:pPr>
        <w:spacing w:line="360" w:lineRule="auto"/>
        <w:ind w:left="284" w:hanging="284"/>
        <w:jc w:val="both"/>
      </w:pPr>
      <w:r w:rsidRPr="0073741D">
        <w:t xml:space="preserve">Krugman P (1991) Increasing returns and economic geography. </w:t>
      </w:r>
      <w:r w:rsidRPr="0073741D">
        <w:rPr>
          <w:i/>
        </w:rPr>
        <w:t>Journal of Political Economy</w:t>
      </w:r>
      <w:r w:rsidRPr="0073741D">
        <w:t xml:space="preserve"> 99(3): 483-499.</w:t>
      </w:r>
    </w:p>
    <w:p w14:paraId="70F38C17" w14:textId="77777777" w:rsidR="0077538D" w:rsidRPr="0073741D" w:rsidRDefault="0077538D" w:rsidP="0077538D">
      <w:pPr>
        <w:spacing w:line="360" w:lineRule="auto"/>
        <w:ind w:left="284" w:hanging="284"/>
        <w:jc w:val="both"/>
      </w:pPr>
      <w:r w:rsidRPr="0073741D">
        <w:t xml:space="preserve">Laulajainen R (2001) End of geography at exchanges? </w:t>
      </w:r>
      <w:r w:rsidRPr="0073741D">
        <w:rPr>
          <w:i/>
        </w:rPr>
        <w:t>Zeitschrift für Wirtschaftsgeographie</w:t>
      </w:r>
      <w:r w:rsidRPr="0073741D">
        <w:t xml:space="preserve"> 45(1): 1–14.</w:t>
      </w:r>
    </w:p>
    <w:p w14:paraId="4A52548D" w14:textId="77777777" w:rsidR="0077538D" w:rsidRPr="0073741D" w:rsidRDefault="0077538D" w:rsidP="0077538D">
      <w:pPr>
        <w:spacing w:line="360" w:lineRule="auto"/>
        <w:ind w:left="284" w:hanging="284"/>
        <w:jc w:val="both"/>
      </w:pPr>
      <w:r w:rsidRPr="0073741D">
        <w:t xml:space="preserve">Lee R and Schmidt-Marwede U (1993) Interurban competition? Financial centres and the geography of financial production. International </w:t>
      </w:r>
      <w:r w:rsidRPr="0073741D">
        <w:rPr>
          <w:i/>
        </w:rPr>
        <w:t>Journal of Urban and Regional Research</w:t>
      </w:r>
      <w:r w:rsidRPr="0073741D">
        <w:t xml:space="preserve"> 17: 492 – 515.</w:t>
      </w:r>
    </w:p>
    <w:p w14:paraId="53828B59" w14:textId="77777777" w:rsidR="0077538D" w:rsidRPr="0073741D" w:rsidRDefault="0077538D" w:rsidP="0077538D">
      <w:pPr>
        <w:spacing w:line="360" w:lineRule="auto"/>
        <w:ind w:left="284" w:hanging="284"/>
        <w:jc w:val="both"/>
      </w:pPr>
      <w:r w:rsidRPr="0073741D">
        <w:rPr>
          <w:rFonts w:eastAsiaTheme="minorHAnsi"/>
        </w:rPr>
        <w:t>Le Gallo J and Dall’Erba S (2008) Spatial and sectoral productivity convergence betw</w:t>
      </w:r>
      <w:r w:rsidRPr="0073741D">
        <w:t xml:space="preserve">een </w:t>
      </w:r>
      <w:r w:rsidRPr="0073741D">
        <w:rPr>
          <w:rFonts w:eastAsiaTheme="minorHAnsi"/>
        </w:rPr>
        <w:t xml:space="preserve">European regions, 1975–2000. </w:t>
      </w:r>
      <w:r w:rsidRPr="0073741D">
        <w:rPr>
          <w:rFonts w:eastAsiaTheme="minorHAnsi"/>
          <w:i/>
        </w:rPr>
        <w:t>Papers in Regional Science</w:t>
      </w:r>
      <w:r w:rsidRPr="0073741D">
        <w:rPr>
          <w:rFonts w:eastAsiaTheme="minorHAnsi"/>
        </w:rPr>
        <w:t xml:space="preserve"> 87(4): 505–25</w:t>
      </w:r>
      <w:r w:rsidRPr="0073741D">
        <w:rPr>
          <w:rFonts w:eastAsia="Times New Roman"/>
        </w:rPr>
        <w:t>.</w:t>
      </w:r>
    </w:p>
    <w:p w14:paraId="5228C546" w14:textId="77777777" w:rsidR="0077538D" w:rsidRPr="0073741D" w:rsidRDefault="0077538D" w:rsidP="0077538D">
      <w:pPr>
        <w:spacing w:line="360" w:lineRule="auto"/>
        <w:ind w:left="284" w:hanging="284"/>
        <w:jc w:val="both"/>
        <w:rPr>
          <w:iCs/>
          <w:lang w:val="en-US"/>
        </w:rPr>
      </w:pPr>
      <w:r w:rsidRPr="0073741D">
        <w:rPr>
          <w:lang w:val="en-US"/>
        </w:rPr>
        <w:t xml:space="preserve">Li Q and Racine J (2004) </w:t>
      </w:r>
      <w:r w:rsidRPr="0073741D">
        <w:rPr>
          <w:iCs/>
          <w:lang w:val="en-US"/>
        </w:rPr>
        <w:t>Cross-validated local linear nonparametric regression</w:t>
      </w:r>
      <w:r w:rsidRPr="0073741D">
        <w:rPr>
          <w:lang w:eastAsia="zh-TW"/>
        </w:rPr>
        <w:t>.</w:t>
      </w:r>
      <w:r w:rsidRPr="0073741D">
        <w:rPr>
          <w:iCs/>
          <w:lang w:val="en-US"/>
        </w:rPr>
        <w:t xml:space="preserve"> </w:t>
      </w:r>
      <w:r w:rsidRPr="0073741D">
        <w:rPr>
          <w:i/>
          <w:iCs/>
          <w:lang w:val="en-US"/>
        </w:rPr>
        <w:t>Statistica Sinica</w:t>
      </w:r>
      <w:r w:rsidRPr="0073741D">
        <w:rPr>
          <w:iCs/>
          <w:lang w:val="en-US"/>
        </w:rPr>
        <w:t xml:space="preserve"> 14: 485</w:t>
      </w:r>
      <w:r w:rsidRPr="0073741D">
        <w:t>–</w:t>
      </w:r>
      <w:r w:rsidRPr="0073741D">
        <w:rPr>
          <w:iCs/>
          <w:lang w:val="en-US"/>
        </w:rPr>
        <w:t>512.</w:t>
      </w:r>
    </w:p>
    <w:p w14:paraId="0124F682" w14:textId="77777777" w:rsidR="0077538D" w:rsidRPr="0073741D" w:rsidRDefault="0077538D" w:rsidP="0077538D">
      <w:pPr>
        <w:spacing w:line="360" w:lineRule="auto"/>
        <w:ind w:left="284" w:hanging="284"/>
        <w:jc w:val="both"/>
        <w:rPr>
          <w:lang w:val="en-US"/>
        </w:rPr>
      </w:pPr>
      <w:r w:rsidRPr="0073741D">
        <w:rPr>
          <w:lang w:val="en-US"/>
        </w:rPr>
        <w:t xml:space="preserve">Li Q and Racine J (2007) </w:t>
      </w:r>
      <w:r w:rsidRPr="0073741D">
        <w:rPr>
          <w:iCs/>
          <w:lang w:val="en-US"/>
        </w:rPr>
        <w:t>Nonparametric Econometrics: Theory and Practice</w:t>
      </w:r>
      <w:r w:rsidRPr="0073741D">
        <w:rPr>
          <w:lang w:val="en-US"/>
        </w:rPr>
        <w:t xml:space="preserve"> (Princeton University Press: Princeton, NJ).</w:t>
      </w:r>
    </w:p>
    <w:p w14:paraId="0211982C" w14:textId="77777777" w:rsidR="0077538D" w:rsidRPr="0073741D" w:rsidRDefault="0077538D" w:rsidP="0077538D">
      <w:pPr>
        <w:spacing w:line="360" w:lineRule="auto"/>
        <w:ind w:left="284" w:hanging="284"/>
        <w:jc w:val="both"/>
      </w:pPr>
      <w:r w:rsidRPr="0073741D">
        <w:t xml:space="preserve">Limao N and Venables A (2001) Infrastructure, geographical disadvantage and transport costs. </w:t>
      </w:r>
      <w:r w:rsidRPr="0073741D">
        <w:rPr>
          <w:i/>
        </w:rPr>
        <w:t>World Bank Economic Review</w:t>
      </w:r>
      <w:r w:rsidRPr="0073741D">
        <w:t xml:space="preserve"> 15(3): 451–479.</w:t>
      </w:r>
    </w:p>
    <w:p w14:paraId="78077346" w14:textId="77777777" w:rsidR="0077538D" w:rsidRPr="0073741D" w:rsidRDefault="0077538D" w:rsidP="0077538D">
      <w:pPr>
        <w:spacing w:line="360" w:lineRule="auto"/>
        <w:ind w:left="284" w:hanging="284"/>
        <w:jc w:val="both"/>
      </w:pPr>
      <w:r w:rsidRPr="0073741D">
        <w:t xml:space="preserve">Longhi C and Musolesi A (2007) European cities in the process of economic integration: Towards structural .convergence. </w:t>
      </w:r>
      <w:r w:rsidRPr="0073741D">
        <w:rPr>
          <w:i/>
        </w:rPr>
        <w:t>Annals of Regional Science</w:t>
      </w:r>
      <w:r w:rsidRPr="0073741D">
        <w:t xml:space="preserve"> 41: 333–351.</w:t>
      </w:r>
    </w:p>
    <w:p w14:paraId="50DE3EF9" w14:textId="77777777" w:rsidR="0077538D" w:rsidRPr="0073741D" w:rsidRDefault="0077538D" w:rsidP="0077538D">
      <w:pPr>
        <w:spacing w:line="360" w:lineRule="auto"/>
        <w:ind w:left="284" w:hanging="284"/>
        <w:jc w:val="both"/>
      </w:pPr>
      <w:r w:rsidRPr="0073741D">
        <w:t xml:space="preserve">López-Bazo E, Vayá E, Mora A J and Suriñach J (1999) Regional economic dynamics and convergence in the European Union. </w:t>
      </w:r>
      <w:r w:rsidRPr="0073741D">
        <w:rPr>
          <w:i/>
        </w:rPr>
        <w:t>Annals of Regional Science</w:t>
      </w:r>
      <w:r w:rsidRPr="0073741D">
        <w:t xml:space="preserve"> 33(3): 343-370.</w:t>
      </w:r>
    </w:p>
    <w:p w14:paraId="7922AF65" w14:textId="77777777" w:rsidR="0077538D" w:rsidRPr="0073741D" w:rsidRDefault="0077538D" w:rsidP="0077538D">
      <w:pPr>
        <w:spacing w:line="360" w:lineRule="auto"/>
        <w:ind w:left="284" w:hanging="284"/>
        <w:jc w:val="both"/>
      </w:pPr>
      <w:r w:rsidRPr="0073741D">
        <w:t xml:space="preserve">Petrakos G, Kallioras D and Anagnostou A (2011) Regional convergence and growth in Europe: Understanding patterns and determinants. </w:t>
      </w:r>
      <w:r w:rsidRPr="0073741D">
        <w:rPr>
          <w:i/>
        </w:rPr>
        <w:t>European Urban and Regional Studies</w:t>
      </w:r>
      <w:r w:rsidRPr="0073741D">
        <w:t xml:space="preserve"> 18: 375–391.</w:t>
      </w:r>
    </w:p>
    <w:p w14:paraId="42AFA6D5" w14:textId="77777777" w:rsidR="0077538D" w:rsidRPr="0073741D" w:rsidRDefault="0077538D" w:rsidP="0077538D">
      <w:pPr>
        <w:spacing w:line="360" w:lineRule="auto"/>
        <w:ind w:left="284" w:hanging="284"/>
        <w:jc w:val="both"/>
      </w:pPr>
      <w:r w:rsidRPr="0073741D">
        <w:t xml:space="preserve">Petrakos G, Rodríguez-Pose A and Rovolis A (2005) Growth, integration, and regional disparities in the European Union. </w:t>
      </w:r>
      <w:r w:rsidRPr="0073741D">
        <w:rPr>
          <w:i/>
        </w:rPr>
        <w:t>Environment and Planning A</w:t>
      </w:r>
      <w:r w:rsidRPr="0073741D">
        <w:t xml:space="preserve"> 37(10): 1837–55.</w:t>
      </w:r>
    </w:p>
    <w:p w14:paraId="67A01E01" w14:textId="77777777" w:rsidR="0077538D" w:rsidRPr="0073741D" w:rsidRDefault="0077538D" w:rsidP="0077538D">
      <w:pPr>
        <w:spacing w:line="360" w:lineRule="auto"/>
        <w:ind w:left="284" w:hanging="284"/>
        <w:jc w:val="both"/>
      </w:pPr>
      <w:r w:rsidRPr="0073741D">
        <w:t xml:space="preserve">Pittau M G and Zelli R (2006). Empirical evidence of income dynamics across EU regions. </w:t>
      </w:r>
      <w:r w:rsidRPr="0073741D">
        <w:rPr>
          <w:i/>
        </w:rPr>
        <w:t>Journal of Applied Econometrics</w:t>
      </w:r>
      <w:r w:rsidRPr="0073741D">
        <w:t xml:space="preserve"> 21(5): 605-628.</w:t>
      </w:r>
    </w:p>
    <w:p w14:paraId="04AC0A66" w14:textId="41E9494B" w:rsidR="0077538D" w:rsidRDefault="0077538D" w:rsidP="0077538D">
      <w:pPr>
        <w:spacing w:line="360" w:lineRule="auto"/>
        <w:ind w:left="284" w:hanging="284"/>
        <w:jc w:val="both"/>
      </w:pPr>
      <w:r w:rsidRPr="0073741D">
        <w:t>Porteous D (1999) The development of financial centres: Location, information externalities and path dependency. In Money and the space economy, ed. R. Martin, 95–114. Chichester: Wiley.</w:t>
      </w:r>
    </w:p>
    <w:p w14:paraId="2DAD951E" w14:textId="292374BB" w:rsidR="00976212" w:rsidRPr="0073741D" w:rsidRDefault="00976212" w:rsidP="0077538D">
      <w:pPr>
        <w:spacing w:line="360" w:lineRule="auto"/>
        <w:ind w:left="284" w:hanging="284"/>
        <w:jc w:val="both"/>
      </w:pPr>
      <w:r>
        <w:t xml:space="preserve">Poon JP (2003) </w:t>
      </w:r>
      <w:r w:rsidRPr="00976212">
        <w:t xml:space="preserve">Hierarchical tendencies of capital markets among international financial centers. </w:t>
      </w:r>
      <w:r w:rsidRPr="00976212">
        <w:rPr>
          <w:i/>
        </w:rPr>
        <w:t>Growth and Change</w:t>
      </w:r>
      <w:r>
        <w:t xml:space="preserve"> 34(2):</w:t>
      </w:r>
      <w:r w:rsidRPr="00976212">
        <w:t xml:space="preserve"> 135-156.</w:t>
      </w:r>
    </w:p>
    <w:p w14:paraId="57178C19" w14:textId="77777777" w:rsidR="0077538D" w:rsidRPr="0073741D" w:rsidRDefault="0077538D" w:rsidP="0077538D">
      <w:pPr>
        <w:spacing w:line="360" w:lineRule="auto"/>
        <w:ind w:left="284" w:hanging="284"/>
        <w:jc w:val="both"/>
      </w:pPr>
      <w:r w:rsidRPr="0073741D">
        <w:t xml:space="preserve">Quah D T </w:t>
      </w:r>
      <w:r w:rsidR="0045223C" w:rsidRPr="0073741D">
        <w:t>(</w:t>
      </w:r>
      <w:r w:rsidRPr="0073741D">
        <w:t>1996</w:t>
      </w:r>
      <w:r w:rsidR="0045223C" w:rsidRPr="0073741D">
        <w:t>)</w:t>
      </w:r>
      <w:r w:rsidRPr="0073741D">
        <w:t xml:space="preserve">. Empirics for economic growth and convergence. </w:t>
      </w:r>
      <w:r w:rsidRPr="0073741D">
        <w:rPr>
          <w:i/>
        </w:rPr>
        <w:t>European Economic Review</w:t>
      </w:r>
      <w:r w:rsidRPr="0073741D">
        <w:t xml:space="preserve"> 40(6): 1353-1375.</w:t>
      </w:r>
    </w:p>
    <w:p w14:paraId="3D6678E5" w14:textId="77777777" w:rsidR="0077538D" w:rsidRPr="0073741D" w:rsidRDefault="0077538D" w:rsidP="0077538D">
      <w:pPr>
        <w:spacing w:line="360" w:lineRule="auto"/>
        <w:ind w:left="284" w:hanging="284"/>
        <w:jc w:val="both"/>
      </w:pPr>
      <w:r w:rsidRPr="0073741D">
        <w:t xml:space="preserve">Rodríguez-Pose A and Fratesi U (2004) Between development and social policies: the impact of European Structural Funds in Objective 1 regions. </w:t>
      </w:r>
      <w:r w:rsidRPr="0073741D">
        <w:rPr>
          <w:i/>
        </w:rPr>
        <w:t>Regional Studies</w:t>
      </w:r>
      <w:r w:rsidRPr="0073741D">
        <w:t xml:space="preserve"> 38: 97–113.</w:t>
      </w:r>
    </w:p>
    <w:p w14:paraId="1F38AC8E" w14:textId="77777777" w:rsidR="0077538D" w:rsidRPr="0073741D" w:rsidRDefault="0077538D" w:rsidP="0077538D">
      <w:pPr>
        <w:spacing w:line="360" w:lineRule="auto"/>
        <w:ind w:left="284" w:hanging="284"/>
        <w:jc w:val="both"/>
      </w:pPr>
      <w:r w:rsidRPr="0073741D">
        <w:t xml:space="preserve">Taylor PJ, Derudder B, Faulconbridge J, Hoyler M and Ni P (2014) Advanced Producer Service Firms as Strategic Networks, Global Cities as Strategic Places. </w:t>
      </w:r>
      <w:r w:rsidRPr="0073741D">
        <w:rPr>
          <w:i/>
          <w:iCs/>
        </w:rPr>
        <w:t>Economic Geography</w:t>
      </w:r>
      <w:r w:rsidRPr="0073741D">
        <w:t xml:space="preserve"> </w:t>
      </w:r>
      <w:r w:rsidRPr="0073741D">
        <w:rPr>
          <w:bCs/>
        </w:rPr>
        <w:t>90(3):</w:t>
      </w:r>
      <w:r w:rsidRPr="0073741D">
        <w:t xml:space="preserve"> 267–91.</w:t>
      </w:r>
    </w:p>
    <w:p w14:paraId="5C408260" w14:textId="77777777" w:rsidR="0077538D" w:rsidRPr="0073741D" w:rsidRDefault="0077538D" w:rsidP="0077538D">
      <w:pPr>
        <w:spacing w:line="360" w:lineRule="auto"/>
        <w:ind w:left="284" w:hanging="284"/>
        <w:jc w:val="both"/>
      </w:pPr>
      <w:r w:rsidRPr="0073741D">
        <w:t xml:space="preserve">Tselios V, Rodríguez-Pose A, Pike A, Tomaney J and Torrisi G (2012) Income inequality, decentralisation, and regional development in Western Europe. </w:t>
      </w:r>
      <w:r w:rsidRPr="0073741D">
        <w:rPr>
          <w:i/>
        </w:rPr>
        <w:t>Environment and Planning A</w:t>
      </w:r>
      <w:r w:rsidRPr="0073741D">
        <w:t xml:space="preserve"> 44(6): 1278-1301.</w:t>
      </w:r>
    </w:p>
    <w:p w14:paraId="31D67EF5" w14:textId="77777777" w:rsidR="0077538D" w:rsidRPr="0073741D" w:rsidRDefault="0077538D" w:rsidP="0077538D">
      <w:pPr>
        <w:spacing w:line="360" w:lineRule="auto"/>
        <w:ind w:left="284" w:hanging="284"/>
        <w:jc w:val="both"/>
      </w:pPr>
      <w:r w:rsidRPr="0073741D">
        <w:t>Thrift N J (1994) On the social and cultural determinants of international financial centres: The case of the City of London. In Money, power and space, ed. S. Corbridge, R.L. Martin, and N.J. Thrift, 327–355. Oxford: Blackwell.</w:t>
      </w:r>
    </w:p>
    <w:p w14:paraId="0CD14DEE" w14:textId="77777777" w:rsidR="0077538D" w:rsidRPr="0073741D" w:rsidRDefault="0077538D" w:rsidP="0077538D">
      <w:pPr>
        <w:spacing w:line="360" w:lineRule="auto"/>
        <w:ind w:left="284" w:hanging="284"/>
        <w:jc w:val="both"/>
      </w:pPr>
      <w:r w:rsidRPr="0073741D">
        <w:t>Wacziarg R (2001) Structural convergence. mimeo Stanford University.</w:t>
      </w:r>
    </w:p>
    <w:p w14:paraId="54A75D88" w14:textId="77777777" w:rsidR="0077538D" w:rsidRPr="0073741D" w:rsidRDefault="0077538D" w:rsidP="0077538D">
      <w:pPr>
        <w:spacing w:line="360" w:lineRule="auto"/>
        <w:ind w:left="284" w:hanging="284"/>
        <w:jc w:val="both"/>
      </w:pPr>
      <w:r w:rsidRPr="0073741D">
        <w:rPr>
          <w:rFonts w:eastAsiaTheme="minorHAnsi"/>
          <w:lang w:eastAsia="en-US"/>
        </w:rPr>
        <w:t xml:space="preserve">Wójcik D (2013) The dark side of NY-LON: financial centres and the global financial crisis. </w:t>
      </w:r>
      <w:r w:rsidRPr="0073741D">
        <w:rPr>
          <w:rFonts w:eastAsiaTheme="minorHAnsi"/>
          <w:i/>
          <w:lang w:eastAsia="en-US"/>
        </w:rPr>
        <w:t>Urban Studies</w:t>
      </w:r>
      <w:r w:rsidRPr="0073741D">
        <w:rPr>
          <w:rFonts w:eastAsiaTheme="minorHAnsi"/>
          <w:lang w:eastAsia="en-US"/>
        </w:rPr>
        <w:t xml:space="preserve"> </w:t>
      </w:r>
      <w:r w:rsidRPr="0073741D">
        <w:t>50(13): 2736–275.</w:t>
      </w:r>
    </w:p>
    <w:p w14:paraId="33BBFB7B" w14:textId="77777777" w:rsidR="006009CF" w:rsidRPr="0073741D" w:rsidRDefault="006009CF" w:rsidP="0073741D">
      <w:pPr>
        <w:spacing w:line="360" w:lineRule="auto"/>
        <w:ind w:left="284" w:hanging="284"/>
        <w:jc w:val="both"/>
      </w:pPr>
      <w:r w:rsidRPr="0073741D">
        <w:t xml:space="preserve">Wood SN (2000) Modelling and smoothing parameter estimation with multiple quadratic penalties. </w:t>
      </w:r>
      <w:r w:rsidRPr="0073741D">
        <w:rPr>
          <w:i/>
        </w:rPr>
        <w:t>Journal of the Royal Statistical Society: Series B (Statistical Methodology)</w:t>
      </w:r>
      <w:r w:rsidRPr="0073741D">
        <w:t xml:space="preserve"> 62(2): 413-428.</w:t>
      </w:r>
    </w:p>
    <w:p w14:paraId="4DAB65B0" w14:textId="77777777" w:rsidR="006009CF" w:rsidRPr="0073741D" w:rsidRDefault="006009CF" w:rsidP="0073741D">
      <w:pPr>
        <w:spacing w:line="360" w:lineRule="auto"/>
        <w:ind w:left="284" w:hanging="284"/>
        <w:jc w:val="both"/>
      </w:pPr>
      <w:r w:rsidRPr="0073741D">
        <w:t xml:space="preserve">Wood SN (2004) Stable and efficient multiple smoothing parameter estimation for generalized additive models. </w:t>
      </w:r>
      <w:r w:rsidRPr="0073741D">
        <w:rPr>
          <w:i/>
        </w:rPr>
        <w:t>Journal of the American Statistics Association</w:t>
      </w:r>
      <w:r w:rsidRPr="0073741D">
        <w:t xml:space="preserve"> 99: 673-686.</w:t>
      </w:r>
    </w:p>
    <w:p w14:paraId="43690022" w14:textId="77777777" w:rsidR="006009CF" w:rsidRPr="0073741D" w:rsidRDefault="006009CF" w:rsidP="0073741D">
      <w:pPr>
        <w:spacing w:line="360" w:lineRule="auto"/>
        <w:ind w:left="284" w:hanging="284"/>
        <w:jc w:val="both"/>
      </w:pPr>
      <w:r w:rsidRPr="0073741D">
        <w:t>Wood SN (2006) Generalized additive models: an introduction with R.  Chapman &amp; Hall/CRC Texts in Statistical Science press.</w:t>
      </w:r>
    </w:p>
    <w:p w14:paraId="2E36E11C" w14:textId="77777777" w:rsidR="0077538D" w:rsidRPr="0073741D" w:rsidRDefault="0077538D" w:rsidP="0077538D">
      <w:pPr>
        <w:spacing w:line="360" w:lineRule="auto"/>
        <w:ind w:left="284" w:hanging="284"/>
        <w:jc w:val="both"/>
      </w:pPr>
      <w:r w:rsidRPr="0073741D">
        <w:rPr>
          <w:rFonts w:eastAsiaTheme="minorHAnsi"/>
          <w:lang w:eastAsia="en-US"/>
        </w:rPr>
        <w:t>Z/Yen Group (2010) The Global Financial Centres Index 7. Available at:   http://www.zyen.com/PDF/GFC%207.pdf (accessed February 2017).</w:t>
      </w:r>
    </w:p>
    <w:p w14:paraId="0A66B0F6" w14:textId="77777777" w:rsidR="0077538D" w:rsidRDefault="0077538D" w:rsidP="0009770E">
      <w:pPr>
        <w:pStyle w:val="PlainText"/>
        <w:rPr>
          <w:rFonts w:ascii="Times New Roman" w:hAnsi="Times New Roman"/>
          <w:sz w:val="24"/>
          <w:szCs w:val="24"/>
        </w:rPr>
      </w:pPr>
    </w:p>
    <w:p w14:paraId="209F9347" w14:textId="77777777" w:rsidR="0077538D" w:rsidRDefault="0077538D" w:rsidP="0009770E">
      <w:pPr>
        <w:pStyle w:val="PlainText"/>
        <w:rPr>
          <w:rFonts w:ascii="Times New Roman" w:hAnsi="Times New Roman"/>
          <w:sz w:val="24"/>
          <w:szCs w:val="24"/>
        </w:rPr>
      </w:pPr>
    </w:p>
    <w:p w14:paraId="24E1D054" w14:textId="19942E27" w:rsidR="00C50AFB" w:rsidRPr="0009770E" w:rsidRDefault="00C50AFB" w:rsidP="0009770E">
      <w:pPr>
        <w:pStyle w:val="PlainText"/>
        <w:rPr>
          <w:rFonts w:ascii="Times New Roman" w:hAnsi="Times New Roman"/>
          <w:sz w:val="28"/>
          <w:szCs w:val="24"/>
        </w:rPr>
      </w:pPr>
      <w:r w:rsidRPr="0009770E">
        <w:rPr>
          <w:rFonts w:ascii="Times New Roman" w:hAnsi="Times New Roman"/>
          <w:b/>
          <w:bCs/>
          <w:sz w:val="24"/>
        </w:rPr>
        <w:t>Endnotes</w:t>
      </w:r>
    </w:p>
    <w:sectPr w:rsidR="00C50AFB" w:rsidRPr="0009770E" w:rsidSect="00F51975">
      <w:footerReference w:type="even" r:id="rId44"/>
      <w:footerReference w:type="default" r:id="rId45"/>
      <w:endnotePr>
        <w:numFmt w:val="decimal"/>
      </w:endnotePr>
      <w:pgSz w:w="11906" w:h="16838"/>
      <w:pgMar w:top="1440" w:right="1558" w:bottom="1440" w:left="125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7A08F" w14:textId="77777777" w:rsidR="0063487D" w:rsidRDefault="0063487D">
      <w:r>
        <w:separator/>
      </w:r>
    </w:p>
  </w:endnote>
  <w:endnote w:type="continuationSeparator" w:id="0">
    <w:p w14:paraId="3EA73968" w14:textId="77777777" w:rsidR="0063487D" w:rsidRDefault="0063487D">
      <w:r>
        <w:continuationSeparator/>
      </w:r>
    </w:p>
  </w:endnote>
  <w:endnote w:id="1">
    <w:p w14:paraId="5AD472ED" w14:textId="38872ED7" w:rsidR="007659A3" w:rsidRDefault="007659A3">
      <w:pPr>
        <w:pStyle w:val="EndnoteText"/>
      </w:pPr>
      <w:r>
        <w:rPr>
          <w:rStyle w:val="EndnoteReference"/>
        </w:rPr>
        <w:endnoteRef/>
      </w:r>
      <w:r>
        <w:t xml:space="preserve"> To our best knowledge, Poon (2003) is the only study that examines the tiers of world financial centres in terms of their evolving</w:t>
      </w:r>
      <w:r w:rsidRPr="00D83C7D">
        <w:t xml:space="preserve"> hierarchical tendencies</w:t>
      </w:r>
      <w:r>
        <w:t xml:space="preserve">.  </w:t>
      </w:r>
    </w:p>
  </w:endnote>
  <w:endnote w:id="2">
    <w:p w14:paraId="7D4A789D" w14:textId="77777777" w:rsidR="007659A3" w:rsidRPr="00115167" w:rsidRDefault="007659A3" w:rsidP="006D66D1">
      <w:pPr>
        <w:pStyle w:val="EndnoteText"/>
        <w:jc w:val="both"/>
        <w:rPr>
          <w:szCs w:val="22"/>
        </w:rPr>
      </w:pPr>
      <w:r w:rsidRPr="00115167">
        <w:rPr>
          <w:rStyle w:val="EndnoteReference"/>
          <w:szCs w:val="22"/>
        </w:rPr>
        <w:endnoteRef/>
      </w:r>
      <w:r w:rsidRPr="00115167">
        <w:rPr>
          <w:szCs w:val="22"/>
        </w:rPr>
        <w:t xml:space="preserve"> Data on the GFCI Index is retrieved from </w:t>
      </w:r>
      <w:hyperlink r:id="rId1" w:history="1">
        <w:r w:rsidRPr="00115167">
          <w:rPr>
            <w:rStyle w:val="Hyperlink"/>
            <w:szCs w:val="22"/>
          </w:rPr>
          <w:t>http://www.zyen.com/research/gfci.html</w:t>
        </w:r>
      </w:hyperlink>
      <w:r w:rsidRPr="00115167">
        <w:rPr>
          <w:szCs w:val="22"/>
        </w:rPr>
        <w:t>. Access date 20/03/201</w:t>
      </w:r>
      <w:r>
        <w:rPr>
          <w:szCs w:val="22"/>
        </w:rPr>
        <w:t>5</w:t>
      </w:r>
      <w:r w:rsidRPr="00115167">
        <w:rPr>
          <w:szCs w:val="22"/>
        </w:rPr>
        <w:t>.</w:t>
      </w:r>
    </w:p>
  </w:endnote>
  <w:endnote w:id="3">
    <w:p w14:paraId="2D02278F" w14:textId="77777777" w:rsidR="007659A3" w:rsidRPr="00115167" w:rsidRDefault="007659A3" w:rsidP="006D66D1">
      <w:pPr>
        <w:pStyle w:val="EndnoteText"/>
        <w:jc w:val="both"/>
        <w:rPr>
          <w:szCs w:val="22"/>
        </w:rPr>
      </w:pPr>
      <w:r w:rsidRPr="00115167">
        <w:rPr>
          <w:rStyle w:val="EndnoteReference"/>
          <w:szCs w:val="22"/>
        </w:rPr>
        <w:endnoteRef/>
      </w:r>
      <w:r w:rsidRPr="00115167">
        <w:rPr>
          <w:szCs w:val="22"/>
        </w:rPr>
        <w:t xml:space="preserve">Data retrieved from </w:t>
      </w:r>
      <w:hyperlink r:id="rId2" w:history="1">
        <w:r w:rsidRPr="00115167">
          <w:rPr>
            <w:rStyle w:val="Hyperlink"/>
            <w:szCs w:val="22"/>
          </w:rPr>
          <w:t>http://reports.weforum.org/global-competitiveness-report-2015-2016/downloads/</w:t>
        </w:r>
      </w:hyperlink>
      <w:r w:rsidRPr="00115167">
        <w:rPr>
          <w:szCs w:val="22"/>
        </w:rPr>
        <w:t xml:space="preserve"> (</w:t>
      </w:r>
      <w:r>
        <w:rPr>
          <w:szCs w:val="22"/>
        </w:rPr>
        <w:t>10/09/2016</w:t>
      </w:r>
      <w:r w:rsidRPr="00115167">
        <w:rPr>
          <w:szCs w:val="22"/>
        </w:rPr>
        <w:t xml:space="preserve">). The GFCI provides a complete dataset for all the countries where financial centres are located over the period of our analysis. All the indexes range from 1 (worst score) to 7 (best score). </w:t>
      </w:r>
    </w:p>
  </w:endnote>
  <w:endnote w:id="4">
    <w:p w14:paraId="46B45604" w14:textId="77777777" w:rsidR="007659A3" w:rsidRPr="00115167" w:rsidRDefault="007659A3" w:rsidP="006D66D1">
      <w:pPr>
        <w:pStyle w:val="FootnoteText"/>
        <w:jc w:val="both"/>
        <w:rPr>
          <w:szCs w:val="22"/>
          <w:lang w:val="en-US"/>
        </w:rPr>
      </w:pPr>
      <w:r w:rsidRPr="00115167">
        <w:rPr>
          <w:rStyle w:val="EndnoteReference"/>
          <w:szCs w:val="22"/>
        </w:rPr>
        <w:endnoteRef/>
      </w:r>
      <w:r w:rsidRPr="00115167">
        <w:rPr>
          <w:szCs w:val="22"/>
        </w:rPr>
        <w:t xml:space="preserve"> In our local linear estimator, we use a second-order Gaussian kernel and a bandwidth (smoothing parameter) introduced by Hurvich et al. (1998), which is based on the Akaike information criterion (AIC). </w:t>
      </w:r>
      <w:r w:rsidRPr="00115167">
        <w:rPr>
          <w:szCs w:val="22"/>
          <w:lang w:val="en-US"/>
        </w:rPr>
        <w:t>According to Li and Racine (2004, 2007) the particular bandwidth chosen is the most suitable since it has extremely good finite sample properties and performs better with small samples.</w:t>
      </w:r>
    </w:p>
  </w:endnote>
  <w:endnote w:id="5">
    <w:p w14:paraId="0F54B2B8" w14:textId="77777777" w:rsidR="007659A3" w:rsidRPr="00115167" w:rsidRDefault="007659A3" w:rsidP="006D66D1">
      <w:pPr>
        <w:jc w:val="both"/>
        <w:rPr>
          <w:rFonts w:eastAsiaTheme="minorEastAsia"/>
          <w:sz w:val="20"/>
          <w:szCs w:val="22"/>
        </w:rPr>
      </w:pPr>
      <w:r w:rsidRPr="00115167">
        <w:rPr>
          <w:rStyle w:val="EndnoteReference"/>
          <w:sz w:val="20"/>
          <w:szCs w:val="22"/>
        </w:rPr>
        <w:endnoteRef/>
      </w:r>
      <w:r w:rsidRPr="00115167">
        <w:rPr>
          <w:sz w:val="20"/>
          <w:szCs w:val="22"/>
        </w:rPr>
        <w:t xml:space="preserve"> A Fredholm equation of the first kind is an integral equation named by the mathematician Erick Ivan Fredholm. In order to explain in a general form an ‘ill-posed’ inverse problem let </w:t>
      </w:r>
      <m:oMath>
        <m:r>
          <m:rPr>
            <m:sty m:val="p"/>
          </m:rPr>
          <w:rPr>
            <w:rFonts w:ascii="Cambria Math" w:hAnsi="Cambria Math"/>
            <w:sz w:val="20"/>
            <w:szCs w:val="22"/>
          </w:rPr>
          <m:t>Θ</m:t>
        </m:r>
      </m:oMath>
      <w:r w:rsidRPr="00115167">
        <w:rPr>
          <w:iCs/>
          <w:sz w:val="20"/>
          <w:szCs w:val="22"/>
        </w:rPr>
        <w:t xml:space="preserve"> </w:t>
      </w:r>
      <w:r w:rsidRPr="00115167">
        <w:rPr>
          <w:sz w:val="20"/>
          <w:szCs w:val="22"/>
        </w:rPr>
        <w:t xml:space="preserve">be a nonlinear operator. Then, according to the mathematician Hadanard the inverse problem of solving </w:t>
      </w:r>
      <m:oMath>
        <m:r>
          <m:rPr>
            <m:sty m:val="p"/>
          </m:rPr>
          <w:rPr>
            <w:rFonts w:ascii="Cambria Math" w:hAnsi="Cambria Math"/>
            <w:sz w:val="20"/>
            <w:szCs w:val="22"/>
          </w:rPr>
          <m:t>Θ</m:t>
        </m:r>
        <m:d>
          <m:dPr>
            <m:ctrlPr>
              <w:rPr>
                <w:rFonts w:ascii="Cambria Math" w:hAnsi="Cambria Math"/>
                <w:sz w:val="20"/>
                <w:szCs w:val="22"/>
              </w:rPr>
            </m:ctrlPr>
          </m:dPr>
          <m:e>
            <m:r>
              <w:rPr>
                <w:rFonts w:ascii="Cambria Math" w:hAnsi="Cambria Math"/>
                <w:sz w:val="20"/>
                <w:szCs w:val="22"/>
              </w:rPr>
              <m:t>x</m:t>
            </m:r>
          </m:e>
        </m:d>
        <m:r>
          <m:rPr>
            <m:sty m:val="p"/>
          </m:rPr>
          <w:rPr>
            <w:rFonts w:ascii="Cambria Math" w:hAnsi="Cambria Math"/>
            <w:sz w:val="20"/>
            <w:szCs w:val="22"/>
          </w:rPr>
          <m:t>=</m:t>
        </m:r>
        <m:r>
          <w:rPr>
            <w:rFonts w:ascii="Cambria Math" w:hAnsi="Cambria Math"/>
            <w:sz w:val="20"/>
            <w:szCs w:val="22"/>
          </w:rPr>
          <m:t>m</m:t>
        </m:r>
      </m:oMath>
      <w:r w:rsidRPr="00115167">
        <w:rPr>
          <w:sz w:val="20"/>
          <w:szCs w:val="22"/>
        </w:rPr>
        <w:t xml:space="preserve"> is ‘well-posed’ if it satisfies the following conditions: (a) solution exists for any </w:t>
      </w:r>
      <m:oMath>
        <m:r>
          <w:rPr>
            <w:rFonts w:ascii="Cambria Math" w:hAnsi="Cambria Math"/>
            <w:sz w:val="20"/>
            <w:szCs w:val="22"/>
          </w:rPr>
          <m:t>m</m:t>
        </m:r>
      </m:oMath>
      <w:r w:rsidRPr="00115167">
        <w:rPr>
          <w:sz w:val="20"/>
          <w:szCs w:val="22"/>
        </w:rPr>
        <w:t xml:space="preserve">; (b) the solution is unique; and (c) the inverse mapping </w:t>
      </w:r>
      <m:oMath>
        <m:r>
          <w:rPr>
            <w:rFonts w:ascii="Cambria Math" w:hAnsi="Cambria Math"/>
            <w:sz w:val="20"/>
            <w:szCs w:val="22"/>
          </w:rPr>
          <m:t>m</m:t>
        </m:r>
        <m:r>
          <m:rPr>
            <m:sty m:val="p"/>
          </m:rPr>
          <w:rPr>
            <w:rFonts w:ascii="Cambria Math" w:hAnsi="Cambria Math"/>
            <w:sz w:val="20"/>
            <w:szCs w:val="22"/>
          </w:rPr>
          <m:t>↦</m:t>
        </m:r>
        <m:r>
          <w:rPr>
            <w:rFonts w:ascii="Cambria Math" w:hAnsi="Cambria Math"/>
            <w:sz w:val="20"/>
            <w:szCs w:val="22"/>
          </w:rPr>
          <m:t>x</m:t>
        </m:r>
      </m:oMath>
      <w:r w:rsidRPr="00115167">
        <w:rPr>
          <w:sz w:val="20"/>
          <w:szCs w:val="22"/>
        </w:rPr>
        <w:t xml:space="preserve"> is continuous. If any of these conditions are not met, then the inverse problem is said to be ‘ill-posed’ (Hall and Horowitz; 2005).</w:t>
      </w:r>
    </w:p>
  </w:endnote>
  <w:endnote w:id="6">
    <w:p w14:paraId="3F58F976" w14:textId="77777777" w:rsidR="007659A3" w:rsidRPr="00115167" w:rsidRDefault="007659A3" w:rsidP="00266C82">
      <w:pPr>
        <w:pStyle w:val="EndnoteText"/>
        <w:jc w:val="both"/>
      </w:pPr>
      <w:r w:rsidRPr="00115167">
        <w:rPr>
          <w:rStyle w:val="EndnoteReference"/>
        </w:rPr>
        <w:endnoteRef/>
      </w:r>
      <w:r w:rsidRPr="00115167">
        <w:t xml:space="preserve"> For the construction of the transition matrixes the integrated ‘R’-‘markovchain’ package has been applied. For details please see https://cran.r-project.org/web/packages/markovchain/index.html access date 15/03/2017.</w:t>
      </w:r>
    </w:p>
  </w:endnote>
  <w:endnote w:id="7">
    <w:p w14:paraId="5366FBAF" w14:textId="77777777" w:rsidR="007659A3" w:rsidRPr="00115167" w:rsidRDefault="007659A3" w:rsidP="00266C82">
      <w:pPr>
        <w:pStyle w:val="EndnoteText"/>
        <w:jc w:val="both"/>
      </w:pPr>
      <w:r w:rsidRPr="00115167">
        <w:rPr>
          <w:rStyle w:val="EndnoteReference"/>
        </w:rPr>
        <w:endnoteRef/>
      </w:r>
      <w:r w:rsidRPr="00115167">
        <w:t xml:space="preserve"> Financial centres of State 2 have a 22% probability of converging with the financial centres of State 1, whereas, there is an 18% probability to move to a higher state (State 3) and diverge from the rest of the group. In contrast, financial centres of State 3 have a 42% probability of moving to State 2 over the examined period, signifying a convergence tendency.</w:t>
      </w:r>
    </w:p>
  </w:endnote>
  <w:endnote w:id="8">
    <w:p w14:paraId="30D23DEB" w14:textId="77777777" w:rsidR="007659A3" w:rsidRPr="0009770E" w:rsidRDefault="007659A3" w:rsidP="0009770E">
      <w:pPr>
        <w:pStyle w:val="EndnoteText"/>
        <w:jc w:val="both"/>
        <w:rPr>
          <w:szCs w:val="22"/>
        </w:rPr>
      </w:pPr>
      <w:r>
        <w:rPr>
          <w:rStyle w:val="EndnoteReference"/>
        </w:rPr>
        <w:endnoteRef/>
      </w:r>
      <w:r>
        <w:t xml:space="preserve"> </w:t>
      </w:r>
      <w:r w:rsidRPr="00115167">
        <w:rPr>
          <w:szCs w:val="22"/>
        </w:rPr>
        <w:t xml:space="preserve">We employed a local constant estimator and a cross-validated bandwidth selection using the method described by Hurvich et al., (1998). </w:t>
      </w:r>
      <w:r w:rsidRPr="00115167">
        <w:rPr>
          <w:szCs w:val="22"/>
          <w:lang w:val="en-US"/>
        </w:rPr>
        <w:t>We also used the ‘</w:t>
      </w:r>
      <w:r w:rsidRPr="00115167">
        <w:rPr>
          <w:szCs w:val="22"/>
        </w:rPr>
        <w:t>R’- ‘np’ package (Hayfield and Racine, 2008).</w:t>
      </w:r>
    </w:p>
  </w:endnote>
  <w:endnote w:id="9">
    <w:p w14:paraId="0C9E35F1" w14:textId="77777777" w:rsidR="007659A3" w:rsidRPr="007B408F" w:rsidRDefault="007659A3" w:rsidP="006D66D1">
      <w:pPr>
        <w:pStyle w:val="EndnoteText"/>
        <w:jc w:val="both"/>
        <w:rPr>
          <w:szCs w:val="22"/>
        </w:rPr>
      </w:pPr>
      <w:r w:rsidRPr="00115167">
        <w:rPr>
          <w:rStyle w:val="EndnoteReference"/>
          <w:szCs w:val="22"/>
        </w:rPr>
        <w:endnoteRef/>
      </w:r>
      <w:r w:rsidRPr="00115167">
        <w:rPr>
          <w:szCs w:val="22"/>
        </w:rPr>
        <w:t xml:space="preserve"> INFR has a reverse effect on WGGDPPC for a very high score (more than 6). After that threshold it appears to reduce GGDPPC and instead increase WGGDPPC.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vT905">
    <w:altName w:val="Times New Roman"/>
    <w:panose1 w:val="00000000000000000000"/>
    <w:charset w:val="00"/>
    <w:family w:val="auto"/>
    <w:notTrueType/>
    <w:pitch w:val="default"/>
    <w:sig w:usb0="00000003" w:usb1="00000000" w:usb2="00000000" w:usb3="00000000" w:csb0="00000001" w:csb1="00000000"/>
  </w:font>
  <w:font w:name="T10">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CCF4E" w14:textId="77777777" w:rsidR="007659A3" w:rsidRDefault="007659A3" w:rsidP="00FD5F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19B109" w14:textId="77777777" w:rsidR="007659A3" w:rsidRDefault="007659A3" w:rsidP="00B57D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84BEC" w14:textId="087CF258" w:rsidR="007659A3" w:rsidRDefault="007659A3" w:rsidP="00FD5F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5CB">
      <w:rPr>
        <w:rStyle w:val="PageNumber"/>
        <w:noProof/>
      </w:rPr>
      <w:t>1</w:t>
    </w:r>
    <w:r>
      <w:rPr>
        <w:rStyle w:val="PageNumber"/>
      </w:rPr>
      <w:fldChar w:fldCharType="end"/>
    </w:r>
  </w:p>
  <w:p w14:paraId="384554A2" w14:textId="77777777" w:rsidR="007659A3" w:rsidRDefault="007659A3" w:rsidP="00B57D6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EA69E" w14:textId="77777777" w:rsidR="0063487D" w:rsidRDefault="0063487D">
      <w:r>
        <w:separator/>
      </w:r>
    </w:p>
  </w:footnote>
  <w:footnote w:type="continuationSeparator" w:id="0">
    <w:p w14:paraId="4715C6A0" w14:textId="77777777" w:rsidR="0063487D" w:rsidRDefault="00634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72672F1"/>
    <w:multiLevelType w:val="multilevel"/>
    <w:tmpl w:val="23A2644E"/>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E2A2158"/>
    <w:multiLevelType w:val="hybridMultilevel"/>
    <w:tmpl w:val="D57C8386"/>
    <w:lvl w:ilvl="0" w:tplc="0809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D630B"/>
    <w:multiLevelType w:val="hybridMultilevel"/>
    <w:tmpl w:val="FE1410F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EE22420"/>
    <w:multiLevelType w:val="multilevel"/>
    <w:tmpl w:val="08CE1B0E"/>
    <w:lvl w:ilvl="0">
      <w:start w:val="3"/>
      <w:numFmt w:val="decimal"/>
      <w:lvlText w:val="%1."/>
      <w:lvlJc w:val="left"/>
      <w:pPr>
        <w:ind w:left="36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4F2D92"/>
    <w:multiLevelType w:val="multilevel"/>
    <w:tmpl w:val="FC6A277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BD867D5"/>
    <w:multiLevelType w:val="hybridMultilevel"/>
    <w:tmpl w:val="9F2001D2"/>
    <w:lvl w:ilvl="0" w:tplc="0410000F">
      <w:start w:val="6"/>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15:restartNumberingAfterBreak="0">
    <w:nsid w:val="254A452A"/>
    <w:multiLevelType w:val="hybridMultilevel"/>
    <w:tmpl w:val="48A8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85B16"/>
    <w:multiLevelType w:val="multilevel"/>
    <w:tmpl w:val="6B90D4CE"/>
    <w:lvl w:ilvl="0">
      <w:start w:val="4"/>
      <w:numFmt w:val="decimal"/>
      <w:lvlText w:val="%1."/>
      <w:lvlJc w:val="left"/>
      <w:pPr>
        <w:ind w:left="367" w:hanging="367"/>
      </w:pPr>
      <w:rPr>
        <w:rFonts w:cs="Times New Roman" w:hint="default"/>
      </w:rPr>
    </w:lvl>
    <w:lvl w:ilvl="1">
      <w:start w:val="2"/>
      <w:numFmt w:val="decimal"/>
      <w:lvlText w:val="%1.%2."/>
      <w:lvlJc w:val="left"/>
      <w:pPr>
        <w:ind w:left="1087" w:hanging="367"/>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32C32072"/>
    <w:multiLevelType w:val="multilevel"/>
    <w:tmpl w:val="CC26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43998"/>
    <w:multiLevelType w:val="multilevel"/>
    <w:tmpl w:val="A6801D4E"/>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bCs w:val="0"/>
        <w:i/>
        <w:iCs w:val="0"/>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720" w:hanging="720"/>
      </w:pPr>
      <w:rPr>
        <w:rFonts w:cs="Times New Roman" w:hint="default"/>
        <w:b w:val="0"/>
        <w:i w:val="0"/>
      </w:rPr>
    </w:lvl>
    <w:lvl w:ilvl="4">
      <w:start w:val="1"/>
      <w:numFmt w:val="decimal"/>
      <w:isLgl/>
      <w:lvlText w:val="%1.%2.%3.%4.%5"/>
      <w:lvlJc w:val="left"/>
      <w:pPr>
        <w:ind w:left="1080" w:hanging="1080"/>
      </w:pPr>
      <w:rPr>
        <w:rFonts w:cs="Times New Roman" w:hint="default"/>
        <w:b w:val="0"/>
        <w:i w:val="0"/>
      </w:rPr>
    </w:lvl>
    <w:lvl w:ilvl="5">
      <w:start w:val="1"/>
      <w:numFmt w:val="decimal"/>
      <w:isLgl/>
      <w:lvlText w:val="%1.%2.%3.%4.%5.%6"/>
      <w:lvlJc w:val="left"/>
      <w:pPr>
        <w:ind w:left="1080" w:hanging="1080"/>
      </w:pPr>
      <w:rPr>
        <w:rFonts w:cs="Times New Roman" w:hint="default"/>
        <w:b w:val="0"/>
        <w:i w:val="0"/>
      </w:rPr>
    </w:lvl>
    <w:lvl w:ilvl="6">
      <w:start w:val="1"/>
      <w:numFmt w:val="decimal"/>
      <w:isLgl/>
      <w:lvlText w:val="%1.%2.%3.%4.%5.%6.%7"/>
      <w:lvlJc w:val="left"/>
      <w:pPr>
        <w:ind w:left="1440" w:hanging="1440"/>
      </w:pPr>
      <w:rPr>
        <w:rFonts w:cs="Times New Roman" w:hint="default"/>
        <w:b w:val="0"/>
        <w:i w:val="0"/>
      </w:rPr>
    </w:lvl>
    <w:lvl w:ilvl="7">
      <w:start w:val="1"/>
      <w:numFmt w:val="decimal"/>
      <w:isLgl/>
      <w:lvlText w:val="%1.%2.%3.%4.%5.%6.%7.%8"/>
      <w:lvlJc w:val="left"/>
      <w:pPr>
        <w:ind w:left="1440" w:hanging="1440"/>
      </w:pPr>
      <w:rPr>
        <w:rFonts w:cs="Times New Roman" w:hint="default"/>
        <w:b w:val="0"/>
        <w:i w:val="0"/>
      </w:rPr>
    </w:lvl>
    <w:lvl w:ilvl="8">
      <w:start w:val="1"/>
      <w:numFmt w:val="decimal"/>
      <w:isLgl/>
      <w:lvlText w:val="%1.%2.%3.%4.%5.%6.%7.%8.%9"/>
      <w:lvlJc w:val="left"/>
      <w:pPr>
        <w:ind w:left="1800" w:hanging="1800"/>
      </w:pPr>
      <w:rPr>
        <w:rFonts w:cs="Times New Roman" w:hint="default"/>
        <w:b w:val="0"/>
        <w:i w:val="0"/>
      </w:rPr>
    </w:lvl>
  </w:abstractNum>
  <w:abstractNum w:abstractNumId="10" w15:restartNumberingAfterBreak="0">
    <w:nsid w:val="488020FA"/>
    <w:multiLevelType w:val="multilevel"/>
    <w:tmpl w:val="41AE0458"/>
    <w:lvl w:ilvl="0">
      <w:start w:val="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b/>
        <w:bCs/>
        <w:i/>
        <w:iCs/>
      </w:rPr>
    </w:lvl>
    <w:lvl w:ilvl="2">
      <w:start w:val="1"/>
      <w:numFmt w:val="decimal"/>
      <w:isLgl/>
      <w:lvlText w:val="%1.%2.%3"/>
      <w:lvlJc w:val="left"/>
      <w:pPr>
        <w:ind w:left="720" w:hanging="720"/>
      </w:pPr>
      <w:rPr>
        <w:rFonts w:cs="Times New Roman" w:hint="default"/>
        <w:i w:val="0"/>
      </w:rPr>
    </w:lvl>
    <w:lvl w:ilvl="3">
      <w:start w:val="1"/>
      <w:numFmt w:val="decimal"/>
      <w:isLgl/>
      <w:lvlText w:val="%1.%2.%3.%4"/>
      <w:lvlJc w:val="left"/>
      <w:pPr>
        <w:ind w:left="720" w:hanging="720"/>
      </w:pPr>
      <w:rPr>
        <w:rFonts w:cs="Times New Roman" w:hint="default"/>
        <w:i w:val="0"/>
      </w:rPr>
    </w:lvl>
    <w:lvl w:ilvl="4">
      <w:start w:val="1"/>
      <w:numFmt w:val="decimal"/>
      <w:isLgl/>
      <w:lvlText w:val="%1.%2.%3.%4.%5"/>
      <w:lvlJc w:val="left"/>
      <w:pPr>
        <w:ind w:left="1080" w:hanging="1080"/>
      </w:pPr>
      <w:rPr>
        <w:rFonts w:cs="Times New Roman" w:hint="default"/>
        <w:i w:val="0"/>
      </w:rPr>
    </w:lvl>
    <w:lvl w:ilvl="5">
      <w:start w:val="1"/>
      <w:numFmt w:val="decimal"/>
      <w:isLgl/>
      <w:lvlText w:val="%1.%2.%3.%4.%5.%6"/>
      <w:lvlJc w:val="left"/>
      <w:pPr>
        <w:ind w:left="1080" w:hanging="1080"/>
      </w:pPr>
      <w:rPr>
        <w:rFonts w:cs="Times New Roman" w:hint="default"/>
        <w:i w:val="0"/>
      </w:rPr>
    </w:lvl>
    <w:lvl w:ilvl="6">
      <w:start w:val="1"/>
      <w:numFmt w:val="decimal"/>
      <w:isLgl/>
      <w:lvlText w:val="%1.%2.%3.%4.%5.%6.%7"/>
      <w:lvlJc w:val="left"/>
      <w:pPr>
        <w:ind w:left="1440" w:hanging="1440"/>
      </w:pPr>
      <w:rPr>
        <w:rFonts w:cs="Times New Roman" w:hint="default"/>
        <w:i w:val="0"/>
      </w:rPr>
    </w:lvl>
    <w:lvl w:ilvl="7">
      <w:start w:val="1"/>
      <w:numFmt w:val="decimal"/>
      <w:isLgl/>
      <w:lvlText w:val="%1.%2.%3.%4.%5.%6.%7.%8"/>
      <w:lvlJc w:val="left"/>
      <w:pPr>
        <w:ind w:left="1440" w:hanging="1440"/>
      </w:pPr>
      <w:rPr>
        <w:rFonts w:cs="Times New Roman" w:hint="default"/>
        <w:i w:val="0"/>
      </w:rPr>
    </w:lvl>
    <w:lvl w:ilvl="8">
      <w:start w:val="1"/>
      <w:numFmt w:val="decimal"/>
      <w:isLgl/>
      <w:lvlText w:val="%1.%2.%3.%4.%5.%6.%7.%8.%9"/>
      <w:lvlJc w:val="left"/>
      <w:pPr>
        <w:ind w:left="1800" w:hanging="1800"/>
      </w:pPr>
      <w:rPr>
        <w:rFonts w:cs="Times New Roman" w:hint="default"/>
        <w:i w:val="0"/>
      </w:rPr>
    </w:lvl>
  </w:abstractNum>
  <w:abstractNum w:abstractNumId="11" w15:restartNumberingAfterBreak="0">
    <w:nsid w:val="49337CAC"/>
    <w:multiLevelType w:val="multilevel"/>
    <w:tmpl w:val="2F9C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A208C"/>
    <w:multiLevelType w:val="multilevel"/>
    <w:tmpl w:val="A13CFBD4"/>
    <w:lvl w:ilvl="0">
      <w:start w:val="3"/>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5CD80F92"/>
    <w:multiLevelType w:val="multilevel"/>
    <w:tmpl w:val="A7F60F8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i/>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6CA95139"/>
    <w:multiLevelType w:val="hybridMultilevel"/>
    <w:tmpl w:val="194E1286"/>
    <w:lvl w:ilvl="0" w:tplc="0410000F">
      <w:start w:val="3"/>
      <w:numFmt w:val="decimal"/>
      <w:lvlText w:val="%1."/>
      <w:lvlJc w:val="left"/>
      <w:pPr>
        <w:ind w:left="360" w:hanging="360"/>
      </w:pPr>
      <w:rPr>
        <w:rFonts w:cs="Times New Roman" w:hint="default"/>
      </w:rPr>
    </w:lvl>
    <w:lvl w:ilvl="1" w:tplc="04100019">
      <w:start w:val="1"/>
      <w:numFmt w:val="lowerLetter"/>
      <w:lvlText w:val="%2."/>
      <w:lvlJc w:val="left"/>
      <w:pPr>
        <w:ind w:left="36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6D05389A"/>
    <w:multiLevelType w:val="multilevel"/>
    <w:tmpl w:val="54A810B0"/>
    <w:lvl w:ilvl="0">
      <w:start w:val="1"/>
      <w:numFmt w:val="decimal"/>
      <w:lvlText w:val="%1."/>
      <w:lvlJc w:val="left"/>
      <w:pPr>
        <w:ind w:left="360" w:hanging="360"/>
      </w:pPr>
      <w:rPr>
        <w:rFonts w:cs="Times New Roman" w:hint="default"/>
        <w:b/>
        <w:bCs/>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6" w15:restartNumberingAfterBreak="0">
    <w:nsid w:val="76D645E4"/>
    <w:multiLevelType w:val="hybridMultilevel"/>
    <w:tmpl w:val="229E82A2"/>
    <w:lvl w:ilvl="0" w:tplc="E67CE5FE">
      <w:start w:val="1"/>
      <w:numFmt w:val="bullet"/>
      <w:lvlText w:val="•"/>
      <w:lvlJc w:val="left"/>
      <w:pPr>
        <w:tabs>
          <w:tab w:val="num" w:pos="720"/>
        </w:tabs>
        <w:ind w:left="720" w:hanging="360"/>
      </w:pPr>
      <w:rPr>
        <w:rFonts w:ascii="Times New Roman" w:hAnsi="Times New Roman" w:hint="default"/>
      </w:rPr>
    </w:lvl>
    <w:lvl w:ilvl="1" w:tplc="D66A51D6" w:tentative="1">
      <w:start w:val="1"/>
      <w:numFmt w:val="bullet"/>
      <w:lvlText w:val="•"/>
      <w:lvlJc w:val="left"/>
      <w:pPr>
        <w:tabs>
          <w:tab w:val="num" w:pos="1440"/>
        </w:tabs>
        <w:ind w:left="1440" w:hanging="360"/>
      </w:pPr>
      <w:rPr>
        <w:rFonts w:ascii="Times New Roman" w:hAnsi="Times New Roman" w:hint="default"/>
      </w:rPr>
    </w:lvl>
    <w:lvl w:ilvl="2" w:tplc="E37CB098" w:tentative="1">
      <w:start w:val="1"/>
      <w:numFmt w:val="bullet"/>
      <w:lvlText w:val="•"/>
      <w:lvlJc w:val="left"/>
      <w:pPr>
        <w:tabs>
          <w:tab w:val="num" w:pos="2160"/>
        </w:tabs>
        <w:ind w:left="2160" w:hanging="360"/>
      </w:pPr>
      <w:rPr>
        <w:rFonts w:ascii="Times New Roman" w:hAnsi="Times New Roman" w:hint="default"/>
      </w:rPr>
    </w:lvl>
    <w:lvl w:ilvl="3" w:tplc="5B80B5E2" w:tentative="1">
      <w:start w:val="1"/>
      <w:numFmt w:val="bullet"/>
      <w:lvlText w:val="•"/>
      <w:lvlJc w:val="left"/>
      <w:pPr>
        <w:tabs>
          <w:tab w:val="num" w:pos="2880"/>
        </w:tabs>
        <w:ind w:left="2880" w:hanging="360"/>
      </w:pPr>
      <w:rPr>
        <w:rFonts w:ascii="Times New Roman" w:hAnsi="Times New Roman" w:hint="default"/>
      </w:rPr>
    </w:lvl>
    <w:lvl w:ilvl="4" w:tplc="415CBFDA" w:tentative="1">
      <w:start w:val="1"/>
      <w:numFmt w:val="bullet"/>
      <w:lvlText w:val="•"/>
      <w:lvlJc w:val="left"/>
      <w:pPr>
        <w:tabs>
          <w:tab w:val="num" w:pos="3600"/>
        </w:tabs>
        <w:ind w:left="3600" w:hanging="360"/>
      </w:pPr>
      <w:rPr>
        <w:rFonts w:ascii="Times New Roman" w:hAnsi="Times New Roman" w:hint="default"/>
      </w:rPr>
    </w:lvl>
    <w:lvl w:ilvl="5" w:tplc="887CA674" w:tentative="1">
      <w:start w:val="1"/>
      <w:numFmt w:val="bullet"/>
      <w:lvlText w:val="•"/>
      <w:lvlJc w:val="left"/>
      <w:pPr>
        <w:tabs>
          <w:tab w:val="num" w:pos="4320"/>
        </w:tabs>
        <w:ind w:left="4320" w:hanging="360"/>
      </w:pPr>
      <w:rPr>
        <w:rFonts w:ascii="Times New Roman" w:hAnsi="Times New Roman" w:hint="default"/>
      </w:rPr>
    </w:lvl>
    <w:lvl w:ilvl="6" w:tplc="35660C48" w:tentative="1">
      <w:start w:val="1"/>
      <w:numFmt w:val="bullet"/>
      <w:lvlText w:val="•"/>
      <w:lvlJc w:val="left"/>
      <w:pPr>
        <w:tabs>
          <w:tab w:val="num" w:pos="5040"/>
        </w:tabs>
        <w:ind w:left="5040" w:hanging="360"/>
      </w:pPr>
      <w:rPr>
        <w:rFonts w:ascii="Times New Roman" w:hAnsi="Times New Roman" w:hint="default"/>
      </w:rPr>
    </w:lvl>
    <w:lvl w:ilvl="7" w:tplc="7852520E" w:tentative="1">
      <w:start w:val="1"/>
      <w:numFmt w:val="bullet"/>
      <w:lvlText w:val="•"/>
      <w:lvlJc w:val="left"/>
      <w:pPr>
        <w:tabs>
          <w:tab w:val="num" w:pos="5760"/>
        </w:tabs>
        <w:ind w:left="5760" w:hanging="360"/>
      </w:pPr>
      <w:rPr>
        <w:rFonts w:ascii="Times New Roman" w:hAnsi="Times New Roman" w:hint="default"/>
      </w:rPr>
    </w:lvl>
    <w:lvl w:ilvl="8" w:tplc="41CA2EA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8996557"/>
    <w:multiLevelType w:val="hybridMultilevel"/>
    <w:tmpl w:val="22009C7E"/>
    <w:lvl w:ilvl="0" w:tplc="24C88636">
      <w:start w:val="1"/>
      <w:numFmt w:val="bullet"/>
      <w:lvlText w:val="•"/>
      <w:lvlJc w:val="left"/>
      <w:pPr>
        <w:tabs>
          <w:tab w:val="num" w:pos="720"/>
        </w:tabs>
        <w:ind w:left="720" w:hanging="360"/>
      </w:pPr>
      <w:rPr>
        <w:rFonts w:ascii="Times New Roman" w:hAnsi="Times New Roman" w:hint="default"/>
      </w:rPr>
    </w:lvl>
    <w:lvl w:ilvl="1" w:tplc="3CE45572" w:tentative="1">
      <w:start w:val="1"/>
      <w:numFmt w:val="bullet"/>
      <w:lvlText w:val="•"/>
      <w:lvlJc w:val="left"/>
      <w:pPr>
        <w:tabs>
          <w:tab w:val="num" w:pos="1440"/>
        </w:tabs>
        <w:ind w:left="1440" w:hanging="360"/>
      </w:pPr>
      <w:rPr>
        <w:rFonts w:ascii="Times New Roman" w:hAnsi="Times New Roman" w:hint="default"/>
      </w:rPr>
    </w:lvl>
    <w:lvl w:ilvl="2" w:tplc="887445E4" w:tentative="1">
      <w:start w:val="1"/>
      <w:numFmt w:val="bullet"/>
      <w:lvlText w:val="•"/>
      <w:lvlJc w:val="left"/>
      <w:pPr>
        <w:tabs>
          <w:tab w:val="num" w:pos="2160"/>
        </w:tabs>
        <w:ind w:left="2160" w:hanging="360"/>
      </w:pPr>
      <w:rPr>
        <w:rFonts w:ascii="Times New Roman" w:hAnsi="Times New Roman" w:hint="default"/>
      </w:rPr>
    </w:lvl>
    <w:lvl w:ilvl="3" w:tplc="C12EBABE" w:tentative="1">
      <w:start w:val="1"/>
      <w:numFmt w:val="bullet"/>
      <w:lvlText w:val="•"/>
      <w:lvlJc w:val="left"/>
      <w:pPr>
        <w:tabs>
          <w:tab w:val="num" w:pos="2880"/>
        </w:tabs>
        <w:ind w:left="2880" w:hanging="360"/>
      </w:pPr>
      <w:rPr>
        <w:rFonts w:ascii="Times New Roman" w:hAnsi="Times New Roman" w:hint="default"/>
      </w:rPr>
    </w:lvl>
    <w:lvl w:ilvl="4" w:tplc="AE22D750" w:tentative="1">
      <w:start w:val="1"/>
      <w:numFmt w:val="bullet"/>
      <w:lvlText w:val="•"/>
      <w:lvlJc w:val="left"/>
      <w:pPr>
        <w:tabs>
          <w:tab w:val="num" w:pos="3600"/>
        </w:tabs>
        <w:ind w:left="3600" w:hanging="360"/>
      </w:pPr>
      <w:rPr>
        <w:rFonts w:ascii="Times New Roman" w:hAnsi="Times New Roman" w:hint="default"/>
      </w:rPr>
    </w:lvl>
    <w:lvl w:ilvl="5" w:tplc="95FC5190" w:tentative="1">
      <w:start w:val="1"/>
      <w:numFmt w:val="bullet"/>
      <w:lvlText w:val="•"/>
      <w:lvlJc w:val="left"/>
      <w:pPr>
        <w:tabs>
          <w:tab w:val="num" w:pos="4320"/>
        </w:tabs>
        <w:ind w:left="4320" w:hanging="360"/>
      </w:pPr>
      <w:rPr>
        <w:rFonts w:ascii="Times New Roman" w:hAnsi="Times New Roman" w:hint="default"/>
      </w:rPr>
    </w:lvl>
    <w:lvl w:ilvl="6" w:tplc="882ED16E" w:tentative="1">
      <w:start w:val="1"/>
      <w:numFmt w:val="bullet"/>
      <w:lvlText w:val="•"/>
      <w:lvlJc w:val="left"/>
      <w:pPr>
        <w:tabs>
          <w:tab w:val="num" w:pos="5040"/>
        </w:tabs>
        <w:ind w:left="5040" w:hanging="360"/>
      </w:pPr>
      <w:rPr>
        <w:rFonts w:ascii="Times New Roman" w:hAnsi="Times New Roman" w:hint="default"/>
      </w:rPr>
    </w:lvl>
    <w:lvl w:ilvl="7" w:tplc="08E80BE2" w:tentative="1">
      <w:start w:val="1"/>
      <w:numFmt w:val="bullet"/>
      <w:lvlText w:val="•"/>
      <w:lvlJc w:val="left"/>
      <w:pPr>
        <w:tabs>
          <w:tab w:val="num" w:pos="5760"/>
        </w:tabs>
        <w:ind w:left="5760" w:hanging="360"/>
      </w:pPr>
      <w:rPr>
        <w:rFonts w:ascii="Times New Roman" w:hAnsi="Times New Roman" w:hint="default"/>
      </w:rPr>
    </w:lvl>
    <w:lvl w:ilvl="8" w:tplc="3B12A2B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FF122F5"/>
    <w:multiLevelType w:val="hybridMultilevel"/>
    <w:tmpl w:val="89028C3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5"/>
  </w:num>
  <w:num w:numId="2">
    <w:abstractNumId w:val="12"/>
  </w:num>
  <w:num w:numId="3">
    <w:abstractNumId w:val="11"/>
  </w:num>
  <w:num w:numId="4">
    <w:abstractNumId w:val="1"/>
  </w:num>
  <w:num w:numId="5">
    <w:abstractNumId w:val="13"/>
  </w:num>
  <w:num w:numId="6">
    <w:abstractNumId w:val="17"/>
  </w:num>
  <w:num w:numId="7">
    <w:abstractNumId w:val="16"/>
  </w:num>
  <w:num w:numId="8">
    <w:abstractNumId w:val="10"/>
  </w:num>
  <w:num w:numId="9">
    <w:abstractNumId w:val="7"/>
  </w:num>
  <w:num w:numId="10">
    <w:abstractNumId w:val="5"/>
  </w:num>
  <w:num w:numId="11">
    <w:abstractNumId w:val="9"/>
  </w:num>
  <w:num w:numId="12">
    <w:abstractNumId w:val="8"/>
  </w:num>
  <w:num w:numId="13">
    <w:abstractNumId w:val="14"/>
  </w:num>
  <w:num w:numId="14">
    <w:abstractNumId w:val="4"/>
  </w:num>
  <w:num w:numId="15">
    <w:abstractNumId w:val="18"/>
  </w:num>
  <w:num w:numId="16">
    <w:abstractNumId w:val="2"/>
  </w:num>
  <w:num w:numId="17">
    <w:abstractNumId w:val="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283"/>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DE"/>
    <w:rsid w:val="0000045F"/>
    <w:rsid w:val="0000050E"/>
    <w:rsid w:val="00000558"/>
    <w:rsid w:val="00001010"/>
    <w:rsid w:val="000021B9"/>
    <w:rsid w:val="00002279"/>
    <w:rsid w:val="0000502E"/>
    <w:rsid w:val="00005810"/>
    <w:rsid w:val="00006D72"/>
    <w:rsid w:val="00007C3B"/>
    <w:rsid w:val="00010097"/>
    <w:rsid w:val="0001056C"/>
    <w:rsid w:val="00011131"/>
    <w:rsid w:val="0001145A"/>
    <w:rsid w:val="00013169"/>
    <w:rsid w:val="000134AF"/>
    <w:rsid w:val="00013D45"/>
    <w:rsid w:val="00014B28"/>
    <w:rsid w:val="00016E6F"/>
    <w:rsid w:val="00016F7B"/>
    <w:rsid w:val="000172D2"/>
    <w:rsid w:val="00017986"/>
    <w:rsid w:val="00017D69"/>
    <w:rsid w:val="00020244"/>
    <w:rsid w:val="000211DD"/>
    <w:rsid w:val="00021B58"/>
    <w:rsid w:val="00021B84"/>
    <w:rsid w:val="00023556"/>
    <w:rsid w:val="0002427C"/>
    <w:rsid w:val="00024D43"/>
    <w:rsid w:val="000252C9"/>
    <w:rsid w:val="00026C03"/>
    <w:rsid w:val="00026F13"/>
    <w:rsid w:val="000272C2"/>
    <w:rsid w:val="0002781D"/>
    <w:rsid w:val="000278BF"/>
    <w:rsid w:val="00030B30"/>
    <w:rsid w:val="00031A25"/>
    <w:rsid w:val="00031BE9"/>
    <w:rsid w:val="00031F57"/>
    <w:rsid w:val="000320A5"/>
    <w:rsid w:val="00032314"/>
    <w:rsid w:val="00032ED6"/>
    <w:rsid w:val="000344CE"/>
    <w:rsid w:val="00035F08"/>
    <w:rsid w:val="0003662E"/>
    <w:rsid w:val="00037DE9"/>
    <w:rsid w:val="0004053A"/>
    <w:rsid w:val="00042063"/>
    <w:rsid w:val="00043A4C"/>
    <w:rsid w:val="00044013"/>
    <w:rsid w:val="00045361"/>
    <w:rsid w:val="000457CD"/>
    <w:rsid w:val="00045CCA"/>
    <w:rsid w:val="0004767B"/>
    <w:rsid w:val="00052296"/>
    <w:rsid w:val="000529C1"/>
    <w:rsid w:val="00053E92"/>
    <w:rsid w:val="00054221"/>
    <w:rsid w:val="000543D9"/>
    <w:rsid w:val="000564F4"/>
    <w:rsid w:val="000568B5"/>
    <w:rsid w:val="0005722A"/>
    <w:rsid w:val="0005784C"/>
    <w:rsid w:val="00057E69"/>
    <w:rsid w:val="00060119"/>
    <w:rsid w:val="00060442"/>
    <w:rsid w:val="00060AAC"/>
    <w:rsid w:val="000626C6"/>
    <w:rsid w:val="000634AD"/>
    <w:rsid w:val="00064029"/>
    <w:rsid w:val="00064355"/>
    <w:rsid w:val="00064B26"/>
    <w:rsid w:val="000656E6"/>
    <w:rsid w:val="00066846"/>
    <w:rsid w:val="000675A1"/>
    <w:rsid w:val="00067CB0"/>
    <w:rsid w:val="00067F6C"/>
    <w:rsid w:val="00070754"/>
    <w:rsid w:val="00070817"/>
    <w:rsid w:val="000708EE"/>
    <w:rsid w:val="00070FC9"/>
    <w:rsid w:val="00072A4F"/>
    <w:rsid w:val="00072AC1"/>
    <w:rsid w:val="00072D2D"/>
    <w:rsid w:val="000730A2"/>
    <w:rsid w:val="00073288"/>
    <w:rsid w:val="0007495C"/>
    <w:rsid w:val="00074E4C"/>
    <w:rsid w:val="00075099"/>
    <w:rsid w:val="00075E1B"/>
    <w:rsid w:val="000768E1"/>
    <w:rsid w:val="000769DF"/>
    <w:rsid w:val="00076A47"/>
    <w:rsid w:val="00076DB8"/>
    <w:rsid w:val="00077812"/>
    <w:rsid w:val="00080C83"/>
    <w:rsid w:val="00081F42"/>
    <w:rsid w:val="00082779"/>
    <w:rsid w:val="00082855"/>
    <w:rsid w:val="000832AE"/>
    <w:rsid w:val="000834EE"/>
    <w:rsid w:val="00083937"/>
    <w:rsid w:val="00083F45"/>
    <w:rsid w:val="0008462C"/>
    <w:rsid w:val="00086B56"/>
    <w:rsid w:val="00087428"/>
    <w:rsid w:val="0009011D"/>
    <w:rsid w:val="00091AA0"/>
    <w:rsid w:val="00093206"/>
    <w:rsid w:val="0009379E"/>
    <w:rsid w:val="00094B2F"/>
    <w:rsid w:val="000952C1"/>
    <w:rsid w:val="0009732A"/>
    <w:rsid w:val="0009770E"/>
    <w:rsid w:val="000977F8"/>
    <w:rsid w:val="000A00F4"/>
    <w:rsid w:val="000A14BF"/>
    <w:rsid w:val="000A1B78"/>
    <w:rsid w:val="000A2206"/>
    <w:rsid w:val="000A3D6C"/>
    <w:rsid w:val="000B0D37"/>
    <w:rsid w:val="000B1461"/>
    <w:rsid w:val="000B18C0"/>
    <w:rsid w:val="000B2492"/>
    <w:rsid w:val="000B2558"/>
    <w:rsid w:val="000B2BCC"/>
    <w:rsid w:val="000B37DA"/>
    <w:rsid w:val="000B4BC7"/>
    <w:rsid w:val="000B52F9"/>
    <w:rsid w:val="000B5C3B"/>
    <w:rsid w:val="000B708D"/>
    <w:rsid w:val="000B7A57"/>
    <w:rsid w:val="000C1A60"/>
    <w:rsid w:val="000C1B19"/>
    <w:rsid w:val="000C24C3"/>
    <w:rsid w:val="000C277F"/>
    <w:rsid w:val="000C3A98"/>
    <w:rsid w:val="000C652A"/>
    <w:rsid w:val="000C7051"/>
    <w:rsid w:val="000C7AB2"/>
    <w:rsid w:val="000C7EBD"/>
    <w:rsid w:val="000D002C"/>
    <w:rsid w:val="000D0513"/>
    <w:rsid w:val="000D0598"/>
    <w:rsid w:val="000D0AF3"/>
    <w:rsid w:val="000D0D80"/>
    <w:rsid w:val="000D1015"/>
    <w:rsid w:val="000D16FB"/>
    <w:rsid w:val="000D1AFD"/>
    <w:rsid w:val="000D2FA2"/>
    <w:rsid w:val="000D34FA"/>
    <w:rsid w:val="000D3837"/>
    <w:rsid w:val="000D44D8"/>
    <w:rsid w:val="000D4879"/>
    <w:rsid w:val="000D5F71"/>
    <w:rsid w:val="000D6408"/>
    <w:rsid w:val="000D7E67"/>
    <w:rsid w:val="000E0934"/>
    <w:rsid w:val="000E09C8"/>
    <w:rsid w:val="000E0D1D"/>
    <w:rsid w:val="000E13EC"/>
    <w:rsid w:val="000E13FC"/>
    <w:rsid w:val="000E2111"/>
    <w:rsid w:val="000E21B8"/>
    <w:rsid w:val="000E412D"/>
    <w:rsid w:val="000E4296"/>
    <w:rsid w:val="000E6619"/>
    <w:rsid w:val="000E752A"/>
    <w:rsid w:val="000E7AFF"/>
    <w:rsid w:val="000F0D74"/>
    <w:rsid w:val="000F2ADA"/>
    <w:rsid w:val="000F32A9"/>
    <w:rsid w:val="000F3454"/>
    <w:rsid w:val="000F36E9"/>
    <w:rsid w:val="000F4592"/>
    <w:rsid w:val="000F4C24"/>
    <w:rsid w:val="000F65D2"/>
    <w:rsid w:val="000F6904"/>
    <w:rsid w:val="000F6B87"/>
    <w:rsid w:val="0010046E"/>
    <w:rsid w:val="001005A6"/>
    <w:rsid w:val="001015BF"/>
    <w:rsid w:val="00102736"/>
    <w:rsid w:val="00102D79"/>
    <w:rsid w:val="001070D3"/>
    <w:rsid w:val="001113EC"/>
    <w:rsid w:val="00112094"/>
    <w:rsid w:val="00112BA6"/>
    <w:rsid w:val="0011345F"/>
    <w:rsid w:val="00113E45"/>
    <w:rsid w:val="00113EEC"/>
    <w:rsid w:val="00114223"/>
    <w:rsid w:val="001143EA"/>
    <w:rsid w:val="00114B89"/>
    <w:rsid w:val="00115167"/>
    <w:rsid w:val="001168E9"/>
    <w:rsid w:val="001170EA"/>
    <w:rsid w:val="0012050B"/>
    <w:rsid w:val="00125101"/>
    <w:rsid w:val="001251D3"/>
    <w:rsid w:val="0012572B"/>
    <w:rsid w:val="00126D1A"/>
    <w:rsid w:val="00130895"/>
    <w:rsid w:val="00134298"/>
    <w:rsid w:val="0013573D"/>
    <w:rsid w:val="0013647B"/>
    <w:rsid w:val="00136623"/>
    <w:rsid w:val="00136725"/>
    <w:rsid w:val="00136F00"/>
    <w:rsid w:val="00137925"/>
    <w:rsid w:val="00140297"/>
    <w:rsid w:val="001402EA"/>
    <w:rsid w:val="0014111B"/>
    <w:rsid w:val="00142195"/>
    <w:rsid w:val="00142508"/>
    <w:rsid w:val="001426DE"/>
    <w:rsid w:val="00142992"/>
    <w:rsid w:val="00142D51"/>
    <w:rsid w:val="00143247"/>
    <w:rsid w:val="001471C4"/>
    <w:rsid w:val="0014723D"/>
    <w:rsid w:val="00153726"/>
    <w:rsid w:val="0015403C"/>
    <w:rsid w:val="001545E5"/>
    <w:rsid w:val="00154797"/>
    <w:rsid w:val="0015512E"/>
    <w:rsid w:val="00156C30"/>
    <w:rsid w:val="00160FB2"/>
    <w:rsid w:val="0016119E"/>
    <w:rsid w:val="001618C5"/>
    <w:rsid w:val="00162692"/>
    <w:rsid w:val="0016345D"/>
    <w:rsid w:val="00163A78"/>
    <w:rsid w:val="001648C2"/>
    <w:rsid w:val="001665C7"/>
    <w:rsid w:val="00170F0B"/>
    <w:rsid w:val="001712A2"/>
    <w:rsid w:val="00171A95"/>
    <w:rsid w:val="00173588"/>
    <w:rsid w:val="00173EC6"/>
    <w:rsid w:val="00173F1C"/>
    <w:rsid w:val="00173F77"/>
    <w:rsid w:val="00176678"/>
    <w:rsid w:val="00180319"/>
    <w:rsid w:val="00181550"/>
    <w:rsid w:val="00181F10"/>
    <w:rsid w:val="001828F9"/>
    <w:rsid w:val="00185038"/>
    <w:rsid w:val="00186829"/>
    <w:rsid w:val="0018686D"/>
    <w:rsid w:val="001870A7"/>
    <w:rsid w:val="00187269"/>
    <w:rsid w:val="00190552"/>
    <w:rsid w:val="00190884"/>
    <w:rsid w:val="00190A7A"/>
    <w:rsid w:val="00190E8D"/>
    <w:rsid w:val="001920FB"/>
    <w:rsid w:val="00192B6F"/>
    <w:rsid w:val="001934EC"/>
    <w:rsid w:val="00194CF5"/>
    <w:rsid w:val="00195371"/>
    <w:rsid w:val="00197F40"/>
    <w:rsid w:val="001A01CA"/>
    <w:rsid w:val="001A09CD"/>
    <w:rsid w:val="001A137D"/>
    <w:rsid w:val="001A2A6C"/>
    <w:rsid w:val="001A3609"/>
    <w:rsid w:val="001A4D4D"/>
    <w:rsid w:val="001A5644"/>
    <w:rsid w:val="001A6AB8"/>
    <w:rsid w:val="001B0236"/>
    <w:rsid w:val="001B34C7"/>
    <w:rsid w:val="001B3522"/>
    <w:rsid w:val="001B38CD"/>
    <w:rsid w:val="001B49A5"/>
    <w:rsid w:val="001B52B3"/>
    <w:rsid w:val="001B55C7"/>
    <w:rsid w:val="001B5C82"/>
    <w:rsid w:val="001B683E"/>
    <w:rsid w:val="001B7E4A"/>
    <w:rsid w:val="001C011D"/>
    <w:rsid w:val="001C07B1"/>
    <w:rsid w:val="001C0C68"/>
    <w:rsid w:val="001C24B0"/>
    <w:rsid w:val="001C2E2F"/>
    <w:rsid w:val="001C4938"/>
    <w:rsid w:val="001C58E0"/>
    <w:rsid w:val="001C6D87"/>
    <w:rsid w:val="001D0663"/>
    <w:rsid w:val="001D0C87"/>
    <w:rsid w:val="001D0E81"/>
    <w:rsid w:val="001D131B"/>
    <w:rsid w:val="001D17C8"/>
    <w:rsid w:val="001D1F74"/>
    <w:rsid w:val="001D2949"/>
    <w:rsid w:val="001D2E0A"/>
    <w:rsid w:val="001D3009"/>
    <w:rsid w:val="001D4401"/>
    <w:rsid w:val="001D7CEF"/>
    <w:rsid w:val="001D7D97"/>
    <w:rsid w:val="001D7ED9"/>
    <w:rsid w:val="001E0530"/>
    <w:rsid w:val="001E25DC"/>
    <w:rsid w:val="001E3E0C"/>
    <w:rsid w:val="001E56AB"/>
    <w:rsid w:val="001E6095"/>
    <w:rsid w:val="001E6C3F"/>
    <w:rsid w:val="001E6D14"/>
    <w:rsid w:val="001F2CDE"/>
    <w:rsid w:val="001F3097"/>
    <w:rsid w:val="001F3951"/>
    <w:rsid w:val="001F3F7F"/>
    <w:rsid w:val="001F5D78"/>
    <w:rsid w:val="001F607E"/>
    <w:rsid w:val="001F6EC5"/>
    <w:rsid w:val="001F71C1"/>
    <w:rsid w:val="00200E1E"/>
    <w:rsid w:val="00202783"/>
    <w:rsid w:val="002034D8"/>
    <w:rsid w:val="00203F87"/>
    <w:rsid w:val="002040C2"/>
    <w:rsid w:val="00204796"/>
    <w:rsid w:val="00204864"/>
    <w:rsid w:val="00205ECA"/>
    <w:rsid w:val="00206B7D"/>
    <w:rsid w:val="00207213"/>
    <w:rsid w:val="002114F8"/>
    <w:rsid w:val="00212541"/>
    <w:rsid w:val="0021347F"/>
    <w:rsid w:val="002134C8"/>
    <w:rsid w:val="00214DD4"/>
    <w:rsid w:val="00215217"/>
    <w:rsid w:val="002162FD"/>
    <w:rsid w:val="002174F9"/>
    <w:rsid w:val="00217CAF"/>
    <w:rsid w:val="00220285"/>
    <w:rsid w:val="00220C34"/>
    <w:rsid w:val="002220B0"/>
    <w:rsid w:val="002221A2"/>
    <w:rsid w:val="002224B6"/>
    <w:rsid w:val="002230E4"/>
    <w:rsid w:val="0022325F"/>
    <w:rsid w:val="002237CD"/>
    <w:rsid w:val="0022446A"/>
    <w:rsid w:val="002249BE"/>
    <w:rsid w:val="00225F29"/>
    <w:rsid w:val="0022652B"/>
    <w:rsid w:val="00226746"/>
    <w:rsid w:val="00226CCA"/>
    <w:rsid w:val="002277A3"/>
    <w:rsid w:val="002301DC"/>
    <w:rsid w:val="00231140"/>
    <w:rsid w:val="00233EAF"/>
    <w:rsid w:val="00235BAF"/>
    <w:rsid w:val="00237E22"/>
    <w:rsid w:val="002405F4"/>
    <w:rsid w:val="00240C3B"/>
    <w:rsid w:val="00243BF8"/>
    <w:rsid w:val="00243E4C"/>
    <w:rsid w:val="00245A7B"/>
    <w:rsid w:val="00245BBB"/>
    <w:rsid w:val="002461DA"/>
    <w:rsid w:val="00246688"/>
    <w:rsid w:val="002466C0"/>
    <w:rsid w:val="00246DF6"/>
    <w:rsid w:val="00247580"/>
    <w:rsid w:val="0025063D"/>
    <w:rsid w:val="00250D3E"/>
    <w:rsid w:val="00253DFB"/>
    <w:rsid w:val="00254238"/>
    <w:rsid w:val="0025561E"/>
    <w:rsid w:val="00256048"/>
    <w:rsid w:val="00260829"/>
    <w:rsid w:val="002616AB"/>
    <w:rsid w:val="00261774"/>
    <w:rsid w:val="00262A27"/>
    <w:rsid w:val="0026434F"/>
    <w:rsid w:val="00264EA8"/>
    <w:rsid w:val="00265EFA"/>
    <w:rsid w:val="00265F00"/>
    <w:rsid w:val="00266205"/>
    <w:rsid w:val="00266C82"/>
    <w:rsid w:val="00267C65"/>
    <w:rsid w:val="00270403"/>
    <w:rsid w:val="002706F7"/>
    <w:rsid w:val="00271D4A"/>
    <w:rsid w:val="00272D22"/>
    <w:rsid w:val="00273B62"/>
    <w:rsid w:val="00274192"/>
    <w:rsid w:val="00276478"/>
    <w:rsid w:val="00276545"/>
    <w:rsid w:val="0027672F"/>
    <w:rsid w:val="00277498"/>
    <w:rsid w:val="002811BC"/>
    <w:rsid w:val="002815B7"/>
    <w:rsid w:val="00282A96"/>
    <w:rsid w:val="00283358"/>
    <w:rsid w:val="0028407B"/>
    <w:rsid w:val="002848DE"/>
    <w:rsid w:val="00285334"/>
    <w:rsid w:val="00285511"/>
    <w:rsid w:val="00286347"/>
    <w:rsid w:val="00286C6C"/>
    <w:rsid w:val="002878BC"/>
    <w:rsid w:val="002878E4"/>
    <w:rsid w:val="00287BEE"/>
    <w:rsid w:val="0029049C"/>
    <w:rsid w:val="00290AA5"/>
    <w:rsid w:val="0029228C"/>
    <w:rsid w:val="0029260F"/>
    <w:rsid w:val="002933E0"/>
    <w:rsid w:val="00293C60"/>
    <w:rsid w:val="00294DCB"/>
    <w:rsid w:val="00294E79"/>
    <w:rsid w:val="0029706B"/>
    <w:rsid w:val="002A0E41"/>
    <w:rsid w:val="002A0E69"/>
    <w:rsid w:val="002A1DA2"/>
    <w:rsid w:val="002A28F1"/>
    <w:rsid w:val="002A3D04"/>
    <w:rsid w:val="002A48DC"/>
    <w:rsid w:val="002A4AD0"/>
    <w:rsid w:val="002A576A"/>
    <w:rsid w:val="002A6696"/>
    <w:rsid w:val="002A66FF"/>
    <w:rsid w:val="002A7042"/>
    <w:rsid w:val="002A73A4"/>
    <w:rsid w:val="002A7472"/>
    <w:rsid w:val="002A74BE"/>
    <w:rsid w:val="002A7623"/>
    <w:rsid w:val="002B1C24"/>
    <w:rsid w:val="002B1E0F"/>
    <w:rsid w:val="002B278C"/>
    <w:rsid w:val="002B2B34"/>
    <w:rsid w:val="002B2FEE"/>
    <w:rsid w:val="002B3D25"/>
    <w:rsid w:val="002B3E0E"/>
    <w:rsid w:val="002B55EA"/>
    <w:rsid w:val="002B7291"/>
    <w:rsid w:val="002B7404"/>
    <w:rsid w:val="002B7505"/>
    <w:rsid w:val="002B7805"/>
    <w:rsid w:val="002C1FB0"/>
    <w:rsid w:val="002C2743"/>
    <w:rsid w:val="002C27B2"/>
    <w:rsid w:val="002C4690"/>
    <w:rsid w:val="002C473A"/>
    <w:rsid w:val="002C6A70"/>
    <w:rsid w:val="002C6E47"/>
    <w:rsid w:val="002C720D"/>
    <w:rsid w:val="002D0B26"/>
    <w:rsid w:val="002D0E54"/>
    <w:rsid w:val="002D12A4"/>
    <w:rsid w:val="002D22FB"/>
    <w:rsid w:val="002D253A"/>
    <w:rsid w:val="002D28C0"/>
    <w:rsid w:val="002D3B1E"/>
    <w:rsid w:val="002D4421"/>
    <w:rsid w:val="002D453A"/>
    <w:rsid w:val="002D4F51"/>
    <w:rsid w:val="002D54A4"/>
    <w:rsid w:val="002D6313"/>
    <w:rsid w:val="002D69B3"/>
    <w:rsid w:val="002D6B47"/>
    <w:rsid w:val="002D6D88"/>
    <w:rsid w:val="002D72A1"/>
    <w:rsid w:val="002D78FB"/>
    <w:rsid w:val="002E1D09"/>
    <w:rsid w:val="002E4817"/>
    <w:rsid w:val="002E591E"/>
    <w:rsid w:val="002E5F8E"/>
    <w:rsid w:val="002E7D6B"/>
    <w:rsid w:val="002F0B0D"/>
    <w:rsid w:val="002F2043"/>
    <w:rsid w:val="002F24A8"/>
    <w:rsid w:val="002F3785"/>
    <w:rsid w:val="002F4432"/>
    <w:rsid w:val="002F4B19"/>
    <w:rsid w:val="002F5202"/>
    <w:rsid w:val="002F6A7F"/>
    <w:rsid w:val="002F7D1D"/>
    <w:rsid w:val="00301036"/>
    <w:rsid w:val="00302005"/>
    <w:rsid w:val="00306E40"/>
    <w:rsid w:val="003070AE"/>
    <w:rsid w:val="00311763"/>
    <w:rsid w:val="0031253E"/>
    <w:rsid w:val="00312A94"/>
    <w:rsid w:val="003137DA"/>
    <w:rsid w:val="0031422E"/>
    <w:rsid w:val="0031565B"/>
    <w:rsid w:val="00315996"/>
    <w:rsid w:val="00315BFE"/>
    <w:rsid w:val="003172F0"/>
    <w:rsid w:val="00317933"/>
    <w:rsid w:val="003206C6"/>
    <w:rsid w:val="00320BAB"/>
    <w:rsid w:val="003215B2"/>
    <w:rsid w:val="00322DBD"/>
    <w:rsid w:val="00323F63"/>
    <w:rsid w:val="00324DFE"/>
    <w:rsid w:val="003252BB"/>
    <w:rsid w:val="003274CE"/>
    <w:rsid w:val="00330531"/>
    <w:rsid w:val="00331717"/>
    <w:rsid w:val="00333733"/>
    <w:rsid w:val="0033390F"/>
    <w:rsid w:val="0033532D"/>
    <w:rsid w:val="00336095"/>
    <w:rsid w:val="003375B5"/>
    <w:rsid w:val="00341009"/>
    <w:rsid w:val="0034213F"/>
    <w:rsid w:val="003435DA"/>
    <w:rsid w:val="00343E1B"/>
    <w:rsid w:val="0034412D"/>
    <w:rsid w:val="00344B9C"/>
    <w:rsid w:val="003451BC"/>
    <w:rsid w:val="003463CD"/>
    <w:rsid w:val="003470D2"/>
    <w:rsid w:val="00347B3D"/>
    <w:rsid w:val="00347B89"/>
    <w:rsid w:val="00347E99"/>
    <w:rsid w:val="00351334"/>
    <w:rsid w:val="00351545"/>
    <w:rsid w:val="00351598"/>
    <w:rsid w:val="0035245E"/>
    <w:rsid w:val="003536B2"/>
    <w:rsid w:val="003536BD"/>
    <w:rsid w:val="0035397F"/>
    <w:rsid w:val="00356FC7"/>
    <w:rsid w:val="00362033"/>
    <w:rsid w:val="003621BF"/>
    <w:rsid w:val="00362F8F"/>
    <w:rsid w:val="00363858"/>
    <w:rsid w:val="00364BD0"/>
    <w:rsid w:val="00365235"/>
    <w:rsid w:val="003659E1"/>
    <w:rsid w:val="003661FA"/>
    <w:rsid w:val="00366BE9"/>
    <w:rsid w:val="00367A96"/>
    <w:rsid w:val="003701E4"/>
    <w:rsid w:val="003721FE"/>
    <w:rsid w:val="00374250"/>
    <w:rsid w:val="00375FC3"/>
    <w:rsid w:val="00376A0D"/>
    <w:rsid w:val="003770A6"/>
    <w:rsid w:val="00377CB8"/>
    <w:rsid w:val="00377F69"/>
    <w:rsid w:val="003805A1"/>
    <w:rsid w:val="003810C1"/>
    <w:rsid w:val="003811F7"/>
    <w:rsid w:val="00381C11"/>
    <w:rsid w:val="00382945"/>
    <w:rsid w:val="0038591C"/>
    <w:rsid w:val="00385C59"/>
    <w:rsid w:val="0038661E"/>
    <w:rsid w:val="00386629"/>
    <w:rsid w:val="003870E4"/>
    <w:rsid w:val="0038790F"/>
    <w:rsid w:val="003902B7"/>
    <w:rsid w:val="00390EE6"/>
    <w:rsid w:val="00391023"/>
    <w:rsid w:val="00391697"/>
    <w:rsid w:val="0039348E"/>
    <w:rsid w:val="003948FF"/>
    <w:rsid w:val="00395065"/>
    <w:rsid w:val="003957B0"/>
    <w:rsid w:val="00395F13"/>
    <w:rsid w:val="00395F3A"/>
    <w:rsid w:val="003A16D8"/>
    <w:rsid w:val="003A1ABC"/>
    <w:rsid w:val="003A1EC7"/>
    <w:rsid w:val="003A2F03"/>
    <w:rsid w:val="003A3877"/>
    <w:rsid w:val="003A3C50"/>
    <w:rsid w:val="003A7F5D"/>
    <w:rsid w:val="003B052E"/>
    <w:rsid w:val="003B05EB"/>
    <w:rsid w:val="003B6495"/>
    <w:rsid w:val="003B6FDD"/>
    <w:rsid w:val="003B7C6A"/>
    <w:rsid w:val="003B7CB8"/>
    <w:rsid w:val="003C00FD"/>
    <w:rsid w:val="003C39DF"/>
    <w:rsid w:val="003C3B74"/>
    <w:rsid w:val="003C43D3"/>
    <w:rsid w:val="003C45D4"/>
    <w:rsid w:val="003D1520"/>
    <w:rsid w:val="003D390E"/>
    <w:rsid w:val="003D3F04"/>
    <w:rsid w:val="003D6731"/>
    <w:rsid w:val="003E0DA1"/>
    <w:rsid w:val="003E3C1F"/>
    <w:rsid w:val="003E40D9"/>
    <w:rsid w:val="003E5392"/>
    <w:rsid w:val="003E5A8B"/>
    <w:rsid w:val="003E5C80"/>
    <w:rsid w:val="003E6765"/>
    <w:rsid w:val="003E6903"/>
    <w:rsid w:val="003E6F89"/>
    <w:rsid w:val="003E7230"/>
    <w:rsid w:val="003F168A"/>
    <w:rsid w:val="003F19DA"/>
    <w:rsid w:val="003F1A35"/>
    <w:rsid w:val="003F4557"/>
    <w:rsid w:val="003F5913"/>
    <w:rsid w:val="003F5A6F"/>
    <w:rsid w:val="003F5B8F"/>
    <w:rsid w:val="0040114F"/>
    <w:rsid w:val="004013F7"/>
    <w:rsid w:val="004033B5"/>
    <w:rsid w:val="0040363B"/>
    <w:rsid w:val="004036F9"/>
    <w:rsid w:val="0040475C"/>
    <w:rsid w:val="00404A7B"/>
    <w:rsid w:val="004075F5"/>
    <w:rsid w:val="0041130A"/>
    <w:rsid w:val="00411737"/>
    <w:rsid w:val="00411E43"/>
    <w:rsid w:val="00412770"/>
    <w:rsid w:val="0041343E"/>
    <w:rsid w:val="0041440F"/>
    <w:rsid w:val="004147EC"/>
    <w:rsid w:val="00414C1E"/>
    <w:rsid w:val="00415BDF"/>
    <w:rsid w:val="00416651"/>
    <w:rsid w:val="00416946"/>
    <w:rsid w:val="004214B1"/>
    <w:rsid w:val="00421E1C"/>
    <w:rsid w:val="004225F7"/>
    <w:rsid w:val="00422938"/>
    <w:rsid w:val="00422B1B"/>
    <w:rsid w:val="00422CDE"/>
    <w:rsid w:val="00423638"/>
    <w:rsid w:val="00423C5C"/>
    <w:rsid w:val="0042427D"/>
    <w:rsid w:val="004244D3"/>
    <w:rsid w:val="004247D3"/>
    <w:rsid w:val="004248CF"/>
    <w:rsid w:val="0042718C"/>
    <w:rsid w:val="00427C77"/>
    <w:rsid w:val="00427C89"/>
    <w:rsid w:val="004304D2"/>
    <w:rsid w:val="004307C4"/>
    <w:rsid w:val="00430C52"/>
    <w:rsid w:val="004312AE"/>
    <w:rsid w:val="00432FD2"/>
    <w:rsid w:val="004335FA"/>
    <w:rsid w:val="0043394E"/>
    <w:rsid w:val="00435896"/>
    <w:rsid w:val="00435D2F"/>
    <w:rsid w:val="00436763"/>
    <w:rsid w:val="004375DF"/>
    <w:rsid w:val="00440421"/>
    <w:rsid w:val="00441148"/>
    <w:rsid w:val="0044280F"/>
    <w:rsid w:val="00442A1E"/>
    <w:rsid w:val="00442A90"/>
    <w:rsid w:val="004433AD"/>
    <w:rsid w:val="004448F0"/>
    <w:rsid w:val="004455C0"/>
    <w:rsid w:val="004456B7"/>
    <w:rsid w:val="00447686"/>
    <w:rsid w:val="004477D5"/>
    <w:rsid w:val="00447B2B"/>
    <w:rsid w:val="00447C7C"/>
    <w:rsid w:val="004514FB"/>
    <w:rsid w:val="0045223C"/>
    <w:rsid w:val="00452271"/>
    <w:rsid w:val="004526E5"/>
    <w:rsid w:val="004548D4"/>
    <w:rsid w:val="00454B20"/>
    <w:rsid w:val="00457347"/>
    <w:rsid w:val="004577C5"/>
    <w:rsid w:val="00460297"/>
    <w:rsid w:val="00460D19"/>
    <w:rsid w:val="004616A8"/>
    <w:rsid w:val="0046329E"/>
    <w:rsid w:val="00463318"/>
    <w:rsid w:val="00463B43"/>
    <w:rsid w:val="00464405"/>
    <w:rsid w:val="00465327"/>
    <w:rsid w:val="004658E3"/>
    <w:rsid w:val="00466ED1"/>
    <w:rsid w:val="004706BA"/>
    <w:rsid w:val="0047136D"/>
    <w:rsid w:val="00471C86"/>
    <w:rsid w:val="004729A1"/>
    <w:rsid w:val="00473450"/>
    <w:rsid w:val="00473F81"/>
    <w:rsid w:val="0047517B"/>
    <w:rsid w:val="0047607E"/>
    <w:rsid w:val="00476D05"/>
    <w:rsid w:val="004771D2"/>
    <w:rsid w:val="00477B10"/>
    <w:rsid w:val="00480599"/>
    <w:rsid w:val="004813F2"/>
    <w:rsid w:val="004826F7"/>
    <w:rsid w:val="00482D2F"/>
    <w:rsid w:val="004832B2"/>
    <w:rsid w:val="00483BC9"/>
    <w:rsid w:val="0048650A"/>
    <w:rsid w:val="00486C49"/>
    <w:rsid w:val="00490D7B"/>
    <w:rsid w:val="00491C33"/>
    <w:rsid w:val="004922E1"/>
    <w:rsid w:val="00493452"/>
    <w:rsid w:val="004941DC"/>
    <w:rsid w:val="004947AD"/>
    <w:rsid w:val="00495656"/>
    <w:rsid w:val="00495776"/>
    <w:rsid w:val="00496F7D"/>
    <w:rsid w:val="004972A9"/>
    <w:rsid w:val="004975CB"/>
    <w:rsid w:val="004978EC"/>
    <w:rsid w:val="004A019D"/>
    <w:rsid w:val="004A0963"/>
    <w:rsid w:val="004A0FB2"/>
    <w:rsid w:val="004A367E"/>
    <w:rsid w:val="004A44DD"/>
    <w:rsid w:val="004A5032"/>
    <w:rsid w:val="004A5153"/>
    <w:rsid w:val="004A54FF"/>
    <w:rsid w:val="004A6615"/>
    <w:rsid w:val="004B0100"/>
    <w:rsid w:val="004B1B49"/>
    <w:rsid w:val="004B1FCA"/>
    <w:rsid w:val="004B2828"/>
    <w:rsid w:val="004B3390"/>
    <w:rsid w:val="004B386A"/>
    <w:rsid w:val="004B3AC5"/>
    <w:rsid w:val="004B5FDE"/>
    <w:rsid w:val="004B647F"/>
    <w:rsid w:val="004B654D"/>
    <w:rsid w:val="004C0713"/>
    <w:rsid w:val="004C0B12"/>
    <w:rsid w:val="004C0D53"/>
    <w:rsid w:val="004C206A"/>
    <w:rsid w:val="004C22B1"/>
    <w:rsid w:val="004C42D4"/>
    <w:rsid w:val="004C47EA"/>
    <w:rsid w:val="004C4953"/>
    <w:rsid w:val="004C5B65"/>
    <w:rsid w:val="004C6D21"/>
    <w:rsid w:val="004C7E28"/>
    <w:rsid w:val="004D0E99"/>
    <w:rsid w:val="004D104B"/>
    <w:rsid w:val="004D2EFF"/>
    <w:rsid w:val="004D3219"/>
    <w:rsid w:val="004D3EA0"/>
    <w:rsid w:val="004D4C3C"/>
    <w:rsid w:val="004D4C75"/>
    <w:rsid w:val="004D50F9"/>
    <w:rsid w:val="004D5282"/>
    <w:rsid w:val="004D63EE"/>
    <w:rsid w:val="004D647A"/>
    <w:rsid w:val="004D6ADE"/>
    <w:rsid w:val="004D7557"/>
    <w:rsid w:val="004D7D3F"/>
    <w:rsid w:val="004D7DAF"/>
    <w:rsid w:val="004E24F9"/>
    <w:rsid w:val="004E28A4"/>
    <w:rsid w:val="004E4E45"/>
    <w:rsid w:val="004E619A"/>
    <w:rsid w:val="004E64C6"/>
    <w:rsid w:val="004E67CD"/>
    <w:rsid w:val="004E6F7A"/>
    <w:rsid w:val="004E7E8E"/>
    <w:rsid w:val="004F0A43"/>
    <w:rsid w:val="004F0F2B"/>
    <w:rsid w:val="004F1258"/>
    <w:rsid w:val="004F2EE9"/>
    <w:rsid w:val="004F3216"/>
    <w:rsid w:val="004F32CA"/>
    <w:rsid w:val="004F49BD"/>
    <w:rsid w:val="004F70E7"/>
    <w:rsid w:val="004F7E6A"/>
    <w:rsid w:val="00500213"/>
    <w:rsid w:val="005007C6"/>
    <w:rsid w:val="0050152A"/>
    <w:rsid w:val="00501D96"/>
    <w:rsid w:val="005031EF"/>
    <w:rsid w:val="00503383"/>
    <w:rsid w:val="00503572"/>
    <w:rsid w:val="00507157"/>
    <w:rsid w:val="00507882"/>
    <w:rsid w:val="00507BB1"/>
    <w:rsid w:val="00511846"/>
    <w:rsid w:val="00512BF5"/>
    <w:rsid w:val="00513D0E"/>
    <w:rsid w:val="005160A8"/>
    <w:rsid w:val="0052028B"/>
    <w:rsid w:val="00525B9B"/>
    <w:rsid w:val="00525E1C"/>
    <w:rsid w:val="00527884"/>
    <w:rsid w:val="00527AC3"/>
    <w:rsid w:val="00530FB4"/>
    <w:rsid w:val="00532409"/>
    <w:rsid w:val="00533662"/>
    <w:rsid w:val="00533B3D"/>
    <w:rsid w:val="00533EFD"/>
    <w:rsid w:val="00533FF7"/>
    <w:rsid w:val="005349E9"/>
    <w:rsid w:val="00536A29"/>
    <w:rsid w:val="00536CD1"/>
    <w:rsid w:val="00536FB9"/>
    <w:rsid w:val="005373E1"/>
    <w:rsid w:val="005375E0"/>
    <w:rsid w:val="00537F03"/>
    <w:rsid w:val="00540284"/>
    <w:rsid w:val="005403D1"/>
    <w:rsid w:val="00541281"/>
    <w:rsid w:val="00541E57"/>
    <w:rsid w:val="00543C51"/>
    <w:rsid w:val="00544128"/>
    <w:rsid w:val="00544351"/>
    <w:rsid w:val="00545081"/>
    <w:rsid w:val="005456C8"/>
    <w:rsid w:val="005461D5"/>
    <w:rsid w:val="00546A74"/>
    <w:rsid w:val="005473C4"/>
    <w:rsid w:val="0054787A"/>
    <w:rsid w:val="00547940"/>
    <w:rsid w:val="00547FDE"/>
    <w:rsid w:val="005500AF"/>
    <w:rsid w:val="00550D13"/>
    <w:rsid w:val="0055257A"/>
    <w:rsid w:val="00552BE8"/>
    <w:rsid w:val="00553FF9"/>
    <w:rsid w:val="005545EE"/>
    <w:rsid w:val="0055510A"/>
    <w:rsid w:val="005568B4"/>
    <w:rsid w:val="00557365"/>
    <w:rsid w:val="00557737"/>
    <w:rsid w:val="00560126"/>
    <w:rsid w:val="005606D2"/>
    <w:rsid w:val="005607B4"/>
    <w:rsid w:val="00560C3F"/>
    <w:rsid w:val="00561E19"/>
    <w:rsid w:val="00562E4B"/>
    <w:rsid w:val="0056419B"/>
    <w:rsid w:val="005644FB"/>
    <w:rsid w:val="0056477B"/>
    <w:rsid w:val="00565AD6"/>
    <w:rsid w:val="00566448"/>
    <w:rsid w:val="00567138"/>
    <w:rsid w:val="00567387"/>
    <w:rsid w:val="00570658"/>
    <w:rsid w:val="00570A50"/>
    <w:rsid w:val="005712AE"/>
    <w:rsid w:val="00571365"/>
    <w:rsid w:val="00572C66"/>
    <w:rsid w:val="00572D30"/>
    <w:rsid w:val="0057693E"/>
    <w:rsid w:val="00577084"/>
    <w:rsid w:val="00577389"/>
    <w:rsid w:val="00577592"/>
    <w:rsid w:val="0057769E"/>
    <w:rsid w:val="0058022E"/>
    <w:rsid w:val="005818EE"/>
    <w:rsid w:val="00582557"/>
    <w:rsid w:val="00582B3C"/>
    <w:rsid w:val="00582D9C"/>
    <w:rsid w:val="005843F8"/>
    <w:rsid w:val="00584960"/>
    <w:rsid w:val="005856BE"/>
    <w:rsid w:val="00586F8E"/>
    <w:rsid w:val="005914C9"/>
    <w:rsid w:val="0059172C"/>
    <w:rsid w:val="00591FE1"/>
    <w:rsid w:val="005924EF"/>
    <w:rsid w:val="0059278C"/>
    <w:rsid w:val="005931DF"/>
    <w:rsid w:val="00595436"/>
    <w:rsid w:val="005970E8"/>
    <w:rsid w:val="00597EF1"/>
    <w:rsid w:val="005A02E0"/>
    <w:rsid w:val="005A062A"/>
    <w:rsid w:val="005A1170"/>
    <w:rsid w:val="005A1F3A"/>
    <w:rsid w:val="005A3DAA"/>
    <w:rsid w:val="005A469A"/>
    <w:rsid w:val="005A5DD0"/>
    <w:rsid w:val="005A6AC8"/>
    <w:rsid w:val="005A6ED5"/>
    <w:rsid w:val="005A6EDD"/>
    <w:rsid w:val="005A793A"/>
    <w:rsid w:val="005A795B"/>
    <w:rsid w:val="005A7ED8"/>
    <w:rsid w:val="005B0305"/>
    <w:rsid w:val="005B111B"/>
    <w:rsid w:val="005B1BFA"/>
    <w:rsid w:val="005B2874"/>
    <w:rsid w:val="005B2C55"/>
    <w:rsid w:val="005B402C"/>
    <w:rsid w:val="005B47AE"/>
    <w:rsid w:val="005B6621"/>
    <w:rsid w:val="005B7AF0"/>
    <w:rsid w:val="005C0BDB"/>
    <w:rsid w:val="005C134A"/>
    <w:rsid w:val="005C209B"/>
    <w:rsid w:val="005C2E04"/>
    <w:rsid w:val="005C3749"/>
    <w:rsid w:val="005C39BC"/>
    <w:rsid w:val="005C43FA"/>
    <w:rsid w:val="005D1F71"/>
    <w:rsid w:val="005D2741"/>
    <w:rsid w:val="005D2F9C"/>
    <w:rsid w:val="005D4062"/>
    <w:rsid w:val="005D5B14"/>
    <w:rsid w:val="005D7253"/>
    <w:rsid w:val="005D7707"/>
    <w:rsid w:val="005D7BF7"/>
    <w:rsid w:val="005E16AF"/>
    <w:rsid w:val="005E1781"/>
    <w:rsid w:val="005E1BB4"/>
    <w:rsid w:val="005E3088"/>
    <w:rsid w:val="005E3518"/>
    <w:rsid w:val="005E37D9"/>
    <w:rsid w:val="005E45D0"/>
    <w:rsid w:val="005E47A3"/>
    <w:rsid w:val="005E4F0B"/>
    <w:rsid w:val="005E6DE0"/>
    <w:rsid w:val="005E7907"/>
    <w:rsid w:val="005E79DC"/>
    <w:rsid w:val="005E7E01"/>
    <w:rsid w:val="005E7F9F"/>
    <w:rsid w:val="005F1025"/>
    <w:rsid w:val="005F120E"/>
    <w:rsid w:val="005F2572"/>
    <w:rsid w:val="005F27A6"/>
    <w:rsid w:val="005F3AAA"/>
    <w:rsid w:val="005F4F63"/>
    <w:rsid w:val="005F533D"/>
    <w:rsid w:val="005F56FC"/>
    <w:rsid w:val="005F5820"/>
    <w:rsid w:val="0060081E"/>
    <w:rsid w:val="006009CF"/>
    <w:rsid w:val="00600E55"/>
    <w:rsid w:val="00601093"/>
    <w:rsid w:val="00601310"/>
    <w:rsid w:val="006014B4"/>
    <w:rsid w:val="0060210A"/>
    <w:rsid w:val="00602609"/>
    <w:rsid w:val="00602D65"/>
    <w:rsid w:val="00603E4E"/>
    <w:rsid w:val="006044B5"/>
    <w:rsid w:val="00604AE3"/>
    <w:rsid w:val="006059D7"/>
    <w:rsid w:val="0060665C"/>
    <w:rsid w:val="0060738C"/>
    <w:rsid w:val="006105F9"/>
    <w:rsid w:val="00610E07"/>
    <w:rsid w:val="00611F38"/>
    <w:rsid w:val="00613904"/>
    <w:rsid w:val="00616572"/>
    <w:rsid w:val="00617B63"/>
    <w:rsid w:val="0062152C"/>
    <w:rsid w:val="006216AF"/>
    <w:rsid w:val="00621D9B"/>
    <w:rsid w:val="006221B7"/>
    <w:rsid w:val="00622D12"/>
    <w:rsid w:val="00623A9A"/>
    <w:rsid w:val="006250F2"/>
    <w:rsid w:val="00625A07"/>
    <w:rsid w:val="00625F21"/>
    <w:rsid w:val="00626396"/>
    <w:rsid w:val="00626A3C"/>
    <w:rsid w:val="00626ABB"/>
    <w:rsid w:val="006275EC"/>
    <w:rsid w:val="006308FC"/>
    <w:rsid w:val="006313B7"/>
    <w:rsid w:val="006318F2"/>
    <w:rsid w:val="006318FD"/>
    <w:rsid w:val="00632126"/>
    <w:rsid w:val="00632A91"/>
    <w:rsid w:val="006336D7"/>
    <w:rsid w:val="00633706"/>
    <w:rsid w:val="00634177"/>
    <w:rsid w:val="006343C2"/>
    <w:rsid w:val="0063487D"/>
    <w:rsid w:val="00634DB2"/>
    <w:rsid w:val="00634DDC"/>
    <w:rsid w:val="006356BD"/>
    <w:rsid w:val="0064083B"/>
    <w:rsid w:val="006411A1"/>
    <w:rsid w:val="00641689"/>
    <w:rsid w:val="00641FE2"/>
    <w:rsid w:val="0064564D"/>
    <w:rsid w:val="00645DB6"/>
    <w:rsid w:val="00645E8F"/>
    <w:rsid w:val="006474CB"/>
    <w:rsid w:val="0065082A"/>
    <w:rsid w:val="006518BC"/>
    <w:rsid w:val="006527F5"/>
    <w:rsid w:val="00653431"/>
    <w:rsid w:val="0065436A"/>
    <w:rsid w:val="006563C8"/>
    <w:rsid w:val="006600A9"/>
    <w:rsid w:val="00660746"/>
    <w:rsid w:val="00661686"/>
    <w:rsid w:val="006616C9"/>
    <w:rsid w:val="00662012"/>
    <w:rsid w:val="006632AF"/>
    <w:rsid w:val="00663344"/>
    <w:rsid w:val="00663F53"/>
    <w:rsid w:val="00665078"/>
    <w:rsid w:val="00665A16"/>
    <w:rsid w:val="00665C31"/>
    <w:rsid w:val="0066641C"/>
    <w:rsid w:val="00666F5A"/>
    <w:rsid w:val="006678C2"/>
    <w:rsid w:val="00667C98"/>
    <w:rsid w:val="00667FFC"/>
    <w:rsid w:val="00670484"/>
    <w:rsid w:val="006707FB"/>
    <w:rsid w:val="00672B2B"/>
    <w:rsid w:val="00672F6F"/>
    <w:rsid w:val="006737FF"/>
    <w:rsid w:val="00673D25"/>
    <w:rsid w:val="00674BBC"/>
    <w:rsid w:val="00675AEC"/>
    <w:rsid w:val="00680DB2"/>
    <w:rsid w:val="006810CC"/>
    <w:rsid w:val="00681386"/>
    <w:rsid w:val="00681F90"/>
    <w:rsid w:val="006826C1"/>
    <w:rsid w:val="00683062"/>
    <w:rsid w:val="006836C5"/>
    <w:rsid w:val="00684F72"/>
    <w:rsid w:val="0068655D"/>
    <w:rsid w:val="00686B6E"/>
    <w:rsid w:val="00687CDD"/>
    <w:rsid w:val="0069007F"/>
    <w:rsid w:val="006908F4"/>
    <w:rsid w:val="00691C6D"/>
    <w:rsid w:val="00691D57"/>
    <w:rsid w:val="006932AF"/>
    <w:rsid w:val="006937D4"/>
    <w:rsid w:val="006968B7"/>
    <w:rsid w:val="00696A30"/>
    <w:rsid w:val="0069786D"/>
    <w:rsid w:val="00697CF3"/>
    <w:rsid w:val="006A0324"/>
    <w:rsid w:val="006A0609"/>
    <w:rsid w:val="006A0BC4"/>
    <w:rsid w:val="006A152B"/>
    <w:rsid w:val="006A1A1B"/>
    <w:rsid w:val="006A1A30"/>
    <w:rsid w:val="006A1BD8"/>
    <w:rsid w:val="006A2A8B"/>
    <w:rsid w:val="006A5871"/>
    <w:rsid w:val="006A6C19"/>
    <w:rsid w:val="006A7520"/>
    <w:rsid w:val="006B2A90"/>
    <w:rsid w:val="006B3185"/>
    <w:rsid w:val="006B36E7"/>
    <w:rsid w:val="006B3C24"/>
    <w:rsid w:val="006B570D"/>
    <w:rsid w:val="006B5800"/>
    <w:rsid w:val="006B63C6"/>
    <w:rsid w:val="006B768A"/>
    <w:rsid w:val="006C095F"/>
    <w:rsid w:val="006C0ED3"/>
    <w:rsid w:val="006C3316"/>
    <w:rsid w:val="006C4087"/>
    <w:rsid w:val="006C43C9"/>
    <w:rsid w:val="006C537E"/>
    <w:rsid w:val="006C5402"/>
    <w:rsid w:val="006C6485"/>
    <w:rsid w:val="006C66AB"/>
    <w:rsid w:val="006C67F0"/>
    <w:rsid w:val="006C6DCC"/>
    <w:rsid w:val="006C7787"/>
    <w:rsid w:val="006C7A6D"/>
    <w:rsid w:val="006D3B7F"/>
    <w:rsid w:val="006D4018"/>
    <w:rsid w:val="006D4641"/>
    <w:rsid w:val="006D5112"/>
    <w:rsid w:val="006D53C1"/>
    <w:rsid w:val="006D5719"/>
    <w:rsid w:val="006D589A"/>
    <w:rsid w:val="006D66D1"/>
    <w:rsid w:val="006D6EDC"/>
    <w:rsid w:val="006D70BF"/>
    <w:rsid w:val="006D771A"/>
    <w:rsid w:val="006D79F3"/>
    <w:rsid w:val="006E002F"/>
    <w:rsid w:val="006E04B6"/>
    <w:rsid w:val="006E0E6D"/>
    <w:rsid w:val="006E17AD"/>
    <w:rsid w:val="006E25B2"/>
    <w:rsid w:val="006E315C"/>
    <w:rsid w:val="006E32F7"/>
    <w:rsid w:val="006E3741"/>
    <w:rsid w:val="006E4160"/>
    <w:rsid w:val="006E45A1"/>
    <w:rsid w:val="006E5ED6"/>
    <w:rsid w:val="006E5FF9"/>
    <w:rsid w:val="006E7B8E"/>
    <w:rsid w:val="006F0690"/>
    <w:rsid w:val="006F09C9"/>
    <w:rsid w:val="006F0BB3"/>
    <w:rsid w:val="006F1823"/>
    <w:rsid w:val="006F1C64"/>
    <w:rsid w:val="006F2139"/>
    <w:rsid w:val="006F2AE7"/>
    <w:rsid w:val="006F2BB7"/>
    <w:rsid w:val="006F33A9"/>
    <w:rsid w:val="006F3F2B"/>
    <w:rsid w:val="006F4FA7"/>
    <w:rsid w:val="006F6B45"/>
    <w:rsid w:val="006F6B62"/>
    <w:rsid w:val="006F7074"/>
    <w:rsid w:val="00700181"/>
    <w:rsid w:val="007020C3"/>
    <w:rsid w:val="007023F5"/>
    <w:rsid w:val="00704123"/>
    <w:rsid w:val="007063A2"/>
    <w:rsid w:val="00710CF8"/>
    <w:rsid w:val="00711F14"/>
    <w:rsid w:val="00711FD6"/>
    <w:rsid w:val="007121FC"/>
    <w:rsid w:val="0071246D"/>
    <w:rsid w:val="0071279C"/>
    <w:rsid w:val="007127F3"/>
    <w:rsid w:val="00712F03"/>
    <w:rsid w:val="00713975"/>
    <w:rsid w:val="00714BE9"/>
    <w:rsid w:val="007157C9"/>
    <w:rsid w:val="00715EC6"/>
    <w:rsid w:val="00716032"/>
    <w:rsid w:val="007167C8"/>
    <w:rsid w:val="007173B4"/>
    <w:rsid w:val="00717959"/>
    <w:rsid w:val="00717A1C"/>
    <w:rsid w:val="00722C12"/>
    <w:rsid w:val="00722F08"/>
    <w:rsid w:val="0072344B"/>
    <w:rsid w:val="007251E8"/>
    <w:rsid w:val="00725A01"/>
    <w:rsid w:val="00726CFE"/>
    <w:rsid w:val="007278A7"/>
    <w:rsid w:val="00727E8E"/>
    <w:rsid w:val="00730ACB"/>
    <w:rsid w:val="0073104D"/>
    <w:rsid w:val="007318AF"/>
    <w:rsid w:val="00731F4E"/>
    <w:rsid w:val="007337E2"/>
    <w:rsid w:val="00733A8A"/>
    <w:rsid w:val="007340CB"/>
    <w:rsid w:val="00735257"/>
    <w:rsid w:val="007362FD"/>
    <w:rsid w:val="007373C7"/>
    <w:rsid w:val="0073741D"/>
    <w:rsid w:val="007402CD"/>
    <w:rsid w:val="0074041D"/>
    <w:rsid w:val="00741896"/>
    <w:rsid w:val="00741C61"/>
    <w:rsid w:val="00741F36"/>
    <w:rsid w:val="00742EBC"/>
    <w:rsid w:val="00743F13"/>
    <w:rsid w:val="007445F5"/>
    <w:rsid w:val="007472FD"/>
    <w:rsid w:val="00747405"/>
    <w:rsid w:val="0075046A"/>
    <w:rsid w:val="00750681"/>
    <w:rsid w:val="007508C0"/>
    <w:rsid w:val="007515BC"/>
    <w:rsid w:val="00752721"/>
    <w:rsid w:val="00752C50"/>
    <w:rsid w:val="00754CFB"/>
    <w:rsid w:val="00756084"/>
    <w:rsid w:val="00756B45"/>
    <w:rsid w:val="00756C16"/>
    <w:rsid w:val="0075767F"/>
    <w:rsid w:val="007603FA"/>
    <w:rsid w:val="00761884"/>
    <w:rsid w:val="00761DD1"/>
    <w:rsid w:val="00761E6B"/>
    <w:rsid w:val="0076233F"/>
    <w:rsid w:val="00762A4A"/>
    <w:rsid w:val="0076354E"/>
    <w:rsid w:val="00763D6A"/>
    <w:rsid w:val="00763F24"/>
    <w:rsid w:val="00764CAD"/>
    <w:rsid w:val="00765390"/>
    <w:rsid w:val="007659A3"/>
    <w:rsid w:val="00767DA5"/>
    <w:rsid w:val="00771102"/>
    <w:rsid w:val="00771D32"/>
    <w:rsid w:val="007749EF"/>
    <w:rsid w:val="0077538D"/>
    <w:rsid w:val="00775418"/>
    <w:rsid w:val="00775A4A"/>
    <w:rsid w:val="00775B22"/>
    <w:rsid w:val="00775E01"/>
    <w:rsid w:val="007760C6"/>
    <w:rsid w:val="007766F0"/>
    <w:rsid w:val="00777E1D"/>
    <w:rsid w:val="00777F08"/>
    <w:rsid w:val="00780510"/>
    <w:rsid w:val="0078256C"/>
    <w:rsid w:val="0078324F"/>
    <w:rsid w:val="00785A15"/>
    <w:rsid w:val="0078676E"/>
    <w:rsid w:val="007871BD"/>
    <w:rsid w:val="0079093F"/>
    <w:rsid w:val="00792CB8"/>
    <w:rsid w:val="00792DDF"/>
    <w:rsid w:val="00794291"/>
    <w:rsid w:val="00794869"/>
    <w:rsid w:val="00795A96"/>
    <w:rsid w:val="007A0603"/>
    <w:rsid w:val="007A1461"/>
    <w:rsid w:val="007A14AA"/>
    <w:rsid w:val="007A1D4D"/>
    <w:rsid w:val="007A2D37"/>
    <w:rsid w:val="007A44C0"/>
    <w:rsid w:val="007A44F3"/>
    <w:rsid w:val="007A54EE"/>
    <w:rsid w:val="007A5732"/>
    <w:rsid w:val="007A5DC5"/>
    <w:rsid w:val="007A786E"/>
    <w:rsid w:val="007B24FA"/>
    <w:rsid w:val="007B2CA7"/>
    <w:rsid w:val="007B3EE0"/>
    <w:rsid w:val="007B408F"/>
    <w:rsid w:val="007B450A"/>
    <w:rsid w:val="007B4580"/>
    <w:rsid w:val="007B51E7"/>
    <w:rsid w:val="007B5616"/>
    <w:rsid w:val="007B5D70"/>
    <w:rsid w:val="007B6620"/>
    <w:rsid w:val="007B7D51"/>
    <w:rsid w:val="007C0431"/>
    <w:rsid w:val="007C18D1"/>
    <w:rsid w:val="007C2209"/>
    <w:rsid w:val="007C2695"/>
    <w:rsid w:val="007C333A"/>
    <w:rsid w:val="007C41F7"/>
    <w:rsid w:val="007C56CF"/>
    <w:rsid w:val="007C7653"/>
    <w:rsid w:val="007D084B"/>
    <w:rsid w:val="007D455A"/>
    <w:rsid w:val="007D74C0"/>
    <w:rsid w:val="007E001F"/>
    <w:rsid w:val="007E09BC"/>
    <w:rsid w:val="007E199D"/>
    <w:rsid w:val="007E19FD"/>
    <w:rsid w:val="007E3698"/>
    <w:rsid w:val="007E4B58"/>
    <w:rsid w:val="007E6AC0"/>
    <w:rsid w:val="007F1E92"/>
    <w:rsid w:val="007F36A2"/>
    <w:rsid w:val="007F5B10"/>
    <w:rsid w:val="007F6266"/>
    <w:rsid w:val="007F70F1"/>
    <w:rsid w:val="007F7F00"/>
    <w:rsid w:val="0080007A"/>
    <w:rsid w:val="00800BF4"/>
    <w:rsid w:val="00801A6F"/>
    <w:rsid w:val="008020ED"/>
    <w:rsid w:val="008024C2"/>
    <w:rsid w:val="008030E2"/>
    <w:rsid w:val="008032F0"/>
    <w:rsid w:val="0080368C"/>
    <w:rsid w:val="0080416A"/>
    <w:rsid w:val="00804360"/>
    <w:rsid w:val="00804758"/>
    <w:rsid w:val="008047F1"/>
    <w:rsid w:val="00805210"/>
    <w:rsid w:val="008064F1"/>
    <w:rsid w:val="008075C0"/>
    <w:rsid w:val="00807C77"/>
    <w:rsid w:val="00807EFC"/>
    <w:rsid w:val="00810EDF"/>
    <w:rsid w:val="00811125"/>
    <w:rsid w:val="00814798"/>
    <w:rsid w:val="00814B02"/>
    <w:rsid w:val="008164FB"/>
    <w:rsid w:val="00816BA2"/>
    <w:rsid w:val="00820510"/>
    <w:rsid w:val="008206DD"/>
    <w:rsid w:val="00820DE0"/>
    <w:rsid w:val="008213F7"/>
    <w:rsid w:val="008219D2"/>
    <w:rsid w:val="008220C5"/>
    <w:rsid w:val="008224FE"/>
    <w:rsid w:val="008236D1"/>
    <w:rsid w:val="00823F27"/>
    <w:rsid w:val="00824177"/>
    <w:rsid w:val="00824335"/>
    <w:rsid w:val="00825B4F"/>
    <w:rsid w:val="008268A0"/>
    <w:rsid w:val="00827761"/>
    <w:rsid w:val="008307BE"/>
    <w:rsid w:val="0083092A"/>
    <w:rsid w:val="0083168C"/>
    <w:rsid w:val="008317A4"/>
    <w:rsid w:val="0083219B"/>
    <w:rsid w:val="008323B3"/>
    <w:rsid w:val="008325E9"/>
    <w:rsid w:val="0083342A"/>
    <w:rsid w:val="0083453D"/>
    <w:rsid w:val="00834E66"/>
    <w:rsid w:val="00835609"/>
    <w:rsid w:val="0083581F"/>
    <w:rsid w:val="008367DE"/>
    <w:rsid w:val="00837EF2"/>
    <w:rsid w:val="00840A61"/>
    <w:rsid w:val="008411A1"/>
    <w:rsid w:val="008414E6"/>
    <w:rsid w:val="00841EF6"/>
    <w:rsid w:val="008428ED"/>
    <w:rsid w:val="00844FAB"/>
    <w:rsid w:val="008456DC"/>
    <w:rsid w:val="00845B5A"/>
    <w:rsid w:val="00845B97"/>
    <w:rsid w:val="0084686A"/>
    <w:rsid w:val="0084750C"/>
    <w:rsid w:val="008479BE"/>
    <w:rsid w:val="00850928"/>
    <w:rsid w:val="00850D8A"/>
    <w:rsid w:val="0085197F"/>
    <w:rsid w:val="00851F6B"/>
    <w:rsid w:val="00852550"/>
    <w:rsid w:val="00852A36"/>
    <w:rsid w:val="00853718"/>
    <w:rsid w:val="00853A47"/>
    <w:rsid w:val="00855B95"/>
    <w:rsid w:val="008573AC"/>
    <w:rsid w:val="008602B8"/>
    <w:rsid w:val="0086358E"/>
    <w:rsid w:val="00863A1B"/>
    <w:rsid w:val="00864518"/>
    <w:rsid w:val="00865162"/>
    <w:rsid w:val="00867A3A"/>
    <w:rsid w:val="00867BF8"/>
    <w:rsid w:val="0087017B"/>
    <w:rsid w:val="008707B3"/>
    <w:rsid w:val="00870848"/>
    <w:rsid w:val="008714D7"/>
    <w:rsid w:val="00871527"/>
    <w:rsid w:val="00872684"/>
    <w:rsid w:val="0087400C"/>
    <w:rsid w:val="00875F85"/>
    <w:rsid w:val="00880EA3"/>
    <w:rsid w:val="0088179E"/>
    <w:rsid w:val="00882FF0"/>
    <w:rsid w:val="008831F9"/>
    <w:rsid w:val="0088434F"/>
    <w:rsid w:val="008851D3"/>
    <w:rsid w:val="008868A0"/>
    <w:rsid w:val="00886B6F"/>
    <w:rsid w:val="0089014D"/>
    <w:rsid w:val="00890369"/>
    <w:rsid w:val="008924B1"/>
    <w:rsid w:val="00893BCA"/>
    <w:rsid w:val="00894E83"/>
    <w:rsid w:val="00894FB0"/>
    <w:rsid w:val="00895030"/>
    <w:rsid w:val="00896FEF"/>
    <w:rsid w:val="008A199B"/>
    <w:rsid w:val="008A19C7"/>
    <w:rsid w:val="008A1A8C"/>
    <w:rsid w:val="008A1C46"/>
    <w:rsid w:val="008A1F18"/>
    <w:rsid w:val="008A4C9F"/>
    <w:rsid w:val="008A4ED1"/>
    <w:rsid w:val="008A5BC5"/>
    <w:rsid w:val="008A66E3"/>
    <w:rsid w:val="008B0988"/>
    <w:rsid w:val="008B1BF2"/>
    <w:rsid w:val="008B2685"/>
    <w:rsid w:val="008B27B5"/>
    <w:rsid w:val="008B2D52"/>
    <w:rsid w:val="008B340A"/>
    <w:rsid w:val="008B3E8F"/>
    <w:rsid w:val="008B444F"/>
    <w:rsid w:val="008B46DA"/>
    <w:rsid w:val="008B4F15"/>
    <w:rsid w:val="008B6AF3"/>
    <w:rsid w:val="008B78AA"/>
    <w:rsid w:val="008C05B0"/>
    <w:rsid w:val="008C0F71"/>
    <w:rsid w:val="008C142F"/>
    <w:rsid w:val="008C2030"/>
    <w:rsid w:val="008C2377"/>
    <w:rsid w:val="008C2DA8"/>
    <w:rsid w:val="008C2E78"/>
    <w:rsid w:val="008C362F"/>
    <w:rsid w:val="008C3C3A"/>
    <w:rsid w:val="008C429F"/>
    <w:rsid w:val="008D05A0"/>
    <w:rsid w:val="008D10AC"/>
    <w:rsid w:val="008D1226"/>
    <w:rsid w:val="008D15E4"/>
    <w:rsid w:val="008D384D"/>
    <w:rsid w:val="008D3E10"/>
    <w:rsid w:val="008D3F86"/>
    <w:rsid w:val="008D431D"/>
    <w:rsid w:val="008D45C6"/>
    <w:rsid w:val="008D5D33"/>
    <w:rsid w:val="008D5D66"/>
    <w:rsid w:val="008D6F8A"/>
    <w:rsid w:val="008D751C"/>
    <w:rsid w:val="008D7B9A"/>
    <w:rsid w:val="008E205C"/>
    <w:rsid w:val="008E26FB"/>
    <w:rsid w:val="008E391A"/>
    <w:rsid w:val="008E44C3"/>
    <w:rsid w:val="008E5ED7"/>
    <w:rsid w:val="008E6755"/>
    <w:rsid w:val="008E7153"/>
    <w:rsid w:val="008E77FD"/>
    <w:rsid w:val="008E7D2F"/>
    <w:rsid w:val="008E7DE0"/>
    <w:rsid w:val="008F13D5"/>
    <w:rsid w:val="008F1E16"/>
    <w:rsid w:val="008F2FA3"/>
    <w:rsid w:val="008F308E"/>
    <w:rsid w:val="008F534A"/>
    <w:rsid w:val="008F541E"/>
    <w:rsid w:val="008F593A"/>
    <w:rsid w:val="008F5EF2"/>
    <w:rsid w:val="008F766F"/>
    <w:rsid w:val="009004DE"/>
    <w:rsid w:val="00900A9B"/>
    <w:rsid w:val="0090103D"/>
    <w:rsid w:val="009018F7"/>
    <w:rsid w:val="00901BC4"/>
    <w:rsid w:val="009036AE"/>
    <w:rsid w:val="009044B6"/>
    <w:rsid w:val="00904601"/>
    <w:rsid w:val="00904A33"/>
    <w:rsid w:val="00904D68"/>
    <w:rsid w:val="009050DC"/>
    <w:rsid w:val="009054F1"/>
    <w:rsid w:val="009058ED"/>
    <w:rsid w:val="00907038"/>
    <w:rsid w:val="00907CE8"/>
    <w:rsid w:val="00907E4B"/>
    <w:rsid w:val="0091067A"/>
    <w:rsid w:val="009119FE"/>
    <w:rsid w:val="00911D52"/>
    <w:rsid w:val="00913484"/>
    <w:rsid w:val="0092072F"/>
    <w:rsid w:val="00920C79"/>
    <w:rsid w:val="00921814"/>
    <w:rsid w:val="00925539"/>
    <w:rsid w:val="00925A19"/>
    <w:rsid w:val="00926617"/>
    <w:rsid w:val="00926C8B"/>
    <w:rsid w:val="009319A4"/>
    <w:rsid w:val="00931AAE"/>
    <w:rsid w:val="00931F0F"/>
    <w:rsid w:val="00931F5E"/>
    <w:rsid w:val="009325E1"/>
    <w:rsid w:val="00932E16"/>
    <w:rsid w:val="009331FD"/>
    <w:rsid w:val="00933563"/>
    <w:rsid w:val="0093479F"/>
    <w:rsid w:val="00935239"/>
    <w:rsid w:val="009357D2"/>
    <w:rsid w:val="0093593D"/>
    <w:rsid w:val="00935ECE"/>
    <w:rsid w:val="00937396"/>
    <w:rsid w:val="0093798F"/>
    <w:rsid w:val="00940257"/>
    <w:rsid w:val="00941DA7"/>
    <w:rsid w:val="00942BD7"/>
    <w:rsid w:val="00942F8D"/>
    <w:rsid w:val="00944707"/>
    <w:rsid w:val="00944B9C"/>
    <w:rsid w:val="00944E0E"/>
    <w:rsid w:val="009452F4"/>
    <w:rsid w:val="00945310"/>
    <w:rsid w:val="0094740B"/>
    <w:rsid w:val="00947432"/>
    <w:rsid w:val="0094756F"/>
    <w:rsid w:val="00947718"/>
    <w:rsid w:val="009500C2"/>
    <w:rsid w:val="00951B3F"/>
    <w:rsid w:val="009522C5"/>
    <w:rsid w:val="00953AA9"/>
    <w:rsid w:val="00955E1F"/>
    <w:rsid w:val="00956F3E"/>
    <w:rsid w:val="009604D8"/>
    <w:rsid w:val="009623C8"/>
    <w:rsid w:val="00962AB3"/>
    <w:rsid w:val="00963411"/>
    <w:rsid w:val="00963FE3"/>
    <w:rsid w:val="0096515E"/>
    <w:rsid w:val="009651DF"/>
    <w:rsid w:val="009651EC"/>
    <w:rsid w:val="00965E13"/>
    <w:rsid w:val="00966C3C"/>
    <w:rsid w:val="00966CEC"/>
    <w:rsid w:val="00967DDE"/>
    <w:rsid w:val="00967E1E"/>
    <w:rsid w:val="009700CE"/>
    <w:rsid w:val="0097025B"/>
    <w:rsid w:val="009733D2"/>
    <w:rsid w:val="009743E8"/>
    <w:rsid w:val="00974D40"/>
    <w:rsid w:val="0097534E"/>
    <w:rsid w:val="00976212"/>
    <w:rsid w:val="00980962"/>
    <w:rsid w:val="00980BCC"/>
    <w:rsid w:val="009812C1"/>
    <w:rsid w:val="009832B6"/>
    <w:rsid w:val="00983958"/>
    <w:rsid w:val="00985306"/>
    <w:rsid w:val="00985E30"/>
    <w:rsid w:val="00986272"/>
    <w:rsid w:val="009871C0"/>
    <w:rsid w:val="009876B3"/>
    <w:rsid w:val="00990F2F"/>
    <w:rsid w:val="009910D0"/>
    <w:rsid w:val="0099217D"/>
    <w:rsid w:val="0099234C"/>
    <w:rsid w:val="00993D7A"/>
    <w:rsid w:val="00994207"/>
    <w:rsid w:val="00996A02"/>
    <w:rsid w:val="00997025"/>
    <w:rsid w:val="00997D6D"/>
    <w:rsid w:val="009A0261"/>
    <w:rsid w:val="009A3CA1"/>
    <w:rsid w:val="009A3EC1"/>
    <w:rsid w:val="009A4514"/>
    <w:rsid w:val="009A4C42"/>
    <w:rsid w:val="009A4CCA"/>
    <w:rsid w:val="009A59DB"/>
    <w:rsid w:val="009A604A"/>
    <w:rsid w:val="009A7735"/>
    <w:rsid w:val="009A7B26"/>
    <w:rsid w:val="009B3E1A"/>
    <w:rsid w:val="009B4E78"/>
    <w:rsid w:val="009B52E5"/>
    <w:rsid w:val="009B5AEA"/>
    <w:rsid w:val="009B6322"/>
    <w:rsid w:val="009B77FC"/>
    <w:rsid w:val="009C0435"/>
    <w:rsid w:val="009C1777"/>
    <w:rsid w:val="009C1F51"/>
    <w:rsid w:val="009C4312"/>
    <w:rsid w:val="009C44D0"/>
    <w:rsid w:val="009C6228"/>
    <w:rsid w:val="009C6DB5"/>
    <w:rsid w:val="009C70FC"/>
    <w:rsid w:val="009D0A57"/>
    <w:rsid w:val="009D1B48"/>
    <w:rsid w:val="009D1C20"/>
    <w:rsid w:val="009D3056"/>
    <w:rsid w:val="009D53F4"/>
    <w:rsid w:val="009D5F93"/>
    <w:rsid w:val="009D5F97"/>
    <w:rsid w:val="009D6165"/>
    <w:rsid w:val="009D61ED"/>
    <w:rsid w:val="009D6EFD"/>
    <w:rsid w:val="009D6FD6"/>
    <w:rsid w:val="009D767D"/>
    <w:rsid w:val="009D785C"/>
    <w:rsid w:val="009E080F"/>
    <w:rsid w:val="009E10FB"/>
    <w:rsid w:val="009E1DBF"/>
    <w:rsid w:val="009E242B"/>
    <w:rsid w:val="009E2DEC"/>
    <w:rsid w:val="009E4700"/>
    <w:rsid w:val="009E4F0B"/>
    <w:rsid w:val="009E6EC0"/>
    <w:rsid w:val="009E72BB"/>
    <w:rsid w:val="009E74CF"/>
    <w:rsid w:val="009F1243"/>
    <w:rsid w:val="009F36DB"/>
    <w:rsid w:val="009F39E1"/>
    <w:rsid w:val="009F41CB"/>
    <w:rsid w:val="009F454C"/>
    <w:rsid w:val="009F62AC"/>
    <w:rsid w:val="00A006B7"/>
    <w:rsid w:val="00A014A2"/>
    <w:rsid w:val="00A04136"/>
    <w:rsid w:val="00A05388"/>
    <w:rsid w:val="00A0588B"/>
    <w:rsid w:val="00A06612"/>
    <w:rsid w:val="00A06B01"/>
    <w:rsid w:val="00A06B82"/>
    <w:rsid w:val="00A07848"/>
    <w:rsid w:val="00A105CF"/>
    <w:rsid w:val="00A108E0"/>
    <w:rsid w:val="00A10B59"/>
    <w:rsid w:val="00A1358D"/>
    <w:rsid w:val="00A152C5"/>
    <w:rsid w:val="00A15724"/>
    <w:rsid w:val="00A16F87"/>
    <w:rsid w:val="00A17429"/>
    <w:rsid w:val="00A17C52"/>
    <w:rsid w:val="00A20230"/>
    <w:rsid w:val="00A22FE9"/>
    <w:rsid w:val="00A23B3D"/>
    <w:rsid w:val="00A24277"/>
    <w:rsid w:val="00A25985"/>
    <w:rsid w:val="00A25B3C"/>
    <w:rsid w:val="00A25F3E"/>
    <w:rsid w:val="00A26979"/>
    <w:rsid w:val="00A272F7"/>
    <w:rsid w:val="00A3129B"/>
    <w:rsid w:val="00A342C7"/>
    <w:rsid w:val="00A34CD8"/>
    <w:rsid w:val="00A35D5C"/>
    <w:rsid w:val="00A36073"/>
    <w:rsid w:val="00A36EB0"/>
    <w:rsid w:val="00A404BB"/>
    <w:rsid w:val="00A40C50"/>
    <w:rsid w:val="00A40DA4"/>
    <w:rsid w:val="00A42982"/>
    <w:rsid w:val="00A42DE9"/>
    <w:rsid w:val="00A43D84"/>
    <w:rsid w:val="00A44208"/>
    <w:rsid w:val="00A453CC"/>
    <w:rsid w:val="00A459DC"/>
    <w:rsid w:val="00A4789D"/>
    <w:rsid w:val="00A51ED2"/>
    <w:rsid w:val="00A52560"/>
    <w:rsid w:val="00A526AA"/>
    <w:rsid w:val="00A52A3B"/>
    <w:rsid w:val="00A53034"/>
    <w:rsid w:val="00A54D78"/>
    <w:rsid w:val="00A5566D"/>
    <w:rsid w:val="00A57305"/>
    <w:rsid w:val="00A57C01"/>
    <w:rsid w:val="00A57CE6"/>
    <w:rsid w:val="00A609BE"/>
    <w:rsid w:val="00A610EF"/>
    <w:rsid w:val="00A618B5"/>
    <w:rsid w:val="00A62875"/>
    <w:rsid w:val="00A6351A"/>
    <w:rsid w:val="00A663A7"/>
    <w:rsid w:val="00A672BF"/>
    <w:rsid w:val="00A676C2"/>
    <w:rsid w:val="00A67E48"/>
    <w:rsid w:val="00A718EF"/>
    <w:rsid w:val="00A722DC"/>
    <w:rsid w:val="00A7309C"/>
    <w:rsid w:val="00A7331B"/>
    <w:rsid w:val="00A7388C"/>
    <w:rsid w:val="00A74184"/>
    <w:rsid w:val="00A745FE"/>
    <w:rsid w:val="00A74B90"/>
    <w:rsid w:val="00A7574E"/>
    <w:rsid w:val="00A759A4"/>
    <w:rsid w:val="00A75B7E"/>
    <w:rsid w:val="00A77484"/>
    <w:rsid w:val="00A77AD5"/>
    <w:rsid w:val="00A77F77"/>
    <w:rsid w:val="00A8052B"/>
    <w:rsid w:val="00A80D3E"/>
    <w:rsid w:val="00A8414A"/>
    <w:rsid w:val="00A84C4E"/>
    <w:rsid w:val="00A84DC9"/>
    <w:rsid w:val="00A9096D"/>
    <w:rsid w:val="00A91316"/>
    <w:rsid w:val="00A9160A"/>
    <w:rsid w:val="00A91961"/>
    <w:rsid w:val="00A919ED"/>
    <w:rsid w:val="00A92D93"/>
    <w:rsid w:val="00A92FBC"/>
    <w:rsid w:val="00A931B0"/>
    <w:rsid w:val="00A93E48"/>
    <w:rsid w:val="00A93F74"/>
    <w:rsid w:val="00A94381"/>
    <w:rsid w:val="00A9537C"/>
    <w:rsid w:val="00A953B4"/>
    <w:rsid w:val="00A95C51"/>
    <w:rsid w:val="00AA14F3"/>
    <w:rsid w:val="00AA1853"/>
    <w:rsid w:val="00AA18B1"/>
    <w:rsid w:val="00AA28C7"/>
    <w:rsid w:val="00AA2BCD"/>
    <w:rsid w:val="00AA3741"/>
    <w:rsid w:val="00AA391F"/>
    <w:rsid w:val="00AA4E84"/>
    <w:rsid w:val="00AB0911"/>
    <w:rsid w:val="00AB0C99"/>
    <w:rsid w:val="00AB1D9A"/>
    <w:rsid w:val="00AB29FC"/>
    <w:rsid w:val="00AB52CF"/>
    <w:rsid w:val="00AB5DB5"/>
    <w:rsid w:val="00AB63DB"/>
    <w:rsid w:val="00AB6C65"/>
    <w:rsid w:val="00AB7FE1"/>
    <w:rsid w:val="00AC1FB7"/>
    <w:rsid w:val="00AC2A9B"/>
    <w:rsid w:val="00AC365B"/>
    <w:rsid w:val="00AC48A1"/>
    <w:rsid w:val="00AC50E1"/>
    <w:rsid w:val="00AC5C9E"/>
    <w:rsid w:val="00AC650A"/>
    <w:rsid w:val="00AC6BA6"/>
    <w:rsid w:val="00AC6EA0"/>
    <w:rsid w:val="00AC75BC"/>
    <w:rsid w:val="00AD003F"/>
    <w:rsid w:val="00AD00B0"/>
    <w:rsid w:val="00AD27BA"/>
    <w:rsid w:val="00AD3648"/>
    <w:rsid w:val="00AD37A7"/>
    <w:rsid w:val="00AD3F45"/>
    <w:rsid w:val="00AD4535"/>
    <w:rsid w:val="00AD5350"/>
    <w:rsid w:val="00AD5968"/>
    <w:rsid w:val="00AD6701"/>
    <w:rsid w:val="00AD6F8F"/>
    <w:rsid w:val="00AD78CE"/>
    <w:rsid w:val="00AE009A"/>
    <w:rsid w:val="00AE00C2"/>
    <w:rsid w:val="00AE1326"/>
    <w:rsid w:val="00AE13F4"/>
    <w:rsid w:val="00AE1507"/>
    <w:rsid w:val="00AE1889"/>
    <w:rsid w:val="00AE214C"/>
    <w:rsid w:val="00AE3A1C"/>
    <w:rsid w:val="00AE4B92"/>
    <w:rsid w:val="00AE51DA"/>
    <w:rsid w:val="00AE57FC"/>
    <w:rsid w:val="00AE73AD"/>
    <w:rsid w:val="00AE7FC6"/>
    <w:rsid w:val="00AF13EE"/>
    <w:rsid w:val="00AF1714"/>
    <w:rsid w:val="00AF1BFC"/>
    <w:rsid w:val="00AF20EE"/>
    <w:rsid w:val="00AF23BB"/>
    <w:rsid w:val="00AF3CD2"/>
    <w:rsid w:val="00AF3DD2"/>
    <w:rsid w:val="00AF4444"/>
    <w:rsid w:val="00AF7948"/>
    <w:rsid w:val="00AF7AF1"/>
    <w:rsid w:val="00B030F0"/>
    <w:rsid w:val="00B03EEE"/>
    <w:rsid w:val="00B06C27"/>
    <w:rsid w:val="00B11218"/>
    <w:rsid w:val="00B116CF"/>
    <w:rsid w:val="00B123D8"/>
    <w:rsid w:val="00B12604"/>
    <w:rsid w:val="00B1264B"/>
    <w:rsid w:val="00B13660"/>
    <w:rsid w:val="00B139A9"/>
    <w:rsid w:val="00B15E94"/>
    <w:rsid w:val="00B1725B"/>
    <w:rsid w:val="00B17623"/>
    <w:rsid w:val="00B17896"/>
    <w:rsid w:val="00B17F37"/>
    <w:rsid w:val="00B20004"/>
    <w:rsid w:val="00B20ABE"/>
    <w:rsid w:val="00B23DBB"/>
    <w:rsid w:val="00B256B0"/>
    <w:rsid w:val="00B272A1"/>
    <w:rsid w:val="00B2762A"/>
    <w:rsid w:val="00B301BF"/>
    <w:rsid w:val="00B32C6C"/>
    <w:rsid w:val="00B332D1"/>
    <w:rsid w:val="00B3554C"/>
    <w:rsid w:val="00B3663B"/>
    <w:rsid w:val="00B40050"/>
    <w:rsid w:val="00B4010D"/>
    <w:rsid w:val="00B4211A"/>
    <w:rsid w:val="00B4216F"/>
    <w:rsid w:val="00B42507"/>
    <w:rsid w:val="00B44F97"/>
    <w:rsid w:val="00B46941"/>
    <w:rsid w:val="00B4726E"/>
    <w:rsid w:val="00B47517"/>
    <w:rsid w:val="00B501FB"/>
    <w:rsid w:val="00B50282"/>
    <w:rsid w:val="00B50DFA"/>
    <w:rsid w:val="00B51248"/>
    <w:rsid w:val="00B51BCD"/>
    <w:rsid w:val="00B51F16"/>
    <w:rsid w:val="00B53ECF"/>
    <w:rsid w:val="00B549F3"/>
    <w:rsid w:val="00B54F9B"/>
    <w:rsid w:val="00B57D61"/>
    <w:rsid w:val="00B602F7"/>
    <w:rsid w:val="00B606F6"/>
    <w:rsid w:val="00B608BD"/>
    <w:rsid w:val="00B60C85"/>
    <w:rsid w:val="00B619F1"/>
    <w:rsid w:val="00B624D1"/>
    <w:rsid w:val="00B62E35"/>
    <w:rsid w:val="00B64F7F"/>
    <w:rsid w:val="00B6543A"/>
    <w:rsid w:val="00B65B29"/>
    <w:rsid w:val="00B664A8"/>
    <w:rsid w:val="00B671C2"/>
    <w:rsid w:val="00B702C7"/>
    <w:rsid w:val="00B711D2"/>
    <w:rsid w:val="00B71291"/>
    <w:rsid w:val="00B71E61"/>
    <w:rsid w:val="00B7321A"/>
    <w:rsid w:val="00B73BD9"/>
    <w:rsid w:val="00B73CB7"/>
    <w:rsid w:val="00B741F8"/>
    <w:rsid w:val="00B75914"/>
    <w:rsid w:val="00B7710E"/>
    <w:rsid w:val="00B80532"/>
    <w:rsid w:val="00B8268E"/>
    <w:rsid w:val="00B83F25"/>
    <w:rsid w:val="00B840E2"/>
    <w:rsid w:val="00B846FC"/>
    <w:rsid w:val="00B848F8"/>
    <w:rsid w:val="00B857D0"/>
    <w:rsid w:val="00B867A1"/>
    <w:rsid w:val="00B86E04"/>
    <w:rsid w:val="00B874D2"/>
    <w:rsid w:val="00B87A3F"/>
    <w:rsid w:val="00B87AA8"/>
    <w:rsid w:val="00B87F8A"/>
    <w:rsid w:val="00B922B9"/>
    <w:rsid w:val="00B93D12"/>
    <w:rsid w:val="00B95090"/>
    <w:rsid w:val="00B95846"/>
    <w:rsid w:val="00B9663A"/>
    <w:rsid w:val="00B9688D"/>
    <w:rsid w:val="00B96C74"/>
    <w:rsid w:val="00B97524"/>
    <w:rsid w:val="00B976A9"/>
    <w:rsid w:val="00B97ACF"/>
    <w:rsid w:val="00BA02CF"/>
    <w:rsid w:val="00BA0420"/>
    <w:rsid w:val="00BA1001"/>
    <w:rsid w:val="00BA1E83"/>
    <w:rsid w:val="00BA373E"/>
    <w:rsid w:val="00BA382A"/>
    <w:rsid w:val="00BA7513"/>
    <w:rsid w:val="00BA7D40"/>
    <w:rsid w:val="00BB17E0"/>
    <w:rsid w:val="00BB3142"/>
    <w:rsid w:val="00BB3D60"/>
    <w:rsid w:val="00BB3F74"/>
    <w:rsid w:val="00BB4535"/>
    <w:rsid w:val="00BB4D23"/>
    <w:rsid w:val="00BB4DEC"/>
    <w:rsid w:val="00BB50E1"/>
    <w:rsid w:val="00BB5B52"/>
    <w:rsid w:val="00BB5DE4"/>
    <w:rsid w:val="00BB65AF"/>
    <w:rsid w:val="00BB6FEA"/>
    <w:rsid w:val="00BB7430"/>
    <w:rsid w:val="00BB779D"/>
    <w:rsid w:val="00BC0495"/>
    <w:rsid w:val="00BC1665"/>
    <w:rsid w:val="00BC3874"/>
    <w:rsid w:val="00BC509E"/>
    <w:rsid w:val="00BC50A5"/>
    <w:rsid w:val="00BC5118"/>
    <w:rsid w:val="00BC56FA"/>
    <w:rsid w:val="00BC650E"/>
    <w:rsid w:val="00BC680E"/>
    <w:rsid w:val="00BC6C93"/>
    <w:rsid w:val="00BC7CA8"/>
    <w:rsid w:val="00BC7ECF"/>
    <w:rsid w:val="00BD06FD"/>
    <w:rsid w:val="00BD3028"/>
    <w:rsid w:val="00BD3F41"/>
    <w:rsid w:val="00BD4DA7"/>
    <w:rsid w:val="00BD4F37"/>
    <w:rsid w:val="00BD6415"/>
    <w:rsid w:val="00BD7C5C"/>
    <w:rsid w:val="00BD7E96"/>
    <w:rsid w:val="00BE0B37"/>
    <w:rsid w:val="00BE0F5B"/>
    <w:rsid w:val="00BE2619"/>
    <w:rsid w:val="00BE2BF5"/>
    <w:rsid w:val="00BE53D9"/>
    <w:rsid w:val="00BE7BB6"/>
    <w:rsid w:val="00BF03EE"/>
    <w:rsid w:val="00BF0787"/>
    <w:rsid w:val="00BF0ADE"/>
    <w:rsid w:val="00BF1274"/>
    <w:rsid w:val="00BF3A33"/>
    <w:rsid w:val="00BF4EC5"/>
    <w:rsid w:val="00BF5415"/>
    <w:rsid w:val="00BF56BB"/>
    <w:rsid w:val="00BF588A"/>
    <w:rsid w:val="00BF5C34"/>
    <w:rsid w:val="00BF7D93"/>
    <w:rsid w:val="00C00735"/>
    <w:rsid w:val="00C00E14"/>
    <w:rsid w:val="00C01475"/>
    <w:rsid w:val="00C015B9"/>
    <w:rsid w:val="00C015FC"/>
    <w:rsid w:val="00C02523"/>
    <w:rsid w:val="00C02ACF"/>
    <w:rsid w:val="00C03F13"/>
    <w:rsid w:val="00C04313"/>
    <w:rsid w:val="00C058E0"/>
    <w:rsid w:val="00C05FE8"/>
    <w:rsid w:val="00C061FD"/>
    <w:rsid w:val="00C07088"/>
    <w:rsid w:val="00C12CFA"/>
    <w:rsid w:val="00C13C9C"/>
    <w:rsid w:val="00C14CA1"/>
    <w:rsid w:val="00C1691B"/>
    <w:rsid w:val="00C17B6F"/>
    <w:rsid w:val="00C21176"/>
    <w:rsid w:val="00C2299B"/>
    <w:rsid w:val="00C22A9A"/>
    <w:rsid w:val="00C2580D"/>
    <w:rsid w:val="00C25B60"/>
    <w:rsid w:val="00C270B0"/>
    <w:rsid w:val="00C27501"/>
    <w:rsid w:val="00C3126D"/>
    <w:rsid w:val="00C31530"/>
    <w:rsid w:val="00C315AB"/>
    <w:rsid w:val="00C326C7"/>
    <w:rsid w:val="00C32D02"/>
    <w:rsid w:val="00C33174"/>
    <w:rsid w:val="00C3391C"/>
    <w:rsid w:val="00C34342"/>
    <w:rsid w:val="00C35289"/>
    <w:rsid w:val="00C35B6E"/>
    <w:rsid w:val="00C35E18"/>
    <w:rsid w:val="00C35F8F"/>
    <w:rsid w:val="00C36969"/>
    <w:rsid w:val="00C4096A"/>
    <w:rsid w:val="00C4228F"/>
    <w:rsid w:val="00C4451F"/>
    <w:rsid w:val="00C45918"/>
    <w:rsid w:val="00C465B4"/>
    <w:rsid w:val="00C47F53"/>
    <w:rsid w:val="00C50297"/>
    <w:rsid w:val="00C50577"/>
    <w:rsid w:val="00C50679"/>
    <w:rsid w:val="00C50AFB"/>
    <w:rsid w:val="00C527D2"/>
    <w:rsid w:val="00C52DB4"/>
    <w:rsid w:val="00C52EF4"/>
    <w:rsid w:val="00C5356B"/>
    <w:rsid w:val="00C53D70"/>
    <w:rsid w:val="00C5443B"/>
    <w:rsid w:val="00C54617"/>
    <w:rsid w:val="00C54693"/>
    <w:rsid w:val="00C54CDF"/>
    <w:rsid w:val="00C56BD9"/>
    <w:rsid w:val="00C576E6"/>
    <w:rsid w:val="00C57BBA"/>
    <w:rsid w:val="00C602B8"/>
    <w:rsid w:val="00C6084B"/>
    <w:rsid w:val="00C61352"/>
    <w:rsid w:val="00C61FAA"/>
    <w:rsid w:val="00C62C05"/>
    <w:rsid w:val="00C63655"/>
    <w:rsid w:val="00C64B5C"/>
    <w:rsid w:val="00C64CA3"/>
    <w:rsid w:val="00C6630C"/>
    <w:rsid w:val="00C66B4B"/>
    <w:rsid w:val="00C66C25"/>
    <w:rsid w:val="00C66D10"/>
    <w:rsid w:val="00C66DAD"/>
    <w:rsid w:val="00C67431"/>
    <w:rsid w:val="00C710C3"/>
    <w:rsid w:val="00C71218"/>
    <w:rsid w:val="00C71E0A"/>
    <w:rsid w:val="00C72016"/>
    <w:rsid w:val="00C720E8"/>
    <w:rsid w:val="00C740F7"/>
    <w:rsid w:val="00C74AF6"/>
    <w:rsid w:val="00C7582C"/>
    <w:rsid w:val="00C75E89"/>
    <w:rsid w:val="00C75EDE"/>
    <w:rsid w:val="00C77C08"/>
    <w:rsid w:val="00C80095"/>
    <w:rsid w:val="00C802AE"/>
    <w:rsid w:val="00C80542"/>
    <w:rsid w:val="00C808B9"/>
    <w:rsid w:val="00C80BED"/>
    <w:rsid w:val="00C8104E"/>
    <w:rsid w:val="00C81C06"/>
    <w:rsid w:val="00C826EA"/>
    <w:rsid w:val="00C842BE"/>
    <w:rsid w:val="00C85EF1"/>
    <w:rsid w:val="00C900DF"/>
    <w:rsid w:val="00C90378"/>
    <w:rsid w:val="00C909A0"/>
    <w:rsid w:val="00C92051"/>
    <w:rsid w:val="00C92EF1"/>
    <w:rsid w:val="00C9396F"/>
    <w:rsid w:val="00C94A8D"/>
    <w:rsid w:val="00C94F09"/>
    <w:rsid w:val="00C9544E"/>
    <w:rsid w:val="00C9546C"/>
    <w:rsid w:val="00CA083D"/>
    <w:rsid w:val="00CA28A1"/>
    <w:rsid w:val="00CA3019"/>
    <w:rsid w:val="00CA6475"/>
    <w:rsid w:val="00CA764C"/>
    <w:rsid w:val="00CA7805"/>
    <w:rsid w:val="00CB09D8"/>
    <w:rsid w:val="00CB1157"/>
    <w:rsid w:val="00CB16EF"/>
    <w:rsid w:val="00CB2112"/>
    <w:rsid w:val="00CB21FE"/>
    <w:rsid w:val="00CB3203"/>
    <w:rsid w:val="00CB37DE"/>
    <w:rsid w:val="00CB4B87"/>
    <w:rsid w:val="00CB4F95"/>
    <w:rsid w:val="00CB609A"/>
    <w:rsid w:val="00CB66D0"/>
    <w:rsid w:val="00CB6DF8"/>
    <w:rsid w:val="00CB7603"/>
    <w:rsid w:val="00CC061A"/>
    <w:rsid w:val="00CC25B9"/>
    <w:rsid w:val="00CC2F5E"/>
    <w:rsid w:val="00CC2F88"/>
    <w:rsid w:val="00CC35FE"/>
    <w:rsid w:val="00CC3BDB"/>
    <w:rsid w:val="00CC6762"/>
    <w:rsid w:val="00CC7383"/>
    <w:rsid w:val="00CD0AAE"/>
    <w:rsid w:val="00CD0B78"/>
    <w:rsid w:val="00CD0D20"/>
    <w:rsid w:val="00CD18B9"/>
    <w:rsid w:val="00CD19FF"/>
    <w:rsid w:val="00CD1EF4"/>
    <w:rsid w:val="00CD286C"/>
    <w:rsid w:val="00CD2ADF"/>
    <w:rsid w:val="00CD2FFC"/>
    <w:rsid w:val="00CD38E1"/>
    <w:rsid w:val="00CD3B19"/>
    <w:rsid w:val="00CD4A4E"/>
    <w:rsid w:val="00CD4AFD"/>
    <w:rsid w:val="00CD4CC9"/>
    <w:rsid w:val="00CD7184"/>
    <w:rsid w:val="00CD7428"/>
    <w:rsid w:val="00CD7FFA"/>
    <w:rsid w:val="00CE0BB8"/>
    <w:rsid w:val="00CE0F46"/>
    <w:rsid w:val="00CE3D72"/>
    <w:rsid w:val="00CE3EB3"/>
    <w:rsid w:val="00CE4355"/>
    <w:rsid w:val="00CE5868"/>
    <w:rsid w:val="00CE6FD8"/>
    <w:rsid w:val="00CE7D56"/>
    <w:rsid w:val="00CF000C"/>
    <w:rsid w:val="00CF098D"/>
    <w:rsid w:val="00CF0C96"/>
    <w:rsid w:val="00CF11F7"/>
    <w:rsid w:val="00CF19B0"/>
    <w:rsid w:val="00CF1CDD"/>
    <w:rsid w:val="00CF238F"/>
    <w:rsid w:val="00CF3522"/>
    <w:rsid w:val="00CF3531"/>
    <w:rsid w:val="00CF3CF3"/>
    <w:rsid w:val="00CF4BC0"/>
    <w:rsid w:val="00CF56D2"/>
    <w:rsid w:val="00CF637F"/>
    <w:rsid w:val="00CF7B4E"/>
    <w:rsid w:val="00D00775"/>
    <w:rsid w:val="00D0095A"/>
    <w:rsid w:val="00D027C6"/>
    <w:rsid w:val="00D030FD"/>
    <w:rsid w:val="00D056F7"/>
    <w:rsid w:val="00D06614"/>
    <w:rsid w:val="00D06619"/>
    <w:rsid w:val="00D076CB"/>
    <w:rsid w:val="00D10035"/>
    <w:rsid w:val="00D103D2"/>
    <w:rsid w:val="00D10434"/>
    <w:rsid w:val="00D10476"/>
    <w:rsid w:val="00D10B22"/>
    <w:rsid w:val="00D11956"/>
    <w:rsid w:val="00D11EE2"/>
    <w:rsid w:val="00D159FF"/>
    <w:rsid w:val="00D16199"/>
    <w:rsid w:val="00D16391"/>
    <w:rsid w:val="00D16D7B"/>
    <w:rsid w:val="00D174C7"/>
    <w:rsid w:val="00D178DC"/>
    <w:rsid w:val="00D20704"/>
    <w:rsid w:val="00D224EB"/>
    <w:rsid w:val="00D22C45"/>
    <w:rsid w:val="00D2318D"/>
    <w:rsid w:val="00D2423C"/>
    <w:rsid w:val="00D24385"/>
    <w:rsid w:val="00D25CBC"/>
    <w:rsid w:val="00D301E8"/>
    <w:rsid w:val="00D30A77"/>
    <w:rsid w:val="00D30CB5"/>
    <w:rsid w:val="00D30F07"/>
    <w:rsid w:val="00D333C9"/>
    <w:rsid w:val="00D348F4"/>
    <w:rsid w:val="00D34CF8"/>
    <w:rsid w:val="00D372B3"/>
    <w:rsid w:val="00D37C04"/>
    <w:rsid w:val="00D37C8E"/>
    <w:rsid w:val="00D37C92"/>
    <w:rsid w:val="00D41203"/>
    <w:rsid w:val="00D414CE"/>
    <w:rsid w:val="00D4197F"/>
    <w:rsid w:val="00D426B7"/>
    <w:rsid w:val="00D42D18"/>
    <w:rsid w:val="00D44737"/>
    <w:rsid w:val="00D449C4"/>
    <w:rsid w:val="00D461BF"/>
    <w:rsid w:val="00D4721E"/>
    <w:rsid w:val="00D47B6D"/>
    <w:rsid w:val="00D47D43"/>
    <w:rsid w:val="00D50860"/>
    <w:rsid w:val="00D509BB"/>
    <w:rsid w:val="00D51A31"/>
    <w:rsid w:val="00D51A5E"/>
    <w:rsid w:val="00D51CA5"/>
    <w:rsid w:val="00D5281E"/>
    <w:rsid w:val="00D52FB1"/>
    <w:rsid w:val="00D537A3"/>
    <w:rsid w:val="00D53A25"/>
    <w:rsid w:val="00D5415B"/>
    <w:rsid w:val="00D5539A"/>
    <w:rsid w:val="00D556E9"/>
    <w:rsid w:val="00D55BD4"/>
    <w:rsid w:val="00D55D43"/>
    <w:rsid w:val="00D55F7B"/>
    <w:rsid w:val="00D5601E"/>
    <w:rsid w:val="00D56609"/>
    <w:rsid w:val="00D579EF"/>
    <w:rsid w:val="00D57FEF"/>
    <w:rsid w:val="00D610B0"/>
    <w:rsid w:val="00D6160D"/>
    <w:rsid w:val="00D61D00"/>
    <w:rsid w:val="00D62180"/>
    <w:rsid w:val="00D62CE6"/>
    <w:rsid w:val="00D63A4F"/>
    <w:rsid w:val="00D63D1D"/>
    <w:rsid w:val="00D64444"/>
    <w:rsid w:val="00D65204"/>
    <w:rsid w:val="00D652C4"/>
    <w:rsid w:val="00D65F2F"/>
    <w:rsid w:val="00D66C98"/>
    <w:rsid w:val="00D67485"/>
    <w:rsid w:val="00D67DD3"/>
    <w:rsid w:val="00D70BF0"/>
    <w:rsid w:val="00D7287D"/>
    <w:rsid w:val="00D73C03"/>
    <w:rsid w:val="00D741C2"/>
    <w:rsid w:val="00D74961"/>
    <w:rsid w:val="00D75315"/>
    <w:rsid w:val="00D7564C"/>
    <w:rsid w:val="00D76AD8"/>
    <w:rsid w:val="00D773EA"/>
    <w:rsid w:val="00D82AD4"/>
    <w:rsid w:val="00D83B52"/>
    <w:rsid w:val="00D83C7D"/>
    <w:rsid w:val="00D83FCF"/>
    <w:rsid w:val="00D86AF9"/>
    <w:rsid w:val="00D9019F"/>
    <w:rsid w:val="00D9039F"/>
    <w:rsid w:val="00D9183C"/>
    <w:rsid w:val="00D91C39"/>
    <w:rsid w:val="00D931B8"/>
    <w:rsid w:val="00D9365C"/>
    <w:rsid w:val="00D93E32"/>
    <w:rsid w:val="00D94031"/>
    <w:rsid w:val="00D94658"/>
    <w:rsid w:val="00D948AE"/>
    <w:rsid w:val="00D95551"/>
    <w:rsid w:val="00D95C33"/>
    <w:rsid w:val="00D96326"/>
    <w:rsid w:val="00D96F34"/>
    <w:rsid w:val="00D97668"/>
    <w:rsid w:val="00DA0A80"/>
    <w:rsid w:val="00DA22A5"/>
    <w:rsid w:val="00DA2B5F"/>
    <w:rsid w:val="00DA35ED"/>
    <w:rsid w:val="00DA44EF"/>
    <w:rsid w:val="00DA4C5E"/>
    <w:rsid w:val="00DA52C8"/>
    <w:rsid w:val="00DA6045"/>
    <w:rsid w:val="00DA717B"/>
    <w:rsid w:val="00DA7952"/>
    <w:rsid w:val="00DB09A4"/>
    <w:rsid w:val="00DB0EA1"/>
    <w:rsid w:val="00DB1027"/>
    <w:rsid w:val="00DB2A56"/>
    <w:rsid w:val="00DB4CA4"/>
    <w:rsid w:val="00DB57AE"/>
    <w:rsid w:val="00DB57C4"/>
    <w:rsid w:val="00DB5EFE"/>
    <w:rsid w:val="00DB7FE5"/>
    <w:rsid w:val="00DC0DD6"/>
    <w:rsid w:val="00DC11BB"/>
    <w:rsid w:val="00DC2003"/>
    <w:rsid w:val="00DC3269"/>
    <w:rsid w:val="00DC4051"/>
    <w:rsid w:val="00DC40D0"/>
    <w:rsid w:val="00DC47A6"/>
    <w:rsid w:val="00DC51E6"/>
    <w:rsid w:val="00DC555C"/>
    <w:rsid w:val="00DC5732"/>
    <w:rsid w:val="00DC5B0A"/>
    <w:rsid w:val="00DC6667"/>
    <w:rsid w:val="00DC6B3D"/>
    <w:rsid w:val="00DC6DB3"/>
    <w:rsid w:val="00DC78A5"/>
    <w:rsid w:val="00DC7FA6"/>
    <w:rsid w:val="00DD0266"/>
    <w:rsid w:val="00DD1E8B"/>
    <w:rsid w:val="00DD4421"/>
    <w:rsid w:val="00DD5354"/>
    <w:rsid w:val="00DD5A52"/>
    <w:rsid w:val="00DD5CC3"/>
    <w:rsid w:val="00DD7F6C"/>
    <w:rsid w:val="00DE0375"/>
    <w:rsid w:val="00DE05D3"/>
    <w:rsid w:val="00DE0817"/>
    <w:rsid w:val="00DE1349"/>
    <w:rsid w:val="00DE1766"/>
    <w:rsid w:val="00DE238F"/>
    <w:rsid w:val="00DE408E"/>
    <w:rsid w:val="00DE4A01"/>
    <w:rsid w:val="00DE50D7"/>
    <w:rsid w:val="00DE659E"/>
    <w:rsid w:val="00DE6BDD"/>
    <w:rsid w:val="00DF0D5D"/>
    <w:rsid w:val="00DF10F3"/>
    <w:rsid w:val="00DF1165"/>
    <w:rsid w:val="00DF1553"/>
    <w:rsid w:val="00DF28D6"/>
    <w:rsid w:val="00DF3249"/>
    <w:rsid w:val="00DF48BE"/>
    <w:rsid w:val="00DF495D"/>
    <w:rsid w:val="00DF4F11"/>
    <w:rsid w:val="00DF5E36"/>
    <w:rsid w:val="00DF6825"/>
    <w:rsid w:val="00DF6861"/>
    <w:rsid w:val="00DF6BD3"/>
    <w:rsid w:val="00DF6D65"/>
    <w:rsid w:val="00DF7086"/>
    <w:rsid w:val="00DF7B82"/>
    <w:rsid w:val="00E005DA"/>
    <w:rsid w:val="00E009C9"/>
    <w:rsid w:val="00E00BE0"/>
    <w:rsid w:val="00E03848"/>
    <w:rsid w:val="00E049E9"/>
    <w:rsid w:val="00E0520F"/>
    <w:rsid w:val="00E05292"/>
    <w:rsid w:val="00E06D34"/>
    <w:rsid w:val="00E07144"/>
    <w:rsid w:val="00E075A1"/>
    <w:rsid w:val="00E1027A"/>
    <w:rsid w:val="00E1039F"/>
    <w:rsid w:val="00E10B1D"/>
    <w:rsid w:val="00E11309"/>
    <w:rsid w:val="00E11BD1"/>
    <w:rsid w:val="00E11C9F"/>
    <w:rsid w:val="00E11CF1"/>
    <w:rsid w:val="00E11EF9"/>
    <w:rsid w:val="00E124CA"/>
    <w:rsid w:val="00E127DF"/>
    <w:rsid w:val="00E12C3A"/>
    <w:rsid w:val="00E12E30"/>
    <w:rsid w:val="00E137D2"/>
    <w:rsid w:val="00E139E0"/>
    <w:rsid w:val="00E14653"/>
    <w:rsid w:val="00E14F2C"/>
    <w:rsid w:val="00E1673D"/>
    <w:rsid w:val="00E16DEE"/>
    <w:rsid w:val="00E22113"/>
    <w:rsid w:val="00E22EC2"/>
    <w:rsid w:val="00E2365D"/>
    <w:rsid w:val="00E243E6"/>
    <w:rsid w:val="00E24917"/>
    <w:rsid w:val="00E25027"/>
    <w:rsid w:val="00E2539E"/>
    <w:rsid w:val="00E27C2D"/>
    <w:rsid w:val="00E30B10"/>
    <w:rsid w:val="00E3106B"/>
    <w:rsid w:val="00E31FC2"/>
    <w:rsid w:val="00E31FE8"/>
    <w:rsid w:val="00E330C1"/>
    <w:rsid w:val="00E336CB"/>
    <w:rsid w:val="00E33B1B"/>
    <w:rsid w:val="00E358D0"/>
    <w:rsid w:val="00E372DA"/>
    <w:rsid w:val="00E37A41"/>
    <w:rsid w:val="00E37DF1"/>
    <w:rsid w:val="00E37ED9"/>
    <w:rsid w:val="00E37F50"/>
    <w:rsid w:val="00E40C3B"/>
    <w:rsid w:val="00E41F65"/>
    <w:rsid w:val="00E42614"/>
    <w:rsid w:val="00E433D4"/>
    <w:rsid w:val="00E43E1E"/>
    <w:rsid w:val="00E443D3"/>
    <w:rsid w:val="00E444FE"/>
    <w:rsid w:val="00E44900"/>
    <w:rsid w:val="00E44F80"/>
    <w:rsid w:val="00E4520D"/>
    <w:rsid w:val="00E452D7"/>
    <w:rsid w:val="00E456C0"/>
    <w:rsid w:val="00E5062A"/>
    <w:rsid w:val="00E5089F"/>
    <w:rsid w:val="00E51711"/>
    <w:rsid w:val="00E5178E"/>
    <w:rsid w:val="00E51992"/>
    <w:rsid w:val="00E52915"/>
    <w:rsid w:val="00E54DB5"/>
    <w:rsid w:val="00E55F95"/>
    <w:rsid w:val="00E56CE5"/>
    <w:rsid w:val="00E56F79"/>
    <w:rsid w:val="00E57E68"/>
    <w:rsid w:val="00E60439"/>
    <w:rsid w:val="00E60904"/>
    <w:rsid w:val="00E618C3"/>
    <w:rsid w:val="00E63AF4"/>
    <w:rsid w:val="00E645EE"/>
    <w:rsid w:val="00E659A0"/>
    <w:rsid w:val="00E6680A"/>
    <w:rsid w:val="00E66D29"/>
    <w:rsid w:val="00E66F12"/>
    <w:rsid w:val="00E67108"/>
    <w:rsid w:val="00E672FA"/>
    <w:rsid w:val="00E70F5A"/>
    <w:rsid w:val="00E71AB7"/>
    <w:rsid w:val="00E71B01"/>
    <w:rsid w:val="00E7349F"/>
    <w:rsid w:val="00E735E9"/>
    <w:rsid w:val="00E742A2"/>
    <w:rsid w:val="00E75143"/>
    <w:rsid w:val="00E76497"/>
    <w:rsid w:val="00E7796E"/>
    <w:rsid w:val="00E77AD5"/>
    <w:rsid w:val="00E77D7D"/>
    <w:rsid w:val="00E8056A"/>
    <w:rsid w:val="00E8077C"/>
    <w:rsid w:val="00E8090F"/>
    <w:rsid w:val="00E810A5"/>
    <w:rsid w:val="00E81F5E"/>
    <w:rsid w:val="00E82D9A"/>
    <w:rsid w:val="00E83512"/>
    <w:rsid w:val="00E8530C"/>
    <w:rsid w:val="00E85D87"/>
    <w:rsid w:val="00E90BD5"/>
    <w:rsid w:val="00E914AA"/>
    <w:rsid w:val="00E91919"/>
    <w:rsid w:val="00E927B2"/>
    <w:rsid w:val="00E92F13"/>
    <w:rsid w:val="00E93990"/>
    <w:rsid w:val="00E95C2A"/>
    <w:rsid w:val="00E96089"/>
    <w:rsid w:val="00E96518"/>
    <w:rsid w:val="00EA0471"/>
    <w:rsid w:val="00EA068D"/>
    <w:rsid w:val="00EA0DAD"/>
    <w:rsid w:val="00EA1938"/>
    <w:rsid w:val="00EA3EDB"/>
    <w:rsid w:val="00EA4150"/>
    <w:rsid w:val="00EA4968"/>
    <w:rsid w:val="00EA56EA"/>
    <w:rsid w:val="00EA5D8F"/>
    <w:rsid w:val="00EA705A"/>
    <w:rsid w:val="00EA71D3"/>
    <w:rsid w:val="00EB00B5"/>
    <w:rsid w:val="00EB053E"/>
    <w:rsid w:val="00EB06B5"/>
    <w:rsid w:val="00EB1D0B"/>
    <w:rsid w:val="00EB1F0E"/>
    <w:rsid w:val="00EB2AB1"/>
    <w:rsid w:val="00EB2B46"/>
    <w:rsid w:val="00EB5050"/>
    <w:rsid w:val="00EB62D6"/>
    <w:rsid w:val="00EB6475"/>
    <w:rsid w:val="00EB6E4F"/>
    <w:rsid w:val="00EC0570"/>
    <w:rsid w:val="00EC1BA6"/>
    <w:rsid w:val="00EC1E3C"/>
    <w:rsid w:val="00EC25AE"/>
    <w:rsid w:val="00EC59FC"/>
    <w:rsid w:val="00EC5EBB"/>
    <w:rsid w:val="00EC686C"/>
    <w:rsid w:val="00EC6E78"/>
    <w:rsid w:val="00ED001A"/>
    <w:rsid w:val="00ED0D2E"/>
    <w:rsid w:val="00ED1E97"/>
    <w:rsid w:val="00ED2BE4"/>
    <w:rsid w:val="00ED438B"/>
    <w:rsid w:val="00ED4B49"/>
    <w:rsid w:val="00ED4F43"/>
    <w:rsid w:val="00ED545A"/>
    <w:rsid w:val="00ED5CF3"/>
    <w:rsid w:val="00ED618B"/>
    <w:rsid w:val="00EE0755"/>
    <w:rsid w:val="00EE33E9"/>
    <w:rsid w:val="00EE390C"/>
    <w:rsid w:val="00EE3CE9"/>
    <w:rsid w:val="00EE4B06"/>
    <w:rsid w:val="00EE4CE5"/>
    <w:rsid w:val="00EE5D3B"/>
    <w:rsid w:val="00EE7498"/>
    <w:rsid w:val="00EF031C"/>
    <w:rsid w:val="00EF35ED"/>
    <w:rsid w:val="00EF46B6"/>
    <w:rsid w:val="00EF5446"/>
    <w:rsid w:val="00EF7CEC"/>
    <w:rsid w:val="00F007A0"/>
    <w:rsid w:val="00F00FC4"/>
    <w:rsid w:val="00F0117A"/>
    <w:rsid w:val="00F01FC4"/>
    <w:rsid w:val="00F027ED"/>
    <w:rsid w:val="00F03FC4"/>
    <w:rsid w:val="00F04029"/>
    <w:rsid w:val="00F04144"/>
    <w:rsid w:val="00F04392"/>
    <w:rsid w:val="00F046A9"/>
    <w:rsid w:val="00F05428"/>
    <w:rsid w:val="00F071D3"/>
    <w:rsid w:val="00F07753"/>
    <w:rsid w:val="00F1032F"/>
    <w:rsid w:val="00F10834"/>
    <w:rsid w:val="00F12F66"/>
    <w:rsid w:val="00F14631"/>
    <w:rsid w:val="00F14AD4"/>
    <w:rsid w:val="00F152DB"/>
    <w:rsid w:val="00F15A26"/>
    <w:rsid w:val="00F166C6"/>
    <w:rsid w:val="00F16C26"/>
    <w:rsid w:val="00F177D6"/>
    <w:rsid w:val="00F20475"/>
    <w:rsid w:val="00F2145F"/>
    <w:rsid w:val="00F214E6"/>
    <w:rsid w:val="00F23292"/>
    <w:rsid w:val="00F2462A"/>
    <w:rsid w:val="00F25DDA"/>
    <w:rsid w:val="00F26E22"/>
    <w:rsid w:val="00F2779B"/>
    <w:rsid w:val="00F27CFC"/>
    <w:rsid w:val="00F27DD0"/>
    <w:rsid w:val="00F308F7"/>
    <w:rsid w:val="00F31773"/>
    <w:rsid w:val="00F3403F"/>
    <w:rsid w:val="00F348A6"/>
    <w:rsid w:val="00F368B8"/>
    <w:rsid w:val="00F368C9"/>
    <w:rsid w:val="00F372B7"/>
    <w:rsid w:val="00F4090E"/>
    <w:rsid w:val="00F416CF"/>
    <w:rsid w:val="00F4218E"/>
    <w:rsid w:val="00F4388B"/>
    <w:rsid w:val="00F44AB4"/>
    <w:rsid w:val="00F45F41"/>
    <w:rsid w:val="00F46273"/>
    <w:rsid w:val="00F46E6B"/>
    <w:rsid w:val="00F46F2B"/>
    <w:rsid w:val="00F46F9B"/>
    <w:rsid w:val="00F47950"/>
    <w:rsid w:val="00F47DC4"/>
    <w:rsid w:val="00F47FE0"/>
    <w:rsid w:val="00F51975"/>
    <w:rsid w:val="00F56E2E"/>
    <w:rsid w:val="00F607FF"/>
    <w:rsid w:val="00F61248"/>
    <w:rsid w:val="00F61B4B"/>
    <w:rsid w:val="00F61D15"/>
    <w:rsid w:val="00F620EB"/>
    <w:rsid w:val="00F62BAD"/>
    <w:rsid w:val="00F6348F"/>
    <w:rsid w:val="00F63EC9"/>
    <w:rsid w:val="00F6467C"/>
    <w:rsid w:val="00F64FE6"/>
    <w:rsid w:val="00F650EF"/>
    <w:rsid w:val="00F66D90"/>
    <w:rsid w:val="00F66EA1"/>
    <w:rsid w:val="00F6749C"/>
    <w:rsid w:val="00F679C4"/>
    <w:rsid w:val="00F70C5D"/>
    <w:rsid w:val="00F70C71"/>
    <w:rsid w:val="00F71144"/>
    <w:rsid w:val="00F71A46"/>
    <w:rsid w:val="00F72732"/>
    <w:rsid w:val="00F72C6F"/>
    <w:rsid w:val="00F73D16"/>
    <w:rsid w:val="00F74D08"/>
    <w:rsid w:val="00F74DF6"/>
    <w:rsid w:val="00F7547D"/>
    <w:rsid w:val="00F75BF4"/>
    <w:rsid w:val="00F7730D"/>
    <w:rsid w:val="00F805B7"/>
    <w:rsid w:val="00F806C8"/>
    <w:rsid w:val="00F83E32"/>
    <w:rsid w:val="00F84879"/>
    <w:rsid w:val="00F86622"/>
    <w:rsid w:val="00F87699"/>
    <w:rsid w:val="00F87B08"/>
    <w:rsid w:val="00F90866"/>
    <w:rsid w:val="00F90C74"/>
    <w:rsid w:val="00F91C7F"/>
    <w:rsid w:val="00F9215A"/>
    <w:rsid w:val="00F92ACF"/>
    <w:rsid w:val="00F92F15"/>
    <w:rsid w:val="00F936A6"/>
    <w:rsid w:val="00F945C9"/>
    <w:rsid w:val="00F94772"/>
    <w:rsid w:val="00F94933"/>
    <w:rsid w:val="00F94C12"/>
    <w:rsid w:val="00F95B16"/>
    <w:rsid w:val="00F96AA4"/>
    <w:rsid w:val="00F97070"/>
    <w:rsid w:val="00FA0A10"/>
    <w:rsid w:val="00FA4DA6"/>
    <w:rsid w:val="00FA66D5"/>
    <w:rsid w:val="00FB02BC"/>
    <w:rsid w:val="00FB03BA"/>
    <w:rsid w:val="00FB14F7"/>
    <w:rsid w:val="00FB3AF4"/>
    <w:rsid w:val="00FB5D32"/>
    <w:rsid w:val="00FB62F4"/>
    <w:rsid w:val="00FB7108"/>
    <w:rsid w:val="00FB7F51"/>
    <w:rsid w:val="00FC065B"/>
    <w:rsid w:val="00FC1278"/>
    <w:rsid w:val="00FC18CC"/>
    <w:rsid w:val="00FC19BA"/>
    <w:rsid w:val="00FC5334"/>
    <w:rsid w:val="00FC6397"/>
    <w:rsid w:val="00FC63C0"/>
    <w:rsid w:val="00FC6DF5"/>
    <w:rsid w:val="00FC71D4"/>
    <w:rsid w:val="00FD0257"/>
    <w:rsid w:val="00FD1E6D"/>
    <w:rsid w:val="00FD23BB"/>
    <w:rsid w:val="00FD2B99"/>
    <w:rsid w:val="00FD4F48"/>
    <w:rsid w:val="00FD5F29"/>
    <w:rsid w:val="00FD66B3"/>
    <w:rsid w:val="00FE2F6F"/>
    <w:rsid w:val="00FE3100"/>
    <w:rsid w:val="00FE37F9"/>
    <w:rsid w:val="00FE3CB5"/>
    <w:rsid w:val="00FE510D"/>
    <w:rsid w:val="00FE5130"/>
    <w:rsid w:val="00FE568D"/>
    <w:rsid w:val="00FE5D9C"/>
    <w:rsid w:val="00FE6F73"/>
    <w:rsid w:val="00FE7E65"/>
    <w:rsid w:val="00FF19E9"/>
    <w:rsid w:val="00FF230F"/>
    <w:rsid w:val="00FF2B21"/>
    <w:rsid w:val="00FF3322"/>
    <w:rsid w:val="00FF33B1"/>
    <w:rsid w:val="00FF3B1E"/>
    <w:rsid w:val="00FF42C2"/>
    <w:rsid w:val="00FF51F2"/>
    <w:rsid w:val="00FF5C7A"/>
    <w:rsid w:val="00FF5F81"/>
    <w:rsid w:val="00FF6441"/>
    <w:rsid w:val="00FF7027"/>
    <w:rsid w:val="00FF7034"/>
    <w:rsid w:val="00FF74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6DE69EB1"/>
  <w15:docId w15:val="{31DEB11F-D527-48D7-891A-7DD11D29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locked="1"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405"/>
    <w:rPr>
      <w:sz w:val="24"/>
      <w:szCs w:val="24"/>
      <w:lang w:eastAsia="el-GR"/>
    </w:rPr>
  </w:style>
  <w:style w:type="paragraph" w:styleId="Heading1">
    <w:name w:val="heading 1"/>
    <w:basedOn w:val="Normal"/>
    <w:next w:val="Normal"/>
    <w:link w:val="Heading1Char"/>
    <w:qFormat/>
    <w:locked/>
    <w:rsid w:val="0001145A"/>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semiHidden/>
    <w:unhideWhenUsed/>
    <w:qFormat/>
    <w:locked/>
    <w:rsid w:val="005E45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locked/>
    <w:rsid w:val="00752C50"/>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Schriftart: 9 pt,Schriftart: 10 pt,Schriftart: 8 pt,WB-Fußnotentext,fn,Footnotes,Footnote ak,FoodNote,ft,Footnote,Footnote Text Char1 Char Char,Footnote Text Char1 Char,Reference,Fußnote,f"/>
    <w:basedOn w:val="Normal"/>
    <w:link w:val="FootnoteTextChar"/>
    <w:semiHidden/>
    <w:rsid w:val="001143EA"/>
    <w:rPr>
      <w:sz w:val="20"/>
      <w:szCs w:val="20"/>
    </w:rPr>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ootnote number,f1"/>
    <w:basedOn w:val="DefaultParagraphFont"/>
    <w:semiHidden/>
    <w:rsid w:val="001143EA"/>
    <w:rPr>
      <w:vertAlign w:val="superscript"/>
    </w:rPr>
  </w:style>
  <w:style w:type="paragraph" w:styleId="Footer">
    <w:name w:val="footer"/>
    <w:basedOn w:val="Normal"/>
    <w:rsid w:val="00B57D61"/>
    <w:pPr>
      <w:tabs>
        <w:tab w:val="center" w:pos="4153"/>
        <w:tab w:val="right" w:pos="8306"/>
      </w:tabs>
    </w:pPr>
  </w:style>
  <w:style w:type="character" w:styleId="PageNumber">
    <w:name w:val="page number"/>
    <w:basedOn w:val="DefaultParagraphFont"/>
    <w:rsid w:val="00B57D61"/>
  </w:style>
  <w:style w:type="table" w:styleId="TableGrid">
    <w:name w:val="Table Grid"/>
    <w:basedOn w:val="TableNormal"/>
    <w:rsid w:val="006E45A1"/>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Char Char,Schriftart: 9 pt Char,Schriftart: 10 pt Char,Schriftart: 8 pt Char,WB-Fußnotentext Char,fn Char,Footnotes Char,Footnote ak Char,FoodNote Char,ft Char,Footnote Char,Footnote Text Char1 Char Char Char,Reference Char,f Char"/>
    <w:link w:val="FootnoteText"/>
    <w:semiHidden/>
    <w:locked/>
    <w:rsid w:val="00882FF0"/>
    <w:rPr>
      <w:lang w:val="en-GB" w:eastAsia="el-GR"/>
    </w:rPr>
  </w:style>
  <w:style w:type="character" w:customStyle="1" w:styleId="st">
    <w:name w:val="st"/>
    <w:rsid w:val="00882FF0"/>
  </w:style>
  <w:style w:type="character" w:customStyle="1" w:styleId="a">
    <w:name w:val="a"/>
    <w:rsid w:val="00882FF0"/>
  </w:style>
  <w:style w:type="character" w:styleId="HTMLCite">
    <w:name w:val="HTML Cite"/>
    <w:basedOn w:val="DefaultParagraphFont"/>
    <w:rsid w:val="00882FF0"/>
    <w:rPr>
      <w:i/>
    </w:rPr>
  </w:style>
  <w:style w:type="paragraph" w:customStyle="1" w:styleId="Default">
    <w:name w:val="Default"/>
    <w:rsid w:val="007760C6"/>
    <w:pPr>
      <w:autoSpaceDE w:val="0"/>
      <w:autoSpaceDN w:val="0"/>
      <w:adjustRightInd w:val="0"/>
    </w:pPr>
    <w:rPr>
      <w:rFonts w:ascii="Arial" w:hAnsi="Arial" w:cs="Arial"/>
      <w:color w:val="000000"/>
      <w:sz w:val="24"/>
      <w:szCs w:val="24"/>
      <w:lang w:val="it-IT" w:eastAsia="zh-CN"/>
    </w:rPr>
  </w:style>
  <w:style w:type="character" w:styleId="Hyperlink">
    <w:name w:val="Hyperlink"/>
    <w:basedOn w:val="DefaultParagraphFont"/>
    <w:rsid w:val="00411E43"/>
    <w:rPr>
      <w:color w:val="0000FF"/>
      <w:u w:val="single"/>
    </w:rPr>
  </w:style>
  <w:style w:type="character" w:customStyle="1" w:styleId="apple-converted-space">
    <w:name w:val="apple-converted-space"/>
    <w:rsid w:val="00411E43"/>
  </w:style>
  <w:style w:type="character" w:customStyle="1" w:styleId="current-selection">
    <w:name w:val="current-selection"/>
    <w:rsid w:val="000C7051"/>
  </w:style>
  <w:style w:type="character" w:customStyle="1" w:styleId="a0">
    <w:name w:val="_"/>
    <w:rsid w:val="000C7051"/>
  </w:style>
  <w:style w:type="character" w:customStyle="1" w:styleId="enhanced-reference">
    <w:name w:val="enhanced-reference"/>
    <w:rsid w:val="000C7051"/>
  </w:style>
  <w:style w:type="paragraph" w:styleId="BalloonText">
    <w:name w:val="Balloon Text"/>
    <w:basedOn w:val="Normal"/>
    <w:link w:val="BalloonTextChar"/>
    <w:rsid w:val="00E2365D"/>
    <w:rPr>
      <w:rFonts w:ascii="Tahoma" w:hAnsi="Tahoma"/>
      <w:sz w:val="16"/>
      <w:szCs w:val="20"/>
    </w:rPr>
  </w:style>
  <w:style w:type="character" w:customStyle="1" w:styleId="BalloonTextChar">
    <w:name w:val="Balloon Text Char"/>
    <w:link w:val="BalloonText"/>
    <w:locked/>
    <w:rsid w:val="00E2365D"/>
    <w:rPr>
      <w:rFonts w:ascii="Tahoma" w:hAnsi="Tahoma"/>
      <w:sz w:val="16"/>
      <w:lang w:val="en-GB" w:eastAsia="el-GR"/>
    </w:rPr>
  </w:style>
  <w:style w:type="character" w:customStyle="1" w:styleId="author">
    <w:name w:val="author"/>
    <w:rsid w:val="0057769E"/>
  </w:style>
  <w:style w:type="character" w:customStyle="1" w:styleId="pubyear">
    <w:name w:val="pubyear"/>
    <w:rsid w:val="0057769E"/>
  </w:style>
  <w:style w:type="character" w:customStyle="1" w:styleId="articletitle">
    <w:name w:val="articletitle"/>
    <w:rsid w:val="0057769E"/>
  </w:style>
  <w:style w:type="character" w:customStyle="1" w:styleId="journaltitle">
    <w:name w:val="journaltitle"/>
    <w:rsid w:val="0057769E"/>
  </w:style>
  <w:style w:type="character" w:customStyle="1" w:styleId="vol">
    <w:name w:val="vol"/>
    <w:rsid w:val="0057769E"/>
  </w:style>
  <w:style w:type="character" w:customStyle="1" w:styleId="pagefirst">
    <w:name w:val="pagefirst"/>
    <w:rsid w:val="0057769E"/>
  </w:style>
  <w:style w:type="character" w:customStyle="1" w:styleId="pagelast">
    <w:name w:val="pagelast"/>
    <w:rsid w:val="0057769E"/>
  </w:style>
  <w:style w:type="character" w:customStyle="1" w:styleId="slug-pages">
    <w:name w:val="slug-pages"/>
    <w:rsid w:val="00E1673D"/>
  </w:style>
  <w:style w:type="character" w:styleId="CommentReference">
    <w:name w:val="annotation reference"/>
    <w:basedOn w:val="DefaultParagraphFont"/>
    <w:uiPriority w:val="99"/>
    <w:rsid w:val="00BC650E"/>
    <w:rPr>
      <w:sz w:val="16"/>
    </w:rPr>
  </w:style>
  <w:style w:type="paragraph" w:styleId="CommentText">
    <w:name w:val="annotation text"/>
    <w:basedOn w:val="Normal"/>
    <w:link w:val="CommentTextChar"/>
    <w:uiPriority w:val="99"/>
    <w:rsid w:val="00BC650E"/>
    <w:rPr>
      <w:sz w:val="20"/>
      <w:szCs w:val="20"/>
      <w:lang w:val="el-GR"/>
    </w:rPr>
  </w:style>
  <w:style w:type="character" w:customStyle="1" w:styleId="CommentTextChar">
    <w:name w:val="Comment Text Char"/>
    <w:link w:val="CommentText"/>
    <w:uiPriority w:val="99"/>
    <w:locked/>
    <w:rsid w:val="00BC650E"/>
    <w:rPr>
      <w:lang w:eastAsia="el-GR"/>
    </w:rPr>
  </w:style>
  <w:style w:type="paragraph" w:styleId="CommentSubject">
    <w:name w:val="annotation subject"/>
    <w:basedOn w:val="CommentText"/>
    <w:next w:val="CommentText"/>
    <w:link w:val="CommentSubjectChar"/>
    <w:rsid w:val="00BC650E"/>
    <w:rPr>
      <w:b/>
    </w:rPr>
  </w:style>
  <w:style w:type="character" w:customStyle="1" w:styleId="CommentSubjectChar">
    <w:name w:val="Comment Subject Char"/>
    <w:link w:val="CommentSubject"/>
    <w:locked/>
    <w:rsid w:val="00BC650E"/>
    <w:rPr>
      <w:b/>
      <w:lang w:eastAsia="el-GR"/>
    </w:rPr>
  </w:style>
  <w:style w:type="paragraph" w:styleId="NormalWeb">
    <w:name w:val="Normal (Web)"/>
    <w:basedOn w:val="Normal"/>
    <w:rsid w:val="008C142F"/>
    <w:pPr>
      <w:spacing w:before="100" w:beforeAutospacing="1" w:after="100" w:afterAutospacing="1"/>
    </w:pPr>
    <w:rPr>
      <w:lang w:val="el-GR"/>
    </w:rPr>
  </w:style>
  <w:style w:type="character" w:styleId="Strong">
    <w:name w:val="Strong"/>
    <w:basedOn w:val="DefaultParagraphFont"/>
    <w:uiPriority w:val="22"/>
    <w:qFormat/>
    <w:rsid w:val="0083092A"/>
    <w:rPr>
      <w:b/>
    </w:rPr>
  </w:style>
  <w:style w:type="paragraph" w:styleId="ListParagraph">
    <w:name w:val="List Paragraph"/>
    <w:basedOn w:val="Normal"/>
    <w:qFormat/>
    <w:rsid w:val="003A7F5D"/>
    <w:pPr>
      <w:ind w:left="720"/>
      <w:contextualSpacing/>
    </w:pPr>
    <w:rPr>
      <w:lang w:eastAsia="en-GB"/>
    </w:rPr>
  </w:style>
  <w:style w:type="paragraph" w:styleId="Header">
    <w:name w:val="header"/>
    <w:basedOn w:val="Normal"/>
    <w:link w:val="HeaderChar"/>
    <w:rsid w:val="00C75E89"/>
    <w:pPr>
      <w:tabs>
        <w:tab w:val="center" w:pos="4513"/>
        <w:tab w:val="right" w:pos="9026"/>
      </w:tabs>
    </w:pPr>
    <w:rPr>
      <w:lang w:val="el-GR"/>
    </w:rPr>
  </w:style>
  <w:style w:type="character" w:customStyle="1" w:styleId="HeaderChar">
    <w:name w:val="Header Char"/>
    <w:link w:val="Header"/>
    <w:locked/>
    <w:rsid w:val="00C75E89"/>
    <w:rPr>
      <w:sz w:val="24"/>
      <w:lang w:eastAsia="el-GR"/>
    </w:rPr>
  </w:style>
  <w:style w:type="paragraph" w:styleId="Revision">
    <w:name w:val="Revision"/>
    <w:hidden/>
    <w:semiHidden/>
    <w:rsid w:val="004307C4"/>
    <w:rPr>
      <w:sz w:val="24"/>
      <w:szCs w:val="24"/>
      <w:lang w:eastAsia="el-GR"/>
    </w:rPr>
  </w:style>
  <w:style w:type="character" w:customStyle="1" w:styleId="highwire-citation-authors">
    <w:name w:val="highwire-citation-authors"/>
    <w:rsid w:val="003536BD"/>
    <w:rPr>
      <w:sz w:val="24"/>
      <w:bdr w:val="none" w:sz="0" w:space="0" w:color="auto" w:frame="1"/>
      <w:vertAlign w:val="baseline"/>
    </w:rPr>
  </w:style>
  <w:style w:type="character" w:customStyle="1" w:styleId="highwire-citation-author">
    <w:name w:val="highwire-citation-author"/>
    <w:rsid w:val="003536BD"/>
    <w:rPr>
      <w:sz w:val="24"/>
      <w:bdr w:val="none" w:sz="0" w:space="0" w:color="auto" w:frame="1"/>
      <w:vertAlign w:val="baseline"/>
    </w:rPr>
  </w:style>
  <w:style w:type="character" w:customStyle="1" w:styleId="nlm-given-names">
    <w:name w:val="nlm-given-names"/>
    <w:rsid w:val="003536BD"/>
    <w:rPr>
      <w:sz w:val="24"/>
      <w:bdr w:val="none" w:sz="0" w:space="0" w:color="auto" w:frame="1"/>
      <w:vertAlign w:val="baseline"/>
    </w:rPr>
  </w:style>
  <w:style w:type="character" w:customStyle="1" w:styleId="nlm-surname">
    <w:name w:val="nlm-surname"/>
    <w:rsid w:val="003536BD"/>
    <w:rPr>
      <w:sz w:val="24"/>
      <w:bdr w:val="none" w:sz="0" w:space="0" w:color="auto" w:frame="1"/>
      <w:vertAlign w:val="baseline"/>
    </w:rPr>
  </w:style>
  <w:style w:type="character" w:customStyle="1" w:styleId="tr">
    <w:name w:val="tr"/>
    <w:rsid w:val="007157C9"/>
  </w:style>
  <w:style w:type="character" w:customStyle="1" w:styleId="text17">
    <w:name w:val="text17"/>
    <w:rsid w:val="009910D0"/>
  </w:style>
  <w:style w:type="character" w:styleId="PlaceholderText">
    <w:name w:val="Placeholder Text"/>
    <w:basedOn w:val="DefaultParagraphFont"/>
    <w:semiHidden/>
    <w:rsid w:val="003957B0"/>
    <w:rPr>
      <w:rFonts w:cs="Times New Roman"/>
      <w:color w:val="808080"/>
    </w:rPr>
  </w:style>
  <w:style w:type="paragraph" w:styleId="EndnoteText">
    <w:name w:val="endnote text"/>
    <w:basedOn w:val="Normal"/>
    <w:link w:val="EndnoteTextChar"/>
    <w:rsid w:val="00C35F8F"/>
    <w:rPr>
      <w:sz w:val="20"/>
      <w:szCs w:val="20"/>
    </w:rPr>
  </w:style>
  <w:style w:type="character" w:customStyle="1" w:styleId="EndnoteTextChar">
    <w:name w:val="Endnote Text Char"/>
    <w:basedOn w:val="DefaultParagraphFont"/>
    <w:link w:val="EndnoteText"/>
    <w:locked/>
    <w:rsid w:val="00C35F8F"/>
    <w:rPr>
      <w:rFonts w:cs="Times New Roman"/>
      <w:lang w:val="en-GB" w:eastAsia="el-GR"/>
    </w:rPr>
  </w:style>
  <w:style w:type="character" w:styleId="EndnoteReference">
    <w:name w:val="endnote reference"/>
    <w:basedOn w:val="DefaultParagraphFont"/>
    <w:rsid w:val="00C35F8F"/>
    <w:rPr>
      <w:rFonts w:cs="Times New Roman"/>
      <w:vertAlign w:val="superscript"/>
    </w:rPr>
  </w:style>
  <w:style w:type="character" w:styleId="Emphasis">
    <w:name w:val="Emphasis"/>
    <w:basedOn w:val="DefaultParagraphFont"/>
    <w:uiPriority w:val="20"/>
    <w:qFormat/>
    <w:locked/>
    <w:rsid w:val="0001145A"/>
    <w:rPr>
      <w:rFonts w:cs="Times New Roman"/>
      <w:i/>
      <w:iCs/>
    </w:rPr>
  </w:style>
  <w:style w:type="character" w:customStyle="1" w:styleId="Heading1Char">
    <w:name w:val="Heading 1 Char"/>
    <w:basedOn w:val="DefaultParagraphFont"/>
    <w:link w:val="Heading1"/>
    <w:locked/>
    <w:rsid w:val="0001145A"/>
    <w:rPr>
      <w:rFonts w:ascii="Cambria" w:hAnsi="Cambria" w:cs="Times New Roman"/>
      <w:color w:val="365F91"/>
      <w:sz w:val="32"/>
      <w:szCs w:val="32"/>
      <w:lang w:val="en-GB" w:eastAsia="el-GR"/>
    </w:rPr>
  </w:style>
  <w:style w:type="character" w:customStyle="1" w:styleId="A21">
    <w:name w:val="A21"/>
    <w:rsid w:val="00E56CE5"/>
    <w:rPr>
      <w:color w:val="000000"/>
      <w:sz w:val="28"/>
    </w:rPr>
  </w:style>
  <w:style w:type="character" w:customStyle="1" w:styleId="A23">
    <w:name w:val="A23"/>
    <w:rsid w:val="00E56CE5"/>
    <w:rPr>
      <w:color w:val="000000"/>
      <w:sz w:val="16"/>
    </w:rPr>
  </w:style>
  <w:style w:type="character" w:customStyle="1" w:styleId="field-content1">
    <w:name w:val="field-content1"/>
    <w:basedOn w:val="DefaultParagraphFont"/>
    <w:rsid w:val="00E00BE0"/>
    <w:rPr>
      <w:rFonts w:cs="Times New Roman"/>
    </w:rPr>
  </w:style>
  <w:style w:type="character" w:customStyle="1" w:styleId="Heading3Char">
    <w:name w:val="Heading 3 Char"/>
    <w:basedOn w:val="DefaultParagraphFont"/>
    <w:link w:val="Heading3"/>
    <w:semiHidden/>
    <w:locked/>
    <w:rsid w:val="00752C50"/>
    <w:rPr>
      <w:rFonts w:ascii="Cambria" w:hAnsi="Cambria" w:cs="Times New Roman"/>
      <w:color w:val="243F60"/>
      <w:sz w:val="24"/>
      <w:szCs w:val="24"/>
      <w:lang w:val="en-GB" w:eastAsia="el-GR"/>
    </w:rPr>
  </w:style>
  <w:style w:type="paragraph" w:styleId="PlainText">
    <w:name w:val="Plain Text"/>
    <w:basedOn w:val="Normal"/>
    <w:link w:val="PlainTextChar"/>
    <w:uiPriority w:val="99"/>
    <w:semiHidden/>
    <w:rsid w:val="009A4CCA"/>
    <w:rPr>
      <w:rFonts w:ascii="Calibri" w:eastAsia="Times New Roman" w:hAnsi="Calibri"/>
      <w:sz w:val="22"/>
      <w:szCs w:val="21"/>
      <w:lang w:eastAsia="en-US"/>
    </w:rPr>
  </w:style>
  <w:style w:type="character" w:customStyle="1" w:styleId="PlainTextChar">
    <w:name w:val="Plain Text Char"/>
    <w:basedOn w:val="DefaultParagraphFont"/>
    <w:link w:val="PlainText"/>
    <w:uiPriority w:val="99"/>
    <w:semiHidden/>
    <w:locked/>
    <w:rsid w:val="009A4CCA"/>
    <w:rPr>
      <w:rFonts w:ascii="Calibri" w:eastAsia="Times New Roman" w:hAnsi="Calibri" w:cs="Times New Roman"/>
      <w:sz w:val="21"/>
      <w:szCs w:val="21"/>
      <w:lang w:val="en-GB" w:eastAsia="en-US"/>
    </w:rPr>
  </w:style>
  <w:style w:type="character" w:customStyle="1" w:styleId="Heading2Char">
    <w:name w:val="Heading 2 Char"/>
    <w:basedOn w:val="DefaultParagraphFont"/>
    <w:link w:val="Heading2"/>
    <w:semiHidden/>
    <w:rsid w:val="005E45D0"/>
    <w:rPr>
      <w:rFonts w:asciiTheme="majorHAnsi" w:eastAsiaTheme="majorEastAsia" w:hAnsiTheme="majorHAnsi" w:cstheme="majorBidi"/>
      <w:color w:val="2E74B5" w:themeColor="accent1" w:themeShade="BF"/>
      <w:sz w:val="26"/>
      <w:szCs w:val="26"/>
      <w:lang w:eastAsia="el-GR"/>
    </w:rPr>
  </w:style>
  <w:style w:type="character" w:customStyle="1" w:styleId="highlight">
    <w:name w:val="highlight"/>
    <w:basedOn w:val="DefaultParagraphFont"/>
    <w:rsid w:val="00C04313"/>
  </w:style>
  <w:style w:type="character" w:customStyle="1" w:styleId="slug-metadata-note">
    <w:name w:val="slug-metadata-note"/>
    <w:basedOn w:val="DefaultParagraphFont"/>
    <w:rsid w:val="00C34342"/>
  </w:style>
  <w:style w:type="character" w:customStyle="1" w:styleId="slug-doi">
    <w:name w:val="slug-doi"/>
    <w:basedOn w:val="DefaultParagraphFont"/>
    <w:rsid w:val="00C3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547"/>
          <w:marRight w:val="0"/>
          <w:marTop w:val="134"/>
          <w:marBottom w:val="0"/>
          <w:divBdr>
            <w:top w:val="none" w:sz="0" w:space="0" w:color="auto"/>
            <w:left w:val="none" w:sz="0" w:space="0" w:color="auto"/>
            <w:bottom w:val="none" w:sz="0" w:space="0" w:color="auto"/>
            <w:right w:val="none" w:sz="0" w:space="0" w:color="auto"/>
          </w:divBdr>
        </w:div>
        <w:div w:id="16">
          <w:marLeft w:val="547"/>
          <w:marRight w:val="0"/>
          <w:marTop w:val="134"/>
          <w:marBottom w:val="0"/>
          <w:divBdr>
            <w:top w:val="none" w:sz="0" w:space="0" w:color="auto"/>
            <w:left w:val="none" w:sz="0" w:space="0" w:color="auto"/>
            <w:bottom w:val="none" w:sz="0" w:space="0" w:color="auto"/>
            <w:right w:val="none" w:sz="0" w:space="0" w:color="auto"/>
          </w:divBdr>
        </w:div>
        <w:div w:id="48">
          <w:marLeft w:val="547"/>
          <w:marRight w:val="0"/>
          <w:marTop w:val="134"/>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26">
          <w:marLeft w:val="547"/>
          <w:marRight w:val="0"/>
          <w:marTop w:val="125"/>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sChild>
    </w:div>
    <w:div w:id="64">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single" w:sz="6" w:space="0" w:color="1658A6"/>
            <w:bottom w:val="none" w:sz="0" w:space="0" w:color="auto"/>
            <w:right w:val="single" w:sz="6" w:space="0" w:color="1658A6"/>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sChild>
    </w:div>
    <w:div w:id="8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sChild>
    </w:div>
    <w:div w:id="84">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sChild>
    </w:div>
    <w:div w:id="92">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223"/>
                  <w:marBottom w:val="223"/>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18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dashed" w:sz="2" w:space="0" w:color="074A8B"/>
                                        <w:left w:val="dashed" w:sz="2" w:space="0" w:color="074A8B"/>
                                        <w:bottom w:val="dashed" w:sz="6" w:space="14" w:color="074A8B"/>
                                        <w:right w:val="dashed" w:sz="2" w:space="0" w:color="074A8B"/>
                                      </w:divBdr>
                                    </w:div>
                                  </w:divsChild>
                                </w:div>
                              </w:divsChild>
                            </w:div>
                          </w:divsChild>
                        </w:div>
                      </w:divsChild>
                    </w:div>
                  </w:divsChild>
                </w:div>
              </w:divsChild>
            </w:div>
          </w:divsChild>
        </w:div>
      </w:divsChild>
    </w:div>
    <w:div w:id="103">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40">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single" w:sz="2" w:space="0" w:color="2E2E2E"/>
            <w:left w:val="single" w:sz="2" w:space="0" w:color="2E2E2E"/>
            <w:bottom w:val="single" w:sz="2" w:space="0" w:color="2E2E2E"/>
            <w:right w:val="single" w:sz="2" w:space="0" w:color="2E2E2E"/>
          </w:divBdr>
          <w:divsChild>
            <w:div w:id="112">
              <w:marLeft w:val="0"/>
              <w:marRight w:val="0"/>
              <w:marTop w:val="0"/>
              <w:marBottom w:val="0"/>
              <w:divBdr>
                <w:top w:val="single" w:sz="6" w:space="0" w:color="C9C9C9"/>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single" w:sz="6" w:space="0" w:color="1658A6"/>
            <w:bottom w:val="none" w:sz="0" w:space="0" w:color="auto"/>
            <w:right w:val="single" w:sz="6" w:space="0" w:color="1658A6"/>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387191719">
      <w:bodyDiv w:val="1"/>
      <w:marLeft w:val="0"/>
      <w:marRight w:val="0"/>
      <w:marTop w:val="0"/>
      <w:marBottom w:val="0"/>
      <w:divBdr>
        <w:top w:val="none" w:sz="0" w:space="0" w:color="auto"/>
        <w:left w:val="none" w:sz="0" w:space="0" w:color="auto"/>
        <w:bottom w:val="none" w:sz="0" w:space="0" w:color="auto"/>
        <w:right w:val="none" w:sz="0" w:space="0" w:color="auto"/>
      </w:divBdr>
      <w:divsChild>
        <w:div w:id="1169709579">
          <w:marLeft w:val="0"/>
          <w:marRight w:val="0"/>
          <w:marTop w:val="0"/>
          <w:marBottom w:val="0"/>
          <w:divBdr>
            <w:top w:val="none" w:sz="0" w:space="0" w:color="auto"/>
            <w:left w:val="none" w:sz="0" w:space="0" w:color="auto"/>
            <w:bottom w:val="none" w:sz="0" w:space="0" w:color="auto"/>
            <w:right w:val="none" w:sz="0" w:space="0" w:color="auto"/>
          </w:divBdr>
        </w:div>
        <w:div w:id="1991521985">
          <w:marLeft w:val="0"/>
          <w:marRight w:val="0"/>
          <w:marTop w:val="0"/>
          <w:marBottom w:val="0"/>
          <w:divBdr>
            <w:top w:val="none" w:sz="0" w:space="0" w:color="auto"/>
            <w:left w:val="none" w:sz="0" w:space="0" w:color="auto"/>
            <w:bottom w:val="none" w:sz="0" w:space="0" w:color="auto"/>
            <w:right w:val="none" w:sz="0" w:space="0" w:color="auto"/>
          </w:divBdr>
        </w:div>
      </w:divsChild>
    </w:div>
    <w:div w:id="465969603">
      <w:bodyDiv w:val="1"/>
      <w:marLeft w:val="0"/>
      <w:marRight w:val="0"/>
      <w:marTop w:val="0"/>
      <w:marBottom w:val="0"/>
      <w:divBdr>
        <w:top w:val="none" w:sz="0" w:space="0" w:color="auto"/>
        <w:left w:val="none" w:sz="0" w:space="0" w:color="auto"/>
        <w:bottom w:val="none" w:sz="0" w:space="0" w:color="auto"/>
        <w:right w:val="none" w:sz="0" w:space="0" w:color="auto"/>
      </w:divBdr>
    </w:div>
    <w:div w:id="801995533">
      <w:bodyDiv w:val="1"/>
      <w:marLeft w:val="0"/>
      <w:marRight w:val="0"/>
      <w:marTop w:val="0"/>
      <w:marBottom w:val="0"/>
      <w:divBdr>
        <w:top w:val="none" w:sz="0" w:space="0" w:color="auto"/>
        <w:left w:val="none" w:sz="0" w:space="0" w:color="auto"/>
        <w:bottom w:val="none" w:sz="0" w:space="0" w:color="auto"/>
        <w:right w:val="none" w:sz="0" w:space="0" w:color="auto"/>
      </w:divBdr>
      <w:divsChild>
        <w:div w:id="417361936">
          <w:marLeft w:val="0"/>
          <w:marRight w:val="0"/>
          <w:marTop w:val="0"/>
          <w:marBottom w:val="0"/>
          <w:divBdr>
            <w:top w:val="none" w:sz="0" w:space="0" w:color="auto"/>
            <w:left w:val="none" w:sz="0" w:space="0" w:color="auto"/>
            <w:bottom w:val="none" w:sz="0" w:space="0" w:color="auto"/>
            <w:right w:val="none" w:sz="0" w:space="0" w:color="auto"/>
          </w:divBdr>
        </w:div>
        <w:div w:id="796800357">
          <w:marLeft w:val="0"/>
          <w:marRight w:val="0"/>
          <w:marTop w:val="0"/>
          <w:marBottom w:val="0"/>
          <w:divBdr>
            <w:top w:val="none" w:sz="0" w:space="0" w:color="auto"/>
            <w:left w:val="none" w:sz="0" w:space="0" w:color="auto"/>
            <w:bottom w:val="none" w:sz="0" w:space="0" w:color="auto"/>
            <w:right w:val="none" w:sz="0" w:space="0" w:color="auto"/>
          </w:divBdr>
        </w:div>
        <w:div w:id="1923298999">
          <w:marLeft w:val="0"/>
          <w:marRight w:val="0"/>
          <w:marTop w:val="0"/>
          <w:marBottom w:val="0"/>
          <w:divBdr>
            <w:top w:val="none" w:sz="0" w:space="0" w:color="auto"/>
            <w:left w:val="none" w:sz="0" w:space="0" w:color="auto"/>
            <w:bottom w:val="none" w:sz="0" w:space="0" w:color="auto"/>
            <w:right w:val="none" w:sz="0" w:space="0" w:color="auto"/>
          </w:divBdr>
        </w:div>
      </w:divsChild>
    </w:div>
    <w:div w:id="874002864">
      <w:bodyDiv w:val="1"/>
      <w:marLeft w:val="0"/>
      <w:marRight w:val="0"/>
      <w:marTop w:val="0"/>
      <w:marBottom w:val="0"/>
      <w:divBdr>
        <w:top w:val="none" w:sz="0" w:space="0" w:color="auto"/>
        <w:left w:val="none" w:sz="0" w:space="0" w:color="auto"/>
        <w:bottom w:val="none" w:sz="0" w:space="0" w:color="auto"/>
        <w:right w:val="none" w:sz="0" w:space="0" w:color="auto"/>
      </w:divBdr>
    </w:div>
    <w:div w:id="903416179">
      <w:bodyDiv w:val="1"/>
      <w:marLeft w:val="0"/>
      <w:marRight w:val="0"/>
      <w:marTop w:val="0"/>
      <w:marBottom w:val="0"/>
      <w:divBdr>
        <w:top w:val="none" w:sz="0" w:space="0" w:color="auto"/>
        <w:left w:val="none" w:sz="0" w:space="0" w:color="auto"/>
        <w:bottom w:val="none" w:sz="0" w:space="0" w:color="auto"/>
        <w:right w:val="none" w:sz="0" w:space="0" w:color="auto"/>
      </w:divBdr>
    </w:div>
    <w:div w:id="985621219">
      <w:bodyDiv w:val="1"/>
      <w:marLeft w:val="0"/>
      <w:marRight w:val="0"/>
      <w:marTop w:val="0"/>
      <w:marBottom w:val="0"/>
      <w:divBdr>
        <w:top w:val="none" w:sz="0" w:space="0" w:color="auto"/>
        <w:left w:val="none" w:sz="0" w:space="0" w:color="auto"/>
        <w:bottom w:val="none" w:sz="0" w:space="0" w:color="auto"/>
        <w:right w:val="none" w:sz="0" w:space="0" w:color="auto"/>
      </w:divBdr>
    </w:div>
    <w:div w:id="1121806143">
      <w:bodyDiv w:val="1"/>
      <w:marLeft w:val="0"/>
      <w:marRight w:val="0"/>
      <w:marTop w:val="0"/>
      <w:marBottom w:val="0"/>
      <w:divBdr>
        <w:top w:val="none" w:sz="0" w:space="0" w:color="auto"/>
        <w:left w:val="none" w:sz="0" w:space="0" w:color="auto"/>
        <w:bottom w:val="none" w:sz="0" w:space="0" w:color="auto"/>
        <w:right w:val="none" w:sz="0" w:space="0" w:color="auto"/>
      </w:divBdr>
    </w:div>
    <w:div w:id="1248997435">
      <w:bodyDiv w:val="1"/>
      <w:marLeft w:val="0"/>
      <w:marRight w:val="0"/>
      <w:marTop w:val="0"/>
      <w:marBottom w:val="0"/>
      <w:divBdr>
        <w:top w:val="none" w:sz="0" w:space="0" w:color="auto"/>
        <w:left w:val="none" w:sz="0" w:space="0" w:color="auto"/>
        <w:bottom w:val="none" w:sz="0" w:space="0" w:color="auto"/>
        <w:right w:val="none" w:sz="0" w:space="0" w:color="auto"/>
      </w:divBdr>
      <w:divsChild>
        <w:div w:id="995690343">
          <w:marLeft w:val="0"/>
          <w:marRight w:val="0"/>
          <w:marTop w:val="0"/>
          <w:marBottom w:val="0"/>
          <w:divBdr>
            <w:top w:val="none" w:sz="0" w:space="0" w:color="auto"/>
            <w:left w:val="none" w:sz="0" w:space="0" w:color="auto"/>
            <w:bottom w:val="none" w:sz="0" w:space="0" w:color="auto"/>
            <w:right w:val="none" w:sz="0" w:space="0" w:color="auto"/>
          </w:divBdr>
        </w:div>
        <w:div w:id="29884492">
          <w:marLeft w:val="0"/>
          <w:marRight w:val="0"/>
          <w:marTop w:val="0"/>
          <w:marBottom w:val="0"/>
          <w:divBdr>
            <w:top w:val="none" w:sz="0" w:space="0" w:color="auto"/>
            <w:left w:val="none" w:sz="0" w:space="0" w:color="auto"/>
            <w:bottom w:val="none" w:sz="0" w:space="0" w:color="auto"/>
            <w:right w:val="none" w:sz="0" w:space="0" w:color="auto"/>
          </w:divBdr>
        </w:div>
        <w:div w:id="2078480380">
          <w:marLeft w:val="0"/>
          <w:marRight w:val="0"/>
          <w:marTop w:val="0"/>
          <w:marBottom w:val="0"/>
          <w:divBdr>
            <w:top w:val="none" w:sz="0" w:space="0" w:color="auto"/>
            <w:left w:val="none" w:sz="0" w:space="0" w:color="auto"/>
            <w:bottom w:val="none" w:sz="0" w:space="0" w:color="auto"/>
            <w:right w:val="none" w:sz="0" w:space="0" w:color="auto"/>
          </w:divBdr>
        </w:div>
        <w:div w:id="711460980">
          <w:marLeft w:val="0"/>
          <w:marRight w:val="0"/>
          <w:marTop w:val="0"/>
          <w:marBottom w:val="0"/>
          <w:divBdr>
            <w:top w:val="none" w:sz="0" w:space="0" w:color="auto"/>
            <w:left w:val="none" w:sz="0" w:space="0" w:color="auto"/>
            <w:bottom w:val="none" w:sz="0" w:space="0" w:color="auto"/>
            <w:right w:val="none" w:sz="0" w:space="0" w:color="auto"/>
          </w:divBdr>
        </w:div>
        <w:div w:id="1399014480">
          <w:marLeft w:val="0"/>
          <w:marRight w:val="0"/>
          <w:marTop w:val="0"/>
          <w:marBottom w:val="0"/>
          <w:divBdr>
            <w:top w:val="none" w:sz="0" w:space="0" w:color="auto"/>
            <w:left w:val="none" w:sz="0" w:space="0" w:color="auto"/>
            <w:bottom w:val="none" w:sz="0" w:space="0" w:color="auto"/>
            <w:right w:val="none" w:sz="0" w:space="0" w:color="auto"/>
          </w:divBdr>
        </w:div>
      </w:divsChild>
    </w:div>
    <w:div w:id="1289361698">
      <w:bodyDiv w:val="1"/>
      <w:marLeft w:val="0"/>
      <w:marRight w:val="0"/>
      <w:marTop w:val="0"/>
      <w:marBottom w:val="0"/>
      <w:divBdr>
        <w:top w:val="none" w:sz="0" w:space="0" w:color="auto"/>
        <w:left w:val="none" w:sz="0" w:space="0" w:color="auto"/>
        <w:bottom w:val="none" w:sz="0" w:space="0" w:color="auto"/>
        <w:right w:val="none" w:sz="0" w:space="0" w:color="auto"/>
      </w:divBdr>
    </w:div>
    <w:div w:id="1317228516">
      <w:bodyDiv w:val="1"/>
      <w:marLeft w:val="0"/>
      <w:marRight w:val="0"/>
      <w:marTop w:val="0"/>
      <w:marBottom w:val="0"/>
      <w:divBdr>
        <w:top w:val="none" w:sz="0" w:space="0" w:color="auto"/>
        <w:left w:val="none" w:sz="0" w:space="0" w:color="auto"/>
        <w:bottom w:val="none" w:sz="0" w:space="0" w:color="auto"/>
        <w:right w:val="none" w:sz="0" w:space="0" w:color="auto"/>
      </w:divBdr>
      <w:divsChild>
        <w:div w:id="1071271712">
          <w:marLeft w:val="0"/>
          <w:marRight w:val="0"/>
          <w:marTop w:val="0"/>
          <w:marBottom w:val="0"/>
          <w:divBdr>
            <w:top w:val="none" w:sz="0" w:space="0" w:color="auto"/>
            <w:left w:val="none" w:sz="0" w:space="0" w:color="auto"/>
            <w:bottom w:val="none" w:sz="0" w:space="0" w:color="auto"/>
            <w:right w:val="none" w:sz="0" w:space="0" w:color="auto"/>
          </w:divBdr>
        </w:div>
        <w:div w:id="781068129">
          <w:marLeft w:val="0"/>
          <w:marRight w:val="0"/>
          <w:marTop w:val="0"/>
          <w:marBottom w:val="0"/>
          <w:divBdr>
            <w:top w:val="none" w:sz="0" w:space="0" w:color="auto"/>
            <w:left w:val="none" w:sz="0" w:space="0" w:color="auto"/>
            <w:bottom w:val="none" w:sz="0" w:space="0" w:color="auto"/>
            <w:right w:val="none" w:sz="0" w:space="0" w:color="auto"/>
          </w:divBdr>
        </w:div>
        <w:div w:id="1091925127">
          <w:marLeft w:val="0"/>
          <w:marRight w:val="0"/>
          <w:marTop w:val="0"/>
          <w:marBottom w:val="0"/>
          <w:divBdr>
            <w:top w:val="none" w:sz="0" w:space="0" w:color="auto"/>
            <w:left w:val="none" w:sz="0" w:space="0" w:color="auto"/>
            <w:bottom w:val="none" w:sz="0" w:space="0" w:color="auto"/>
            <w:right w:val="none" w:sz="0" w:space="0" w:color="auto"/>
          </w:divBdr>
        </w:div>
        <w:div w:id="483203727">
          <w:marLeft w:val="0"/>
          <w:marRight w:val="0"/>
          <w:marTop w:val="0"/>
          <w:marBottom w:val="0"/>
          <w:divBdr>
            <w:top w:val="none" w:sz="0" w:space="0" w:color="auto"/>
            <w:left w:val="none" w:sz="0" w:space="0" w:color="auto"/>
            <w:bottom w:val="none" w:sz="0" w:space="0" w:color="auto"/>
            <w:right w:val="none" w:sz="0" w:space="0" w:color="auto"/>
          </w:divBdr>
        </w:div>
        <w:div w:id="1776363645">
          <w:marLeft w:val="0"/>
          <w:marRight w:val="0"/>
          <w:marTop w:val="0"/>
          <w:marBottom w:val="0"/>
          <w:divBdr>
            <w:top w:val="none" w:sz="0" w:space="0" w:color="auto"/>
            <w:left w:val="none" w:sz="0" w:space="0" w:color="auto"/>
            <w:bottom w:val="none" w:sz="0" w:space="0" w:color="auto"/>
            <w:right w:val="none" w:sz="0" w:space="0" w:color="auto"/>
          </w:divBdr>
        </w:div>
      </w:divsChild>
    </w:div>
    <w:div w:id="1319772093">
      <w:bodyDiv w:val="1"/>
      <w:marLeft w:val="0"/>
      <w:marRight w:val="0"/>
      <w:marTop w:val="0"/>
      <w:marBottom w:val="0"/>
      <w:divBdr>
        <w:top w:val="none" w:sz="0" w:space="0" w:color="auto"/>
        <w:left w:val="none" w:sz="0" w:space="0" w:color="auto"/>
        <w:bottom w:val="none" w:sz="0" w:space="0" w:color="auto"/>
        <w:right w:val="none" w:sz="0" w:space="0" w:color="auto"/>
      </w:divBdr>
    </w:div>
    <w:div w:id="1755515555">
      <w:bodyDiv w:val="1"/>
      <w:marLeft w:val="0"/>
      <w:marRight w:val="0"/>
      <w:marTop w:val="0"/>
      <w:marBottom w:val="0"/>
      <w:divBdr>
        <w:top w:val="none" w:sz="0" w:space="0" w:color="auto"/>
        <w:left w:val="none" w:sz="0" w:space="0" w:color="auto"/>
        <w:bottom w:val="none" w:sz="0" w:space="0" w:color="auto"/>
        <w:right w:val="none" w:sz="0" w:space="0" w:color="auto"/>
      </w:divBdr>
    </w:div>
    <w:div w:id="1930234270">
      <w:bodyDiv w:val="1"/>
      <w:marLeft w:val="0"/>
      <w:marRight w:val="0"/>
      <w:marTop w:val="0"/>
      <w:marBottom w:val="0"/>
      <w:divBdr>
        <w:top w:val="none" w:sz="0" w:space="0" w:color="auto"/>
        <w:left w:val="none" w:sz="0" w:space="0" w:color="auto"/>
        <w:bottom w:val="none" w:sz="0" w:space="0" w:color="auto"/>
        <w:right w:val="none" w:sz="0" w:space="0" w:color="auto"/>
      </w:divBdr>
      <w:divsChild>
        <w:div w:id="1819027769">
          <w:marLeft w:val="0"/>
          <w:marRight w:val="0"/>
          <w:marTop w:val="0"/>
          <w:marBottom w:val="0"/>
          <w:divBdr>
            <w:top w:val="none" w:sz="0" w:space="0" w:color="auto"/>
            <w:left w:val="none" w:sz="0" w:space="0" w:color="auto"/>
            <w:bottom w:val="none" w:sz="0" w:space="0" w:color="auto"/>
            <w:right w:val="none" w:sz="0" w:space="0" w:color="auto"/>
          </w:divBdr>
          <w:divsChild>
            <w:div w:id="1662350831">
              <w:marLeft w:val="0"/>
              <w:marRight w:val="0"/>
              <w:marTop w:val="0"/>
              <w:marBottom w:val="0"/>
              <w:divBdr>
                <w:top w:val="none" w:sz="0" w:space="0" w:color="auto"/>
                <w:left w:val="none" w:sz="0" w:space="0" w:color="auto"/>
                <w:bottom w:val="none" w:sz="0" w:space="0" w:color="auto"/>
                <w:right w:val="none" w:sz="0" w:space="0" w:color="auto"/>
              </w:divBdr>
              <w:divsChild>
                <w:div w:id="1572930232">
                  <w:marLeft w:val="75"/>
                  <w:marRight w:val="75"/>
                  <w:marTop w:val="0"/>
                  <w:marBottom w:val="0"/>
                  <w:divBdr>
                    <w:top w:val="none" w:sz="0" w:space="0" w:color="auto"/>
                    <w:left w:val="none" w:sz="0" w:space="0" w:color="auto"/>
                    <w:bottom w:val="none" w:sz="0" w:space="0" w:color="auto"/>
                    <w:right w:val="none" w:sz="0" w:space="0" w:color="auto"/>
                  </w:divBdr>
                  <w:divsChild>
                    <w:div w:id="445582062">
                      <w:marLeft w:val="0"/>
                      <w:marRight w:val="0"/>
                      <w:marTop w:val="0"/>
                      <w:marBottom w:val="0"/>
                      <w:divBdr>
                        <w:top w:val="none" w:sz="0" w:space="0" w:color="auto"/>
                        <w:left w:val="none" w:sz="0" w:space="0" w:color="auto"/>
                        <w:bottom w:val="none" w:sz="0" w:space="0" w:color="auto"/>
                        <w:right w:val="none" w:sz="0" w:space="0" w:color="auto"/>
                      </w:divBdr>
                      <w:divsChild>
                        <w:div w:id="1257711412">
                          <w:marLeft w:val="0"/>
                          <w:marRight w:val="0"/>
                          <w:marTop w:val="0"/>
                          <w:marBottom w:val="0"/>
                          <w:divBdr>
                            <w:top w:val="none" w:sz="0" w:space="0" w:color="auto"/>
                            <w:left w:val="none" w:sz="0" w:space="0" w:color="auto"/>
                            <w:bottom w:val="none" w:sz="0" w:space="0" w:color="auto"/>
                            <w:right w:val="none" w:sz="0" w:space="0" w:color="auto"/>
                          </w:divBdr>
                          <w:divsChild>
                            <w:div w:id="1982810863">
                              <w:marLeft w:val="0"/>
                              <w:marRight w:val="0"/>
                              <w:marTop w:val="0"/>
                              <w:marBottom w:val="0"/>
                              <w:divBdr>
                                <w:top w:val="none" w:sz="0" w:space="0" w:color="auto"/>
                                <w:left w:val="none" w:sz="0" w:space="0" w:color="auto"/>
                                <w:bottom w:val="none" w:sz="0" w:space="0" w:color="auto"/>
                                <w:right w:val="none" w:sz="0" w:space="0" w:color="auto"/>
                              </w:divBdr>
                              <w:divsChild>
                                <w:div w:id="1573543532">
                                  <w:marLeft w:val="0"/>
                                  <w:marRight w:val="0"/>
                                  <w:marTop w:val="0"/>
                                  <w:marBottom w:val="0"/>
                                  <w:divBdr>
                                    <w:top w:val="none" w:sz="0" w:space="0" w:color="auto"/>
                                    <w:left w:val="none" w:sz="0" w:space="0" w:color="auto"/>
                                    <w:bottom w:val="none" w:sz="0" w:space="0" w:color="auto"/>
                                    <w:right w:val="none" w:sz="0" w:space="0" w:color="auto"/>
                                  </w:divBdr>
                                  <w:divsChild>
                                    <w:div w:id="2070884715">
                                      <w:marLeft w:val="0"/>
                                      <w:marRight w:val="0"/>
                                      <w:marTop w:val="0"/>
                                      <w:marBottom w:val="0"/>
                                      <w:divBdr>
                                        <w:top w:val="none" w:sz="0" w:space="0" w:color="auto"/>
                                        <w:left w:val="none" w:sz="0" w:space="0" w:color="auto"/>
                                        <w:bottom w:val="none" w:sz="0" w:space="0" w:color="auto"/>
                                        <w:right w:val="none" w:sz="0" w:space="0" w:color="auto"/>
                                      </w:divBdr>
                                      <w:divsChild>
                                        <w:div w:id="1723870401">
                                          <w:marLeft w:val="0"/>
                                          <w:marRight w:val="0"/>
                                          <w:marTop w:val="0"/>
                                          <w:marBottom w:val="0"/>
                                          <w:divBdr>
                                            <w:top w:val="none" w:sz="0" w:space="0" w:color="auto"/>
                                            <w:left w:val="none" w:sz="0" w:space="0" w:color="auto"/>
                                            <w:bottom w:val="none" w:sz="0" w:space="0" w:color="auto"/>
                                            <w:right w:val="none" w:sz="0" w:space="0" w:color="auto"/>
                                          </w:divBdr>
                                          <w:divsChild>
                                            <w:div w:id="1351029620">
                                              <w:marLeft w:val="0"/>
                                              <w:marRight w:val="0"/>
                                              <w:marTop w:val="0"/>
                                              <w:marBottom w:val="0"/>
                                              <w:divBdr>
                                                <w:top w:val="none" w:sz="0" w:space="0" w:color="auto"/>
                                                <w:left w:val="none" w:sz="0" w:space="0" w:color="auto"/>
                                                <w:bottom w:val="none" w:sz="0" w:space="0" w:color="auto"/>
                                                <w:right w:val="none" w:sz="0" w:space="0" w:color="auto"/>
                                              </w:divBdr>
                                              <w:divsChild>
                                                <w:div w:id="1619406276">
                                                  <w:marLeft w:val="0"/>
                                                  <w:marRight w:val="375"/>
                                                  <w:marTop w:val="0"/>
                                                  <w:marBottom w:val="0"/>
                                                  <w:divBdr>
                                                    <w:top w:val="none" w:sz="0" w:space="0" w:color="auto"/>
                                                    <w:left w:val="none" w:sz="0" w:space="0" w:color="auto"/>
                                                    <w:bottom w:val="none" w:sz="0" w:space="0" w:color="auto"/>
                                                    <w:right w:val="none" w:sz="0" w:space="0" w:color="auto"/>
                                                  </w:divBdr>
                                                  <w:divsChild>
                                                    <w:div w:id="2125340503">
                                                      <w:marLeft w:val="0"/>
                                                      <w:marRight w:val="0"/>
                                                      <w:marTop w:val="0"/>
                                                      <w:marBottom w:val="0"/>
                                                      <w:divBdr>
                                                        <w:top w:val="none" w:sz="0" w:space="0" w:color="auto"/>
                                                        <w:left w:val="none" w:sz="0" w:space="0" w:color="auto"/>
                                                        <w:bottom w:val="none" w:sz="0" w:space="0" w:color="auto"/>
                                                        <w:right w:val="none" w:sz="0" w:space="0" w:color="auto"/>
                                                      </w:divBdr>
                                                      <w:divsChild>
                                                        <w:div w:id="1833520724">
                                                          <w:marLeft w:val="0"/>
                                                          <w:marRight w:val="0"/>
                                                          <w:marTop w:val="0"/>
                                                          <w:marBottom w:val="0"/>
                                                          <w:divBdr>
                                                            <w:top w:val="none" w:sz="0" w:space="0" w:color="auto"/>
                                                            <w:left w:val="none" w:sz="0" w:space="0" w:color="auto"/>
                                                            <w:bottom w:val="none" w:sz="0" w:space="0" w:color="auto"/>
                                                            <w:right w:val="none" w:sz="0" w:space="0" w:color="auto"/>
                                                          </w:divBdr>
                                                          <w:divsChild>
                                                            <w:div w:id="524758379">
                                                              <w:marLeft w:val="0"/>
                                                              <w:marRight w:val="0"/>
                                                              <w:marTop w:val="0"/>
                                                              <w:marBottom w:val="0"/>
                                                              <w:divBdr>
                                                                <w:top w:val="none" w:sz="0" w:space="0" w:color="auto"/>
                                                                <w:left w:val="none" w:sz="0" w:space="0" w:color="auto"/>
                                                                <w:bottom w:val="none" w:sz="0" w:space="0" w:color="auto"/>
                                                                <w:right w:val="none" w:sz="0" w:space="0" w:color="auto"/>
                                                              </w:divBdr>
                                                              <w:divsChild>
                                                                <w:div w:id="1733961475">
                                                                  <w:marLeft w:val="0"/>
                                                                  <w:marRight w:val="0"/>
                                                                  <w:marTop w:val="0"/>
                                                                  <w:marBottom w:val="0"/>
                                                                  <w:divBdr>
                                                                    <w:top w:val="none" w:sz="0" w:space="0" w:color="auto"/>
                                                                    <w:left w:val="none" w:sz="0" w:space="0" w:color="auto"/>
                                                                    <w:bottom w:val="none" w:sz="0" w:space="0" w:color="auto"/>
                                                                    <w:right w:val="none" w:sz="0" w:space="0" w:color="auto"/>
                                                                  </w:divBdr>
                                                                  <w:divsChild>
                                                                    <w:div w:id="804546493">
                                                                      <w:marLeft w:val="0"/>
                                                                      <w:marRight w:val="0"/>
                                                                      <w:marTop w:val="0"/>
                                                                      <w:marBottom w:val="0"/>
                                                                      <w:divBdr>
                                                                        <w:top w:val="none" w:sz="0" w:space="0" w:color="auto"/>
                                                                        <w:left w:val="none" w:sz="0" w:space="0" w:color="auto"/>
                                                                        <w:bottom w:val="none" w:sz="0" w:space="0" w:color="auto"/>
                                                                        <w:right w:val="none" w:sz="0" w:space="0" w:color="auto"/>
                                                                      </w:divBdr>
                                                                      <w:divsChild>
                                                                        <w:div w:id="280843454">
                                                                          <w:marLeft w:val="0"/>
                                                                          <w:marRight w:val="0"/>
                                                                          <w:marTop w:val="0"/>
                                                                          <w:marBottom w:val="0"/>
                                                                          <w:divBdr>
                                                                            <w:top w:val="none" w:sz="0" w:space="0" w:color="auto"/>
                                                                            <w:left w:val="none" w:sz="0" w:space="0" w:color="auto"/>
                                                                            <w:bottom w:val="none" w:sz="0" w:space="0" w:color="auto"/>
                                                                            <w:right w:val="none" w:sz="0" w:space="0" w:color="auto"/>
                                                                          </w:divBdr>
                                                                          <w:divsChild>
                                                                            <w:div w:id="18864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457033">
      <w:bodyDiv w:val="1"/>
      <w:marLeft w:val="0"/>
      <w:marRight w:val="0"/>
      <w:marTop w:val="0"/>
      <w:marBottom w:val="0"/>
      <w:divBdr>
        <w:top w:val="none" w:sz="0" w:space="0" w:color="auto"/>
        <w:left w:val="none" w:sz="0" w:space="0" w:color="auto"/>
        <w:bottom w:val="none" w:sz="0" w:space="0" w:color="auto"/>
        <w:right w:val="none" w:sz="0" w:space="0" w:color="auto"/>
      </w:divBdr>
      <w:divsChild>
        <w:div w:id="682056480">
          <w:marLeft w:val="0"/>
          <w:marRight w:val="0"/>
          <w:marTop w:val="0"/>
          <w:marBottom w:val="0"/>
          <w:divBdr>
            <w:top w:val="none" w:sz="0" w:space="0" w:color="auto"/>
            <w:left w:val="none" w:sz="0" w:space="0" w:color="auto"/>
            <w:bottom w:val="none" w:sz="0" w:space="0" w:color="auto"/>
            <w:right w:val="none" w:sz="0" w:space="0" w:color="auto"/>
          </w:divBdr>
        </w:div>
        <w:div w:id="224879117">
          <w:marLeft w:val="0"/>
          <w:marRight w:val="0"/>
          <w:marTop w:val="0"/>
          <w:marBottom w:val="0"/>
          <w:divBdr>
            <w:top w:val="none" w:sz="0" w:space="0" w:color="auto"/>
            <w:left w:val="none" w:sz="0" w:space="0" w:color="auto"/>
            <w:bottom w:val="none" w:sz="0" w:space="0" w:color="auto"/>
            <w:right w:val="none" w:sz="0" w:space="0" w:color="auto"/>
          </w:divBdr>
        </w:div>
        <w:div w:id="734206184">
          <w:marLeft w:val="0"/>
          <w:marRight w:val="0"/>
          <w:marTop w:val="0"/>
          <w:marBottom w:val="0"/>
          <w:divBdr>
            <w:top w:val="none" w:sz="0" w:space="0" w:color="auto"/>
            <w:left w:val="none" w:sz="0" w:space="0" w:color="auto"/>
            <w:bottom w:val="none" w:sz="0" w:space="0" w:color="auto"/>
            <w:right w:val="none" w:sz="0" w:space="0" w:color="auto"/>
          </w:divBdr>
        </w:div>
        <w:div w:id="495195436">
          <w:marLeft w:val="0"/>
          <w:marRight w:val="0"/>
          <w:marTop w:val="0"/>
          <w:marBottom w:val="0"/>
          <w:divBdr>
            <w:top w:val="none" w:sz="0" w:space="0" w:color="auto"/>
            <w:left w:val="none" w:sz="0" w:space="0" w:color="auto"/>
            <w:bottom w:val="none" w:sz="0" w:space="0" w:color="auto"/>
            <w:right w:val="none" w:sz="0" w:space="0" w:color="auto"/>
          </w:divBdr>
        </w:div>
        <w:div w:id="1255473376">
          <w:marLeft w:val="0"/>
          <w:marRight w:val="0"/>
          <w:marTop w:val="0"/>
          <w:marBottom w:val="0"/>
          <w:divBdr>
            <w:top w:val="none" w:sz="0" w:space="0" w:color="auto"/>
            <w:left w:val="none" w:sz="0" w:space="0" w:color="auto"/>
            <w:bottom w:val="none" w:sz="0" w:space="0" w:color="auto"/>
            <w:right w:val="none" w:sz="0" w:space="0" w:color="auto"/>
          </w:divBdr>
        </w:div>
        <w:div w:id="718286897">
          <w:marLeft w:val="0"/>
          <w:marRight w:val="0"/>
          <w:marTop w:val="0"/>
          <w:marBottom w:val="0"/>
          <w:divBdr>
            <w:top w:val="none" w:sz="0" w:space="0" w:color="auto"/>
            <w:left w:val="none" w:sz="0" w:space="0" w:color="auto"/>
            <w:bottom w:val="none" w:sz="0" w:space="0" w:color="auto"/>
            <w:right w:val="none" w:sz="0" w:space="0" w:color="auto"/>
          </w:divBdr>
        </w:div>
        <w:div w:id="1284075227">
          <w:marLeft w:val="0"/>
          <w:marRight w:val="0"/>
          <w:marTop w:val="0"/>
          <w:marBottom w:val="0"/>
          <w:divBdr>
            <w:top w:val="none" w:sz="0" w:space="0" w:color="auto"/>
            <w:left w:val="none" w:sz="0" w:space="0" w:color="auto"/>
            <w:bottom w:val="none" w:sz="0" w:space="0" w:color="auto"/>
            <w:right w:val="none" w:sz="0" w:space="0" w:color="auto"/>
          </w:divBdr>
        </w:div>
        <w:div w:id="1574199480">
          <w:marLeft w:val="0"/>
          <w:marRight w:val="0"/>
          <w:marTop w:val="0"/>
          <w:marBottom w:val="0"/>
          <w:divBdr>
            <w:top w:val="none" w:sz="0" w:space="0" w:color="auto"/>
            <w:left w:val="none" w:sz="0" w:space="0" w:color="auto"/>
            <w:bottom w:val="none" w:sz="0" w:space="0" w:color="auto"/>
            <w:right w:val="none" w:sz="0" w:space="0" w:color="auto"/>
          </w:divBdr>
        </w:div>
        <w:div w:id="460222348">
          <w:marLeft w:val="0"/>
          <w:marRight w:val="0"/>
          <w:marTop w:val="0"/>
          <w:marBottom w:val="0"/>
          <w:divBdr>
            <w:top w:val="none" w:sz="0" w:space="0" w:color="auto"/>
            <w:left w:val="none" w:sz="0" w:space="0" w:color="auto"/>
            <w:bottom w:val="none" w:sz="0" w:space="0" w:color="auto"/>
            <w:right w:val="none" w:sz="0" w:space="0" w:color="auto"/>
          </w:divBdr>
        </w:div>
        <w:div w:id="85657787">
          <w:marLeft w:val="0"/>
          <w:marRight w:val="0"/>
          <w:marTop w:val="0"/>
          <w:marBottom w:val="0"/>
          <w:divBdr>
            <w:top w:val="none" w:sz="0" w:space="0" w:color="auto"/>
            <w:left w:val="none" w:sz="0" w:space="0" w:color="auto"/>
            <w:bottom w:val="none" w:sz="0" w:space="0" w:color="auto"/>
            <w:right w:val="none" w:sz="0" w:space="0" w:color="auto"/>
          </w:divBdr>
        </w:div>
        <w:div w:id="1972907159">
          <w:marLeft w:val="0"/>
          <w:marRight w:val="0"/>
          <w:marTop w:val="0"/>
          <w:marBottom w:val="0"/>
          <w:divBdr>
            <w:top w:val="none" w:sz="0" w:space="0" w:color="auto"/>
            <w:left w:val="none" w:sz="0" w:space="0" w:color="auto"/>
            <w:bottom w:val="none" w:sz="0" w:space="0" w:color="auto"/>
            <w:right w:val="none" w:sz="0" w:space="0" w:color="auto"/>
          </w:divBdr>
        </w:div>
        <w:div w:id="796294151">
          <w:marLeft w:val="0"/>
          <w:marRight w:val="0"/>
          <w:marTop w:val="0"/>
          <w:marBottom w:val="0"/>
          <w:divBdr>
            <w:top w:val="none" w:sz="0" w:space="0" w:color="auto"/>
            <w:left w:val="none" w:sz="0" w:space="0" w:color="auto"/>
            <w:bottom w:val="none" w:sz="0" w:space="0" w:color="auto"/>
            <w:right w:val="none" w:sz="0" w:space="0" w:color="auto"/>
          </w:divBdr>
        </w:div>
        <w:div w:id="907493494">
          <w:marLeft w:val="0"/>
          <w:marRight w:val="0"/>
          <w:marTop w:val="0"/>
          <w:marBottom w:val="0"/>
          <w:divBdr>
            <w:top w:val="none" w:sz="0" w:space="0" w:color="auto"/>
            <w:left w:val="none" w:sz="0" w:space="0" w:color="auto"/>
            <w:bottom w:val="none" w:sz="0" w:space="0" w:color="auto"/>
            <w:right w:val="none" w:sz="0" w:space="0" w:color="auto"/>
          </w:divBdr>
        </w:div>
        <w:div w:id="8680232">
          <w:marLeft w:val="0"/>
          <w:marRight w:val="0"/>
          <w:marTop w:val="0"/>
          <w:marBottom w:val="0"/>
          <w:divBdr>
            <w:top w:val="none" w:sz="0" w:space="0" w:color="auto"/>
            <w:left w:val="none" w:sz="0" w:space="0" w:color="auto"/>
            <w:bottom w:val="none" w:sz="0" w:space="0" w:color="auto"/>
            <w:right w:val="none" w:sz="0" w:space="0" w:color="auto"/>
          </w:divBdr>
        </w:div>
      </w:divsChild>
    </w:div>
    <w:div w:id="1931961515">
      <w:bodyDiv w:val="1"/>
      <w:marLeft w:val="0"/>
      <w:marRight w:val="0"/>
      <w:marTop w:val="0"/>
      <w:marBottom w:val="0"/>
      <w:divBdr>
        <w:top w:val="none" w:sz="0" w:space="0" w:color="auto"/>
        <w:left w:val="none" w:sz="0" w:space="0" w:color="auto"/>
        <w:bottom w:val="none" w:sz="0" w:space="0" w:color="auto"/>
        <w:right w:val="none" w:sz="0" w:space="0" w:color="auto"/>
      </w:divBdr>
      <w:divsChild>
        <w:div w:id="1288202273">
          <w:marLeft w:val="0"/>
          <w:marRight w:val="0"/>
          <w:marTop w:val="0"/>
          <w:marBottom w:val="0"/>
          <w:divBdr>
            <w:top w:val="none" w:sz="0" w:space="0" w:color="auto"/>
            <w:left w:val="none" w:sz="0" w:space="0" w:color="auto"/>
            <w:bottom w:val="none" w:sz="0" w:space="0" w:color="auto"/>
            <w:right w:val="none" w:sz="0" w:space="0" w:color="auto"/>
          </w:divBdr>
          <w:divsChild>
            <w:div w:id="28264241">
              <w:marLeft w:val="0"/>
              <w:marRight w:val="0"/>
              <w:marTop w:val="0"/>
              <w:marBottom w:val="0"/>
              <w:divBdr>
                <w:top w:val="none" w:sz="0" w:space="0" w:color="auto"/>
                <w:left w:val="none" w:sz="0" w:space="0" w:color="auto"/>
                <w:bottom w:val="none" w:sz="0" w:space="0" w:color="auto"/>
                <w:right w:val="none" w:sz="0" w:space="0" w:color="auto"/>
              </w:divBdr>
              <w:divsChild>
                <w:div w:id="556018704">
                  <w:marLeft w:val="75"/>
                  <w:marRight w:val="75"/>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779061591">
                          <w:marLeft w:val="0"/>
                          <w:marRight w:val="0"/>
                          <w:marTop w:val="0"/>
                          <w:marBottom w:val="0"/>
                          <w:divBdr>
                            <w:top w:val="none" w:sz="0" w:space="0" w:color="auto"/>
                            <w:left w:val="none" w:sz="0" w:space="0" w:color="auto"/>
                            <w:bottom w:val="none" w:sz="0" w:space="0" w:color="auto"/>
                            <w:right w:val="none" w:sz="0" w:space="0" w:color="auto"/>
                          </w:divBdr>
                          <w:divsChild>
                            <w:div w:id="15038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s>
</file>

<file path=word/_rels/endnotes.xml.rels><?xml version="1.0" encoding="UTF-8" standalone="yes"?>
<Relationships xmlns="http://schemas.openxmlformats.org/package/2006/relationships"><Relationship Id="rId2" Type="http://schemas.openxmlformats.org/officeDocument/2006/relationships/hyperlink" Target="http://reports.weforum.org/global-competitiveness-report-2015-2016/downloads/" TargetMode="External"/><Relationship Id="rId1" Type="http://schemas.openxmlformats.org/officeDocument/2006/relationships/hyperlink" Target="http://www.zyen.com/research/gf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EBC2D-0735-4E01-879E-7802A35C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8802</Words>
  <Characters>51539</Characters>
  <Application>Microsoft Office Word</Application>
  <DocSecurity>4</DocSecurity>
  <Lines>429</Lines>
  <Paragraphs>120</Paragraphs>
  <ScaleCrop>false</ScaleCrop>
  <HeadingPairs>
    <vt:vector size="6" baseType="variant">
      <vt:variant>
        <vt:lpstr>Title</vt:lpstr>
      </vt:variant>
      <vt:variant>
        <vt:i4>1</vt:i4>
      </vt:variant>
      <vt:variant>
        <vt:lpstr>Titolo</vt:lpstr>
      </vt:variant>
      <vt:variant>
        <vt:i4>1</vt:i4>
      </vt:variant>
      <vt:variant>
        <vt:lpstr>Τίτλος</vt:lpstr>
      </vt:variant>
      <vt:variant>
        <vt:i4>1</vt:i4>
      </vt:variant>
    </vt:vector>
  </HeadingPairs>
  <TitlesOfParts>
    <vt:vector size="3" baseType="lpstr">
      <vt:lpstr>Methodology</vt:lpstr>
      <vt:lpstr>Methodology</vt:lpstr>
      <vt:lpstr>Methodology</vt:lpstr>
    </vt:vector>
  </TitlesOfParts>
  <Company>University of Southampton</Company>
  <LinksUpToDate>false</LinksUpToDate>
  <CharactersWithSpaces>60221</CharactersWithSpaces>
  <SharedDoc>false</SharedDoc>
  <HLinks>
    <vt:vector size="96" baseType="variant">
      <vt:variant>
        <vt:i4>4653128</vt:i4>
      </vt:variant>
      <vt:variant>
        <vt:i4>108</vt:i4>
      </vt:variant>
      <vt:variant>
        <vt:i4>0</vt:i4>
      </vt:variant>
      <vt:variant>
        <vt:i4>5</vt:i4>
      </vt:variant>
      <vt:variant>
        <vt:lpwstr>http://www.longfinance.net/programmes.html?catid=0&amp;id=834</vt:lpwstr>
      </vt:variant>
      <vt:variant>
        <vt:lpwstr/>
      </vt:variant>
      <vt:variant>
        <vt:i4>458839</vt:i4>
      </vt:variant>
      <vt:variant>
        <vt:i4>105</vt:i4>
      </vt:variant>
      <vt:variant>
        <vt:i4>0</vt:i4>
      </vt:variant>
      <vt:variant>
        <vt:i4>5</vt:i4>
      </vt:variant>
      <vt:variant>
        <vt:lpwstr>http://onlinelibrary.wiley.com/doi/10.1111/tesg.2002.93.issue-4/issuetoc</vt:lpwstr>
      </vt:variant>
      <vt:variant>
        <vt:lpwstr/>
      </vt:variant>
      <vt:variant>
        <vt:i4>5439564</vt:i4>
      </vt:variant>
      <vt:variant>
        <vt:i4>102</vt:i4>
      </vt:variant>
      <vt:variant>
        <vt:i4>0</vt:i4>
      </vt:variant>
      <vt:variant>
        <vt:i4>5</vt:i4>
      </vt:variant>
      <vt:variant>
        <vt:lpwstr>http://onlinelibrary.wiley.com/doi/10.1111/jeea.2007.5.issue-2-3/issuetoc</vt:lpwstr>
      </vt:variant>
      <vt:variant>
        <vt:lpwstr/>
      </vt:variant>
      <vt:variant>
        <vt:i4>2097205</vt:i4>
      </vt:variant>
      <vt:variant>
        <vt:i4>99</vt:i4>
      </vt:variant>
      <vt:variant>
        <vt:i4>0</vt:i4>
      </vt:variant>
      <vt:variant>
        <vt:i4>5</vt:i4>
      </vt:variant>
      <vt:variant>
        <vt:lpwstr>http://onlinelibrary.wiley.com/journal/10.1111/(ISSN)1542-4774</vt:lpwstr>
      </vt:variant>
      <vt:variant>
        <vt:lpwstr/>
      </vt:variant>
      <vt:variant>
        <vt:i4>1441818</vt:i4>
      </vt:variant>
      <vt:variant>
        <vt:i4>96</vt:i4>
      </vt:variant>
      <vt:variant>
        <vt:i4>0</vt:i4>
      </vt:variant>
      <vt:variant>
        <vt:i4>5</vt:i4>
      </vt:variant>
      <vt:variant>
        <vt:lpwstr>http://www.cfir.dk/Dokumenter/Documents//CFIRCopenhagen's_Position_in_GFCI_5.pdf</vt:lpwstr>
      </vt:variant>
      <vt:variant>
        <vt:lpwstr/>
      </vt:variant>
      <vt:variant>
        <vt:i4>3473509</vt:i4>
      </vt:variant>
      <vt:variant>
        <vt:i4>93</vt:i4>
      </vt:variant>
      <vt:variant>
        <vt:i4>0</vt:i4>
      </vt:variant>
      <vt:variant>
        <vt:i4>5</vt:i4>
      </vt:variant>
      <vt:variant>
        <vt:lpwstr>http://econpapers.repec.org/RAS/pva650.htm</vt:lpwstr>
      </vt:variant>
      <vt:variant>
        <vt:lpwstr/>
      </vt:variant>
      <vt:variant>
        <vt:i4>2687079</vt:i4>
      </vt:variant>
      <vt:variant>
        <vt:i4>90</vt:i4>
      </vt:variant>
      <vt:variant>
        <vt:i4>0</vt:i4>
      </vt:variant>
      <vt:variant>
        <vt:i4>5</vt:i4>
      </vt:variant>
      <vt:variant>
        <vt:lpwstr>http://econpapers.repec.org/RAS/pbe937.htm</vt:lpwstr>
      </vt:variant>
      <vt:variant>
        <vt:lpwstr/>
      </vt:variant>
      <vt:variant>
        <vt:i4>7995397</vt:i4>
      </vt:variant>
      <vt:variant>
        <vt:i4>6</vt:i4>
      </vt:variant>
      <vt:variant>
        <vt:i4>0</vt:i4>
      </vt:variant>
      <vt:variant>
        <vt:i4>5</vt:i4>
      </vt:variant>
      <vt:variant>
        <vt:lpwstr>https://scholar.google.co.uk/citations?user=Wn2s2_AAAAAJ&amp;hl=nl&amp;oi=sra</vt:lpwstr>
      </vt:variant>
      <vt:variant>
        <vt:lpwstr/>
      </vt:variant>
      <vt:variant>
        <vt:i4>3473509</vt:i4>
      </vt:variant>
      <vt:variant>
        <vt:i4>3</vt:i4>
      </vt:variant>
      <vt:variant>
        <vt:i4>0</vt:i4>
      </vt:variant>
      <vt:variant>
        <vt:i4>5</vt:i4>
      </vt:variant>
      <vt:variant>
        <vt:lpwstr>http://econpapers.repec.org/RAS/pva650.htm</vt:lpwstr>
      </vt:variant>
      <vt:variant>
        <vt:lpwstr/>
      </vt:variant>
      <vt:variant>
        <vt:i4>2687079</vt:i4>
      </vt:variant>
      <vt:variant>
        <vt:i4>0</vt:i4>
      </vt:variant>
      <vt:variant>
        <vt:i4>0</vt:i4>
      </vt:variant>
      <vt:variant>
        <vt:i4>5</vt:i4>
      </vt:variant>
      <vt:variant>
        <vt:lpwstr>http://econpapers.repec.org/RAS/pbe937.htm</vt:lpwstr>
      </vt:variant>
      <vt:variant>
        <vt:lpwstr/>
      </vt:variant>
      <vt:variant>
        <vt:i4>1966173</vt:i4>
      </vt:variant>
      <vt:variant>
        <vt:i4>18</vt:i4>
      </vt:variant>
      <vt:variant>
        <vt:i4>0</vt:i4>
      </vt:variant>
      <vt:variant>
        <vt:i4>5</vt:i4>
      </vt:variant>
      <vt:variant>
        <vt:lpwstr>http://eur-lex.europa.eu/legal-content/EN/TXT/?uri=CELEX%3A32011L0061</vt:lpwstr>
      </vt:variant>
      <vt:variant>
        <vt:lpwstr/>
      </vt:variant>
      <vt:variant>
        <vt:i4>2687091</vt:i4>
      </vt:variant>
      <vt:variant>
        <vt:i4>15</vt:i4>
      </vt:variant>
      <vt:variant>
        <vt:i4>0</vt:i4>
      </vt:variant>
      <vt:variant>
        <vt:i4>5</vt:i4>
      </vt:variant>
      <vt:variant>
        <vt:lpwstr>https://en.wikipedia.org/wiki/AIFMD</vt:lpwstr>
      </vt:variant>
      <vt:variant>
        <vt:lpwstr/>
      </vt:variant>
      <vt:variant>
        <vt:i4>4259864</vt:i4>
      </vt:variant>
      <vt:variant>
        <vt:i4>12</vt:i4>
      </vt:variant>
      <vt:variant>
        <vt:i4>0</vt:i4>
      </vt:variant>
      <vt:variant>
        <vt:i4>5</vt:i4>
      </vt:variant>
      <vt:variant>
        <vt:lpwstr>https://en.wikipedia.org/wiki/Alternative_Investment_Fund_Managers_Directive</vt:lpwstr>
      </vt:variant>
      <vt:variant>
        <vt:lpwstr/>
      </vt:variant>
      <vt:variant>
        <vt:i4>6029365</vt:i4>
      </vt:variant>
      <vt:variant>
        <vt:i4>9</vt:i4>
      </vt:variant>
      <vt:variant>
        <vt:i4>0</vt:i4>
      </vt:variant>
      <vt:variant>
        <vt:i4>5</vt:i4>
      </vt:variant>
      <vt:variant>
        <vt:lpwstr>http://publications.europa.eu/resource/cellar/d5e27809-47c8-4430-9f00-c562dae6b886.0006.03/DOC_1</vt:lpwstr>
      </vt:variant>
      <vt:variant>
        <vt:lpwstr/>
      </vt:variant>
      <vt:variant>
        <vt:i4>6225999</vt:i4>
      </vt:variant>
      <vt:variant>
        <vt:i4>6</vt:i4>
      </vt:variant>
      <vt:variant>
        <vt:i4>0</vt:i4>
      </vt:variant>
      <vt:variant>
        <vt:i4>5</vt:i4>
      </vt:variant>
      <vt:variant>
        <vt:lpwstr>http://ec.europa.eu/competition/state_aid/scoreboard/approved_amounts_2008_2013.xls</vt:lpwstr>
      </vt:variant>
      <vt:variant>
        <vt:lpwstr/>
      </vt:variant>
      <vt:variant>
        <vt:i4>8061053</vt:i4>
      </vt:variant>
      <vt:variant>
        <vt:i4>0</vt:i4>
      </vt:variant>
      <vt:variant>
        <vt:i4>0</vt:i4>
      </vt:variant>
      <vt:variant>
        <vt:i4>5</vt:i4>
      </vt:variant>
      <vt:variant>
        <vt:lpwstr>http://ec.europa.eu/eurostat/tgm/table.do?tab=table&amp;init=1&amp;language=en&amp;pcode=tec00115&amp;plugin=1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dc:title>
  <dc:creator>Degl'innocenti M.</dc:creator>
  <cp:lastModifiedBy>Balfour S.</cp:lastModifiedBy>
  <cp:revision>2</cp:revision>
  <cp:lastPrinted>2017-10-05T09:49:00Z</cp:lastPrinted>
  <dcterms:created xsi:type="dcterms:W3CDTF">2017-10-19T08:45:00Z</dcterms:created>
  <dcterms:modified xsi:type="dcterms:W3CDTF">2017-10-19T08:45:00Z</dcterms:modified>
</cp:coreProperties>
</file>