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23724" w14:textId="4D913595" w:rsidR="009246AD" w:rsidRPr="001558DF" w:rsidRDefault="00667FB2" w:rsidP="00E41E8E">
      <w:pPr>
        <w:pStyle w:val="BATitle"/>
        <w:spacing w:before="0" w:after="0"/>
        <w:rPr>
          <w:szCs w:val="44"/>
        </w:rPr>
      </w:pPr>
      <w:r w:rsidRPr="001558DF">
        <w:rPr>
          <w:szCs w:val="44"/>
        </w:rPr>
        <w:t xml:space="preserve">In situ </w:t>
      </w:r>
      <w:r w:rsidR="00EF2E4C" w:rsidRPr="001558DF">
        <w:rPr>
          <w:szCs w:val="44"/>
        </w:rPr>
        <w:t>d</w:t>
      </w:r>
      <w:r w:rsidRPr="001558DF">
        <w:rPr>
          <w:szCs w:val="44"/>
        </w:rPr>
        <w:t xml:space="preserve">etermination of the </w:t>
      </w:r>
      <w:r w:rsidR="00EF2E4C" w:rsidRPr="001558DF">
        <w:rPr>
          <w:szCs w:val="44"/>
        </w:rPr>
        <w:t>n</w:t>
      </w:r>
      <w:r w:rsidRPr="001558DF">
        <w:rPr>
          <w:szCs w:val="44"/>
        </w:rPr>
        <w:t xml:space="preserve">anostructure </w:t>
      </w:r>
      <w:r w:rsidR="00EF2E4C" w:rsidRPr="001558DF">
        <w:rPr>
          <w:szCs w:val="44"/>
        </w:rPr>
        <w:t>e</w:t>
      </w:r>
      <w:r w:rsidRPr="001558DF">
        <w:rPr>
          <w:szCs w:val="44"/>
        </w:rPr>
        <w:t xml:space="preserve">ffects on the </w:t>
      </w:r>
      <w:r w:rsidR="00EF2E4C" w:rsidRPr="001558DF">
        <w:rPr>
          <w:szCs w:val="44"/>
        </w:rPr>
        <w:t>a</w:t>
      </w:r>
      <w:r w:rsidRPr="001558DF">
        <w:rPr>
          <w:szCs w:val="44"/>
        </w:rPr>
        <w:t xml:space="preserve">ctivity, </w:t>
      </w:r>
      <w:r w:rsidR="00EF2E4C" w:rsidRPr="001558DF">
        <w:rPr>
          <w:szCs w:val="44"/>
        </w:rPr>
        <w:t>s</w:t>
      </w:r>
      <w:r w:rsidRPr="001558DF">
        <w:rPr>
          <w:szCs w:val="44"/>
        </w:rPr>
        <w:t xml:space="preserve">tability and </w:t>
      </w:r>
      <w:r w:rsidR="00EF2E4C" w:rsidRPr="001558DF">
        <w:rPr>
          <w:szCs w:val="44"/>
        </w:rPr>
        <w:t>s</w:t>
      </w:r>
      <w:r w:rsidR="00E40B12" w:rsidRPr="001558DF">
        <w:rPr>
          <w:szCs w:val="44"/>
        </w:rPr>
        <w:t xml:space="preserve">electivity </w:t>
      </w:r>
      <w:r w:rsidRPr="001558DF">
        <w:rPr>
          <w:szCs w:val="44"/>
        </w:rPr>
        <w:t>of</w:t>
      </w:r>
      <w:r w:rsidR="00E40B12" w:rsidRPr="001558DF">
        <w:rPr>
          <w:szCs w:val="44"/>
        </w:rPr>
        <w:t xml:space="preserve"> Pt-Sn </w:t>
      </w:r>
      <w:r w:rsidR="00EF2E4C" w:rsidRPr="001558DF">
        <w:rPr>
          <w:szCs w:val="44"/>
        </w:rPr>
        <w:t>e</w:t>
      </w:r>
      <w:r w:rsidR="00E40B12" w:rsidRPr="001558DF">
        <w:rPr>
          <w:szCs w:val="44"/>
        </w:rPr>
        <w:t xml:space="preserve">thanol </w:t>
      </w:r>
      <w:r w:rsidR="00EF2E4C" w:rsidRPr="001558DF">
        <w:rPr>
          <w:szCs w:val="44"/>
        </w:rPr>
        <w:t>o</w:t>
      </w:r>
      <w:r w:rsidR="00E40B12" w:rsidRPr="001558DF">
        <w:rPr>
          <w:szCs w:val="44"/>
        </w:rPr>
        <w:t xml:space="preserve">xidation </w:t>
      </w:r>
      <w:r w:rsidR="00EF2E4C" w:rsidRPr="001558DF">
        <w:rPr>
          <w:szCs w:val="44"/>
        </w:rPr>
        <w:t>c</w:t>
      </w:r>
      <w:r w:rsidRPr="001558DF">
        <w:rPr>
          <w:szCs w:val="44"/>
        </w:rPr>
        <w:t>atalyst</w:t>
      </w:r>
      <w:r w:rsidR="00E40B12" w:rsidRPr="001558DF">
        <w:rPr>
          <w:szCs w:val="44"/>
        </w:rPr>
        <w:t>s</w:t>
      </w:r>
    </w:p>
    <w:p w14:paraId="354A1CB2" w14:textId="624BC274" w:rsidR="005416E2" w:rsidRPr="001558DF" w:rsidRDefault="005416E2" w:rsidP="005416E2">
      <w:pPr>
        <w:pStyle w:val="BBAuthorName"/>
        <w:jc w:val="both"/>
        <w:rPr>
          <w:rFonts w:asciiTheme="majorBidi" w:hAnsiTheme="majorBidi" w:cstheme="majorBidi"/>
          <w:szCs w:val="24"/>
        </w:rPr>
      </w:pPr>
      <w:r w:rsidRPr="001558DF">
        <w:rPr>
          <w:rFonts w:asciiTheme="majorBidi" w:hAnsiTheme="majorBidi" w:cstheme="majorBidi"/>
          <w:szCs w:val="24"/>
        </w:rPr>
        <w:t xml:space="preserve">Laura </w:t>
      </w:r>
      <w:proofErr w:type="spellStart"/>
      <w:r w:rsidRPr="001558DF">
        <w:rPr>
          <w:rFonts w:asciiTheme="majorBidi" w:hAnsiTheme="majorBidi" w:cstheme="majorBidi"/>
          <w:szCs w:val="24"/>
        </w:rPr>
        <w:t>Calvillo</w:t>
      </w:r>
      <w:r w:rsidRPr="001558DF">
        <w:rPr>
          <w:rFonts w:asciiTheme="majorBidi" w:hAnsiTheme="majorBidi" w:cstheme="majorBidi"/>
          <w:szCs w:val="24"/>
          <w:vertAlign w:val="superscript"/>
        </w:rPr>
        <w:t>a</w:t>
      </w:r>
      <w:proofErr w:type="gramStart"/>
      <w:r w:rsidR="00111EA1" w:rsidRPr="001558DF">
        <w:rPr>
          <w:rFonts w:asciiTheme="majorBidi" w:hAnsiTheme="majorBidi" w:cstheme="majorBidi"/>
          <w:szCs w:val="24"/>
          <w:vertAlign w:val="superscript"/>
        </w:rPr>
        <w:t>,</w:t>
      </w:r>
      <w:r w:rsidR="00F860DF" w:rsidRPr="001558DF">
        <w:rPr>
          <w:rFonts w:asciiTheme="majorBidi" w:hAnsiTheme="majorBidi" w:cstheme="majorBidi"/>
          <w:szCs w:val="24"/>
          <w:vertAlign w:val="superscript"/>
        </w:rPr>
        <w:t>b</w:t>
      </w:r>
      <w:proofErr w:type="spellEnd"/>
      <w:proofErr w:type="gramEnd"/>
      <w:r w:rsidR="00111EA1" w:rsidRPr="001558DF">
        <w:rPr>
          <w:rFonts w:asciiTheme="majorBidi" w:hAnsiTheme="majorBidi" w:cstheme="majorBidi"/>
          <w:szCs w:val="24"/>
          <w:vertAlign w:val="superscript"/>
        </w:rPr>
        <w:t>,</w:t>
      </w:r>
      <w:r w:rsidR="00111EA1" w:rsidRPr="001558DF">
        <w:rPr>
          <w:rStyle w:val="Refdenotaalpie"/>
          <w:rFonts w:asciiTheme="majorBidi" w:hAnsiTheme="majorBidi" w:cstheme="majorBidi"/>
          <w:szCs w:val="24"/>
        </w:rPr>
        <w:t>*</w:t>
      </w:r>
      <w:r w:rsidRPr="001558DF">
        <w:rPr>
          <w:rFonts w:asciiTheme="majorBidi" w:hAnsiTheme="majorBidi" w:cstheme="majorBidi"/>
          <w:szCs w:val="24"/>
        </w:rPr>
        <w:t xml:space="preserve">, </w:t>
      </w:r>
      <w:proofErr w:type="spellStart"/>
      <w:r w:rsidRPr="001558DF">
        <w:rPr>
          <w:rFonts w:asciiTheme="majorBidi" w:hAnsiTheme="majorBidi" w:cstheme="majorBidi"/>
          <w:szCs w:val="24"/>
        </w:rPr>
        <w:t>Lucila</w:t>
      </w:r>
      <w:proofErr w:type="spellEnd"/>
      <w:r w:rsidRPr="001558DF">
        <w:rPr>
          <w:rFonts w:asciiTheme="majorBidi" w:hAnsiTheme="majorBidi" w:cstheme="majorBidi"/>
          <w:szCs w:val="24"/>
        </w:rPr>
        <w:t xml:space="preserve"> Méndez De </w:t>
      </w:r>
      <w:proofErr w:type="spellStart"/>
      <w:r w:rsidRPr="001558DF">
        <w:rPr>
          <w:rFonts w:asciiTheme="majorBidi" w:hAnsiTheme="majorBidi" w:cstheme="majorBidi"/>
          <w:szCs w:val="24"/>
        </w:rPr>
        <w:t>Leo</w:t>
      </w:r>
      <w:r w:rsidR="00F860DF" w:rsidRPr="001558DF">
        <w:rPr>
          <w:rFonts w:asciiTheme="majorBidi" w:hAnsiTheme="majorBidi" w:cstheme="majorBidi"/>
          <w:szCs w:val="24"/>
          <w:vertAlign w:val="superscript"/>
        </w:rPr>
        <w:t>c</w:t>
      </w:r>
      <w:proofErr w:type="spellEnd"/>
      <w:r w:rsidRPr="001558DF">
        <w:rPr>
          <w:rFonts w:asciiTheme="majorBidi" w:hAnsiTheme="majorBidi" w:cstheme="majorBidi"/>
          <w:szCs w:val="24"/>
        </w:rPr>
        <w:t xml:space="preserve">, Stephen </w:t>
      </w:r>
      <w:r w:rsidR="00D3391B" w:rsidRPr="001558DF">
        <w:rPr>
          <w:rFonts w:asciiTheme="majorBidi" w:hAnsiTheme="majorBidi" w:cstheme="majorBidi"/>
          <w:szCs w:val="24"/>
        </w:rPr>
        <w:t xml:space="preserve">J. </w:t>
      </w:r>
      <w:proofErr w:type="spellStart"/>
      <w:r w:rsidRPr="001558DF">
        <w:rPr>
          <w:rFonts w:asciiTheme="majorBidi" w:hAnsiTheme="majorBidi" w:cstheme="majorBidi"/>
          <w:szCs w:val="24"/>
        </w:rPr>
        <w:t>Thom</w:t>
      </w:r>
      <w:r w:rsidR="00667FB2" w:rsidRPr="001558DF">
        <w:rPr>
          <w:rFonts w:asciiTheme="majorBidi" w:hAnsiTheme="majorBidi" w:cstheme="majorBidi"/>
          <w:szCs w:val="24"/>
        </w:rPr>
        <w:t>p</w:t>
      </w:r>
      <w:r w:rsidRPr="001558DF">
        <w:rPr>
          <w:rFonts w:asciiTheme="majorBidi" w:hAnsiTheme="majorBidi" w:cstheme="majorBidi"/>
          <w:szCs w:val="24"/>
        </w:rPr>
        <w:t>son</w:t>
      </w:r>
      <w:r w:rsidRPr="001558DF">
        <w:rPr>
          <w:rFonts w:asciiTheme="majorBidi" w:hAnsiTheme="majorBidi" w:cstheme="majorBidi"/>
          <w:szCs w:val="24"/>
          <w:vertAlign w:val="superscript"/>
        </w:rPr>
        <w:t>a</w:t>
      </w:r>
      <w:proofErr w:type="spellEnd"/>
      <w:r w:rsidRPr="001558DF">
        <w:rPr>
          <w:rFonts w:asciiTheme="majorBidi" w:hAnsiTheme="majorBidi" w:cstheme="majorBidi"/>
          <w:szCs w:val="24"/>
        </w:rPr>
        <w:t xml:space="preserve">, Stephen W. T. </w:t>
      </w:r>
      <w:proofErr w:type="spellStart"/>
      <w:r w:rsidRPr="001558DF">
        <w:rPr>
          <w:rFonts w:asciiTheme="majorBidi" w:hAnsiTheme="majorBidi" w:cstheme="majorBidi"/>
          <w:szCs w:val="24"/>
        </w:rPr>
        <w:t>Price</w:t>
      </w:r>
      <w:r w:rsidRPr="001558DF">
        <w:rPr>
          <w:rFonts w:asciiTheme="majorBidi" w:hAnsiTheme="majorBidi" w:cstheme="majorBidi"/>
          <w:szCs w:val="24"/>
          <w:vertAlign w:val="superscript"/>
        </w:rPr>
        <w:t>a,</w:t>
      </w:r>
      <w:r w:rsidR="00F860DF" w:rsidRPr="001558DF">
        <w:rPr>
          <w:rFonts w:asciiTheme="majorBidi" w:hAnsiTheme="majorBidi" w:cstheme="majorBidi"/>
          <w:szCs w:val="24"/>
          <w:vertAlign w:val="superscript"/>
        </w:rPr>
        <w:t>d</w:t>
      </w:r>
      <w:proofErr w:type="spellEnd"/>
      <w:r w:rsidRPr="001558DF">
        <w:rPr>
          <w:rFonts w:asciiTheme="majorBidi" w:hAnsiTheme="majorBidi" w:cstheme="majorBidi"/>
          <w:szCs w:val="24"/>
        </w:rPr>
        <w:t xml:space="preserve">, Ernesto J. </w:t>
      </w:r>
      <w:proofErr w:type="spellStart"/>
      <w:r w:rsidRPr="001558DF">
        <w:rPr>
          <w:rFonts w:asciiTheme="majorBidi" w:hAnsiTheme="majorBidi" w:cstheme="majorBidi"/>
          <w:szCs w:val="24"/>
        </w:rPr>
        <w:t>Calvo</w:t>
      </w:r>
      <w:r w:rsidR="00F860DF" w:rsidRPr="001558DF">
        <w:rPr>
          <w:rFonts w:asciiTheme="majorBidi" w:hAnsiTheme="majorBidi" w:cstheme="majorBidi"/>
          <w:szCs w:val="24"/>
          <w:vertAlign w:val="superscript"/>
        </w:rPr>
        <w:t>c</w:t>
      </w:r>
      <w:proofErr w:type="spellEnd"/>
      <w:r w:rsidRPr="001558DF">
        <w:rPr>
          <w:rFonts w:asciiTheme="majorBidi" w:hAnsiTheme="majorBidi" w:cstheme="majorBidi"/>
          <w:szCs w:val="24"/>
        </w:rPr>
        <w:t xml:space="preserve">, Andrea E. </w:t>
      </w:r>
      <w:proofErr w:type="spellStart"/>
      <w:r w:rsidRPr="001558DF">
        <w:rPr>
          <w:rFonts w:asciiTheme="majorBidi" w:hAnsiTheme="majorBidi" w:cstheme="majorBidi"/>
          <w:szCs w:val="24"/>
        </w:rPr>
        <w:t>Russell</w:t>
      </w:r>
      <w:r w:rsidRPr="001558DF">
        <w:rPr>
          <w:rFonts w:asciiTheme="majorBidi" w:hAnsiTheme="majorBidi" w:cstheme="majorBidi"/>
          <w:szCs w:val="24"/>
          <w:vertAlign w:val="superscript"/>
        </w:rPr>
        <w:t>a</w:t>
      </w:r>
      <w:proofErr w:type="spellEnd"/>
      <w:r w:rsidR="00111EA1" w:rsidRPr="001558DF">
        <w:rPr>
          <w:rFonts w:asciiTheme="majorBidi" w:hAnsiTheme="majorBidi" w:cstheme="majorBidi"/>
          <w:szCs w:val="24"/>
          <w:vertAlign w:val="superscript"/>
        </w:rPr>
        <w:t>,*</w:t>
      </w:r>
    </w:p>
    <w:p w14:paraId="773BB07A" w14:textId="77777777" w:rsidR="00141E00" w:rsidRPr="001558DF" w:rsidRDefault="00141E00" w:rsidP="00211EE2">
      <w:pPr>
        <w:pStyle w:val="BCAuthorAddress"/>
        <w:spacing w:after="0"/>
        <w:jc w:val="left"/>
      </w:pPr>
      <w:proofErr w:type="spellStart"/>
      <w:proofErr w:type="gramStart"/>
      <w:r w:rsidRPr="001558DF">
        <w:rPr>
          <w:vertAlign w:val="superscript"/>
        </w:rPr>
        <w:t>a</w:t>
      </w:r>
      <w:r w:rsidRPr="001558DF">
        <w:t>Chemistry</w:t>
      </w:r>
      <w:proofErr w:type="spellEnd"/>
      <w:proofErr w:type="gramEnd"/>
      <w:r w:rsidRPr="001558DF">
        <w:t xml:space="preserve">, University of Southampton, </w:t>
      </w:r>
      <w:proofErr w:type="spellStart"/>
      <w:r w:rsidRPr="001558DF">
        <w:t>Highfield</w:t>
      </w:r>
      <w:proofErr w:type="spellEnd"/>
      <w:r w:rsidRPr="001558DF">
        <w:t>, Southampton SO17 1BJ, UK</w:t>
      </w:r>
    </w:p>
    <w:p w14:paraId="0F6FB4DC" w14:textId="4AEB693F" w:rsidR="00F860DF" w:rsidRPr="001558DF" w:rsidRDefault="00F860DF" w:rsidP="00211EE2">
      <w:pPr>
        <w:pStyle w:val="BIEmailAddress"/>
        <w:spacing w:after="0"/>
        <w:rPr>
          <w:lang w:val="it-IT"/>
        </w:rPr>
      </w:pPr>
      <w:r w:rsidRPr="001558DF">
        <w:rPr>
          <w:vertAlign w:val="superscript"/>
          <w:lang w:val="it-IT"/>
        </w:rPr>
        <w:t>b</w:t>
      </w:r>
      <w:r w:rsidRPr="001558DF">
        <w:rPr>
          <w:rFonts w:ascii="Times New Roman" w:hAnsi="Times New Roman"/>
          <w:szCs w:val="24"/>
          <w:lang w:val="it-IT"/>
        </w:rPr>
        <w:t>Dipartimento di Scienze Chimiche, Università di Padova, Via Marzolo 1, 35131, Padova, Italy</w:t>
      </w:r>
    </w:p>
    <w:p w14:paraId="47EE3407" w14:textId="25098997" w:rsidR="00141E00" w:rsidRPr="001558DF" w:rsidRDefault="00F860DF" w:rsidP="00211EE2">
      <w:pPr>
        <w:pStyle w:val="BCAuthorAddress"/>
        <w:spacing w:after="0"/>
        <w:jc w:val="left"/>
        <w:rPr>
          <w:lang w:val="es-ES"/>
        </w:rPr>
      </w:pPr>
      <w:proofErr w:type="spellStart"/>
      <w:proofErr w:type="gramStart"/>
      <w:r w:rsidRPr="001558DF">
        <w:rPr>
          <w:vertAlign w:val="superscript"/>
          <w:lang w:val="es-ES"/>
        </w:rPr>
        <w:t>c</w:t>
      </w:r>
      <w:r w:rsidR="00141E00" w:rsidRPr="001558DF">
        <w:rPr>
          <w:rFonts w:hint="eastAsia"/>
          <w:lang w:val="es-ES"/>
        </w:rPr>
        <w:t>INQUIMAE</w:t>
      </w:r>
      <w:proofErr w:type="spellEnd"/>
      <w:proofErr w:type="gramEnd"/>
      <w:r w:rsidR="00141E00" w:rsidRPr="001558DF">
        <w:rPr>
          <w:rFonts w:hint="eastAsia"/>
          <w:lang w:val="es-ES"/>
        </w:rPr>
        <w:t>, Departamento de Qu</w:t>
      </w:r>
      <w:r w:rsidR="00141E00" w:rsidRPr="001558DF">
        <w:rPr>
          <w:lang w:val="es-ES"/>
        </w:rPr>
        <w:t>í</w:t>
      </w:r>
      <w:r w:rsidR="00141E00" w:rsidRPr="001558DF">
        <w:rPr>
          <w:rFonts w:hint="eastAsia"/>
          <w:lang w:val="es-ES"/>
        </w:rPr>
        <w:t>mica Inorg</w:t>
      </w:r>
      <w:r w:rsidR="00141E00" w:rsidRPr="001558DF">
        <w:rPr>
          <w:lang w:val="es-ES"/>
        </w:rPr>
        <w:t>á</w:t>
      </w:r>
      <w:r w:rsidR="00141E00" w:rsidRPr="001558DF">
        <w:rPr>
          <w:rFonts w:hint="eastAsia"/>
          <w:lang w:val="es-ES"/>
        </w:rPr>
        <w:t>nica, Anal</w:t>
      </w:r>
      <w:r w:rsidR="00141E00" w:rsidRPr="001558DF">
        <w:rPr>
          <w:lang w:val="es-ES"/>
        </w:rPr>
        <w:t>í</w:t>
      </w:r>
      <w:r w:rsidR="00141E00" w:rsidRPr="001558DF">
        <w:rPr>
          <w:rFonts w:hint="eastAsia"/>
          <w:lang w:val="es-ES"/>
        </w:rPr>
        <w:t>tica y Qu</w:t>
      </w:r>
      <w:r w:rsidR="00141E00" w:rsidRPr="001558DF">
        <w:rPr>
          <w:lang w:val="es-ES"/>
        </w:rPr>
        <w:t>í</w:t>
      </w:r>
      <w:r w:rsidR="00141E00" w:rsidRPr="001558DF">
        <w:rPr>
          <w:rFonts w:hint="eastAsia"/>
          <w:lang w:val="es-ES"/>
        </w:rPr>
        <w:t>mica F</w:t>
      </w:r>
      <w:r w:rsidR="00141E00" w:rsidRPr="001558DF">
        <w:rPr>
          <w:lang w:val="es-ES"/>
        </w:rPr>
        <w:t>í</w:t>
      </w:r>
      <w:r w:rsidR="00141E00" w:rsidRPr="001558DF">
        <w:rPr>
          <w:rFonts w:hint="eastAsia"/>
          <w:lang w:val="es-ES"/>
        </w:rPr>
        <w:t>sica, Facultad de Ciencias Exactas y Naturales, Universidad de Buenos Aires, Argentina</w:t>
      </w:r>
    </w:p>
    <w:p w14:paraId="184EC630" w14:textId="0E333F16" w:rsidR="00141E00" w:rsidRPr="001558DF" w:rsidRDefault="00F860DF" w:rsidP="00211EE2">
      <w:pPr>
        <w:pStyle w:val="BCAuthorAddress"/>
        <w:spacing w:after="0"/>
        <w:jc w:val="left"/>
      </w:pPr>
      <w:proofErr w:type="spellStart"/>
      <w:proofErr w:type="gramStart"/>
      <w:r w:rsidRPr="001558DF">
        <w:rPr>
          <w:vertAlign w:val="superscript"/>
        </w:rPr>
        <w:t>d</w:t>
      </w:r>
      <w:r w:rsidR="00141E00" w:rsidRPr="001558DF">
        <w:t>Diamond</w:t>
      </w:r>
      <w:proofErr w:type="spellEnd"/>
      <w:proofErr w:type="gramEnd"/>
      <w:r w:rsidR="00141E00" w:rsidRPr="001558DF">
        <w:t xml:space="preserve"> Light Source Ltd, Harwell Science and Innovation Campus, </w:t>
      </w:r>
      <w:proofErr w:type="spellStart"/>
      <w:r w:rsidR="00141E00" w:rsidRPr="001558DF">
        <w:t>Didcot</w:t>
      </w:r>
      <w:proofErr w:type="spellEnd"/>
      <w:r w:rsidR="00141E00" w:rsidRPr="001558DF">
        <w:t xml:space="preserve"> OX11 </w:t>
      </w:r>
      <w:r w:rsidR="00495BE2" w:rsidRPr="001558DF">
        <w:t>0DE</w:t>
      </w:r>
      <w:r w:rsidR="00141E00" w:rsidRPr="001558DF">
        <w:t>, UK</w:t>
      </w:r>
    </w:p>
    <w:p w14:paraId="1F819789" w14:textId="77777777" w:rsidR="00994F26" w:rsidRPr="001558DF" w:rsidRDefault="00994F26" w:rsidP="00994F26">
      <w:pPr>
        <w:pStyle w:val="FACorrespondingAuthorFootnote"/>
        <w:rPr>
          <w:rFonts w:ascii="Times New Roman" w:hAnsi="Times New Roman"/>
          <w:szCs w:val="24"/>
        </w:rPr>
      </w:pPr>
      <w:r w:rsidRPr="001558DF">
        <w:t>*</w:t>
      </w:r>
      <w:r w:rsidRPr="001558DF">
        <w:rPr>
          <w:rFonts w:asciiTheme="majorBidi" w:hAnsiTheme="majorBidi" w:cstheme="majorBidi"/>
          <w:szCs w:val="24"/>
        </w:rPr>
        <w:t>Tel. +</w:t>
      </w:r>
      <w:r w:rsidRPr="001558DF">
        <w:rPr>
          <w:rFonts w:asciiTheme="majorBidi" w:hAnsiTheme="majorBidi" w:cstheme="majorBidi"/>
          <w:color w:val="000000"/>
          <w:szCs w:val="24"/>
        </w:rPr>
        <w:t>44 2380593306</w:t>
      </w:r>
      <w:r w:rsidRPr="001558DF">
        <w:rPr>
          <w:rFonts w:asciiTheme="majorBidi" w:hAnsiTheme="majorBidi" w:cstheme="majorBidi"/>
          <w:szCs w:val="24"/>
        </w:rPr>
        <w:t xml:space="preserve">, E-mail address: </w:t>
      </w:r>
      <w:hyperlink r:id="rId9" w:history="1">
        <w:r w:rsidRPr="001558DF">
          <w:rPr>
            <w:rStyle w:val="Hipervnculo"/>
            <w:rFonts w:asciiTheme="majorBidi" w:hAnsiTheme="majorBidi" w:cstheme="majorBidi"/>
            <w:szCs w:val="24"/>
          </w:rPr>
          <w:t>a.e.russell@soton.ac.uk</w:t>
        </w:r>
      </w:hyperlink>
      <w:r w:rsidRPr="001558DF">
        <w:rPr>
          <w:rStyle w:val="Hipervnculo"/>
          <w:rFonts w:asciiTheme="majorBidi" w:hAnsiTheme="majorBidi" w:cstheme="majorBidi"/>
          <w:color w:val="000000" w:themeColor="text1"/>
          <w:szCs w:val="24"/>
          <w:u w:val="none"/>
        </w:rPr>
        <w:t xml:space="preserve"> (</w:t>
      </w:r>
      <w:r w:rsidRPr="001558DF">
        <w:rPr>
          <w:rFonts w:asciiTheme="majorBidi" w:hAnsiTheme="majorBidi" w:cstheme="majorBidi"/>
          <w:szCs w:val="24"/>
        </w:rPr>
        <w:t xml:space="preserve">A.E. Russell); Tel. +39 0498275122, E-mail address: </w:t>
      </w:r>
      <w:hyperlink r:id="rId10" w:history="1">
        <w:r w:rsidRPr="001558DF">
          <w:rPr>
            <w:rStyle w:val="Hipervnculo"/>
            <w:rFonts w:asciiTheme="majorBidi" w:hAnsiTheme="majorBidi" w:cstheme="majorBidi"/>
            <w:szCs w:val="24"/>
          </w:rPr>
          <w:t>laura.calvillolamana@unipd.it</w:t>
        </w:r>
      </w:hyperlink>
      <w:r w:rsidRPr="001558DF">
        <w:rPr>
          <w:rFonts w:asciiTheme="majorBidi" w:hAnsiTheme="majorBidi" w:cstheme="majorBidi"/>
          <w:szCs w:val="24"/>
        </w:rPr>
        <w:t xml:space="preserve"> (L. </w:t>
      </w:r>
      <w:proofErr w:type="spellStart"/>
      <w:r w:rsidRPr="001558DF">
        <w:rPr>
          <w:rFonts w:asciiTheme="majorBidi" w:hAnsiTheme="majorBidi" w:cstheme="majorBidi"/>
          <w:szCs w:val="24"/>
        </w:rPr>
        <w:t>Calvillo</w:t>
      </w:r>
      <w:proofErr w:type="spellEnd"/>
      <w:r w:rsidRPr="001558DF">
        <w:rPr>
          <w:rFonts w:asciiTheme="majorBidi" w:hAnsiTheme="majorBidi" w:cstheme="majorBidi"/>
          <w:szCs w:val="24"/>
        </w:rPr>
        <w:t>)</w:t>
      </w:r>
    </w:p>
    <w:p w14:paraId="2115EA85" w14:textId="77777777" w:rsidR="00141E00" w:rsidRPr="001558DF" w:rsidRDefault="00141E00" w:rsidP="00141E00">
      <w:pPr>
        <w:pStyle w:val="BIEmailAddress"/>
      </w:pPr>
    </w:p>
    <w:p w14:paraId="60D2A3F1" w14:textId="77777777" w:rsidR="00683131" w:rsidRPr="001558DF" w:rsidRDefault="00AB34C5" w:rsidP="00683131">
      <w:pPr>
        <w:pStyle w:val="FACorrespondingAuthorFootnote"/>
        <w:spacing w:after="0"/>
        <w:jc w:val="left"/>
      </w:pPr>
      <w:r w:rsidRPr="001558DF">
        <w:t xml:space="preserve">KEYWORDS. </w:t>
      </w:r>
      <w:r w:rsidR="00141E00" w:rsidRPr="001558DF">
        <w:rPr>
          <w:rFonts w:ascii="Times New Roman" w:hAnsi="Times New Roman"/>
          <w:szCs w:val="24"/>
        </w:rPr>
        <w:t xml:space="preserve">Pt-Sn nanostructures, ethanol </w:t>
      </w:r>
      <w:proofErr w:type="spellStart"/>
      <w:r w:rsidR="00141E00" w:rsidRPr="001558DF">
        <w:rPr>
          <w:rFonts w:ascii="Times New Roman" w:hAnsi="Times New Roman"/>
          <w:szCs w:val="24"/>
        </w:rPr>
        <w:t>electrooxidation</w:t>
      </w:r>
      <w:proofErr w:type="spellEnd"/>
      <w:r w:rsidR="00141E00" w:rsidRPr="001558DF">
        <w:rPr>
          <w:rFonts w:ascii="Times New Roman" w:hAnsi="Times New Roman"/>
          <w:szCs w:val="24"/>
        </w:rPr>
        <w:t>, in situ FTIR</w:t>
      </w:r>
      <w:r w:rsidR="00A00053" w:rsidRPr="001558DF">
        <w:rPr>
          <w:rFonts w:ascii="Times New Roman" w:hAnsi="Times New Roman"/>
          <w:szCs w:val="24"/>
        </w:rPr>
        <w:t>S</w:t>
      </w:r>
      <w:r w:rsidR="00141E00" w:rsidRPr="001558DF">
        <w:rPr>
          <w:rFonts w:ascii="Times New Roman" w:hAnsi="Times New Roman"/>
          <w:szCs w:val="24"/>
        </w:rPr>
        <w:t>, in situ XA</w:t>
      </w:r>
      <w:r w:rsidR="00A00053" w:rsidRPr="001558DF">
        <w:rPr>
          <w:rFonts w:ascii="Times New Roman" w:hAnsi="Times New Roman"/>
          <w:szCs w:val="24"/>
        </w:rPr>
        <w:t>F</w:t>
      </w:r>
      <w:r w:rsidR="00141E00" w:rsidRPr="001558DF">
        <w:rPr>
          <w:rFonts w:ascii="Times New Roman" w:hAnsi="Times New Roman"/>
          <w:szCs w:val="24"/>
        </w:rPr>
        <w:t>S, structural stability</w:t>
      </w:r>
    </w:p>
    <w:p w14:paraId="0BE8342A" w14:textId="77777777" w:rsidR="000C05CC" w:rsidRPr="001558DF" w:rsidRDefault="000C05CC" w:rsidP="00E41E8E">
      <w:pPr>
        <w:pStyle w:val="FACorrespondingAuthorFootnote"/>
        <w:spacing w:after="0"/>
        <w:jc w:val="left"/>
      </w:pPr>
    </w:p>
    <w:p w14:paraId="6625DA0A" w14:textId="605297D8" w:rsidR="00683131" w:rsidRPr="001558DF" w:rsidRDefault="00AB34C5" w:rsidP="00E41E8E">
      <w:pPr>
        <w:pStyle w:val="BDAbstract"/>
        <w:spacing w:before="0" w:after="0"/>
        <w:rPr>
          <w:rFonts w:ascii="Times New Roman" w:hAnsi="Times New Roman"/>
          <w:szCs w:val="24"/>
        </w:rPr>
      </w:pPr>
      <w:r w:rsidRPr="001558DF">
        <w:t xml:space="preserve">ABSTRACT. </w:t>
      </w:r>
      <w:r w:rsidR="00266387" w:rsidRPr="001558DF">
        <w:t xml:space="preserve">Nanoparticle catalysts comprising </w:t>
      </w:r>
      <w:r w:rsidR="00266387" w:rsidRPr="001558DF">
        <w:rPr>
          <w:rFonts w:asciiTheme="majorBidi" w:hAnsiTheme="majorBidi" w:cstheme="majorBidi"/>
          <w:szCs w:val="24"/>
        </w:rPr>
        <w:t>t</w:t>
      </w:r>
      <w:r w:rsidR="00A9279D" w:rsidRPr="001558DF">
        <w:rPr>
          <w:rFonts w:asciiTheme="majorBidi" w:hAnsiTheme="majorBidi" w:cstheme="majorBidi"/>
          <w:szCs w:val="24"/>
        </w:rPr>
        <w:t xml:space="preserve">wo </w:t>
      </w:r>
      <w:proofErr w:type="spellStart"/>
      <w:r w:rsidR="00A9279D" w:rsidRPr="001558DF">
        <w:rPr>
          <w:rFonts w:asciiTheme="majorBidi" w:hAnsiTheme="majorBidi" w:cstheme="majorBidi"/>
          <w:szCs w:val="24"/>
        </w:rPr>
        <w:t>PtSn</w:t>
      </w:r>
      <w:proofErr w:type="spellEnd"/>
      <w:r w:rsidR="00A9279D" w:rsidRPr="001558DF">
        <w:rPr>
          <w:rFonts w:asciiTheme="majorBidi" w:hAnsiTheme="majorBidi" w:cstheme="majorBidi"/>
          <w:szCs w:val="24"/>
        </w:rPr>
        <w:t xml:space="preserve"> alloys with different </w:t>
      </w:r>
      <w:proofErr w:type="spellStart"/>
      <w:r w:rsidR="00A9279D" w:rsidRPr="001558DF">
        <w:rPr>
          <w:rFonts w:asciiTheme="majorBidi" w:hAnsiTheme="majorBidi" w:cstheme="majorBidi"/>
          <w:szCs w:val="24"/>
        </w:rPr>
        <w:t>Pt</w:t>
      </w:r>
      <w:proofErr w:type="gramStart"/>
      <w:r w:rsidR="00A9279D" w:rsidRPr="001558DF">
        <w:rPr>
          <w:rFonts w:asciiTheme="majorBidi" w:hAnsiTheme="majorBidi" w:cstheme="majorBidi"/>
          <w:szCs w:val="24"/>
        </w:rPr>
        <w:t>:Sn</w:t>
      </w:r>
      <w:proofErr w:type="spellEnd"/>
      <w:proofErr w:type="gramEnd"/>
      <w:r w:rsidR="00A9279D" w:rsidRPr="001558DF">
        <w:rPr>
          <w:rFonts w:asciiTheme="majorBidi" w:hAnsiTheme="majorBidi" w:cstheme="majorBidi"/>
          <w:szCs w:val="24"/>
        </w:rPr>
        <w:t xml:space="preserve"> atomic ratios and a Sn modified Pt catalyst were prepared in order to study the effect of the particle nanostructures on the activity towards the ethanol </w:t>
      </w:r>
      <w:proofErr w:type="spellStart"/>
      <w:r w:rsidR="00A9279D" w:rsidRPr="001558DF">
        <w:rPr>
          <w:rFonts w:asciiTheme="majorBidi" w:hAnsiTheme="majorBidi" w:cstheme="majorBidi"/>
          <w:szCs w:val="24"/>
        </w:rPr>
        <w:t>electrooxidation</w:t>
      </w:r>
      <w:proofErr w:type="spellEnd"/>
      <w:r w:rsidR="00A9279D" w:rsidRPr="001558DF">
        <w:rPr>
          <w:rFonts w:asciiTheme="majorBidi" w:hAnsiTheme="majorBidi" w:cstheme="majorBidi"/>
          <w:szCs w:val="24"/>
        </w:rPr>
        <w:t xml:space="preserve"> and the selectivity to CO</w:t>
      </w:r>
      <w:r w:rsidR="00A9279D" w:rsidRPr="001558DF">
        <w:rPr>
          <w:rFonts w:asciiTheme="majorBidi" w:hAnsiTheme="majorBidi" w:cstheme="majorBidi"/>
          <w:szCs w:val="24"/>
          <w:vertAlign w:val="subscript"/>
        </w:rPr>
        <w:t>2</w:t>
      </w:r>
      <w:r w:rsidR="00A9279D" w:rsidRPr="001558DF">
        <w:rPr>
          <w:rFonts w:asciiTheme="majorBidi" w:hAnsiTheme="majorBidi" w:cstheme="majorBidi"/>
          <w:szCs w:val="24"/>
        </w:rPr>
        <w:t xml:space="preserve">. An accurate model of the electronic and structural properties, obtained by </w:t>
      </w:r>
      <w:r w:rsidR="00A9279D" w:rsidRPr="001558DF">
        <w:rPr>
          <w:rFonts w:asciiTheme="majorBidi" w:hAnsiTheme="majorBidi" w:cstheme="majorBidi"/>
          <w:i/>
          <w:szCs w:val="24"/>
        </w:rPr>
        <w:t>ex situ</w:t>
      </w:r>
      <w:r w:rsidR="00A9279D" w:rsidRPr="001558DF">
        <w:rPr>
          <w:rFonts w:asciiTheme="majorBidi" w:hAnsiTheme="majorBidi" w:cstheme="majorBidi"/>
          <w:szCs w:val="24"/>
        </w:rPr>
        <w:t xml:space="preserve"> analysis, was </w:t>
      </w:r>
      <w:r w:rsidR="00A9279D" w:rsidRPr="001558DF">
        <w:rPr>
          <w:rFonts w:asciiTheme="majorBidi" w:hAnsiTheme="majorBidi" w:cstheme="majorBidi"/>
          <w:szCs w:val="24"/>
        </w:rPr>
        <w:lastRenderedPageBreak/>
        <w:t xml:space="preserve">established. Alloying of Sn with Pt causes the expansion of the lattice parameter of Pt and modifies its electronic structure. In contrast, the deposition of Sn on the Pt surface has neither effect. The activity of the catalysts towards ethanol oxidation was established </w:t>
      </w:r>
      <w:proofErr w:type="spellStart"/>
      <w:r w:rsidR="00A9279D" w:rsidRPr="001558DF">
        <w:rPr>
          <w:rFonts w:asciiTheme="majorBidi" w:hAnsiTheme="majorBidi" w:cstheme="majorBidi"/>
          <w:szCs w:val="24"/>
        </w:rPr>
        <w:t>voltammetrically</w:t>
      </w:r>
      <w:proofErr w:type="spellEnd"/>
      <w:r w:rsidR="00A9279D" w:rsidRPr="001558DF">
        <w:rPr>
          <w:rFonts w:asciiTheme="majorBidi" w:hAnsiTheme="majorBidi" w:cstheme="majorBidi"/>
          <w:szCs w:val="24"/>
        </w:rPr>
        <w:t xml:space="preserve"> and the CO</w:t>
      </w:r>
      <w:r w:rsidR="00A9279D" w:rsidRPr="001558DF">
        <w:rPr>
          <w:rFonts w:asciiTheme="majorBidi" w:hAnsiTheme="majorBidi" w:cstheme="majorBidi"/>
          <w:szCs w:val="24"/>
          <w:vertAlign w:val="subscript"/>
        </w:rPr>
        <w:t xml:space="preserve">2 </w:t>
      </w:r>
      <w:r w:rsidR="00A9279D" w:rsidRPr="001558DF">
        <w:rPr>
          <w:rFonts w:asciiTheme="majorBidi" w:hAnsiTheme="majorBidi" w:cstheme="majorBidi"/>
          <w:szCs w:val="24"/>
        </w:rPr>
        <w:t xml:space="preserve">selectivity via </w:t>
      </w:r>
      <w:r w:rsidR="00A9279D" w:rsidRPr="001558DF">
        <w:rPr>
          <w:rFonts w:asciiTheme="majorBidi" w:hAnsiTheme="majorBidi" w:cstheme="majorBidi"/>
          <w:i/>
          <w:szCs w:val="24"/>
        </w:rPr>
        <w:t>in situ</w:t>
      </w:r>
      <w:r w:rsidR="00A9279D" w:rsidRPr="001558DF">
        <w:rPr>
          <w:rFonts w:asciiTheme="majorBidi" w:hAnsiTheme="majorBidi" w:cstheme="majorBidi"/>
          <w:szCs w:val="24"/>
        </w:rPr>
        <w:t xml:space="preserve"> Fourier transform infrared spectroscopy (FTIRS). Results indicated that the modification of the electronic environment of Pt in Pt-Sn alloys results in a weaker adsorption of the intermediates (acetaldehyde and acetic acid), which desorb easily from the surface of the catalyst resulting in incomplete oxidation to CO</w:t>
      </w:r>
      <w:r w:rsidR="00A9279D" w:rsidRPr="001558DF">
        <w:rPr>
          <w:rFonts w:asciiTheme="majorBidi" w:hAnsiTheme="majorBidi" w:cstheme="majorBidi"/>
          <w:szCs w:val="24"/>
          <w:vertAlign w:val="subscript"/>
        </w:rPr>
        <w:t>2</w:t>
      </w:r>
      <w:r w:rsidR="00A9279D" w:rsidRPr="001558DF">
        <w:rPr>
          <w:rFonts w:asciiTheme="majorBidi" w:hAnsiTheme="majorBidi" w:cstheme="majorBidi"/>
          <w:szCs w:val="24"/>
        </w:rPr>
        <w:t>. In contrast, when the electronic structure is not perturbed (Sn modified Pt sample), the amount of CO</w:t>
      </w:r>
      <w:r w:rsidR="00A9279D" w:rsidRPr="001558DF">
        <w:rPr>
          <w:rFonts w:asciiTheme="majorBidi" w:hAnsiTheme="majorBidi" w:cstheme="majorBidi"/>
          <w:szCs w:val="24"/>
          <w:vertAlign w:val="subscript"/>
        </w:rPr>
        <w:t>2</w:t>
      </w:r>
      <w:r w:rsidR="00A9279D" w:rsidRPr="001558DF">
        <w:rPr>
          <w:rFonts w:asciiTheme="majorBidi" w:hAnsiTheme="majorBidi" w:cstheme="majorBidi"/>
          <w:szCs w:val="24"/>
        </w:rPr>
        <w:t xml:space="preserve"> produced increases. The stability of the different nanostructures under working conditions was investigated by in situ X-ray absorption spectroscopy (XAS) measurements, which show that initially both the Sn modified Pt and Pt-Sn alloy nanostructures are stable under applied potential in the potential window studied and in presence of ethanol.</w:t>
      </w:r>
      <w:r w:rsidR="00A9279D" w:rsidRPr="001558DF">
        <w:rPr>
          <w:rFonts w:ascii="Times New Roman" w:hAnsi="Times New Roman"/>
          <w:szCs w:val="24"/>
        </w:rPr>
        <w:t xml:space="preserve"> Accelerated aging studies showed that the Sn modified Pt nanostructure remained stable, whereas a significant structural change was observed for the Pt-Sn alloy</w:t>
      </w:r>
      <w:r w:rsidR="00266387" w:rsidRPr="001558DF">
        <w:rPr>
          <w:rFonts w:ascii="Times New Roman" w:hAnsi="Times New Roman"/>
          <w:szCs w:val="24"/>
        </w:rPr>
        <w:t>s</w:t>
      </w:r>
      <w:r w:rsidR="00F94A25" w:rsidRPr="001558DF">
        <w:rPr>
          <w:rFonts w:ascii="Times New Roman" w:hAnsi="Times New Roman"/>
          <w:szCs w:val="24"/>
        </w:rPr>
        <w:t>.</w:t>
      </w:r>
    </w:p>
    <w:p w14:paraId="75460E54" w14:textId="77777777" w:rsidR="00E41E8E" w:rsidRPr="001558DF" w:rsidRDefault="00E41E8E" w:rsidP="00E41E8E">
      <w:pPr>
        <w:pStyle w:val="TAMainText"/>
      </w:pPr>
    </w:p>
    <w:p w14:paraId="552AA6F8" w14:textId="5D07A1F8" w:rsidR="0098548F" w:rsidRPr="001558DF" w:rsidRDefault="0098548F" w:rsidP="00842F5F">
      <w:pPr>
        <w:pStyle w:val="TAMainText"/>
        <w:numPr>
          <w:ilvl w:val="0"/>
          <w:numId w:val="11"/>
        </w:numPr>
        <w:ind w:left="284" w:hanging="284"/>
      </w:pPr>
      <w:r w:rsidRPr="001558DF">
        <w:t>INTRODUCTION</w:t>
      </w:r>
    </w:p>
    <w:p w14:paraId="6054632A" w14:textId="28F88DE8" w:rsidR="000115DE" w:rsidRPr="001558DF" w:rsidRDefault="000115DE" w:rsidP="00842F5F">
      <w:pPr>
        <w:pStyle w:val="TAMainText"/>
        <w:ind w:firstLine="284"/>
        <w:rPr>
          <w:rFonts w:ascii="Times New Roman" w:hAnsi="Times New Roman"/>
        </w:rPr>
      </w:pPr>
      <w:r w:rsidRPr="001558DF">
        <w:rPr>
          <w:rFonts w:ascii="Times New Roman" w:hAnsi="Times New Roman"/>
        </w:rPr>
        <w:t>The design of catalysts that are able to completely oxidize ethanol to CO</w:t>
      </w:r>
      <w:r w:rsidRPr="001558DF">
        <w:rPr>
          <w:rFonts w:ascii="Times New Roman" w:hAnsi="Times New Roman"/>
          <w:vertAlign w:val="subscript"/>
        </w:rPr>
        <w:t>2</w:t>
      </w:r>
      <w:r w:rsidRPr="001558DF">
        <w:rPr>
          <w:rFonts w:ascii="Times New Roman" w:hAnsi="Times New Roman"/>
        </w:rPr>
        <w:t xml:space="preserve"> is an ongoing research challenge. Ethanol contains a C-C bond that is necessary to break in order to achieve its complete oxidation</w:t>
      </w:r>
      <w:r w:rsidRPr="001558DF">
        <w:rPr>
          <w:rFonts w:ascii="Times New Roman" w:hAnsi="Times New Roman"/>
          <w:vertAlign w:val="subscript"/>
        </w:rPr>
        <w:t>.</w:t>
      </w:r>
      <w:r w:rsidRPr="001558DF">
        <w:rPr>
          <w:rFonts w:ascii="Times New Roman" w:hAnsi="Times New Roman"/>
        </w:rPr>
        <w:t xml:space="preserve"> The interest in the ethanol oxidation reaction (EOR) comes from the fact that the use of ethanol as fuel in direct ethanol fuel cells (DEFCs) makes these devices very promising for energy conversion, having the advantages of easier handling, storage and transport of the fuel than gaseous hydrogen</w:t>
      </w:r>
      <w:r w:rsidR="00E16B8E" w:rsidRPr="001558DF">
        <w:rPr>
          <w:rFonts w:ascii="Times New Roman" w:hAnsi="Times New Roman"/>
        </w:rPr>
        <w:t xml:space="preserve"> [</w:t>
      </w:r>
      <w:r w:rsidRPr="001558DF">
        <w:rPr>
          <w:rStyle w:val="Refdenotaalfinal"/>
          <w:rFonts w:ascii="Times New Roman" w:hAnsi="Times New Roman"/>
          <w:szCs w:val="24"/>
          <w:vertAlign w:val="baseline"/>
        </w:rPr>
        <w:endnoteReference w:id="1"/>
      </w:r>
      <w:r w:rsidR="00E16B8E" w:rsidRPr="001558DF">
        <w:rPr>
          <w:rFonts w:ascii="Times New Roman" w:hAnsi="Times New Roman"/>
        </w:rPr>
        <w:t>].</w:t>
      </w:r>
      <w:r w:rsidRPr="001558DF">
        <w:rPr>
          <w:rFonts w:ascii="Times New Roman" w:hAnsi="Times New Roman"/>
          <w:vertAlign w:val="superscript"/>
        </w:rPr>
        <w:t xml:space="preserve"> </w:t>
      </w:r>
      <w:r w:rsidRPr="001558DF">
        <w:rPr>
          <w:rFonts w:ascii="Times New Roman" w:hAnsi="Times New Roman"/>
        </w:rPr>
        <w:t xml:space="preserve">Their use becomes even more advantageous when bioethanol produced from waste biomass is used as a sustainable source of the fuel. </w:t>
      </w:r>
    </w:p>
    <w:p w14:paraId="206D31C1" w14:textId="676FBA92" w:rsidR="000115DE" w:rsidRPr="001558DF" w:rsidRDefault="000115DE" w:rsidP="00842F5F">
      <w:pPr>
        <w:pStyle w:val="TAMainText"/>
        <w:ind w:firstLine="284"/>
        <w:rPr>
          <w:rFonts w:ascii="Times New Roman" w:hAnsi="Times New Roman"/>
        </w:rPr>
      </w:pPr>
      <w:r w:rsidRPr="001558DF">
        <w:rPr>
          <w:rFonts w:ascii="Times New Roman" w:hAnsi="Times New Roman"/>
        </w:rPr>
        <w:lastRenderedPageBreak/>
        <w:t>Ethanol is difficult to oxidize on platinum or platinum alloys supported on carbon materials, which constitute the most common catalysts for DEFCs. Binary and ternary platinum-based catalysts have been tested as electrode materials, but the efficiency and/or durability of systems operating with these catalysts is still insufficient for more demanding practical applications, especially at low temperatures. The overall efficiency of Pt-based electrocatalysts suffers the consequences of effective catalyst poisoning by CO that is an intermediate of the oxidation of any alcohol</w:t>
      </w:r>
      <w:r w:rsidR="00E16B8E" w:rsidRPr="001558DF">
        <w:rPr>
          <w:rFonts w:ascii="Times New Roman" w:hAnsi="Times New Roman"/>
        </w:rPr>
        <w:t xml:space="preserve"> [</w:t>
      </w:r>
      <w:r w:rsidRPr="001558DF">
        <w:rPr>
          <w:rStyle w:val="Refdenotaalfinal"/>
          <w:rFonts w:ascii="Times New Roman" w:hAnsi="Times New Roman"/>
          <w:vertAlign w:val="baseline"/>
        </w:rPr>
        <w:endnoteReference w:id="2"/>
      </w:r>
      <w:r w:rsidRPr="001558DF">
        <w:rPr>
          <w:rFonts w:ascii="Times New Roman" w:hAnsi="Times New Roman"/>
        </w:rPr>
        <w:t>,</w:t>
      </w:r>
      <w:r w:rsidRPr="001558DF">
        <w:rPr>
          <w:rStyle w:val="Refdenotaalfinal"/>
          <w:rFonts w:ascii="Times New Roman" w:hAnsi="Times New Roman"/>
          <w:vertAlign w:val="baseline"/>
        </w:rPr>
        <w:endnoteReference w:id="3"/>
      </w:r>
      <w:r w:rsidR="00E16B8E" w:rsidRPr="001558DF">
        <w:rPr>
          <w:rFonts w:ascii="Times New Roman" w:hAnsi="Times New Roman"/>
        </w:rPr>
        <w:t>].</w:t>
      </w:r>
      <w:r w:rsidRPr="001558DF">
        <w:rPr>
          <w:rFonts w:ascii="Times New Roman" w:hAnsi="Times New Roman"/>
        </w:rPr>
        <w:t xml:space="preserve"> In order to minimize the poisoning effects and to increase the </w:t>
      </w:r>
      <w:proofErr w:type="spellStart"/>
      <w:r w:rsidRPr="001558DF">
        <w:rPr>
          <w:rFonts w:ascii="Times New Roman" w:hAnsi="Times New Roman"/>
        </w:rPr>
        <w:t>electrocatalytic</w:t>
      </w:r>
      <w:proofErr w:type="spellEnd"/>
      <w:r w:rsidRPr="001558DF">
        <w:rPr>
          <w:rFonts w:ascii="Times New Roman" w:hAnsi="Times New Roman"/>
        </w:rPr>
        <w:t xml:space="preserve"> activity, they are usually modified with </w:t>
      </w:r>
      <w:proofErr w:type="spellStart"/>
      <w:r w:rsidRPr="001558DF">
        <w:rPr>
          <w:rFonts w:ascii="Times New Roman" w:hAnsi="Times New Roman"/>
        </w:rPr>
        <w:t>oxophilic</w:t>
      </w:r>
      <w:proofErr w:type="spellEnd"/>
      <w:r w:rsidRPr="001558DF">
        <w:rPr>
          <w:rFonts w:ascii="Times New Roman" w:hAnsi="Times New Roman"/>
        </w:rPr>
        <w:t xml:space="preserve"> metals such as Ru, Sn, Mo, or Rh</w:t>
      </w:r>
      <w:r w:rsidR="00E16B8E" w:rsidRPr="001558DF">
        <w:rPr>
          <w:rFonts w:ascii="Times New Roman" w:hAnsi="Times New Roman"/>
        </w:rPr>
        <w:t xml:space="preserve"> [</w:t>
      </w:r>
      <w:r w:rsidRPr="001558DF">
        <w:rPr>
          <w:rStyle w:val="Refdenotaalfinal"/>
          <w:rFonts w:ascii="Times New Roman" w:hAnsi="Times New Roman"/>
          <w:vertAlign w:val="baseline"/>
        </w:rPr>
        <w:endnoteReference w:id="4"/>
      </w:r>
      <w:r w:rsidRPr="001558DF">
        <w:rPr>
          <w:rFonts w:ascii="Times New Roman" w:hAnsi="Times New Roman"/>
        </w:rPr>
        <w:t>,</w:t>
      </w:r>
      <w:r w:rsidRPr="001558DF">
        <w:rPr>
          <w:rStyle w:val="Refdenotaalfinal"/>
          <w:rFonts w:ascii="Times New Roman" w:hAnsi="Times New Roman"/>
          <w:vertAlign w:val="baseline"/>
        </w:rPr>
        <w:endnoteReference w:id="5"/>
      </w:r>
      <w:proofErr w:type="gramStart"/>
      <w:r w:rsidRPr="001558DF">
        <w:rPr>
          <w:rFonts w:ascii="Times New Roman" w:hAnsi="Times New Roman"/>
        </w:rPr>
        <w:t>,</w:t>
      </w:r>
      <w:bookmarkStart w:id="3" w:name="_Ref475869050"/>
      <w:proofErr w:type="gramEnd"/>
      <w:r w:rsidRPr="001558DF">
        <w:rPr>
          <w:rStyle w:val="Refdenotaalfinal"/>
          <w:rFonts w:ascii="Times New Roman" w:hAnsi="Times New Roman"/>
          <w:vertAlign w:val="baseline"/>
        </w:rPr>
        <w:endnoteReference w:id="6"/>
      </w:r>
      <w:bookmarkEnd w:id="3"/>
      <w:r w:rsidR="00E16B8E" w:rsidRPr="001558DF">
        <w:rPr>
          <w:rFonts w:ascii="Times New Roman" w:hAnsi="Times New Roman"/>
        </w:rPr>
        <w:t>].</w:t>
      </w:r>
      <w:r w:rsidRPr="001558DF">
        <w:rPr>
          <w:rFonts w:ascii="Times New Roman" w:hAnsi="Times New Roman"/>
          <w:vertAlign w:val="superscript"/>
        </w:rPr>
        <w:t xml:space="preserve"> </w:t>
      </w:r>
      <w:r w:rsidRPr="001558DF">
        <w:rPr>
          <w:rFonts w:ascii="Times New Roman" w:hAnsi="Times New Roman"/>
        </w:rPr>
        <w:t xml:space="preserve">Using these catalysts, however, results in high yields of partial oxidation products like acetaldehyde and acetic acid, releasing two and four electrons per ethanol molecule, respectively, and hence generating lower energy conversion efficiency. </w:t>
      </w:r>
    </w:p>
    <w:p w14:paraId="181A7762" w14:textId="4E5970AF" w:rsidR="000115DE" w:rsidRPr="001558DF" w:rsidRDefault="000115DE" w:rsidP="00842F5F">
      <w:pPr>
        <w:pStyle w:val="TAMainText"/>
        <w:ind w:firstLine="284"/>
        <w:rPr>
          <w:rFonts w:ascii="Times New Roman" w:eastAsiaTheme="minorHAnsi" w:hAnsi="Times New Roman"/>
          <w:szCs w:val="24"/>
          <w:lang w:val="en-GB"/>
        </w:rPr>
      </w:pPr>
      <w:r w:rsidRPr="001558DF">
        <w:rPr>
          <w:rFonts w:ascii="Times New Roman" w:hAnsi="Times New Roman"/>
        </w:rPr>
        <w:t>The binary Pt-Sn and ternary Pt-Rh-Sn catalysts are generally considered as the most effective ethanol oxidation reaction (</w:t>
      </w:r>
      <w:r w:rsidRPr="001558DF">
        <w:rPr>
          <w:rFonts w:ascii="Times New Roman" w:hAnsi="Times New Roman"/>
          <w:szCs w:val="24"/>
        </w:rPr>
        <w:t>EOR)</w:t>
      </w:r>
      <w:r w:rsidRPr="001558DF">
        <w:rPr>
          <w:rFonts w:ascii="Times New Roman" w:hAnsi="Times New Roman"/>
        </w:rPr>
        <w:t xml:space="preserve"> catalysts</w:t>
      </w:r>
      <w:bookmarkStart w:id="4" w:name="_Ref475868832"/>
      <w:r w:rsidR="00E16B8E" w:rsidRPr="001558DF">
        <w:rPr>
          <w:rFonts w:ascii="Times New Roman" w:hAnsi="Times New Roman"/>
          <w:szCs w:val="24"/>
        </w:rPr>
        <w:t xml:space="preserve"> [</w:t>
      </w:r>
      <w:r w:rsidRPr="001558DF">
        <w:rPr>
          <w:rFonts w:ascii="Times New Roman" w:hAnsi="Times New Roman"/>
          <w:szCs w:val="24"/>
        </w:rPr>
        <w:fldChar w:fldCharType="begin"/>
      </w:r>
      <w:r w:rsidRPr="001558DF">
        <w:rPr>
          <w:rFonts w:ascii="Times New Roman" w:hAnsi="Times New Roman"/>
          <w:szCs w:val="24"/>
        </w:rPr>
        <w:instrText xml:space="preserve"> NOTEREF _Ref475869050 \h  \* MERGEFORMAT </w:instrText>
      </w:r>
      <w:r w:rsidRPr="001558DF">
        <w:rPr>
          <w:rFonts w:ascii="Times New Roman" w:hAnsi="Times New Roman"/>
          <w:szCs w:val="24"/>
        </w:rPr>
      </w:r>
      <w:r w:rsidRPr="001558DF">
        <w:rPr>
          <w:rFonts w:ascii="Times New Roman" w:hAnsi="Times New Roman"/>
          <w:szCs w:val="24"/>
        </w:rPr>
        <w:fldChar w:fldCharType="separate"/>
      </w:r>
      <w:r w:rsidR="009064D5" w:rsidRPr="001558DF">
        <w:rPr>
          <w:rFonts w:ascii="Times New Roman" w:hAnsi="Times New Roman"/>
          <w:szCs w:val="24"/>
        </w:rPr>
        <w:t>6</w:t>
      </w:r>
      <w:r w:rsidRPr="001558DF">
        <w:rPr>
          <w:rFonts w:ascii="Times New Roman" w:hAnsi="Times New Roman"/>
          <w:szCs w:val="24"/>
        </w:rPr>
        <w:fldChar w:fldCharType="end"/>
      </w:r>
      <w:r w:rsidRPr="001558DF">
        <w:rPr>
          <w:rStyle w:val="Refdenotaalfinal"/>
          <w:rFonts w:ascii="Times New Roman" w:hAnsi="Times New Roman"/>
          <w:szCs w:val="24"/>
          <w:vertAlign w:val="baseline"/>
        </w:rPr>
        <w:t>,</w:t>
      </w:r>
      <w:bookmarkStart w:id="5" w:name="_Ref475979554"/>
      <w:r w:rsidRPr="001558DF">
        <w:rPr>
          <w:rStyle w:val="Refdenotaalfinal"/>
          <w:rFonts w:ascii="Times New Roman" w:hAnsi="Times New Roman"/>
          <w:szCs w:val="24"/>
          <w:vertAlign w:val="baseline"/>
        </w:rPr>
        <w:endnoteReference w:id="7"/>
      </w:r>
      <w:bookmarkEnd w:id="4"/>
      <w:bookmarkEnd w:id="5"/>
      <w:r w:rsidRPr="001558DF">
        <w:rPr>
          <w:rStyle w:val="Refdenotaalfinal"/>
          <w:rFonts w:ascii="Times New Roman" w:hAnsi="Times New Roman"/>
          <w:szCs w:val="24"/>
          <w:vertAlign w:val="baseline"/>
        </w:rPr>
        <w:t>,</w:t>
      </w:r>
      <w:r w:rsidRPr="001558DF">
        <w:rPr>
          <w:rStyle w:val="Refdenotaalfinal"/>
          <w:rFonts w:ascii="Times New Roman" w:hAnsi="Times New Roman"/>
          <w:szCs w:val="24"/>
          <w:vertAlign w:val="baseline"/>
        </w:rPr>
        <w:endnoteReference w:id="8"/>
      </w:r>
      <w:r w:rsidR="00E16B8E" w:rsidRPr="001558DF">
        <w:rPr>
          <w:rStyle w:val="Refdenotaalfinal"/>
          <w:rFonts w:ascii="Times New Roman" w:hAnsi="Times New Roman"/>
          <w:szCs w:val="24"/>
          <w:vertAlign w:val="baseline"/>
        </w:rPr>
        <w:t>].</w:t>
      </w:r>
      <w:r w:rsidRPr="001558DF">
        <w:rPr>
          <w:rFonts w:ascii="Times New Roman" w:hAnsi="Times New Roman"/>
          <w:szCs w:val="24"/>
        </w:rPr>
        <w:t xml:space="preserve"> </w:t>
      </w:r>
      <w:r w:rsidRPr="001558DF">
        <w:rPr>
          <w:rFonts w:ascii="Times New Roman" w:eastAsiaTheme="minorHAnsi" w:hAnsi="Times New Roman"/>
          <w:szCs w:val="24"/>
          <w:lang w:val="en-GB"/>
        </w:rPr>
        <w:t xml:space="preserve">Nevertheless, the origin of the promotion effect due to the presence of Sn in the ethanol oxidation in acidic media is still under debate and contradictions are found in the literature. </w:t>
      </w:r>
      <w:r w:rsidRPr="001558DF">
        <w:rPr>
          <w:rFonts w:ascii="Times New Roman" w:hAnsi="Times New Roman"/>
        </w:rPr>
        <w:t xml:space="preserve">There seems to be an agreement about the positive effect of Sn on the </w:t>
      </w:r>
      <w:proofErr w:type="spellStart"/>
      <w:r w:rsidRPr="001558DF">
        <w:rPr>
          <w:rFonts w:ascii="Times New Roman" w:hAnsi="Times New Roman"/>
        </w:rPr>
        <w:t>electrooxidation</w:t>
      </w:r>
      <w:proofErr w:type="spellEnd"/>
      <w:r w:rsidRPr="001558DF">
        <w:rPr>
          <w:rFonts w:ascii="Times New Roman" w:hAnsi="Times New Roman"/>
        </w:rPr>
        <w:t xml:space="preserve"> of CO due to its capacity to activate water at lower potentials than Pt, providing </w:t>
      </w:r>
      <w:proofErr w:type="spellStart"/>
      <w:r w:rsidRPr="001558DF">
        <w:rPr>
          <w:rFonts w:ascii="Times New Roman" w:hAnsi="Times New Roman"/>
        </w:rPr>
        <w:t>OH</w:t>
      </w:r>
      <w:r w:rsidRPr="001558DF">
        <w:rPr>
          <w:rFonts w:ascii="Times New Roman" w:hAnsi="Times New Roman"/>
          <w:vertAlign w:val="subscript"/>
        </w:rPr>
        <w:t>ads</w:t>
      </w:r>
      <w:proofErr w:type="spellEnd"/>
      <w:r w:rsidRPr="001558DF">
        <w:rPr>
          <w:rFonts w:ascii="Times New Roman" w:hAnsi="Times New Roman"/>
        </w:rPr>
        <w:t xml:space="preserve"> species that help to oxidize the </w:t>
      </w:r>
      <w:proofErr w:type="spellStart"/>
      <w:r w:rsidRPr="001558DF">
        <w:rPr>
          <w:rFonts w:ascii="Times New Roman" w:hAnsi="Times New Roman"/>
        </w:rPr>
        <w:t>CO</w:t>
      </w:r>
      <w:r w:rsidRPr="001558DF">
        <w:rPr>
          <w:rFonts w:ascii="Times New Roman" w:hAnsi="Times New Roman"/>
          <w:vertAlign w:val="subscript"/>
        </w:rPr>
        <w:t>ads</w:t>
      </w:r>
      <w:proofErr w:type="spellEnd"/>
      <w:r w:rsidR="00E16B8E" w:rsidRPr="001558DF">
        <w:rPr>
          <w:rFonts w:ascii="Times New Roman" w:hAnsi="Times New Roman"/>
        </w:rPr>
        <w:t xml:space="preserve"> [</w:t>
      </w:r>
      <w:r w:rsidRPr="001558DF">
        <w:rPr>
          <w:rStyle w:val="Refdenotaalfinal"/>
          <w:rFonts w:ascii="Times New Roman" w:hAnsi="Times New Roman"/>
          <w:vertAlign w:val="baseline"/>
        </w:rPr>
        <w:endnoteReference w:id="9"/>
      </w:r>
      <w:r w:rsidRPr="001558DF">
        <w:rPr>
          <w:rFonts w:ascii="Times New Roman" w:hAnsi="Times New Roman"/>
        </w:rPr>
        <w:t>,</w:t>
      </w:r>
      <w:bookmarkStart w:id="6" w:name="_Ref486349094"/>
      <w:r w:rsidRPr="001558DF">
        <w:rPr>
          <w:rStyle w:val="Refdenotaalfinal"/>
          <w:rFonts w:ascii="Times New Roman" w:hAnsi="Times New Roman"/>
          <w:vertAlign w:val="baseline"/>
        </w:rPr>
        <w:endnoteReference w:id="10"/>
      </w:r>
      <w:bookmarkEnd w:id="6"/>
      <w:r w:rsidRPr="001558DF">
        <w:rPr>
          <w:rFonts w:ascii="Times New Roman" w:hAnsi="Times New Roman"/>
        </w:rPr>
        <w:t>,</w:t>
      </w:r>
      <w:r w:rsidRPr="001558DF">
        <w:rPr>
          <w:rStyle w:val="Refdenotaalfinal"/>
          <w:rFonts w:ascii="Times New Roman" w:hAnsi="Times New Roman"/>
          <w:vertAlign w:val="baseline"/>
        </w:rPr>
        <w:endnoteReference w:id="11"/>
      </w:r>
      <w:r w:rsidR="00E16B8E" w:rsidRPr="001558DF">
        <w:rPr>
          <w:rFonts w:ascii="Times New Roman" w:hAnsi="Times New Roman"/>
        </w:rPr>
        <w:t>].</w:t>
      </w:r>
      <w:r w:rsidRPr="001558DF">
        <w:rPr>
          <w:rFonts w:ascii="Times New Roman" w:hAnsi="Times New Roman"/>
        </w:rPr>
        <w:t xml:space="preserve"> However, contradictory results are reported about the ethanol </w:t>
      </w:r>
      <w:proofErr w:type="spellStart"/>
      <w:r w:rsidRPr="001558DF">
        <w:rPr>
          <w:rFonts w:ascii="Times New Roman" w:hAnsi="Times New Roman"/>
        </w:rPr>
        <w:t>electrooxidation</w:t>
      </w:r>
      <w:proofErr w:type="spellEnd"/>
      <w:r w:rsidRPr="001558DF">
        <w:rPr>
          <w:rFonts w:ascii="Times New Roman" w:hAnsi="Times New Roman"/>
        </w:rPr>
        <w:t xml:space="preserve">, which may be explained by the different </w:t>
      </w:r>
      <w:proofErr w:type="spellStart"/>
      <w:r w:rsidRPr="001558DF">
        <w:rPr>
          <w:rFonts w:ascii="Times New Roman" w:hAnsi="Times New Roman"/>
        </w:rPr>
        <w:t>Pt</w:t>
      </w:r>
      <w:proofErr w:type="gramStart"/>
      <w:r w:rsidRPr="001558DF">
        <w:rPr>
          <w:rFonts w:ascii="Times New Roman" w:hAnsi="Times New Roman"/>
        </w:rPr>
        <w:t>:Sn</w:t>
      </w:r>
      <w:proofErr w:type="spellEnd"/>
      <w:proofErr w:type="gramEnd"/>
      <w:r w:rsidRPr="001558DF">
        <w:rPr>
          <w:rFonts w:ascii="Times New Roman" w:hAnsi="Times New Roman"/>
        </w:rPr>
        <w:t xml:space="preserve"> ratio and Pt-Sn crystal structures used in these studies and/or by the extent of </w:t>
      </w:r>
      <w:proofErr w:type="spellStart"/>
      <w:r w:rsidRPr="001558DF">
        <w:rPr>
          <w:rFonts w:ascii="Times New Roman" w:hAnsi="Times New Roman"/>
        </w:rPr>
        <w:t>Pt:Sn</w:t>
      </w:r>
      <w:proofErr w:type="spellEnd"/>
      <w:r w:rsidRPr="001558DF">
        <w:rPr>
          <w:rFonts w:ascii="Times New Roman" w:hAnsi="Times New Roman"/>
        </w:rPr>
        <w:t xml:space="preserve"> alloying/mixing. </w:t>
      </w:r>
      <w:r w:rsidRPr="001558DF">
        <w:rPr>
          <w:rFonts w:ascii="Times New Roman" w:eastAsiaTheme="minorHAnsi" w:hAnsi="Times New Roman"/>
          <w:szCs w:val="24"/>
          <w:lang w:val="en-GB"/>
        </w:rPr>
        <w:t xml:space="preserve">For example, </w:t>
      </w:r>
      <w:proofErr w:type="spellStart"/>
      <w:r w:rsidRPr="001558DF">
        <w:rPr>
          <w:rFonts w:ascii="Times New Roman" w:eastAsiaTheme="minorHAnsi" w:hAnsi="Times New Roman"/>
          <w:szCs w:val="24"/>
          <w:lang w:val="en-GB"/>
        </w:rPr>
        <w:t>López</w:t>
      </w:r>
      <w:proofErr w:type="spellEnd"/>
      <w:r w:rsidRPr="001558DF">
        <w:rPr>
          <w:rFonts w:ascii="Times New Roman" w:eastAsiaTheme="minorHAnsi" w:hAnsi="Times New Roman"/>
          <w:szCs w:val="24"/>
          <w:lang w:val="en-GB"/>
        </w:rPr>
        <w:t xml:space="preserve">-Suarez et al. state that the oxidation state of Sn, the Pt-Sn alloy formation </w:t>
      </w:r>
      <w:r w:rsidR="00266387" w:rsidRPr="001558DF">
        <w:rPr>
          <w:rFonts w:ascii="Times New Roman" w:eastAsiaTheme="minorHAnsi" w:hAnsi="Times New Roman"/>
          <w:szCs w:val="24"/>
          <w:lang w:val="en-GB"/>
        </w:rPr>
        <w:t xml:space="preserve">and </w:t>
      </w:r>
      <w:r w:rsidRPr="001558DF">
        <w:rPr>
          <w:rFonts w:ascii="Times New Roman" w:eastAsiaTheme="minorHAnsi" w:hAnsi="Times New Roman"/>
          <w:szCs w:val="24"/>
          <w:lang w:val="en-GB"/>
        </w:rPr>
        <w:t xml:space="preserve">the </w:t>
      </w:r>
      <w:proofErr w:type="spellStart"/>
      <w:r w:rsidRPr="001558DF">
        <w:rPr>
          <w:rFonts w:ascii="Times New Roman" w:eastAsiaTheme="minorHAnsi" w:hAnsi="Times New Roman"/>
          <w:szCs w:val="24"/>
          <w:lang w:val="en-GB"/>
        </w:rPr>
        <w:t>Pt:Sn</w:t>
      </w:r>
      <w:proofErr w:type="spellEnd"/>
      <w:r w:rsidRPr="001558DF">
        <w:rPr>
          <w:rFonts w:ascii="Times New Roman" w:eastAsiaTheme="minorHAnsi" w:hAnsi="Times New Roman"/>
          <w:szCs w:val="24"/>
          <w:lang w:val="en-GB"/>
        </w:rPr>
        <w:t xml:space="preserve"> atomic ratio have a minimal influence on the catalytic activity of </w:t>
      </w:r>
      <w:proofErr w:type="spellStart"/>
      <w:r w:rsidRPr="001558DF">
        <w:rPr>
          <w:rFonts w:ascii="Times New Roman" w:eastAsiaTheme="minorHAnsi" w:hAnsi="Times New Roman"/>
          <w:szCs w:val="24"/>
          <w:lang w:val="en-GB"/>
        </w:rPr>
        <w:t>PtSn</w:t>
      </w:r>
      <w:proofErr w:type="spellEnd"/>
      <w:r w:rsidRPr="001558DF">
        <w:rPr>
          <w:rFonts w:ascii="Times New Roman" w:eastAsiaTheme="minorHAnsi" w:hAnsi="Times New Roman"/>
          <w:szCs w:val="24"/>
          <w:lang w:val="en-GB"/>
        </w:rPr>
        <w:t>/C materials</w:t>
      </w:r>
      <w:r w:rsidR="00E16B8E" w:rsidRPr="001558DF">
        <w:rPr>
          <w:rFonts w:ascii="Times New Roman" w:eastAsiaTheme="minorHAnsi" w:hAnsi="Times New Roman"/>
          <w:szCs w:val="24"/>
          <w:lang w:val="en-GB"/>
        </w:rPr>
        <w:t xml:space="preserve"> [</w:t>
      </w:r>
      <w:r w:rsidRPr="001558DF">
        <w:rPr>
          <w:rStyle w:val="Refdenotaalfinal"/>
          <w:rFonts w:ascii="Times New Roman" w:eastAsiaTheme="minorHAnsi" w:hAnsi="Times New Roman"/>
          <w:szCs w:val="24"/>
          <w:vertAlign w:val="baseline"/>
          <w:lang w:val="en-GB"/>
        </w:rPr>
        <w:endnoteReference w:id="12"/>
      </w:r>
      <w:r w:rsidR="00E16B8E" w:rsidRPr="001558DF">
        <w:rPr>
          <w:rFonts w:ascii="Times New Roman" w:eastAsiaTheme="minorHAnsi" w:hAnsi="Times New Roman"/>
          <w:szCs w:val="24"/>
          <w:lang w:val="en-GB"/>
        </w:rPr>
        <w:t>];</w:t>
      </w:r>
      <w:r w:rsidRPr="001558DF">
        <w:rPr>
          <w:rFonts w:ascii="Times New Roman" w:eastAsiaTheme="minorHAnsi" w:hAnsi="Times New Roman"/>
          <w:szCs w:val="24"/>
          <w:lang w:val="en-GB"/>
        </w:rPr>
        <w:t xml:space="preserve"> whereas Du et al. affirm that the </w:t>
      </w:r>
      <w:proofErr w:type="spellStart"/>
      <w:r w:rsidRPr="001558DF">
        <w:rPr>
          <w:rFonts w:ascii="Times New Roman" w:eastAsiaTheme="minorHAnsi" w:hAnsi="Times New Roman"/>
          <w:szCs w:val="24"/>
          <w:lang w:val="en-GB"/>
        </w:rPr>
        <w:t>Pt:Sn</w:t>
      </w:r>
      <w:proofErr w:type="spellEnd"/>
      <w:r w:rsidRPr="001558DF">
        <w:rPr>
          <w:rFonts w:ascii="Times New Roman" w:eastAsiaTheme="minorHAnsi" w:hAnsi="Times New Roman"/>
          <w:szCs w:val="24"/>
          <w:lang w:val="en-GB"/>
        </w:rPr>
        <w:t xml:space="preserve"> atomic ratio and the crystalline structure of Sn play an important role in the selectivity to CO</w:t>
      </w:r>
      <w:r w:rsidRPr="001558DF">
        <w:rPr>
          <w:rFonts w:ascii="Times New Roman" w:eastAsiaTheme="minorHAnsi" w:hAnsi="Times New Roman"/>
          <w:szCs w:val="24"/>
          <w:vertAlign w:val="subscript"/>
          <w:lang w:val="en-GB"/>
        </w:rPr>
        <w:t>2</w:t>
      </w:r>
      <w:bookmarkStart w:id="7" w:name="_Ref475817723"/>
      <w:r w:rsidR="00E16B8E" w:rsidRPr="001558DF">
        <w:rPr>
          <w:rFonts w:ascii="Times New Roman" w:eastAsiaTheme="minorHAnsi" w:hAnsi="Times New Roman"/>
          <w:szCs w:val="24"/>
          <w:lang w:val="en-GB"/>
        </w:rPr>
        <w:t xml:space="preserve"> [</w:t>
      </w:r>
      <w:r w:rsidRPr="001558DF">
        <w:rPr>
          <w:rStyle w:val="Refdenotaalfinal"/>
          <w:rFonts w:ascii="Times New Roman" w:eastAsiaTheme="minorHAnsi" w:hAnsi="Times New Roman"/>
          <w:szCs w:val="24"/>
          <w:vertAlign w:val="baseline"/>
          <w:lang w:val="en-GB"/>
        </w:rPr>
        <w:endnoteReference w:id="13"/>
      </w:r>
      <w:bookmarkEnd w:id="7"/>
      <w:r w:rsidR="00E16B8E" w:rsidRPr="001558DF">
        <w:rPr>
          <w:rFonts w:ascii="Times New Roman" w:eastAsiaTheme="minorHAnsi" w:hAnsi="Times New Roman"/>
          <w:szCs w:val="24"/>
          <w:lang w:val="en-GB"/>
        </w:rPr>
        <w:t>].</w:t>
      </w:r>
      <w:r w:rsidRPr="001558DF">
        <w:rPr>
          <w:rFonts w:ascii="Times New Roman" w:eastAsiaTheme="minorHAnsi" w:hAnsi="Times New Roman"/>
          <w:szCs w:val="24"/>
          <w:lang w:val="en-GB"/>
        </w:rPr>
        <w:t xml:space="preserve"> </w:t>
      </w:r>
    </w:p>
    <w:p w14:paraId="4A629BE7" w14:textId="05D1A0BC" w:rsidR="000115DE" w:rsidRPr="001558DF" w:rsidRDefault="000115DE" w:rsidP="00842F5F">
      <w:pPr>
        <w:pStyle w:val="TAMainText"/>
        <w:ind w:firstLine="284"/>
        <w:rPr>
          <w:rFonts w:ascii="Times New Roman" w:hAnsi="Times New Roman"/>
        </w:rPr>
      </w:pPr>
      <w:r w:rsidRPr="001558DF">
        <w:rPr>
          <w:rFonts w:ascii="Times New Roman" w:hAnsi="Times New Roman"/>
        </w:rPr>
        <w:lastRenderedPageBreak/>
        <w:t>Studies have shown that shape, structure, composition, and architecture are extremely important parameters</w:t>
      </w:r>
      <w:r w:rsidR="00E16B8E" w:rsidRPr="001558DF">
        <w:rPr>
          <w:rFonts w:ascii="Times New Roman" w:hAnsi="Times New Roman"/>
        </w:rPr>
        <w:t xml:space="preserve"> [</w:t>
      </w:r>
      <w:r w:rsidR="00E16B8E" w:rsidRPr="001558DF">
        <w:rPr>
          <w:rStyle w:val="Refdenotaalfinal"/>
          <w:rFonts w:ascii="Times New Roman" w:hAnsi="Times New Roman"/>
          <w:vertAlign w:val="baseline"/>
        </w:rPr>
        <w:endnoteReference w:id="14"/>
      </w:r>
      <w:r w:rsidR="00E16B8E" w:rsidRPr="001558DF">
        <w:rPr>
          <w:rFonts w:ascii="Times New Roman" w:hAnsi="Times New Roman"/>
        </w:rPr>
        <w:t>,</w:t>
      </w:r>
      <w:r w:rsidR="00E16B8E" w:rsidRPr="001558DF">
        <w:rPr>
          <w:rStyle w:val="Refdenotaalfinal"/>
          <w:rFonts w:ascii="Times New Roman" w:hAnsi="Times New Roman"/>
          <w:vertAlign w:val="baseline"/>
        </w:rPr>
        <w:endnoteReference w:id="15"/>
      </w:r>
      <w:r w:rsidR="00E16B8E" w:rsidRPr="001558DF">
        <w:rPr>
          <w:rFonts w:ascii="Times New Roman" w:hAnsi="Times New Roman"/>
        </w:rPr>
        <w:t>]</w:t>
      </w:r>
      <w:r w:rsidRPr="001558DF">
        <w:rPr>
          <w:rFonts w:ascii="Times New Roman" w:hAnsi="Times New Roman"/>
        </w:rPr>
        <w:t xml:space="preserve">, which affect catalytic activities of bimetallic nanostructured materials. Therefore, in order to design more efficient electrocatalysts, further understanding of the effects that the addition of other metals has on the Pt properties as well as relating these effects to catalytic activity, selectivity, and stability is needed. This requires the use of </w:t>
      </w:r>
      <w:r w:rsidRPr="001558DF">
        <w:rPr>
          <w:rFonts w:ascii="Times New Roman" w:hAnsi="Times New Roman"/>
          <w:i/>
        </w:rPr>
        <w:t>in situ</w:t>
      </w:r>
      <w:r w:rsidRPr="001558DF">
        <w:rPr>
          <w:rFonts w:ascii="Times New Roman" w:hAnsi="Times New Roman"/>
        </w:rPr>
        <w:t xml:space="preserve"> techniques to investigate the dependence of the product distribution with the applied potential and to determine </w:t>
      </w:r>
      <w:r w:rsidRPr="001558DF">
        <w:rPr>
          <w:rFonts w:ascii="Times New Roman" w:hAnsi="Times New Roman"/>
          <w:i/>
        </w:rPr>
        <w:t>in situ</w:t>
      </w:r>
      <w:r w:rsidRPr="001558DF">
        <w:rPr>
          <w:rFonts w:ascii="Times New Roman" w:hAnsi="Times New Roman"/>
        </w:rPr>
        <w:t xml:space="preserve"> structural changes induced by the applied electrochemical conditions</w:t>
      </w:r>
      <w:r w:rsidR="006C4159" w:rsidRPr="001558DF">
        <w:rPr>
          <w:rFonts w:ascii="Times New Roman" w:hAnsi="Times New Roman"/>
        </w:rPr>
        <w:t xml:space="preserve"> [</w:t>
      </w:r>
      <w:r w:rsidR="006C4159" w:rsidRPr="001558DF">
        <w:rPr>
          <w:rStyle w:val="Refdenotaalfinal"/>
          <w:rFonts w:ascii="Times New Roman" w:hAnsi="Times New Roman"/>
        </w:rPr>
        <w:endnoteReference w:id="16"/>
      </w:r>
      <w:r w:rsidR="006C4159" w:rsidRPr="001558DF">
        <w:rPr>
          <w:rFonts w:ascii="Times New Roman" w:hAnsi="Times New Roman"/>
        </w:rPr>
        <w:t>]</w:t>
      </w:r>
      <w:r w:rsidRPr="001558DF">
        <w:rPr>
          <w:rFonts w:ascii="Times New Roman" w:hAnsi="Times New Roman"/>
        </w:rPr>
        <w:t xml:space="preserve">. </w:t>
      </w:r>
    </w:p>
    <w:p w14:paraId="4403DAB0" w14:textId="77777777" w:rsidR="0098548F" w:rsidRPr="001558DF" w:rsidRDefault="000115DE" w:rsidP="00842F5F">
      <w:pPr>
        <w:pStyle w:val="TAMainText"/>
      </w:pPr>
      <w:r w:rsidRPr="001558DF">
        <w:rPr>
          <w:rFonts w:ascii="Times New Roman" w:hAnsi="Times New Roman"/>
          <w:bCs/>
          <w:szCs w:val="24"/>
        </w:rPr>
        <w:t>In this work, we have prepared carbon sup</w:t>
      </w:r>
      <w:r w:rsidR="00266387" w:rsidRPr="001558DF">
        <w:rPr>
          <w:rFonts w:ascii="Times New Roman" w:hAnsi="Times New Roman"/>
          <w:bCs/>
          <w:szCs w:val="24"/>
        </w:rPr>
        <w:t>p</w:t>
      </w:r>
      <w:r w:rsidRPr="001558DF">
        <w:rPr>
          <w:rFonts w:ascii="Times New Roman" w:hAnsi="Times New Roman"/>
          <w:bCs/>
          <w:szCs w:val="24"/>
        </w:rPr>
        <w:t>orted Pt-Sn catalysts with different nanostructures, establishing an</w:t>
      </w:r>
      <w:r w:rsidRPr="001558DF">
        <w:rPr>
          <w:rFonts w:asciiTheme="majorBidi" w:hAnsiTheme="majorBidi" w:cstheme="majorBidi"/>
          <w:bCs/>
          <w:szCs w:val="24"/>
        </w:rPr>
        <w:t xml:space="preserve"> accurate model of the electronic and structural properties of each nanostructure using </w:t>
      </w:r>
      <w:r w:rsidRPr="001558DF">
        <w:rPr>
          <w:rFonts w:asciiTheme="majorBidi" w:hAnsiTheme="majorBidi" w:cstheme="majorBidi"/>
          <w:bCs/>
          <w:i/>
          <w:szCs w:val="24"/>
        </w:rPr>
        <w:t>ex situ</w:t>
      </w:r>
      <w:r w:rsidRPr="001558DF">
        <w:rPr>
          <w:rFonts w:asciiTheme="majorBidi" w:hAnsiTheme="majorBidi" w:cstheme="majorBidi"/>
          <w:bCs/>
          <w:szCs w:val="24"/>
        </w:rPr>
        <w:t xml:space="preserve"> characterization techniques and verifying that the structures are retained in the electrochemical environment and in the presence of ethanol using </w:t>
      </w:r>
      <w:r w:rsidRPr="001558DF">
        <w:rPr>
          <w:rFonts w:asciiTheme="majorBidi" w:hAnsiTheme="majorBidi" w:cstheme="majorBidi"/>
          <w:bCs/>
          <w:i/>
          <w:szCs w:val="24"/>
        </w:rPr>
        <w:t>in situ</w:t>
      </w:r>
      <w:r w:rsidRPr="001558DF">
        <w:rPr>
          <w:rFonts w:asciiTheme="majorBidi" w:hAnsiTheme="majorBidi" w:cstheme="majorBidi"/>
          <w:bCs/>
          <w:szCs w:val="24"/>
        </w:rPr>
        <w:t xml:space="preserve"> characterization techniques. The EOR activity of each catalyst has been measured using both thin film electrode studies and </w:t>
      </w:r>
      <w:r w:rsidRPr="001558DF">
        <w:rPr>
          <w:rFonts w:asciiTheme="majorBidi" w:hAnsiTheme="majorBidi" w:cstheme="majorBidi"/>
          <w:bCs/>
          <w:i/>
          <w:szCs w:val="24"/>
        </w:rPr>
        <w:t>in situ</w:t>
      </w:r>
      <w:r w:rsidRPr="001558DF">
        <w:rPr>
          <w:rFonts w:asciiTheme="majorBidi" w:hAnsiTheme="majorBidi" w:cstheme="majorBidi"/>
          <w:bCs/>
          <w:szCs w:val="24"/>
        </w:rPr>
        <w:t xml:space="preserve"> FTIRS in order to determine the products obtained. This combined approach enables structure/property relationships to be defined. Finally, the structures of the catalysts, fresh and after potential cycling, have been studied using </w:t>
      </w:r>
      <w:r w:rsidRPr="001558DF">
        <w:rPr>
          <w:rFonts w:asciiTheme="majorBidi" w:hAnsiTheme="majorBidi" w:cstheme="majorBidi"/>
          <w:bCs/>
          <w:i/>
          <w:szCs w:val="24"/>
        </w:rPr>
        <w:t>in situ</w:t>
      </w:r>
      <w:r w:rsidRPr="001558DF">
        <w:rPr>
          <w:rFonts w:asciiTheme="majorBidi" w:hAnsiTheme="majorBidi" w:cstheme="majorBidi"/>
          <w:bCs/>
          <w:szCs w:val="24"/>
        </w:rPr>
        <w:t xml:space="preserve"> XAS, providing the first such comprehensive characterization of both the initial state of the </w:t>
      </w:r>
      <w:proofErr w:type="spellStart"/>
      <w:r w:rsidRPr="001558DF">
        <w:rPr>
          <w:rFonts w:asciiTheme="majorBidi" w:hAnsiTheme="majorBidi" w:cstheme="majorBidi"/>
          <w:bCs/>
          <w:szCs w:val="24"/>
        </w:rPr>
        <w:t>PtSn</w:t>
      </w:r>
      <w:proofErr w:type="spellEnd"/>
      <w:r w:rsidRPr="001558DF">
        <w:rPr>
          <w:rFonts w:asciiTheme="majorBidi" w:hAnsiTheme="majorBidi" w:cstheme="majorBidi"/>
          <w:bCs/>
          <w:szCs w:val="24"/>
        </w:rPr>
        <w:t xml:space="preserve"> nanostructures as well as their long-term structural stability</w:t>
      </w:r>
      <w:r w:rsidR="0098548F" w:rsidRPr="001558DF">
        <w:t xml:space="preserve">. </w:t>
      </w:r>
    </w:p>
    <w:p w14:paraId="62E96FBF" w14:textId="77777777" w:rsidR="000571BB" w:rsidRPr="001558DF" w:rsidRDefault="000571BB" w:rsidP="00842F5F">
      <w:pPr>
        <w:pStyle w:val="TAMainText"/>
      </w:pPr>
    </w:p>
    <w:p w14:paraId="3070DC1D" w14:textId="77777777" w:rsidR="000571BB" w:rsidRPr="001558DF" w:rsidRDefault="000571BB" w:rsidP="00842F5F">
      <w:pPr>
        <w:pStyle w:val="TAMainText"/>
        <w:numPr>
          <w:ilvl w:val="0"/>
          <w:numId w:val="11"/>
        </w:numPr>
        <w:ind w:left="284" w:hanging="284"/>
      </w:pPr>
      <w:r w:rsidRPr="001558DF">
        <w:t>EXPERIMENTAL</w:t>
      </w:r>
    </w:p>
    <w:p w14:paraId="74B90352" w14:textId="6178363E" w:rsidR="000571BB" w:rsidRPr="001558DF" w:rsidRDefault="000571BB" w:rsidP="00842F5F">
      <w:pPr>
        <w:pStyle w:val="TAMainText"/>
        <w:numPr>
          <w:ilvl w:val="1"/>
          <w:numId w:val="11"/>
        </w:numPr>
        <w:ind w:left="284" w:hanging="284"/>
      </w:pPr>
      <w:r w:rsidRPr="001558DF">
        <w:t xml:space="preserve">Synthesis of catalysts and preparation of electrodes. </w:t>
      </w:r>
    </w:p>
    <w:p w14:paraId="3A647E57" w14:textId="77777777" w:rsidR="000A4437" w:rsidRPr="001558DF" w:rsidRDefault="000A4437" w:rsidP="000A4437">
      <w:pPr>
        <w:pStyle w:val="TAMainText"/>
        <w:ind w:firstLine="0"/>
        <w:rPr>
          <w:i/>
          <w:iCs/>
        </w:rPr>
      </w:pPr>
      <w:r w:rsidRPr="001558DF">
        <w:rPr>
          <w:i/>
          <w:iCs/>
        </w:rPr>
        <w:t xml:space="preserve">2.1.1 </w:t>
      </w:r>
      <w:r w:rsidR="000571BB" w:rsidRPr="001558DF">
        <w:rPr>
          <w:i/>
          <w:iCs/>
        </w:rPr>
        <w:t xml:space="preserve">Sn modified Pt supported on carbon. </w:t>
      </w:r>
    </w:p>
    <w:p w14:paraId="16658D69" w14:textId="50EEA194" w:rsidR="000A4437" w:rsidRPr="001558DF" w:rsidRDefault="00FB29D2" w:rsidP="000A4437">
      <w:pPr>
        <w:pStyle w:val="TAMainText"/>
        <w:ind w:firstLine="0"/>
      </w:pPr>
      <w:r w:rsidRPr="001558DF">
        <w:rPr>
          <w:rFonts w:asciiTheme="majorBidi" w:hAnsiTheme="majorBidi" w:cstheme="majorBidi"/>
          <w:szCs w:val="24"/>
        </w:rPr>
        <w:lastRenderedPageBreak/>
        <w:t xml:space="preserve">The commercial </w:t>
      </w:r>
      <w:r w:rsidR="00266387" w:rsidRPr="001558DF">
        <w:rPr>
          <w:rFonts w:asciiTheme="majorBidi" w:hAnsiTheme="majorBidi" w:cstheme="majorBidi"/>
          <w:szCs w:val="24"/>
        </w:rPr>
        <w:t xml:space="preserve">20 </w:t>
      </w:r>
      <w:proofErr w:type="spellStart"/>
      <w:r w:rsidR="00266387" w:rsidRPr="001558DF">
        <w:rPr>
          <w:rFonts w:asciiTheme="majorBidi" w:hAnsiTheme="majorBidi" w:cstheme="majorBidi"/>
          <w:szCs w:val="24"/>
        </w:rPr>
        <w:t>wt</w:t>
      </w:r>
      <w:proofErr w:type="spellEnd"/>
      <w:r w:rsidR="00266387" w:rsidRPr="001558DF">
        <w:rPr>
          <w:rFonts w:asciiTheme="majorBidi" w:hAnsiTheme="majorBidi" w:cstheme="majorBidi"/>
          <w:szCs w:val="24"/>
        </w:rPr>
        <w:t xml:space="preserve">% </w:t>
      </w:r>
      <w:r w:rsidRPr="001558DF">
        <w:rPr>
          <w:rFonts w:asciiTheme="majorBidi" w:hAnsiTheme="majorBidi" w:cstheme="majorBidi"/>
          <w:szCs w:val="24"/>
        </w:rPr>
        <w:t>Pt/C catalyst from Johnson Matthey, labelled as Pt/C-JM, was modified with one monolayer of Sn. 27.7 mg of SnCl</w:t>
      </w:r>
      <w:r w:rsidRPr="001558DF">
        <w:rPr>
          <w:rFonts w:asciiTheme="majorBidi" w:hAnsiTheme="majorBidi" w:cstheme="majorBidi"/>
          <w:szCs w:val="24"/>
          <w:vertAlign w:val="subscript"/>
        </w:rPr>
        <w:t>2</w:t>
      </w:r>
      <w:r w:rsidRPr="001558DF">
        <w:rPr>
          <w:rFonts w:asciiTheme="majorBidi" w:hAnsiTheme="majorBidi" w:cstheme="majorBidi"/>
          <w:szCs w:val="24"/>
        </w:rPr>
        <w:t>·2H</w:t>
      </w:r>
      <w:r w:rsidRPr="001558DF">
        <w:rPr>
          <w:rFonts w:asciiTheme="majorBidi" w:hAnsiTheme="majorBidi" w:cstheme="majorBidi"/>
          <w:szCs w:val="24"/>
          <w:vertAlign w:val="subscript"/>
        </w:rPr>
        <w:t>2</w:t>
      </w:r>
      <w:r w:rsidRPr="001558DF">
        <w:rPr>
          <w:rFonts w:asciiTheme="majorBidi" w:hAnsiTheme="majorBidi" w:cstheme="majorBidi"/>
          <w:szCs w:val="24"/>
        </w:rPr>
        <w:t>O were dissolved in 30 mL of ultrapure water and subsequently added dropwise under sonication to a Pt/C-JM dispersion, which was prepared by the dissolution of 300 mg of Pt/C-JM catalyst in 30</w:t>
      </w:r>
      <w:r w:rsidR="00266387" w:rsidRPr="001558DF">
        <w:rPr>
          <w:rFonts w:asciiTheme="majorBidi" w:hAnsiTheme="majorBidi" w:cstheme="majorBidi"/>
          <w:szCs w:val="24"/>
        </w:rPr>
        <w:t> </w:t>
      </w:r>
      <w:r w:rsidRPr="001558DF">
        <w:rPr>
          <w:rFonts w:asciiTheme="majorBidi" w:hAnsiTheme="majorBidi" w:cstheme="majorBidi"/>
          <w:szCs w:val="24"/>
        </w:rPr>
        <w:t>mL of ultrapure water. After 30 min, an aqueous solution of NaBH</w:t>
      </w:r>
      <w:r w:rsidRPr="001558DF">
        <w:rPr>
          <w:rFonts w:asciiTheme="majorBidi" w:hAnsiTheme="majorBidi" w:cstheme="majorBidi"/>
          <w:szCs w:val="24"/>
          <w:vertAlign w:val="subscript"/>
        </w:rPr>
        <w:t>4</w:t>
      </w:r>
      <w:r w:rsidRPr="001558DF">
        <w:rPr>
          <w:rFonts w:asciiTheme="majorBidi" w:hAnsiTheme="majorBidi" w:cstheme="majorBidi"/>
          <w:szCs w:val="24"/>
        </w:rPr>
        <w:t xml:space="preserve"> (Sigma Aldrich, 9.3 mg of NaBH</w:t>
      </w:r>
      <w:r w:rsidRPr="001558DF">
        <w:rPr>
          <w:rFonts w:asciiTheme="majorBidi" w:hAnsiTheme="majorBidi" w:cstheme="majorBidi"/>
          <w:szCs w:val="24"/>
          <w:vertAlign w:val="subscript"/>
        </w:rPr>
        <w:t>4</w:t>
      </w:r>
      <w:r w:rsidRPr="001558DF">
        <w:rPr>
          <w:rFonts w:asciiTheme="majorBidi" w:hAnsiTheme="majorBidi" w:cstheme="majorBidi"/>
          <w:szCs w:val="24"/>
        </w:rPr>
        <w:t xml:space="preserve"> in 40 mL of ultrapure water) was added to the mixture dropwise under sonication. Once the addition of NaBH</w:t>
      </w:r>
      <w:r w:rsidRPr="001558DF">
        <w:rPr>
          <w:rFonts w:asciiTheme="majorBidi" w:hAnsiTheme="majorBidi" w:cstheme="majorBidi"/>
          <w:szCs w:val="24"/>
          <w:vertAlign w:val="subscript"/>
        </w:rPr>
        <w:t>4</w:t>
      </w:r>
      <w:r w:rsidRPr="001558DF">
        <w:rPr>
          <w:rFonts w:asciiTheme="majorBidi" w:hAnsiTheme="majorBidi" w:cstheme="majorBidi"/>
          <w:szCs w:val="24"/>
        </w:rPr>
        <w:t xml:space="preserve"> was completed, the mixture was stirred for 1 hour at room temperature and, finally, the catalyst was filtered, washed with ultrapure water and dried overnight. This Sn modified Pt/C catalyst is labelled as Sn/Pt/C</w:t>
      </w:r>
      <w:r w:rsidR="000571BB" w:rsidRPr="001558DF">
        <w:t>.</w:t>
      </w:r>
    </w:p>
    <w:p w14:paraId="1289EFE4" w14:textId="77777777" w:rsidR="000A4437" w:rsidRPr="001558DF" w:rsidRDefault="000A4437" w:rsidP="000A4437">
      <w:pPr>
        <w:pStyle w:val="TAMainText"/>
        <w:ind w:firstLine="0"/>
        <w:rPr>
          <w:i/>
          <w:iCs/>
        </w:rPr>
      </w:pPr>
      <w:r w:rsidRPr="001558DF">
        <w:rPr>
          <w:i/>
          <w:iCs/>
        </w:rPr>
        <w:t>2.1.2</w:t>
      </w:r>
      <w:r w:rsidRPr="001558DF">
        <w:rPr>
          <w:i/>
          <w:iCs/>
        </w:rPr>
        <w:tab/>
      </w:r>
      <w:r w:rsidR="000571BB" w:rsidRPr="001558DF">
        <w:rPr>
          <w:i/>
          <w:iCs/>
        </w:rPr>
        <w:t xml:space="preserve">Pt-Sn alloy supported on carbon. </w:t>
      </w:r>
    </w:p>
    <w:p w14:paraId="10F15C94" w14:textId="6DB97996" w:rsidR="000A4437" w:rsidRPr="001558DF" w:rsidRDefault="00FB29D2" w:rsidP="000A4437">
      <w:pPr>
        <w:pStyle w:val="TAMainText"/>
        <w:ind w:firstLine="0"/>
      </w:pPr>
      <w:r w:rsidRPr="001558DF">
        <w:rPr>
          <w:rFonts w:asciiTheme="majorBidi" w:hAnsiTheme="majorBidi" w:cstheme="majorBidi"/>
          <w:szCs w:val="24"/>
        </w:rPr>
        <w:t xml:space="preserve">Two Pt-Sn alloys supported on carbon were prepared by the </w:t>
      </w:r>
      <w:r w:rsidR="00B272A7" w:rsidRPr="001558DF">
        <w:rPr>
          <w:rFonts w:asciiTheme="majorBidi" w:hAnsiTheme="majorBidi" w:cstheme="majorBidi"/>
          <w:szCs w:val="24"/>
        </w:rPr>
        <w:t>polyol method [</w:t>
      </w:r>
      <w:r w:rsidRPr="001558DF">
        <w:rPr>
          <w:rStyle w:val="Refdenotaalfinal"/>
          <w:rFonts w:asciiTheme="majorBidi" w:hAnsiTheme="majorBidi" w:cstheme="majorBidi"/>
          <w:szCs w:val="24"/>
          <w:vertAlign w:val="baseline"/>
        </w:rPr>
        <w:endnoteReference w:id="17"/>
      </w:r>
      <w:r w:rsidR="00B272A7" w:rsidRPr="001558DF">
        <w:rPr>
          <w:rFonts w:asciiTheme="majorBidi" w:hAnsiTheme="majorBidi" w:cstheme="majorBidi"/>
          <w:szCs w:val="24"/>
        </w:rPr>
        <w:t>],</w:t>
      </w:r>
      <w:r w:rsidRPr="001558DF">
        <w:rPr>
          <w:rFonts w:asciiTheme="majorBidi" w:hAnsiTheme="majorBidi" w:cstheme="majorBidi"/>
          <w:szCs w:val="24"/>
        </w:rPr>
        <w:t xml:space="preserve"> using H</w:t>
      </w:r>
      <w:r w:rsidRPr="001558DF">
        <w:rPr>
          <w:rFonts w:asciiTheme="majorBidi" w:hAnsiTheme="majorBidi" w:cstheme="majorBidi"/>
          <w:szCs w:val="24"/>
          <w:vertAlign w:val="subscript"/>
        </w:rPr>
        <w:t>2</w:t>
      </w:r>
      <w:r w:rsidRPr="001558DF">
        <w:rPr>
          <w:rFonts w:asciiTheme="majorBidi" w:hAnsiTheme="majorBidi" w:cstheme="majorBidi"/>
          <w:szCs w:val="24"/>
        </w:rPr>
        <w:t>PtCl</w:t>
      </w:r>
      <w:r w:rsidRPr="001558DF">
        <w:rPr>
          <w:rFonts w:asciiTheme="majorBidi" w:hAnsiTheme="majorBidi" w:cstheme="majorBidi"/>
          <w:szCs w:val="24"/>
          <w:vertAlign w:val="subscript"/>
        </w:rPr>
        <w:t>6</w:t>
      </w:r>
      <w:r w:rsidRPr="001558DF">
        <w:rPr>
          <w:rFonts w:asciiTheme="majorBidi" w:hAnsiTheme="majorBidi" w:cstheme="majorBidi"/>
          <w:szCs w:val="24"/>
        </w:rPr>
        <w:t xml:space="preserve"> (8 </w:t>
      </w:r>
      <w:r w:rsidR="002165AE" w:rsidRPr="001558DF">
        <w:rPr>
          <w:rFonts w:asciiTheme="majorBidi" w:hAnsiTheme="majorBidi" w:cstheme="majorBidi"/>
          <w:szCs w:val="24"/>
        </w:rPr>
        <w:t>wt</w:t>
      </w:r>
      <w:proofErr w:type="gramStart"/>
      <w:r w:rsidR="002165AE" w:rsidRPr="001558DF">
        <w:rPr>
          <w:rFonts w:asciiTheme="majorBidi" w:hAnsiTheme="majorBidi" w:cstheme="majorBidi"/>
          <w:szCs w:val="24"/>
        </w:rPr>
        <w:t>.</w:t>
      </w:r>
      <w:r w:rsidRPr="001558DF">
        <w:rPr>
          <w:rFonts w:asciiTheme="majorBidi" w:hAnsiTheme="majorBidi" w:cstheme="majorBidi"/>
          <w:szCs w:val="24"/>
        </w:rPr>
        <w:t>%</w:t>
      </w:r>
      <w:proofErr w:type="gramEnd"/>
      <w:r w:rsidRPr="001558DF">
        <w:rPr>
          <w:rFonts w:asciiTheme="majorBidi" w:hAnsiTheme="majorBidi" w:cstheme="majorBidi"/>
          <w:szCs w:val="24"/>
        </w:rPr>
        <w:t>, Sigma-Aldrich) and SnCl</w:t>
      </w:r>
      <w:r w:rsidRPr="001558DF">
        <w:rPr>
          <w:rFonts w:asciiTheme="majorBidi" w:hAnsiTheme="majorBidi" w:cstheme="majorBidi"/>
          <w:szCs w:val="24"/>
          <w:vertAlign w:val="subscript"/>
        </w:rPr>
        <w:t>2</w:t>
      </w:r>
      <w:r w:rsidRPr="001558DF">
        <w:rPr>
          <w:rFonts w:asciiTheme="majorBidi" w:hAnsiTheme="majorBidi" w:cstheme="majorBidi"/>
          <w:szCs w:val="24"/>
        </w:rPr>
        <w:t>·2H</w:t>
      </w:r>
      <w:r w:rsidRPr="001558DF">
        <w:rPr>
          <w:rFonts w:asciiTheme="majorBidi" w:hAnsiTheme="majorBidi" w:cstheme="majorBidi"/>
          <w:szCs w:val="24"/>
          <w:vertAlign w:val="subscript"/>
        </w:rPr>
        <w:t>2</w:t>
      </w:r>
      <w:r w:rsidRPr="001558DF">
        <w:rPr>
          <w:rFonts w:asciiTheme="majorBidi" w:hAnsiTheme="majorBidi" w:cstheme="majorBidi"/>
          <w:szCs w:val="24"/>
        </w:rPr>
        <w:t>O (Sigma Aldrich) as metal precursors. The synthesis process involved the dissolution of both metal precursors in 60</w:t>
      </w:r>
      <w:r w:rsidR="00266387" w:rsidRPr="001558DF">
        <w:rPr>
          <w:rFonts w:asciiTheme="majorBidi" w:hAnsiTheme="majorBidi" w:cstheme="majorBidi"/>
          <w:szCs w:val="24"/>
        </w:rPr>
        <w:t> </w:t>
      </w:r>
      <w:r w:rsidRPr="001558DF">
        <w:rPr>
          <w:rFonts w:asciiTheme="majorBidi" w:hAnsiTheme="majorBidi" w:cstheme="majorBidi"/>
          <w:szCs w:val="24"/>
        </w:rPr>
        <w:t xml:space="preserve">mL of ethylene glycol (EG) under sonication conditions. The amount of </w:t>
      </w:r>
      <w:r w:rsidR="00266387" w:rsidRPr="001558DF">
        <w:rPr>
          <w:rFonts w:asciiTheme="majorBidi" w:hAnsiTheme="majorBidi" w:cstheme="majorBidi"/>
          <w:szCs w:val="24"/>
        </w:rPr>
        <w:t xml:space="preserve">each of the </w:t>
      </w:r>
      <w:r w:rsidRPr="001558DF">
        <w:rPr>
          <w:rFonts w:asciiTheme="majorBidi" w:hAnsiTheme="majorBidi" w:cstheme="majorBidi"/>
          <w:szCs w:val="24"/>
        </w:rPr>
        <w:t xml:space="preserve">metal precursors was </w:t>
      </w:r>
      <w:r w:rsidR="00266387" w:rsidRPr="001558DF">
        <w:rPr>
          <w:rFonts w:asciiTheme="majorBidi" w:hAnsiTheme="majorBidi" w:cstheme="majorBidi"/>
          <w:szCs w:val="24"/>
        </w:rPr>
        <w:t xml:space="preserve">that </w:t>
      </w:r>
      <w:r w:rsidRPr="001558DF">
        <w:rPr>
          <w:rFonts w:asciiTheme="majorBidi" w:hAnsiTheme="majorBidi" w:cstheme="majorBidi"/>
          <w:szCs w:val="24"/>
        </w:rPr>
        <w:t xml:space="preserve">necessary to obtain Pt:Sn atomic ratios of 3:1 and 1:1 and a total metal loading of 20 wt.%. Then, the pH was adjusted to 11 using a 1 M NaOH solution (in EG) and 240 mg of carbon (Vulcan XC-72R) </w:t>
      </w:r>
      <w:r w:rsidR="00266387" w:rsidRPr="001558DF">
        <w:rPr>
          <w:rFonts w:asciiTheme="majorBidi" w:hAnsiTheme="majorBidi" w:cstheme="majorBidi"/>
          <w:szCs w:val="24"/>
        </w:rPr>
        <w:t xml:space="preserve">was </w:t>
      </w:r>
      <w:r w:rsidRPr="001558DF">
        <w:rPr>
          <w:rFonts w:asciiTheme="majorBidi" w:hAnsiTheme="majorBidi" w:cstheme="majorBidi"/>
          <w:szCs w:val="24"/>
        </w:rPr>
        <w:t>added and maintained under sonication for 15 min. Subsequently, the system was refluxed at 195 °C for 2 h and then quickly cooled in a cold water bath. Finally, the catalysts were filtered, washed with ultrapure water and dried overnight. The materials obtained are labelled as Pt</w:t>
      </w:r>
      <w:r w:rsidRPr="001558DF">
        <w:rPr>
          <w:rFonts w:asciiTheme="majorBidi" w:hAnsiTheme="majorBidi" w:cstheme="majorBidi"/>
          <w:szCs w:val="24"/>
          <w:vertAlign w:val="subscript"/>
        </w:rPr>
        <w:t>3</w:t>
      </w:r>
      <w:r w:rsidRPr="001558DF">
        <w:rPr>
          <w:rFonts w:asciiTheme="majorBidi" w:hAnsiTheme="majorBidi" w:cstheme="majorBidi"/>
          <w:szCs w:val="24"/>
        </w:rPr>
        <w:t>Sn</w:t>
      </w:r>
      <w:r w:rsidRPr="001558DF">
        <w:rPr>
          <w:rFonts w:asciiTheme="majorBidi" w:hAnsiTheme="majorBidi" w:cstheme="majorBidi"/>
          <w:szCs w:val="24"/>
          <w:vertAlign w:val="subscript"/>
        </w:rPr>
        <w:t>1</w:t>
      </w:r>
      <w:r w:rsidRPr="001558DF">
        <w:rPr>
          <w:rFonts w:asciiTheme="majorBidi" w:hAnsiTheme="majorBidi" w:cstheme="majorBidi"/>
          <w:szCs w:val="24"/>
        </w:rPr>
        <w:t>/C and Pt</w:t>
      </w:r>
      <w:r w:rsidRPr="001558DF">
        <w:rPr>
          <w:rFonts w:asciiTheme="majorBidi" w:hAnsiTheme="majorBidi" w:cstheme="majorBidi"/>
          <w:szCs w:val="24"/>
          <w:vertAlign w:val="subscript"/>
        </w:rPr>
        <w:t>1</w:t>
      </w:r>
      <w:r w:rsidRPr="001558DF">
        <w:rPr>
          <w:rFonts w:asciiTheme="majorBidi" w:hAnsiTheme="majorBidi" w:cstheme="majorBidi"/>
          <w:szCs w:val="24"/>
        </w:rPr>
        <w:t>Sn</w:t>
      </w:r>
      <w:r w:rsidRPr="001558DF">
        <w:rPr>
          <w:rFonts w:asciiTheme="majorBidi" w:hAnsiTheme="majorBidi" w:cstheme="majorBidi"/>
          <w:szCs w:val="24"/>
          <w:vertAlign w:val="subscript"/>
        </w:rPr>
        <w:t>1</w:t>
      </w:r>
      <w:r w:rsidRPr="001558DF">
        <w:rPr>
          <w:rFonts w:asciiTheme="majorBidi" w:hAnsiTheme="majorBidi" w:cstheme="majorBidi"/>
          <w:szCs w:val="24"/>
        </w:rPr>
        <w:t>/C</w:t>
      </w:r>
      <w:r w:rsidR="000571BB" w:rsidRPr="001558DF">
        <w:t>.</w:t>
      </w:r>
    </w:p>
    <w:p w14:paraId="468F5574" w14:textId="77777777" w:rsidR="000A4437" w:rsidRPr="001558DF" w:rsidRDefault="000A4437" w:rsidP="000A4437">
      <w:pPr>
        <w:pStyle w:val="TAMainText"/>
        <w:ind w:firstLine="0"/>
      </w:pPr>
      <w:r w:rsidRPr="001558DF">
        <w:rPr>
          <w:i/>
        </w:rPr>
        <w:t>2.1.3</w:t>
      </w:r>
      <w:r w:rsidRPr="001558DF">
        <w:rPr>
          <w:i/>
        </w:rPr>
        <w:tab/>
      </w:r>
      <w:r w:rsidR="000571BB" w:rsidRPr="001558DF">
        <w:rPr>
          <w:i/>
        </w:rPr>
        <w:t>Electrodes.</w:t>
      </w:r>
      <w:r w:rsidR="000571BB" w:rsidRPr="001558DF">
        <w:t xml:space="preserve"> </w:t>
      </w:r>
    </w:p>
    <w:p w14:paraId="200B9A39" w14:textId="03CE24C7" w:rsidR="000571BB" w:rsidRPr="001558DF" w:rsidRDefault="00FB29D2" w:rsidP="000A4437">
      <w:pPr>
        <w:pStyle w:val="TAMainText"/>
        <w:ind w:firstLine="0"/>
      </w:pPr>
      <w:r w:rsidRPr="001558DF">
        <w:rPr>
          <w:rFonts w:asciiTheme="majorBidi" w:hAnsiTheme="majorBidi" w:cstheme="majorBidi"/>
          <w:szCs w:val="24"/>
        </w:rPr>
        <w:t>Electrodes of the Pt-Sn catalyst materials were manufactured by painting Nafion-based inks on to carbon paper (TGP-H-60) with a final Pt loading of 0.6 mg Pt cm</w:t>
      </w:r>
      <w:r w:rsidRPr="001558DF">
        <w:rPr>
          <w:rFonts w:asciiTheme="majorBidi" w:hAnsiTheme="majorBidi" w:cstheme="majorBidi"/>
          <w:szCs w:val="24"/>
          <w:vertAlign w:val="superscript"/>
        </w:rPr>
        <w:t>-2</w:t>
      </w:r>
      <w:r w:rsidRPr="001558DF">
        <w:rPr>
          <w:rFonts w:asciiTheme="majorBidi" w:hAnsiTheme="majorBidi" w:cstheme="majorBidi"/>
          <w:szCs w:val="24"/>
        </w:rPr>
        <w:t>. The catalyst inks were prepared by dispersing the catalyst in a mixture of water and Nafion</w:t>
      </w:r>
      <w:r w:rsidRPr="001558DF">
        <w:rPr>
          <w:rFonts w:asciiTheme="majorBidi" w:hAnsiTheme="majorBidi" w:cstheme="majorBidi"/>
          <w:szCs w:val="24"/>
          <w:vertAlign w:val="superscript"/>
        </w:rPr>
        <w:t>®</w:t>
      </w:r>
      <w:r w:rsidRPr="001558DF">
        <w:rPr>
          <w:rFonts w:asciiTheme="majorBidi" w:hAnsiTheme="majorBidi" w:cstheme="majorBidi"/>
          <w:szCs w:val="24"/>
        </w:rPr>
        <w:t xml:space="preserve"> (10.85 wt.% solids in </w:t>
      </w:r>
      <w:r w:rsidRPr="001558DF">
        <w:rPr>
          <w:rFonts w:asciiTheme="majorBidi" w:hAnsiTheme="majorBidi" w:cstheme="majorBidi"/>
          <w:szCs w:val="24"/>
        </w:rPr>
        <w:lastRenderedPageBreak/>
        <w:t>water, Johnson Matthey). The electrodes were then pressed at 180 °C and 1 bar for 3</w:t>
      </w:r>
      <w:r w:rsidR="00266387" w:rsidRPr="001558DF">
        <w:rPr>
          <w:rFonts w:asciiTheme="majorBidi" w:hAnsiTheme="majorBidi" w:cstheme="majorBidi"/>
          <w:szCs w:val="24"/>
        </w:rPr>
        <w:t> </w:t>
      </w:r>
      <w:r w:rsidRPr="001558DF">
        <w:rPr>
          <w:rFonts w:asciiTheme="majorBidi" w:hAnsiTheme="majorBidi" w:cstheme="majorBidi"/>
          <w:szCs w:val="24"/>
        </w:rPr>
        <w:t>min. Circular button electrodes of 1.25 cm</w:t>
      </w:r>
      <w:r w:rsidRPr="001558DF">
        <w:rPr>
          <w:rFonts w:asciiTheme="majorBidi" w:hAnsiTheme="majorBidi" w:cstheme="majorBidi"/>
          <w:szCs w:val="24"/>
          <w:vertAlign w:val="superscript"/>
        </w:rPr>
        <w:t>2</w:t>
      </w:r>
      <w:r w:rsidRPr="001558DF">
        <w:rPr>
          <w:rFonts w:asciiTheme="majorBidi" w:hAnsiTheme="majorBidi" w:cstheme="majorBidi"/>
          <w:szCs w:val="24"/>
        </w:rPr>
        <w:t xml:space="preserve"> area were cut and hydrated in ultra-pure (Purite, 18</w:t>
      </w:r>
      <w:r w:rsidR="00266387" w:rsidRPr="001558DF">
        <w:rPr>
          <w:rFonts w:asciiTheme="majorBidi" w:hAnsiTheme="majorBidi" w:cstheme="majorBidi"/>
          <w:szCs w:val="24"/>
        </w:rPr>
        <w:t> </w:t>
      </w:r>
      <w:r w:rsidRPr="001558DF">
        <w:rPr>
          <w:rFonts w:asciiTheme="majorBidi" w:hAnsiTheme="majorBidi" w:cstheme="majorBidi"/>
          <w:szCs w:val="24"/>
        </w:rPr>
        <w:t>M</w:t>
      </w:r>
      <w:r w:rsidRPr="001558DF">
        <w:rPr>
          <w:rFonts w:asciiTheme="majorBidi" w:hAnsiTheme="majorBidi" w:cstheme="majorBidi"/>
          <w:szCs w:val="24"/>
        </w:rPr>
        <w:sym w:font="Symbol" w:char="F057"/>
      </w:r>
      <w:r w:rsidRPr="001558DF">
        <w:rPr>
          <w:rFonts w:asciiTheme="majorBidi" w:hAnsiTheme="majorBidi" w:cstheme="majorBidi"/>
          <w:szCs w:val="24"/>
        </w:rPr>
        <w:t xml:space="preserve"> cm) boiling water before their use</w:t>
      </w:r>
      <w:r w:rsidR="000571BB" w:rsidRPr="001558DF">
        <w:t>.</w:t>
      </w:r>
    </w:p>
    <w:p w14:paraId="782850A0" w14:textId="77777777" w:rsidR="000571BB" w:rsidRPr="001558DF" w:rsidRDefault="000571BB" w:rsidP="00842F5F">
      <w:pPr>
        <w:pStyle w:val="TAMainText"/>
      </w:pPr>
    </w:p>
    <w:p w14:paraId="3DA9F4C0" w14:textId="0566F0F9" w:rsidR="00900B2B" w:rsidRPr="001558DF" w:rsidRDefault="000571BB" w:rsidP="00842F5F">
      <w:pPr>
        <w:pStyle w:val="TAMainText"/>
        <w:numPr>
          <w:ilvl w:val="1"/>
          <w:numId w:val="11"/>
        </w:numPr>
        <w:ind w:left="284" w:hanging="284"/>
      </w:pPr>
      <w:r w:rsidRPr="001558DF">
        <w:t xml:space="preserve">Physicochemical characterization. </w:t>
      </w:r>
    </w:p>
    <w:p w14:paraId="3C1F2F82" w14:textId="77777777" w:rsidR="000571BB" w:rsidRPr="001558DF" w:rsidRDefault="000571BB" w:rsidP="00842F5F">
      <w:pPr>
        <w:pStyle w:val="TAMainText"/>
      </w:pPr>
      <w:r w:rsidRPr="001558DF">
        <w:t>The bulk composition analysis was performed by an energy dispersive spectroscopy (EDX) probe attached to a Philips XL-30 ESEM microscope.</w:t>
      </w:r>
    </w:p>
    <w:p w14:paraId="136E6C31" w14:textId="0295E554" w:rsidR="000571BB" w:rsidRPr="001558DF" w:rsidRDefault="00FB29D2" w:rsidP="00842F5F">
      <w:pPr>
        <w:pStyle w:val="TAMainText"/>
      </w:pPr>
      <w:r w:rsidRPr="001558DF">
        <w:t>Transmission electron microscopy (TEM) was carried out on a JEOL JEM 2100 LaB6 microscope operating at 200 kV, conducted at the Research Complex at the Harwell Campus, UK. In addition, STEM-HAADF images for the Sn/Pt/C and Pt</w:t>
      </w:r>
      <w:r w:rsidRPr="001558DF">
        <w:rPr>
          <w:vertAlign w:val="subscript"/>
        </w:rPr>
        <w:t>3</w:t>
      </w:r>
      <w:r w:rsidRPr="001558DF">
        <w:t>Sn/C catalysts were obtained using a Titan FEI with Cs probe-corrected (1 Å) at the “Laboratorio de Microscopias Avanzadas” at “Instituto de Nanociencia de Aragón - Universidad de Zaragoza”. Energy dispersive X-ray spectroscopy (EDS) measurements with a resolution of 5 eV/channel were recorded in order to obtain the composition profiles for Pt and Sn along the metal nanoparticles</w:t>
      </w:r>
      <w:r w:rsidR="000571BB" w:rsidRPr="001558DF">
        <w:t xml:space="preserve">. </w:t>
      </w:r>
    </w:p>
    <w:p w14:paraId="0E393EBD" w14:textId="29492DBF" w:rsidR="00FB29D2" w:rsidRPr="001558DF" w:rsidRDefault="00FB29D2" w:rsidP="00842F5F">
      <w:pPr>
        <w:pStyle w:val="TAMainText"/>
        <w:ind w:firstLine="284"/>
      </w:pPr>
      <w:r w:rsidRPr="001558DF">
        <w:t>X-ray diffraction (XRD) patterns were recorded using a SuperNova Dual Wavelength diffractometer with θ-θ configuration and operating with Cu Kα radiation (λ = 0.15406 nm) generated at 45 kV and 40 nm. The mean crystallite size along the c direction (</w:t>
      </w:r>
      <w:proofErr w:type="spellStart"/>
      <w:r w:rsidRPr="001558DF">
        <w:t>L</w:t>
      </w:r>
      <w:r w:rsidRPr="001558DF">
        <w:rPr>
          <w:vertAlign w:val="subscript"/>
        </w:rPr>
        <w:t>c</w:t>
      </w:r>
      <w:proofErr w:type="spellEnd"/>
      <w:r w:rsidRPr="001558DF">
        <w:t xml:space="preserve">) of the metal crystallites was calculated using the </w:t>
      </w:r>
      <w:proofErr w:type="spellStart"/>
      <w:r w:rsidRPr="001558DF">
        <w:t>Scherrer</w:t>
      </w:r>
      <w:proofErr w:type="spellEnd"/>
      <w:r w:rsidRPr="001558DF">
        <w:t xml:space="preserve"> equation with a value of k = 0.9 using the </w:t>
      </w:r>
      <w:proofErr w:type="gramStart"/>
      <w:r w:rsidRPr="001558DF">
        <w:t>Pt(</w:t>
      </w:r>
      <w:proofErr w:type="gramEnd"/>
      <w:r w:rsidRPr="001558DF">
        <w:t>220) width peak around 2</w:t>
      </w:r>
      <w:r w:rsidRPr="001558DF">
        <w:sym w:font="Symbol" w:char="F071"/>
      </w:r>
      <w:r w:rsidRPr="001558DF">
        <w:t xml:space="preserve"> = 70º to avoid the influence of the broad band of the carbon support at 2θ</w:t>
      </w:r>
      <w:r w:rsidR="00F748A9" w:rsidRPr="001558DF">
        <w:t> </w:t>
      </w:r>
      <w:r w:rsidRPr="001558DF">
        <w:sym w:font="Symbol" w:char="F07E"/>
      </w:r>
      <w:r w:rsidRPr="001558DF">
        <w:t xml:space="preserve"> 25º</w:t>
      </w:r>
      <w:r w:rsidR="00B272A7" w:rsidRPr="001558DF">
        <w:t xml:space="preserve"> [</w:t>
      </w:r>
      <w:r w:rsidRPr="001558DF">
        <w:rPr>
          <w:rStyle w:val="Refdenotaalfinal"/>
          <w:vertAlign w:val="baseline"/>
        </w:rPr>
        <w:endnoteReference w:id="18"/>
      </w:r>
      <w:r w:rsidRPr="001558DF">
        <w:t>,</w:t>
      </w:r>
      <w:r w:rsidRPr="001558DF">
        <w:rPr>
          <w:rStyle w:val="Refdenotaalfinal"/>
          <w:vertAlign w:val="baseline"/>
        </w:rPr>
        <w:endnoteReference w:id="19"/>
      </w:r>
      <w:r w:rsidRPr="001558DF">
        <w:t>,</w:t>
      </w:r>
      <w:r w:rsidRPr="001558DF">
        <w:rPr>
          <w:rStyle w:val="Refdenotaalfinal"/>
          <w:vertAlign w:val="baseline"/>
        </w:rPr>
        <w:endnoteReference w:id="20"/>
      </w:r>
      <w:r w:rsidRPr="001558DF">
        <w:t>,</w:t>
      </w:r>
      <w:r w:rsidRPr="001558DF">
        <w:rPr>
          <w:rStyle w:val="Refdenotaalfinal"/>
          <w:vertAlign w:val="baseline"/>
        </w:rPr>
        <w:endnoteReference w:id="21"/>
      </w:r>
      <w:r w:rsidR="00B272A7" w:rsidRPr="001558DF">
        <w:t>].</w:t>
      </w:r>
      <w:r w:rsidRPr="001558DF">
        <w:t xml:space="preserve"> The (220) peak was also used to determine the lattice parameter, assuming the Pt fcc structure. From the values of the lattice parameter, the atomic fraction of Sn in the Pt-Sn alloy</w:t>
      </w:r>
      <w:r w:rsidR="00F748A9" w:rsidRPr="001558DF">
        <w:t>s</w:t>
      </w:r>
      <w:r w:rsidRPr="001558DF">
        <w:t xml:space="preserve"> were calculated, assuming that the Pt-Sn lattice parameter follows Vergard’s law and that the dependence of the lattice parameter on Sn content is the same for supported and </w:t>
      </w:r>
      <w:r w:rsidRPr="001558DF">
        <w:lastRenderedPageBreak/>
        <w:t>unsupported Pt: χ</w:t>
      </w:r>
      <w:r w:rsidRPr="001558DF">
        <w:rPr>
          <w:vertAlign w:val="subscript"/>
        </w:rPr>
        <w:t>Sn</w:t>
      </w:r>
      <w:r w:rsidRPr="001558DF">
        <w:t xml:space="preserve"> = (l</w:t>
      </w:r>
      <w:r w:rsidRPr="001558DF">
        <w:rPr>
          <w:vertAlign w:val="subscript"/>
        </w:rPr>
        <w:t>PtSn</w:t>
      </w:r>
      <w:r w:rsidRPr="001558DF">
        <w:t xml:space="preserve"> – l</w:t>
      </w:r>
      <w:r w:rsidRPr="001558DF">
        <w:rPr>
          <w:vertAlign w:val="subscript"/>
        </w:rPr>
        <w:t>Pt</w:t>
      </w:r>
      <w:r w:rsidRPr="001558DF">
        <w:t>)/0.352, where l</w:t>
      </w:r>
      <w:r w:rsidRPr="001558DF">
        <w:rPr>
          <w:vertAlign w:val="subscript"/>
        </w:rPr>
        <w:t>PtSn</w:t>
      </w:r>
      <w:r w:rsidRPr="001558DF">
        <w:t xml:space="preserve"> and l</w:t>
      </w:r>
      <w:r w:rsidRPr="001558DF">
        <w:rPr>
          <w:vertAlign w:val="subscript"/>
        </w:rPr>
        <w:t>Pt</w:t>
      </w:r>
      <w:r w:rsidRPr="001558DF">
        <w:t xml:space="preserve"> are the lattice parameter</w:t>
      </w:r>
      <w:r w:rsidR="00F748A9" w:rsidRPr="001558DF">
        <w:t>s</w:t>
      </w:r>
      <w:r w:rsidRPr="001558DF">
        <w:t xml:space="preserve"> for the Pt-Sn/C and Pt/C, respectively. Using these values, the amount of Sn alloyed (Sn</w:t>
      </w:r>
      <w:r w:rsidRPr="001558DF">
        <w:rPr>
          <w:vertAlign w:val="subscript"/>
        </w:rPr>
        <w:t>al</w:t>
      </w:r>
      <w:r w:rsidRPr="001558DF">
        <w:t>) was calculated from the relation: Sn</w:t>
      </w:r>
      <w:r w:rsidRPr="001558DF">
        <w:rPr>
          <w:vertAlign w:val="subscript"/>
        </w:rPr>
        <w:t>al</w:t>
      </w:r>
      <w:r w:rsidRPr="001558DF">
        <w:t xml:space="preserve"> = χ</w:t>
      </w:r>
      <w:r w:rsidRPr="001558DF">
        <w:rPr>
          <w:vertAlign w:val="subscript"/>
        </w:rPr>
        <w:t>Sn</w:t>
      </w:r>
      <w:r w:rsidRPr="001558DF">
        <w:t xml:space="preserve"> / [(1 – χ</w:t>
      </w:r>
      <w:r w:rsidRPr="001558DF">
        <w:rPr>
          <w:vertAlign w:val="subscript"/>
        </w:rPr>
        <w:t>Sn</w:t>
      </w:r>
      <w:proofErr w:type="gramStart"/>
      <w:r w:rsidRPr="001558DF">
        <w:t>)(</w:t>
      </w:r>
      <w:proofErr w:type="gramEnd"/>
      <w:r w:rsidRPr="001558DF">
        <w:t>Sn/Pt)</w:t>
      </w:r>
      <w:r w:rsidRPr="001558DF">
        <w:rPr>
          <w:vertAlign w:val="subscript"/>
        </w:rPr>
        <w:t>at</w:t>
      </w:r>
      <w:r w:rsidRPr="001558DF">
        <w:t>], being (Sn/Pt)</w:t>
      </w:r>
      <w:r w:rsidRPr="001558DF">
        <w:rPr>
          <w:vertAlign w:val="subscript"/>
        </w:rPr>
        <w:t>at</w:t>
      </w:r>
      <w:r w:rsidRPr="001558DF">
        <w:t xml:space="preserve"> the nominal Sn/Pt atomic ratio.</w:t>
      </w:r>
    </w:p>
    <w:p w14:paraId="45288F35" w14:textId="77777777" w:rsidR="000571BB" w:rsidRPr="001558DF" w:rsidRDefault="00FB29D2" w:rsidP="00842F5F">
      <w:pPr>
        <w:pStyle w:val="TAMainText"/>
      </w:pPr>
      <w:r w:rsidRPr="001558DF">
        <w:t>X-ray photoelectron spectra (XPS) were acquired with an ESCAPlus Omicron spectrometer fitted with a Mg Kα (1253.6 eV) 150 W X-ray source. Data processing was performed with XPSPEAK software to determine the chemical states of Pt and Sn and the surface composition of Pt-Sn nanoparticles. The background was corrected using the Shirley method, and the binding energy of C 1s peak from the support at 284.5 eV was taken as an internal standard. The Pt</w:t>
      </w:r>
      <w:proofErr w:type="gramStart"/>
      <w:r w:rsidRPr="001558DF">
        <w:t>:Sn</w:t>
      </w:r>
      <w:proofErr w:type="gramEnd"/>
      <w:r w:rsidRPr="001558DF">
        <w:t xml:space="preserve"> surface atomic ratio was calculated from the Pt 4f and Sn 3d peak areas taking into account the corresponding sensitivity factors</w:t>
      </w:r>
      <w:r w:rsidR="000571BB" w:rsidRPr="001558DF">
        <w:t>.</w:t>
      </w:r>
    </w:p>
    <w:p w14:paraId="400AC716" w14:textId="77777777" w:rsidR="000571BB" w:rsidRPr="001558DF" w:rsidRDefault="000571BB" w:rsidP="00842F5F">
      <w:pPr>
        <w:pStyle w:val="TAMainText"/>
      </w:pPr>
    </w:p>
    <w:p w14:paraId="788460DE" w14:textId="77777777" w:rsidR="000571BB" w:rsidRPr="001558DF" w:rsidRDefault="000571BB" w:rsidP="00842F5F">
      <w:pPr>
        <w:pStyle w:val="TAMainText"/>
        <w:numPr>
          <w:ilvl w:val="1"/>
          <w:numId w:val="11"/>
        </w:numPr>
        <w:ind w:left="284" w:hanging="284"/>
      </w:pPr>
      <w:r w:rsidRPr="001558DF">
        <w:t>Electrochemical characterization</w:t>
      </w:r>
      <w:r w:rsidR="007B3F29" w:rsidRPr="001558DF">
        <w:t>.</w:t>
      </w:r>
    </w:p>
    <w:p w14:paraId="0985289A" w14:textId="77777777" w:rsidR="003B17DE" w:rsidRPr="001558DF" w:rsidRDefault="003B17DE" w:rsidP="00842F5F">
      <w:pPr>
        <w:spacing w:after="0" w:line="480" w:lineRule="auto"/>
        <w:ind w:firstLine="284"/>
        <w:rPr>
          <w:rFonts w:asciiTheme="majorBidi" w:hAnsiTheme="majorBidi" w:cstheme="majorBidi"/>
          <w:szCs w:val="24"/>
        </w:rPr>
      </w:pPr>
      <w:r w:rsidRPr="001558DF">
        <w:rPr>
          <w:rFonts w:asciiTheme="majorBidi" w:hAnsiTheme="majorBidi" w:cstheme="majorBidi"/>
          <w:szCs w:val="24"/>
        </w:rPr>
        <w:t>A systematic study applying conventional electrochemical techniques (cyclic voltammetry and CO-stripping voltammetry) was performed in order to determine the efficiency of the catalysts in the ethanol oxidation reaction (EOR). The electrochemical measurements were conducted in a standard three-electrode electrochemical cell. Pt gauze was used as counter electrode and a Hg/Hg</w:t>
      </w:r>
      <w:r w:rsidRPr="001558DF">
        <w:rPr>
          <w:rFonts w:asciiTheme="majorBidi" w:hAnsiTheme="majorBidi" w:cstheme="majorBidi"/>
          <w:szCs w:val="24"/>
          <w:vertAlign w:val="subscript"/>
        </w:rPr>
        <w:t>2</w:t>
      </w:r>
      <w:r w:rsidRPr="001558DF">
        <w:rPr>
          <w:rFonts w:asciiTheme="majorBidi" w:hAnsiTheme="majorBidi" w:cstheme="majorBidi"/>
          <w:szCs w:val="24"/>
        </w:rPr>
        <w:t>SO</w:t>
      </w:r>
      <w:r w:rsidRPr="001558DF">
        <w:rPr>
          <w:rFonts w:asciiTheme="majorBidi" w:hAnsiTheme="majorBidi" w:cstheme="majorBidi"/>
          <w:szCs w:val="24"/>
          <w:vertAlign w:val="subscript"/>
        </w:rPr>
        <w:t>4</w:t>
      </w:r>
      <w:r w:rsidRPr="001558DF">
        <w:rPr>
          <w:rFonts w:asciiTheme="majorBidi" w:hAnsiTheme="majorBidi" w:cstheme="majorBidi"/>
          <w:szCs w:val="24"/>
        </w:rPr>
        <w:t xml:space="preserve"> electrode (MMS, calibrated as +0.695 V vs. RHE) placed inside a Luggin capillary was used as reference electrode. All the potentials in the text are referred to the reversible hydrogen electrode (RHE). A 0.5 M H</w:t>
      </w:r>
      <w:r w:rsidRPr="001558DF">
        <w:rPr>
          <w:rFonts w:asciiTheme="majorBidi" w:hAnsiTheme="majorBidi" w:cstheme="majorBidi"/>
          <w:szCs w:val="24"/>
          <w:vertAlign w:val="subscript"/>
        </w:rPr>
        <w:t>2</w:t>
      </w:r>
      <w:r w:rsidRPr="001558DF">
        <w:rPr>
          <w:rFonts w:asciiTheme="majorBidi" w:hAnsiTheme="majorBidi" w:cstheme="majorBidi"/>
          <w:szCs w:val="24"/>
        </w:rPr>
        <w:t>SO</w:t>
      </w:r>
      <w:r w:rsidRPr="001558DF">
        <w:rPr>
          <w:rFonts w:asciiTheme="majorBidi" w:hAnsiTheme="majorBidi" w:cstheme="majorBidi"/>
          <w:szCs w:val="24"/>
          <w:vertAlign w:val="subscript"/>
        </w:rPr>
        <w:t>4</w:t>
      </w:r>
      <w:r w:rsidRPr="001558DF">
        <w:rPr>
          <w:rFonts w:asciiTheme="majorBidi" w:hAnsiTheme="majorBidi" w:cstheme="majorBidi"/>
          <w:szCs w:val="24"/>
        </w:rPr>
        <w:t xml:space="preserve"> solution, prepared from high purity reagents (Fisher Scientific) and purged with nitrogen gas, was used as supporting electrolyte. All the electrochemical experiments were carried out at room temperature. The oxidation of ethanol was studied by cyclic voltammetry. 1</w:t>
      </w:r>
      <w:r w:rsidR="00F748A9" w:rsidRPr="001558DF">
        <w:rPr>
          <w:rFonts w:asciiTheme="majorBidi" w:hAnsiTheme="majorBidi" w:cstheme="majorBidi"/>
          <w:szCs w:val="24"/>
        </w:rPr>
        <w:t xml:space="preserve"> </w:t>
      </w:r>
      <w:r w:rsidRPr="001558DF">
        <w:rPr>
          <w:rFonts w:asciiTheme="majorBidi" w:hAnsiTheme="majorBidi" w:cstheme="majorBidi"/>
          <w:szCs w:val="24"/>
        </w:rPr>
        <w:t>M CH</w:t>
      </w:r>
      <w:r w:rsidRPr="001558DF">
        <w:rPr>
          <w:rFonts w:asciiTheme="majorBidi" w:hAnsiTheme="majorBidi" w:cstheme="majorBidi"/>
          <w:szCs w:val="24"/>
          <w:vertAlign w:val="subscript"/>
        </w:rPr>
        <w:t>3</w:t>
      </w:r>
      <w:r w:rsidRPr="001558DF">
        <w:rPr>
          <w:rFonts w:asciiTheme="majorBidi" w:hAnsiTheme="majorBidi" w:cstheme="majorBidi"/>
          <w:szCs w:val="24"/>
        </w:rPr>
        <w:t>CH</w:t>
      </w:r>
      <w:r w:rsidRPr="001558DF">
        <w:rPr>
          <w:rFonts w:asciiTheme="majorBidi" w:hAnsiTheme="majorBidi" w:cstheme="majorBidi"/>
          <w:szCs w:val="24"/>
          <w:vertAlign w:val="subscript"/>
        </w:rPr>
        <w:t>2</w:t>
      </w:r>
      <w:r w:rsidRPr="001558DF">
        <w:rPr>
          <w:rFonts w:asciiTheme="majorBidi" w:hAnsiTheme="majorBidi" w:cstheme="majorBidi"/>
          <w:szCs w:val="24"/>
        </w:rPr>
        <w:t>OH in 0.5</w:t>
      </w:r>
      <w:r w:rsidR="00F748A9" w:rsidRPr="001558DF">
        <w:rPr>
          <w:rFonts w:asciiTheme="majorBidi" w:hAnsiTheme="majorBidi" w:cstheme="majorBidi"/>
          <w:szCs w:val="24"/>
        </w:rPr>
        <w:t xml:space="preserve"> </w:t>
      </w:r>
      <w:r w:rsidRPr="001558DF">
        <w:rPr>
          <w:rFonts w:asciiTheme="majorBidi" w:hAnsiTheme="majorBidi" w:cstheme="majorBidi"/>
          <w:szCs w:val="24"/>
        </w:rPr>
        <w:t>M H</w:t>
      </w:r>
      <w:r w:rsidRPr="001558DF">
        <w:rPr>
          <w:rFonts w:asciiTheme="majorBidi" w:hAnsiTheme="majorBidi" w:cstheme="majorBidi"/>
          <w:szCs w:val="24"/>
          <w:vertAlign w:val="subscript"/>
        </w:rPr>
        <w:t>2</w:t>
      </w:r>
      <w:r w:rsidRPr="001558DF">
        <w:rPr>
          <w:rFonts w:asciiTheme="majorBidi" w:hAnsiTheme="majorBidi" w:cstheme="majorBidi"/>
          <w:szCs w:val="24"/>
        </w:rPr>
        <w:t>SO</w:t>
      </w:r>
      <w:r w:rsidRPr="001558DF">
        <w:rPr>
          <w:rFonts w:asciiTheme="majorBidi" w:hAnsiTheme="majorBidi" w:cstheme="majorBidi"/>
          <w:szCs w:val="24"/>
          <w:vertAlign w:val="subscript"/>
        </w:rPr>
        <w:t>4</w:t>
      </w:r>
      <w:r w:rsidRPr="001558DF">
        <w:rPr>
          <w:rFonts w:asciiTheme="majorBidi" w:hAnsiTheme="majorBidi" w:cstheme="majorBidi"/>
          <w:szCs w:val="24"/>
        </w:rPr>
        <w:t xml:space="preserve"> solution was used to carry out the experiments. Cyclic voltammetry experiments between 0.05 and 0.7 V vs RHE were </w:t>
      </w:r>
      <w:r w:rsidRPr="001558DF">
        <w:rPr>
          <w:rFonts w:asciiTheme="majorBidi" w:hAnsiTheme="majorBidi" w:cstheme="majorBidi"/>
          <w:szCs w:val="24"/>
        </w:rPr>
        <w:lastRenderedPageBreak/>
        <w:t xml:space="preserve">performed. Ten </w:t>
      </w:r>
      <w:r w:rsidR="00F748A9" w:rsidRPr="001558DF">
        <w:rPr>
          <w:rFonts w:asciiTheme="majorBidi" w:hAnsiTheme="majorBidi" w:cstheme="majorBidi"/>
          <w:szCs w:val="24"/>
        </w:rPr>
        <w:t xml:space="preserve">conditioning </w:t>
      </w:r>
      <w:r w:rsidRPr="001558DF">
        <w:rPr>
          <w:rFonts w:asciiTheme="majorBidi" w:hAnsiTheme="majorBidi" w:cstheme="majorBidi"/>
          <w:szCs w:val="24"/>
        </w:rPr>
        <w:t>scans at 0.1 V s</w:t>
      </w:r>
      <w:r w:rsidRPr="001558DF">
        <w:rPr>
          <w:rFonts w:asciiTheme="majorBidi" w:hAnsiTheme="majorBidi" w:cstheme="majorBidi"/>
          <w:szCs w:val="24"/>
          <w:vertAlign w:val="superscript"/>
        </w:rPr>
        <w:t>-1</w:t>
      </w:r>
      <w:r w:rsidRPr="001558DF">
        <w:rPr>
          <w:rFonts w:asciiTheme="majorBidi" w:hAnsiTheme="majorBidi" w:cstheme="majorBidi"/>
          <w:szCs w:val="24"/>
        </w:rPr>
        <w:t xml:space="preserve"> were initially performed in order to get a good contact between the electrode and electrolyte and, subsequently, three more cyclic voltammograms were measured at 0.02 V s</w:t>
      </w:r>
      <w:r w:rsidRPr="001558DF">
        <w:rPr>
          <w:rFonts w:asciiTheme="majorBidi" w:hAnsiTheme="majorBidi" w:cstheme="majorBidi"/>
          <w:szCs w:val="24"/>
          <w:vertAlign w:val="superscript"/>
        </w:rPr>
        <w:t>-1</w:t>
      </w:r>
      <w:r w:rsidRPr="001558DF">
        <w:rPr>
          <w:rFonts w:asciiTheme="majorBidi" w:hAnsiTheme="majorBidi" w:cstheme="majorBidi"/>
          <w:szCs w:val="24"/>
        </w:rPr>
        <w:t>. The third CV was used for comparison of the performance of the different catalysts towards the ethanol electrooxidation. The currents shown in the text are normalized by the electrochemical active surface area (specific activity) determined by monitoring the complete elimination of a CO adsorbed monolayer (CO stripping), assuming a charge of 420 µC cm</w:t>
      </w:r>
      <w:r w:rsidRPr="001558DF">
        <w:rPr>
          <w:rFonts w:asciiTheme="majorBidi" w:hAnsiTheme="majorBidi" w:cstheme="majorBidi"/>
          <w:szCs w:val="24"/>
          <w:vertAlign w:val="superscript"/>
        </w:rPr>
        <w:t>-2</w:t>
      </w:r>
      <w:r w:rsidRPr="001558DF">
        <w:rPr>
          <w:rFonts w:asciiTheme="majorBidi" w:hAnsiTheme="majorBidi" w:cstheme="majorBidi"/>
          <w:szCs w:val="24"/>
        </w:rPr>
        <w:t xml:space="preserve"> involved in the oxidation of a monolayer of linearly adsorbed CO. The procedure for the CO stripping measurements is detailed in the Supplementary Information (SI). </w:t>
      </w:r>
    </w:p>
    <w:p w14:paraId="54734A7A" w14:textId="77777777" w:rsidR="000571BB" w:rsidRPr="001558DF" w:rsidRDefault="003B17DE" w:rsidP="00842F5F">
      <w:pPr>
        <w:pStyle w:val="TAMainText"/>
      </w:pPr>
      <w:r w:rsidRPr="001558DF">
        <w:rPr>
          <w:rFonts w:asciiTheme="majorBidi" w:hAnsiTheme="majorBidi" w:cstheme="majorBidi"/>
          <w:szCs w:val="24"/>
        </w:rPr>
        <w:t>The samples were subjected to an accelerated ageing treatment (AAT) in order to study the stability of the nanostructures with time. They consisted of 1000 cycles between 0.05 and 0.6 V in 0.5 M H</w:t>
      </w:r>
      <w:r w:rsidRPr="001558DF">
        <w:rPr>
          <w:rFonts w:asciiTheme="majorBidi" w:hAnsiTheme="majorBidi" w:cstheme="majorBidi"/>
          <w:szCs w:val="24"/>
          <w:vertAlign w:val="subscript"/>
        </w:rPr>
        <w:t>2</w:t>
      </w:r>
      <w:r w:rsidRPr="001558DF">
        <w:rPr>
          <w:rFonts w:asciiTheme="majorBidi" w:hAnsiTheme="majorBidi" w:cstheme="majorBidi"/>
          <w:szCs w:val="24"/>
        </w:rPr>
        <w:t>SO</w:t>
      </w:r>
      <w:r w:rsidRPr="001558DF">
        <w:rPr>
          <w:rFonts w:asciiTheme="majorBidi" w:hAnsiTheme="majorBidi" w:cstheme="majorBidi"/>
          <w:szCs w:val="24"/>
          <w:vertAlign w:val="subscript"/>
        </w:rPr>
        <w:t>4</w:t>
      </w:r>
      <w:r w:rsidRPr="001558DF">
        <w:rPr>
          <w:rFonts w:asciiTheme="majorBidi" w:hAnsiTheme="majorBidi" w:cstheme="majorBidi"/>
          <w:szCs w:val="24"/>
        </w:rPr>
        <w:t xml:space="preserve"> at 60 ºC using a scan rate of 0.05 V s</w:t>
      </w:r>
      <w:r w:rsidRPr="001558DF">
        <w:rPr>
          <w:rFonts w:asciiTheme="majorBidi" w:hAnsiTheme="majorBidi" w:cstheme="majorBidi"/>
          <w:szCs w:val="24"/>
          <w:vertAlign w:val="superscript"/>
        </w:rPr>
        <w:t>-1</w:t>
      </w:r>
      <w:r w:rsidR="000571BB" w:rsidRPr="001558DF">
        <w:t xml:space="preserve">. </w:t>
      </w:r>
    </w:p>
    <w:p w14:paraId="65FCFC71" w14:textId="77777777" w:rsidR="000571BB" w:rsidRPr="001558DF" w:rsidRDefault="000571BB" w:rsidP="00842F5F">
      <w:pPr>
        <w:pStyle w:val="TAMainText"/>
        <w:rPr>
          <w:i/>
        </w:rPr>
      </w:pPr>
    </w:p>
    <w:p w14:paraId="356D57E3" w14:textId="77777777" w:rsidR="007B3F29" w:rsidRPr="001558DF" w:rsidRDefault="007B3F29" w:rsidP="00842F5F">
      <w:pPr>
        <w:pStyle w:val="TAMainText"/>
        <w:numPr>
          <w:ilvl w:val="1"/>
          <w:numId w:val="11"/>
        </w:numPr>
        <w:ind w:left="284" w:hanging="284"/>
      </w:pPr>
      <w:r w:rsidRPr="001558DF">
        <w:rPr>
          <w:i/>
        </w:rPr>
        <w:t>In situ</w:t>
      </w:r>
      <w:r w:rsidRPr="001558DF">
        <w:t xml:space="preserve"> X-ray absorption measurements.</w:t>
      </w:r>
    </w:p>
    <w:p w14:paraId="3ED17B54" w14:textId="0E8AF0C9" w:rsidR="007B3F29" w:rsidRPr="001558DF" w:rsidRDefault="007B3F29" w:rsidP="00842F5F">
      <w:pPr>
        <w:pStyle w:val="TAMainText"/>
        <w:rPr>
          <w:rFonts w:ascii="Times New Roman" w:hAnsi="Times New Roman"/>
        </w:rPr>
      </w:pPr>
      <w:r w:rsidRPr="001558DF">
        <w:rPr>
          <w:rFonts w:ascii="Times New Roman" w:eastAsiaTheme="minorHAnsi" w:hAnsi="Times New Roman"/>
        </w:rPr>
        <w:t xml:space="preserve">An </w:t>
      </w:r>
      <w:r w:rsidRPr="001558DF">
        <w:rPr>
          <w:rFonts w:ascii="Times New Roman" w:eastAsiaTheme="minorHAnsi" w:hAnsi="Times New Roman"/>
          <w:i/>
        </w:rPr>
        <w:t>in situ</w:t>
      </w:r>
      <w:r w:rsidRPr="001558DF">
        <w:rPr>
          <w:rFonts w:ascii="Times New Roman" w:eastAsiaTheme="minorHAnsi" w:hAnsi="Times New Roman"/>
        </w:rPr>
        <w:t xml:space="preserve"> electrochemical cell was used to collect EXAFS data of the Pt-Sn/C catalysts as a function of potential</w:t>
      </w:r>
      <w:r w:rsidR="00B272A7" w:rsidRPr="001558DF">
        <w:rPr>
          <w:rFonts w:ascii="Times New Roman" w:eastAsiaTheme="minorHAnsi" w:hAnsi="Times New Roman"/>
        </w:rPr>
        <w:t xml:space="preserve"> [</w:t>
      </w:r>
      <w:r w:rsidRPr="001558DF">
        <w:rPr>
          <w:rStyle w:val="Refdenotaalfinal"/>
          <w:rFonts w:ascii="Times New Roman" w:eastAsiaTheme="minorHAnsi" w:hAnsi="Times New Roman"/>
          <w:szCs w:val="24"/>
          <w:vertAlign w:val="baseline"/>
        </w:rPr>
        <w:endnoteReference w:id="22"/>
      </w:r>
      <w:r w:rsidR="00B272A7" w:rsidRPr="001558DF">
        <w:rPr>
          <w:rFonts w:ascii="Times New Roman" w:eastAsiaTheme="minorHAnsi" w:hAnsi="Times New Roman"/>
        </w:rPr>
        <w:t>].</w:t>
      </w:r>
      <w:r w:rsidRPr="001558DF">
        <w:rPr>
          <w:rFonts w:ascii="Times New Roman" w:eastAsiaTheme="minorHAnsi" w:hAnsi="Times New Roman"/>
        </w:rPr>
        <w:t xml:space="preserve"> The working electrode was held in place by an Au wire contact, a Pt wire served as the counter electrode, and the reference electrode was a mercury mercurous sulfate (Hg/Hg</w:t>
      </w:r>
      <w:r w:rsidRPr="001558DF">
        <w:rPr>
          <w:rFonts w:ascii="Times New Roman" w:eastAsiaTheme="minorHAnsi" w:hAnsi="Times New Roman"/>
          <w:vertAlign w:val="subscript"/>
        </w:rPr>
        <w:t>2</w:t>
      </w:r>
      <w:r w:rsidRPr="001558DF">
        <w:rPr>
          <w:rFonts w:ascii="Times New Roman" w:eastAsiaTheme="minorHAnsi" w:hAnsi="Times New Roman"/>
        </w:rPr>
        <w:t>SO</w:t>
      </w:r>
      <w:r w:rsidRPr="001558DF">
        <w:rPr>
          <w:rFonts w:ascii="Times New Roman" w:eastAsiaTheme="minorHAnsi" w:hAnsi="Times New Roman"/>
          <w:vertAlign w:val="subscript"/>
        </w:rPr>
        <w:t>4</w:t>
      </w:r>
      <w:r w:rsidRPr="001558DF">
        <w:rPr>
          <w:rFonts w:ascii="Times New Roman" w:eastAsiaTheme="minorHAnsi" w:hAnsi="Times New Roman"/>
        </w:rPr>
        <w:t>) electrode that was connected to the cell via a short length of tubing containing the electrolyte. The cell was controlled by an Autolab potentiostat running with NOVA 1.8 Software. The electrolyte was purged with N</w:t>
      </w:r>
      <w:r w:rsidRPr="001558DF">
        <w:rPr>
          <w:rFonts w:ascii="Times New Roman" w:eastAsiaTheme="minorHAnsi" w:hAnsi="Times New Roman"/>
          <w:vertAlign w:val="subscript"/>
        </w:rPr>
        <w:t>2</w:t>
      </w:r>
      <w:r w:rsidRPr="001558DF">
        <w:rPr>
          <w:rFonts w:ascii="Times New Roman" w:eastAsiaTheme="minorHAnsi" w:hAnsi="Times New Roman"/>
        </w:rPr>
        <w:t xml:space="preserve"> and then pumped through the cell using a peristaltic pump. </w:t>
      </w:r>
      <w:r w:rsidRPr="001558DF">
        <w:rPr>
          <w:rFonts w:ascii="Times New Roman" w:hAnsi="Times New Roman"/>
        </w:rPr>
        <w:t>The measurements were carried out at three different fixed potentials (0.2, 0.4 and 0.6 V vs RHE). The measurements were run both in 0.5</w:t>
      </w:r>
      <w:r w:rsidR="00F748A9" w:rsidRPr="001558DF">
        <w:rPr>
          <w:rFonts w:ascii="Times New Roman" w:hAnsi="Times New Roman"/>
        </w:rPr>
        <w:t xml:space="preserve"> </w:t>
      </w:r>
      <w:r w:rsidRPr="001558DF">
        <w:rPr>
          <w:rFonts w:ascii="Times New Roman" w:hAnsi="Times New Roman"/>
        </w:rPr>
        <w:t>M H</w:t>
      </w:r>
      <w:r w:rsidRPr="001558DF">
        <w:rPr>
          <w:rFonts w:ascii="Times New Roman" w:hAnsi="Times New Roman"/>
          <w:vertAlign w:val="subscript"/>
        </w:rPr>
        <w:t>2</w:t>
      </w:r>
      <w:r w:rsidRPr="001558DF">
        <w:rPr>
          <w:rFonts w:ascii="Times New Roman" w:hAnsi="Times New Roman"/>
        </w:rPr>
        <w:t>SO</w:t>
      </w:r>
      <w:r w:rsidRPr="001558DF">
        <w:rPr>
          <w:rFonts w:ascii="Times New Roman" w:hAnsi="Times New Roman"/>
          <w:vertAlign w:val="subscript"/>
        </w:rPr>
        <w:t>4</w:t>
      </w:r>
      <w:r w:rsidRPr="001558DF">
        <w:rPr>
          <w:rFonts w:ascii="Times New Roman" w:hAnsi="Times New Roman"/>
        </w:rPr>
        <w:t xml:space="preserve"> and 0.5</w:t>
      </w:r>
      <w:r w:rsidR="00F748A9" w:rsidRPr="001558DF">
        <w:rPr>
          <w:rFonts w:ascii="Times New Roman" w:hAnsi="Times New Roman"/>
        </w:rPr>
        <w:t xml:space="preserve"> </w:t>
      </w:r>
      <w:r w:rsidRPr="001558DF">
        <w:rPr>
          <w:rFonts w:ascii="Times New Roman" w:hAnsi="Times New Roman"/>
        </w:rPr>
        <w:t>M H</w:t>
      </w:r>
      <w:r w:rsidRPr="001558DF">
        <w:rPr>
          <w:rFonts w:ascii="Times New Roman" w:hAnsi="Times New Roman"/>
          <w:vertAlign w:val="subscript"/>
        </w:rPr>
        <w:t>2</w:t>
      </w:r>
      <w:r w:rsidRPr="001558DF">
        <w:rPr>
          <w:rFonts w:ascii="Times New Roman" w:hAnsi="Times New Roman"/>
        </w:rPr>
        <w:t>SO</w:t>
      </w:r>
      <w:r w:rsidRPr="001558DF">
        <w:rPr>
          <w:rFonts w:ascii="Times New Roman" w:hAnsi="Times New Roman"/>
          <w:vertAlign w:val="subscript"/>
        </w:rPr>
        <w:t xml:space="preserve">4 </w:t>
      </w:r>
      <w:r w:rsidRPr="001558DF">
        <w:rPr>
          <w:rFonts w:ascii="Times New Roman" w:hAnsi="Times New Roman"/>
        </w:rPr>
        <w:t>+ 0.5</w:t>
      </w:r>
      <w:r w:rsidR="00F748A9" w:rsidRPr="001558DF">
        <w:rPr>
          <w:rFonts w:ascii="Times New Roman" w:hAnsi="Times New Roman"/>
        </w:rPr>
        <w:t> M </w:t>
      </w:r>
      <w:r w:rsidRPr="001558DF">
        <w:rPr>
          <w:rFonts w:ascii="Times New Roman" w:hAnsi="Times New Roman"/>
        </w:rPr>
        <w:t>CH</w:t>
      </w:r>
      <w:r w:rsidRPr="001558DF">
        <w:rPr>
          <w:rFonts w:ascii="Times New Roman" w:hAnsi="Times New Roman"/>
          <w:vertAlign w:val="subscript"/>
        </w:rPr>
        <w:t>3</w:t>
      </w:r>
      <w:r w:rsidRPr="001558DF">
        <w:rPr>
          <w:rFonts w:ascii="Times New Roman" w:hAnsi="Times New Roman"/>
        </w:rPr>
        <w:t>CH</w:t>
      </w:r>
      <w:r w:rsidRPr="001558DF">
        <w:rPr>
          <w:rFonts w:ascii="Times New Roman" w:hAnsi="Times New Roman"/>
          <w:vertAlign w:val="subscript"/>
        </w:rPr>
        <w:t>2</w:t>
      </w:r>
      <w:r w:rsidRPr="001558DF">
        <w:rPr>
          <w:rFonts w:ascii="Times New Roman" w:hAnsi="Times New Roman"/>
        </w:rPr>
        <w:t xml:space="preserve">OH. Details of the procedure can be found in the SI. X-ray adsorption (XAS) </w:t>
      </w:r>
      <w:r w:rsidRPr="001558DF">
        <w:rPr>
          <w:rFonts w:ascii="Times New Roman" w:hAnsi="Times New Roman"/>
        </w:rPr>
        <w:lastRenderedPageBreak/>
        <w:t xml:space="preserve">measurements for the fresh samples were recorded on beamline B18 at Diamond Light Source (UK) with ring energy of 3 GeV and a current of 300 mA. The monochromator used was </w:t>
      </w:r>
      <w:proofErr w:type="gramStart"/>
      <w:r w:rsidRPr="001558DF">
        <w:rPr>
          <w:rFonts w:ascii="Times New Roman" w:hAnsi="Times New Roman"/>
        </w:rPr>
        <w:t>Si(</w:t>
      </w:r>
      <w:proofErr w:type="gramEnd"/>
      <w:r w:rsidRPr="001558DF">
        <w:rPr>
          <w:rFonts w:ascii="Times New Roman" w:hAnsi="Times New Roman"/>
        </w:rPr>
        <w:t>311) crystals operating in Quick EXAFS (QEXAFS) mode. The measurements were carried out in fluorescence mode at the Pt L</w:t>
      </w:r>
      <w:r w:rsidRPr="001558DF">
        <w:rPr>
          <w:rFonts w:ascii="Times New Roman" w:hAnsi="Times New Roman"/>
          <w:vertAlign w:val="subscript"/>
        </w:rPr>
        <w:t>3</w:t>
      </w:r>
      <w:r w:rsidRPr="001558DF">
        <w:rPr>
          <w:rFonts w:ascii="Times New Roman" w:hAnsi="Times New Roman"/>
        </w:rPr>
        <w:t xml:space="preserve"> (11564 eV) and Sn K (29200 eV) absorption edges at 298 K using a 9-element Ge detector. XAS measurements for the aged samples were recorded on beamline CLAESS at ALBA synchrotron light source (Spain). Calibration of the monochromator was carried out using a Pt foil and Sn foil previously to the nanoparticle measurements at the respective absorption edge. </w:t>
      </w:r>
    </w:p>
    <w:p w14:paraId="05751385" w14:textId="77777777" w:rsidR="007B3F29" w:rsidRPr="001558DF" w:rsidRDefault="007B3F29" w:rsidP="00842F5F">
      <w:pPr>
        <w:pStyle w:val="TAMainText"/>
        <w:rPr>
          <w:rFonts w:ascii="Times New Roman" w:hAnsi="Times New Roman"/>
        </w:rPr>
      </w:pPr>
      <w:r w:rsidRPr="001558DF">
        <w:rPr>
          <w:rFonts w:ascii="Times New Roman" w:hAnsi="Times New Roman"/>
          <w:i/>
        </w:rPr>
        <w:t>Ex-situ</w:t>
      </w:r>
      <w:r w:rsidRPr="001558DF">
        <w:rPr>
          <w:rFonts w:ascii="Times New Roman" w:hAnsi="Times New Roman"/>
        </w:rPr>
        <w:t xml:space="preserve"> XAS measurements were also recorded in transmission mode on beamline B18 at Diamond Light Source (UK) and details can be found in the SI. </w:t>
      </w:r>
    </w:p>
    <w:p w14:paraId="777A8C29" w14:textId="19ED6544" w:rsidR="007B3F29" w:rsidRPr="001558DF" w:rsidRDefault="007B3F29" w:rsidP="00842F5F">
      <w:pPr>
        <w:pStyle w:val="TAMainText"/>
        <w:rPr>
          <w:rFonts w:ascii="Times New Roman" w:hAnsi="Times New Roman"/>
        </w:rPr>
      </w:pPr>
      <w:r w:rsidRPr="001558DF">
        <w:rPr>
          <w:rFonts w:ascii="Times New Roman" w:hAnsi="Times New Roman"/>
        </w:rPr>
        <w:t>The acquired data was processed and analyzed using the programs Athena and Artemis</w:t>
      </w:r>
      <w:r w:rsidR="00B272A7" w:rsidRPr="001558DF">
        <w:rPr>
          <w:rFonts w:ascii="Times New Roman" w:hAnsi="Times New Roman"/>
        </w:rPr>
        <w:t xml:space="preserve"> [</w:t>
      </w:r>
      <w:r w:rsidRPr="001558DF">
        <w:rPr>
          <w:rStyle w:val="Refdenotaalfinal"/>
          <w:rFonts w:ascii="Times New Roman" w:hAnsi="Times New Roman"/>
          <w:szCs w:val="24"/>
          <w:vertAlign w:val="baseline"/>
        </w:rPr>
        <w:endnoteReference w:id="23"/>
      </w:r>
      <w:r w:rsidR="00B272A7" w:rsidRPr="001558DF">
        <w:rPr>
          <w:rFonts w:ascii="Times New Roman" w:hAnsi="Times New Roman"/>
        </w:rPr>
        <w:t>],</w:t>
      </w:r>
      <w:r w:rsidRPr="001558DF">
        <w:rPr>
          <w:rFonts w:ascii="Times New Roman" w:hAnsi="Times New Roman"/>
        </w:rPr>
        <w:t xml:space="preserve"> respectively, which implement the FEFF6 and IFEFFIT codes</w:t>
      </w:r>
      <w:r w:rsidR="00B272A7" w:rsidRPr="001558DF">
        <w:rPr>
          <w:rFonts w:ascii="Times New Roman" w:hAnsi="Times New Roman"/>
        </w:rPr>
        <w:t xml:space="preserve"> [</w:t>
      </w:r>
      <w:r w:rsidRPr="001558DF">
        <w:rPr>
          <w:rStyle w:val="Refdenotaalfinal"/>
          <w:rFonts w:ascii="Times New Roman" w:hAnsi="Times New Roman"/>
          <w:szCs w:val="24"/>
          <w:vertAlign w:val="baseline"/>
        </w:rPr>
        <w:endnoteReference w:id="24"/>
      </w:r>
      <w:r w:rsidR="00B272A7" w:rsidRPr="001558DF">
        <w:rPr>
          <w:rFonts w:ascii="Times New Roman" w:hAnsi="Times New Roman"/>
        </w:rPr>
        <w:t>].</w:t>
      </w:r>
      <w:r w:rsidRPr="001558DF">
        <w:rPr>
          <w:rFonts w:ascii="Times New Roman" w:hAnsi="Times New Roman"/>
        </w:rPr>
        <w:t xml:space="preserve"> Fits were carried out using a k range of 3 – 16 Å</w:t>
      </w:r>
      <w:r w:rsidRPr="001558DF">
        <w:rPr>
          <w:rFonts w:ascii="Times New Roman" w:hAnsi="Times New Roman"/>
          <w:vertAlign w:val="superscript"/>
        </w:rPr>
        <w:t>-1</w:t>
      </w:r>
      <w:r w:rsidRPr="001558DF">
        <w:rPr>
          <w:rFonts w:ascii="Times New Roman" w:hAnsi="Times New Roman"/>
        </w:rPr>
        <w:t xml:space="preserve"> and an R range of 1.4 – 4.2 Å at the Pt L</w:t>
      </w:r>
      <w:r w:rsidRPr="001558DF">
        <w:rPr>
          <w:rFonts w:ascii="Times New Roman" w:hAnsi="Times New Roman"/>
          <w:vertAlign w:val="subscript"/>
        </w:rPr>
        <w:t>3</w:t>
      </w:r>
      <w:r w:rsidRPr="001558DF">
        <w:rPr>
          <w:rFonts w:ascii="Times New Roman" w:hAnsi="Times New Roman"/>
        </w:rPr>
        <w:t xml:space="preserve"> edge</w:t>
      </w:r>
      <w:r w:rsidR="008B6716" w:rsidRPr="001558DF">
        <w:rPr>
          <w:rFonts w:ascii="Times New Roman" w:hAnsi="Times New Roman"/>
        </w:rPr>
        <w:t>,</w:t>
      </w:r>
      <w:r w:rsidRPr="001558DF">
        <w:rPr>
          <w:rFonts w:ascii="Times New Roman" w:hAnsi="Times New Roman"/>
        </w:rPr>
        <w:t xml:space="preserve"> and 3 – 10 Å</w:t>
      </w:r>
      <w:r w:rsidRPr="001558DF">
        <w:rPr>
          <w:rFonts w:ascii="Times New Roman" w:hAnsi="Times New Roman"/>
          <w:vertAlign w:val="superscript"/>
        </w:rPr>
        <w:t>-1</w:t>
      </w:r>
      <w:r w:rsidRPr="001558DF">
        <w:rPr>
          <w:rFonts w:ascii="Times New Roman" w:hAnsi="Times New Roman"/>
        </w:rPr>
        <w:t xml:space="preserve"> and 1.1 – 3.2</w:t>
      </w:r>
      <w:r w:rsidR="00F748A9" w:rsidRPr="001558DF">
        <w:rPr>
          <w:rFonts w:ascii="Times New Roman" w:hAnsi="Times New Roman"/>
        </w:rPr>
        <w:t> </w:t>
      </w:r>
      <w:r w:rsidRPr="001558DF">
        <w:rPr>
          <w:rFonts w:ascii="Times New Roman" w:hAnsi="Times New Roman"/>
        </w:rPr>
        <w:t>Å at the Sn K edge, with multiple k weightings of 1, 2 and 3. Different FEFF inputs were used in these fits depending on the materials. An alloy 3:1 Pt</w:t>
      </w:r>
      <w:proofErr w:type="gramStart"/>
      <w:r w:rsidRPr="001558DF">
        <w:rPr>
          <w:rFonts w:ascii="Times New Roman" w:hAnsi="Times New Roman"/>
        </w:rPr>
        <w:t>:Sn</w:t>
      </w:r>
      <w:proofErr w:type="gramEnd"/>
      <w:r w:rsidRPr="001558DF">
        <w:rPr>
          <w:rFonts w:ascii="Times New Roman" w:hAnsi="Times New Roman"/>
        </w:rPr>
        <w:t xml:space="preserve"> model was created based on</w:t>
      </w:r>
      <w:r w:rsidR="00B272A7" w:rsidRPr="001558DF">
        <w:rPr>
          <w:rFonts w:ascii="Times New Roman" w:hAnsi="Times New Roman"/>
        </w:rPr>
        <w:t xml:space="preserve"> [</w:t>
      </w:r>
      <w:r w:rsidRPr="001558DF">
        <w:rPr>
          <w:rStyle w:val="Refdenotaalfinal"/>
          <w:rFonts w:ascii="Times New Roman" w:hAnsi="Times New Roman"/>
          <w:szCs w:val="24"/>
          <w:vertAlign w:val="baseline"/>
        </w:rPr>
        <w:endnoteReference w:id="25"/>
      </w:r>
      <w:r w:rsidRPr="001558DF">
        <w:rPr>
          <w:rFonts w:ascii="Times New Roman" w:hAnsi="Times New Roman"/>
        </w:rPr>
        <w:t>,</w:t>
      </w:r>
      <w:r w:rsidRPr="001558DF">
        <w:rPr>
          <w:rStyle w:val="Refdenotaalfinal"/>
          <w:rFonts w:ascii="Times New Roman" w:hAnsi="Times New Roman"/>
          <w:szCs w:val="24"/>
          <w:vertAlign w:val="baseline"/>
        </w:rPr>
        <w:endnoteReference w:id="26"/>
      </w:r>
      <w:r w:rsidR="00B272A7" w:rsidRPr="001558DF">
        <w:rPr>
          <w:rFonts w:ascii="Times New Roman" w:hAnsi="Times New Roman"/>
        </w:rPr>
        <w:t>]</w:t>
      </w:r>
      <w:r w:rsidRPr="001558DF">
        <w:rPr>
          <w:rFonts w:ascii="Times New Roman" w:hAnsi="Times New Roman"/>
        </w:rPr>
        <w:t xml:space="preserve"> using the lattice parameters obtained from the XRD analysis. </w:t>
      </w:r>
    </w:p>
    <w:p w14:paraId="335FFF99" w14:textId="77777777" w:rsidR="007B3F29" w:rsidRPr="001558DF" w:rsidRDefault="007B3F29" w:rsidP="00842F5F">
      <w:pPr>
        <w:pStyle w:val="TAMainText"/>
        <w:rPr>
          <w:i/>
        </w:rPr>
      </w:pPr>
    </w:p>
    <w:p w14:paraId="04DD706B" w14:textId="77777777" w:rsidR="000571BB" w:rsidRPr="001558DF" w:rsidRDefault="000571BB" w:rsidP="00842F5F">
      <w:pPr>
        <w:pStyle w:val="TAMainText"/>
        <w:numPr>
          <w:ilvl w:val="1"/>
          <w:numId w:val="11"/>
        </w:numPr>
        <w:ind w:left="284" w:hanging="284"/>
      </w:pPr>
      <w:r w:rsidRPr="001558DF">
        <w:rPr>
          <w:i/>
        </w:rPr>
        <w:t>In situ</w:t>
      </w:r>
      <w:r w:rsidRPr="001558DF">
        <w:t xml:space="preserve"> IR measurements</w:t>
      </w:r>
      <w:r w:rsidR="007B3F29" w:rsidRPr="001558DF">
        <w:t>.</w:t>
      </w:r>
      <w:r w:rsidRPr="001558DF">
        <w:t xml:space="preserve"> </w:t>
      </w:r>
    </w:p>
    <w:p w14:paraId="3E2E7890" w14:textId="27F3E1AA" w:rsidR="000571BB" w:rsidRPr="001558DF" w:rsidRDefault="008B6716" w:rsidP="00842F5F">
      <w:pPr>
        <w:pStyle w:val="TAMainText"/>
      </w:pPr>
      <w:r w:rsidRPr="001558DF">
        <w:t xml:space="preserve">Electrochemical </w:t>
      </w:r>
      <w:r w:rsidRPr="001558DF">
        <w:rPr>
          <w:i/>
        </w:rPr>
        <w:t>in situ</w:t>
      </w:r>
      <w:r w:rsidRPr="001558DF">
        <w:t xml:space="preserve"> subtractive normalized interfacial Fourier transform infrared spectroscopy (SNIFTIRS) experiments were carried out on a Thermo Nicolet 8700 (Nicolet, Madison, WI) spectrometer equipped with a custom-made external tabletop optical mount and an MCT-A detector. </w:t>
      </w:r>
      <w:r w:rsidRPr="001558DF">
        <w:rPr>
          <w:rFonts w:asciiTheme="majorBidi" w:hAnsiTheme="majorBidi" w:cstheme="majorBidi"/>
          <w:szCs w:val="24"/>
        </w:rPr>
        <w:t>A custom made glass-filled Teflon</w:t>
      </w:r>
      <w:r w:rsidRPr="001558DF">
        <w:rPr>
          <w:rFonts w:asciiTheme="majorBidi" w:hAnsiTheme="majorBidi" w:cstheme="majorBidi"/>
          <w:szCs w:val="24"/>
        </w:rPr>
        <w:sym w:font="Symbol" w:char="F0E2"/>
      </w:r>
      <w:r w:rsidRPr="001558DF">
        <w:rPr>
          <w:rFonts w:asciiTheme="majorBidi" w:hAnsiTheme="majorBidi" w:cstheme="majorBidi"/>
          <w:szCs w:val="24"/>
        </w:rPr>
        <w:t xml:space="preserve"> electrochemical cell </w:t>
      </w:r>
      <w:r w:rsidRPr="001558DF">
        <w:t xml:space="preserve">with a polycrystalline gold disc electrode </w:t>
      </w:r>
      <w:r w:rsidRPr="001558DF">
        <w:rPr>
          <w:rFonts w:asciiTheme="majorBidi" w:hAnsiTheme="majorBidi" w:cstheme="majorBidi"/>
          <w:szCs w:val="24"/>
        </w:rPr>
        <w:t xml:space="preserve">was coupled to the set-up to acquire </w:t>
      </w:r>
      <w:r w:rsidRPr="001558DF">
        <w:rPr>
          <w:rFonts w:asciiTheme="majorBidi" w:hAnsiTheme="majorBidi" w:cstheme="majorBidi"/>
          <w:i/>
          <w:iCs/>
          <w:szCs w:val="24"/>
        </w:rPr>
        <w:t>in situ</w:t>
      </w:r>
      <w:r w:rsidRPr="001558DF">
        <w:rPr>
          <w:rFonts w:asciiTheme="majorBidi" w:hAnsiTheme="majorBidi" w:cstheme="majorBidi"/>
          <w:szCs w:val="24"/>
        </w:rPr>
        <w:t xml:space="preserve"> IR spectra. The </w:t>
      </w:r>
      <w:r w:rsidRPr="001558DF">
        <w:rPr>
          <w:rFonts w:asciiTheme="majorBidi" w:hAnsiTheme="majorBidi" w:cstheme="majorBidi"/>
          <w:szCs w:val="24"/>
        </w:rPr>
        <w:lastRenderedPageBreak/>
        <w:t xml:space="preserve">cell was connected to a Jaissle IMP88 Potentiostat (Germany) controlled </w:t>
      </w:r>
      <w:r w:rsidRPr="001558DF">
        <w:t xml:space="preserve">by the computer via a digital to analog converter (Agilent USB AD/DA converter). </w:t>
      </w:r>
      <w:r w:rsidRPr="001558DF">
        <w:rPr>
          <w:rFonts w:asciiTheme="majorBidi" w:hAnsiTheme="majorBidi" w:cstheme="majorBidi"/>
          <w:szCs w:val="24"/>
        </w:rPr>
        <w:t>The IR window was a 1 inch (~25 mm) CaF</w:t>
      </w:r>
      <w:r w:rsidRPr="001558DF">
        <w:rPr>
          <w:rFonts w:asciiTheme="majorBidi" w:hAnsiTheme="majorBidi" w:cstheme="majorBidi"/>
          <w:szCs w:val="24"/>
          <w:vertAlign w:val="subscript"/>
        </w:rPr>
        <w:t>2</w:t>
      </w:r>
      <w:r w:rsidRPr="001558DF">
        <w:rPr>
          <w:rFonts w:asciiTheme="majorBidi" w:hAnsiTheme="majorBidi" w:cstheme="majorBidi"/>
          <w:szCs w:val="24"/>
        </w:rPr>
        <w:t xml:space="preserve"> equilateral prism (Harrick Scientific Technology, PleasantVille, NY). Prior to the assembly of the spectroelectrochemical cell, the gold electrode was modified with the catalysts by depositing 30 µL of catalyst ink prepared with 2 mg catalyst, 15 µL Nafion solution (10.85 wt.%) and 500 µL water. A Pt wire and an Ag/AgCl (3 M KCl) were used as counter and reference electrodes, respectively. The cell was filled with 0.1 M HClO</w:t>
      </w:r>
      <w:r w:rsidRPr="001558DF">
        <w:rPr>
          <w:rFonts w:asciiTheme="majorBidi" w:hAnsiTheme="majorBidi" w:cstheme="majorBidi"/>
          <w:szCs w:val="24"/>
          <w:vertAlign w:val="subscript"/>
        </w:rPr>
        <w:t>4</w:t>
      </w:r>
      <w:r w:rsidRPr="001558DF">
        <w:rPr>
          <w:rFonts w:asciiTheme="majorBidi" w:hAnsiTheme="majorBidi" w:cstheme="majorBidi"/>
          <w:szCs w:val="24"/>
        </w:rPr>
        <w:t xml:space="preserve"> solution and fifty</w:t>
      </w:r>
      <w:r w:rsidR="00F748A9" w:rsidRPr="001558DF">
        <w:rPr>
          <w:rFonts w:asciiTheme="majorBidi" w:hAnsiTheme="majorBidi" w:cstheme="majorBidi"/>
          <w:szCs w:val="24"/>
        </w:rPr>
        <w:t xml:space="preserve"> conditioning</w:t>
      </w:r>
      <w:r w:rsidRPr="001558DF">
        <w:rPr>
          <w:rFonts w:asciiTheme="majorBidi" w:hAnsiTheme="majorBidi" w:cstheme="majorBidi"/>
          <w:szCs w:val="24"/>
        </w:rPr>
        <w:t xml:space="preserve"> CVs were run between 0.05 and 0.6 V vs RHE at 0.2 V s</w:t>
      </w:r>
      <w:r w:rsidRPr="001558DF">
        <w:rPr>
          <w:rFonts w:asciiTheme="majorBidi" w:hAnsiTheme="majorBidi" w:cstheme="majorBidi"/>
          <w:szCs w:val="24"/>
          <w:vertAlign w:val="superscript"/>
        </w:rPr>
        <w:t>-1</w:t>
      </w:r>
      <w:r w:rsidRPr="001558DF">
        <w:rPr>
          <w:rFonts w:ascii="Times New Roman" w:hAnsi="Times New Roman"/>
          <w:szCs w:val="24"/>
        </w:rPr>
        <w:t xml:space="preserve"> to clean the surface. Three further cycles were recorded at 0.010 V s</w:t>
      </w:r>
      <w:r w:rsidRPr="001558DF">
        <w:rPr>
          <w:rFonts w:ascii="Times New Roman" w:hAnsi="Times New Roman"/>
          <w:szCs w:val="24"/>
          <w:vertAlign w:val="superscript"/>
        </w:rPr>
        <w:t>-1</w:t>
      </w:r>
      <w:r w:rsidRPr="001558DF">
        <w:rPr>
          <w:rFonts w:ascii="Times New Roman" w:hAnsi="Times New Roman"/>
          <w:szCs w:val="24"/>
        </w:rPr>
        <w:t xml:space="preserve"> to ensure that the electrode was stable. Then, the base electrolyte was exchanged with a </w:t>
      </w:r>
      <w:r w:rsidRPr="001558DF">
        <w:rPr>
          <w:rFonts w:asciiTheme="majorBidi" w:hAnsiTheme="majorBidi" w:cstheme="majorBidi"/>
          <w:szCs w:val="24"/>
        </w:rPr>
        <w:t>0.5 M CH</w:t>
      </w:r>
      <w:r w:rsidRPr="001558DF">
        <w:rPr>
          <w:rFonts w:asciiTheme="majorBidi" w:hAnsiTheme="majorBidi" w:cstheme="majorBidi"/>
          <w:szCs w:val="24"/>
          <w:vertAlign w:val="subscript"/>
        </w:rPr>
        <w:t>3</w:t>
      </w:r>
      <w:r w:rsidR="00603F63" w:rsidRPr="001558DF">
        <w:rPr>
          <w:rFonts w:asciiTheme="majorBidi" w:hAnsiTheme="majorBidi" w:cstheme="majorBidi"/>
          <w:szCs w:val="24"/>
        </w:rPr>
        <w:t>CH</w:t>
      </w:r>
      <w:r w:rsidR="00603F63" w:rsidRPr="001558DF">
        <w:rPr>
          <w:rFonts w:asciiTheme="majorBidi" w:hAnsiTheme="majorBidi" w:cstheme="majorBidi"/>
          <w:szCs w:val="24"/>
          <w:vertAlign w:val="subscript"/>
        </w:rPr>
        <w:t>2</w:t>
      </w:r>
      <w:r w:rsidRPr="001558DF">
        <w:rPr>
          <w:rFonts w:asciiTheme="majorBidi" w:hAnsiTheme="majorBidi" w:cstheme="majorBidi"/>
          <w:szCs w:val="24"/>
        </w:rPr>
        <w:t>OH + 0.1 M HClO</w:t>
      </w:r>
      <w:r w:rsidRPr="001558DF">
        <w:rPr>
          <w:rFonts w:asciiTheme="majorBidi" w:hAnsiTheme="majorBidi" w:cstheme="majorBidi"/>
          <w:szCs w:val="24"/>
          <w:vertAlign w:val="subscript"/>
        </w:rPr>
        <w:t>4</w:t>
      </w:r>
      <w:r w:rsidRPr="001558DF">
        <w:rPr>
          <w:rFonts w:asciiTheme="majorBidi" w:hAnsiTheme="majorBidi" w:cstheme="majorBidi"/>
          <w:szCs w:val="24"/>
        </w:rPr>
        <w:t xml:space="preserve"> solution for the IR measurements. Prior to the IR measurements, the thickness of the thin layer of electrolyte between the optical window and the gold electrode was set to 7.5-8.2 </w:t>
      </w:r>
      <w:r w:rsidRPr="001558DF">
        <w:rPr>
          <w:rFonts w:asciiTheme="majorBidi" w:hAnsiTheme="majorBidi" w:cstheme="majorBidi"/>
          <w:szCs w:val="24"/>
        </w:rPr>
        <w:sym w:font="Symbol" w:char="F06D"/>
      </w:r>
      <w:r w:rsidRPr="001558DF">
        <w:rPr>
          <w:rFonts w:asciiTheme="majorBidi" w:hAnsiTheme="majorBidi" w:cstheme="majorBidi"/>
          <w:szCs w:val="24"/>
        </w:rPr>
        <w:t>m</w:t>
      </w:r>
      <w:r w:rsidR="00F748A9" w:rsidRPr="001558DF">
        <w:rPr>
          <w:rFonts w:asciiTheme="majorBidi" w:hAnsiTheme="majorBidi" w:cstheme="majorBidi"/>
          <w:szCs w:val="24"/>
        </w:rPr>
        <w:t xml:space="preserve">, with the value </w:t>
      </w:r>
      <w:r w:rsidRPr="001558DF">
        <w:rPr>
          <w:rFonts w:asciiTheme="majorBidi" w:hAnsiTheme="majorBidi" w:cstheme="majorBidi"/>
          <w:szCs w:val="24"/>
        </w:rPr>
        <w:t>determined by comparing the experimental reflectivity spectrum of the thin layer cell attenuated by the layer of the solvent to the reflectivity curve calculated from the optical constants of the cell constituents</w:t>
      </w:r>
      <w:r w:rsidR="00B272A7" w:rsidRPr="001558DF">
        <w:rPr>
          <w:rFonts w:asciiTheme="majorBidi" w:hAnsiTheme="majorBidi" w:cstheme="majorBidi"/>
          <w:szCs w:val="24"/>
        </w:rPr>
        <w:t xml:space="preserve"> [</w:t>
      </w:r>
      <w:r w:rsidRPr="001558DF">
        <w:rPr>
          <w:rStyle w:val="Refdenotaalfinal"/>
          <w:rFonts w:asciiTheme="majorBidi" w:hAnsiTheme="majorBidi" w:cstheme="majorBidi"/>
          <w:szCs w:val="24"/>
          <w:vertAlign w:val="baseline"/>
        </w:rPr>
        <w:endnoteReference w:id="27"/>
      </w:r>
      <w:r w:rsidRPr="001558DF">
        <w:rPr>
          <w:rFonts w:asciiTheme="majorBidi" w:hAnsiTheme="majorBidi" w:cstheme="majorBidi"/>
          <w:szCs w:val="24"/>
        </w:rPr>
        <w:t>,</w:t>
      </w:r>
      <w:r w:rsidRPr="001558DF">
        <w:rPr>
          <w:rStyle w:val="Refdenotaalfinal"/>
          <w:rFonts w:asciiTheme="majorBidi" w:hAnsiTheme="majorBidi" w:cstheme="majorBidi"/>
          <w:szCs w:val="24"/>
          <w:vertAlign w:val="baseline"/>
        </w:rPr>
        <w:endnoteReference w:id="28"/>
      </w:r>
      <w:r w:rsidR="00B272A7" w:rsidRPr="001558DF">
        <w:rPr>
          <w:rFonts w:asciiTheme="majorBidi" w:hAnsiTheme="majorBidi" w:cstheme="majorBidi"/>
          <w:szCs w:val="24"/>
        </w:rPr>
        <w:t>].</w:t>
      </w:r>
      <w:r w:rsidRPr="001558DF">
        <w:rPr>
          <w:rFonts w:asciiTheme="majorBidi" w:hAnsiTheme="majorBidi" w:cstheme="majorBidi"/>
          <w:szCs w:val="24"/>
        </w:rPr>
        <w:t xml:space="preserve"> Potential loops were performed for each experiment, varying the potential between 0.05 and 1 V vs RHE with a 0.05 V step. Each potential step comprises an equilibration time of 1 minute followed by the acquisition of the spectrum by averaging 200 scans at 4 cm</w:t>
      </w:r>
      <w:r w:rsidRPr="001558DF">
        <w:rPr>
          <w:rFonts w:asciiTheme="majorBidi" w:hAnsiTheme="majorBidi" w:cstheme="majorBidi"/>
          <w:szCs w:val="24"/>
          <w:vertAlign w:val="superscript"/>
        </w:rPr>
        <w:t xml:space="preserve">-1 </w:t>
      </w:r>
      <w:r w:rsidRPr="001558DF">
        <w:rPr>
          <w:rFonts w:asciiTheme="majorBidi" w:hAnsiTheme="majorBidi" w:cstheme="majorBidi"/>
          <w:szCs w:val="24"/>
        </w:rPr>
        <w:t xml:space="preserve">resolution. </w:t>
      </w:r>
      <w:r w:rsidRPr="001558DF">
        <w:t>For each sample, a spectrum was measured at 0.05 V and taken as reference (R</w:t>
      </w:r>
      <w:r w:rsidRPr="001558DF">
        <w:rPr>
          <w:vertAlign w:val="subscript"/>
        </w:rPr>
        <w:t>0</w:t>
      </w:r>
      <w:r w:rsidRPr="001558DF">
        <w:t xml:space="preserve">), since no </w:t>
      </w:r>
      <w:r w:rsidR="00603F63" w:rsidRPr="001558DF">
        <w:t>ethanol oxidation occurs</w:t>
      </w:r>
      <w:r w:rsidRPr="001558DF">
        <w:t xml:space="preserve"> at this potential. The spectra presented in the text correspond to the ratio between the spectrum at the specific potential and the reference one. In SNIFTIRS spectra usually there are bands in both up and down direction with respect to the baseline. Taking R</w:t>
      </w:r>
      <w:r w:rsidRPr="001558DF">
        <w:rPr>
          <w:vertAlign w:val="subscript"/>
        </w:rPr>
        <w:t>0</w:t>
      </w:r>
      <w:r w:rsidRPr="001558DF">
        <w:t xml:space="preserve"> as the reflectance in the reference spectrum and R the sample spectrum </w:t>
      </w:r>
      <w:r w:rsidRPr="001558DF">
        <w:lastRenderedPageBreak/>
        <w:t>reflectance, positive bands (R</w:t>
      </w:r>
      <w:r w:rsidRPr="001558DF">
        <w:rPr>
          <w:vertAlign w:val="subscript"/>
        </w:rPr>
        <w:t>0</w:t>
      </w:r>
      <w:r w:rsidRPr="001558DF">
        <w:t xml:space="preserve"> &gt; R) correspond to consumption of species and negative bands (R</w:t>
      </w:r>
      <w:r w:rsidRPr="001558DF">
        <w:rPr>
          <w:vertAlign w:val="subscript"/>
        </w:rPr>
        <w:t>0</w:t>
      </w:r>
      <w:r w:rsidRPr="001558DF">
        <w:t xml:space="preserve"> &lt; R) correspond to formation of new species</w:t>
      </w:r>
      <w:r w:rsidR="000571BB" w:rsidRPr="001558DF">
        <w:t xml:space="preserve">. </w:t>
      </w:r>
    </w:p>
    <w:p w14:paraId="3881BFEE" w14:textId="4C6B1619" w:rsidR="00603F63" w:rsidRPr="001558DF" w:rsidRDefault="00603F63" w:rsidP="00B272A7">
      <w:pPr>
        <w:spacing w:after="0" w:line="480" w:lineRule="auto"/>
        <w:jc w:val="left"/>
      </w:pPr>
    </w:p>
    <w:p w14:paraId="64ACF263" w14:textId="30DE76EB" w:rsidR="007B3F29" w:rsidRPr="001558DF" w:rsidRDefault="007B3F29" w:rsidP="00842F5F">
      <w:pPr>
        <w:pStyle w:val="TAMainText"/>
        <w:numPr>
          <w:ilvl w:val="0"/>
          <w:numId w:val="11"/>
        </w:numPr>
        <w:ind w:left="284" w:hanging="284"/>
      </w:pPr>
      <w:r w:rsidRPr="001558DF">
        <w:t>RESULTS</w:t>
      </w:r>
    </w:p>
    <w:p w14:paraId="2003CB1B" w14:textId="5054F3B2" w:rsidR="0070694E" w:rsidRPr="001558DF" w:rsidRDefault="0070694E" w:rsidP="00842F5F">
      <w:pPr>
        <w:pStyle w:val="TAMainText"/>
        <w:rPr>
          <w:rFonts w:ascii="Times New Roman" w:hAnsi="Times New Roman"/>
          <w:szCs w:val="24"/>
        </w:rPr>
      </w:pPr>
      <w:r w:rsidRPr="001558DF">
        <w:rPr>
          <w:rFonts w:ascii="Times New Roman" w:hAnsi="Times New Roman"/>
        </w:rPr>
        <w:t xml:space="preserve">Three nanoparticle Pt-Sn catalysts with different structure and composition </w:t>
      </w:r>
      <w:r w:rsidRPr="001558DF">
        <w:rPr>
          <w:rFonts w:ascii="Times New Roman" w:hAnsi="Times New Roman"/>
          <w:szCs w:val="24"/>
        </w:rPr>
        <w:t xml:space="preserve">were prepared: </w:t>
      </w:r>
      <w:r w:rsidRPr="001558DF">
        <w:rPr>
          <w:rFonts w:ascii="Times New Roman" w:hAnsi="Times New Roman"/>
        </w:rPr>
        <w:t xml:space="preserve"> </w:t>
      </w:r>
      <w:r w:rsidRPr="001558DF">
        <w:rPr>
          <w:rFonts w:ascii="Times New Roman" w:hAnsi="Times New Roman"/>
          <w:szCs w:val="24"/>
        </w:rPr>
        <w:t xml:space="preserve">two Pt-Sn alloys with </w:t>
      </w:r>
      <w:proofErr w:type="spellStart"/>
      <w:r w:rsidRPr="001558DF">
        <w:rPr>
          <w:rFonts w:ascii="Times New Roman" w:hAnsi="Times New Roman"/>
          <w:szCs w:val="24"/>
        </w:rPr>
        <w:t>Pt</w:t>
      </w:r>
      <w:proofErr w:type="gramStart"/>
      <w:r w:rsidRPr="001558DF">
        <w:rPr>
          <w:rFonts w:ascii="Times New Roman" w:hAnsi="Times New Roman"/>
          <w:szCs w:val="24"/>
        </w:rPr>
        <w:t>:Sn</w:t>
      </w:r>
      <w:proofErr w:type="spellEnd"/>
      <w:proofErr w:type="gramEnd"/>
      <w:r w:rsidRPr="001558DF">
        <w:rPr>
          <w:rFonts w:ascii="Times New Roman" w:hAnsi="Times New Roman"/>
          <w:szCs w:val="24"/>
        </w:rPr>
        <w:t xml:space="preserve"> atomic ratio of 3:1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and 1:1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 xml:space="preserve">/C), and a </w:t>
      </w:r>
      <w:r w:rsidR="00D24657" w:rsidRPr="001558DF">
        <w:rPr>
          <w:rFonts w:ascii="Times New Roman" w:hAnsi="Times New Roman"/>
          <w:szCs w:val="24"/>
        </w:rPr>
        <w:t xml:space="preserve">one monolayer </w:t>
      </w:r>
      <w:r w:rsidRPr="001558DF">
        <w:rPr>
          <w:rFonts w:ascii="Times New Roman" w:hAnsi="Times New Roman"/>
          <w:szCs w:val="24"/>
        </w:rPr>
        <w:t xml:space="preserve">Sn modified Pt catalyst (Sn/Pt/C). </w:t>
      </w:r>
      <w:r w:rsidR="00D24657" w:rsidRPr="001558DF">
        <w:rPr>
          <w:rFonts w:ascii="Times New Roman" w:hAnsi="Times New Roman"/>
          <w:szCs w:val="24"/>
        </w:rPr>
        <w:t>The commercial Pt/C catalyst from Johnson Matthey (JM) was also included in this study as reference.</w:t>
      </w:r>
    </w:p>
    <w:p w14:paraId="59DBB381" w14:textId="77777777" w:rsidR="007B3F29" w:rsidRPr="001558DF" w:rsidRDefault="002B7F1C" w:rsidP="00842F5F">
      <w:pPr>
        <w:pStyle w:val="TAMainText"/>
      </w:pPr>
      <w:r w:rsidRPr="001558DF">
        <w:rPr>
          <w:rFonts w:ascii="Times New Roman" w:hAnsi="Times New Roman"/>
          <w:szCs w:val="24"/>
        </w:rPr>
        <w:t>The bulk composition of the catalysts was determined by using SEM-EDX and the results are reported in Table S1. The metal loading was around 19.5-25.9 wt.%, depending on the type of material. In all cases, except for the Sn/Pt/C, the amount of Sn was slightly lower than the nominal one</w:t>
      </w:r>
      <w:r w:rsidR="007B3F29" w:rsidRPr="001558DF">
        <w:t xml:space="preserve">. </w:t>
      </w:r>
    </w:p>
    <w:p w14:paraId="5C823926" w14:textId="6EED7D3D" w:rsidR="007B3F29" w:rsidRPr="001558DF" w:rsidRDefault="0023239C" w:rsidP="00842F5F">
      <w:pPr>
        <w:pStyle w:val="TAMainText"/>
      </w:pPr>
      <w:r w:rsidRPr="001558DF">
        <w:rPr>
          <w:rFonts w:ascii="Times New Roman" w:hAnsi="Times New Roman"/>
          <w:szCs w:val="24"/>
        </w:rPr>
        <w:t xml:space="preserve">The distribution and size of the metal particles deposited on the carbon support were studied by TEM and representative images for all the Pt-Sn catalysts are exhibited in Figure S1. </w:t>
      </w:r>
      <w:r w:rsidR="005B461B" w:rsidRPr="001558DF">
        <w:rPr>
          <w:rFonts w:ascii="Times New Roman" w:hAnsi="Times New Roman"/>
          <w:szCs w:val="24"/>
        </w:rPr>
        <w:t xml:space="preserve">All catalysts show a narrow particle size distribution. </w:t>
      </w:r>
      <w:r w:rsidRPr="001558DF">
        <w:rPr>
          <w:rFonts w:ascii="Times New Roman" w:hAnsi="Times New Roman"/>
          <w:szCs w:val="24"/>
        </w:rPr>
        <w:t>TEM images of the Sn/Pt/C sample show well dispersed nanoparticles on the support. In contrast, the Pt-Sn alloy samples show different degrees of agglomeration, which is most evident for the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material (Figure S1b)</w:t>
      </w:r>
      <w:r w:rsidR="007B3F29" w:rsidRPr="001558DF">
        <w:t>.</w:t>
      </w:r>
    </w:p>
    <w:p w14:paraId="0AD7461E" w14:textId="77777777" w:rsidR="007B3F29" w:rsidRPr="001558DF" w:rsidRDefault="0023239C" w:rsidP="00842F5F">
      <w:pPr>
        <w:pStyle w:val="TAMainText"/>
      </w:pPr>
      <w:r w:rsidRPr="001558DF">
        <w:rPr>
          <w:rFonts w:ascii="Times New Roman" w:hAnsi="Times New Roman"/>
          <w:szCs w:val="24"/>
        </w:rPr>
        <w:t>The local composition and architecture of the Sn/Pt/C and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 xml:space="preserve">/C samples were investigated by using an EDS probe in the STEM mode (Figure 1). Multiple single-particle EDS analyses of both samples confirmed the bimetallic nature of the particles. In both samples, only a few monometallic Pt particles were observed and no monometallic Sn particles were detected. In order to confirm the core-shell and alloy nanostructures, STEM-EDS line spectra were recorded. The composition profile obtained for the Sn/Pt/C sample show that the distribution of Sn reaches </w:t>
      </w:r>
      <w:r w:rsidRPr="001558DF">
        <w:rPr>
          <w:rFonts w:ascii="Times New Roman" w:hAnsi="Times New Roman"/>
          <w:szCs w:val="24"/>
        </w:rPr>
        <w:lastRenderedPageBreak/>
        <w:t>a maximum at the edge of the particles (shell) and a minimum at the center of the particle, whereas Pt reaches a maximum concentration at the center of the particles (core). This indicates that Sn was deposited on the surface of the Pt nanoparticles. On the other hand, the composition profile for the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sample indicates that the distribution profile of both metals is the same, confirming the formation of the alloy</w:t>
      </w:r>
      <w:r w:rsidR="007B3F29" w:rsidRPr="001558DF">
        <w:t>.</w:t>
      </w:r>
    </w:p>
    <w:p w14:paraId="1301B243" w14:textId="7286ED2A" w:rsidR="000A4437" w:rsidRPr="001558DF" w:rsidRDefault="0023239C" w:rsidP="000A4437">
      <w:pPr>
        <w:pStyle w:val="TAMainText"/>
      </w:pPr>
      <w:r w:rsidRPr="001558DF">
        <w:rPr>
          <w:rFonts w:ascii="Times New Roman" w:hAnsi="Times New Roman"/>
          <w:szCs w:val="24"/>
        </w:rPr>
        <w:t>The effect of Sn addition on the structural and crystallographic properties of Pt was studied by XRD (Figure 2a). The broad diffraction peak observed at 2θ = 22.5° in all the samples is attributed to the sample holder, which overlaps the peak of the (002) plane of the carbon support at 2θ = 22.7°. The two alloys show the typical features of the fcc structure of Pt. However, the diffraction peaks are slightly shifted to lower 2θ values, confirming the incorporation of Sn into the fcc structure of Pt. In the literature, a shift of the Pt fcc structure peaks to lower 2θ values has been observed with the increase of the Sn content</w:t>
      </w:r>
      <w:bookmarkStart w:id="15" w:name="_Ref466319642"/>
      <w:r w:rsidR="00B272A7" w:rsidRPr="001558DF">
        <w:rPr>
          <w:rFonts w:ascii="Times New Roman" w:hAnsi="Times New Roman"/>
          <w:szCs w:val="24"/>
        </w:rPr>
        <w:t xml:space="preserve"> [</w:t>
      </w:r>
      <w:r w:rsidRPr="001558DF">
        <w:rPr>
          <w:rStyle w:val="Refdenotaalfinal"/>
          <w:rFonts w:ascii="Times New Roman" w:hAnsi="Times New Roman"/>
          <w:szCs w:val="24"/>
          <w:vertAlign w:val="baseline"/>
        </w:rPr>
        <w:endnoteReference w:id="29"/>
      </w:r>
      <w:bookmarkEnd w:id="15"/>
      <w:r w:rsidRPr="001558DF">
        <w:rPr>
          <w:rFonts w:ascii="Times New Roman" w:hAnsi="Times New Roman"/>
          <w:szCs w:val="24"/>
        </w:rPr>
        <w:t>,</w:t>
      </w:r>
      <w:bookmarkStart w:id="16" w:name="_Ref466319735"/>
      <w:r w:rsidRPr="001558DF">
        <w:rPr>
          <w:rStyle w:val="Refdenotaalfinal"/>
          <w:rFonts w:ascii="Times New Roman" w:hAnsi="Times New Roman"/>
          <w:szCs w:val="24"/>
          <w:vertAlign w:val="baseline"/>
        </w:rPr>
        <w:endnoteReference w:id="30"/>
      </w:r>
      <w:bookmarkEnd w:id="16"/>
      <w:r w:rsidRPr="001558DF">
        <w:rPr>
          <w:rFonts w:ascii="Times New Roman" w:hAnsi="Times New Roman"/>
          <w:szCs w:val="24"/>
        </w:rPr>
        <w:t>,</w:t>
      </w:r>
      <w:r w:rsidRPr="001558DF">
        <w:rPr>
          <w:rStyle w:val="Refdenotaalfinal"/>
          <w:rFonts w:ascii="Times New Roman" w:hAnsi="Times New Roman"/>
          <w:szCs w:val="24"/>
          <w:vertAlign w:val="baseline"/>
        </w:rPr>
        <w:endnoteReference w:id="31"/>
      </w:r>
      <w:r w:rsidR="00B272A7" w:rsidRPr="001558DF">
        <w:rPr>
          <w:rFonts w:ascii="Times New Roman" w:hAnsi="Times New Roman"/>
          <w:szCs w:val="24"/>
        </w:rPr>
        <w:t>].</w:t>
      </w:r>
      <w:r w:rsidRPr="001558DF">
        <w:rPr>
          <w:rFonts w:ascii="Times New Roman" w:hAnsi="Times New Roman"/>
          <w:szCs w:val="24"/>
        </w:rPr>
        <w:t xml:space="preserve"> However, in this case the peaks of the Pt fcc structure for the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 xml:space="preserve">/C sample are broad and have low intensity, which is attributed to a diminishment of the Pt crystallinity due to the large Sn content – this complicates accurate determination of the peak position shift. In fact, for this sample, additional peaks associated </w:t>
      </w:r>
      <w:r w:rsidR="00603F63" w:rsidRPr="001558DF">
        <w:rPr>
          <w:rFonts w:ascii="Times New Roman" w:hAnsi="Times New Roman"/>
          <w:szCs w:val="24"/>
        </w:rPr>
        <w:t xml:space="preserve">with </w:t>
      </w:r>
      <w:r w:rsidRPr="001558DF">
        <w:rPr>
          <w:rFonts w:ascii="Times New Roman" w:hAnsi="Times New Roman"/>
          <w:szCs w:val="24"/>
        </w:rPr>
        <w:t>the (110), (101), (211), (220) and (202) planes of SnO</w:t>
      </w:r>
      <w:r w:rsidRPr="001558DF">
        <w:rPr>
          <w:rFonts w:ascii="Times New Roman" w:hAnsi="Times New Roman"/>
          <w:szCs w:val="24"/>
          <w:vertAlign w:val="subscript"/>
        </w:rPr>
        <w:t>2</w:t>
      </w:r>
      <w:r w:rsidRPr="001558DF">
        <w:rPr>
          <w:rFonts w:ascii="Times New Roman" w:hAnsi="Times New Roman"/>
          <w:szCs w:val="24"/>
        </w:rPr>
        <w:t xml:space="preserve"> can be observed, indicating the poor grade of alloying between Pt and Sn, which is only 66.8 % versus 92.6 % for the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sample.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 xml:space="preserve"> does not show the peaks associated with the hcp phase expected for a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 xml:space="preserve"> alloy, indicating that this sample might be a mixture of the fcc phase with a considerable amount of Sn not alloyed to Pt and segregated to the surface forming SnO</w:t>
      </w:r>
      <w:r w:rsidRPr="001558DF">
        <w:rPr>
          <w:rFonts w:ascii="Times New Roman" w:hAnsi="Times New Roman"/>
          <w:szCs w:val="24"/>
          <w:vertAlign w:val="subscript"/>
        </w:rPr>
        <w:t>2</w:t>
      </w:r>
      <w:r w:rsidRPr="001558DF">
        <w:rPr>
          <w:rFonts w:ascii="Times New Roman" w:hAnsi="Times New Roman"/>
          <w:szCs w:val="24"/>
        </w:rPr>
        <w:t>. In contrast, no peaks related to Sn or its oxides are observed for the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 xml:space="preserve">/C sample. Due to the incorporation of Sn into the fcc structure of Pt, an expansion of the lattice cell is expected since the atomic radius of Sn (1.61 Å) is larger than that of Pt (1.39 Å). In agreement with this, the lattice parameter of the Pt-Sn </w:t>
      </w:r>
      <w:r w:rsidRPr="001558DF">
        <w:rPr>
          <w:rFonts w:ascii="Times New Roman" w:hAnsi="Times New Roman"/>
          <w:szCs w:val="24"/>
        </w:rPr>
        <w:lastRenderedPageBreak/>
        <w:t>alloy samples is greater than that of Pt/C-JM (3.9175 Å) reference and increases with the amount of Sn to 3.9776 Å and 4.0260 Å for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and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respectively. The crystallite size was calculated using the Scherrer equation.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and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materials have an average crystallite size of 3.4 and 3.3 nm, respectively</w:t>
      </w:r>
      <w:r w:rsidR="007B3F29" w:rsidRPr="001558DF">
        <w:t xml:space="preserve">. </w:t>
      </w:r>
      <w:r w:rsidR="005B461B" w:rsidRPr="001558DF">
        <w:t>These values are in good agreement with those observed by TEM (Figure S1).</w:t>
      </w:r>
    </w:p>
    <w:p w14:paraId="669D0F63" w14:textId="43207C32" w:rsidR="000A4437" w:rsidRPr="001558DF" w:rsidRDefault="000A4437" w:rsidP="000A4437">
      <w:pPr>
        <w:pStyle w:val="TAMainText"/>
      </w:pPr>
      <w:r w:rsidRPr="001558DF">
        <w:rPr>
          <w:rFonts w:ascii="Times New Roman" w:hAnsi="Times New Roman"/>
          <w:szCs w:val="24"/>
        </w:rPr>
        <w:t xml:space="preserve">Sn/Pt/C shows the characteristic peaks of the </w:t>
      </w:r>
      <w:proofErr w:type="gramStart"/>
      <w:r w:rsidRPr="001558DF">
        <w:rPr>
          <w:rFonts w:ascii="Times New Roman" w:hAnsi="Times New Roman"/>
          <w:szCs w:val="24"/>
        </w:rPr>
        <w:t>fcc</w:t>
      </w:r>
      <w:proofErr w:type="gramEnd"/>
      <w:r w:rsidRPr="001558DF">
        <w:rPr>
          <w:rFonts w:ascii="Times New Roman" w:hAnsi="Times New Roman"/>
          <w:szCs w:val="24"/>
        </w:rPr>
        <w:t xml:space="preserve"> structure of Pt. In this case, no shifts in the peaks are observed, but the peaks associated to the (110), (101), (211), (220) and (202) planes of SnO</w:t>
      </w:r>
      <w:r w:rsidRPr="001558DF">
        <w:rPr>
          <w:rFonts w:ascii="Times New Roman" w:hAnsi="Times New Roman"/>
          <w:szCs w:val="24"/>
          <w:vertAlign w:val="subscript"/>
        </w:rPr>
        <w:t>2</w:t>
      </w:r>
      <w:r w:rsidRPr="001558DF">
        <w:rPr>
          <w:rFonts w:ascii="Times New Roman" w:hAnsi="Times New Roman"/>
          <w:szCs w:val="24"/>
        </w:rPr>
        <w:t xml:space="preserve"> are observed, which is in agreement with the fact that Sn was not incorporated into the structure of Pt but deposited on its surface as tin oxide, as seen by STEM-EDS. The fact that Sn was not incorporated into the Pt structure is also deduced from the lattice parameter (</w:t>
      </w:r>
      <w:r w:rsidRPr="001558DF">
        <w:rPr>
          <w:rFonts w:ascii="Times New Roman" w:hAnsi="Times New Roman"/>
          <w:kern w:val="24"/>
          <w:szCs w:val="24"/>
        </w:rPr>
        <w:t xml:space="preserve">3.9196 </w:t>
      </w:r>
      <w:r w:rsidRPr="001558DF">
        <w:rPr>
          <w:rFonts w:ascii="Times New Roman" w:hAnsi="Times New Roman"/>
          <w:szCs w:val="24"/>
        </w:rPr>
        <w:t>Å), which is very similar to that of Pt/C-JM (3.9175 Å). The average crystallite size for this material is 4.0 nm, the same as that for the commercial 20 wt % Pt/C-JM catalyst used in its synthesis, and the amount of Sn alloyed is only 8 %</w:t>
      </w:r>
      <w:r w:rsidRPr="001558DF">
        <w:t xml:space="preserve">. </w:t>
      </w:r>
    </w:p>
    <w:p w14:paraId="5EC56410" w14:textId="77777777" w:rsidR="007B3F29" w:rsidRPr="001558DF" w:rsidRDefault="0023239C" w:rsidP="00842F5F">
      <w:pPr>
        <w:pStyle w:val="TAMainText"/>
      </w:pPr>
      <w:r w:rsidRPr="001558DF">
        <w:rPr>
          <w:rFonts w:ascii="Times New Roman" w:hAnsi="Times New Roman"/>
          <w:szCs w:val="24"/>
        </w:rPr>
        <w:t>The effect of Sn on the electronic properties of Pt, as well as the surface composition, was determined by XPS. Figure 2b shows the Pt 4f and Sn 3d XPS spectra for the Pt-Sn catalysts and the commercial Pt/C from JM; the corresponding analysis of both regions is reported in Table S2. The Pt 4f lines contain two peaks, which correspond to Pt 4f</w:t>
      </w:r>
      <w:r w:rsidRPr="001558DF">
        <w:rPr>
          <w:rFonts w:ascii="Times New Roman" w:hAnsi="Times New Roman"/>
          <w:szCs w:val="24"/>
          <w:vertAlign w:val="subscript"/>
        </w:rPr>
        <w:t xml:space="preserve">7/2 </w:t>
      </w:r>
      <w:r w:rsidRPr="001558DF">
        <w:rPr>
          <w:rFonts w:ascii="Times New Roman" w:hAnsi="Times New Roman"/>
          <w:szCs w:val="24"/>
        </w:rPr>
        <w:t>and 4f</w:t>
      </w:r>
      <w:r w:rsidRPr="001558DF">
        <w:rPr>
          <w:rFonts w:ascii="Times New Roman" w:hAnsi="Times New Roman"/>
          <w:szCs w:val="24"/>
          <w:vertAlign w:val="subscript"/>
        </w:rPr>
        <w:t xml:space="preserve">5/2 </w:t>
      </w:r>
      <w:r w:rsidRPr="001558DF">
        <w:rPr>
          <w:rFonts w:ascii="Times New Roman" w:hAnsi="Times New Roman"/>
          <w:szCs w:val="24"/>
        </w:rPr>
        <w:t>states from the spin-orbital splitting. Each peak was deconvoluted using three different chemically shifted components (Pt</w:t>
      </w:r>
      <w:r w:rsidRPr="001558DF">
        <w:rPr>
          <w:rFonts w:ascii="Times New Roman" w:hAnsi="Times New Roman"/>
          <w:szCs w:val="24"/>
          <w:vertAlign w:val="superscript"/>
        </w:rPr>
        <w:t>0</w:t>
      </w:r>
      <w:r w:rsidRPr="001558DF">
        <w:rPr>
          <w:rFonts w:ascii="Times New Roman" w:hAnsi="Times New Roman"/>
          <w:szCs w:val="24"/>
        </w:rPr>
        <w:t>, Pt</w:t>
      </w:r>
      <w:r w:rsidRPr="001558DF">
        <w:rPr>
          <w:rFonts w:ascii="Times New Roman" w:hAnsi="Times New Roman"/>
          <w:szCs w:val="24"/>
          <w:vertAlign w:val="superscript"/>
        </w:rPr>
        <w:t>2+</w:t>
      </w:r>
      <w:r w:rsidRPr="001558DF">
        <w:rPr>
          <w:rFonts w:ascii="Times New Roman" w:hAnsi="Times New Roman"/>
          <w:szCs w:val="24"/>
        </w:rPr>
        <w:t xml:space="preserve"> and Pt</w:t>
      </w:r>
      <w:r w:rsidRPr="001558DF">
        <w:rPr>
          <w:rFonts w:ascii="Times New Roman" w:hAnsi="Times New Roman"/>
          <w:szCs w:val="24"/>
          <w:vertAlign w:val="superscript"/>
        </w:rPr>
        <w:t>4+</w:t>
      </w:r>
      <w:r w:rsidRPr="001558DF">
        <w:rPr>
          <w:rFonts w:ascii="Times New Roman" w:hAnsi="Times New Roman"/>
          <w:szCs w:val="24"/>
        </w:rPr>
        <w:t>) to identify the predominant oxidation state of Pt. As seen in Table S2, Pt</w:t>
      </w:r>
      <w:r w:rsidRPr="001558DF">
        <w:rPr>
          <w:rFonts w:ascii="Times New Roman" w:hAnsi="Times New Roman"/>
          <w:szCs w:val="24"/>
          <w:vertAlign w:val="superscript"/>
        </w:rPr>
        <w:t>0</w:t>
      </w:r>
      <w:r w:rsidRPr="001558DF">
        <w:rPr>
          <w:rFonts w:ascii="Times New Roman" w:hAnsi="Times New Roman"/>
          <w:szCs w:val="24"/>
        </w:rPr>
        <w:t xml:space="preserve"> is the predominant oxidation state in all the Pt-Sn catalysts (around 68-78%). However, all samples present a variable amount of oxidized species, deduced from the Pt 4f</w:t>
      </w:r>
      <w:r w:rsidRPr="001558DF">
        <w:rPr>
          <w:rFonts w:ascii="Times New Roman" w:hAnsi="Times New Roman"/>
          <w:szCs w:val="24"/>
          <w:vertAlign w:val="subscript"/>
        </w:rPr>
        <w:t>7/2</w:t>
      </w:r>
      <w:r w:rsidRPr="001558DF">
        <w:rPr>
          <w:rFonts w:ascii="Times New Roman" w:hAnsi="Times New Roman"/>
          <w:szCs w:val="24"/>
        </w:rPr>
        <w:t xml:space="preserve"> peaks at 72.7 – 74.5 eV.  The presence of Pt oxide phases in all the samples can be attributed to </w:t>
      </w:r>
      <w:r w:rsidRPr="001558DF">
        <w:rPr>
          <w:rFonts w:ascii="Times New Roman" w:hAnsi="Times New Roman"/>
          <w:szCs w:val="24"/>
        </w:rPr>
        <w:lastRenderedPageBreak/>
        <w:t xml:space="preserve">air exposure. This result is explained in more detail with the </w:t>
      </w:r>
      <w:r w:rsidRPr="001558DF">
        <w:rPr>
          <w:rFonts w:ascii="Times New Roman" w:hAnsi="Times New Roman"/>
          <w:i/>
          <w:szCs w:val="24"/>
        </w:rPr>
        <w:t xml:space="preserve">ex situ </w:t>
      </w:r>
      <w:r w:rsidRPr="001558DF">
        <w:rPr>
          <w:rFonts w:ascii="Times New Roman" w:hAnsi="Times New Roman"/>
          <w:szCs w:val="24"/>
        </w:rPr>
        <w:t>EXAFS analysis (see Ex situ XAS measurements Section in SI)</w:t>
      </w:r>
      <w:r w:rsidR="007B3F29" w:rsidRPr="001558DF">
        <w:t xml:space="preserve">. </w:t>
      </w:r>
    </w:p>
    <w:p w14:paraId="559CB13F" w14:textId="161FCACF" w:rsidR="007B3F29" w:rsidRPr="001558DF" w:rsidRDefault="0023239C" w:rsidP="00842F5F">
      <w:pPr>
        <w:pStyle w:val="TAMainText"/>
      </w:pPr>
      <w:r w:rsidRPr="001558DF">
        <w:rPr>
          <w:rFonts w:ascii="Times New Roman" w:hAnsi="Times New Roman"/>
          <w:szCs w:val="24"/>
        </w:rPr>
        <w:t>A shift in the binding energy of the Pt core level to lower energies, compared to those for Pt/C, is observed for the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alloy catalyst (Table S2). This effect may be caused by electronegativity differences of Pt and Sn, and could indicate a charge transfer from Sn, which is less electronegative, to Pt, which is more electronegative, indicating that there is an electronic modification of Pt. For the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 xml:space="preserve">/C sample, however, this effect is not observed, which could be attributed to the poor extent of allowing between Pt and Sn. For the Pt sample modified with Sn, the binding energies are the same </w:t>
      </w:r>
      <w:r w:rsidR="00603F63" w:rsidRPr="001558DF">
        <w:rPr>
          <w:rFonts w:ascii="Times New Roman" w:hAnsi="Times New Roman"/>
          <w:szCs w:val="24"/>
        </w:rPr>
        <w:t xml:space="preserve">as </w:t>
      </w:r>
      <w:r w:rsidRPr="001558DF">
        <w:rPr>
          <w:rFonts w:ascii="Times New Roman" w:hAnsi="Times New Roman"/>
          <w:szCs w:val="24"/>
        </w:rPr>
        <w:t>those for the commercial Pt/C, indicating that, in this case, Sn does not modify the electronic environment of Pt. The electronic effect of the addition of Sn in the different nanostructures was also confirmed by X-ray absorption near edge spectroscopy (XANES) data analysis, and it is explained in the SI (Figure S3)</w:t>
      </w:r>
      <w:r w:rsidR="007B3F29" w:rsidRPr="001558DF">
        <w:t xml:space="preserve">. </w:t>
      </w:r>
    </w:p>
    <w:p w14:paraId="7748AC41" w14:textId="48D5F9D9" w:rsidR="007B3F29" w:rsidRPr="001558DF" w:rsidRDefault="0023239C" w:rsidP="00842F5F">
      <w:pPr>
        <w:pStyle w:val="TAMainText"/>
      </w:pPr>
      <w:r w:rsidRPr="001558DF">
        <w:rPr>
          <w:rFonts w:ascii="Times New Roman" w:hAnsi="Times New Roman"/>
          <w:szCs w:val="24"/>
        </w:rPr>
        <w:t>The Sn 3d XPS spectra also show two peaks, which correspond to Sn 3d</w:t>
      </w:r>
      <w:r w:rsidRPr="001558DF">
        <w:rPr>
          <w:rFonts w:ascii="Times New Roman" w:hAnsi="Times New Roman"/>
          <w:szCs w:val="24"/>
          <w:vertAlign w:val="subscript"/>
        </w:rPr>
        <w:t xml:space="preserve">5/2 </w:t>
      </w:r>
      <w:r w:rsidRPr="001558DF">
        <w:rPr>
          <w:rFonts w:ascii="Times New Roman" w:hAnsi="Times New Roman"/>
          <w:szCs w:val="24"/>
        </w:rPr>
        <w:t>and 3d</w:t>
      </w:r>
      <w:r w:rsidRPr="001558DF">
        <w:rPr>
          <w:rFonts w:ascii="Times New Roman" w:hAnsi="Times New Roman"/>
          <w:szCs w:val="24"/>
          <w:vertAlign w:val="subscript"/>
        </w:rPr>
        <w:t xml:space="preserve">3/2 </w:t>
      </w:r>
      <w:r w:rsidRPr="001558DF">
        <w:rPr>
          <w:rFonts w:ascii="Times New Roman" w:hAnsi="Times New Roman"/>
          <w:szCs w:val="24"/>
        </w:rPr>
        <w:t>states. In this case, the peaks were deconvoluted into two components, one around 487.5 eV attributed to Sn</w:t>
      </w:r>
      <w:r w:rsidRPr="001558DF">
        <w:rPr>
          <w:rFonts w:ascii="Times New Roman" w:hAnsi="Times New Roman"/>
          <w:szCs w:val="24"/>
          <w:vertAlign w:val="superscript"/>
        </w:rPr>
        <w:t>2+</w:t>
      </w:r>
      <w:r w:rsidRPr="001558DF">
        <w:rPr>
          <w:rFonts w:ascii="Times New Roman" w:hAnsi="Times New Roman"/>
          <w:szCs w:val="24"/>
        </w:rPr>
        <w:t xml:space="preserve"> and Sn</w:t>
      </w:r>
      <w:r w:rsidRPr="001558DF">
        <w:rPr>
          <w:rFonts w:ascii="Times New Roman" w:hAnsi="Times New Roman"/>
          <w:szCs w:val="24"/>
          <w:vertAlign w:val="superscript"/>
        </w:rPr>
        <w:t xml:space="preserve">4+ </w:t>
      </w:r>
      <w:r w:rsidRPr="001558DF">
        <w:rPr>
          <w:rFonts w:ascii="Times New Roman" w:hAnsi="Times New Roman"/>
          <w:szCs w:val="24"/>
        </w:rPr>
        <w:t>species and the other one around 485.6 eV corresponding to Sn</w:t>
      </w:r>
      <w:r w:rsidRPr="001558DF">
        <w:rPr>
          <w:rFonts w:ascii="Times New Roman" w:hAnsi="Times New Roman"/>
          <w:szCs w:val="24"/>
          <w:vertAlign w:val="superscript"/>
        </w:rPr>
        <w:t>0</w:t>
      </w:r>
      <w:r w:rsidRPr="001558DF">
        <w:rPr>
          <w:rFonts w:ascii="Times New Roman" w:hAnsi="Times New Roman"/>
          <w:szCs w:val="24"/>
        </w:rPr>
        <w:t xml:space="preserve"> (considered only for the alloy materials). It should be noted that it is not possible to distinguish between Sn</w:t>
      </w:r>
      <w:r w:rsidRPr="001558DF">
        <w:rPr>
          <w:rFonts w:ascii="Times New Roman" w:hAnsi="Times New Roman"/>
          <w:szCs w:val="24"/>
          <w:vertAlign w:val="superscript"/>
        </w:rPr>
        <w:t>2+</w:t>
      </w:r>
      <w:r w:rsidRPr="001558DF">
        <w:rPr>
          <w:rFonts w:ascii="Times New Roman" w:hAnsi="Times New Roman"/>
          <w:szCs w:val="24"/>
        </w:rPr>
        <w:t xml:space="preserve"> and Sn</w:t>
      </w:r>
      <w:r w:rsidRPr="001558DF">
        <w:rPr>
          <w:rFonts w:ascii="Times New Roman" w:hAnsi="Times New Roman"/>
          <w:szCs w:val="24"/>
          <w:vertAlign w:val="superscript"/>
        </w:rPr>
        <w:t xml:space="preserve">4+ </w:t>
      </w:r>
      <w:r w:rsidRPr="001558DF">
        <w:rPr>
          <w:rFonts w:ascii="Times New Roman" w:hAnsi="Times New Roman"/>
          <w:szCs w:val="24"/>
        </w:rPr>
        <w:t>by this technique, as their binding energies are too close. As seen in Figure 2b, Sn is predominantly oxidized in all the samples, which is in agreement with other reports in the literature</w:t>
      </w:r>
      <w:r w:rsidR="00B272A7" w:rsidRPr="001558DF">
        <w:rPr>
          <w:rFonts w:ascii="Times New Roman" w:hAnsi="Times New Roman"/>
          <w:szCs w:val="24"/>
        </w:rPr>
        <w:t xml:space="preserve"> [</w:t>
      </w:r>
      <w:r w:rsidR="00635E92" w:rsidRPr="001558DF">
        <w:rPr>
          <w:rFonts w:ascii="Times New Roman" w:hAnsi="Times New Roman"/>
          <w:szCs w:val="24"/>
        </w:rPr>
        <w:fldChar w:fldCharType="begin"/>
      </w:r>
      <w:r w:rsidR="00635E92" w:rsidRPr="001558DF">
        <w:rPr>
          <w:rFonts w:ascii="Times New Roman" w:hAnsi="Times New Roman"/>
          <w:szCs w:val="24"/>
        </w:rPr>
        <w:instrText xml:space="preserve"> NOTEREF _Ref486349094 \h </w:instrText>
      </w:r>
      <w:r w:rsidR="00635E92" w:rsidRPr="001558DF">
        <w:rPr>
          <w:rFonts w:ascii="Times New Roman" w:hAnsi="Times New Roman"/>
          <w:szCs w:val="24"/>
        </w:rPr>
      </w:r>
      <w:r w:rsidR="001558DF">
        <w:rPr>
          <w:rFonts w:ascii="Times New Roman" w:hAnsi="Times New Roman"/>
          <w:szCs w:val="24"/>
        </w:rPr>
        <w:instrText xml:space="preserve"> \* MERGEFORMAT </w:instrText>
      </w:r>
      <w:r w:rsidR="00635E92" w:rsidRPr="001558DF">
        <w:rPr>
          <w:rFonts w:ascii="Times New Roman" w:hAnsi="Times New Roman"/>
          <w:szCs w:val="24"/>
        </w:rPr>
        <w:fldChar w:fldCharType="separate"/>
      </w:r>
      <w:r w:rsidR="00635E92" w:rsidRPr="001558DF">
        <w:rPr>
          <w:rFonts w:ascii="Times New Roman" w:hAnsi="Times New Roman"/>
          <w:szCs w:val="24"/>
        </w:rPr>
        <w:t>10</w:t>
      </w:r>
      <w:r w:rsidR="00635E92" w:rsidRPr="001558DF">
        <w:rPr>
          <w:rFonts w:ascii="Times New Roman" w:hAnsi="Times New Roman"/>
          <w:szCs w:val="24"/>
        </w:rPr>
        <w:fldChar w:fldCharType="end"/>
      </w:r>
      <w:proofErr w:type="gramStart"/>
      <w:r w:rsidR="00635E92" w:rsidRPr="001558DF">
        <w:rPr>
          <w:rFonts w:ascii="Times New Roman" w:hAnsi="Times New Roman"/>
          <w:szCs w:val="24"/>
        </w:rPr>
        <w:t>,</w:t>
      </w:r>
      <w:proofErr w:type="gramEnd"/>
      <w:r w:rsidRPr="001558DF">
        <w:rPr>
          <w:rFonts w:ascii="Times New Roman" w:hAnsi="Times New Roman"/>
          <w:szCs w:val="24"/>
        </w:rPr>
        <w:fldChar w:fldCharType="begin"/>
      </w:r>
      <w:r w:rsidRPr="001558DF">
        <w:rPr>
          <w:rFonts w:ascii="Times New Roman" w:hAnsi="Times New Roman"/>
          <w:szCs w:val="24"/>
        </w:rPr>
        <w:instrText xml:space="preserve"> NOTEREF _Ref466319642 \h  \* MERGEFORMAT </w:instrText>
      </w:r>
      <w:r w:rsidRPr="001558DF">
        <w:rPr>
          <w:rFonts w:ascii="Times New Roman" w:hAnsi="Times New Roman"/>
          <w:szCs w:val="24"/>
        </w:rPr>
      </w:r>
      <w:r w:rsidRPr="001558DF">
        <w:rPr>
          <w:rFonts w:ascii="Times New Roman" w:hAnsi="Times New Roman"/>
          <w:szCs w:val="24"/>
        </w:rPr>
        <w:fldChar w:fldCharType="separate"/>
      </w:r>
      <w:r w:rsidR="009064D5" w:rsidRPr="001558DF">
        <w:rPr>
          <w:rFonts w:ascii="Times New Roman" w:hAnsi="Times New Roman"/>
          <w:szCs w:val="24"/>
        </w:rPr>
        <w:t>28</w:t>
      </w:r>
      <w:r w:rsidRPr="001558DF">
        <w:rPr>
          <w:rFonts w:ascii="Times New Roman" w:hAnsi="Times New Roman"/>
          <w:szCs w:val="24"/>
        </w:rPr>
        <w:fldChar w:fldCharType="end"/>
      </w:r>
      <w:r w:rsidRPr="001558DF">
        <w:rPr>
          <w:rFonts w:ascii="Times New Roman" w:hAnsi="Times New Roman"/>
          <w:szCs w:val="24"/>
        </w:rPr>
        <w:t>,</w:t>
      </w:r>
      <w:r w:rsidRPr="001558DF">
        <w:rPr>
          <w:rFonts w:ascii="Times New Roman" w:hAnsi="Times New Roman"/>
          <w:szCs w:val="24"/>
        </w:rPr>
        <w:fldChar w:fldCharType="begin"/>
      </w:r>
      <w:r w:rsidRPr="001558DF">
        <w:rPr>
          <w:rFonts w:ascii="Times New Roman" w:hAnsi="Times New Roman"/>
          <w:szCs w:val="24"/>
        </w:rPr>
        <w:instrText xml:space="preserve"> NOTEREF _Ref466319735 \h  \* MERGEFORMAT </w:instrText>
      </w:r>
      <w:r w:rsidRPr="001558DF">
        <w:rPr>
          <w:rFonts w:ascii="Times New Roman" w:hAnsi="Times New Roman"/>
          <w:szCs w:val="24"/>
        </w:rPr>
      </w:r>
      <w:r w:rsidRPr="001558DF">
        <w:rPr>
          <w:rFonts w:ascii="Times New Roman" w:hAnsi="Times New Roman"/>
          <w:szCs w:val="24"/>
        </w:rPr>
        <w:fldChar w:fldCharType="separate"/>
      </w:r>
      <w:r w:rsidR="009064D5" w:rsidRPr="001558DF">
        <w:rPr>
          <w:rFonts w:ascii="Times New Roman" w:hAnsi="Times New Roman"/>
          <w:szCs w:val="24"/>
        </w:rPr>
        <w:t>29</w:t>
      </w:r>
      <w:r w:rsidRPr="001558DF">
        <w:rPr>
          <w:rFonts w:ascii="Times New Roman" w:hAnsi="Times New Roman"/>
          <w:szCs w:val="24"/>
        </w:rPr>
        <w:fldChar w:fldCharType="end"/>
      </w:r>
      <w:r w:rsidRPr="001558DF">
        <w:rPr>
          <w:rFonts w:ascii="Times New Roman" w:hAnsi="Times New Roman"/>
          <w:szCs w:val="24"/>
        </w:rPr>
        <w:t>,</w:t>
      </w:r>
      <w:r w:rsidRPr="001558DF">
        <w:rPr>
          <w:rStyle w:val="Refdenotaalfinal"/>
          <w:rFonts w:ascii="Times New Roman" w:hAnsi="Times New Roman"/>
          <w:szCs w:val="24"/>
          <w:vertAlign w:val="baseline"/>
        </w:rPr>
        <w:endnoteReference w:id="32"/>
      </w:r>
      <w:r w:rsidR="00B272A7" w:rsidRPr="001558DF">
        <w:rPr>
          <w:rFonts w:ascii="Times New Roman" w:hAnsi="Times New Roman"/>
          <w:szCs w:val="24"/>
        </w:rPr>
        <w:t>]</w:t>
      </w:r>
      <w:r w:rsidRPr="001558DF">
        <w:rPr>
          <w:rFonts w:ascii="Times New Roman" w:hAnsi="Times New Roman"/>
          <w:szCs w:val="24"/>
        </w:rPr>
        <w:t xml:space="preserve"> and can be attributed to the strong affinity of Sn towards oxygen. In the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sample, a well-defined shoulder at 485.6 eV is observed, indicating that the presence of Sn</w:t>
      </w:r>
      <w:r w:rsidRPr="001558DF">
        <w:rPr>
          <w:rFonts w:ascii="Times New Roman" w:hAnsi="Times New Roman"/>
          <w:szCs w:val="24"/>
          <w:vertAlign w:val="superscript"/>
        </w:rPr>
        <w:t>0</w:t>
      </w:r>
      <w:r w:rsidRPr="001558DF">
        <w:rPr>
          <w:rFonts w:ascii="Times New Roman" w:hAnsi="Times New Roman"/>
          <w:szCs w:val="24"/>
        </w:rPr>
        <w:t xml:space="preserve"> is significant in this material, which is attributed to the formation of the Pt-Sn alloy. In the fit of the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sample, it was necessary also to include the peak corresponding to Sn</w:t>
      </w:r>
      <w:r w:rsidRPr="001558DF">
        <w:rPr>
          <w:rFonts w:ascii="Times New Roman" w:hAnsi="Times New Roman"/>
          <w:szCs w:val="24"/>
          <w:vertAlign w:val="superscript"/>
        </w:rPr>
        <w:t>0</w:t>
      </w:r>
      <w:r w:rsidRPr="001558DF">
        <w:rPr>
          <w:rFonts w:ascii="Times New Roman" w:hAnsi="Times New Roman"/>
          <w:szCs w:val="24"/>
        </w:rPr>
        <w:t xml:space="preserve"> in order to obtain the best fit</w:t>
      </w:r>
      <w:r w:rsidR="007B3F29" w:rsidRPr="001558DF">
        <w:t xml:space="preserve">. </w:t>
      </w:r>
    </w:p>
    <w:p w14:paraId="3A0528CF" w14:textId="6A1C84A2" w:rsidR="0023239C" w:rsidRPr="001558DF" w:rsidRDefault="0023239C" w:rsidP="00842F5F">
      <w:pPr>
        <w:pStyle w:val="TAMainText"/>
        <w:ind w:firstLine="284"/>
        <w:rPr>
          <w:rFonts w:ascii="Times New Roman" w:hAnsi="Times New Roman"/>
          <w:szCs w:val="24"/>
          <w:vertAlign w:val="superscript"/>
        </w:rPr>
      </w:pPr>
      <w:r w:rsidRPr="001558DF">
        <w:rPr>
          <w:rFonts w:ascii="Times New Roman" w:hAnsi="Times New Roman"/>
          <w:szCs w:val="24"/>
        </w:rPr>
        <w:lastRenderedPageBreak/>
        <w:t>The surface Pt/Sn atomic ratio was calculated from the Pt 4f and Sn 3d peak areas, taking into account the corresponding sensitivity factors (Table S2). In all the Pt-Sn/C samples, the Pt/Sn ratio in the surface (XPS) is lower than that in the bulk (EDX). For the Pt sample modified with Sn, this is justified by the presence of Sn only on the surface of the Pt nanoparticles. However, in the case of the alloy samples, it indicates a surface Sn enrichment. This behaviour has already been described in the literature and it is explained by the lower surface free energy of Sn, respect to Pt, causing the migration of Sn from bulk to the surface</w:t>
      </w:r>
      <w:r w:rsidR="00B272A7" w:rsidRPr="001558DF">
        <w:rPr>
          <w:rFonts w:ascii="Times New Roman" w:hAnsi="Times New Roman"/>
          <w:szCs w:val="24"/>
        </w:rPr>
        <w:t xml:space="preserve"> [</w:t>
      </w:r>
      <w:r w:rsidRPr="001558DF">
        <w:rPr>
          <w:rFonts w:ascii="Times New Roman" w:hAnsi="Times New Roman"/>
          <w:szCs w:val="24"/>
        </w:rPr>
        <w:fldChar w:fldCharType="begin"/>
      </w:r>
      <w:r w:rsidRPr="001558DF">
        <w:rPr>
          <w:rFonts w:ascii="Times New Roman" w:hAnsi="Times New Roman"/>
          <w:szCs w:val="24"/>
        </w:rPr>
        <w:instrText xml:space="preserve"> NOTEREF _Ref466319735 \h  \* MERGEFORMAT </w:instrText>
      </w:r>
      <w:r w:rsidRPr="001558DF">
        <w:rPr>
          <w:rFonts w:ascii="Times New Roman" w:hAnsi="Times New Roman"/>
          <w:szCs w:val="24"/>
        </w:rPr>
      </w:r>
      <w:r w:rsidRPr="001558DF">
        <w:rPr>
          <w:rFonts w:ascii="Times New Roman" w:hAnsi="Times New Roman"/>
          <w:szCs w:val="24"/>
        </w:rPr>
        <w:fldChar w:fldCharType="separate"/>
      </w:r>
      <w:r w:rsidR="009064D5" w:rsidRPr="001558DF">
        <w:rPr>
          <w:rFonts w:ascii="Times New Roman" w:hAnsi="Times New Roman"/>
          <w:szCs w:val="24"/>
        </w:rPr>
        <w:t>29</w:t>
      </w:r>
      <w:r w:rsidRPr="001558DF">
        <w:rPr>
          <w:rFonts w:ascii="Times New Roman" w:hAnsi="Times New Roman"/>
          <w:szCs w:val="24"/>
        </w:rPr>
        <w:fldChar w:fldCharType="end"/>
      </w:r>
      <w:r w:rsidR="00B272A7" w:rsidRPr="001558DF">
        <w:rPr>
          <w:rFonts w:ascii="Times New Roman" w:hAnsi="Times New Roman"/>
          <w:szCs w:val="24"/>
        </w:rPr>
        <w:t>].</w:t>
      </w:r>
    </w:p>
    <w:p w14:paraId="72FB55F4" w14:textId="77777777" w:rsidR="007B3F29" w:rsidRPr="001558DF" w:rsidRDefault="0023239C" w:rsidP="00842F5F">
      <w:pPr>
        <w:pStyle w:val="TAMainText"/>
      </w:pPr>
      <w:r w:rsidRPr="001558DF">
        <w:rPr>
          <w:rFonts w:ascii="Times New Roman" w:hAnsi="Times New Roman"/>
          <w:szCs w:val="24"/>
        </w:rPr>
        <w:t xml:space="preserve">The stability of these materials under electrochemical conditions over the applied potential (potential range = 0.2 – 0.6 V vs RHE) and the effects of ethanol on the structures were determined by using </w:t>
      </w:r>
      <w:r w:rsidRPr="001558DF">
        <w:rPr>
          <w:rFonts w:ascii="Times New Roman" w:hAnsi="Times New Roman"/>
          <w:i/>
          <w:szCs w:val="24"/>
        </w:rPr>
        <w:t>in situ</w:t>
      </w:r>
      <w:r w:rsidRPr="001558DF">
        <w:rPr>
          <w:rFonts w:ascii="Times New Roman" w:hAnsi="Times New Roman"/>
          <w:szCs w:val="24"/>
        </w:rPr>
        <w:t xml:space="preserve"> EXAFS measurements. The parameters extracted from the EXAFS spectra fits for the fresh samples are reported in Tables 1, 2 and S4, whilst the </w:t>
      </w:r>
      <w:r w:rsidRPr="001558DF">
        <w:rPr>
          <w:rFonts w:ascii="Times New Roman"/>
          <w:szCs w:val="24"/>
        </w:rPr>
        <w:t xml:space="preserve">Fourier transformed EXAFS spectra and the corresponding </w:t>
      </w:r>
      <w:r w:rsidRPr="001558DF">
        <w:rPr>
          <w:rFonts w:ascii="Times New Roman"/>
          <w:i/>
          <w:szCs w:val="24"/>
        </w:rPr>
        <w:t>k</w:t>
      </w:r>
      <w:r w:rsidRPr="001558DF">
        <w:rPr>
          <w:rFonts w:ascii="Times New Roman"/>
          <w:szCs w:val="24"/>
        </w:rPr>
        <w:t>-space spectra are depicted in Figures S4 and S5</w:t>
      </w:r>
      <w:r w:rsidR="007B3F29" w:rsidRPr="001558DF">
        <w:t>.</w:t>
      </w:r>
    </w:p>
    <w:p w14:paraId="2F1D59CB" w14:textId="77777777" w:rsidR="007B3F29" w:rsidRPr="001558DF" w:rsidRDefault="00315D4D" w:rsidP="00842F5F">
      <w:pPr>
        <w:pStyle w:val="TAMainText"/>
      </w:pPr>
      <w:r w:rsidRPr="001558DF">
        <w:rPr>
          <w:rFonts w:ascii="Times New Roman" w:hAnsi="Times New Roman"/>
          <w:szCs w:val="24"/>
        </w:rPr>
        <w:t xml:space="preserve">Comparing the structural parameters determined from the </w:t>
      </w:r>
      <w:r w:rsidRPr="001558DF">
        <w:rPr>
          <w:rFonts w:ascii="Times New Roman" w:hAnsi="Times New Roman"/>
          <w:i/>
          <w:szCs w:val="24"/>
        </w:rPr>
        <w:t>ex situ</w:t>
      </w:r>
      <w:r w:rsidRPr="001558DF">
        <w:rPr>
          <w:rFonts w:ascii="Times New Roman" w:hAnsi="Times New Roman"/>
          <w:szCs w:val="24"/>
        </w:rPr>
        <w:t xml:space="preserve"> and </w:t>
      </w:r>
      <w:r w:rsidRPr="001558DF">
        <w:rPr>
          <w:rFonts w:ascii="Times New Roman" w:hAnsi="Times New Roman"/>
          <w:i/>
          <w:szCs w:val="24"/>
        </w:rPr>
        <w:t>in situ</w:t>
      </w:r>
      <w:r w:rsidRPr="001558DF">
        <w:rPr>
          <w:rFonts w:ascii="Times New Roman" w:hAnsi="Times New Roman"/>
          <w:szCs w:val="24"/>
        </w:rPr>
        <w:t xml:space="preserve"> EXAFS measurements, attention is drawn to the disappearance of the Pt oxide (Pt-O</w:t>
      </w:r>
      <w:r w:rsidRPr="001558DF">
        <w:rPr>
          <w:rFonts w:ascii="Times New Roman" w:hAnsi="Times New Roman"/>
          <w:szCs w:val="24"/>
          <w:vertAlign w:val="subscript"/>
        </w:rPr>
        <w:t>1</w:t>
      </w:r>
      <w:r w:rsidRPr="001558DF">
        <w:rPr>
          <w:rFonts w:ascii="Times New Roman" w:hAnsi="Times New Roman"/>
          <w:szCs w:val="24"/>
        </w:rPr>
        <w:t xml:space="preserve"> path) under electrochemical conditions. This result is expected since the potentials investigated are below the potential at which platinum oxide starts to be formed. The reduction of Pt oxide under working conditions is evident from the XANES spectra recorded at 0.4 V (double layer region) at the Pt L</w:t>
      </w:r>
      <w:r w:rsidRPr="001558DF">
        <w:rPr>
          <w:rFonts w:ascii="Times New Roman" w:hAnsi="Times New Roman"/>
          <w:szCs w:val="24"/>
          <w:vertAlign w:val="subscript"/>
        </w:rPr>
        <w:t>3</w:t>
      </w:r>
      <w:r w:rsidRPr="001558DF">
        <w:rPr>
          <w:rFonts w:ascii="Times New Roman" w:hAnsi="Times New Roman"/>
          <w:szCs w:val="24"/>
        </w:rPr>
        <w:t xml:space="preserve"> edge (Figure S6a). A significant reduction of the white line (WL) intensity is observed, compared with the </w:t>
      </w:r>
      <w:r w:rsidRPr="001558DF">
        <w:rPr>
          <w:rFonts w:ascii="Times New Roman" w:hAnsi="Times New Roman"/>
          <w:i/>
          <w:szCs w:val="24"/>
        </w:rPr>
        <w:t>ex situ</w:t>
      </w:r>
      <w:r w:rsidRPr="001558DF">
        <w:rPr>
          <w:rFonts w:ascii="Times New Roman" w:hAnsi="Times New Roman"/>
          <w:szCs w:val="24"/>
        </w:rPr>
        <w:t xml:space="preserve"> XANES data reported in Figure S3a. In the case of Pt/C-JM and Sn/Pt/C, the intensity of the WL is the same as that of the Pt foil, indicating that Pt mainly exists as metallic phase. The decrease of the WL intensity observed for the Pt-Sn alloys compared to the Pt foil, which becomes more significant with the increase of the alloy degree, confirms that </w:t>
      </w:r>
      <w:r w:rsidRPr="001558DF">
        <w:rPr>
          <w:rFonts w:ascii="Times New Roman" w:hAnsi="Times New Roman"/>
          <w:szCs w:val="24"/>
        </w:rPr>
        <w:lastRenderedPageBreak/>
        <w:t>the modification of the electronic structure of Pt due to the electron donation from Sn is maintained under working conditions. The reduction of Pt is also accompanied by other changes in the fitted models that will be described below for each sample.</w:t>
      </w:r>
      <w:r w:rsidR="007B3F29" w:rsidRPr="001558DF">
        <w:t xml:space="preserve"> </w:t>
      </w:r>
    </w:p>
    <w:p w14:paraId="140A86CF" w14:textId="77777777" w:rsidR="007B3F29" w:rsidRPr="001558DF" w:rsidRDefault="00315D4D" w:rsidP="00842F5F">
      <w:pPr>
        <w:pStyle w:val="TAMainText"/>
      </w:pPr>
      <w:r w:rsidRPr="001558DF">
        <w:rPr>
          <w:rFonts w:ascii="Times New Roman" w:hAnsi="Times New Roman"/>
          <w:szCs w:val="24"/>
        </w:rPr>
        <w:t>The commercial Pt/C-JM sample was measured under the same conditions as a reference. As mentioned above, the Pt oxide in the surface of the Pt NPs due to contact with air is reduced under the electrochemical conditions (Table S4). The reduction of Pt results in an increase of the Pt atoms in the first coordination shell from 5.1 to 9.07 (at 0.4 V vs RHE, double layer region). The applied potential seems to not have any significant influence on the Pt structure in the 0.2</w:t>
      </w:r>
      <w:r w:rsidR="00FC05D3" w:rsidRPr="001558DF">
        <w:rPr>
          <w:rFonts w:ascii="Times New Roman" w:hAnsi="Times New Roman"/>
          <w:szCs w:val="24"/>
        </w:rPr>
        <w:t xml:space="preserve"> </w:t>
      </w:r>
      <w:r w:rsidRPr="001558DF">
        <w:rPr>
          <w:rFonts w:ascii="Times New Roman" w:hAnsi="Times New Roman"/>
          <w:szCs w:val="24"/>
        </w:rPr>
        <w:t>-0.6 V potential range, since there is no variation of the coordination number, the Pt-Pt bond length or the disorder (σ</w:t>
      </w:r>
      <w:r w:rsidRPr="001558DF">
        <w:rPr>
          <w:rFonts w:ascii="Times New Roman" w:hAnsi="Times New Roman"/>
          <w:szCs w:val="24"/>
          <w:vertAlign w:val="superscript"/>
        </w:rPr>
        <w:t>2</w:t>
      </w:r>
      <w:r w:rsidRPr="001558DF">
        <w:rPr>
          <w:rFonts w:ascii="Times New Roman" w:hAnsi="Times New Roman"/>
          <w:szCs w:val="24"/>
        </w:rPr>
        <w:t>). The slight variations observed are within the error of the fits. The adsorption of ethanol does not cause changes in the coordination distance or the disorder, and therefore it can be said that the presence of ethanol does not alter the Pt structure</w:t>
      </w:r>
      <w:r w:rsidR="007B3F29" w:rsidRPr="001558DF">
        <w:t xml:space="preserve">. </w:t>
      </w:r>
    </w:p>
    <w:p w14:paraId="72E2604E" w14:textId="77777777" w:rsidR="007B3F29" w:rsidRPr="001558DF" w:rsidRDefault="00315D4D" w:rsidP="00842F5F">
      <w:pPr>
        <w:pStyle w:val="TAMainText"/>
      </w:pPr>
      <w:r w:rsidRPr="001558DF">
        <w:rPr>
          <w:rFonts w:ascii="Times New Roman" w:hAnsi="Times New Roman"/>
          <w:szCs w:val="24"/>
        </w:rPr>
        <w:t>The analysis of the Sn/Pt/C at the Pt L</w:t>
      </w:r>
      <w:r w:rsidRPr="001558DF">
        <w:rPr>
          <w:rFonts w:ascii="Times New Roman" w:hAnsi="Times New Roman"/>
          <w:szCs w:val="24"/>
          <w:vertAlign w:val="subscript"/>
        </w:rPr>
        <w:t>3</w:t>
      </w:r>
      <w:r w:rsidRPr="001558DF">
        <w:rPr>
          <w:rFonts w:ascii="Times New Roman" w:hAnsi="Times New Roman"/>
          <w:szCs w:val="24"/>
        </w:rPr>
        <w:t xml:space="preserve"> edge indicates that Pt is reduced under these electrochemical conditions, as observed for the Pt/C-JM sample, which is reflected in the increase of the Pt atoms in the first coordination shell. It was not possible to fit the Pt-Sn shell because the amount of Pt atoms with a Sn neighbour is too small to be reliably fitted, as described in the SI for the </w:t>
      </w:r>
      <w:r w:rsidRPr="001558DF">
        <w:rPr>
          <w:rFonts w:ascii="Times New Roman" w:hAnsi="Times New Roman"/>
          <w:i/>
          <w:szCs w:val="24"/>
        </w:rPr>
        <w:t>ex situ</w:t>
      </w:r>
      <w:r w:rsidRPr="001558DF">
        <w:rPr>
          <w:rFonts w:ascii="Times New Roman" w:hAnsi="Times New Roman"/>
          <w:szCs w:val="24"/>
        </w:rPr>
        <w:t xml:space="preserve"> measurements. The analysis at the Sn K edge suggests that the SnO</w:t>
      </w:r>
      <w:r w:rsidRPr="001558DF">
        <w:rPr>
          <w:rFonts w:ascii="Times New Roman" w:hAnsi="Times New Roman"/>
          <w:szCs w:val="24"/>
          <w:vertAlign w:val="subscript"/>
        </w:rPr>
        <w:t>2</w:t>
      </w:r>
      <w:r w:rsidRPr="001558DF">
        <w:rPr>
          <w:rFonts w:ascii="Times New Roman" w:hAnsi="Times New Roman"/>
          <w:szCs w:val="24"/>
        </w:rPr>
        <w:t xml:space="preserve"> shell is very stable and it is not reduced under electrochemical conditions due to the high affinity of Sn towards oxygen (see also Figure S6b). Varying the potential does not result in changes of the coordination number (N) or coordination distances (R), indicating that the Sn/Pt nanostructure is stable under operating conditions. The introduction of ethanol in the cell does not cause variation of the structural parameters at 0.2 and 0.4 V at the Pt edge. However, an increase of the Sn-Sn bond distance from 3.223 to 3.239 Å and the decrease of the Sn-O </w:t>
      </w:r>
      <w:r w:rsidRPr="001558DF">
        <w:rPr>
          <w:rFonts w:ascii="Times New Roman" w:hAnsi="Times New Roman"/>
          <w:szCs w:val="24"/>
        </w:rPr>
        <w:lastRenderedPageBreak/>
        <w:t>coordination number from 5.28 to 4.81 are observed at 0.6 V in the presence of ethanol. This could indicate a slight reduction of the SnO</w:t>
      </w:r>
      <w:r w:rsidRPr="001558DF">
        <w:rPr>
          <w:rFonts w:ascii="Times New Roman" w:hAnsi="Times New Roman"/>
          <w:szCs w:val="24"/>
          <w:vertAlign w:val="subscript"/>
        </w:rPr>
        <w:t>2</w:t>
      </w:r>
      <w:r w:rsidRPr="001558DF">
        <w:rPr>
          <w:rFonts w:ascii="Times New Roman" w:hAnsi="Times New Roman"/>
          <w:szCs w:val="24"/>
        </w:rPr>
        <w:t xml:space="preserve"> layer due to the adsorption of ethanol</w:t>
      </w:r>
      <w:r w:rsidR="007B3F29" w:rsidRPr="001558DF">
        <w:t xml:space="preserve">. </w:t>
      </w:r>
    </w:p>
    <w:p w14:paraId="71957782" w14:textId="0340FE92" w:rsidR="007B3F29" w:rsidRPr="001558DF" w:rsidRDefault="00315D4D" w:rsidP="00842F5F">
      <w:pPr>
        <w:pStyle w:val="TAMainText"/>
      </w:pPr>
      <w:r w:rsidRPr="001558DF">
        <w:rPr>
          <w:rFonts w:ascii="Times New Roman" w:hAnsi="Times New Roman"/>
          <w:szCs w:val="24"/>
        </w:rPr>
        <w:t>For the Pt</w:t>
      </w:r>
      <w:r w:rsidRPr="001558DF">
        <w:rPr>
          <w:rFonts w:ascii="Times New Roman" w:hAnsi="Times New Roman"/>
          <w:szCs w:val="24"/>
          <w:vertAlign w:val="subscript"/>
        </w:rPr>
        <w:t>3</w:t>
      </w:r>
      <w:r w:rsidRPr="001558DF">
        <w:rPr>
          <w:rFonts w:ascii="Times New Roman" w:hAnsi="Times New Roman"/>
          <w:szCs w:val="24"/>
        </w:rPr>
        <w:t>Sn/C sample, a slight increase of the Pt-Sn interactions at the Pt L</w:t>
      </w:r>
      <w:r w:rsidRPr="001558DF">
        <w:rPr>
          <w:rFonts w:ascii="Times New Roman" w:hAnsi="Times New Roman"/>
          <w:szCs w:val="24"/>
          <w:vertAlign w:val="subscript"/>
        </w:rPr>
        <w:t>3</w:t>
      </w:r>
      <w:r w:rsidRPr="001558DF">
        <w:rPr>
          <w:rFonts w:ascii="Times New Roman" w:hAnsi="Times New Roman"/>
          <w:szCs w:val="24"/>
        </w:rPr>
        <w:t xml:space="preserve"> edge is observed when increasing the potential, which has been previously attributed to a change in the morphology, from more spherical at low potentials to a more raft-like at higher potentials</w:t>
      </w:r>
      <w:r w:rsidR="00B272A7" w:rsidRPr="001558DF">
        <w:rPr>
          <w:rFonts w:ascii="Times New Roman" w:hAnsi="Times New Roman"/>
          <w:szCs w:val="24"/>
        </w:rPr>
        <w:t xml:space="preserve"> [</w:t>
      </w:r>
      <w:r w:rsidRPr="001558DF">
        <w:rPr>
          <w:rStyle w:val="Refdenotaalfinal"/>
          <w:rFonts w:ascii="Times New Roman" w:hAnsi="Times New Roman"/>
          <w:szCs w:val="24"/>
          <w:vertAlign w:val="baseline"/>
        </w:rPr>
        <w:endnoteReference w:id="33"/>
      </w:r>
      <w:r w:rsidR="00B272A7" w:rsidRPr="001558DF">
        <w:rPr>
          <w:rFonts w:ascii="Times New Roman" w:hAnsi="Times New Roman"/>
          <w:szCs w:val="24"/>
        </w:rPr>
        <w:t>].</w:t>
      </w:r>
      <w:r w:rsidRPr="001558DF">
        <w:rPr>
          <w:rFonts w:ascii="Times New Roman" w:hAnsi="Times New Roman"/>
          <w:szCs w:val="24"/>
        </w:rPr>
        <w:t xml:space="preserve"> In that work, the samples were only analysed at the Pt L</w:t>
      </w:r>
      <w:r w:rsidRPr="001558DF">
        <w:rPr>
          <w:rFonts w:ascii="Times New Roman" w:hAnsi="Times New Roman"/>
          <w:szCs w:val="24"/>
          <w:vertAlign w:val="subscript"/>
        </w:rPr>
        <w:t>3</w:t>
      </w:r>
      <w:r w:rsidRPr="001558DF">
        <w:rPr>
          <w:rFonts w:ascii="Times New Roman" w:hAnsi="Times New Roman"/>
          <w:szCs w:val="24"/>
        </w:rPr>
        <w:t xml:space="preserve"> edge. Analysing the samples at the Sn K edge, a slight increase of the Sn-Pt interactions, as well as an increase of the Sn-O ones, is also observed. In presence of ethanol, the migration of the Sn atoms into the NPs could take place, which may be attributed to a higher affinity of Pt towards ethanol. These morphological changes are evidenced by a decrease of the N</w:t>
      </w:r>
      <w:r w:rsidRPr="001558DF">
        <w:rPr>
          <w:rFonts w:ascii="Times New Roman" w:hAnsi="Times New Roman"/>
          <w:szCs w:val="24"/>
          <w:vertAlign w:val="subscript"/>
        </w:rPr>
        <w:t>Pt-Pt</w:t>
      </w:r>
      <w:r w:rsidRPr="001558DF">
        <w:rPr>
          <w:rFonts w:ascii="Times New Roman" w:hAnsi="Times New Roman"/>
          <w:szCs w:val="24"/>
        </w:rPr>
        <w:t xml:space="preserve"> and increase of N</w:t>
      </w:r>
      <w:r w:rsidRPr="001558DF">
        <w:rPr>
          <w:rFonts w:ascii="Times New Roman" w:hAnsi="Times New Roman"/>
          <w:szCs w:val="24"/>
          <w:vertAlign w:val="subscript"/>
        </w:rPr>
        <w:t>Pt-Sn</w:t>
      </w:r>
      <w:r w:rsidRPr="001558DF">
        <w:rPr>
          <w:rFonts w:ascii="Times New Roman" w:hAnsi="Times New Roman"/>
          <w:szCs w:val="24"/>
        </w:rPr>
        <w:t xml:space="preserve"> with an increase of the R</w:t>
      </w:r>
      <w:r w:rsidRPr="001558DF">
        <w:rPr>
          <w:rFonts w:ascii="Times New Roman" w:hAnsi="Times New Roman"/>
          <w:szCs w:val="24"/>
          <w:vertAlign w:val="subscript"/>
        </w:rPr>
        <w:t>Pt-Pt</w:t>
      </w:r>
      <w:r w:rsidRPr="001558DF">
        <w:rPr>
          <w:rFonts w:ascii="Times New Roman" w:hAnsi="Times New Roman"/>
          <w:szCs w:val="24"/>
        </w:rPr>
        <w:t xml:space="preserve"> and a decrease of R</w:t>
      </w:r>
      <w:r w:rsidRPr="001558DF">
        <w:rPr>
          <w:rFonts w:ascii="Times New Roman" w:hAnsi="Times New Roman"/>
          <w:szCs w:val="24"/>
          <w:vertAlign w:val="subscript"/>
        </w:rPr>
        <w:t>Pt-Sn</w:t>
      </w:r>
      <w:r w:rsidRPr="001558DF">
        <w:rPr>
          <w:rFonts w:ascii="Times New Roman" w:hAnsi="Times New Roman"/>
          <w:szCs w:val="24"/>
        </w:rPr>
        <w:t>. In the presence of ethanol, a slight decrease in the number of Sn-O interactions is also observed for this sample, which is interpreted as a slight reduction of the SnO</w:t>
      </w:r>
      <w:r w:rsidRPr="001558DF">
        <w:rPr>
          <w:rFonts w:ascii="Times New Roman" w:hAnsi="Times New Roman"/>
          <w:szCs w:val="24"/>
          <w:vertAlign w:val="subscript"/>
        </w:rPr>
        <w:t>2</w:t>
      </w:r>
      <w:r w:rsidRPr="001558DF">
        <w:rPr>
          <w:rFonts w:ascii="Times New Roman" w:hAnsi="Times New Roman"/>
          <w:szCs w:val="24"/>
        </w:rPr>
        <w:t xml:space="preserve"> layer due to the adsorption of ethanol, as for the Sn/Pt/C sample. However, despite the small changes, it can be concluded that both nanostructures are stable in the potential range studied and in presence of ethanol</w:t>
      </w:r>
      <w:r w:rsidR="007B3F29" w:rsidRPr="001558DF">
        <w:t>.</w:t>
      </w:r>
    </w:p>
    <w:p w14:paraId="3F49B42C" w14:textId="1B23E09E" w:rsidR="0005588D" w:rsidRPr="001558DF" w:rsidRDefault="0005588D">
      <w:pPr>
        <w:spacing w:after="0"/>
        <w:jc w:val="left"/>
        <w:rPr>
          <w:b/>
        </w:rPr>
      </w:pPr>
    </w:p>
    <w:p w14:paraId="4F448AE8" w14:textId="2A7F7DD8" w:rsidR="007B3F29" w:rsidRPr="001558DF" w:rsidRDefault="00664326" w:rsidP="00842F5F">
      <w:pPr>
        <w:pStyle w:val="TAMainText"/>
        <w:ind w:firstLine="204"/>
      </w:pPr>
      <w:r w:rsidRPr="001558DF">
        <w:rPr>
          <w:rFonts w:ascii="Times New Roman" w:hAnsi="Times New Roman"/>
          <w:szCs w:val="24"/>
        </w:rPr>
        <w:t>Once the stability of the Pt-Sn nanostructures under EOR conditions was confirmed, the EOR activities were established using cyclic voltammetry. Figure 3 shows the activity of the different Pt-Sn materials and the commercial Pt/C. It can be clearly seen that the addition of Sn results in an approximately 0.2 V shift of the onset potential to more negative potentials and in the increase of the current densities, compared to those obtained with the commercial Pt/C-JM. This effect is attributed to the fact that Sn promotes the water activation at lower potentials than Pt (see CO-stripping CVs in Figure S</w:t>
      </w:r>
      <w:r w:rsidR="00682108" w:rsidRPr="001558DF">
        <w:rPr>
          <w:rFonts w:ascii="Times New Roman" w:hAnsi="Times New Roman"/>
          <w:szCs w:val="24"/>
        </w:rPr>
        <w:t>7</w:t>
      </w:r>
      <w:r w:rsidRPr="001558DF">
        <w:rPr>
          <w:rFonts w:ascii="Times New Roman" w:hAnsi="Times New Roman"/>
          <w:szCs w:val="24"/>
        </w:rPr>
        <w:t>), incorporating oxidant species (OH</w:t>
      </w:r>
      <w:r w:rsidRPr="001558DF">
        <w:rPr>
          <w:rFonts w:ascii="Times New Roman" w:hAnsi="Times New Roman"/>
          <w:szCs w:val="24"/>
          <w:vertAlign w:val="subscript"/>
        </w:rPr>
        <w:t>ads</w:t>
      </w:r>
      <w:r w:rsidRPr="001558DF">
        <w:rPr>
          <w:rFonts w:ascii="Times New Roman" w:hAnsi="Times New Roman"/>
          <w:szCs w:val="24"/>
        </w:rPr>
        <w:t xml:space="preserve">) to the surface that helps to oxidize ethanol. This result is consistent with the fact that the ethanol oxidation starts at around </w:t>
      </w:r>
      <w:r w:rsidRPr="001558DF">
        <w:rPr>
          <w:rFonts w:ascii="Times New Roman" w:hAnsi="Times New Roman"/>
          <w:szCs w:val="24"/>
        </w:rPr>
        <w:lastRenderedPageBreak/>
        <w:t>0.6 V on Pt NPs, a potential at which OH</w:t>
      </w:r>
      <w:r w:rsidRPr="001558DF">
        <w:rPr>
          <w:rFonts w:ascii="Times New Roman" w:hAnsi="Times New Roman"/>
          <w:szCs w:val="24"/>
          <w:vertAlign w:val="subscript"/>
        </w:rPr>
        <w:t>ads</w:t>
      </w:r>
      <w:r w:rsidRPr="001558DF">
        <w:rPr>
          <w:rFonts w:ascii="Times New Roman" w:hAnsi="Times New Roman"/>
          <w:szCs w:val="24"/>
        </w:rPr>
        <w:t xml:space="preserve"> species are present on the NP surface</w:t>
      </w:r>
      <w:bookmarkStart w:id="17" w:name="_Ref472351395"/>
      <w:r w:rsidR="00B272A7" w:rsidRPr="001558DF">
        <w:rPr>
          <w:rFonts w:ascii="Times New Roman" w:hAnsi="Times New Roman"/>
          <w:szCs w:val="24"/>
        </w:rPr>
        <w:t xml:space="preserve"> [</w:t>
      </w:r>
      <w:r w:rsidRPr="001558DF">
        <w:rPr>
          <w:rStyle w:val="Refdenotaalfinal"/>
          <w:rFonts w:ascii="Times New Roman" w:hAnsi="Times New Roman"/>
          <w:szCs w:val="24"/>
          <w:vertAlign w:val="baseline"/>
        </w:rPr>
        <w:endnoteReference w:id="34"/>
      </w:r>
      <w:bookmarkEnd w:id="17"/>
      <w:r w:rsidR="00B272A7" w:rsidRPr="001558DF">
        <w:rPr>
          <w:rFonts w:ascii="Times New Roman" w:hAnsi="Times New Roman"/>
          <w:szCs w:val="24"/>
        </w:rPr>
        <w:t>].</w:t>
      </w:r>
      <w:r w:rsidRPr="001558DF">
        <w:rPr>
          <w:rFonts w:ascii="Times New Roman" w:hAnsi="Times New Roman"/>
          <w:szCs w:val="24"/>
        </w:rPr>
        <w:t xml:space="preserve"> In the literature, the better performance of the Pt-Sn alloys in the electrooxidation of ethanol, both in terms of current density at a given potential and onset potential, has also been attributed both to the expansion of the lattice parameter of Pt (seen by XRD), which could catalyse the cleavage of the C-C bond, and to the electronic effect that could result in a weaker bond between Pt and carbon atoms, preventing and/or reducing the poisoning by intermediate species</w:t>
      </w:r>
      <w:r w:rsidR="00B272A7" w:rsidRPr="001558DF">
        <w:rPr>
          <w:rFonts w:ascii="Times New Roman" w:hAnsi="Times New Roman"/>
          <w:szCs w:val="24"/>
        </w:rPr>
        <w:t xml:space="preserve"> [</w:t>
      </w:r>
      <w:r w:rsidRPr="001558DF">
        <w:rPr>
          <w:rFonts w:ascii="Times New Roman" w:hAnsi="Times New Roman"/>
          <w:szCs w:val="24"/>
        </w:rPr>
        <w:fldChar w:fldCharType="begin"/>
      </w:r>
      <w:r w:rsidRPr="001558DF">
        <w:rPr>
          <w:rFonts w:ascii="Times New Roman" w:hAnsi="Times New Roman"/>
          <w:szCs w:val="24"/>
        </w:rPr>
        <w:instrText xml:space="preserve"> NOTEREF _Ref472351395 \h  \* MERGEFORMAT </w:instrText>
      </w:r>
      <w:r w:rsidRPr="001558DF">
        <w:rPr>
          <w:rFonts w:ascii="Times New Roman" w:hAnsi="Times New Roman"/>
          <w:szCs w:val="24"/>
        </w:rPr>
      </w:r>
      <w:r w:rsidRPr="001558DF">
        <w:rPr>
          <w:rFonts w:ascii="Times New Roman" w:hAnsi="Times New Roman"/>
          <w:szCs w:val="24"/>
        </w:rPr>
        <w:fldChar w:fldCharType="separate"/>
      </w:r>
      <w:r w:rsidR="009064D5" w:rsidRPr="001558DF">
        <w:rPr>
          <w:rFonts w:ascii="Times New Roman" w:hAnsi="Times New Roman"/>
          <w:szCs w:val="24"/>
        </w:rPr>
        <w:t>34</w:t>
      </w:r>
      <w:r w:rsidRPr="001558DF">
        <w:rPr>
          <w:rFonts w:ascii="Times New Roman" w:hAnsi="Times New Roman"/>
          <w:szCs w:val="24"/>
        </w:rPr>
        <w:fldChar w:fldCharType="end"/>
      </w:r>
      <w:r w:rsidRPr="001558DF">
        <w:rPr>
          <w:rFonts w:ascii="Times New Roman" w:hAnsi="Times New Roman"/>
          <w:szCs w:val="24"/>
        </w:rPr>
        <w:t>,</w:t>
      </w:r>
      <w:r w:rsidRPr="001558DF">
        <w:rPr>
          <w:rStyle w:val="Refdenotaalfinal"/>
          <w:rFonts w:ascii="Times New Roman" w:hAnsi="Times New Roman"/>
          <w:szCs w:val="24"/>
          <w:vertAlign w:val="baseline"/>
        </w:rPr>
        <w:endnoteReference w:id="35"/>
      </w:r>
      <w:r w:rsidR="00B272A7" w:rsidRPr="001558DF">
        <w:rPr>
          <w:rFonts w:ascii="Times New Roman" w:hAnsi="Times New Roman"/>
          <w:szCs w:val="24"/>
        </w:rPr>
        <w:t>].</w:t>
      </w:r>
      <w:r w:rsidRPr="001558DF">
        <w:rPr>
          <w:rFonts w:ascii="Times New Roman" w:hAnsi="Times New Roman"/>
          <w:szCs w:val="24"/>
        </w:rPr>
        <w:t xml:space="preserve"> Therefore, both the structural and electronic effect could explain the higher current densities obtained with the two Pt-Sn alloys (Pt</w:t>
      </w:r>
      <w:r w:rsidRPr="001558DF">
        <w:rPr>
          <w:rFonts w:ascii="Times New Roman" w:hAnsi="Times New Roman"/>
          <w:szCs w:val="24"/>
          <w:vertAlign w:val="subscript"/>
        </w:rPr>
        <w:t>3</w:t>
      </w:r>
      <w:r w:rsidRPr="001558DF">
        <w:rPr>
          <w:rFonts w:ascii="Times New Roman" w:hAnsi="Times New Roman"/>
          <w:szCs w:val="24"/>
        </w:rPr>
        <w:t>Sn/C and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than with the Sn modified Pt surface. Recently, it has been demonstrated that Pt-Sn materials promote the partial oxidation of ethanol to acetaldehyde and acetic acid</w:t>
      </w:r>
      <w:r w:rsidR="00B272A7" w:rsidRPr="001558DF">
        <w:rPr>
          <w:rFonts w:ascii="Times New Roman" w:hAnsi="Times New Roman"/>
          <w:szCs w:val="24"/>
        </w:rPr>
        <w:t xml:space="preserve"> [</w:t>
      </w:r>
      <w:r w:rsidRPr="001558DF">
        <w:rPr>
          <w:rFonts w:ascii="Times New Roman" w:hAnsi="Times New Roman"/>
          <w:szCs w:val="24"/>
        </w:rPr>
        <w:fldChar w:fldCharType="begin"/>
      </w:r>
      <w:r w:rsidRPr="001558DF">
        <w:rPr>
          <w:rFonts w:ascii="Times New Roman" w:hAnsi="Times New Roman"/>
          <w:szCs w:val="24"/>
        </w:rPr>
        <w:instrText xml:space="preserve"> NOTEREF _Ref475868832 \h  \* MERGEFORMAT </w:instrText>
      </w:r>
      <w:r w:rsidRPr="001558DF">
        <w:rPr>
          <w:rFonts w:ascii="Times New Roman" w:hAnsi="Times New Roman"/>
          <w:szCs w:val="24"/>
        </w:rPr>
      </w:r>
      <w:r w:rsidRPr="001558DF">
        <w:rPr>
          <w:rFonts w:ascii="Times New Roman" w:hAnsi="Times New Roman"/>
          <w:szCs w:val="24"/>
        </w:rPr>
        <w:fldChar w:fldCharType="separate"/>
      </w:r>
      <w:r w:rsidR="009064D5" w:rsidRPr="001558DF">
        <w:rPr>
          <w:rFonts w:ascii="Times New Roman" w:hAnsi="Times New Roman"/>
          <w:szCs w:val="24"/>
        </w:rPr>
        <w:t>7</w:t>
      </w:r>
      <w:r w:rsidRPr="001558DF">
        <w:rPr>
          <w:rFonts w:ascii="Times New Roman" w:hAnsi="Times New Roman"/>
          <w:szCs w:val="24"/>
        </w:rPr>
        <w:fldChar w:fldCharType="end"/>
      </w:r>
      <w:r w:rsidRPr="001558DF">
        <w:rPr>
          <w:rFonts w:ascii="Times New Roman" w:hAnsi="Times New Roman"/>
          <w:szCs w:val="24"/>
        </w:rPr>
        <w:t>,</w:t>
      </w:r>
      <w:r w:rsidRPr="001558DF">
        <w:rPr>
          <w:rStyle w:val="Refdenotaalfinal"/>
          <w:rFonts w:ascii="Times New Roman" w:hAnsi="Times New Roman"/>
          <w:szCs w:val="24"/>
          <w:vertAlign w:val="baseline"/>
        </w:rPr>
        <w:endnoteReference w:id="36"/>
      </w:r>
      <w:r w:rsidR="00B272A7" w:rsidRPr="001558DF">
        <w:rPr>
          <w:rFonts w:ascii="Times New Roman" w:hAnsi="Times New Roman"/>
          <w:szCs w:val="24"/>
        </w:rPr>
        <w:t>],</w:t>
      </w:r>
      <w:r w:rsidRPr="001558DF">
        <w:rPr>
          <w:rFonts w:ascii="Times New Roman" w:hAnsi="Times New Roman"/>
          <w:szCs w:val="24"/>
        </w:rPr>
        <w:t xml:space="preserve"> suggesting that the higher currents obtained during the CV measurements are due to the production of these partial oxidation products and not the complete oxidation of ethanol to CO</w:t>
      </w:r>
      <w:r w:rsidRPr="001558DF">
        <w:rPr>
          <w:rFonts w:ascii="Times New Roman" w:hAnsi="Times New Roman"/>
          <w:szCs w:val="24"/>
          <w:vertAlign w:val="subscript"/>
        </w:rPr>
        <w:t>2</w:t>
      </w:r>
      <w:r w:rsidR="007B3F29" w:rsidRPr="001558DF">
        <w:t xml:space="preserve">. </w:t>
      </w:r>
    </w:p>
    <w:p w14:paraId="1391BA5B" w14:textId="12E812D8" w:rsidR="0005588D" w:rsidRPr="001558DF" w:rsidRDefault="0005588D">
      <w:pPr>
        <w:spacing w:after="0"/>
        <w:jc w:val="left"/>
      </w:pPr>
    </w:p>
    <w:p w14:paraId="3B9DD998" w14:textId="6927FFBA" w:rsidR="007B3F29" w:rsidRPr="001558DF" w:rsidRDefault="00766BB3" w:rsidP="00842F5F">
      <w:pPr>
        <w:pStyle w:val="TAMainText"/>
        <w:ind w:firstLine="204"/>
      </w:pPr>
      <w:r w:rsidRPr="001558DF">
        <w:rPr>
          <w:rFonts w:ascii="Times New Roman" w:hAnsi="Times New Roman"/>
          <w:szCs w:val="24"/>
        </w:rPr>
        <w:t>In order to determine the origin of variation in EOR activity observed in Figure 3 and any differences in selectivity of the catalysts, the EOR at the different nanostructures was</w:t>
      </w:r>
      <w:r w:rsidR="0005588D" w:rsidRPr="001558DF">
        <w:rPr>
          <w:rFonts w:ascii="Times New Roman" w:hAnsi="Times New Roman"/>
          <w:szCs w:val="24"/>
        </w:rPr>
        <w:t xml:space="preserve"> followed</w:t>
      </w:r>
      <w:r w:rsidRPr="001558DF">
        <w:rPr>
          <w:rFonts w:ascii="Times New Roman" w:hAnsi="Times New Roman"/>
          <w:szCs w:val="24"/>
        </w:rPr>
        <w:t xml:space="preserve"> </w:t>
      </w:r>
      <w:r w:rsidRPr="001558DF">
        <w:rPr>
          <w:rFonts w:ascii="Times New Roman" w:hAnsi="Times New Roman"/>
          <w:i/>
          <w:szCs w:val="24"/>
        </w:rPr>
        <w:t>in situ</w:t>
      </w:r>
      <w:r w:rsidRPr="001558DF">
        <w:rPr>
          <w:rFonts w:ascii="Times New Roman" w:hAnsi="Times New Roman"/>
          <w:szCs w:val="24"/>
        </w:rPr>
        <w:t xml:space="preserve"> by FTIR, as shown in Figure 4. Similar adsorbed species can be observed during the electrooxidation of ethanol on all the Pt-Sn materials investigated and on the commercial Pt/C (see Figures 4a-4d). The band observed at </w:t>
      </w:r>
      <w:r w:rsidRPr="001558DF">
        <w:rPr>
          <w:rFonts w:ascii="Times New Roman" w:hAnsi="Times New Roman"/>
          <w:i/>
          <w:szCs w:val="24"/>
        </w:rPr>
        <w:t>ca.</w:t>
      </w:r>
      <w:r w:rsidRPr="001558DF">
        <w:rPr>
          <w:rFonts w:ascii="Times New Roman" w:hAnsi="Times New Roman"/>
          <w:szCs w:val="24"/>
        </w:rPr>
        <w:t xml:space="preserve"> 2342 cm</w:t>
      </w:r>
      <w:r w:rsidRPr="001558DF">
        <w:rPr>
          <w:rFonts w:ascii="Times New Roman" w:hAnsi="Times New Roman"/>
          <w:szCs w:val="24"/>
          <w:vertAlign w:val="superscript"/>
        </w:rPr>
        <w:t>-1</w:t>
      </w:r>
      <w:r w:rsidRPr="001558DF">
        <w:rPr>
          <w:rFonts w:ascii="Times New Roman" w:hAnsi="Times New Roman"/>
          <w:szCs w:val="24"/>
        </w:rPr>
        <w:t xml:space="preserve"> is attributed to the formation of CO</w:t>
      </w:r>
      <w:r w:rsidRPr="001558DF">
        <w:rPr>
          <w:rFonts w:ascii="Times New Roman" w:hAnsi="Times New Roman"/>
          <w:szCs w:val="24"/>
          <w:vertAlign w:val="subscript"/>
        </w:rPr>
        <w:t>2</w:t>
      </w:r>
      <w:r w:rsidRPr="001558DF">
        <w:rPr>
          <w:rFonts w:ascii="Times New Roman" w:hAnsi="Times New Roman"/>
          <w:szCs w:val="24"/>
        </w:rPr>
        <w:t xml:space="preserve"> and, therefore, to the complete oxidation of ethanol</w:t>
      </w:r>
      <w:r w:rsidR="00B272A7" w:rsidRPr="001558DF">
        <w:rPr>
          <w:rFonts w:ascii="Times New Roman" w:hAnsi="Times New Roman"/>
          <w:szCs w:val="24"/>
        </w:rPr>
        <w:t xml:space="preserve"> [</w:t>
      </w:r>
      <w:r w:rsidRPr="001558DF">
        <w:rPr>
          <w:rStyle w:val="Refdenotaalfinal"/>
          <w:rFonts w:ascii="Times New Roman" w:hAnsi="Times New Roman"/>
          <w:szCs w:val="24"/>
          <w:vertAlign w:val="baseline"/>
        </w:rPr>
        <w:endnoteReference w:id="37"/>
      </w:r>
      <w:r w:rsidRPr="001558DF">
        <w:rPr>
          <w:rFonts w:ascii="Times New Roman" w:hAnsi="Times New Roman"/>
          <w:szCs w:val="24"/>
        </w:rPr>
        <w:t>,</w:t>
      </w:r>
      <w:bookmarkStart w:id="18" w:name="_Ref472869481"/>
      <w:r w:rsidRPr="001558DF">
        <w:rPr>
          <w:rStyle w:val="Refdenotaalfinal"/>
          <w:rFonts w:ascii="Times New Roman" w:hAnsi="Times New Roman"/>
          <w:szCs w:val="24"/>
          <w:vertAlign w:val="baseline"/>
        </w:rPr>
        <w:endnoteReference w:id="38"/>
      </w:r>
      <w:bookmarkEnd w:id="18"/>
      <w:r w:rsidR="00B272A7" w:rsidRPr="001558DF">
        <w:rPr>
          <w:rFonts w:ascii="Times New Roman" w:hAnsi="Times New Roman"/>
          <w:szCs w:val="24"/>
        </w:rPr>
        <w:t>].</w:t>
      </w:r>
      <w:r w:rsidRPr="001558DF">
        <w:rPr>
          <w:rFonts w:ascii="Times New Roman" w:hAnsi="Times New Roman"/>
          <w:szCs w:val="24"/>
        </w:rPr>
        <w:t xml:space="preserve"> The band at </w:t>
      </w:r>
      <w:r w:rsidRPr="001558DF">
        <w:rPr>
          <w:rFonts w:ascii="Times New Roman" w:hAnsi="Times New Roman"/>
          <w:i/>
          <w:szCs w:val="24"/>
        </w:rPr>
        <w:t>ca.</w:t>
      </w:r>
      <w:r w:rsidRPr="001558DF">
        <w:rPr>
          <w:rFonts w:ascii="Times New Roman" w:hAnsi="Times New Roman"/>
          <w:szCs w:val="24"/>
        </w:rPr>
        <w:t xml:space="preserve"> 1715 cm</w:t>
      </w:r>
      <w:r w:rsidRPr="001558DF">
        <w:rPr>
          <w:rFonts w:ascii="Times New Roman" w:hAnsi="Times New Roman"/>
          <w:szCs w:val="24"/>
          <w:vertAlign w:val="superscript"/>
        </w:rPr>
        <w:t>-1</w:t>
      </w:r>
      <w:r w:rsidRPr="001558DF">
        <w:rPr>
          <w:rFonts w:ascii="Times New Roman" w:hAnsi="Times New Roman"/>
          <w:szCs w:val="24"/>
        </w:rPr>
        <w:t xml:space="preserve"> corresponds to the C-O stretch of the carbonyl group in both acetaldehyde and acetic acid</w:t>
      </w:r>
      <w:r w:rsidR="00B272A7" w:rsidRPr="001558DF">
        <w:rPr>
          <w:rFonts w:ascii="Times New Roman" w:hAnsi="Times New Roman"/>
          <w:szCs w:val="24"/>
        </w:rPr>
        <w:t xml:space="preserve"> [</w:t>
      </w:r>
      <w:r w:rsidRPr="001558DF">
        <w:rPr>
          <w:rFonts w:ascii="Times New Roman" w:hAnsi="Times New Roman"/>
          <w:szCs w:val="24"/>
        </w:rPr>
        <w:fldChar w:fldCharType="begin"/>
      </w:r>
      <w:r w:rsidRPr="001558DF">
        <w:rPr>
          <w:rFonts w:ascii="Times New Roman" w:hAnsi="Times New Roman"/>
          <w:szCs w:val="24"/>
        </w:rPr>
        <w:instrText xml:space="preserve"> NOTEREF _Ref472869481 \h  \* MERGEFORMAT </w:instrText>
      </w:r>
      <w:r w:rsidRPr="001558DF">
        <w:rPr>
          <w:rFonts w:ascii="Times New Roman" w:hAnsi="Times New Roman"/>
          <w:szCs w:val="24"/>
        </w:rPr>
      </w:r>
      <w:r w:rsidRPr="001558DF">
        <w:rPr>
          <w:rFonts w:ascii="Times New Roman" w:hAnsi="Times New Roman"/>
          <w:szCs w:val="24"/>
        </w:rPr>
        <w:fldChar w:fldCharType="separate"/>
      </w:r>
      <w:r w:rsidR="009064D5" w:rsidRPr="001558DF">
        <w:rPr>
          <w:rFonts w:ascii="Times New Roman" w:hAnsi="Times New Roman"/>
          <w:szCs w:val="24"/>
        </w:rPr>
        <w:t>38</w:t>
      </w:r>
      <w:r w:rsidRPr="001558DF">
        <w:rPr>
          <w:rFonts w:ascii="Times New Roman" w:hAnsi="Times New Roman"/>
          <w:szCs w:val="24"/>
        </w:rPr>
        <w:fldChar w:fldCharType="end"/>
      </w:r>
      <w:r w:rsidR="00B272A7" w:rsidRPr="001558DF">
        <w:rPr>
          <w:rFonts w:ascii="Times New Roman" w:hAnsi="Times New Roman"/>
          <w:szCs w:val="24"/>
        </w:rPr>
        <w:t>],</w:t>
      </w:r>
      <w:r w:rsidRPr="001558DF">
        <w:rPr>
          <w:rFonts w:ascii="Times New Roman" w:hAnsi="Times New Roman"/>
          <w:szCs w:val="24"/>
        </w:rPr>
        <w:t xml:space="preserve"> whereas the band at 1280 cm</w:t>
      </w:r>
      <w:r w:rsidRPr="001558DF">
        <w:rPr>
          <w:rFonts w:ascii="Times New Roman" w:hAnsi="Times New Roman"/>
          <w:szCs w:val="24"/>
          <w:vertAlign w:val="superscript"/>
        </w:rPr>
        <w:t>-1</w:t>
      </w:r>
      <w:r w:rsidRPr="001558DF">
        <w:rPr>
          <w:rFonts w:ascii="Times New Roman" w:hAnsi="Times New Roman"/>
          <w:szCs w:val="24"/>
        </w:rPr>
        <w:t xml:space="preserve"> corresponds to the C-OH stretching in the acetic acid</w:t>
      </w:r>
      <w:r w:rsidR="00B272A7" w:rsidRPr="001558DF">
        <w:rPr>
          <w:rFonts w:ascii="Times New Roman" w:hAnsi="Times New Roman"/>
          <w:szCs w:val="24"/>
        </w:rPr>
        <w:t xml:space="preserve"> [</w:t>
      </w:r>
      <w:r w:rsidRPr="001558DF">
        <w:rPr>
          <w:rStyle w:val="Refdenotaalfinal"/>
          <w:rFonts w:ascii="Times New Roman" w:hAnsi="Times New Roman"/>
          <w:szCs w:val="24"/>
          <w:vertAlign w:val="baseline"/>
        </w:rPr>
        <w:endnoteReference w:id="39"/>
      </w:r>
      <w:r w:rsidR="00B272A7" w:rsidRPr="001558DF">
        <w:rPr>
          <w:rFonts w:ascii="Times New Roman" w:hAnsi="Times New Roman"/>
          <w:szCs w:val="24"/>
        </w:rPr>
        <w:t>].</w:t>
      </w:r>
      <w:r w:rsidRPr="001558DF">
        <w:rPr>
          <w:rFonts w:ascii="Times New Roman" w:hAnsi="Times New Roman"/>
          <w:szCs w:val="24"/>
        </w:rPr>
        <w:t xml:space="preserve"> The latter band will be used to quantify the acetic acid formed, since it can be attributed unequivocally to this product. However, no bands can be exclusively ascribed to the formation of acetaldehyde. The broad band centred at </w:t>
      </w:r>
      <w:r w:rsidRPr="001558DF">
        <w:rPr>
          <w:rFonts w:ascii="Times New Roman" w:hAnsi="Times New Roman"/>
          <w:i/>
          <w:szCs w:val="24"/>
        </w:rPr>
        <w:t>ca.</w:t>
      </w:r>
      <w:r w:rsidRPr="001558DF">
        <w:rPr>
          <w:rFonts w:ascii="Times New Roman" w:hAnsi="Times New Roman"/>
          <w:szCs w:val="24"/>
        </w:rPr>
        <w:t xml:space="preserve"> 1623 cm</w:t>
      </w:r>
      <w:r w:rsidRPr="001558DF">
        <w:rPr>
          <w:rFonts w:ascii="Times New Roman" w:hAnsi="Times New Roman"/>
          <w:szCs w:val="24"/>
          <w:vertAlign w:val="superscript"/>
        </w:rPr>
        <w:t>-1</w:t>
      </w:r>
      <w:r w:rsidRPr="001558DF">
        <w:rPr>
          <w:rFonts w:ascii="Times New Roman" w:hAnsi="Times New Roman"/>
          <w:szCs w:val="24"/>
        </w:rPr>
        <w:t xml:space="preserve"> is associated with the consumption of </w:t>
      </w:r>
      <w:r w:rsidRPr="001558DF">
        <w:rPr>
          <w:rFonts w:ascii="Times New Roman" w:hAnsi="Times New Roman"/>
          <w:szCs w:val="24"/>
        </w:rPr>
        <w:lastRenderedPageBreak/>
        <w:t>water during the electrooxidation of ethanol, and the positive bands at ~2900 cm</w:t>
      </w:r>
      <w:r w:rsidRPr="001558DF">
        <w:rPr>
          <w:rFonts w:ascii="Times New Roman" w:hAnsi="Times New Roman"/>
          <w:szCs w:val="24"/>
          <w:vertAlign w:val="superscript"/>
        </w:rPr>
        <w:t>-1</w:t>
      </w:r>
      <w:r w:rsidRPr="001558DF">
        <w:rPr>
          <w:rFonts w:ascii="Times New Roman" w:hAnsi="Times New Roman"/>
          <w:szCs w:val="24"/>
        </w:rPr>
        <w:t xml:space="preserve"> to the loss of ethanol in the thin layer</w:t>
      </w:r>
      <w:r w:rsidR="00B272A7" w:rsidRPr="001558DF">
        <w:rPr>
          <w:rFonts w:ascii="Times New Roman" w:hAnsi="Times New Roman"/>
          <w:szCs w:val="24"/>
        </w:rPr>
        <w:t xml:space="preserve"> [</w:t>
      </w:r>
      <w:r w:rsidRPr="001558DF">
        <w:rPr>
          <w:rFonts w:ascii="Times New Roman" w:hAnsi="Times New Roman"/>
          <w:szCs w:val="24"/>
        </w:rPr>
        <w:fldChar w:fldCharType="begin"/>
      </w:r>
      <w:r w:rsidRPr="001558DF">
        <w:rPr>
          <w:rFonts w:ascii="Times New Roman" w:hAnsi="Times New Roman"/>
          <w:szCs w:val="24"/>
        </w:rPr>
        <w:instrText xml:space="preserve"> NOTEREF _Ref472869481 \h  \* MERGEFORMAT </w:instrText>
      </w:r>
      <w:r w:rsidRPr="001558DF">
        <w:rPr>
          <w:rFonts w:ascii="Times New Roman" w:hAnsi="Times New Roman"/>
          <w:szCs w:val="24"/>
        </w:rPr>
      </w:r>
      <w:r w:rsidRPr="001558DF">
        <w:rPr>
          <w:rFonts w:ascii="Times New Roman" w:hAnsi="Times New Roman"/>
          <w:szCs w:val="24"/>
        </w:rPr>
        <w:fldChar w:fldCharType="separate"/>
      </w:r>
      <w:r w:rsidR="009064D5" w:rsidRPr="001558DF">
        <w:rPr>
          <w:rFonts w:ascii="Times New Roman" w:hAnsi="Times New Roman"/>
          <w:szCs w:val="24"/>
        </w:rPr>
        <w:t>38</w:t>
      </w:r>
      <w:r w:rsidRPr="001558DF">
        <w:rPr>
          <w:rFonts w:ascii="Times New Roman" w:hAnsi="Times New Roman"/>
          <w:szCs w:val="24"/>
        </w:rPr>
        <w:fldChar w:fldCharType="end"/>
      </w:r>
      <w:r w:rsidR="00B272A7" w:rsidRPr="001558DF">
        <w:rPr>
          <w:rFonts w:ascii="Times New Roman" w:hAnsi="Times New Roman"/>
          <w:szCs w:val="24"/>
        </w:rPr>
        <w:t>].</w:t>
      </w:r>
      <w:r w:rsidRPr="001558DF">
        <w:rPr>
          <w:rFonts w:ascii="Times New Roman" w:hAnsi="Times New Roman"/>
          <w:szCs w:val="24"/>
        </w:rPr>
        <w:t xml:space="preserve"> It is noteworthy that the bands associated </w:t>
      </w:r>
      <w:r w:rsidR="0005588D" w:rsidRPr="001558DF">
        <w:rPr>
          <w:rFonts w:ascii="Times New Roman" w:hAnsi="Times New Roman"/>
          <w:szCs w:val="24"/>
        </w:rPr>
        <w:t xml:space="preserve">with </w:t>
      </w:r>
      <w:r w:rsidRPr="001558DF">
        <w:rPr>
          <w:rFonts w:ascii="Times New Roman" w:hAnsi="Times New Roman"/>
          <w:szCs w:val="24"/>
        </w:rPr>
        <w:t>linear (2050 cm</w:t>
      </w:r>
      <w:r w:rsidRPr="001558DF">
        <w:rPr>
          <w:rFonts w:ascii="Times New Roman" w:hAnsi="Times New Roman"/>
          <w:szCs w:val="24"/>
          <w:vertAlign w:val="superscript"/>
        </w:rPr>
        <w:t>-1</w:t>
      </w:r>
      <w:r w:rsidRPr="001558DF">
        <w:rPr>
          <w:rFonts w:ascii="Times New Roman" w:hAnsi="Times New Roman"/>
          <w:szCs w:val="24"/>
        </w:rPr>
        <w:t>, CO</w:t>
      </w:r>
      <w:r w:rsidRPr="001558DF">
        <w:rPr>
          <w:rFonts w:ascii="Times New Roman" w:hAnsi="Times New Roman"/>
          <w:szCs w:val="24"/>
          <w:vertAlign w:val="subscript"/>
        </w:rPr>
        <w:t>L</w:t>
      </w:r>
      <w:r w:rsidRPr="001558DF">
        <w:rPr>
          <w:rFonts w:ascii="Times New Roman" w:hAnsi="Times New Roman"/>
          <w:szCs w:val="24"/>
        </w:rPr>
        <w:t>) and bridge (1836 cm</w:t>
      </w:r>
      <w:r w:rsidRPr="001558DF">
        <w:rPr>
          <w:rFonts w:ascii="Times New Roman" w:hAnsi="Times New Roman"/>
          <w:szCs w:val="24"/>
          <w:vertAlign w:val="superscript"/>
        </w:rPr>
        <w:t>-1</w:t>
      </w:r>
      <w:r w:rsidRPr="001558DF">
        <w:rPr>
          <w:rFonts w:ascii="Times New Roman" w:hAnsi="Times New Roman"/>
          <w:szCs w:val="24"/>
        </w:rPr>
        <w:t>, CO</w:t>
      </w:r>
      <w:r w:rsidRPr="001558DF">
        <w:rPr>
          <w:rFonts w:ascii="Times New Roman" w:hAnsi="Times New Roman"/>
          <w:szCs w:val="24"/>
          <w:vertAlign w:val="subscript"/>
        </w:rPr>
        <w:t>B</w:t>
      </w:r>
      <w:r w:rsidRPr="001558DF">
        <w:rPr>
          <w:rFonts w:ascii="Times New Roman" w:hAnsi="Times New Roman"/>
          <w:szCs w:val="24"/>
        </w:rPr>
        <w:t>) bonded CO were not observed for most of the catalysts</w:t>
      </w:r>
      <w:r w:rsidR="00B272A7" w:rsidRPr="001558DF">
        <w:rPr>
          <w:rFonts w:ascii="Times New Roman" w:hAnsi="Times New Roman"/>
          <w:szCs w:val="24"/>
        </w:rPr>
        <w:t xml:space="preserve"> [</w:t>
      </w:r>
      <w:r w:rsidRPr="001558DF">
        <w:rPr>
          <w:rStyle w:val="Refdenotaalfinal"/>
          <w:rFonts w:ascii="Times New Roman" w:hAnsi="Times New Roman"/>
          <w:szCs w:val="24"/>
          <w:vertAlign w:val="baseline"/>
        </w:rPr>
        <w:endnoteReference w:id="40"/>
      </w:r>
      <w:r w:rsidR="00B272A7" w:rsidRPr="001558DF">
        <w:rPr>
          <w:rFonts w:ascii="Times New Roman" w:hAnsi="Times New Roman"/>
          <w:szCs w:val="24"/>
        </w:rPr>
        <w:t>].</w:t>
      </w:r>
      <w:r w:rsidRPr="001558DF">
        <w:rPr>
          <w:rFonts w:ascii="Times New Roman" w:hAnsi="Times New Roman"/>
          <w:szCs w:val="24"/>
        </w:rPr>
        <w:t xml:space="preserve"> Only the band characteristic of linear bonded CO was observed on the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sample at potentials as low as 0.17 V (Figure 4d)</w:t>
      </w:r>
      <w:r w:rsidR="007B3F29" w:rsidRPr="001558DF">
        <w:t xml:space="preserve">. </w:t>
      </w:r>
    </w:p>
    <w:p w14:paraId="61F77DDE" w14:textId="0BC93C44" w:rsidR="007B3F29" w:rsidRPr="001558DF" w:rsidRDefault="00766BB3" w:rsidP="00842F5F">
      <w:pPr>
        <w:pStyle w:val="TAMainText"/>
      </w:pPr>
      <w:r w:rsidRPr="001558DF">
        <w:rPr>
          <w:rFonts w:ascii="Times New Roman" w:hAnsi="Times New Roman"/>
          <w:szCs w:val="24"/>
        </w:rPr>
        <w:t>Although the species adsorbed on the different Pt-Sn materials were similar, the product distribution</w:t>
      </w:r>
      <w:r w:rsidR="0005588D" w:rsidRPr="001558DF">
        <w:rPr>
          <w:rFonts w:ascii="Times New Roman" w:hAnsi="Times New Roman"/>
          <w:szCs w:val="24"/>
        </w:rPr>
        <w:t>s</w:t>
      </w:r>
      <w:r w:rsidRPr="001558DF">
        <w:rPr>
          <w:rFonts w:ascii="Times New Roman" w:hAnsi="Times New Roman"/>
          <w:szCs w:val="24"/>
        </w:rPr>
        <w:t xml:space="preserve"> varied significantly with the different Pt-Sn nanoarchitectures as illustrated in Figures 4e-4h, which show the amount of CO</w:t>
      </w:r>
      <w:r w:rsidRPr="001558DF">
        <w:rPr>
          <w:rFonts w:ascii="Times New Roman" w:hAnsi="Times New Roman"/>
          <w:szCs w:val="24"/>
          <w:vertAlign w:val="subscript"/>
        </w:rPr>
        <w:t>2</w:t>
      </w:r>
      <w:r w:rsidRPr="001558DF">
        <w:rPr>
          <w:rFonts w:ascii="Times New Roman" w:hAnsi="Times New Roman"/>
          <w:szCs w:val="24"/>
        </w:rPr>
        <w:t xml:space="preserve"> and acetic acid formed as a function of the applied potential. In agreement with the literature, both the Pt-Sn alloys produced more acetic acid than CO</w:t>
      </w:r>
      <w:r w:rsidRPr="001558DF">
        <w:rPr>
          <w:rFonts w:ascii="Times New Roman" w:hAnsi="Times New Roman"/>
          <w:szCs w:val="24"/>
          <w:vertAlign w:val="subscript"/>
        </w:rPr>
        <w:t>2</w:t>
      </w:r>
      <w:r w:rsidR="0069792E" w:rsidRPr="001558DF">
        <w:rPr>
          <w:rFonts w:ascii="Times New Roman" w:hAnsi="Times New Roman"/>
          <w:szCs w:val="24"/>
        </w:rPr>
        <w:t xml:space="preserve"> [</w:t>
      </w:r>
      <w:r w:rsidRPr="001558DF">
        <w:rPr>
          <w:rFonts w:ascii="Times New Roman" w:hAnsi="Times New Roman"/>
          <w:szCs w:val="24"/>
        </w:rPr>
        <w:t>20</w:t>
      </w:r>
      <w:r w:rsidR="0069792E" w:rsidRPr="001558DF">
        <w:rPr>
          <w:rFonts w:ascii="Times New Roman" w:hAnsi="Times New Roman"/>
          <w:szCs w:val="24"/>
        </w:rPr>
        <w:t>].</w:t>
      </w:r>
      <w:r w:rsidRPr="001558DF">
        <w:rPr>
          <w:rFonts w:ascii="Times New Roman" w:hAnsi="Times New Roman"/>
          <w:szCs w:val="24"/>
        </w:rPr>
        <w:t xml:space="preserve"> Additionally, the acetic acid/CO</w:t>
      </w:r>
      <w:r w:rsidRPr="001558DF">
        <w:rPr>
          <w:rFonts w:ascii="Times New Roman" w:hAnsi="Times New Roman"/>
          <w:szCs w:val="24"/>
          <w:vertAlign w:val="subscript"/>
        </w:rPr>
        <w:t>2</w:t>
      </w:r>
      <w:r w:rsidRPr="001558DF">
        <w:rPr>
          <w:rFonts w:ascii="Times New Roman" w:hAnsi="Times New Roman"/>
          <w:szCs w:val="24"/>
        </w:rPr>
        <w:t xml:space="preserve"> ratio was found to be greater for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than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thus increas</w:t>
      </w:r>
      <w:r w:rsidR="0005588D" w:rsidRPr="001558DF">
        <w:rPr>
          <w:rFonts w:ascii="Times New Roman" w:hAnsi="Times New Roman"/>
          <w:szCs w:val="24"/>
        </w:rPr>
        <w:t>ing</w:t>
      </w:r>
      <w:r w:rsidRPr="001558DF">
        <w:rPr>
          <w:rFonts w:ascii="Times New Roman" w:hAnsi="Times New Roman"/>
          <w:szCs w:val="24"/>
        </w:rPr>
        <w:t xml:space="preserve"> with the extent of Pt-Sn alloying. In contrast, the Sn modified Pt surface nanostructure was more selective to CO</w:t>
      </w:r>
      <w:r w:rsidRPr="001558DF">
        <w:rPr>
          <w:rFonts w:ascii="Times New Roman" w:hAnsi="Times New Roman"/>
          <w:szCs w:val="24"/>
          <w:vertAlign w:val="subscript"/>
        </w:rPr>
        <w:t>2</w:t>
      </w:r>
      <w:r w:rsidR="007B3F29" w:rsidRPr="001558DF">
        <w:t xml:space="preserve">. </w:t>
      </w:r>
    </w:p>
    <w:p w14:paraId="6EA4A17D" w14:textId="1AD931B8" w:rsidR="007B3F29" w:rsidRPr="001558DF" w:rsidRDefault="00766BB3" w:rsidP="00842F5F">
      <w:pPr>
        <w:pStyle w:val="TAMainText"/>
      </w:pPr>
      <w:r w:rsidRPr="001558DF">
        <w:rPr>
          <w:rFonts w:ascii="Times New Roman" w:hAnsi="Times New Roman"/>
          <w:szCs w:val="24"/>
        </w:rPr>
        <w:t>Expansion of the lattice parameter of Pt by alloying has been previously suggested to facilitate the C-C bond breaking</w:t>
      </w:r>
      <w:r w:rsidR="0005588D" w:rsidRPr="001558DF">
        <w:rPr>
          <w:rFonts w:ascii="Times New Roman" w:hAnsi="Times New Roman"/>
          <w:szCs w:val="24"/>
        </w:rPr>
        <w:t>,</w:t>
      </w:r>
      <w:r w:rsidRPr="001558DF">
        <w:rPr>
          <w:rFonts w:ascii="Times New Roman" w:hAnsi="Times New Roman"/>
          <w:szCs w:val="24"/>
        </w:rPr>
        <w:t xml:space="preserve"> </w:t>
      </w:r>
      <w:r w:rsidR="0005588D" w:rsidRPr="001558DF">
        <w:rPr>
          <w:rFonts w:ascii="Times New Roman" w:hAnsi="Times New Roman"/>
          <w:szCs w:val="24"/>
        </w:rPr>
        <w:t>improving</w:t>
      </w:r>
      <w:r w:rsidRPr="001558DF">
        <w:rPr>
          <w:rFonts w:ascii="Times New Roman" w:hAnsi="Times New Roman"/>
          <w:szCs w:val="24"/>
        </w:rPr>
        <w:t xml:space="preserve"> the selectivity to CO</w:t>
      </w:r>
      <w:r w:rsidRPr="001558DF">
        <w:rPr>
          <w:rFonts w:ascii="Times New Roman" w:hAnsi="Times New Roman"/>
          <w:szCs w:val="24"/>
          <w:vertAlign w:val="subscript"/>
        </w:rPr>
        <w:t>2</w:t>
      </w:r>
      <w:r w:rsidR="0069792E" w:rsidRPr="001558DF">
        <w:rPr>
          <w:rFonts w:ascii="Times New Roman" w:hAnsi="Times New Roman"/>
          <w:szCs w:val="24"/>
          <w:vertAlign w:val="subscript"/>
        </w:rPr>
        <w:t xml:space="preserve"> </w:t>
      </w:r>
      <w:r w:rsidR="0069792E" w:rsidRPr="001558DF">
        <w:rPr>
          <w:rFonts w:ascii="Times New Roman" w:hAnsi="Times New Roman"/>
          <w:szCs w:val="24"/>
        </w:rPr>
        <w:t>[</w:t>
      </w:r>
      <w:r w:rsidRPr="001558DF">
        <w:rPr>
          <w:rFonts w:ascii="Times New Roman" w:hAnsi="Times New Roman"/>
          <w:szCs w:val="24"/>
        </w:rPr>
        <w:fldChar w:fldCharType="begin"/>
      </w:r>
      <w:r w:rsidRPr="001558DF">
        <w:rPr>
          <w:rFonts w:ascii="Times New Roman" w:hAnsi="Times New Roman"/>
          <w:szCs w:val="24"/>
        </w:rPr>
        <w:instrText xml:space="preserve"> NOTEREF _Ref466319735 \h  \* MERGEFORMAT </w:instrText>
      </w:r>
      <w:r w:rsidRPr="001558DF">
        <w:rPr>
          <w:rFonts w:ascii="Times New Roman" w:hAnsi="Times New Roman"/>
          <w:szCs w:val="24"/>
        </w:rPr>
      </w:r>
      <w:r w:rsidRPr="001558DF">
        <w:rPr>
          <w:rFonts w:ascii="Times New Roman" w:hAnsi="Times New Roman"/>
          <w:szCs w:val="24"/>
        </w:rPr>
        <w:fldChar w:fldCharType="separate"/>
      </w:r>
      <w:r w:rsidR="009064D5" w:rsidRPr="001558DF">
        <w:rPr>
          <w:rFonts w:ascii="Times New Roman" w:hAnsi="Times New Roman"/>
          <w:szCs w:val="24"/>
        </w:rPr>
        <w:t>29</w:t>
      </w:r>
      <w:r w:rsidRPr="001558DF">
        <w:rPr>
          <w:rFonts w:ascii="Times New Roman" w:hAnsi="Times New Roman"/>
          <w:szCs w:val="24"/>
        </w:rPr>
        <w:fldChar w:fldCharType="end"/>
      </w:r>
      <w:r w:rsidRPr="001558DF">
        <w:rPr>
          <w:rFonts w:ascii="Times New Roman" w:hAnsi="Times New Roman"/>
          <w:szCs w:val="24"/>
        </w:rPr>
        <w:t>,</w:t>
      </w:r>
      <w:r w:rsidRPr="001558DF">
        <w:rPr>
          <w:rStyle w:val="Refdenotaalfinal"/>
          <w:rFonts w:ascii="Times New Roman" w:hAnsi="Times New Roman"/>
          <w:szCs w:val="24"/>
          <w:vertAlign w:val="baseline"/>
        </w:rPr>
        <w:endnoteReference w:id="41"/>
      </w:r>
      <w:r w:rsidR="0069792E" w:rsidRPr="001558DF">
        <w:rPr>
          <w:rFonts w:ascii="Times New Roman" w:hAnsi="Times New Roman"/>
          <w:szCs w:val="24"/>
        </w:rPr>
        <w:t>].</w:t>
      </w:r>
      <w:r w:rsidRPr="001558DF">
        <w:rPr>
          <w:rFonts w:ascii="Times New Roman" w:hAnsi="Times New Roman"/>
          <w:szCs w:val="24"/>
        </w:rPr>
        <w:t xml:space="preserve"> However, such trend in the selectivity to CO</w:t>
      </w:r>
      <w:r w:rsidRPr="001558DF">
        <w:rPr>
          <w:rFonts w:ascii="Times New Roman" w:hAnsi="Times New Roman"/>
          <w:szCs w:val="24"/>
          <w:vertAlign w:val="subscript"/>
        </w:rPr>
        <w:t>2</w:t>
      </w:r>
      <w:r w:rsidRPr="001558DF">
        <w:rPr>
          <w:rFonts w:ascii="Times New Roman" w:hAnsi="Times New Roman"/>
          <w:szCs w:val="24"/>
        </w:rPr>
        <w:t xml:space="preserve"> with lattice constant was not found for the catalysts in our study.  Although, the lattice expansion may contribute to the overall increased current density as shown in Figure</w:t>
      </w:r>
      <w:r w:rsidR="0005588D" w:rsidRPr="001558DF">
        <w:rPr>
          <w:rFonts w:ascii="Times New Roman" w:hAnsi="Times New Roman"/>
          <w:szCs w:val="24"/>
        </w:rPr>
        <w:t> </w:t>
      </w:r>
      <w:r w:rsidRPr="001558DF">
        <w:rPr>
          <w:rFonts w:ascii="Times New Roman" w:hAnsi="Times New Roman"/>
          <w:szCs w:val="24"/>
        </w:rPr>
        <w:t xml:space="preserve">3, </w:t>
      </w:r>
      <w:r w:rsidR="0005588D" w:rsidRPr="001558DF">
        <w:rPr>
          <w:rFonts w:ascii="Times New Roman" w:hAnsi="Times New Roman"/>
          <w:szCs w:val="24"/>
        </w:rPr>
        <w:t xml:space="preserve">this </w:t>
      </w:r>
      <w:r w:rsidRPr="001558DF">
        <w:rPr>
          <w:rFonts w:ascii="Times New Roman" w:hAnsi="Times New Roman"/>
          <w:szCs w:val="24"/>
        </w:rPr>
        <w:t xml:space="preserve">is not reflected in the </w:t>
      </w:r>
      <w:r w:rsidRPr="001558DF">
        <w:rPr>
          <w:rFonts w:ascii="Times New Roman" w:hAnsi="Times New Roman"/>
          <w:i/>
          <w:szCs w:val="24"/>
        </w:rPr>
        <w:t>in situ</w:t>
      </w:r>
      <w:r w:rsidRPr="001558DF">
        <w:rPr>
          <w:rFonts w:ascii="Times New Roman" w:hAnsi="Times New Roman"/>
          <w:szCs w:val="24"/>
        </w:rPr>
        <w:t xml:space="preserve"> FTIRS results</w:t>
      </w:r>
      <w:r w:rsidR="007B3F29" w:rsidRPr="001558DF">
        <w:t xml:space="preserve">. </w:t>
      </w:r>
    </w:p>
    <w:p w14:paraId="3CD41911" w14:textId="772D8CB2" w:rsidR="00766BB3" w:rsidRPr="001558DF" w:rsidRDefault="00766BB3" w:rsidP="00842F5F">
      <w:pPr>
        <w:spacing w:after="0" w:line="480" w:lineRule="auto"/>
        <w:ind w:firstLine="284"/>
        <w:rPr>
          <w:rFonts w:ascii="Times New Roman" w:hAnsi="Times New Roman"/>
          <w:szCs w:val="24"/>
        </w:rPr>
      </w:pPr>
      <w:r w:rsidRPr="001558DF">
        <w:rPr>
          <w:rFonts w:ascii="Times New Roman" w:hAnsi="Times New Roman"/>
          <w:szCs w:val="24"/>
        </w:rPr>
        <w:t>The selectivity to acetic acid formation (reduced selectivity to CO</w:t>
      </w:r>
      <w:r w:rsidRPr="001558DF">
        <w:rPr>
          <w:rFonts w:ascii="Times New Roman" w:hAnsi="Times New Roman"/>
          <w:szCs w:val="24"/>
          <w:vertAlign w:val="subscript"/>
        </w:rPr>
        <w:t>2</w:t>
      </w:r>
      <w:r w:rsidRPr="001558DF">
        <w:rPr>
          <w:rFonts w:ascii="Times New Roman" w:hAnsi="Times New Roman"/>
          <w:szCs w:val="24"/>
        </w:rPr>
        <w:t>) is attributed to the electronic effect of Sn on the Pt, resulting in weaker adsorption of the intermediates (acetaldehyde and acetic acid), which desorb easily from the surface of the catalyst not allowing their further oxidation to CO</w:t>
      </w:r>
      <w:r w:rsidRPr="001558DF">
        <w:rPr>
          <w:rFonts w:ascii="Times New Roman" w:hAnsi="Times New Roman"/>
          <w:szCs w:val="24"/>
          <w:vertAlign w:val="subscript"/>
        </w:rPr>
        <w:t>2</w:t>
      </w:r>
      <w:r w:rsidRPr="001558DF">
        <w:rPr>
          <w:rFonts w:ascii="Times New Roman" w:hAnsi="Times New Roman"/>
          <w:szCs w:val="24"/>
        </w:rPr>
        <w:t>. This effect is most significant for the Pt</w:t>
      </w:r>
      <w:r w:rsidRPr="001558DF">
        <w:rPr>
          <w:rFonts w:ascii="Times New Roman" w:hAnsi="Times New Roman"/>
          <w:szCs w:val="24"/>
          <w:vertAlign w:val="subscript"/>
        </w:rPr>
        <w:t>3</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/C (92.6 % alloying) compared to Pt</w:t>
      </w:r>
      <w:r w:rsidRPr="001558DF">
        <w:rPr>
          <w:rFonts w:ascii="Times New Roman" w:hAnsi="Times New Roman"/>
          <w:szCs w:val="24"/>
          <w:vertAlign w:val="subscript"/>
        </w:rPr>
        <w:t>1</w:t>
      </w:r>
      <w:r w:rsidRPr="001558DF">
        <w:rPr>
          <w:rFonts w:ascii="Times New Roman" w:hAnsi="Times New Roman"/>
          <w:szCs w:val="24"/>
        </w:rPr>
        <w:t>Sn</w:t>
      </w:r>
      <w:r w:rsidRPr="001558DF">
        <w:rPr>
          <w:rFonts w:ascii="Times New Roman" w:hAnsi="Times New Roman"/>
          <w:szCs w:val="24"/>
          <w:vertAlign w:val="subscript"/>
        </w:rPr>
        <w:t>1</w:t>
      </w:r>
      <w:r w:rsidRPr="001558DF">
        <w:rPr>
          <w:rFonts w:ascii="Times New Roman" w:hAnsi="Times New Roman"/>
          <w:szCs w:val="24"/>
        </w:rPr>
        <w:t xml:space="preserve">/C (67 % alloying). In the case of the Sn/Pt/C catalyst, the deposition of Sn on the surface of Pt NPs did not cause any electronic effect (as observed in the XPS and </w:t>
      </w:r>
      <w:r w:rsidRPr="001558DF">
        <w:rPr>
          <w:rFonts w:ascii="Times New Roman" w:hAnsi="Times New Roman"/>
          <w:szCs w:val="24"/>
        </w:rPr>
        <w:lastRenderedPageBreak/>
        <w:t>XANES), implying a stronger adsorption of the intermediates, which allows them to be further oxidized to CO</w:t>
      </w:r>
      <w:r w:rsidRPr="001558DF">
        <w:rPr>
          <w:rFonts w:ascii="Times New Roman" w:hAnsi="Times New Roman"/>
          <w:szCs w:val="24"/>
          <w:vertAlign w:val="subscript"/>
        </w:rPr>
        <w:t>2</w:t>
      </w:r>
      <w:r w:rsidRPr="001558DF">
        <w:rPr>
          <w:rFonts w:ascii="Times New Roman" w:hAnsi="Times New Roman"/>
          <w:szCs w:val="24"/>
        </w:rPr>
        <w:t>. Our results contradict those of Du et al. who report the differences between alloy and non-alloyed Pt-Sn catalyst in the conversion to CO</w:t>
      </w:r>
      <w:r w:rsidRPr="001558DF">
        <w:rPr>
          <w:rFonts w:ascii="Times New Roman" w:hAnsi="Times New Roman"/>
          <w:szCs w:val="24"/>
          <w:vertAlign w:val="subscript"/>
        </w:rPr>
        <w:t>2</w:t>
      </w:r>
      <w:r w:rsidRPr="001558DF">
        <w:rPr>
          <w:rFonts w:ascii="Times New Roman" w:hAnsi="Times New Roman"/>
          <w:szCs w:val="24"/>
        </w:rPr>
        <w:t xml:space="preserve"> and attributed these to the composition of the catalysts and not to the crystalline structure</w:t>
      </w:r>
      <w:r w:rsidR="0069792E" w:rsidRPr="001558DF">
        <w:rPr>
          <w:rFonts w:ascii="Times New Roman" w:hAnsi="Times New Roman"/>
          <w:szCs w:val="24"/>
        </w:rPr>
        <w:t xml:space="preserve"> [</w:t>
      </w:r>
      <w:r w:rsidRPr="001558DF">
        <w:rPr>
          <w:rFonts w:ascii="Times New Roman" w:hAnsi="Times New Roman"/>
          <w:szCs w:val="24"/>
        </w:rPr>
        <w:fldChar w:fldCharType="begin"/>
      </w:r>
      <w:r w:rsidRPr="001558DF">
        <w:rPr>
          <w:rFonts w:ascii="Times New Roman" w:hAnsi="Times New Roman"/>
          <w:szCs w:val="24"/>
        </w:rPr>
        <w:instrText xml:space="preserve"> NOTEREF _Ref475817723 \h  \* MERGEFORMAT </w:instrText>
      </w:r>
      <w:r w:rsidRPr="001558DF">
        <w:rPr>
          <w:rFonts w:ascii="Times New Roman" w:hAnsi="Times New Roman"/>
          <w:szCs w:val="24"/>
        </w:rPr>
      </w:r>
      <w:r w:rsidRPr="001558DF">
        <w:rPr>
          <w:rFonts w:ascii="Times New Roman" w:hAnsi="Times New Roman"/>
          <w:szCs w:val="24"/>
        </w:rPr>
        <w:fldChar w:fldCharType="separate"/>
      </w:r>
      <w:r w:rsidR="009064D5" w:rsidRPr="001558DF">
        <w:rPr>
          <w:rFonts w:ascii="Times New Roman" w:hAnsi="Times New Roman"/>
          <w:szCs w:val="24"/>
        </w:rPr>
        <w:t>13</w:t>
      </w:r>
      <w:r w:rsidRPr="001558DF">
        <w:rPr>
          <w:rFonts w:ascii="Times New Roman" w:hAnsi="Times New Roman"/>
          <w:szCs w:val="24"/>
        </w:rPr>
        <w:fldChar w:fldCharType="end"/>
      </w:r>
      <w:r w:rsidR="0069792E" w:rsidRPr="001558DF">
        <w:rPr>
          <w:rFonts w:ascii="Times New Roman" w:hAnsi="Times New Roman"/>
          <w:szCs w:val="24"/>
        </w:rPr>
        <w:t>].</w:t>
      </w:r>
    </w:p>
    <w:p w14:paraId="2FD2874E" w14:textId="2DD45EC5" w:rsidR="007B3F29" w:rsidRPr="001558DF" w:rsidRDefault="0010002C" w:rsidP="00842F5F">
      <w:pPr>
        <w:pStyle w:val="TAMainText"/>
      </w:pPr>
      <w:r w:rsidRPr="001558DF">
        <w:rPr>
          <w:rFonts w:ascii="Times New Roman" w:hAnsi="Times New Roman"/>
          <w:bCs/>
          <w:szCs w:val="24"/>
        </w:rPr>
        <w:t xml:space="preserve">The long-term stability of the nanostructures is also of importance in designing more effective EOR electrocatalysts. The stability was therefore investigated by using </w:t>
      </w:r>
      <w:r w:rsidRPr="001558DF">
        <w:rPr>
          <w:rFonts w:ascii="Times New Roman" w:hAnsi="Times New Roman"/>
          <w:bCs/>
          <w:i/>
          <w:szCs w:val="24"/>
        </w:rPr>
        <w:t>in situ</w:t>
      </w:r>
      <w:r w:rsidRPr="001558DF">
        <w:rPr>
          <w:rFonts w:ascii="Times New Roman" w:hAnsi="Times New Roman"/>
          <w:bCs/>
          <w:szCs w:val="24"/>
        </w:rPr>
        <w:t xml:space="preserve"> X</w:t>
      </w:r>
      <w:r w:rsidR="00682108" w:rsidRPr="001558DF">
        <w:rPr>
          <w:rFonts w:ascii="Times New Roman" w:hAnsi="Times New Roman"/>
          <w:bCs/>
          <w:szCs w:val="24"/>
        </w:rPr>
        <w:t>A</w:t>
      </w:r>
      <w:r w:rsidRPr="001558DF">
        <w:rPr>
          <w:rFonts w:ascii="Times New Roman" w:hAnsi="Times New Roman"/>
          <w:bCs/>
          <w:szCs w:val="24"/>
        </w:rPr>
        <w:t xml:space="preserve">S </w:t>
      </w:r>
      <w:r w:rsidR="00EA6A35" w:rsidRPr="001558DF">
        <w:rPr>
          <w:rFonts w:ascii="Times New Roman" w:hAnsi="Times New Roman"/>
          <w:bCs/>
          <w:szCs w:val="24"/>
        </w:rPr>
        <w:t xml:space="preserve">and post-mortem XPS </w:t>
      </w:r>
      <w:r w:rsidRPr="001558DF">
        <w:rPr>
          <w:rFonts w:ascii="Times New Roman" w:hAnsi="Times New Roman"/>
          <w:bCs/>
          <w:szCs w:val="24"/>
        </w:rPr>
        <w:t xml:space="preserve">measurements performed on the samples subjected to </w:t>
      </w:r>
      <w:r w:rsidR="00EA6A35" w:rsidRPr="001558DF">
        <w:rPr>
          <w:rFonts w:ascii="Times New Roman" w:hAnsi="Times New Roman"/>
          <w:bCs/>
          <w:szCs w:val="24"/>
        </w:rPr>
        <w:t xml:space="preserve">an </w:t>
      </w:r>
      <w:r w:rsidRPr="001558DF">
        <w:rPr>
          <w:rFonts w:ascii="Times New Roman" w:hAnsi="Times New Roman"/>
          <w:bCs/>
          <w:szCs w:val="24"/>
        </w:rPr>
        <w:t xml:space="preserve">accelerated aging treatment (AAT). </w:t>
      </w:r>
      <w:r w:rsidRPr="001558DF">
        <w:rPr>
          <w:rFonts w:ascii="Times New Roman" w:hAnsi="Times New Roman"/>
          <w:szCs w:val="24"/>
        </w:rPr>
        <w:t xml:space="preserve">The </w:t>
      </w:r>
      <w:r w:rsidR="00EA6A35" w:rsidRPr="001558DF">
        <w:rPr>
          <w:rFonts w:ascii="Times New Roman" w:hAnsi="Times New Roman"/>
          <w:szCs w:val="24"/>
        </w:rPr>
        <w:t xml:space="preserve">structural and electronic </w:t>
      </w:r>
      <w:r w:rsidRPr="001558DF">
        <w:rPr>
          <w:rFonts w:ascii="Times New Roman" w:hAnsi="Times New Roman"/>
          <w:szCs w:val="24"/>
        </w:rPr>
        <w:t>results extracted f</w:t>
      </w:r>
      <w:r w:rsidR="005E16FF" w:rsidRPr="001558DF">
        <w:rPr>
          <w:rFonts w:ascii="Times New Roman" w:hAnsi="Times New Roman"/>
          <w:szCs w:val="24"/>
        </w:rPr>
        <w:t>rom</w:t>
      </w:r>
      <w:r w:rsidRPr="001558DF">
        <w:rPr>
          <w:rFonts w:ascii="Times New Roman" w:hAnsi="Times New Roman"/>
          <w:szCs w:val="24"/>
        </w:rPr>
        <w:t xml:space="preserve"> the X</w:t>
      </w:r>
      <w:r w:rsidR="00682108" w:rsidRPr="001558DF">
        <w:rPr>
          <w:rFonts w:ascii="Times New Roman" w:hAnsi="Times New Roman"/>
          <w:szCs w:val="24"/>
        </w:rPr>
        <w:t>A</w:t>
      </w:r>
      <w:r w:rsidRPr="001558DF">
        <w:rPr>
          <w:rFonts w:ascii="Times New Roman" w:hAnsi="Times New Roman"/>
          <w:szCs w:val="24"/>
        </w:rPr>
        <w:t xml:space="preserve">S </w:t>
      </w:r>
      <w:r w:rsidR="00EA6A35" w:rsidRPr="001558DF">
        <w:rPr>
          <w:rFonts w:ascii="Times New Roman" w:hAnsi="Times New Roman"/>
          <w:szCs w:val="24"/>
        </w:rPr>
        <w:t xml:space="preserve">and XPS </w:t>
      </w:r>
      <w:r w:rsidRPr="001558DF">
        <w:rPr>
          <w:rFonts w:ascii="Times New Roman" w:hAnsi="Times New Roman"/>
          <w:szCs w:val="24"/>
        </w:rPr>
        <w:t>analysis are reported in Table</w:t>
      </w:r>
      <w:r w:rsidR="00EA6A35" w:rsidRPr="001558DF">
        <w:rPr>
          <w:rFonts w:ascii="Times New Roman" w:hAnsi="Times New Roman"/>
          <w:szCs w:val="24"/>
        </w:rPr>
        <w:t>s</w:t>
      </w:r>
      <w:r w:rsidRPr="001558DF">
        <w:rPr>
          <w:rFonts w:ascii="Times New Roman" w:hAnsi="Times New Roman"/>
          <w:szCs w:val="24"/>
        </w:rPr>
        <w:t xml:space="preserve"> 3</w:t>
      </w:r>
      <w:r w:rsidR="00EA6A35" w:rsidRPr="001558DF">
        <w:rPr>
          <w:rFonts w:ascii="Times New Roman" w:hAnsi="Times New Roman"/>
          <w:szCs w:val="24"/>
        </w:rPr>
        <w:t xml:space="preserve"> and S5</w:t>
      </w:r>
      <w:r w:rsidRPr="001558DF">
        <w:rPr>
          <w:rFonts w:ascii="Times New Roman" w:hAnsi="Times New Roman"/>
          <w:szCs w:val="24"/>
        </w:rPr>
        <w:t xml:space="preserve"> and Figure</w:t>
      </w:r>
      <w:r w:rsidR="00682108" w:rsidRPr="001558DF">
        <w:rPr>
          <w:rFonts w:ascii="Times New Roman" w:hAnsi="Times New Roman"/>
          <w:szCs w:val="24"/>
        </w:rPr>
        <w:t>s</w:t>
      </w:r>
      <w:r w:rsidRPr="001558DF">
        <w:rPr>
          <w:rFonts w:ascii="Times New Roman" w:hAnsi="Times New Roman"/>
          <w:szCs w:val="24"/>
        </w:rPr>
        <w:t xml:space="preserve"> S</w:t>
      </w:r>
      <w:r w:rsidR="00682108" w:rsidRPr="001558DF">
        <w:rPr>
          <w:rFonts w:ascii="Times New Roman" w:hAnsi="Times New Roman"/>
          <w:szCs w:val="24"/>
        </w:rPr>
        <w:t>8-S</w:t>
      </w:r>
      <w:bookmarkStart w:id="19" w:name="_GoBack"/>
      <w:bookmarkEnd w:id="19"/>
      <w:r w:rsidR="00EA6A35" w:rsidRPr="001558DF">
        <w:rPr>
          <w:rFonts w:ascii="Times New Roman" w:hAnsi="Times New Roman"/>
          <w:szCs w:val="24"/>
        </w:rPr>
        <w:t>10</w:t>
      </w:r>
      <w:r w:rsidRPr="001558DF">
        <w:rPr>
          <w:rFonts w:ascii="Times New Roman" w:hAnsi="Times New Roman"/>
          <w:szCs w:val="24"/>
        </w:rPr>
        <w:t>, whilst the electrochemical data can be found in Figure S</w:t>
      </w:r>
      <w:r w:rsidR="00682108" w:rsidRPr="001558DF">
        <w:rPr>
          <w:rFonts w:ascii="Times New Roman" w:hAnsi="Times New Roman"/>
          <w:szCs w:val="24"/>
        </w:rPr>
        <w:t>1</w:t>
      </w:r>
      <w:r w:rsidR="00EA6A35" w:rsidRPr="001558DF">
        <w:rPr>
          <w:rFonts w:ascii="Times New Roman" w:hAnsi="Times New Roman"/>
          <w:szCs w:val="24"/>
        </w:rPr>
        <w:t>1</w:t>
      </w:r>
      <w:r w:rsidR="007B3F29" w:rsidRPr="001558DF">
        <w:t xml:space="preserve">. </w:t>
      </w:r>
    </w:p>
    <w:p w14:paraId="64BA7AAC" w14:textId="59866303" w:rsidR="007B3F29" w:rsidRPr="001558DF" w:rsidRDefault="0010002C" w:rsidP="00842F5F">
      <w:pPr>
        <w:pStyle w:val="TAMainText"/>
        <w:ind w:firstLine="204"/>
        <w:rPr>
          <w:bCs/>
        </w:rPr>
      </w:pPr>
      <w:r w:rsidRPr="001558DF">
        <w:rPr>
          <w:rFonts w:ascii="Times New Roman" w:hAnsi="Times New Roman"/>
          <w:bCs/>
          <w:szCs w:val="24"/>
        </w:rPr>
        <w:t xml:space="preserve">The EXAFS analysis of the Sn modified Pt structure demonstrates the stability of this nanostructure in the potential window studied and precludes significant dissolution of Sn, since no changes in the EXAFS parameters were observed. </w:t>
      </w:r>
      <w:r w:rsidR="00662850" w:rsidRPr="001558DF">
        <w:rPr>
          <w:rFonts w:ascii="Times New Roman" w:hAnsi="Times New Roman"/>
          <w:bCs/>
          <w:szCs w:val="24"/>
        </w:rPr>
        <w:t xml:space="preserve">The stability of Sn was also confirmed by XPS, since the atomic </w:t>
      </w:r>
      <w:proofErr w:type="spellStart"/>
      <w:r w:rsidR="00662850" w:rsidRPr="001558DF">
        <w:rPr>
          <w:rFonts w:ascii="Times New Roman" w:hAnsi="Times New Roman"/>
          <w:bCs/>
          <w:szCs w:val="24"/>
        </w:rPr>
        <w:t>Pt</w:t>
      </w:r>
      <w:proofErr w:type="gramStart"/>
      <w:r w:rsidR="00662850" w:rsidRPr="001558DF">
        <w:rPr>
          <w:rFonts w:ascii="Times New Roman" w:hAnsi="Times New Roman"/>
          <w:bCs/>
          <w:szCs w:val="24"/>
        </w:rPr>
        <w:t>:Sn</w:t>
      </w:r>
      <w:proofErr w:type="spellEnd"/>
      <w:proofErr w:type="gramEnd"/>
      <w:r w:rsidR="00662850" w:rsidRPr="001558DF">
        <w:rPr>
          <w:rFonts w:ascii="Times New Roman" w:hAnsi="Times New Roman"/>
          <w:bCs/>
          <w:szCs w:val="24"/>
        </w:rPr>
        <w:t xml:space="preserve"> ratio did not change with the AAT. </w:t>
      </w:r>
      <w:r w:rsidRPr="001558DF">
        <w:rPr>
          <w:rFonts w:ascii="Times New Roman" w:hAnsi="Times New Roman"/>
          <w:bCs/>
          <w:szCs w:val="24"/>
        </w:rPr>
        <w:t>This result is also supported by the electrochemical data that shows only a slight decrease of the electrochemical surface area, calculated both from the hydrogen UPD region and the CO-stripping peak</w:t>
      </w:r>
      <w:r w:rsidR="007B3F29" w:rsidRPr="001558DF">
        <w:rPr>
          <w:bCs/>
        </w:rPr>
        <w:t>.</w:t>
      </w:r>
    </w:p>
    <w:p w14:paraId="6100F937" w14:textId="3F33B985" w:rsidR="007B3F29" w:rsidRPr="001558DF" w:rsidRDefault="0010002C" w:rsidP="00842F5F">
      <w:pPr>
        <w:pStyle w:val="TAMainText"/>
        <w:ind w:firstLine="204"/>
        <w:rPr>
          <w:bCs/>
        </w:rPr>
      </w:pPr>
      <w:r w:rsidRPr="001558DF">
        <w:rPr>
          <w:rFonts w:ascii="Times New Roman" w:hAnsi="Times New Roman"/>
          <w:bCs/>
          <w:szCs w:val="24"/>
        </w:rPr>
        <w:t>In the case of the Pt</w:t>
      </w:r>
      <w:r w:rsidRPr="001558DF">
        <w:rPr>
          <w:rFonts w:ascii="Times New Roman" w:hAnsi="Times New Roman"/>
          <w:bCs/>
          <w:szCs w:val="24"/>
          <w:vertAlign w:val="subscript"/>
        </w:rPr>
        <w:t>3</w:t>
      </w:r>
      <w:r w:rsidRPr="001558DF">
        <w:rPr>
          <w:rFonts w:ascii="Times New Roman" w:hAnsi="Times New Roman"/>
          <w:bCs/>
          <w:szCs w:val="24"/>
        </w:rPr>
        <w:t>Sn</w:t>
      </w:r>
      <w:r w:rsidRPr="001558DF">
        <w:rPr>
          <w:rFonts w:ascii="Times New Roman" w:hAnsi="Times New Roman"/>
          <w:bCs/>
          <w:szCs w:val="24"/>
          <w:vertAlign w:val="subscript"/>
        </w:rPr>
        <w:t>1</w:t>
      </w:r>
      <w:r w:rsidRPr="001558DF">
        <w:rPr>
          <w:rFonts w:ascii="Times New Roman" w:hAnsi="Times New Roman"/>
          <w:bCs/>
          <w:szCs w:val="24"/>
        </w:rPr>
        <w:t xml:space="preserve">/C sample, however, significant changes in the atomic structure are deduced from the EXAFS fit. A significant decrease of the Pt-Sn interactions, accompanied by an increase of the Pt-Sn bond length, suggests the segregation of Sn to the surface with cycling, resulting in the de-alloying of the Pt-Sn nanoparticles. In addition, the increase of the Sn-O </w:t>
      </w:r>
      <w:r w:rsidR="00BF4853" w:rsidRPr="001558DF">
        <w:rPr>
          <w:rFonts w:ascii="Times New Roman" w:hAnsi="Times New Roman"/>
          <w:bCs/>
          <w:szCs w:val="24"/>
        </w:rPr>
        <w:t xml:space="preserve">coordination number </w:t>
      </w:r>
      <w:r w:rsidRPr="001558DF">
        <w:rPr>
          <w:rFonts w:ascii="Times New Roman" w:hAnsi="Times New Roman"/>
          <w:bCs/>
          <w:szCs w:val="24"/>
        </w:rPr>
        <w:t>confirms the segregation of the Sn atoms and the formation of a SnO</w:t>
      </w:r>
      <w:r w:rsidRPr="001558DF">
        <w:rPr>
          <w:rFonts w:ascii="Times New Roman" w:hAnsi="Times New Roman"/>
          <w:bCs/>
          <w:szCs w:val="24"/>
          <w:vertAlign w:val="subscript"/>
        </w:rPr>
        <w:t>2</w:t>
      </w:r>
      <w:r w:rsidRPr="001558DF">
        <w:rPr>
          <w:rFonts w:ascii="Times New Roman" w:hAnsi="Times New Roman"/>
          <w:bCs/>
          <w:szCs w:val="24"/>
        </w:rPr>
        <w:t xml:space="preserve"> layer at the surface of the nanoparticles (SnO</w:t>
      </w:r>
      <w:r w:rsidRPr="001558DF">
        <w:rPr>
          <w:rFonts w:ascii="Times New Roman" w:hAnsi="Times New Roman"/>
          <w:bCs/>
          <w:szCs w:val="24"/>
          <w:vertAlign w:val="subscript"/>
        </w:rPr>
        <w:t>2</w:t>
      </w:r>
      <w:r w:rsidRPr="001558DF">
        <w:rPr>
          <w:rFonts w:ascii="Times New Roman" w:hAnsi="Times New Roman"/>
          <w:bCs/>
          <w:szCs w:val="24"/>
        </w:rPr>
        <w:t>/Pt</w:t>
      </w:r>
      <w:r w:rsidRPr="001558DF">
        <w:rPr>
          <w:rFonts w:ascii="Times New Roman" w:hAnsi="Times New Roman"/>
          <w:bCs/>
          <w:szCs w:val="24"/>
          <w:vertAlign w:val="subscript"/>
        </w:rPr>
        <w:t>x</w:t>
      </w:r>
      <w:r w:rsidRPr="001558DF">
        <w:rPr>
          <w:rFonts w:ascii="Times New Roman" w:hAnsi="Times New Roman"/>
          <w:bCs/>
          <w:szCs w:val="24"/>
        </w:rPr>
        <w:t xml:space="preserve">Sn/C). </w:t>
      </w:r>
      <w:r w:rsidR="00960EE3" w:rsidRPr="001558DF">
        <w:rPr>
          <w:rFonts w:ascii="Times New Roman" w:hAnsi="Times New Roman"/>
          <w:bCs/>
          <w:szCs w:val="24"/>
        </w:rPr>
        <w:t>The XPS results corroborate the de-alloying of the Pt-Sn nanoparticles with the subsequent increase of SnO</w:t>
      </w:r>
      <w:r w:rsidR="00960EE3" w:rsidRPr="001558DF">
        <w:rPr>
          <w:rFonts w:ascii="Times New Roman" w:hAnsi="Times New Roman"/>
          <w:bCs/>
          <w:szCs w:val="24"/>
          <w:vertAlign w:val="subscript"/>
        </w:rPr>
        <w:t>2</w:t>
      </w:r>
      <w:r w:rsidR="00960EE3" w:rsidRPr="001558DF">
        <w:rPr>
          <w:rFonts w:ascii="Times New Roman" w:hAnsi="Times New Roman"/>
          <w:bCs/>
          <w:szCs w:val="24"/>
        </w:rPr>
        <w:t xml:space="preserve">. The Sn 3d photoemission line </w:t>
      </w:r>
      <w:r w:rsidR="00960EE3" w:rsidRPr="001558DF">
        <w:rPr>
          <w:rFonts w:ascii="Times New Roman" w:hAnsi="Times New Roman"/>
          <w:bCs/>
          <w:szCs w:val="24"/>
        </w:rPr>
        <w:lastRenderedPageBreak/>
        <w:t xml:space="preserve">shows a decrease of the metal Sn component respect to the as-prepared sample (Figures 2 and S10, Tables S2 and S5). However, the electronic effect on Pt was preserved after the AAT, which is evidenced by the </w:t>
      </w:r>
      <w:r w:rsidR="00E85FB1" w:rsidRPr="001558DF">
        <w:rPr>
          <w:rFonts w:ascii="Times New Roman" w:hAnsi="Times New Roman"/>
          <w:bCs/>
          <w:szCs w:val="24"/>
        </w:rPr>
        <w:t>shift in the binding energy of the Pt core level to lower energies compared to that of Pt/C and Sn/Pt/C</w:t>
      </w:r>
      <w:r w:rsidR="00960EE3" w:rsidRPr="001558DF">
        <w:rPr>
          <w:rFonts w:ascii="Times New Roman" w:hAnsi="Times New Roman"/>
          <w:bCs/>
          <w:szCs w:val="24"/>
        </w:rPr>
        <w:t xml:space="preserve">. </w:t>
      </w:r>
      <w:r w:rsidRPr="001558DF">
        <w:rPr>
          <w:rFonts w:ascii="Times New Roman" w:hAnsi="Times New Roman"/>
          <w:bCs/>
          <w:szCs w:val="24"/>
        </w:rPr>
        <w:t>The electrochemical data shows a significant decrease of the H</w:t>
      </w:r>
      <w:r w:rsidRPr="001558DF">
        <w:rPr>
          <w:rFonts w:ascii="Times New Roman" w:hAnsi="Times New Roman"/>
          <w:bCs/>
          <w:szCs w:val="24"/>
          <w:vertAlign w:val="subscript"/>
        </w:rPr>
        <w:t>UPD</w:t>
      </w:r>
      <w:r w:rsidRPr="001558DF">
        <w:rPr>
          <w:rFonts w:ascii="Times New Roman" w:hAnsi="Times New Roman"/>
          <w:bCs/>
          <w:szCs w:val="24"/>
        </w:rPr>
        <w:t xml:space="preserve"> area and the CO-stripping peak in agreement with the segregation of Sn to the surface and the formation of a SnO</w:t>
      </w:r>
      <w:r w:rsidRPr="001558DF">
        <w:rPr>
          <w:rFonts w:ascii="Times New Roman" w:hAnsi="Times New Roman"/>
          <w:bCs/>
          <w:szCs w:val="24"/>
          <w:vertAlign w:val="subscript"/>
        </w:rPr>
        <w:t>2</w:t>
      </w:r>
      <w:r w:rsidRPr="001558DF">
        <w:rPr>
          <w:rFonts w:ascii="Times New Roman" w:hAnsi="Times New Roman"/>
          <w:bCs/>
          <w:szCs w:val="24"/>
        </w:rPr>
        <w:t xml:space="preserve"> layer. In addition, during the AAT a redox couple at 0.55/0.8 V associated </w:t>
      </w:r>
      <w:r w:rsidR="00BF4853" w:rsidRPr="001558DF">
        <w:rPr>
          <w:rFonts w:ascii="Times New Roman" w:hAnsi="Times New Roman"/>
          <w:bCs/>
          <w:szCs w:val="24"/>
        </w:rPr>
        <w:t xml:space="preserve">with </w:t>
      </w:r>
      <w:r w:rsidRPr="001558DF">
        <w:rPr>
          <w:rFonts w:ascii="Times New Roman" w:hAnsi="Times New Roman"/>
          <w:bCs/>
          <w:szCs w:val="24"/>
        </w:rPr>
        <w:t>Sn appears</w:t>
      </w:r>
      <w:r w:rsidR="0069792E" w:rsidRPr="001558DF">
        <w:rPr>
          <w:rFonts w:ascii="Times New Roman" w:hAnsi="Times New Roman"/>
          <w:bCs/>
          <w:szCs w:val="24"/>
        </w:rPr>
        <w:t xml:space="preserve"> [</w:t>
      </w:r>
      <w:r w:rsidRPr="001558DF">
        <w:rPr>
          <w:rFonts w:ascii="Times New Roman" w:hAnsi="Times New Roman"/>
          <w:bCs/>
          <w:szCs w:val="24"/>
        </w:rPr>
        <w:fldChar w:fldCharType="begin"/>
      </w:r>
      <w:r w:rsidRPr="001558DF">
        <w:rPr>
          <w:rFonts w:ascii="Times New Roman" w:hAnsi="Times New Roman"/>
          <w:bCs/>
          <w:szCs w:val="24"/>
        </w:rPr>
        <w:instrText xml:space="preserve"> NOTEREF _Ref475979554 \h  \* MERGEFORMAT </w:instrText>
      </w:r>
      <w:r w:rsidRPr="001558DF">
        <w:rPr>
          <w:rFonts w:ascii="Times New Roman" w:hAnsi="Times New Roman"/>
          <w:bCs/>
          <w:szCs w:val="24"/>
        </w:rPr>
      </w:r>
      <w:r w:rsidRPr="001558DF">
        <w:rPr>
          <w:rFonts w:ascii="Times New Roman" w:hAnsi="Times New Roman"/>
          <w:bCs/>
          <w:szCs w:val="24"/>
        </w:rPr>
        <w:fldChar w:fldCharType="separate"/>
      </w:r>
      <w:r w:rsidR="009064D5" w:rsidRPr="001558DF">
        <w:rPr>
          <w:rFonts w:ascii="Times New Roman" w:hAnsi="Times New Roman"/>
          <w:bCs/>
          <w:szCs w:val="24"/>
        </w:rPr>
        <w:t>7</w:t>
      </w:r>
      <w:r w:rsidRPr="001558DF">
        <w:rPr>
          <w:rFonts w:ascii="Times New Roman" w:hAnsi="Times New Roman"/>
          <w:bCs/>
          <w:szCs w:val="24"/>
        </w:rPr>
        <w:fldChar w:fldCharType="end"/>
      </w:r>
      <w:r w:rsidR="0069792E" w:rsidRPr="001558DF">
        <w:rPr>
          <w:rFonts w:ascii="Times New Roman" w:hAnsi="Times New Roman"/>
          <w:bCs/>
          <w:szCs w:val="24"/>
        </w:rPr>
        <w:t>],</w:t>
      </w:r>
      <w:r w:rsidRPr="001558DF">
        <w:rPr>
          <w:rFonts w:ascii="Times New Roman" w:hAnsi="Times New Roman"/>
          <w:bCs/>
          <w:szCs w:val="24"/>
        </w:rPr>
        <w:t xml:space="preserve"> whereas the reduction peak of Pt at 0.8 V disappears</w:t>
      </w:r>
      <w:r w:rsidR="007B3F29" w:rsidRPr="001558DF">
        <w:rPr>
          <w:bCs/>
        </w:rPr>
        <w:t>.</w:t>
      </w:r>
    </w:p>
    <w:p w14:paraId="7D659FEC" w14:textId="510BE795" w:rsidR="007B3F29" w:rsidRPr="001558DF" w:rsidRDefault="0010002C" w:rsidP="00842F5F">
      <w:pPr>
        <w:pStyle w:val="TAMainText"/>
        <w:ind w:firstLine="204"/>
        <w:rPr>
          <w:bCs/>
        </w:rPr>
      </w:pPr>
      <w:r w:rsidRPr="001558DF">
        <w:rPr>
          <w:rFonts w:ascii="Times New Roman" w:hAnsi="Times New Roman"/>
          <w:bCs/>
          <w:szCs w:val="24"/>
        </w:rPr>
        <w:t>However, even after the structural changes suffered by the Pt</w:t>
      </w:r>
      <w:r w:rsidRPr="001558DF">
        <w:rPr>
          <w:rFonts w:ascii="Times New Roman" w:hAnsi="Times New Roman"/>
          <w:bCs/>
          <w:szCs w:val="24"/>
          <w:vertAlign w:val="subscript"/>
        </w:rPr>
        <w:t>3</w:t>
      </w:r>
      <w:r w:rsidRPr="001558DF">
        <w:rPr>
          <w:rFonts w:ascii="Times New Roman" w:hAnsi="Times New Roman"/>
          <w:bCs/>
          <w:szCs w:val="24"/>
        </w:rPr>
        <w:t>Sn</w:t>
      </w:r>
      <w:r w:rsidRPr="001558DF">
        <w:rPr>
          <w:rFonts w:ascii="Times New Roman" w:hAnsi="Times New Roman"/>
          <w:bCs/>
          <w:szCs w:val="24"/>
          <w:vertAlign w:val="subscript"/>
        </w:rPr>
        <w:t>1</w:t>
      </w:r>
      <w:r w:rsidRPr="001558DF">
        <w:rPr>
          <w:rFonts w:ascii="Times New Roman" w:hAnsi="Times New Roman"/>
          <w:bCs/>
          <w:szCs w:val="24"/>
        </w:rPr>
        <w:t>/C during the AAT, its overall activity (not necessarily CO</w:t>
      </w:r>
      <w:r w:rsidRPr="001558DF">
        <w:rPr>
          <w:rFonts w:ascii="Times New Roman" w:hAnsi="Times New Roman"/>
          <w:bCs/>
          <w:szCs w:val="24"/>
          <w:vertAlign w:val="subscript"/>
        </w:rPr>
        <w:t>2</w:t>
      </w:r>
      <w:r w:rsidRPr="001558DF">
        <w:rPr>
          <w:rFonts w:ascii="Times New Roman" w:hAnsi="Times New Roman"/>
          <w:bCs/>
          <w:szCs w:val="24"/>
        </w:rPr>
        <w:t xml:space="preserve"> selectivity as discussed above) is still higher </w:t>
      </w:r>
      <w:r w:rsidR="002223E5" w:rsidRPr="001558DF">
        <w:rPr>
          <w:rFonts w:ascii="Times New Roman" w:hAnsi="Times New Roman"/>
          <w:bCs/>
          <w:szCs w:val="24"/>
        </w:rPr>
        <w:t xml:space="preserve">than that of the Sn/Pt/C sample. This </w:t>
      </w:r>
      <w:r w:rsidRPr="001558DF">
        <w:rPr>
          <w:rFonts w:ascii="Times New Roman" w:hAnsi="Times New Roman"/>
          <w:bCs/>
          <w:szCs w:val="24"/>
        </w:rPr>
        <w:t>suggest</w:t>
      </w:r>
      <w:r w:rsidR="002223E5" w:rsidRPr="001558DF">
        <w:rPr>
          <w:rFonts w:ascii="Times New Roman" w:hAnsi="Times New Roman"/>
          <w:bCs/>
          <w:szCs w:val="24"/>
        </w:rPr>
        <w:t>s</w:t>
      </w:r>
      <w:r w:rsidRPr="001558DF">
        <w:rPr>
          <w:rFonts w:ascii="Times New Roman" w:hAnsi="Times New Roman"/>
          <w:bCs/>
          <w:szCs w:val="24"/>
        </w:rPr>
        <w:t xml:space="preserve"> that the electronic effects </w:t>
      </w:r>
      <w:r w:rsidR="00BF4853" w:rsidRPr="001558DF">
        <w:rPr>
          <w:rFonts w:ascii="Times New Roman" w:hAnsi="Times New Roman"/>
          <w:bCs/>
          <w:szCs w:val="24"/>
        </w:rPr>
        <w:t xml:space="preserve">retained </w:t>
      </w:r>
      <w:r w:rsidR="006A286A" w:rsidRPr="001558DF">
        <w:rPr>
          <w:rFonts w:ascii="Times New Roman" w:hAnsi="Times New Roman"/>
          <w:bCs/>
          <w:szCs w:val="24"/>
        </w:rPr>
        <w:t xml:space="preserve">after the AAT, confirmed by XANES and XPS, </w:t>
      </w:r>
      <w:r w:rsidRPr="001558DF">
        <w:rPr>
          <w:rFonts w:ascii="Times New Roman" w:hAnsi="Times New Roman"/>
          <w:bCs/>
          <w:szCs w:val="24"/>
        </w:rPr>
        <w:t>continue to have an important role in describing the activity of this material</w:t>
      </w:r>
      <w:r w:rsidR="007B3F29" w:rsidRPr="001558DF">
        <w:rPr>
          <w:bCs/>
        </w:rPr>
        <w:t>.</w:t>
      </w:r>
    </w:p>
    <w:p w14:paraId="3EB524FC" w14:textId="77777777" w:rsidR="007B3F29" w:rsidRPr="001558DF" w:rsidRDefault="007B3F29" w:rsidP="00842F5F">
      <w:pPr>
        <w:pStyle w:val="TAMainText"/>
        <w:rPr>
          <w:bCs/>
        </w:rPr>
      </w:pPr>
    </w:p>
    <w:p w14:paraId="4658A1F3" w14:textId="73903564" w:rsidR="007B3F29" w:rsidRPr="001558DF" w:rsidRDefault="007B3F29" w:rsidP="00842F5F">
      <w:pPr>
        <w:pStyle w:val="TAMainText"/>
        <w:numPr>
          <w:ilvl w:val="0"/>
          <w:numId w:val="11"/>
        </w:numPr>
        <w:ind w:left="284" w:hanging="284"/>
        <w:rPr>
          <w:bCs/>
        </w:rPr>
      </w:pPr>
      <w:r w:rsidRPr="001558DF">
        <w:rPr>
          <w:bCs/>
        </w:rPr>
        <w:t>CONCLUSIONS</w:t>
      </w:r>
    </w:p>
    <w:p w14:paraId="5149CF47" w14:textId="77777777" w:rsidR="007B3F29" w:rsidRPr="001558DF" w:rsidRDefault="0010002C" w:rsidP="00842F5F">
      <w:pPr>
        <w:pStyle w:val="TAMainText"/>
      </w:pPr>
      <w:r w:rsidRPr="001558DF">
        <w:t>Three different Pt-Sn nanostructures, two Pt-Sn alloys with varying extent of alloying and a Sn modified Pt catalyst, were investigated to study the effect of the addition of Sn on the structural and electronic properties of Pt and their relative effects on the overall ethanol electrooxidation activity and  selectivity to CO</w:t>
      </w:r>
      <w:r w:rsidRPr="001558DF">
        <w:rPr>
          <w:vertAlign w:val="subscript"/>
        </w:rPr>
        <w:t>2</w:t>
      </w:r>
      <w:r w:rsidRPr="001558DF">
        <w:t xml:space="preserve"> formation. The Pt</w:t>
      </w:r>
      <w:r w:rsidRPr="001558DF">
        <w:rPr>
          <w:vertAlign w:val="subscript"/>
        </w:rPr>
        <w:t>3</w:t>
      </w:r>
      <w:r w:rsidRPr="001558DF">
        <w:t>Sn</w:t>
      </w:r>
      <w:r w:rsidRPr="001558DF">
        <w:rPr>
          <w:vertAlign w:val="subscript"/>
        </w:rPr>
        <w:t>1</w:t>
      </w:r>
      <w:r w:rsidRPr="001558DF">
        <w:t>/C and Pt</w:t>
      </w:r>
      <w:r w:rsidRPr="001558DF">
        <w:rPr>
          <w:vertAlign w:val="subscript"/>
        </w:rPr>
        <w:t>1</w:t>
      </w:r>
      <w:r w:rsidRPr="001558DF">
        <w:t>Sn</w:t>
      </w:r>
      <w:r w:rsidRPr="001558DF">
        <w:rPr>
          <w:vertAlign w:val="subscript"/>
        </w:rPr>
        <w:t>1</w:t>
      </w:r>
      <w:r w:rsidRPr="001558DF">
        <w:t>/C samples are alloys with a heterogeneous composition, with more Sn on the surface than in the bulk of the nanoparticles. Pt</w:t>
      </w:r>
      <w:r w:rsidRPr="001558DF">
        <w:rPr>
          <w:vertAlign w:val="subscript"/>
        </w:rPr>
        <w:t>3</w:t>
      </w:r>
      <w:r w:rsidRPr="001558DF">
        <w:t>Sn</w:t>
      </w:r>
      <w:r w:rsidRPr="001558DF">
        <w:rPr>
          <w:vertAlign w:val="subscript"/>
        </w:rPr>
        <w:t>1</w:t>
      </w:r>
      <w:r w:rsidRPr="001558DF">
        <w:t>/C presented a high grade of crystallinity with a 92.6 % of alloying. In contrast, Pt</w:t>
      </w:r>
      <w:r w:rsidRPr="001558DF">
        <w:rPr>
          <w:vertAlign w:val="subscript"/>
        </w:rPr>
        <w:t>1</w:t>
      </w:r>
      <w:r w:rsidRPr="001558DF">
        <w:t>Sn</w:t>
      </w:r>
      <w:r w:rsidRPr="001558DF">
        <w:rPr>
          <w:vertAlign w:val="subscript"/>
        </w:rPr>
        <w:t>1</w:t>
      </w:r>
      <w:r w:rsidRPr="001558DF">
        <w:t>/C showed a more amorphous character that was attributed to the excess of Sn present as SnO</w:t>
      </w:r>
      <w:r w:rsidRPr="001558DF">
        <w:rPr>
          <w:vertAlign w:val="subscript"/>
        </w:rPr>
        <w:t>2</w:t>
      </w:r>
      <w:r w:rsidRPr="001558DF">
        <w:t xml:space="preserve"> at the surface or near to the surface of the alloy particles. The Sn/Pt/C sample consisted of a monolayer of Sn deposited on the Pt nanoparticles forming a core-shell structure. Alloying of Sn with Pt caused an increase in the lattice parameter of Pt and modified the electronic structure, </w:t>
      </w:r>
      <w:r w:rsidRPr="001558DF">
        <w:lastRenderedPageBreak/>
        <w:t>whilst the deposition of Sn on the Pt surface did not modify the Pt lattice parameter nor perturbed its electronic environment</w:t>
      </w:r>
      <w:r w:rsidR="007B3F29" w:rsidRPr="001558DF">
        <w:t xml:space="preserve">. </w:t>
      </w:r>
    </w:p>
    <w:p w14:paraId="17A1B521" w14:textId="50F64268" w:rsidR="007B3F29" w:rsidRPr="001558DF" w:rsidRDefault="0010002C" w:rsidP="00842F5F">
      <w:pPr>
        <w:pStyle w:val="TAMainText"/>
      </w:pPr>
      <w:r w:rsidRPr="001558DF">
        <w:t xml:space="preserve">All the Pt-Sn materials showed higher EOR activity than the commercial Pt/C reference catalyst, both in terms of onset potential and current density, with the Pt-Sn alloys giving the highest yield of ethanol oxidized. </w:t>
      </w:r>
      <w:r w:rsidRPr="001558DF">
        <w:rPr>
          <w:i/>
        </w:rPr>
        <w:t>In situ</w:t>
      </w:r>
      <w:r w:rsidRPr="001558DF">
        <w:t xml:space="preserve"> FTIR was used to determine any effect of the Pt-Sn nanostructure on the products distribution. Our study advanced the detailed understanding of the oxidation of ethanol on PtSn catalysts by showing that the architecture of the nanoparticles affects the selectivity towards CO</w:t>
      </w:r>
      <w:r w:rsidRPr="001558DF">
        <w:rPr>
          <w:vertAlign w:val="subscript"/>
        </w:rPr>
        <w:t>2</w:t>
      </w:r>
      <w:r w:rsidRPr="001558DF">
        <w:t xml:space="preserve">. On the </w:t>
      </w:r>
      <w:r w:rsidRPr="001558DF">
        <w:rPr>
          <w:rFonts w:asciiTheme="majorBidi" w:hAnsiTheme="majorBidi" w:cstheme="majorBidi"/>
          <w:szCs w:val="24"/>
        </w:rPr>
        <w:t xml:space="preserve">Pt-Sn alloys, the formation of acetaldehyde and acetic acid was confirmed and related to the weaker adsorption of such products due to the modification of the electronic environment of Pt, which desorb easily from the surface of the catalyst </w:t>
      </w:r>
      <w:r w:rsidR="00BF4853" w:rsidRPr="001558DF">
        <w:rPr>
          <w:rFonts w:asciiTheme="majorBidi" w:hAnsiTheme="majorBidi" w:cstheme="majorBidi"/>
          <w:szCs w:val="24"/>
        </w:rPr>
        <w:t xml:space="preserve">and thus are not </w:t>
      </w:r>
      <w:r w:rsidRPr="001558DF">
        <w:rPr>
          <w:rFonts w:asciiTheme="majorBidi" w:hAnsiTheme="majorBidi" w:cstheme="majorBidi"/>
          <w:szCs w:val="24"/>
        </w:rPr>
        <w:t>completely oxidized to CO</w:t>
      </w:r>
      <w:r w:rsidRPr="001558DF">
        <w:rPr>
          <w:rFonts w:asciiTheme="majorBidi" w:hAnsiTheme="majorBidi" w:cstheme="majorBidi"/>
          <w:szCs w:val="24"/>
          <w:vertAlign w:val="subscript"/>
        </w:rPr>
        <w:t>2</w:t>
      </w:r>
      <w:r w:rsidRPr="001558DF">
        <w:rPr>
          <w:rFonts w:asciiTheme="majorBidi" w:hAnsiTheme="majorBidi" w:cstheme="majorBidi"/>
          <w:szCs w:val="24"/>
        </w:rPr>
        <w:t xml:space="preserve">. </w:t>
      </w:r>
      <w:r w:rsidR="00BF4853" w:rsidRPr="001558DF">
        <w:rPr>
          <w:rFonts w:asciiTheme="majorBidi" w:hAnsiTheme="majorBidi" w:cstheme="majorBidi"/>
          <w:szCs w:val="24"/>
        </w:rPr>
        <w:t>In contrast</w:t>
      </w:r>
      <w:r w:rsidRPr="001558DF">
        <w:rPr>
          <w:rFonts w:asciiTheme="majorBidi" w:hAnsiTheme="majorBidi" w:cstheme="majorBidi"/>
          <w:szCs w:val="24"/>
        </w:rPr>
        <w:t>, on</w:t>
      </w:r>
      <w:r w:rsidR="00BF4853" w:rsidRPr="001558DF">
        <w:rPr>
          <w:rFonts w:asciiTheme="majorBidi" w:hAnsiTheme="majorBidi" w:cstheme="majorBidi"/>
          <w:szCs w:val="24"/>
        </w:rPr>
        <w:t xml:space="preserve"> the</w:t>
      </w:r>
      <w:r w:rsidRPr="001558DF">
        <w:rPr>
          <w:rFonts w:asciiTheme="majorBidi" w:hAnsiTheme="majorBidi" w:cstheme="majorBidi"/>
          <w:szCs w:val="24"/>
        </w:rPr>
        <w:t xml:space="preserve"> Sn modified Pt sample, the amount of ethanol completely oxidized to CO</w:t>
      </w:r>
      <w:r w:rsidRPr="001558DF">
        <w:rPr>
          <w:rFonts w:asciiTheme="majorBidi" w:hAnsiTheme="majorBidi" w:cstheme="majorBidi"/>
          <w:szCs w:val="24"/>
          <w:vertAlign w:val="subscript"/>
        </w:rPr>
        <w:t>2</w:t>
      </w:r>
      <w:r w:rsidRPr="001558DF">
        <w:rPr>
          <w:rFonts w:asciiTheme="majorBidi" w:hAnsiTheme="majorBidi" w:cstheme="majorBidi"/>
          <w:szCs w:val="24"/>
        </w:rPr>
        <w:t xml:space="preserve"> increased, indicating that the product distribution can be tuned by the Pt-Sn nanostructure</w:t>
      </w:r>
      <w:r w:rsidR="007B3F29" w:rsidRPr="001558DF">
        <w:rPr>
          <w:rFonts w:asciiTheme="majorBidi" w:hAnsiTheme="majorBidi" w:cstheme="majorBidi"/>
        </w:rPr>
        <w:t xml:space="preserve">. </w:t>
      </w:r>
    </w:p>
    <w:p w14:paraId="31AE80C4" w14:textId="6A133110" w:rsidR="007B3F29" w:rsidRPr="001558DF" w:rsidRDefault="0010002C" w:rsidP="00842F5F">
      <w:pPr>
        <w:pStyle w:val="TAMainText"/>
        <w:rPr>
          <w:rFonts w:asciiTheme="majorBidi" w:hAnsiTheme="majorBidi" w:cstheme="majorBidi"/>
        </w:rPr>
      </w:pPr>
      <w:r w:rsidRPr="001558DF">
        <w:rPr>
          <w:rFonts w:asciiTheme="majorBidi" w:hAnsiTheme="majorBidi" w:cstheme="majorBidi"/>
          <w:szCs w:val="24"/>
        </w:rPr>
        <w:t>Both nanoarchitectures were shown to be retained under working conditions and in presence of ethanol in the 0.2</w:t>
      </w:r>
      <w:r w:rsidR="00BF4853" w:rsidRPr="001558DF">
        <w:rPr>
          <w:rFonts w:asciiTheme="majorBidi" w:hAnsiTheme="majorBidi" w:cstheme="majorBidi"/>
          <w:szCs w:val="24"/>
        </w:rPr>
        <w:t xml:space="preserve"> - </w:t>
      </w:r>
      <w:r w:rsidRPr="001558DF">
        <w:rPr>
          <w:rFonts w:asciiTheme="majorBidi" w:hAnsiTheme="majorBidi" w:cstheme="majorBidi"/>
          <w:szCs w:val="24"/>
        </w:rPr>
        <w:t>0.6 V potential window. Following AAT cycles, a segregation of Sn from the bulk to the surface of the Pt-Sn alloy nanoparticles was found, causing Pt-Sn de-alloying and formation of a SnO</w:t>
      </w:r>
      <w:r w:rsidRPr="001558DF">
        <w:rPr>
          <w:rFonts w:asciiTheme="majorBidi" w:hAnsiTheme="majorBidi" w:cstheme="majorBidi"/>
          <w:szCs w:val="24"/>
          <w:vertAlign w:val="subscript"/>
        </w:rPr>
        <w:t>2</w:t>
      </w:r>
      <w:r w:rsidRPr="001558DF">
        <w:rPr>
          <w:rFonts w:asciiTheme="majorBidi" w:hAnsiTheme="majorBidi" w:cstheme="majorBidi"/>
          <w:szCs w:val="24"/>
        </w:rPr>
        <w:t xml:space="preserve"> layer on the surface. In contrast, </w:t>
      </w:r>
      <w:r w:rsidRPr="001558DF">
        <w:rPr>
          <w:rFonts w:ascii="Times New Roman" w:hAnsi="Times New Roman"/>
          <w:szCs w:val="24"/>
        </w:rPr>
        <w:t xml:space="preserve">the Sn modified Pt nanostructure was very stable. However, </w:t>
      </w:r>
      <w:r w:rsidRPr="001558DF">
        <w:rPr>
          <w:rFonts w:ascii="Times New Roman" w:hAnsi="Times New Roman"/>
          <w:bCs/>
          <w:szCs w:val="24"/>
        </w:rPr>
        <w:t>even after the structural changes suffered by the Pt</w:t>
      </w:r>
      <w:r w:rsidRPr="001558DF">
        <w:rPr>
          <w:rFonts w:ascii="Times New Roman" w:hAnsi="Times New Roman"/>
          <w:bCs/>
          <w:szCs w:val="24"/>
          <w:vertAlign w:val="subscript"/>
        </w:rPr>
        <w:t>3</w:t>
      </w:r>
      <w:r w:rsidRPr="001558DF">
        <w:rPr>
          <w:rFonts w:ascii="Times New Roman" w:hAnsi="Times New Roman"/>
          <w:bCs/>
          <w:szCs w:val="24"/>
        </w:rPr>
        <w:t>Sn</w:t>
      </w:r>
      <w:r w:rsidRPr="001558DF">
        <w:rPr>
          <w:rFonts w:ascii="Times New Roman" w:hAnsi="Times New Roman"/>
          <w:bCs/>
          <w:szCs w:val="24"/>
          <w:vertAlign w:val="subscript"/>
        </w:rPr>
        <w:t>1</w:t>
      </w:r>
      <w:r w:rsidRPr="001558DF">
        <w:rPr>
          <w:rFonts w:ascii="Times New Roman" w:hAnsi="Times New Roman"/>
          <w:bCs/>
          <w:szCs w:val="24"/>
        </w:rPr>
        <w:t>/C sample, its overall activity outperformed that of the Sn/Pt/C sample, suggesting that the electronic effects of alloying persisted</w:t>
      </w:r>
      <w:r w:rsidR="00D32472" w:rsidRPr="001558DF">
        <w:rPr>
          <w:rFonts w:ascii="Times New Roman" w:hAnsi="Times New Roman"/>
          <w:bCs/>
          <w:szCs w:val="24"/>
        </w:rPr>
        <w:t xml:space="preserve"> and have an important role in describing the activity of this material</w:t>
      </w:r>
      <w:r w:rsidR="007B3F29" w:rsidRPr="001558DF">
        <w:rPr>
          <w:bCs/>
        </w:rPr>
        <w:t>.</w:t>
      </w:r>
    </w:p>
    <w:p w14:paraId="0E8EA783" w14:textId="77777777" w:rsidR="0098548F" w:rsidRPr="001558DF" w:rsidRDefault="0098548F" w:rsidP="00842F5F">
      <w:pPr>
        <w:pStyle w:val="TAMainText"/>
        <w:ind w:firstLine="0"/>
        <w:jc w:val="left"/>
      </w:pPr>
    </w:p>
    <w:p w14:paraId="6F830F8A" w14:textId="50496B6C" w:rsidR="00DD6DBB" w:rsidRPr="001558DF" w:rsidRDefault="00DD6DBB" w:rsidP="00842F5F">
      <w:pPr>
        <w:pStyle w:val="TESupportingInformation"/>
        <w:spacing w:after="0"/>
        <w:ind w:firstLine="0"/>
      </w:pPr>
      <w:r w:rsidRPr="001558DF">
        <w:t>ACKNOWLEDGMENT</w:t>
      </w:r>
      <w:r w:rsidR="000A4437" w:rsidRPr="001558DF">
        <w:t>S</w:t>
      </w:r>
    </w:p>
    <w:p w14:paraId="11F819B2" w14:textId="77777777" w:rsidR="0041281F" w:rsidRPr="001558DF" w:rsidRDefault="003E45D6" w:rsidP="00842F5F">
      <w:pPr>
        <w:pStyle w:val="TDAcknowledgments"/>
        <w:spacing w:before="0" w:after="0"/>
        <w:ind w:firstLine="204"/>
      </w:pPr>
      <w:r w:rsidRPr="001558DF">
        <w:rPr>
          <w:rFonts w:ascii="Times New Roman" w:hAnsi="Times New Roman"/>
          <w:szCs w:val="24"/>
        </w:rPr>
        <w:lastRenderedPageBreak/>
        <w:t xml:space="preserve">L.C. acknowledges support via an EU Marie Curie Intra-European Fellowship under contract no. FP7-PEOPLE-2010-IEF-272632. </w:t>
      </w:r>
      <w:r w:rsidRPr="001558DF">
        <w:rPr>
          <w:rFonts w:ascii="Times New Roman" w:hAnsi="Times New Roman"/>
          <w:color w:val="000000"/>
          <w:szCs w:val="24"/>
          <w:shd w:val="clear" w:color="auto" w:fill="FFFFFF"/>
        </w:rPr>
        <w:t>EJC and LMD acknowledge financial support from CONICET and ANPCyT (Argentina)</w:t>
      </w:r>
      <w:r w:rsidRPr="001558DF">
        <w:rPr>
          <w:rFonts w:ascii="Times New Roman" w:hAnsi="Times New Roman"/>
          <w:szCs w:val="24"/>
        </w:rPr>
        <w:t>. The authors acknowledge the LMA-INA, UK Catalysis Hub, Diamond Light Source and the ALBA synchrotron light source for offering access to their instruments and expertise and for provision of  beamtime (SP8071 and 2012100428). Dr Giannantonio Cibin, Dr Andy Dent and Dr Stephen Parry are acknowledged for the excellent beamline support at the Diamond Light Source and Dr Laura Simonelli at ALBA Synchrotron Light Source</w:t>
      </w:r>
      <w:r w:rsidR="0041281F" w:rsidRPr="001558DF">
        <w:t>.</w:t>
      </w:r>
    </w:p>
    <w:p w14:paraId="29D1877D" w14:textId="77777777" w:rsidR="00372548" w:rsidRPr="001558DF" w:rsidRDefault="00372548" w:rsidP="0041281F">
      <w:pPr>
        <w:pStyle w:val="TDAcknowledgments"/>
        <w:spacing w:before="0" w:after="240"/>
        <w:ind w:firstLine="0"/>
        <w:jc w:val="left"/>
      </w:pPr>
    </w:p>
    <w:p w14:paraId="64E42888" w14:textId="77777777" w:rsidR="00DD6DBB" w:rsidRDefault="00DD6DBB" w:rsidP="005E6096">
      <w:pPr>
        <w:spacing w:after="0"/>
        <w:jc w:val="left"/>
      </w:pPr>
      <w:r w:rsidRPr="001558DF">
        <w:t>REFERENCES</w:t>
      </w:r>
    </w:p>
    <w:sectPr w:rsidR="00DD6DBB" w:rsidSect="000B5610">
      <w:footerReference w:type="even" r:id="rId11"/>
      <w:footerReference w:type="default" r:id="rId12"/>
      <w:endnotePr>
        <w:numFmt w:val="decimal"/>
      </w:endnotePr>
      <w:type w:val="continuous"/>
      <w:pgSz w:w="12240" w:h="15840"/>
      <w:pgMar w:top="1440" w:right="1440" w:bottom="1440" w:left="1440" w:header="0" w:footer="0" w:gutter="0"/>
      <w:cols w:space="475"/>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527DD4" w15:done="0"/>
  <w15:commentEx w15:paraId="31B1E936" w15:done="0"/>
  <w15:commentEx w15:paraId="114C83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4F734" w14:textId="77777777" w:rsidR="00191687" w:rsidRDefault="00191687">
      <w:r>
        <w:separator/>
      </w:r>
    </w:p>
  </w:endnote>
  <w:endnote w:type="continuationSeparator" w:id="0">
    <w:p w14:paraId="367CC362" w14:textId="77777777" w:rsidR="00191687" w:rsidRDefault="00191687">
      <w:r>
        <w:continuationSeparator/>
      </w:r>
    </w:p>
  </w:endnote>
  <w:endnote w:id="1">
    <w:p w14:paraId="5B95987B" w14:textId="53EBA54B" w:rsidR="00960EE3" w:rsidRPr="001558DF" w:rsidRDefault="00960EE3" w:rsidP="00C41E4C">
      <w:pPr>
        <w:pStyle w:val="TFReferencesSection"/>
        <w:spacing w:after="0"/>
        <w:ind w:firstLine="0"/>
        <w:rPr>
          <w:noProof/>
        </w:rPr>
      </w:pPr>
      <w:r w:rsidRPr="001558DF">
        <w:t>[</w:t>
      </w:r>
      <w:r w:rsidRPr="001558DF">
        <w:rPr>
          <w:rStyle w:val="Refdenotaalfinal"/>
          <w:vertAlign w:val="baseline"/>
        </w:rPr>
        <w:endnoteRef/>
      </w:r>
      <w:r w:rsidRPr="001558DF">
        <w:t xml:space="preserve">] </w:t>
      </w:r>
      <w:r w:rsidRPr="001558DF">
        <w:rPr>
          <w:noProof/>
        </w:rPr>
        <w:t xml:space="preserve">C. Lamy, A. Lima, V. LeRhun, F. Delime, C. Coutanceau, J.-M. Léger, </w:t>
      </w:r>
      <w:hyperlink r:id="rId1" w:history="1">
        <w:r w:rsidRPr="001558DF">
          <w:rPr>
            <w:rStyle w:val="Hipervnculo"/>
            <w:rFonts w:ascii="Times New Roman" w:eastAsia="Arial Unicode MS" w:hAnsi="Times New Roman"/>
            <w:color w:val="auto"/>
            <w:szCs w:val="24"/>
            <w:u w:val="none"/>
            <w:shd w:val="clear" w:color="auto" w:fill="FFFFFF"/>
          </w:rPr>
          <w:t>Recent advances in the development of direct alcohol fuel cells (DAFC)</w:t>
        </w:r>
      </w:hyperlink>
      <w:r w:rsidRPr="001558DF">
        <w:rPr>
          <w:noProof/>
        </w:rPr>
        <w:t>, J. Power Sources 105 (2002) 283-296.</w:t>
      </w:r>
    </w:p>
  </w:endnote>
  <w:endnote w:id="2">
    <w:p w14:paraId="1507853F" w14:textId="5AA442B5" w:rsidR="00960EE3" w:rsidRPr="001558DF" w:rsidRDefault="00960EE3" w:rsidP="0019148D">
      <w:pPr>
        <w:pStyle w:val="Ttulo2"/>
        <w:shd w:val="clear" w:color="auto" w:fill="FFFFFF"/>
        <w:spacing w:before="0" w:after="0" w:line="480" w:lineRule="auto"/>
        <w:rPr>
          <w:rFonts w:ascii="Times" w:hAnsi="Times" w:cs="Times New Roman"/>
          <w:b w:val="0"/>
          <w:bCs w:val="0"/>
          <w:iCs w:val="0"/>
          <w:sz w:val="24"/>
          <w:szCs w:val="20"/>
        </w:rPr>
      </w:pPr>
      <w:proofErr w:type="gramStart"/>
      <w:r w:rsidRPr="001558DF">
        <w:rPr>
          <w:rFonts w:ascii="Times" w:hAnsi="Times" w:cs="Times New Roman"/>
          <w:b w:val="0"/>
          <w:bCs w:val="0"/>
          <w:iCs w:val="0"/>
          <w:sz w:val="24"/>
          <w:szCs w:val="20"/>
        </w:rPr>
        <w:t>[</w:t>
      </w:r>
      <w:r w:rsidRPr="001558DF">
        <w:rPr>
          <w:rFonts w:ascii="Times" w:hAnsi="Times" w:cs="Times New Roman"/>
          <w:b w:val="0"/>
          <w:bCs w:val="0"/>
          <w:iCs w:val="0"/>
          <w:sz w:val="24"/>
          <w:szCs w:val="20"/>
        </w:rPr>
        <w:endnoteRef/>
      </w:r>
      <w:r w:rsidRPr="001558DF">
        <w:rPr>
          <w:rFonts w:ascii="Times" w:hAnsi="Times" w:cs="Times New Roman"/>
          <w:b w:val="0"/>
          <w:bCs w:val="0"/>
          <w:iCs w:val="0"/>
          <w:sz w:val="24"/>
          <w:szCs w:val="20"/>
        </w:rPr>
        <w:t xml:space="preserve">] </w:t>
      </w:r>
      <w:bookmarkStart w:id="0" w:name="_Ref373241144"/>
      <w:r w:rsidRPr="001558DF">
        <w:rPr>
          <w:rFonts w:ascii="Times" w:hAnsi="Times" w:cs="Times New Roman"/>
          <w:b w:val="0"/>
          <w:bCs w:val="0"/>
          <w:iCs w:val="0"/>
          <w:sz w:val="24"/>
          <w:szCs w:val="20"/>
        </w:rPr>
        <w:t xml:space="preserve">J.S. </w:t>
      </w:r>
      <w:proofErr w:type="spellStart"/>
      <w:r w:rsidRPr="001558DF">
        <w:rPr>
          <w:rFonts w:ascii="Times" w:hAnsi="Times" w:cs="Times New Roman"/>
          <w:b w:val="0"/>
          <w:bCs w:val="0"/>
          <w:iCs w:val="0"/>
          <w:sz w:val="24"/>
          <w:szCs w:val="20"/>
        </w:rPr>
        <w:t>Spendelow</w:t>
      </w:r>
      <w:proofErr w:type="spellEnd"/>
      <w:r w:rsidRPr="001558DF">
        <w:rPr>
          <w:rFonts w:ascii="Times" w:hAnsi="Times" w:cs="Times New Roman"/>
          <w:b w:val="0"/>
          <w:bCs w:val="0"/>
          <w:iCs w:val="0"/>
          <w:sz w:val="24"/>
          <w:szCs w:val="20"/>
        </w:rPr>
        <w:t xml:space="preserve">, A. </w:t>
      </w:r>
      <w:proofErr w:type="spellStart"/>
      <w:r w:rsidRPr="001558DF">
        <w:rPr>
          <w:rFonts w:ascii="Times" w:hAnsi="Times" w:cs="Times New Roman"/>
          <w:b w:val="0"/>
          <w:bCs w:val="0"/>
          <w:iCs w:val="0"/>
          <w:sz w:val="24"/>
          <w:szCs w:val="20"/>
        </w:rPr>
        <w:t>Wieckowski</w:t>
      </w:r>
      <w:proofErr w:type="spellEnd"/>
      <w:r w:rsidRPr="001558DF">
        <w:rPr>
          <w:rFonts w:ascii="Times" w:hAnsi="Times" w:cs="Times New Roman"/>
          <w:b w:val="0"/>
          <w:bCs w:val="0"/>
          <w:iCs w:val="0"/>
          <w:sz w:val="24"/>
          <w:szCs w:val="20"/>
        </w:rPr>
        <w:t xml:space="preserve">, </w:t>
      </w:r>
      <w:proofErr w:type="spellStart"/>
      <w:r w:rsidRPr="001558DF">
        <w:rPr>
          <w:rFonts w:ascii="Times" w:hAnsi="Times" w:cs="Times New Roman"/>
          <w:b w:val="0"/>
          <w:bCs w:val="0"/>
          <w:iCs w:val="0"/>
          <w:sz w:val="24"/>
          <w:szCs w:val="20"/>
        </w:rPr>
        <w:t>Electrocatalysis</w:t>
      </w:r>
      <w:proofErr w:type="spellEnd"/>
      <w:r w:rsidRPr="001558DF">
        <w:rPr>
          <w:rFonts w:ascii="Times" w:hAnsi="Times" w:cs="Times New Roman"/>
          <w:b w:val="0"/>
          <w:bCs w:val="0"/>
          <w:iCs w:val="0"/>
          <w:sz w:val="24"/>
          <w:szCs w:val="20"/>
        </w:rPr>
        <w:t xml:space="preserve"> of oxygen reduction and small alcohol oxidation in alkaline media, Phys. Chem. Chem. Phys. 9 (2007) 2654-2675.</w:t>
      </w:r>
      <w:bookmarkEnd w:id="0"/>
      <w:proofErr w:type="gramEnd"/>
    </w:p>
  </w:endnote>
  <w:endnote w:id="3">
    <w:p w14:paraId="5C8F7E34" w14:textId="3BE6D7FD" w:rsidR="00960EE3" w:rsidRPr="001558DF" w:rsidRDefault="00960EE3" w:rsidP="00C41E4C">
      <w:pPr>
        <w:pStyle w:val="Ttulo2"/>
        <w:shd w:val="clear" w:color="auto" w:fill="FFFFFF"/>
        <w:spacing w:before="0" w:after="0" w:line="480" w:lineRule="auto"/>
        <w:rPr>
          <w:rFonts w:ascii="Times" w:hAnsi="Times" w:cs="Times New Roman"/>
          <w:b w:val="0"/>
          <w:bCs w:val="0"/>
          <w:iCs w:val="0"/>
          <w:sz w:val="24"/>
          <w:szCs w:val="20"/>
        </w:rPr>
      </w:pPr>
      <w:r w:rsidRPr="001558DF">
        <w:rPr>
          <w:rFonts w:ascii="Times" w:hAnsi="Times" w:cs="Times New Roman"/>
          <w:b w:val="0"/>
          <w:bCs w:val="0"/>
          <w:iCs w:val="0"/>
          <w:sz w:val="24"/>
          <w:szCs w:val="20"/>
        </w:rPr>
        <w:t>[</w:t>
      </w:r>
      <w:r w:rsidRPr="001558DF">
        <w:rPr>
          <w:rFonts w:ascii="Times" w:hAnsi="Times" w:cs="Times New Roman"/>
          <w:b w:val="0"/>
          <w:bCs w:val="0"/>
          <w:iCs w:val="0"/>
          <w:sz w:val="24"/>
          <w:szCs w:val="20"/>
        </w:rPr>
        <w:endnoteRef/>
      </w:r>
      <w:r w:rsidRPr="001558DF">
        <w:rPr>
          <w:rFonts w:ascii="Times" w:hAnsi="Times" w:cs="Times New Roman"/>
          <w:b w:val="0"/>
          <w:bCs w:val="0"/>
          <w:iCs w:val="0"/>
          <w:sz w:val="24"/>
          <w:szCs w:val="20"/>
        </w:rPr>
        <w:t xml:space="preserve">] </w:t>
      </w:r>
      <w:bookmarkStart w:id="1" w:name="_Ref373241173"/>
      <w:r w:rsidRPr="001558DF">
        <w:rPr>
          <w:rFonts w:ascii="Times" w:hAnsi="Times" w:cs="Times New Roman"/>
          <w:b w:val="0"/>
          <w:bCs w:val="0"/>
          <w:iCs w:val="0"/>
          <w:sz w:val="24"/>
          <w:szCs w:val="20"/>
        </w:rPr>
        <w:t xml:space="preserve">H. Igarashi, T. </w:t>
      </w:r>
      <w:proofErr w:type="spellStart"/>
      <w:r w:rsidRPr="001558DF">
        <w:rPr>
          <w:rFonts w:ascii="Times" w:hAnsi="Times" w:cs="Times New Roman"/>
          <w:b w:val="0"/>
          <w:bCs w:val="0"/>
          <w:iCs w:val="0"/>
          <w:sz w:val="24"/>
          <w:szCs w:val="20"/>
        </w:rPr>
        <w:t>Fujino</w:t>
      </w:r>
      <w:proofErr w:type="spellEnd"/>
      <w:r w:rsidRPr="001558DF">
        <w:rPr>
          <w:rFonts w:ascii="Times" w:hAnsi="Times" w:cs="Times New Roman"/>
          <w:b w:val="0"/>
          <w:bCs w:val="0"/>
          <w:iCs w:val="0"/>
          <w:sz w:val="24"/>
          <w:szCs w:val="20"/>
        </w:rPr>
        <w:t>, Y. Zhu, H. Uchida, M. Watanabe,</w:t>
      </w:r>
      <w:bookmarkStart w:id="2" w:name="B007768M"/>
      <w:r w:rsidRPr="001558DF">
        <w:rPr>
          <w:rFonts w:ascii="Times" w:hAnsi="Times" w:cs="Times New Roman"/>
          <w:b w:val="0"/>
          <w:bCs w:val="0"/>
          <w:iCs w:val="0"/>
          <w:sz w:val="24"/>
          <w:szCs w:val="20"/>
        </w:rPr>
        <w:t xml:space="preserve"> </w:t>
      </w:r>
      <w:bookmarkEnd w:id="2"/>
      <w:r w:rsidRPr="001558DF">
        <w:rPr>
          <w:rFonts w:ascii="Times" w:hAnsi="Times" w:cs="Times New Roman"/>
          <w:b w:val="0"/>
          <w:bCs w:val="0"/>
          <w:iCs w:val="0"/>
          <w:sz w:val="24"/>
          <w:szCs w:val="20"/>
        </w:rPr>
        <w:t>CO Tolerance of Pt alloy electrocatalysts for polymer electrolyte fuel cells and the detoxification mechanism, Phys. Chem. Chem. Phys. 3 (2001) 306-314.</w:t>
      </w:r>
      <w:bookmarkEnd w:id="1"/>
    </w:p>
  </w:endnote>
  <w:endnote w:id="4">
    <w:p w14:paraId="575B00AF" w14:textId="33B79205" w:rsidR="00960EE3" w:rsidRPr="001558DF" w:rsidRDefault="00960EE3" w:rsidP="00C41E4C">
      <w:pPr>
        <w:pStyle w:val="Ttulo2"/>
        <w:shd w:val="clear" w:color="auto" w:fill="FFFFFF"/>
        <w:spacing w:before="0" w:after="0" w:line="480" w:lineRule="auto"/>
        <w:rPr>
          <w:rFonts w:ascii="Times" w:hAnsi="Times" w:cs="Times New Roman"/>
          <w:b w:val="0"/>
          <w:bCs w:val="0"/>
          <w:iCs w:val="0"/>
          <w:sz w:val="24"/>
          <w:szCs w:val="20"/>
        </w:rPr>
      </w:pPr>
      <w:r w:rsidRPr="001558DF">
        <w:rPr>
          <w:rFonts w:ascii="Times" w:hAnsi="Times" w:cs="Times New Roman"/>
          <w:b w:val="0"/>
          <w:bCs w:val="0"/>
          <w:iCs w:val="0"/>
          <w:sz w:val="24"/>
          <w:szCs w:val="20"/>
        </w:rPr>
        <w:t>[</w:t>
      </w:r>
      <w:r w:rsidRPr="001558DF">
        <w:rPr>
          <w:rFonts w:ascii="Times" w:hAnsi="Times" w:cs="Times New Roman"/>
          <w:b w:val="0"/>
          <w:bCs w:val="0"/>
          <w:iCs w:val="0"/>
          <w:sz w:val="24"/>
          <w:szCs w:val="20"/>
        </w:rPr>
        <w:endnoteRef/>
      </w:r>
      <w:r w:rsidRPr="001558DF">
        <w:rPr>
          <w:rFonts w:ascii="Times" w:hAnsi="Times" w:cs="Times New Roman"/>
          <w:b w:val="0"/>
          <w:bCs w:val="0"/>
          <w:iCs w:val="0"/>
          <w:sz w:val="24"/>
          <w:szCs w:val="20"/>
        </w:rPr>
        <w:t xml:space="preserve">] L. </w:t>
      </w:r>
      <w:proofErr w:type="spellStart"/>
      <w:r w:rsidRPr="001558DF">
        <w:rPr>
          <w:rFonts w:ascii="Times" w:hAnsi="Times" w:cs="Times New Roman"/>
          <w:b w:val="0"/>
          <w:bCs w:val="0"/>
          <w:iCs w:val="0"/>
          <w:sz w:val="24"/>
          <w:szCs w:val="20"/>
        </w:rPr>
        <w:t>Colmenares</w:t>
      </w:r>
      <w:proofErr w:type="spellEnd"/>
      <w:r w:rsidRPr="001558DF">
        <w:rPr>
          <w:rFonts w:ascii="Times" w:hAnsi="Times" w:cs="Times New Roman"/>
          <w:b w:val="0"/>
          <w:bCs w:val="0"/>
          <w:iCs w:val="0"/>
          <w:sz w:val="24"/>
          <w:szCs w:val="20"/>
        </w:rPr>
        <w:t xml:space="preserve">, H. Wang, Z. </w:t>
      </w:r>
      <w:proofErr w:type="spellStart"/>
      <w:r w:rsidRPr="001558DF">
        <w:rPr>
          <w:rFonts w:ascii="Times" w:hAnsi="Times" w:cs="Times New Roman"/>
          <w:b w:val="0"/>
          <w:bCs w:val="0"/>
          <w:iCs w:val="0"/>
          <w:sz w:val="24"/>
          <w:szCs w:val="20"/>
        </w:rPr>
        <w:t>Jusys</w:t>
      </w:r>
      <w:proofErr w:type="spellEnd"/>
      <w:r w:rsidRPr="001558DF">
        <w:rPr>
          <w:rFonts w:ascii="Times" w:hAnsi="Times" w:cs="Times New Roman"/>
          <w:b w:val="0"/>
          <w:bCs w:val="0"/>
          <w:iCs w:val="0"/>
          <w:sz w:val="24"/>
          <w:szCs w:val="20"/>
        </w:rPr>
        <w:t xml:space="preserve">, L. Jiang, S. Yan, G.Q. Sun, R.J. </w:t>
      </w:r>
      <w:proofErr w:type="spellStart"/>
      <w:r w:rsidRPr="001558DF">
        <w:rPr>
          <w:rFonts w:ascii="Times" w:hAnsi="Times" w:cs="Times New Roman"/>
          <w:b w:val="0"/>
          <w:bCs w:val="0"/>
          <w:iCs w:val="0"/>
          <w:sz w:val="24"/>
          <w:szCs w:val="20"/>
        </w:rPr>
        <w:t>Behm</w:t>
      </w:r>
      <w:proofErr w:type="spellEnd"/>
      <w:r w:rsidRPr="001558DF">
        <w:rPr>
          <w:rFonts w:ascii="Times" w:hAnsi="Times" w:cs="Times New Roman"/>
          <w:b w:val="0"/>
          <w:bCs w:val="0"/>
          <w:iCs w:val="0"/>
          <w:sz w:val="24"/>
          <w:szCs w:val="20"/>
        </w:rPr>
        <w:t>, Ethanol oxidation on novel, carbon supported Pt alloy catalysts-Model studies under defined diffusion conditions</w:t>
      </w:r>
    </w:p>
    <w:p w14:paraId="07E97333" w14:textId="0690F4F2" w:rsidR="00960EE3" w:rsidRPr="001558DF" w:rsidRDefault="00960EE3" w:rsidP="00C41E4C">
      <w:pPr>
        <w:pStyle w:val="Ttulo2"/>
        <w:shd w:val="clear" w:color="auto" w:fill="FFFFFF"/>
        <w:spacing w:before="0" w:after="0" w:line="480" w:lineRule="auto"/>
        <w:rPr>
          <w:rFonts w:ascii="Times" w:hAnsi="Times" w:cs="Times New Roman"/>
          <w:b w:val="0"/>
          <w:bCs w:val="0"/>
          <w:iCs w:val="0"/>
          <w:sz w:val="24"/>
          <w:szCs w:val="20"/>
        </w:rPr>
      </w:pPr>
      <w:proofErr w:type="spellStart"/>
      <w:proofErr w:type="gramStart"/>
      <w:r w:rsidRPr="001558DF">
        <w:rPr>
          <w:rFonts w:ascii="Times" w:hAnsi="Times" w:cs="Times New Roman"/>
          <w:b w:val="0"/>
          <w:bCs w:val="0"/>
          <w:iCs w:val="0"/>
          <w:sz w:val="24"/>
          <w:szCs w:val="20"/>
        </w:rPr>
        <w:t>Electrochim</w:t>
      </w:r>
      <w:proofErr w:type="spellEnd"/>
      <w:r w:rsidRPr="001558DF">
        <w:rPr>
          <w:rFonts w:ascii="Times" w:hAnsi="Times" w:cs="Times New Roman"/>
          <w:b w:val="0"/>
          <w:bCs w:val="0"/>
          <w:iCs w:val="0"/>
          <w:sz w:val="24"/>
          <w:szCs w:val="20"/>
        </w:rPr>
        <w:t>.</w:t>
      </w:r>
      <w:proofErr w:type="gramEnd"/>
      <w:r w:rsidRPr="001558DF">
        <w:rPr>
          <w:rFonts w:ascii="Times" w:hAnsi="Times" w:cs="Times New Roman"/>
          <w:b w:val="0"/>
          <w:bCs w:val="0"/>
          <w:iCs w:val="0"/>
          <w:sz w:val="24"/>
          <w:szCs w:val="20"/>
        </w:rPr>
        <w:t xml:space="preserve"> </w:t>
      </w:r>
      <w:proofErr w:type="spellStart"/>
      <w:r w:rsidRPr="001558DF">
        <w:rPr>
          <w:rFonts w:ascii="Times" w:hAnsi="Times" w:cs="Times New Roman"/>
          <w:b w:val="0"/>
          <w:bCs w:val="0"/>
          <w:iCs w:val="0"/>
          <w:sz w:val="24"/>
          <w:szCs w:val="20"/>
        </w:rPr>
        <w:t>Acta</w:t>
      </w:r>
      <w:proofErr w:type="spellEnd"/>
      <w:r w:rsidRPr="001558DF">
        <w:rPr>
          <w:rFonts w:ascii="Times" w:hAnsi="Times" w:cs="Times New Roman"/>
          <w:b w:val="0"/>
          <w:bCs w:val="0"/>
          <w:iCs w:val="0"/>
          <w:sz w:val="24"/>
          <w:szCs w:val="20"/>
        </w:rPr>
        <w:t xml:space="preserve"> 52 (2006) 221-233.</w:t>
      </w:r>
    </w:p>
  </w:endnote>
  <w:endnote w:id="5">
    <w:p w14:paraId="21F52AFE" w14:textId="19ACD387" w:rsidR="00960EE3" w:rsidRPr="001558DF" w:rsidRDefault="00960EE3" w:rsidP="007562F8">
      <w:pPr>
        <w:pStyle w:val="TFReferencesSection"/>
        <w:spacing w:after="0"/>
        <w:ind w:firstLine="0"/>
        <w:rPr>
          <w:lang w:val="en-GB"/>
        </w:rPr>
      </w:pPr>
      <w:r w:rsidRPr="001558DF">
        <w:t>[</w:t>
      </w:r>
      <w:r w:rsidRPr="001558DF">
        <w:rPr>
          <w:rStyle w:val="Refdenotaalfinal"/>
          <w:vertAlign w:val="baseline"/>
        </w:rPr>
        <w:endnoteRef/>
      </w:r>
      <w:r w:rsidRPr="001558DF">
        <w:t xml:space="preserve">] H.D. Herrera-Méndez, P. </w:t>
      </w:r>
      <w:proofErr w:type="spellStart"/>
      <w:r w:rsidRPr="001558DF">
        <w:t>Roquero</w:t>
      </w:r>
      <w:proofErr w:type="spellEnd"/>
      <w:r w:rsidRPr="001558DF">
        <w:t xml:space="preserve">, M.A. Smit, L.C. </w:t>
      </w:r>
      <w:proofErr w:type="spellStart"/>
      <w:r w:rsidRPr="001558DF">
        <w:t>Ordóñez</w:t>
      </w:r>
      <w:proofErr w:type="spellEnd"/>
      <w:r w:rsidRPr="001558DF">
        <w:t xml:space="preserve">, Carbon-supported platinum molybdenum electro-catalysts and their electro-activity toward ethanol oxidation, Int. J. </w:t>
      </w:r>
      <w:proofErr w:type="spellStart"/>
      <w:r w:rsidRPr="001558DF">
        <w:t>Electrochem</w:t>
      </w:r>
      <w:proofErr w:type="spellEnd"/>
      <w:r w:rsidRPr="001558DF">
        <w:t xml:space="preserve">. </w:t>
      </w:r>
      <w:r w:rsidRPr="001558DF">
        <w:rPr>
          <w:lang w:val="en-GB"/>
        </w:rPr>
        <w:t>Sci. 6 (2011) 4454 – 4469.</w:t>
      </w:r>
    </w:p>
  </w:endnote>
  <w:endnote w:id="6">
    <w:p w14:paraId="557F2658" w14:textId="0B3974ED" w:rsidR="00960EE3" w:rsidRPr="001558DF" w:rsidRDefault="00960EE3" w:rsidP="007562F8">
      <w:pPr>
        <w:pStyle w:val="TFReferencesSection"/>
        <w:spacing w:after="0"/>
        <w:ind w:firstLine="0"/>
      </w:pPr>
      <w:r w:rsidRPr="001558DF">
        <w:t>[</w:t>
      </w:r>
      <w:r w:rsidRPr="001558DF">
        <w:endnoteRef/>
      </w:r>
      <w:r w:rsidRPr="001558DF">
        <w:t xml:space="preserve">] G. Yang, A.I. </w:t>
      </w:r>
      <w:proofErr w:type="spellStart"/>
      <w:r w:rsidRPr="001558DF">
        <w:t>Frenkel</w:t>
      </w:r>
      <w:proofErr w:type="spellEnd"/>
      <w:r w:rsidRPr="001558DF">
        <w:t xml:space="preserve">, D. Su, X. </w:t>
      </w:r>
      <w:proofErr w:type="spellStart"/>
      <w:r w:rsidRPr="001558DF">
        <w:t>Teng</w:t>
      </w:r>
      <w:proofErr w:type="spellEnd"/>
      <w:r w:rsidRPr="001558DF">
        <w:t xml:space="preserve">, Enhanced </w:t>
      </w:r>
      <w:proofErr w:type="spellStart"/>
      <w:r w:rsidRPr="001558DF">
        <w:t>electrokinetics</w:t>
      </w:r>
      <w:proofErr w:type="spellEnd"/>
      <w:r w:rsidRPr="001558DF">
        <w:t xml:space="preserve"> of C−C bond splitting during ethanol oxidation by using a Pt/Rh/Sn catalyst with a partially oxidized Pt and Rh core and a SnO</w:t>
      </w:r>
      <w:r w:rsidRPr="001558DF">
        <w:rPr>
          <w:vertAlign w:val="subscript"/>
        </w:rPr>
        <w:t>2</w:t>
      </w:r>
      <w:r w:rsidRPr="001558DF">
        <w:t xml:space="preserve"> shell, </w:t>
      </w:r>
      <w:proofErr w:type="spellStart"/>
      <w:r w:rsidRPr="001558DF">
        <w:t>ChemCatChem</w:t>
      </w:r>
      <w:proofErr w:type="spellEnd"/>
      <w:r w:rsidRPr="001558DF">
        <w:t xml:space="preserve"> 8 (2016) 1 – 6.</w:t>
      </w:r>
    </w:p>
  </w:endnote>
  <w:endnote w:id="7">
    <w:p w14:paraId="09EED02B" w14:textId="4EA7ED28" w:rsidR="00960EE3" w:rsidRPr="001558DF" w:rsidRDefault="00960EE3" w:rsidP="007562F8">
      <w:pPr>
        <w:pStyle w:val="Ttulo1"/>
        <w:spacing w:before="0" w:line="480" w:lineRule="auto"/>
        <w:rPr>
          <w:rFonts w:ascii="Times New Roman" w:hAnsi="Times New Roman" w:cs="Times New Roman"/>
          <w:b w:val="0"/>
          <w:sz w:val="24"/>
          <w:szCs w:val="24"/>
        </w:rPr>
      </w:pPr>
      <w:proofErr w:type="gramStart"/>
      <w:r w:rsidRPr="001558DF">
        <w:rPr>
          <w:rFonts w:ascii="Times New Roman" w:eastAsia="Times New Roman" w:hAnsi="Times New Roman" w:cs="Times New Roman"/>
          <w:b w:val="0"/>
          <w:bCs w:val="0"/>
          <w:color w:val="auto"/>
          <w:sz w:val="24"/>
          <w:szCs w:val="24"/>
        </w:rPr>
        <w:t>[</w:t>
      </w:r>
      <w:r w:rsidRPr="001558DF">
        <w:rPr>
          <w:rFonts w:ascii="Times New Roman" w:eastAsia="Times New Roman" w:hAnsi="Times New Roman" w:cs="Times New Roman"/>
          <w:b w:val="0"/>
          <w:bCs w:val="0"/>
          <w:color w:val="auto"/>
          <w:sz w:val="24"/>
          <w:szCs w:val="24"/>
        </w:rPr>
        <w:endnoteRef/>
      </w:r>
      <w:r w:rsidRPr="001558DF">
        <w:rPr>
          <w:rFonts w:ascii="Times New Roman" w:eastAsia="Times New Roman" w:hAnsi="Times New Roman" w:cs="Times New Roman"/>
          <w:b w:val="0"/>
          <w:bCs w:val="0"/>
          <w:color w:val="auto"/>
          <w:sz w:val="24"/>
          <w:szCs w:val="24"/>
        </w:rPr>
        <w:t xml:space="preserve">] J.-M. </w:t>
      </w:r>
      <w:hyperlink r:id="rId2" w:history="1">
        <w:proofErr w:type="spellStart"/>
        <w:r w:rsidRPr="001558DF">
          <w:rPr>
            <w:rFonts w:ascii="Times New Roman" w:eastAsia="Times New Roman" w:hAnsi="Times New Roman" w:cs="Times New Roman"/>
            <w:b w:val="0"/>
            <w:bCs w:val="0"/>
            <w:color w:val="auto"/>
            <w:sz w:val="24"/>
            <w:szCs w:val="24"/>
          </w:rPr>
          <w:t>Jin</w:t>
        </w:r>
        <w:proofErr w:type="spellEnd"/>
      </w:hyperlink>
      <w:r w:rsidRPr="001558DF">
        <w:rPr>
          <w:rFonts w:ascii="Times New Roman" w:eastAsia="Times New Roman" w:hAnsi="Times New Roman" w:cs="Times New Roman"/>
          <w:b w:val="0"/>
          <w:bCs w:val="0"/>
          <w:color w:val="auto"/>
          <w:sz w:val="24"/>
          <w:szCs w:val="24"/>
        </w:rPr>
        <w:t>, T.</w:t>
      </w:r>
      <w:proofErr w:type="gramEnd"/>
      <w:r w:rsidRPr="001558DF">
        <w:rPr>
          <w:rFonts w:ascii="Times New Roman" w:eastAsia="Times New Roman" w:hAnsi="Times New Roman" w:cs="Times New Roman"/>
          <w:b w:val="0"/>
          <w:bCs w:val="0"/>
          <w:color w:val="auto"/>
          <w:sz w:val="24"/>
          <w:szCs w:val="24"/>
        </w:rPr>
        <w:fldChar w:fldCharType="begin"/>
      </w:r>
      <w:r w:rsidRPr="001558DF">
        <w:rPr>
          <w:rFonts w:ascii="Times New Roman" w:eastAsia="Times New Roman" w:hAnsi="Times New Roman" w:cs="Times New Roman"/>
          <w:b w:val="0"/>
          <w:bCs w:val="0"/>
          <w:color w:val="auto"/>
          <w:sz w:val="24"/>
          <w:szCs w:val="24"/>
        </w:rPr>
        <w:instrText xml:space="preserve"> HYPERLINK "http://pubs.rsc.org/en/results?searchtext=Author%3ATian%20Sheng" </w:instrText>
      </w:r>
      <w:r w:rsidRPr="001558DF">
        <w:rPr>
          <w:rFonts w:ascii="Times New Roman" w:eastAsia="Times New Roman" w:hAnsi="Times New Roman" w:cs="Times New Roman"/>
          <w:b w:val="0"/>
          <w:bCs w:val="0"/>
          <w:color w:val="auto"/>
          <w:sz w:val="24"/>
          <w:szCs w:val="24"/>
        </w:rPr>
        <w:fldChar w:fldCharType="separate"/>
      </w:r>
      <w:r w:rsidRPr="001558DF">
        <w:rPr>
          <w:rFonts w:ascii="Times New Roman" w:eastAsia="Times New Roman" w:hAnsi="Times New Roman" w:cs="Times New Roman"/>
          <w:b w:val="0"/>
          <w:bCs w:val="0"/>
          <w:color w:val="auto"/>
          <w:sz w:val="24"/>
          <w:szCs w:val="24"/>
        </w:rPr>
        <w:t xml:space="preserve"> </w:t>
      </w:r>
      <w:proofErr w:type="gramStart"/>
      <w:r w:rsidRPr="001558DF">
        <w:rPr>
          <w:rFonts w:ascii="Times New Roman" w:eastAsia="Times New Roman" w:hAnsi="Times New Roman" w:cs="Times New Roman"/>
          <w:b w:val="0"/>
          <w:bCs w:val="0"/>
          <w:color w:val="auto"/>
          <w:sz w:val="24"/>
          <w:szCs w:val="24"/>
        </w:rPr>
        <w:t>Sheng</w:t>
      </w:r>
      <w:r w:rsidRPr="001558DF">
        <w:rPr>
          <w:rFonts w:ascii="Times New Roman" w:eastAsia="Times New Roman" w:hAnsi="Times New Roman" w:cs="Times New Roman"/>
          <w:b w:val="0"/>
          <w:bCs w:val="0"/>
          <w:color w:val="auto"/>
          <w:sz w:val="24"/>
          <w:szCs w:val="24"/>
        </w:rPr>
        <w:fldChar w:fldCharType="end"/>
      </w:r>
      <w:r w:rsidRPr="001558DF">
        <w:rPr>
          <w:rFonts w:ascii="Times New Roman" w:eastAsia="Times New Roman" w:hAnsi="Times New Roman" w:cs="Times New Roman"/>
          <w:b w:val="0"/>
          <w:bCs w:val="0"/>
          <w:color w:val="auto"/>
          <w:sz w:val="24"/>
          <w:szCs w:val="24"/>
        </w:rPr>
        <w:t>, X. </w:t>
      </w:r>
      <w:hyperlink r:id="rId3" w:history="1">
        <w:r w:rsidRPr="001558DF">
          <w:rPr>
            <w:rFonts w:ascii="Times New Roman" w:eastAsia="Times New Roman" w:hAnsi="Times New Roman" w:cs="Times New Roman"/>
            <w:b w:val="0"/>
            <w:bCs w:val="0"/>
            <w:color w:val="auto"/>
            <w:sz w:val="24"/>
            <w:szCs w:val="24"/>
          </w:rPr>
          <w:t>Lin</w:t>
        </w:r>
      </w:hyperlink>
      <w:r w:rsidRPr="001558DF">
        <w:rPr>
          <w:rFonts w:ascii="Times New Roman" w:eastAsia="Times New Roman" w:hAnsi="Times New Roman" w:cs="Times New Roman"/>
          <w:b w:val="0"/>
          <w:bCs w:val="0"/>
          <w:color w:val="auto"/>
          <w:sz w:val="24"/>
          <w:szCs w:val="24"/>
        </w:rPr>
        <w:t xml:space="preserve">, R. </w:t>
      </w:r>
      <w:hyperlink r:id="rId4" w:history="1">
        <w:r w:rsidRPr="001558DF">
          <w:rPr>
            <w:rFonts w:ascii="Times New Roman" w:eastAsia="Times New Roman" w:hAnsi="Times New Roman" w:cs="Times New Roman"/>
            <w:b w:val="0"/>
            <w:bCs w:val="0"/>
            <w:color w:val="auto"/>
            <w:sz w:val="24"/>
            <w:szCs w:val="24"/>
          </w:rPr>
          <w:t>Kavanagh</w:t>
        </w:r>
      </w:hyperlink>
      <w:r w:rsidRPr="001558DF">
        <w:rPr>
          <w:rFonts w:ascii="Times New Roman" w:eastAsia="Times New Roman" w:hAnsi="Times New Roman" w:cs="Times New Roman"/>
          <w:b w:val="0"/>
          <w:bCs w:val="0"/>
          <w:color w:val="auto"/>
          <w:sz w:val="24"/>
          <w:szCs w:val="24"/>
        </w:rPr>
        <w:t>, P.</w:t>
      </w:r>
      <w:proofErr w:type="gramEnd"/>
      <w:r w:rsidRPr="001558DF">
        <w:rPr>
          <w:rFonts w:ascii="Times New Roman" w:eastAsia="Times New Roman" w:hAnsi="Times New Roman" w:cs="Times New Roman"/>
          <w:b w:val="0"/>
          <w:bCs w:val="0"/>
          <w:color w:val="auto"/>
          <w:sz w:val="24"/>
          <w:szCs w:val="24"/>
        </w:rPr>
        <w:t>  </w:t>
      </w:r>
      <w:hyperlink r:id="rId5" w:history="1">
        <w:r w:rsidRPr="001558DF">
          <w:rPr>
            <w:rFonts w:ascii="Times New Roman" w:eastAsia="Times New Roman" w:hAnsi="Times New Roman" w:cs="Times New Roman"/>
            <w:b w:val="0"/>
            <w:bCs w:val="0"/>
            <w:color w:val="auto"/>
            <w:sz w:val="24"/>
            <w:szCs w:val="24"/>
          </w:rPr>
          <w:t>Hamer</w:t>
        </w:r>
      </w:hyperlink>
      <w:r w:rsidRPr="001558DF">
        <w:rPr>
          <w:rFonts w:ascii="Times New Roman" w:eastAsia="Times New Roman" w:hAnsi="Times New Roman" w:cs="Times New Roman"/>
          <w:b w:val="0"/>
          <w:bCs w:val="0"/>
          <w:color w:val="auto"/>
          <w:sz w:val="24"/>
          <w:szCs w:val="24"/>
        </w:rPr>
        <w:t>, P. </w:t>
      </w:r>
      <w:hyperlink r:id="rId6" w:history="1">
        <w:r w:rsidRPr="001558DF">
          <w:rPr>
            <w:rFonts w:ascii="Times New Roman" w:eastAsia="Times New Roman" w:hAnsi="Times New Roman" w:cs="Times New Roman"/>
            <w:b w:val="0"/>
            <w:bCs w:val="0"/>
            <w:color w:val="auto"/>
            <w:sz w:val="24"/>
            <w:szCs w:val="24"/>
          </w:rPr>
          <w:t>Hu</w:t>
        </w:r>
      </w:hyperlink>
      <w:r w:rsidRPr="001558DF">
        <w:rPr>
          <w:rFonts w:ascii="Times New Roman" w:eastAsia="Times New Roman" w:hAnsi="Times New Roman" w:cs="Times New Roman"/>
          <w:b w:val="0"/>
          <w:bCs w:val="0"/>
          <w:color w:val="auto"/>
          <w:sz w:val="24"/>
          <w:szCs w:val="24"/>
        </w:rPr>
        <w:t>, C. </w:t>
      </w:r>
      <w:hyperlink r:id="rId7" w:history="1">
        <w:r w:rsidRPr="001558DF">
          <w:rPr>
            <w:rFonts w:ascii="Times New Roman" w:eastAsia="Times New Roman" w:hAnsi="Times New Roman" w:cs="Times New Roman"/>
            <w:b w:val="0"/>
            <w:bCs w:val="0"/>
            <w:color w:val="auto"/>
            <w:sz w:val="24"/>
            <w:szCs w:val="24"/>
          </w:rPr>
          <w:t>Hardacre</w:t>
        </w:r>
      </w:hyperlink>
      <w:r w:rsidRPr="001558DF">
        <w:rPr>
          <w:rFonts w:ascii="Times New Roman" w:eastAsia="Times New Roman" w:hAnsi="Times New Roman" w:cs="Times New Roman"/>
          <w:b w:val="0"/>
          <w:bCs w:val="0"/>
          <w:color w:val="auto"/>
          <w:sz w:val="24"/>
          <w:szCs w:val="24"/>
        </w:rPr>
        <w:t>, A. </w:t>
      </w:r>
      <w:hyperlink r:id="rId8" w:history="1">
        <w:r w:rsidRPr="001558DF">
          <w:rPr>
            <w:rFonts w:ascii="Times New Roman" w:eastAsia="Times New Roman" w:hAnsi="Times New Roman" w:cs="Times New Roman"/>
            <w:b w:val="0"/>
            <w:bCs w:val="0"/>
            <w:color w:val="auto"/>
            <w:sz w:val="24"/>
            <w:szCs w:val="24"/>
          </w:rPr>
          <w:t>Martinez-Bonastre</w:t>
        </w:r>
      </w:hyperlink>
      <w:r w:rsidRPr="001558DF">
        <w:rPr>
          <w:rFonts w:ascii="Times New Roman" w:eastAsia="Times New Roman" w:hAnsi="Times New Roman" w:cs="Times New Roman"/>
          <w:b w:val="0"/>
          <w:bCs w:val="0"/>
          <w:color w:val="auto"/>
          <w:sz w:val="24"/>
          <w:szCs w:val="24"/>
        </w:rPr>
        <w:t xml:space="preserve">, J. </w:t>
      </w:r>
      <w:hyperlink r:id="rId9" w:history="1">
        <w:r w:rsidRPr="001558DF">
          <w:rPr>
            <w:rFonts w:ascii="Times New Roman" w:eastAsia="Times New Roman" w:hAnsi="Times New Roman" w:cs="Times New Roman"/>
            <w:b w:val="0"/>
            <w:bCs w:val="0"/>
            <w:color w:val="auto"/>
            <w:sz w:val="24"/>
            <w:szCs w:val="24"/>
          </w:rPr>
          <w:t>Sharman</w:t>
        </w:r>
      </w:hyperlink>
      <w:r w:rsidRPr="001558DF">
        <w:rPr>
          <w:rFonts w:ascii="Times New Roman" w:eastAsia="Times New Roman" w:hAnsi="Times New Roman" w:cs="Times New Roman"/>
          <w:b w:val="0"/>
          <w:bCs w:val="0"/>
          <w:color w:val="auto"/>
          <w:sz w:val="24"/>
          <w:szCs w:val="24"/>
        </w:rPr>
        <w:t>, D. </w:t>
      </w:r>
      <w:hyperlink r:id="rId10" w:history="1">
        <w:r w:rsidRPr="001558DF">
          <w:rPr>
            <w:rFonts w:ascii="Times New Roman" w:eastAsia="Times New Roman" w:hAnsi="Times New Roman" w:cs="Times New Roman"/>
            <w:b w:val="0"/>
            <w:bCs w:val="0"/>
            <w:color w:val="auto"/>
            <w:sz w:val="24"/>
            <w:szCs w:val="24"/>
          </w:rPr>
          <w:t>Thompsett</w:t>
        </w:r>
      </w:hyperlink>
      <w:r w:rsidRPr="001558DF">
        <w:rPr>
          <w:rFonts w:ascii="Times New Roman" w:eastAsia="Times New Roman" w:hAnsi="Times New Roman" w:cs="Times New Roman"/>
          <w:b w:val="0"/>
          <w:bCs w:val="0"/>
          <w:color w:val="auto"/>
          <w:sz w:val="24"/>
          <w:szCs w:val="24"/>
        </w:rPr>
        <w:t xml:space="preserve">, W.-F. </w:t>
      </w:r>
      <w:hyperlink r:id="rId11" w:history="1">
        <w:proofErr w:type="gramStart"/>
        <w:r w:rsidRPr="001558DF">
          <w:rPr>
            <w:rFonts w:ascii="Times New Roman" w:eastAsia="Times New Roman" w:hAnsi="Times New Roman" w:cs="Times New Roman"/>
            <w:b w:val="0"/>
            <w:bCs w:val="0"/>
            <w:color w:val="auto"/>
            <w:sz w:val="24"/>
            <w:szCs w:val="24"/>
          </w:rPr>
          <w:t>Lin</w:t>
        </w:r>
      </w:hyperlink>
      <w:r w:rsidRPr="001558DF">
        <w:rPr>
          <w:rFonts w:ascii="Times New Roman" w:eastAsia="Times New Roman" w:hAnsi="Times New Roman" w:cs="Times New Roman"/>
          <w:b w:val="0"/>
          <w:bCs w:val="0"/>
          <w:color w:val="auto"/>
          <w:sz w:val="24"/>
          <w:szCs w:val="24"/>
        </w:rPr>
        <w:t xml:space="preserve">, </w:t>
      </w:r>
      <w:r w:rsidRPr="001558DF">
        <w:rPr>
          <w:rFonts w:ascii="Times New Roman" w:eastAsia="Times New Roman" w:hAnsi="Times New Roman" w:cs="Times New Roman"/>
          <w:b w:val="0"/>
          <w:color w:val="auto"/>
          <w:sz w:val="24"/>
          <w:szCs w:val="24"/>
        </w:rPr>
        <w:t>The origin of high activity but low CO</w:t>
      </w:r>
      <w:r w:rsidRPr="001558DF">
        <w:rPr>
          <w:rFonts w:ascii="Times New Roman" w:eastAsia="Times New Roman" w:hAnsi="Times New Roman" w:cs="Times New Roman"/>
          <w:b w:val="0"/>
          <w:color w:val="auto"/>
          <w:sz w:val="24"/>
          <w:szCs w:val="24"/>
          <w:vertAlign w:val="subscript"/>
        </w:rPr>
        <w:t>2</w:t>
      </w:r>
      <w:r w:rsidRPr="001558DF">
        <w:rPr>
          <w:rFonts w:ascii="Times New Roman" w:eastAsia="Times New Roman" w:hAnsi="Times New Roman" w:cs="Times New Roman"/>
          <w:b w:val="0"/>
          <w:color w:val="auto"/>
          <w:sz w:val="24"/>
          <w:szCs w:val="24"/>
        </w:rPr>
        <w:t xml:space="preserve"> selectivity on binary </w:t>
      </w:r>
      <w:proofErr w:type="spellStart"/>
      <w:r w:rsidRPr="001558DF">
        <w:rPr>
          <w:rFonts w:ascii="Times New Roman" w:eastAsia="Times New Roman" w:hAnsi="Times New Roman" w:cs="Times New Roman"/>
          <w:b w:val="0"/>
          <w:color w:val="auto"/>
          <w:sz w:val="24"/>
          <w:szCs w:val="24"/>
        </w:rPr>
        <w:t>PtSn</w:t>
      </w:r>
      <w:proofErr w:type="spellEnd"/>
      <w:r w:rsidRPr="001558DF">
        <w:rPr>
          <w:rFonts w:ascii="Times New Roman" w:eastAsia="Times New Roman" w:hAnsi="Times New Roman" w:cs="Times New Roman"/>
          <w:b w:val="0"/>
          <w:color w:val="auto"/>
          <w:sz w:val="24"/>
          <w:szCs w:val="24"/>
        </w:rPr>
        <w:t xml:space="preserve"> in the direct ethanol fuel cell, </w:t>
      </w:r>
      <w:r w:rsidRPr="001558DF">
        <w:rPr>
          <w:rFonts w:ascii="Times New Roman" w:hAnsi="Times New Roman" w:cs="Times New Roman"/>
          <w:b w:val="0"/>
          <w:bCs w:val="0"/>
          <w:color w:val="auto"/>
          <w:sz w:val="24"/>
          <w:szCs w:val="24"/>
        </w:rPr>
        <w:t>Phys. Chem. Chem. Phys.</w:t>
      </w:r>
      <w:r w:rsidRPr="001558DF">
        <w:rPr>
          <w:rFonts w:ascii="Times New Roman" w:hAnsi="Times New Roman" w:cs="Times New Roman"/>
          <w:b w:val="0"/>
          <w:color w:val="auto"/>
          <w:sz w:val="24"/>
          <w:szCs w:val="24"/>
        </w:rPr>
        <w:t xml:space="preserve"> 16 (2014) 9432-9440.</w:t>
      </w:r>
      <w:proofErr w:type="gramEnd"/>
    </w:p>
  </w:endnote>
  <w:endnote w:id="8">
    <w:p w14:paraId="29B4BF10" w14:textId="41BF8D4D" w:rsidR="00960EE3" w:rsidRPr="001558DF" w:rsidRDefault="00960EE3" w:rsidP="007562F8">
      <w:pPr>
        <w:pStyle w:val="TFReferencesSection"/>
        <w:spacing w:after="0"/>
        <w:ind w:firstLine="0"/>
      </w:pPr>
      <w:r w:rsidRPr="001558DF">
        <w:t>[</w:t>
      </w:r>
      <w:r w:rsidRPr="001558DF">
        <w:endnoteRef/>
      </w:r>
      <w:r w:rsidRPr="001558DF">
        <w:t xml:space="preserve">] A. </w:t>
      </w:r>
      <w:proofErr w:type="spellStart"/>
      <w:r w:rsidRPr="001558DF">
        <w:t>Kowal</w:t>
      </w:r>
      <w:proofErr w:type="spellEnd"/>
      <w:r w:rsidRPr="001558DF">
        <w:t xml:space="preserve">, M. Li, M. Shao, K. Sasaki, M.B. </w:t>
      </w:r>
      <w:proofErr w:type="spellStart"/>
      <w:r w:rsidRPr="001558DF">
        <w:t>Vukmirovic</w:t>
      </w:r>
      <w:proofErr w:type="spellEnd"/>
      <w:r w:rsidRPr="001558DF">
        <w:t xml:space="preserve">, J. Zhang, N.S. </w:t>
      </w:r>
      <w:proofErr w:type="spellStart"/>
      <w:r w:rsidRPr="001558DF">
        <w:t>Marinkovic</w:t>
      </w:r>
      <w:proofErr w:type="spellEnd"/>
      <w:r w:rsidRPr="001558DF">
        <w:t xml:space="preserve">, P. Liu, A.I. </w:t>
      </w:r>
      <w:proofErr w:type="spellStart"/>
      <w:r w:rsidRPr="001558DF">
        <w:t>Frenkel</w:t>
      </w:r>
      <w:proofErr w:type="spellEnd"/>
      <w:r w:rsidRPr="001558DF">
        <w:t xml:space="preserve">, R.R. </w:t>
      </w:r>
      <w:proofErr w:type="spellStart"/>
      <w:r w:rsidRPr="001558DF">
        <w:t>Adzic</w:t>
      </w:r>
      <w:proofErr w:type="spellEnd"/>
      <w:r w:rsidRPr="001558DF">
        <w:t>, Ternary Pt/Rh/SnO</w:t>
      </w:r>
      <w:r w:rsidRPr="001558DF">
        <w:rPr>
          <w:vertAlign w:val="subscript"/>
        </w:rPr>
        <w:t>2</w:t>
      </w:r>
      <w:r w:rsidRPr="001558DF">
        <w:t> electrocatalysts for oxidizing ethanol to CO</w:t>
      </w:r>
      <w:r w:rsidRPr="001558DF">
        <w:rPr>
          <w:vertAlign w:val="subscript"/>
        </w:rPr>
        <w:t>2</w:t>
      </w:r>
      <w:r w:rsidRPr="001558DF">
        <w:t xml:space="preserve">, Nat. Mater. 8 (2009) 325-330. </w:t>
      </w:r>
    </w:p>
  </w:endnote>
  <w:endnote w:id="9">
    <w:p w14:paraId="1612A08E" w14:textId="7A7910C7" w:rsidR="00960EE3" w:rsidRPr="001558DF" w:rsidRDefault="00960EE3" w:rsidP="00ED07B2">
      <w:pPr>
        <w:pStyle w:val="TFReferencesSection"/>
        <w:spacing w:after="0"/>
        <w:ind w:firstLine="0"/>
      </w:pPr>
      <w:r w:rsidRPr="001558DF">
        <w:t>[</w:t>
      </w:r>
      <w:r w:rsidRPr="001558DF">
        <w:endnoteRef/>
      </w:r>
      <w:r w:rsidRPr="001558DF">
        <w:t xml:space="preserve">] B.E. Hayden, M.E. </w:t>
      </w:r>
      <w:proofErr w:type="spellStart"/>
      <w:r w:rsidRPr="001558DF">
        <w:t>Rendall</w:t>
      </w:r>
      <w:proofErr w:type="spellEnd"/>
      <w:r w:rsidRPr="001558DF">
        <w:t xml:space="preserve">, O. South, The stability and electro-oxidation of carbon monoxide on model electrocatalysts: Pt(1 1 1)–Sn(2 × 2) and Pt(1 1 1)–Sn(√3 × √3)R30°, J. </w:t>
      </w:r>
      <w:proofErr w:type="spellStart"/>
      <w:r w:rsidRPr="001558DF">
        <w:t>Molec</w:t>
      </w:r>
      <w:proofErr w:type="spellEnd"/>
      <w:r w:rsidRPr="001558DF">
        <w:t xml:space="preserve">. </w:t>
      </w:r>
      <w:proofErr w:type="spellStart"/>
      <w:proofErr w:type="gramStart"/>
      <w:r w:rsidRPr="001558DF">
        <w:t>Catal</w:t>
      </w:r>
      <w:proofErr w:type="spellEnd"/>
      <w:r w:rsidRPr="001558DF">
        <w:t>.</w:t>
      </w:r>
      <w:proofErr w:type="gramEnd"/>
      <w:r w:rsidRPr="001558DF">
        <w:t xml:space="preserve"> A: Chem. 228 (2005) 55-65.</w:t>
      </w:r>
    </w:p>
  </w:endnote>
  <w:endnote w:id="10">
    <w:p w14:paraId="63A635F6" w14:textId="73E12A22" w:rsidR="00960EE3" w:rsidRPr="001558DF" w:rsidRDefault="00960EE3" w:rsidP="000D3121">
      <w:pPr>
        <w:pStyle w:val="TFReferencesSection"/>
        <w:spacing w:after="0"/>
        <w:ind w:firstLine="0"/>
      </w:pPr>
      <w:r w:rsidRPr="001558DF">
        <w:t>[</w:t>
      </w:r>
      <w:r w:rsidRPr="001558DF">
        <w:endnoteRef/>
      </w:r>
      <w:r w:rsidRPr="001558DF">
        <w:t xml:space="preserve">] E.M. </w:t>
      </w:r>
      <w:proofErr w:type="spellStart"/>
      <w:r w:rsidRPr="001558DF">
        <w:t>Crabb</w:t>
      </w:r>
      <w:proofErr w:type="spellEnd"/>
      <w:r w:rsidRPr="001558DF">
        <w:t xml:space="preserve">, R. Marshall, D. Thompsett, Carbon monoxide electro-oxidation properties of carbon-supported </w:t>
      </w:r>
      <w:proofErr w:type="spellStart"/>
      <w:r w:rsidRPr="001558DF">
        <w:t>PtSn</w:t>
      </w:r>
      <w:proofErr w:type="spellEnd"/>
      <w:r w:rsidRPr="001558DF">
        <w:t xml:space="preserve"> catalysts prepared using surface organometallic chemistry, J. </w:t>
      </w:r>
      <w:proofErr w:type="spellStart"/>
      <w:r w:rsidRPr="001558DF">
        <w:t>Electrochem</w:t>
      </w:r>
      <w:proofErr w:type="spellEnd"/>
      <w:r w:rsidRPr="001558DF">
        <w:t xml:space="preserve">. Soc. 147 (2000) 4440-4447. </w:t>
      </w:r>
    </w:p>
  </w:endnote>
  <w:endnote w:id="11">
    <w:p w14:paraId="7A70F80E" w14:textId="2D8EF0A8" w:rsidR="00960EE3" w:rsidRPr="001558DF" w:rsidRDefault="00960EE3" w:rsidP="000D3121">
      <w:pPr>
        <w:pStyle w:val="TFReferencesSection"/>
        <w:spacing w:after="0"/>
        <w:ind w:firstLine="0"/>
      </w:pPr>
      <w:r w:rsidRPr="001558DF">
        <w:t>[</w:t>
      </w:r>
      <w:r w:rsidRPr="001558DF">
        <w:endnoteRef/>
      </w:r>
      <w:r w:rsidRPr="001558DF">
        <w:t xml:space="preserve">] S. </w:t>
      </w:r>
      <w:proofErr w:type="spellStart"/>
      <w:r w:rsidRPr="001558DF">
        <w:t>García</w:t>
      </w:r>
      <w:proofErr w:type="spellEnd"/>
      <w:r w:rsidRPr="001558DF">
        <w:t xml:space="preserve">-Rodríguez, F. </w:t>
      </w:r>
      <w:proofErr w:type="spellStart"/>
      <w:r w:rsidRPr="001558DF">
        <w:t>Somodi</w:t>
      </w:r>
      <w:proofErr w:type="spellEnd"/>
      <w:r w:rsidRPr="001558DF">
        <w:t xml:space="preserve">, I. </w:t>
      </w:r>
      <w:proofErr w:type="spellStart"/>
      <w:r w:rsidRPr="001558DF">
        <w:t>Borbáth</w:t>
      </w:r>
      <w:proofErr w:type="spellEnd"/>
      <w:r w:rsidRPr="001558DF">
        <w:t xml:space="preserve">, J.L. </w:t>
      </w:r>
      <w:proofErr w:type="spellStart"/>
      <w:r w:rsidRPr="001558DF">
        <w:t>Margitfalvi</w:t>
      </w:r>
      <w:proofErr w:type="spellEnd"/>
      <w:r w:rsidRPr="001558DF">
        <w:t xml:space="preserve">, M.A. Peña, J.L.G. Fierro, S. Rojas, Controlled synthesis of Pt-Sn/C fuel cell catalysts with exclusive Sn-Pt interaction. </w:t>
      </w:r>
      <w:proofErr w:type="gramStart"/>
      <w:r w:rsidRPr="001558DF">
        <w:t xml:space="preserve">Application in CO and ethanol </w:t>
      </w:r>
      <w:proofErr w:type="spellStart"/>
      <w:r w:rsidRPr="001558DF">
        <w:t>electrooxidation</w:t>
      </w:r>
      <w:proofErr w:type="spellEnd"/>
      <w:r w:rsidRPr="001558DF">
        <w:t xml:space="preserve"> reactions, Appl. </w:t>
      </w:r>
      <w:proofErr w:type="spellStart"/>
      <w:r w:rsidRPr="001558DF">
        <w:t>Catal</w:t>
      </w:r>
      <w:proofErr w:type="spellEnd"/>
      <w:r w:rsidRPr="001558DF">
        <w:t>.</w:t>
      </w:r>
      <w:proofErr w:type="gramEnd"/>
      <w:r w:rsidRPr="001558DF">
        <w:t xml:space="preserve"> B: Environ. 91 (2009) 83-91.</w:t>
      </w:r>
    </w:p>
  </w:endnote>
  <w:endnote w:id="12">
    <w:p w14:paraId="5AE91B2F" w14:textId="42E636D0" w:rsidR="00960EE3" w:rsidRPr="001558DF" w:rsidRDefault="00960EE3" w:rsidP="002D5E46">
      <w:pPr>
        <w:pStyle w:val="TFReferencesSection"/>
        <w:spacing w:after="0"/>
        <w:ind w:firstLine="0"/>
      </w:pPr>
      <w:r w:rsidRPr="001558DF">
        <w:t>[</w:t>
      </w:r>
      <w:r w:rsidRPr="001558DF">
        <w:endnoteRef/>
      </w:r>
      <w:r w:rsidRPr="001558DF">
        <w:t xml:space="preserve">] F.E. Lopez-Suarez, C.T. </w:t>
      </w:r>
      <w:proofErr w:type="spellStart"/>
      <w:r w:rsidRPr="001558DF">
        <w:t>Carvalho-Filho</w:t>
      </w:r>
      <w:proofErr w:type="spellEnd"/>
      <w:r w:rsidRPr="001558DF">
        <w:t xml:space="preserve">, A. Bueno-Lopez, J. </w:t>
      </w:r>
      <w:proofErr w:type="spellStart"/>
      <w:r w:rsidRPr="001558DF">
        <w:t>Arboleda</w:t>
      </w:r>
      <w:proofErr w:type="spellEnd"/>
      <w:r w:rsidRPr="001558DF">
        <w:t xml:space="preserve">, A. </w:t>
      </w:r>
      <w:proofErr w:type="spellStart"/>
      <w:r w:rsidRPr="001558DF">
        <w:t>Echavarrıa</w:t>
      </w:r>
      <w:proofErr w:type="spellEnd"/>
      <w:r w:rsidRPr="001558DF">
        <w:t xml:space="preserve">, K.I.B. </w:t>
      </w:r>
      <w:proofErr w:type="spellStart"/>
      <w:r w:rsidRPr="001558DF">
        <w:t>Eguiluz</w:t>
      </w:r>
      <w:proofErr w:type="spellEnd"/>
      <w:r w:rsidRPr="001558DF">
        <w:t xml:space="preserve">, G.R. Salazar-Banda, Platinum–tin/carbon catalysts for ethanol oxidation: Influence of Sn content on the </w:t>
      </w:r>
      <w:proofErr w:type="spellStart"/>
      <w:r w:rsidRPr="001558DF">
        <w:t>electroactivity</w:t>
      </w:r>
      <w:proofErr w:type="spellEnd"/>
      <w:r w:rsidRPr="001558DF">
        <w:t xml:space="preserve"> and structural characteristics, Int. J. Hydrogen Energy 40 (2015) 12674-12686.</w:t>
      </w:r>
    </w:p>
  </w:endnote>
  <w:endnote w:id="13">
    <w:p w14:paraId="3BC4BBB5" w14:textId="62A4032E" w:rsidR="00960EE3" w:rsidRPr="001558DF" w:rsidRDefault="00960EE3" w:rsidP="006E38B8">
      <w:pPr>
        <w:pStyle w:val="TFReferencesSection"/>
        <w:spacing w:after="0"/>
        <w:ind w:firstLine="0"/>
      </w:pPr>
      <w:r w:rsidRPr="001558DF">
        <w:t>[</w:t>
      </w:r>
      <w:r w:rsidRPr="001558DF">
        <w:endnoteRef/>
      </w:r>
      <w:r w:rsidRPr="001558DF">
        <w:t xml:space="preserve">] W. Du, G. Yang, E. Wong, N.A. </w:t>
      </w:r>
      <w:proofErr w:type="spellStart"/>
      <w:r w:rsidRPr="001558DF">
        <w:t>Deskings</w:t>
      </w:r>
      <w:proofErr w:type="spellEnd"/>
      <w:r w:rsidRPr="001558DF">
        <w:t xml:space="preserve">, A.I. </w:t>
      </w:r>
      <w:proofErr w:type="spellStart"/>
      <w:r w:rsidRPr="001558DF">
        <w:t>Frenkel</w:t>
      </w:r>
      <w:proofErr w:type="spellEnd"/>
      <w:r w:rsidRPr="001558DF">
        <w:t xml:space="preserve">, D. Su, X. </w:t>
      </w:r>
      <w:proofErr w:type="spellStart"/>
      <w:r w:rsidRPr="001558DF">
        <w:t>Teng</w:t>
      </w:r>
      <w:proofErr w:type="spellEnd"/>
      <w:r w:rsidRPr="001558DF">
        <w:t>, Platinum-tin oxide Core–shell catalysts for efficient electro-oxidation of ethanol, J. Am. Chem. Soc. 136 (2014) 10862-10865.</w:t>
      </w:r>
    </w:p>
  </w:endnote>
  <w:endnote w:id="14">
    <w:p w14:paraId="12E00C08" w14:textId="0632BA8A" w:rsidR="00960EE3" w:rsidRPr="001558DF" w:rsidRDefault="00960EE3" w:rsidP="006E38B8">
      <w:pPr>
        <w:pStyle w:val="TFReferencesSection"/>
        <w:spacing w:after="0"/>
        <w:ind w:firstLine="0"/>
      </w:pPr>
      <w:r w:rsidRPr="001558DF">
        <w:t>[</w:t>
      </w:r>
      <w:r w:rsidRPr="001558DF">
        <w:endnoteRef/>
      </w:r>
      <w:r w:rsidRPr="001558DF">
        <w:t xml:space="preserve">] S. </w:t>
      </w:r>
      <w:proofErr w:type="spellStart"/>
      <w:r w:rsidRPr="001558DF">
        <w:t>Alayoglu</w:t>
      </w:r>
      <w:proofErr w:type="spellEnd"/>
      <w:r w:rsidRPr="001558DF">
        <w:t xml:space="preserve">, A.U. </w:t>
      </w:r>
      <w:proofErr w:type="spellStart"/>
      <w:r w:rsidRPr="001558DF">
        <w:t>Nilekar</w:t>
      </w:r>
      <w:proofErr w:type="spellEnd"/>
      <w:r w:rsidRPr="001558DF">
        <w:t xml:space="preserve">, M. </w:t>
      </w:r>
      <w:proofErr w:type="spellStart"/>
      <w:r w:rsidRPr="001558DF">
        <w:t>Mavrikakis</w:t>
      </w:r>
      <w:proofErr w:type="spellEnd"/>
      <w:r w:rsidRPr="001558DF">
        <w:t xml:space="preserve">, B. </w:t>
      </w:r>
      <w:proofErr w:type="spellStart"/>
      <w:r w:rsidRPr="001558DF">
        <w:t>Eichhorn</w:t>
      </w:r>
      <w:proofErr w:type="spellEnd"/>
      <w:r w:rsidRPr="001558DF">
        <w:t>, Ru–Pt core–shell nanoparticles for preferential oxidation of carbon monoxide in hydrogen, Nat. Mater. 7 (2008) 333-338.</w:t>
      </w:r>
    </w:p>
  </w:endnote>
  <w:endnote w:id="15">
    <w:p w14:paraId="383A3DE3" w14:textId="17315EA5" w:rsidR="00960EE3" w:rsidRPr="001558DF" w:rsidRDefault="00960EE3" w:rsidP="006E38B8">
      <w:pPr>
        <w:pStyle w:val="TFReferencesSection"/>
        <w:spacing w:after="0"/>
        <w:ind w:firstLine="0"/>
      </w:pPr>
      <w:proofErr w:type="gramStart"/>
      <w:r w:rsidRPr="001558DF">
        <w:t>[</w:t>
      </w:r>
      <w:r w:rsidRPr="001558DF">
        <w:endnoteRef/>
      </w:r>
      <w:r w:rsidRPr="001558DF">
        <w:t xml:space="preserve">] S. </w:t>
      </w:r>
      <w:proofErr w:type="spellStart"/>
      <w:r w:rsidRPr="001558DF">
        <w:t>Alayoglu</w:t>
      </w:r>
      <w:proofErr w:type="spellEnd"/>
      <w:r w:rsidRPr="001558DF">
        <w:t xml:space="preserve">, B. </w:t>
      </w:r>
      <w:proofErr w:type="spellStart"/>
      <w:r w:rsidRPr="001558DF">
        <w:t>Eichhorn</w:t>
      </w:r>
      <w:proofErr w:type="spellEnd"/>
      <w:r w:rsidRPr="001558DF">
        <w:t>.</w:t>
      </w:r>
      <w:proofErr w:type="gramEnd"/>
      <w:r w:rsidRPr="001558DF">
        <w:t xml:space="preserve"> Rh−Pt bimetallic catalysts: synthesis, characterization, and catalysis of core−shell, alloy, and monometallic nanoparticles, J. Am. Chem. Soc. 130 (2008) 17479-17486.</w:t>
      </w:r>
    </w:p>
  </w:endnote>
  <w:endnote w:id="16">
    <w:p w14:paraId="56100863" w14:textId="65630FA5" w:rsidR="00960EE3" w:rsidRPr="001558DF" w:rsidRDefault="00960EE3" w:rsidP="006C4159">
      <w:pPr>
        <w:pStyle w:val="TFReferencesSection"/>
        <w:spacing w:after="0"/>
        <w:ind w:firstLine="0"/>
      </w:pPr>
      <w:r w:rsidRPr="001558DF">
        <w:t>[</w:t>
      </w:r>
      <w:r w:rsidRPr="001558DF">
        <w:endnoteRef/>
      </w:r>
      <w:r w:rsidRPr="001558DF">
        <w:t xml:space="preserve">] R. Parsons and T. </w:t>
      </w:r>
      <w:proofErr w:type="spellStart"/>
      <w:proofErr w:type="gramStart"/>
      <w:r w:rsidRPr="001558DF">
        <w:t>VanderNoot</w:t>
      </w:r>
      <w:proofErr w:type="spellEnd"/>
      <w:r w:rsidRPr="001558DF">
        <w:t xml:space="preserve"> ,</w:t>
      </w:r>
      <w:proofErr w:type="gramEnd"/>
      <w:r w:rsidRPr="001558DF">
        <w:t xml:space="preserve"> The oxidation of small organic molecules: A survey of recent fuel cell related research, J. </w:t>
      </w:r>
      <w:proofErr w:type="spellStart"/>
      <w:r w:rsidRPr="001558DF">
        <w:t>Electroanal</w:t>
      </w:r>
      <w:proofErr w:type="spellEnd"/>
      <w:r w:rsidRPr="001558DF">
        <w:t>. Chem. 257 (1988) 9-45.</w:t>
      </w:r>
    </w:p>
  </w:endnote>
  <w:endnote w:id="17">
    <w:p w14:paraId="46722442" w14:textId="34B2B964" w:rsidR="00960EE3" w:rsidRPr="001558DF" w:rsidRDefault="00960EE3" w:rsidP="006E38B8">
      <w:pPr>
        <w:pStyle w:val="TFReferencesSection"/>
        <w:spacing w:after="0"/>
        <w:ind w:firstLine="0"/>
      </w:pPr>
      <w:r w:rsidRPr="001558DF">
        <w:t>[</w:t>
      </w:r>
      <w:r w:rsidRPr="001558DF">
        <w:endnoteRef/>
      </w:r>
      <w:r w:rsidRPr="001558DF">
        <w:t xml:space="preserve">] F. </w:t>
      </w:r>
      <w:proofErr w:type="spellStart"/>
      <w:r w:rsidRPr="001558DF">
        <w:t>Fievet</w:t>
      </w:r>
      <w:proofErr w:type="spellEnd"/>
      <w:r w:rsidRPr="001558DF">
        <w:t xml:space="preserve">, J.P. </w:t>
      </w:r>
      <w:proofErr w:type="spellStart"/>
      <w:r w:rsidRPr="001558DF">
        <w:t>Lagier</w:t>
      </w:r>
      <w:proofErr w:type="spellEnd"/>
      <w:r w:rsidRPr="001558DF">
        <w:t xml:space="preserve">, B. Blin, Homogeneous and heterogeneous </w:t>
      </w:r>
      <w:proofErr w:type="spellStart"/>
      <w:r w:rsidRPr="001558DF">
        <w:t>nucleations</w:t>
      </w:r>
      <w:proofErr w:type="spellEnd"/>
      <w:r w:rsidRPr="001558DF">
        <w:t xml:space="preserve"> in the polyol process for the preparation of micron and submicron size metal particles, Solid State </w:t>
      </w:r>
      <w:proofErr w:type="spellStart"/>
      <w:r w:rsidRPr="001558DF">
        <w:t>lonics</w:t>
      </w:r>
      <w:proofErr w:type="spellEnd"/>
      <w:r w:rsidRPr="001558DF">
        <w:t xml:space="preserve"> 32-33 (1989) 198-205. </w:t>
      </w:r>
    </w:p>
  </w:endnote>
  <w:endnote w:id="18">
    <w:p w14:paraId="23E5D51D" w14:textId="70DB06C8" w:rsidR="00960EE3" w:rsidRPr="001558DF" w:rsidRDefault="00960EE3" w:rsidP="006E38B8">
      <w:pPr>
        <w:pStyle w:val="TFReferencesSection"/>
        <w:spacing w:after="0"/>
        <w:ind w:firstLine="0"/>
      </w:pPr>
      <w:proofErr w:type="gramStart"/>
      <w:r w:rsidRPr="001558DF">
        <w:t>[</w:t>
      </w:r>
      <w:r w:rsidRPr="001558DF">
        <w:endnoteRef/>
      </w:r>
      <w:r w:rsidRPr="001558DF">
        <w:t>] J.-H. Zhou, J.-P.</w:t>
      </w:r>
      <w:proofErr w:type="gramEnd"/>
      <w:r w:rsidRPr="001558DF">
        <w:t xml:space="preserve"> </w:t>
      </w:r>
      <w:proofErr w:type="gramStart"/>
      <w:r w:rsidRPr="001558DF">
        <w:t>He, Y.-J.</w:t>
      </w:r>
      <w:proofErr w:type="gramEnd"/>
      <w:r w:rsidRPr="001558DF">
        <w:t xml:space="preserve"> </w:t>
      </w:r>
      <w:proofErr w:type="gramStart"/>
      <w:r w:rsidRPr="001558DF">
        <w:t>Ji, W.-J.</w:t>
      </w:r>
      <w:proofErr w:type="gramEnd"/>
      <w:r w:rsidRPr="001558DF">
        <w:t xml:space="preserve"> </w:t>
      </w:r>
      <w:proofErr w:type="gramStart"/>
      <w:r w:rsidRPr="001558DF">
        <w:t>Dang, X.-L.</w:t>
      </w:r>
      <w:proofErr w:type="gramEnd"/>
      <w:r w:rsidRPr="001558DF">
        <w:t xml:space="preserve"> </w:t>
      </w:r>
      <w:proofErr w:type="gramStart"/>
      <w:r w:rsidRPr="001558DF">
        <w:t>Liu, G.-W.</w:t>
      </w:r>
      <w:proofErr w:type="gramEnd"/>
      <w:r w:rsidRPr="001558DF">
        <w:t xml:space="preserve"> </w:t>
      </w:r>
      <w:proofErr w:type="gramStart"/>
      <w:r w:rsidRPr="001558DF">
        <w:t>Zhao, C.-X.</w:t>
      </w:r>
      <w:proofErr w:type="gramEnd"/>
      <w:r w:rsidRPr="001558DF">
        <w:t xml:space="preserve"> </w:t>
      </w:r>
      <w:proofErr w:type="gramStart"/>
      <w:r w:rsidRPr="001558DF">
        <w:t>Zhang, J.-S.</w:t>
      </w:r>
      <w:proofErr w:type="gramEnd"/>
      <w:r w:rsidRPr="001558DF">
        <w:t xml:space="preserve"> </w:t>
      </w:r>
      <w:proofErr w:type="gramStart"/>
      <w:r w:rsidRPr="001558DF">
        <w:t>Zhao, Q.-B.</w:t>
      </w:r>
      <w:proofErr w:type="gramEnd"/>
      <w:r w:rsidRPr="001558DF">
        <w:t xml:space="preserve"> </w:t>
      </w:r>
      <w:proofErr w:type="gramStart"/>
      <w:r w:rsidRPr="001558DF">
        <w:t>Fu, H.-P.</w:t>
      </w:r>
      <w:proofErr w:type="gramEnd"/>
      <w:r w:rsidRPr="001558DF">
        <w:t xml:space="preserve"> Hu, CTAB assisted microwave synthesis of ordered mesoporous carbon supported Pt nanoparticles for hydrogen electro-oxidation, </w:t>
      </w:r>
      <w:proofErr w:type="spellStart"/>
      <w:r w:rsidRPr="001558DF">
        <w:t>Electrochim</w:t>
      </w:r>
      <w:proofErr w:type="spellEnd"/>
      <w:r w:rsidRPr="001558DF">
        <w:t xml:space="preserve">. </w:t>
      </w:r>
      <w:proofErr w:type="spellStart"/>
      <w:r w:rsidRPr="001558DF">
        <w:t>Acta</w:t>
      </w:r>
      <w:proofErr w:type="spellEnd"/>
      <w:r w:rsidRPr="001558DF">
        <w:t xml:space="preserve"> 52 (2007) 4691-4695.</w:t>
      </w:r>
    </w:p>
  </w:endnote>
  <w:endnote w:id="19">
    <w:p w14:paraId="432D8AE8" w14:textId="5D83048B" w:rsidR="00960EE3" w:rsidRPr="001558DF" w:rsidRDefault="00960EE3" w:rsidP="00B63221">
      <w:pPr>
        <w:pStyle w:val="TFReferencesSection"/>
        <w:spacing w:after="0"/>
        <w:ind w:firstLine="0"/>
      </w:pPr>
      <w:proofErr w:type="gramStart"/>
      <w:r w:rsidRPr="001558DF">
        <w:t>[</w:t>
      </w:r>
      <w:r w:rsidRPr="001558DF">
        <w:endnoteRef/>
      </w:r>
      <w:r w:rsidRPr="001558DF">
        <w:t>] D.L.</w:t>
      </w:r>
      <w:bookmarkStart w:id="8" w:name="_ENREF_40"/>
      <w:r w:rsidRPr="001558DF">
        <w:t xml:space="preserve"> Boxall, C.M. </w:t>
      </w:r>
      <w:proofErr w:type="spellStart"/>
      <w:r w:rsidRPr="001558DF">
        <w:t>Lukehart</w:t>
      </w:r>
      <w:proofErr w:type="spellEnd"/>
      <w:r w:rsidRPr="001558DF">
        <w:t xml:space="preserve">, Rapid synthesis of Pt or </w:t>
      </w:r>
      <w:proofErr w:type="spellStart"/>
      <w:r w:rsidRPr="001558DF">
        <w:t>Pd</w:t>
      </w:r>
      <w:proofErr w:type="spellEnd"/>
      <w:r w:rsidRPr="001558DF">
        <w:t>/Carbon nanocomposites using microwave irradiation, Chem. Mater.</w:t>
      </w:r>
      <w:proofErr w:type="gramEnd"/>
      <w:r w:rsidRPr="001558DF">
        <w:t xml:space="preserve"> 13 (2001) 806-810.</w:t>
      </w:r>
      <w:bookmarkEnd w:id="8"/>
    </w:p>
  </w:endnote>
  <w:endnote w:id="20">
    <w:p w14:paraId="4536CA29" w14:textId="17D14D49" w:rsidR="00960EE3" w:rsidRPr="001558DF" w:rsidRDefault="00960EE3" w:rsidP="00B63221">
      <w:pPr>
        <w:pStyle w:val="TFReferencesSection"/>
        <w:spacing w:after="0"/>
        <w:ind w:firstLine="0"/>
      </w:pPr>
      <w:r w:rsidRPr="001558DF">
        <w:t>[</w:t>
      </w:r>
      <w:r w:rsidRPr="001558DF">
        <w:endnoteRef/>
      </w:r>
      <w:r w:rsidRPr="001558DF">
        <w:t xml:space="preserve">] </w:t>
      </w:r>
      <w:bookmarkStart w:id="9" w:name="_ENREF_41"/>
      <w:r w:rsidRPr="001558DF">
        <w:t>W. Li, W. Zhou, H. Li, Z. Zhou, B. Zhou, G. Sun, Q. Xin, Nano-</w:t>
      </w:r>
      <w:proofErr w:type="spellStart"/>
      <w:r w:rsidRPr="001558DF">
        <w:t>stuctured</w:t>
      </w:r>
      <w:proofErr w:type="spellEnd"/>
      <w:r w:rsidRPr="001558DF">
        <w:t xml:space="preserve"> Pt–Fe/C as cathode catalyst in direct methanol fuel cell, </w:t>
      </w:r>
      <w:proofErr w:type="spellStart"/>
      <w:r w:rsidRPr="001558DF">
        <w:t>Electrochim</w:t>
      </w:r>
      <w:proofErr w:type="spellEnd"/>
      <w:r w:rsidRPr="001558DF">
        <w:t xml:space="preserve">. </w:t>
      </w:r>
      <w:proofErr w:type="spellStart"/>
      <w:r w:rsidRPr="001558DF">
        <w:t>Acta</w:t>
      </w:r>
      <w:proofErr w:type="spellEnd"/>
      <w:r w:rsidRPr="001558DF">
        <w:t xml:space="preserve"> 49 (2004) 1045-1055.</w:t>
      </w:r>
      <w:bookmarkEnd w:id="9"/>
    </w:p>
  </w:endnote>
  <w:endnote w:id="21">
    <w:p w14:paraId="61F6659A" w14:textId="26B976AB" w:rsidR="00960EE3" w:rsidRPr="001558DF" w:rsidRDefault="00960EE3" w:rsidP="00B63221">
      <w:pPr>
        <w:pStyle w:val="TFReferencesSection"/>
        <w:spacing w:after="0"/>
        <w:ind w:firstLine="0"/>
      </w:pPr>
      <w:proofErr w:type="gramStart"/>
      <w:r w:rsidRPr="001558DF">
        <w:t>[</w:t>
      </w:r>
      <w:r w:rsidRPr="001558DF">
        <w:endnoteRef/>
      </w:r>
      <w:r w:rsidRPr="001558DF">
        <w:t xml:space="preserve">] </w:t>
      </w:r>
      <w:bookmarkStart w:id="10" w:name="_ENREF_42"/>
      <w:r w:rsidRPr="001558DF">
        <w:t>S. Kim, S.-J.</w:t>
      </w:r>
      <w:proofErr w:type="gramEnd"/>
      <w:r w:rsidRPr="001558DF">
        <w:t xml:space="preserve"> Park, Effect of acid/base treatment to carbon blacks on preparation of carbon-supported platinum nanoclusters</w:t>
      </w:r>
      <w:proofErr w:type="gramStart"/>
      <w:r w:rsidRPr="001558DF">
        <w:t xml:space="preserve">,  </w:t>
      </w:r>
      <w:proofErr w:type="spellStart"/>
      <w:r w:rsidRPr="001558DF">
        <w:t>Electrochim</w:t>
      </w:r>
      <w:proofErr w:type="spellEnd"/>
      <w:proofErr w:type="gramEnd"/>
      <w:r w:rsidRPr="001558DF">
        <w:t xml:space="preserve">. </w:t>
      </w:r>
      <w:proofErr w:type="spellStart"/>
      <w:r w:rsidRPr="001558DF">
        <w:t>Acta</w:t>
      </w:r>
      <w:proofErr w:type="spellEnd"/>
      <w:r w:rsidRPr="001558DF">
        <w:t xml:space="preserve"> 52 (2007) 3013-3021.</w:t>
      </w:r>
      <w:bookmarkEnd w:id="10"/>
    </w:p>
  </w:endnote>
  <w:endnote w:id="22">
    <w:p w14:paraId="44A4B590" w14:textId="6C26C0C7" w:rsidR="00960EE3" w:rsidRPr="001558DF" w:rsidRDefault="00960EE3" w:rsidP="00B63221">
      <w:pPr>
        <w:pStyle w:val="TFReferencesSection"/>
        <w:spacing w:after="0"/>
        <w:ind w:firstLine="0"/>
      </w:pPr>
      <w:r w:rsidRPr="001558DF">
        <w:rPr>
          <w:rStyle w:val="Refdenotaalfinal"/>
          <w:vertAlign w:val="baseline"/>
        </w:rPr>
        <w:t>[</w:t>
      </w:r>
      <w:r w:rsidRPr="001558DF">
        <w:rPr>
          <w:rStyle w:val="Refdenotaalfinal"/>
          <w:vertAlign w:val="baseline"/>
        </w:rPr>
        <w:endnoteRef/>
      </w:r>
      <w:r w:rsidRPr="001558DF">
        <w:rPr>
          <w:rStyle w:val="Refdenotaalfinal"/>
          <w:vertAlign w:val="baseline"/>
        </w:rPr>
        <w:t xml:space="preserve">] </w:t>
      </w:r>
      <w:proofErr w:type="gramStart"/>
      <w:r w:rsidRPr="001558DF">
        <w:t xml:space="preserve">A.M. </w:t>
      </w:r>
      <w:r w:rsidRPr="001558DF">
        <w:rPr>
          <w:rStyle w:val="Refdenotaalfinal"/>
          <w:vertAlign w:val="baseline"/>
        </w:rPr>
        <w:t>Wise</w:t>
      </w:r>
      <w:r w:rsidRPr="001558DF">
        <w:t>,</w:t>
      </w:r>
      <w:proofErr w:type="gramEnd"/>
      <w:r w:rsidRPr="001558DF">
        <w:rPr>
          <w:rStyle w:val="Refdenotaalfinal"/>
          <w:vertAlign w:val="baseline"/>
        </w:rPr>
        <w:t xml:space="preserve"> </w:t>
      </w:r>
      <w:r w:rsidRPr="001558DF">
        <w:t>P.W.</w:t>
      </w:r>
      <w:r w:rsidRPr="001558DF">
        <w:rPr>
          <w:rStyle w:val="Refdenotaalfinal"/>
          <w:vertAlign w:val="baseline"/>
        </w:rPr>
        <w:t xml:space="preserve"> Richardson,  </w:t>
      </w:r>
      <w:proofErr w:type="gramStart"/>
      <w:r w:rsidRPr="001558DF">
        <w:t>S.W.T.</w:t>
      </w:r>
      <w:proofErr w:type="gramEnd"/>
      <w:r w:rsidRPr="001558DF">
        <w:rPr>
          <w:rStyle w:val="Refdenotaalfinal"/>
          <w:vertAlign w:val="baseline"/>
        </w:rPr>
        <w:t xml:space="preserve"> Price,  </w:t>
      </w:r>
      <w:proofErr w:type="gramStart"/>
      <w:r w:rsidRPr="001558DF">
        <w:t>G.</w:t>
      </w:r>
      <w:proofErr w:type="gramEnd"/>
      <w:r w:rsidRPr="001558DF">
        <w:rPr>
          <w:rStyle w:val="Refdenotaalfinal"/>
          <w:vertAlign w:val="baseline"/>
        </w:rPr>
        <w:t xml:space="preserve"> </w:t>
      </w:r>
      <w:proofErr w:type="spellStart"/>
      <w:r w:rsidRPr="001558DF">
        <w:rPr>
          <w:rStyle w:val="Refdenotaalfinal"/>
          <w:vertAlign w:val="baseline"/>
        </w:rPr>
        <w:t>Chouchelamane</w:t>
      </w:r>
      <w:proofErr w:type="spellEnd"/>
      <w:r w:rsidRPr="001558DF">
        <w:rPr>
          <w:rStyle w:val="Refdenotaalfinal"/>
          <w:vertAlign w:val="baseline"/>
        </w:rPr>
        <w:t xml:space="preserve">,  </w:t>
      </w:r>
      <w:r w:rsidRPr="001558DF">
        <w:t>L.</w:t>
      </w:r>
      <w:r w:rsidRPr="001558DF">
        <w:rPr>
          <w:rStyle w:val="Refdenotaalfinal"/>
          <w:vertAlign w:val="baseline"/>
        </w:rPr>
        <w:t xml:space="preserve"> </w:t>
      </w:r>
      <w:proofErr w:type="spellStart"/>
      <w:r w:rsidRPr="001558DF">
        <w:rPr>
          <w:rStyle w:val="Refdenotaalfinal"/>
          <w:vertAlign w:val="baseline"/>
        </w:rPr>
        <w:t>Ca</w:t>
      </w:r>
      <w:proofErr w:type="gramStart"/>
      <w:r w:rsidRPr="001558DF">
        <w:t>l</w:t>
      </w:r>
      <w:proofErr w:type="gramEnd"/>
      <w:r w:rsidRPr="001558DF">
        <w:rPr>
          <w:rStyle w:val="Refdenotaalfinal"/>
          <w:vertAlign w:val="baseline"/>
        </w:rPr>
        <w:t>villo</w:t>
      </w:r>
      <w:proofErr w:type="spellEnd"/>
      <w:r w:rsidRPr="001558DF">
        <w:rPr>
          <w:rStyle w:val="Refdenotaalfinal"/>
          <w:vertAlign w:val="baseline"/>
        </w:rPr>
        <w:t xml:space="preserve">,  </w:t>
      </w:r>
      <w:r w:rsidRPr="001558DF">
        <w:t>P.J.</w:t>
      </w:r>
      <w:r w:rsidRPr="001558DF">
        <w:rPr>
          <w:rStyle w:val="Refdenotaalfinal"/>
          <w:vertAlign w:val="baseline"/>
        </w:rPr>
        <w:t xml:space="preserve"> Hendra, </w:t>
      </w:r>
      <w:proofErr w:type="gramStart"/>
      <w:r w:rsidRPr="001558DF">
        <w:t>M.F.</w:t>
      </w:r>
      <w:proofErr w:type="gramEnd"/>
      <w:r w:rsidRPr="001558DF">
        <w:rPr>
          <w:rStyle w:val="Refdenotaalfinal"/>
          <w:vertAlign w:val="baseline"/>
        </w:rPr>
        <w:t xml:space="preserve"> Toney, </w:t>
      </w:r>
      <w:r w:rsidRPr="001558DF">
        <w:t>A.E.</w:t>
      </w:r>
      <w:r w:rsidRPr="001558DF">
        <w:rPr>
          <w:rStyle w:val="Refdenotaalfinal"/>
          <w:vertAlign w:val="baseline"/>
        </w:rPr>
        <w:t xml:space="preserve"> Russell</w:t>
      </w:r>
      <w:r w:rsidRPr="001558DF">
        <w:t>,</w:t>
      </w:r>
      <w:r w:rsidRPr="001558DF">
        <w:rPr>
          <w:rStyle w:val="Refdenotaalfinal"/>
          <w:vertAlign w:val="baseline"/>
        </w:rPr>
        <w:t xml:space="preserve"> </w:t>
      </w:r>
      <w:r w:rsidRPr="001558DF">
        <w:t xml:space="preserve">Inhibitive effect of Pt on </w:t>
      </w:r>
      <w:proofErr w:type="spellStart"/>
      <w:r w:rsidRPr="001558DF">
        <w:t>Pd</w:t>
      </w:r>
      <w:proofErr w:type="spellEnd"/>
      <w:r w:rsidRPr="001558DF">
        <w:t xml:space="preserve">-hydride formation of </w:t>
      </w:r>
      <w:proofErr w:type="spellStart"/>
      <w:r w:rsidRPr="001558DF">
        <w:t>Pd@Pt</w:t>
      </w:r>
      <w:proofErr w:type="spellEnd"/>
      <w:r w:rsidRPr="001558DF">
        <w:t xml:space="preserve"> core-shell electrocatalysts: an in situ EXAFS and XRD study</w:t>
      </w:r>
      <w:r w:rsidRPr="001558DF">
        <w:rPr>
          <w:rStyle w:val="Refdenotaalfinal"/>
          <w:vertAlign w:val="baseline"/>
        </w:rPr>
        <w:t xml:space="preserve">, </w:t>
      </w:r>
      <w:proofErr w:type="spellStart"/>
      <w:r w:rsidRPr="001558DF">
        <w:rPr>
          <w:rStyle w:val="Refdenotaalfinal"/>
          <w:vertAlign w:val="baseline"/>
        </w:rPr>
        <w:t>Electrochim</w:t>
      </w:r>
      <w:proofErr w:type="spellEnd"/>
      <w:r w:rsidRPr="001558DF">
        <w:rPr>
          <w:rStyle w:val="Refdenotaalfinal"/>
          <w:vertAlign w:val="baseline"/>
        </w:rPr>
        <w:t xml:space="preserve">. </w:t>
      </w:r>
      <w:proofErr w:type="spellStart"/>
      <w:r w:rsidRPr="001558DF">
        <w:rPr>
          <w:rStyle w:val="Refdenotaalfinal"/>
          <w:vertAlign w:val="baseline"/>
        </w:rPr>
        <w:t>Acta</w:t>
      </w:r>
      <w:proofErr w:type="spellEnd"/>
      <w:r w:rsidRPr="001558DF">
        <w:rPr>
          <w:rStyle w:val="Refdenotaalfinal"/>
          <w:vertAlign w:val="baseline"/>
        </w:rPr>
        <w:t>, under revision.</w:t>
      </w:r>
    </w:p>
  </w:endnote>
  <w:endnote w:id="23">
    <w:p w14:paraId="7DD62F5F" w14:textId="2292DE5A" w:rsidR="00960EE3" w:rsidRPr="001558DF" w:rsidRDefault="00960EE3" w:rsidP="00B63221">
      <w:pPr>
        <w:pStyle w:val="TFReferencesSection"/>
        <w:spacing w:after="0"/>
        <w:ind w:firstLine="0"/>
        <w:rPr>
          <w:rStyle w:val="Refdenotaalfinal"/>
          <w:vertAlign w:val="baseline"/>
        </w:rPr>
      </w:pPr>
      <w:r w:rsidRPr="001558DF">
        <w:rPr>
          <w:rStyle w:val="Refdenotaalfinal"/>
          <w:vertAlign w:val="baseline"/>
        </w:rPr>
        <w:t>[</w:t>
      </w:r>
      <w:r w:rsidRPr="001558DF">
        <w:rPr>
          <w:rStyle w:val="Refdenotaalfinal"/>
          <w:vertAlign w:val="baseline"/>
        </w:rPr>
        <w:endnoteRef/>
      </w:r>
      <w:r w:rsidRPr="001558DF">
        <w:rPr>
          <w:rStyle w:val="Refdenotaalfinal"/>
          <w:vertAlign w:val="baseline"/>
        </w:rPr>
        <w:t xml:space="preserve">] </w:t>
      </w:r>
      <w:bookmarkStart w:id="11" w:name="_ENREF_25"/>
      <w:r w:rsidRPr="001558DF">
        <w:rPr>
          <w:rStyle w:val="Refdenotaalfinal"/>
          <w:vertAlign w:val="baseline"/>
        </w:rPr>
        <w:t xml:space="preserve">B. Ravel, M. Newville, </w:t>
      </w:r>
      <w:hyperlink r:id="rId12" w:history="1">
        <w:r w:rsidRPr="001558DF">
          <w:rPr>
            <w:rStyle w:val="Refdenotaalfinal"/>
            <w:vertAlign w:val="baseline"/>
          </w:rPr>
          <w:t>ATHENA, ARTEMIS, HEPHAESTUS: data analysis for X-ray absorption spectroscopy using IFEFFIT</w:t>
        </w:r>
      </w:hyperlink>
      <w:r w:rsidRPr="001558DF">
        <w:t xml:space="preserve">, </w:t>
      </w:r>
      <w:r w:rsidRPr="001558DF">
        <w:rPr>
          <w:rStyle w:val="Refdenotaalfinal"/>
          <w:vertAlign w:val="baseline"/>
        </w:rPr>
        <w:t>J. Synchrotron Rad. 12 (2005) 537-541.</w:t>
      </w:r>
      <w:bookmarkEnd w:id="11"/>
    </w:p>
  </w:endnote>
  <w:endnote w:id="24">
    <w:p w14:paraId="1CE45C74" w14:textId="6156390C" w:rsidR="00960EE3" w:rsidRPr="001558DF" w:rsidRDefault="00960EE3" w:rsidP="004855CD">
      <w:pPr>
        <w:pStyle w:val="TFReferencesSection"/>
        <w:spacing w:after="0"/>
        <w:ind w:firstLine="0"/>
        <w:rPr>
          <w:rStyle w:val="Refdenotaalfinal"/>
          <w:vertAlign w:val="baseline"/>
        </w:rPr>
      </w:pPr>
      <w:r w:rsidRPr="001558DF">
        <w:rPr>
          <w:rStyle w:val="Refdenotaalfinal"/>
          <w:vertAlign w:val="baseline"/>
        </w:rPr>
        <w:t>[</w:t>
      </w:r>
      <w:r w:rsidRPr="001558DF">
        <w:rPr>
          <w:rStyle w:val="Refdenotaalfinal"/>
          <w:vertAlign w:val="baseline"/>
        </w:rPr>
        <w:endnoteRef/>
      </w:r>
      <w:r w:rsidRPr="001558DF">
        <w:rPr>
          <w:rStyle w:val="Refdenotaalfinal"/>
          <w:vertAlign w:val="baseline"/>
        </w:rPr>
        <w:t xml:space="preserve">] </w:t>
      </w:r>
      <w:bookmarkStart w:id="12" w:name="_ENREF_27"/>
      <w:r w:rsidRPr="001558DF">
        <w:rPr>
          <w:rStyle w:val="Refdenotaalfinal"/>
          <w:vertAlign w:val="baseline"/>
        </w:rPr>
        <w:t xml:space="preserve">M. Newville, </w:t>
      </w:r>
      <w:hyperlink r:id="rId13" w:history="1">
        <w:r w:rsidRPr="001558DF">
          <w:rPr>
            <w:rStyle w:val="Refdenotaalfinal"/>
            <w:vertAlign w:val="baseline"/>
          </w:rPr>
          <w:t>EXAFS analysis using FEFF and FEFFIT</w:t>
        </w:r>
      </w:hyperlink>
      <w:r w:rsidRPr="001558DF">
        <w:t xml:space="preserve">, </w:t>
      </w:r>
      <w:r w:rsidRPr="001558DF">
        <w:rPr>
          <w:rStyle w:val="Refdenotaalfinal"/>
          <w:vertAlign w:val="baseline"/>
        </w:rPr>
        <w:t>J. Synchrotron Rad. 8 (2001) 96-100.</w:t>
      </w:r>
      <w:bookmarkEnd w:id="12"/>
    </w:p>
  </w:endnote>
  <w:endnote w:id="25">
    <w:p w14:paraId="7FBB9B3D" w14:textId="057A15D1" w:rsidR="00960EE3" w:rsidRPr="001558DF" w:rsidRDefault="00960EE3" w:rsidP="004855CD">
      <w:pPr>
        <w:pStyle w:val="TFReferencesSection"/>
        <w:spacing w:after="0"/>
        <w:ind w:firstLine="0"/>
        <w:rPr>
          <w:rStyle w:val="Refdenotaalfinal"/>
          <w:vertAlign w:val="baseline"/>
        </w:rPr>
      </w:pPr>
      <w:r w:rsidRPr="001558DF">
        <w:rPr>
          <w:rStyle w:val="Refdenotaalfinal"/>
          <w:vertAlign w:val="baseline"/>
        </w:rPr>
        <w:t>[</w:t>
      </w:r>
      <w:r w:rsidRPr="001558DF">
        <w:rPr>
          <w:rStyle w:val="Refdenotaalfinal"/>
          <w:vertAlign w:val="baseline"/>
        </w:rPr>
        <w:endnoteRef/>
      </w:r>
      <w:r w:rsidRPr="001558DF">
        <w:rPr>
          <w:rStyle w:val="Refdenotaalfinal"/>
          <w:vertAlign w:val="baseline"/>
        </w:rPr>
        <w:t xml:space="preserve">] W. Zhou, L. Liu, B. Li, P. Wu, Q. Song, Structural, elastic and electronic properties of </w:t>
      </w:r>
      <w:proofErr w:type="spellStart"/>
      <w:r w:rsidRPr="001558DF">
        <w:rPr>
          <w:rStyle w:val="Refdenotaalfinal"/>
          <w:vertAlign w:val="baseline"/>
        </w:rPr>
        <w:t>intermetallics</w:t>
      </w:r>
      <w:proofErr w:type="spellEnd"/>
      <w:r w:rsidRPr="001558DF">
        <w:rPr>
          <w:rStyle w:val="Refdenotaalfinal"/>
          <w:vertAlign w:val="baseline"/>
        </w:rPr>
        <w:t xml:space="preserve"> in the Pt–Sn system: A density functional investigation</w:t>
      </w:r>
      <w:r w:rsidRPr="001558DF">
        <w:t xml:space="preserve">, </w:t>
      </w:r>
      <w:proofErr w:type="spellStart"/>
      <w:r w:rsidRPr="001558DF">
        <w:rPr>
          <w:rStyle w:val="Refdenotaalfinal"/>
          <w:vertAlign w:val="baseline"/>
        </w:rPr>
        <w:t>Comput</w:t>
      </w:r>
      <w:proofErr w:type="spellEnd"/>
      <w:r w:rsidRPr="001558DF">
        <w:rPr>
          <w:rStyle w:val="Refdenotaalfinal"/>
          <w:vertAlign w:val="baseline"/>
        </w:rPr>
        <w:t>. Mater. Sci. 46 (2009) 921-931.</w:t>
      </w:r>
    </w:p>
  </w:endnote>
  <w:endnote w:id="26">
    <w:p w14:paraId="5B3F6FD7" w14:textId="06B4215A" w:rsidR="00960EE3" w:rsidRPr="001558DF" w:rsidRDefault="00960EE3" w:rsidP="004855CD">
      <w:pPr>
        <w:pStyle w:val="TFReferencesSection"/>
        <w:spacing w:after="0"/>
        <w:ind w:firstLine="0"/>
        <w:rPr>
          <w:rStyle w:val="Refdenotaalfinal"/>
          <w:vertAlign w:val="baseline"/>
        </w:rPr>
      </w:pPr>
      <w:r w:rsidRPr="001558DF">
        <w:rPr>
          <w:rStyle w:val="Refdenotaalfinal"/>
          <w:vertAlign w:val="baseline"/>
        </w:rPr>
        <w:t>[</w:t>
      </w:r>
      <w:r w:rsidRPr="001558DF">
        <w:rPr>
          <w:rStyle w:val="Refdenotaalfinal"/>
          <w:vertAlign w:val="baseline"/>
        </w:rPr>
        <w:endnoteRef/>
      </w:r>
      <w:r w:rsidRPr="001558DF">
        <w:rPr>
          <w:rStyle w:val="Refdenotaalfinal"/>
          <w:vertAlign w:val="baseline"/>
        </w:rPr>
        <w:t xml:space="preserve">] X. Wang, L. </w:t>
      </w:r>
      <w:proofErr w:type="spellStart"/>
      <w:r w:rsidRPr="001558DF">
        <w:rPr>
          <w:rStyle w:val="Refdenotaalfinal"/>
          <w:vertAlign w:val="baseline"/>
        </w:rPr>
        <w:t>Altmann</w:t>
      </w:r>
      <w:proofErr w:type="spellEnd"/>
      <w:r w:rsidRPr="001558DF">
        <w:rPr>
          <w:rStyle w:val="Refdenotaalfinal"/>
          <w:vertAlign w:val="baseline"/>
        </w:rPr>
        <w:t xml:space="preserve">, J. </w:t>
      </w:r>
      <w:proofErr w:type="spellStart"/>
      <w:r w:rsidRPr="001558DF">
        <w:rPr>
          <w:rStyle w:val="Refdenotaalfinal"/>
          <w:vertAlign w:val="baseline"/>
        </w:rPr>
        <w:t>Stöver</w:t>
      </w:r>
      <w:proofErr w:type="spellEnd"/>
      <w:r w:rsidRPr="001558DF">
        <w:rPr>
          <w:rStyle w:val="Refdenotaalfinal"/>
          <w:vertAlign w:val="baseline"/>
        </w:rPr>
        <w:t xml:space="preserve">, V. </w:t>
      </w:r>
      <w:proofErr w:type="spellStart"/>
      <w:r w:rsidRPr="001558DF">
        <w:rPr>
          <w:rStyle w:val="Refdenotaalfinal"/>
          <w:vertAlign w:val="baseline"/>
        </w:rPr>
        <w:t>Zielasek</w:t>
      </w:r>
      <w:proofErr w:type="spellEnd"/>
      <w:r w:rsidRPr="001558DF">
        <w:rPr>
          <w:rStyle w:val="Refdenotaalfinal"/>
          <w:vertAlign w:val="baseline"/>
        </w:rPr>
        <w:t xml:space="preserve">, M. </w:t>
      </w:r>
      <w:proofErr w:type="spellStart"/>
      <w:r w:rsidRPr="001558DF">
        <w:rPr>
          <w:rStyle w:val="Refdenotaalfinal"/>
          <w:vertAlign w:val="baseline"/>
        </w:rPr>
        <w:t>Bäumer</w:t>
      </w:r>
      <w:proofErr w:type="spellEnd"/>
      <w:r w:rsidRPr="001558DF">
        <w:rPr>
          <w:rStyle w:val="Refdenotaalfinal"/>
          <w:vertAlign w:val="baseline"/>
        </w:rPr>
        <w:t>, K. Al-</w:t>
      </w:r>
      <w:proofErr w:type="spellStart"/>
      <w:r w:rsidRPr="001558DF">
        <w:rPr>
          <w:rStyle w:val="Refdenotaalfinal"/>
          <w:vertAlign w:val="baseline"/>
        </w:rPr>
        <w:t>Shamery</w:t>
      </w:r>
      <w:proofErr w:type="spellEnd"/>
      <w:r w:rsidRPr="001558DF">
        <w:rPr>
          <w:rStyle w:val="Refdenotaalfinal"/>
          <w:vertAlign w:val="baseline"/>
        </w:rPr>
        <w:t xml:space="preserve">, H. </w:t>
      </w:r>
      <w:proofErr w:type="spellStart"/>
      <w:r w:rsidRPr="001558DF">
        <w:rPr>
          <w:rStyle w:val="Refdenotaalfinal"/>
          <w:vertAlign w:val="baseline"/>
        </w:rPr>
        <w:t>Borchert</w:t>
      </w:r>
      <w:proofErr w:type="spellEnd"/>
      <w:r w:rsidRPr="001558DF">
        <w:rPr>
          <w:rStyle w:val="Refdenotaalfinal"/>
          <w:vertAlign w:val="baseline"/>
        </w:rPr>
        <w:t xml:space="preserve">, J. </w:t>
      </w:r>
      <w:proofErr w:type="spellStart"/>
      <w:r w:rsidRPr="001558DF">
        <w:rPr>
          <w:rStyle w:val="Refdenotaalfinal"/>
          <w:vertAlign w:val="baseline"/>
        </w:rPr>
        <w:t>Parisi</w:t>
      </w:r>
      <w:proofErr w:type="spellEnd"/>
      <w:r w:rsidRPr="001558DF">
        <w:rPr>
          <w:rStyle w:val="Refdenotaalfinal"/>
          <w:vertAlign w:val="baseline"/>
        </w:rPr>
        <w:t xml:space="preserve">, J. </w:t>
      </w:r>
      <w:proofErr w:type="spellStart"/>
      <w:r w:rsidRPr="001558DF">
        <w:rPr>
          <w:rStyle w:val="Refdenotaalfinal"/>
          <w:vertAlign w:val="baseline"/>
        </w:rPr>
        <w:t>Kolny-Olesiak</w:t>
      </w:r>
      <w:proofErr w:type="spellEnd"/>
      <w:r w:rsidRPr="001558DF">
        <w:rPr>
          <w:rStyle w:val="Refdenotaalfinal"/>
          <w:vertAlign w:val="baseline"/>
        </w:rPr>
        <w:t>, Pt/Sn intermetallic, core/shell and alloy nanoparticles: colloidal synthesis and structural control</w:t>
      </w:r>
      <w:r w:rsidRPr="001558DF">
        <w:t xml:space="preserve">, </w:t>
      </w:r>
      <w:r w:rsidRPr="001558DF">
        <w:rPr>
          <w:rStyle w:val="Refdenotaalfinal"/>
          <w:vertAlign w:val="baseline"/>
        </w:rPr>
        <w:t>Chem. Mater. 25 (2013) 1400-1407.</w:t>
      </w:r>
    </w:p>
  </w:endnote>
  <w:endnote w:id="27">
    <w:p w14:paraId="2BB26E89" w14:textId="6A7753B7" w:rsidR="00960EE3" w:rsidRPr="001558DF" w:rsidRDefault="00960EE3" w:rsidP="00A0373C">
      <w:pPr>
        <w:pStyle w:val="TFReferencesSection"/>
        <w:spacing w:after="0"/>
        <w:ind w:firstLine="0"/>
        <w:rPr>
          <w:noProof/>
        </w:rPr>
      </w:pPr>
      <w:proofErr w:type="gramStart"/>
      <w:r w:rsidRPr="001558DF">
        <w:t>[</w:t>
      </w:r>
      <w:r w:rsidRPr="001558DF">
        <w:rPr>
          <w:rStyle w:val="Refdenotaalfinal"/>
          <w:vertAlign w:val="baseline"/>
        </w:rPr>
        <w:endnoteRef/>
      </w:r>
      <w:r w:rsidRPr="001558DF">
        <w:t xml:space="preserve">] </w:t>
      </w:r>
      <w:bookmarkStart w:id="13" w:name="_ENREF_1"/>
      <w:r w:rsidRPr="001558DF">
        <w:t xml:space="preserve">V. </w:t>
      </w:r>
      <w:r w:rsidRPr="001558DF">
        <w:rPr>
          <w:noProof/>
        </w:rPr>
        <w:t>Zamlynny, J. Lipkowski, In Advances in electrochemical science and engineering; WILEY: Weinheim, 2006; Vol. 9.</w:t>
      </w:r>
      <w:bookmarkEnd w:id="13"/>
      <w:proofErr w:type="gramEnd"/>
    </w:p>
  </w:endnote>
  <w:endnote w:id="28">
    <w:p w14:paraId="77475907" w14:textId="58D60247" w:rsidR="00960EE3" w:rsidRPr="001558DF" w:rsidRDefault="00960EE3" w:rsidP="00A0373C">
      <w:pPr>
        <w:pStyle w:val="TFReferencesSection"/>
        <w:spacing w:after="0"/>
        <w:ind w:firstLine="0"/>
      </w:pPr>
      <w:r w:rsidRPr="001558DF">
        <w:t>[</w:t>
      </w:r>
      <w:r w:rsidRPr="001558DF">
        <w:endnoteRef/>
      </w:r>
      <w:r w:rsidRPr="001558DF">
        <w:t xml:space="preserve">] </w:t>
      </w:r>
      <w:bookmarkStart w:id="14" w:name="_ENREF_2"/>
      <w:r w:rsidRPr="001558DF">
        <w:t xml:space="preserve">V. Zamlynny, I. Zawisza, J. Lipkowski, PM FTIRRAS studies of potential-controlled transformations of a monolayer and a bilayer of 4-pentadecylpyridine, a model surfactant, adsorbed on </w:t>
      </w:r>
      <w:proofErr w:type="spellStart"/>
      <w:r w:rsidRPr="001558DF">
        <w:t>a</w:t>
      </w:r>
      <w:proofErr w:type="spellEnd"/>
      <w:r w:rsidRPr="001558DF">
        <w:t xml:space="preserve"> Au(111) electrode surface, Langmuir 19 (2003) 132-145.</w:t>
      </w:r>
      <w:bookmarkEnd w:id="14"/>
    </w:p>
  </w:endnote>
  <w:endnote w:id="29">
    <w:p w14:paraId="072F6AE4" w14:textId="66E206F2" w:rsidR="00960EE3" w:rsidRPr="001558DF" w:rsidRDefault="00960EE3" w:rsidP="00A0373C">
      <w:pPr>
        <w:pStyle w:val="TFReferencesSection"/>
        <w:spacing w:after="0"/>
        <w:ind w:firstLine="0"/>
      </w:pPr>
      <w:r w:rsidRPr="001558DF">
        <w:t>[</w:t>
      </w:r>
      <w:r w:rsidRPr="001558DF">
        <w:endnoteRef/>
      </w:r>
      <w:r w:rsidRPr="001558DF">
        <w:t xml:space="preserve">] S. </w:t>
      </w:r>
      <w:proofErr w:type="spellStart"/>
      <w:r w:rsidRPr="001558DF">
        <w:t>García</w:t>
      </w:r>
      <w:proofErr w:type="spellEnd"/>
      <w:r w:rsidRPr="001558DF">
        <w:t xml:space="preserve">-Rodríguez, F. </w:t>
      </w:r>
      <w:proofErr w:type="spellStart"/>
      <w:r w:rsidRPr="001558DF">
        <w:t>Somodi</w:t>
      </w:r>
      <w:proofErr w:type="spellEnd"/>
      <w:r w:rsidRPr="001558DF">
        <w:t xml:space="preserve">, I. </w:t>
      </w:r>
      <w:proofErr w:type="spellStart"/>
      <w:r w:rsidRPr="001558DF">
        <w:t>Borbáth</w:t>
      </w:r>
      <w:proofErr w:type="spellEnd"/>
      <w:r w:rsidRPr="001558DF">
        <w:t xml:space="preserve">, J.L. </w:t>
      </w:r>
      <w:proofErr w:type="spellStart"/>
      <w:r w:rsidRPr="001558DF">
        <w:t>Margitfalvi</w:t>
      </w:r>
      <w:proofErr w:type="spellEnd"/>
      <w:r w:rsidRPr="001558DF">
        <w:t xml:space="preserve">, M.A. Peña, J.L.G. Fierro, S. Rojas, Controlled synthesis of Pt-Sn/C fuel cell catalysts with exclusive Sn–Pt interaction: Application in CO and ethanol </w:t>
      </w:r>
      <w:proofErr w:type="spellStart"/>
      <w:r w:rsidRPr="001558DF">
        <w:t>electrooxidation</w:t>
      </w:r>
      <w:proofErr w:type="spellEnd"/>
      <w:r w:rsidRPr="001558DF">
        <w:t xml:space="preserve"> reactions, Appl. </w:t>
      </w:r>
      <w:proofErr w:type="spellStart"/>
      <w:r w:rsidRPr="001558DF">
        <w:t>Catal</w:t>
      </w:r>
      <w:proofErr w:type="spellEnd"/>
      <w:r w:rsidRPr="001558DF">
        <w:t>. B: Environ. 91 (2009) 83-91.</w:t>
      </w:r>
    </w:p>
  </w:endnote>
  <w:endnote w:id="30">
    <w:p w14:paraId="41245E5B" w14:textId="7314C40A" w:rsidR="00960EE3" w:rsidRPr="001558DF" w:rsidRDefault="00960EE3" w:rsidP="00A0373C">
      <w:pPr>
        <w:pStyle w:val="TFReferencesSection"/>
        <w:spacing w:after="0"/>
        <w:ind w:firstLine="0"/>
      </w:pPr>
      <w:r w:rsidRPr="001558DF">
        <w:t>[</w:t>
      </w:r>
      <w:r w:rsidRPr="001558DF">
        <w:endnoteRef/>
      </w:r>
      <w:r w:rsidRPr="001558DF">
        <w:t xml:space="preserve">] J.H. Kim, S.M. Choi, S.H. Nam, M.H. </w:t>
      </w:r>
      <w:proofErr w:type="spellStart"/>
      <w:r w:rsidRPr="001558DF">
        <w:t>Seo</w:t>
      </w:r>
      <w:proofErr w:type="spellEnd"/>
      <w:r w:rsidRPr="001558DF">
        <w:t xml:space="preserve">, S.H. Choi, W.B. Kim, Influence of Sn content on </w:t>
      </w:r>
      <w:proofErr w:type="spellStart"/>
      <w:r w:rsidRPr="001558DF">
        <w:t>PtSn</w:t>
      </w:r>
      <w:proofErr w:type="spellEnd"/>
      <w:r w:rsidRPr="001558DF">
        <w:t xml:space="preserve">/C catalysts for </w:t>
      </w:r>
      <w:proofErr w:type="spellStart"/>
      <w:r w:rsidRPr="001558DF">
        <w:t>electrooxidation</w:t>
      </w:r>
      <w:proofErr w:type="spellEnd"/>
      <w:r w:rsidRPr="001558DF">
        <w:t xml:space="preserve"> of C1–C3 alcohols: Synthesis, characterization, and </w:t>
      </w:r>
      <w:proofErr w:type="spellStart"/>
      <w:r w:rsidRPr="001558DF">
        <w:t>electrocatalytic</w:t>
      </w:r>
      <w:proofErr w:type="spellEnd"/>
      <w:r w:rsidRPr="001558DF">
        <w:t xml:space="preserve"> activity, Appl. </w:t>
      </w:r>
      <w:proofErr w:type="spellStart"/>
      <w:r w:rsidRPr="001558DF">
        <w:t>Catal</w:t>
      </w:r>
      <w:proofErr w:type="spellEnd"/>
      <w:r w:rsidRPr="001558DF">
        <w:t>. B: Environ. 82 (2008) 89-102.</w:t>
      </w:r>
    </w:p>
  </w:endnote>
  <w:endnote w:id="31">
    <w:p w14:paraId="2B44A55F" w14:textId="20FCA1FB" w:rsidR="00960EE3" w:rsidRPr="001558DF" w:rsidRDefault="00960EE3" w:rsidP="00210F52">
      <w:pPr>
        <w:pStyle w:val="TFReferencesSection"/>
        <w:spacing w:after="0"/>
        <w:ind w:firstLine="0"/>
      </w:pPr>
      <w:r w:rsidRPr="001558DF">
        <w:t>[</w:t>
      </w:r>
      <w:r w:rsidRPr="001558DF">
        <w:endnoteRef/>
      </w:r>
      <w:r w:rsidRPr="001558DF">
        <w:t xml:space="preserve">] J.M. </w:t>
      </w:r>
      <w:proofErr w:type="spellStart"/>
      <w:r w:rsidRPr="001558DF">
        <w:t>Sieben</w:t>
      </w:r>
      <w:proofErr w:type="spellEnd"/>
      <w:r w:rsidRPr="001558DF">
        <w:t xml:space="preserve">, M.M.E. Duarte, Nanostructured Pt and Pt–Sn catalysts supported on oxidized carbon nanotubes for ethanol and ethylene glycol electro-oxidation, Int. J. Hydrogen </w:t>
      </w:r>
      <w:proofErr w:type="spellStart"/>
      <w:r w:rsidRPr="001558DF">
        <w:t>Energ</w:t>
      </w:r>
      <w:proofErr w:type="spellEnd"/>
      <w:r w:rsidRPr="001558DF">
        <w:t xml:space="preserve">. 36 (2001) 3313-3321. </w:t>
      </w:r>
    </w:p>
  </w:endnote>
  <w:endnote w:id="32">
    <w:p w14:paraId="39A9E7DA" w14:textId="57EF1AF9" w:rsidR="00960EE3" w:rsidRPr="001558DF" w:rsidRDefault="00960EE3" w:rsidP="00210F52">
      <w:pPr>
        <w:pStyle w:val="TFReferencesSection"/>
        <w:spacing w:after="0"/>
        <w:ind w:firstLine="0"/>
      </w:pPr>
      <w:proofErr w:type="gramStart"/>
      <w:r w:rsidRPr="001558DF">
        <w:t>[</w:t>
      </w:r>
      <w:r w:rsidRPr="001558DF">
        <w:endnoteRef/>
      </w:r>
      <w:r w:rsidRPr="001558DF">
        <w:t>] G. Li, P.G. Pickup, Decoration of carbon-supported Pt catalysts with Sn to promote electro-oxidation of ethanol, J. Power Sources 173 (2007) 121-129.</w:t>
      </w:r>
      <w:proofErr w:type="gramEnd"/>
    </w:p>
  </w:endnote>
  <w:endnote w:id="33">
    <w:p w14:paraId="463070C9" w14:textId="47F7C9C8" w:rsidR="00960EE3" w:rsidRPr="001558DF" w:rsidRDefault="00960EE3" w:rsidP="00210F52">
      <w:pPr>
        <w:pStyle w:val="TFReferencesSection"/>
        <w:spacing w:after="0"/>
        <w:ind w:firstLine="0"/>
        <w:rPr>
          <w:rStyle w:val="Refdenotaalfinal"/>
          <w:rFonts w:ascii="Times New Roman" w:hAnsi="Times New Roman"/>
          <w:szCs w:val="24"/>
          <w:vertAlign w:val="baseline"/>
        </w:rPr>
      </w:pPr>
      <w:r w:rsidRPr="001558DF">
        <w:rPr>
          <w:rStyle w:val="Refdenotaalfinal"/>
          <w:rFonts w:ascii="Times New Roman" w:hAnsi="Times New Roman"/>
          <w:szCs w:val="24"/>
          <w:vertAlign w:val="baseline"/>
        </w:rPr>
        <w:t>[</w:t>
      </w:r>
      <w:r w:rsidRPr="001558DF">
        <w:rPr>
          <w:rStyle w:val="Refdenotaalfinal"/>
          <w:rFonts w:ascii="Times New Roman" w:hAnsi="Times New Roman"/>
          <w:szCs w:val="24"/>
          <w:vertAlign w:val="baseline"/>
        </w:rPr>
        <w:endnoteRef/>
      </w:r>
      <w:r w:rsidRPr="001558DF">
        <w:rPr>
          <w:rStyle w:val="Refdenotaalfinal"/>
          <w:rFonts w:ascii="Times New Roman" w:hAnsi="Times New Roman"/>
          <w:szCs w:val="24"/>
          <w:vertAlign w:val="baseline"/>
        </w:rPr>
        <w:t xml:space="preserve">] </w:t>
      </w:r>
      <w:r w:rsidRPr="001558DF">
        <w:rPr>
          <w:rStyle w:val="Refdenotaalfinal"/>
          <w:vertAlign w:val="baseline"/>
        </w:rPr>
        <w:t xml:space="preserve">S. </w:t>
      </w:r>
      <w:proofErr w:type="spellStart"/>
      <w:r w:rsidRPr="001558DF">
        <w:rPr>
          <w:rStyle w:val="Refdenotaalfinal"/>
          <w:rFonts w:ascii="Times New Roman" w:hAnsi="Times New Roman"/>
          <w:szCs w:val="24"/>
          <w:vertAlign w:val="baseline"/>
        </w:rPr>
        <w:t>Mukerjee</w:t>
      </w:r>
      <w:proofErr w:type="spellEnd"/>
      <w:r w:rsidRPr="001558DF">
        <w:rPr>
          <w:rStyle w:val="Refdenotaalfinal"/>
          <w:rFonts w:ascii="Times New Roman" w:hAnsi="Times New Roman"/>
          <w:szCs w:val="24"/>
          <w:vertAlign w:val="baseline"/>
        </w:rPr>
        <w:t xml:space="preserve">, </w:t>
      </w:r>
      <w:r w:rsidRPr="001558DF">
        <w:rPr>
          <w:rStyle w:val="Refdenotaalfinal"/>
          <w:vertAlign w:val="baseline"/>
        </w:rPr>
        <w:t>J.</w:t>
      </w:r>
      <w:r w:rsidRPr="001558DF">
        <w:rPr>
          <w:rStyle w:val="Refdenotaalfinal"/>
          <w:rFonts w:ascii="Times New Roman" w:hAnsi="Times New Roman"/>
          <w:szCs w:val="24"/>
          <w:vertAlign w:val="baseline"/>
        </w:rPr>
        <w:t xml:space="preserve"> </w:t>
      </w:r>
      <w:proofErr w:type="spellStart"/>
      <w:r w:rsidRPr="001558DF">
        <w:rPr>
          <w:rStyle w:val="Refdenotaalfinal"/>
          <w:rFonts w:ascii="Times New Roman" w:hAnsi="Times New Roman"/>
          <w:szCs w:val="24"/>
          <w:vertAlign w:val="baseline"/>
        </w:rPr>
        <w:t>Mcbreen</w:t>
      </w:r>
      <w:proofErr w:type="spellEnd"/>
      <w:r w:rsidRPr="001558DF">
        <w:rPr>
          <w:rStyle w:val="Refdenotaalfinal"/>
          <w:rFonts w:ascii="Times New Roman" w:hAnsi="Times New Roman"/>
          <w:szCs w:val="24"/>
          <w:vertAlign w:val="baseline"/>
        </w:rPr>
        <w:t>, An in situ x-ray absorption spectroscopy investigation of the effect of Sn additions to carbon-supported Pt electrocatalysts: Part I</w:t>
      </w:r>
      <w:r w:rsidRPr="001558DF">
        <w:rPr>
          <w:rFonts w:ascii="Times New Roman" w:hAnsi="Times New Roman"/>
          <w:szCs w:val="24"/>
        </w:rPr>
        <w:t xml:space="preserve">, </w:t>
      </w:r>
      <w:r w:rsidRPr="001558DF">
        <w:rPr>
          <w:rStyle w:val="Refdenotaalfinal"/>
          <w:rFonts w:ascii="Times New Roman" w:hAnsi="Times New Roman"/>
          <w:szCs w:val="24"/>
          <w:vertAlign w:val="baseline"/>
        </w:rPr>
        <w:t xml:space="preserve">J. </w:t>
      </w:r>
      <w:proofErr w:type="spellStart"/>
      <w:r w:rsidRPr="001558DF">
        <w:rPr>
          <w:rStyle w:val="Refdenotaalfinal"/>
          <w:rFonts w:ascii="Times New Roman" w:hAnsi="Times New Roman"/>
          <w:szCs w:val="24"/>
          <w:vertAlign w:val="baseline"/>
        </w:rPr>
        <w:t>Electrochem</w:t>
      </w:r>
      <w:proofErr w:type="spellEnd"/>
      <w:r w:rsidRPr="001558DF">
        <w:rPr>
          <w:rStyle w:val="Refdenotaalfinal"/>
          <w:rFonts w:ascii="Times New Roman" w:hAnsi="Times New Roman"/>
          <w:szCs w:val="24"/>
          <w:vertAlign w:val="baseline"/>
        </w:rPr>
        <w:t>. Soc.</w:t>
      </w:r>
      <w:r w:rsidRPr="001558DF">
        <w:rPr>
          <w:rStyle w:val="Refdenotaalfinal"/>
          <w:vertAlign w:val="baseline"/>
        </w:rPr>
        <w:t xml:space="preserve"> 146</w:t>
      </w:r>
      <w:r w:rsidRPr="001558DF">
        <w:rPr>
          <w:rStyle w:val="Refdenotaalfinal"/>
          <w:rFonts w:ascii="Times New Roman" w:hAnsi="Times New Roman"/>
          <w:szCs w:val="24"/>
          <w:vertAlign w:val="baseline"/>
        </w:rPr>
        <w:t xml:space="preserve"> (1999) 600-606.</w:t>
      </w:r>
    </w:p>
  </w:endnote>
  <w:endnote w:id="34">
    <w:p w14:paraId="4B6399A6" w14:textId="65EFC80E" w:rsidR="00960EE3" w:rsidRPr="001558DF" w:rsidRDefault="00960EE3" w:rsidP="00210F52">
      <w:pPr>
        <w:pStyle w:val="TFReferencesSection"/>
        <w:spacing w:after="0"/>
        <w:ind w:firstLine="0"/>
        <w:rPr>
          <w:rStyle w:val="Refdenotaalfinal"/>
          <w:vertAlign w:val="baseline"/>
        </w:rPr>
      </w:pPr>
      <w:r w:rsidRPr="001558DF">
        <w:rPr>
          <w:rStyle w:val="Refdenotaalfinal"/>
          <w:vertAlign w:val="baseline"/>
        </w:rPr>
        <w:t>[</w:t>
      </w:r>
      <w:r w:rsidRPr="001558DF">
        <w:rPr>
          <w:rStyle w:val="Refdenotaalfinal"/>
          <w:rFonts w:ascii="Times New Roman" w:hAnsi="Times New Roman"/>
          <w:szCs w:val="24"/>
          <w:vertAlign w:val="baseline"/>
        </w:rPr>
        <w:endnoteRef/>
      </w:r>
      <w:r w:rsidRPr="001558DF">
        <w:rPr>
          <w:rStyle w:val="Refdenotaalfinal"/>
          <w:vertAlign w:val="baseline"/>
        </w:rPr>
        <w:t xml:space="preserve">] S.C. </w:t>
      </w:r>
      <w:proofErr w:type="spellStart"/>
      <w:r w:rsidRPr="001558DF">
        <w:rPr>
          <w:rStyle w:val="Refdenotaalfinal"/>
          <w:vertAlign w:val="baseline"/>
        </w:rPr>
        <w:t>Zignani</w:t>
      </w:r>
      <w:proofErr w:type="spellEnd"/>
      <w:r w:rsidRPr="001558DF">
        <w:rPr>
          <w:rStyle w:val="Refdenotaalfinal"/>
          <w:vertAlign w:val="baseline"/>
        </w:rPr>
        <w:t xml:space="preserve">, E.R. Gonzalez, V. </w:t>
      </w:r>
      <w:proofErr w:type="spellStart"/>
      <w:r w:rsidRPr="001558DF">
        <w:rPr>
          <w:rStyle w:val="Refdenotaalfinal"/>
          <w:vertAlign w:val="baseline"/>
        </w:rPr>
        <w:t>Baglio</w:t>
      </w:r>
      <w:proofErr w:type="spellEnd"/>
      <w:r w:rsidRPr="001558DF">
        <w:rPr>
          <w:rStyle w:val="Refdenotaalfinal"/>
          <w:vertAlign w:val="baseline"/>
        </w:rPr>
        <w:t xml:space="preserve">, S. </w:t>
      </w:r>
      <w:proofErr w:type="spellStart"/>
      <w:r w:rsidRPr="001558DF">
        <w:rPr>
          <w:rStyle w:val="Refdenotaalfinal"/>
          <w:vertAlign w:val="baseline"/>
        </w:rPr>
        <w:t>Siracusano</w:t>
      </w:r>
      <w:proofErr w:type="spellEnd"/>
      <w:r w:rsidRPr="001558DF">
        <w:rPr>
          <w:rStyle w:val="Refdenotaalfinal"/>
          <w:vertAlign w:val="baseline"/>
        </w:rPr>
        <w:t xml:space="preserve">, A.S </w:t>
      </w:r>
      <w:proofErr w:type="spellStart"/>
      <w:r w:rsidRPr="001558DF">
        <w:rPr>
          <w:rStyle w:val="Refdenotaalfinal"/>
          <w:vertAlign w:val="baseline"/>
        </w:rPr>
        <w:t>Aricò</w:t>
      </w:r>
      <w:proofErr w:type="spellEnd"/>
      <w:r w:rsidRPr="001558DF">
        <w:rPr>
          <w:rStyle w:val="Refdenotaalfinal"/>
          <w:vertAlign w:val="baseline"/>
        </w:rPr>
        <w:t xml:space="preserve">, </w:t>
      </w:r>
      <w:hyperlink r:id="rId14" w:history="1">
        <w:r w:rsidRPr="001558DF">
          <w:rPr>
            <w:rStyle w:val="Refdenotaalfinal"/>
            <w:rFonts w:ascii="Times New Roman" w:hAnsi="Times New Roman"/>
            <w:szCs w:val="24"/>
            <w:vertAlign w:val="baseline"/>
          </w:rPr>
          <w:t>Investigation of a Pt</w:t>
        </w:r>
        <w:r w:rsidRPr="001558DF">
          <w:rPr>
            <w:rStyle w:val="Refdenotaalfinal"/>
            <w:rFonts w:ascii="Times New Roman" w:hAnsi="Times New Roman"/>
            <w:szCs w:val="24"/>
            <w:vertAlign w:val="subscript"/>
          </w:rPr>
          <w:t>3</w:t>
        </w:r>
        <w:r w:rsidRPr="001558DF">
          <w:rPr>
            <w:rStyle w:val="Refdenotaalfinal"/>
            <w:rFonts w:ascii="Times New Roman" w:hAnsi="Times New Roman"/>
            <w:szCs w:val="24"/>
            <w:vertAlign w:val="baseline"/>
          </w:rPr>
          <w:t>Sn/C electro-catalyst in a direct ethanol fuel cell operating at low temperatures for portable applications</w:t>
        </w:r>
      </w:hyperlink>
      <w:r w:rsidRPr="001558DF">
        <w:rPr>
          <w:rStyle w:val="Refdenotaalfinal"/>
          <w:rFonts w:ascii="Times New Roman" w:hAnsi="Times New Roman"/>
          <w:szCs w:val="24"/>
          <w:vertAlign w:val="baseline"/>
        </w:rPr>
        <w:t xml:space="preserve">, </w:t>
      </w:r>
      <w:r w:rsidRPr="001558DF">
        <w:rPr>
          <w:rStyle w:val="Refdenotaalfinal"/>
          <w:vertAlign w:val="baseline"/>
        </w:rPr>
        <w:t xml:space="preserve">Int. J. </w:t>
      </w:r>
      <w:proofErr w:type="spellStart"/>
      <w:r w:rsidRPr="001558DF">
        <w:rPr>
          <w:rStyle w:val="Refdenotaalfinal"/>
          <w:vertAlign w:val="baseline"/>
        </w:rPr>
        <w:t>Electrochem</w:t>
      </w:r>
      <w:proofErr w:type="spellEnd"/>
      <w:r w:rsidRPr="001558DF">
        <w:rPr>
          <w:rStyle w:val="Refdenotaalfinal"/>
          <w:vertAlign w:val="baseline"/>
        </w:rPr>
        <w:t>. Sci. 7 (2012) 3155 – 3166.</w:t>
      </w:r>
    </w:p>
  </w:endnote>
  <w:endnote w:id="35">
    <w:p w14:paraId="470A4BD9" w14:textId="28C45BF8" w:rsidR="00960EE3" w:rsidRPr="001558DF" w:rsidRDefault="00960EE3" w:rsidP="00210F52">
      <w:pPr>
        <w:pStyle w:val="TFReferencesSection"/>
        <w:spacing w:after="0"/>
        <w:ind w:firstLine="0"/>
        <w:rPr>
          <w:rStyle w:val="Refdenotaalfinal"/>
          <w:vertAlign w:val="baseline"/>
        </w:rPr>
      </w:pPr>
      <w:r w:rsidRPr="001558DF">
        <w:rPr>
          <w:rStyle w:val="Refdenotaalfinal"/>
          <w:vertAlign w:val="baseline"/>
        </w:rPr>
        <w:t>[</w:t>
      </w:r>
      <w:r w:rsidRPr="001558DF">
        <w:rPr>
          <w:rStyle w:val="Refdenotaalfinal"/>
          <w:vertAlign w:val="baseline"/>
        </w:rPr>
        <w:endnoteRef/>
      </w:r>
      <w:r w:rsidRPr="001558DF">
        <w:rPr>
          <w:rStyle w:val="Refdenotaalfinal"/>
          <w:vertAlign w:val="baseline"/>
        </w:rPr>
        <w:t xml:space="preserve">] T.S. Almeida, K.B. </w:t>
      </w:r>
      <w:proofErr w:type="spellStart"/>
      <w:r w:rsidRPr="001558DF">
        <w:rPr>
          <w:rStyle w:val="Refdenotaalfinal"/>
          <w:vertAlign w:val="baseline"/>
        </w:rPr>
        <w:t>Kokoh</w:t>
      </w:r>
      <w:proofErr w:type="spellEnd"/>
      <w:r w:rsidRPr="001558DF">
        <w:rPr>
          <w:rStyle w:val="Refdenotaalfinal"/>
          <w:vertAlign w:val="baseline"/>
        </w:rPr>
        <w:t xml:space="preserve">, A.R. De Andrade, Effect of Ni on Pt/C and </w:t>
      </w:r>
      <w:proofErr w:type="spellStart"/>
      <w:r w:rsidRPr="001558DF">
        <w:rPr>
          <w:rStyle w:val="Refdenotaalfinal"/>
          <w:vertAlign w:val="baseline"/>
        </w:rPr>
        <w:t>PtSn</w:t>
      </w:r>
      <w:proofErr w:type="spellEnd"/>
      <w:r w:rsidRPr="001558DF">
        <w:rPr>
          <w:rStyle w:val="Refdenotaalfinal"/>
          <w:vertAlign w:val="baseline"/>
        </w:rPr>
        <w:t xml:space="preserve">/C prepared by the </w:t>
      </w:r>
      <w:proofErr w:type="spellStart"/>
      <w:r w:rsidRPr="001558DF">
        <w:rPr>
          <w:rStyle w:val="Refdenotaalfinal"/>
          <w:vertAlign w:val="baseline"/>
        </w:rPr>
        <w:t>Pechini</w:t>
      </w:r>
      <w:proofErr w:type="spellEnd"/>
      <w:r w:rsidRPr="001558DF">
        <w:rPr>
          <w:rStyle w:val="Refdenotaalfinal"/>
          <w:vertAlign w:val="baseline"/>
        </w:rPr>
        <w:t xml:space="preserve"> method</w:t>
      </w:r>
      <w:r w:rsidRPr="001558DF">
        <w:t xml:space="preserve">, </w:t>
      </w:r>
      <w:r w:rsidRPr="001558DF">
        <w:rPr>
          <w:rStyle w:val="Refdenotaalfinal"/>
          <w:vertAlign w:val="baseline"/>
        </w:rPr>
        <w:t xml:space="preserve">Inter. J. Hydrogen </w:t>
      </w:r>
      <w:proofErr w:type="spellStart"/>
      <w:r w:rsidRPr="001558DF">
        <w:rPr>
          <w:rStyle w:val="Refdenotaalfinal"/>
          <w:vertAlign w:val="baseline"/>
        </w:rPr>
        <w:t>Energ</w:t>
      </w:r>
      <w:proofErr w:type="spellEnd"/>
      <w:r w:rsidRPr="001558DF">
        <w:rPr>
          <w:rStyle w:val="Refdenotaalfinal"/>
          <w:vertAlign w:val="baseline"/>
        </w:rPr>
        <w:t>. 36 (2011) 3803-3810.</w:t>
      </w:r>
    </w:p>
  </w:endnote>
  <w:endnote w:id="36">
    <w:p w14:paraId="710C95CD" w14:textId="356DE672" w:rsidR="00960EE3" w:rsidRPr="001558DF" w:rsidRDefault="00960EE3" w:rsidP="00210F52">
      <w:pPr>
        <w:pStyle w:val="TFReferencesSection"/>
        <w:spacing w:after="0"/>
        <w:ind w:firstLine="0"/>
        <w:rPr>
          <w:rFonts w:ascii="Times New Roman" w:hAnsi="Times New Roman"/>
          <w:szCs w:val="24"/>
        </w:rPr>
      </w:pPr>
      <w:r w:rsidRPr="001558DF">
        <w:rPr>
          <w:rFonts w:ascii="Times New Roman" w:hAnsi="Times New Roman"/>
          <w:szCs w:val="24"/>
        </w:rPr>
        <w:t>[</w:t>
      </w:r>
      <w:r w:rsidRPr="001558DF">
        <w:rPr>
          <w:rStyle w:val="Refdenotaalfinal"/>
          <w:rFonts w:ascii="Times New Roman" w:hAnsi="Times New Roman"/>
          <w:szCs w:val="24"/>
          <w:vertAlign w:val="baseline"/>
        </w:rPr>
        <w:endnoteRef/>
      </w:r>
      <w:r w:rsidRPr="001558DF">
        <w:rPr>
          <w:rFonts w:ascii="Times New Roman" w:hAnsi="Times New Roman"/>
          <w:szCs w:val="24"/>
        </w:rPr>
        <w:t xml:space="preserve">] J.M.S. </w:t>
      </w:r>
      <w:proofErr w:type="spellStart"/>
      <w:r w:rsidRPr="001558DF">
        <w:rPr>
          <w:rFonts w:ascii="Times New Roman" w:hAnsi="Times New Roman"/>
          <w:szCs w:val="24"/>
        </w:rPr>
        <w:t>Ayoub</w:t>
      </w:r>
      <w:proofErr w:type="spellEnd"/>
      <w:r w:rsidRPr="001558DF">
        <w:rPr>
          <w:rFonts w:ascii="Times New Roman" w:hAnsi="Times New Roman"/>
          <w:szCs w:val="24"/>
        </w:rPr>
        <w:t xml:space="preserve">, R.F.B. De Souza, J.C.M. Silva, R.M. </w:t>
      </w:r>
      <w:proofErr w:type="spellStart"/>
      <w:r w:rsidRPr="001558DF">
        <w:rPr>
          <w:rFonts w:ascii="Times New Roman" w:hAnsi="Times New Roman"/>
          <w:szCs w:val="24"/>
        </w:rPr>
        <w:t>Piasentin</w:t>
      </w:r>
      <w:proofErr w:type="spellEnd"/>
      <w:r w:rsidRPr="001558DF">
        <w:rPr>
          <w:rFonts w:ascii="Times New Roman" w:hAnsi="Times New Roman"/>
          <w:szCs w:val="24"/>
        </w:rPr>
        <w:t xml:space="preserve">, E.V. </w:t>
      </w:r>
      <w:proofErr w:type="spellStart"/>
      <w:r w:rsidRPr="001558DF">
        <w:rPr>
          <w:rFonts w:ascii="Times New Roman" w:hAnsi="Times New Roman"/>
          <w:szCs w:val="24"/>
        </w:rPr>
        <w:t>Spinacé</w:t>
      </w:r>
      <w:proofErr w:type="spellEnd"/>
      <w:r w:rsidRPr="001558DF">
        <w:rPr>
          <w:rFonts w:ascii="Times New Roman" w:hAnsi="Times New Roman"/>
          <w:szCs w:val="24"/>
        </w:rPr>
        <w:t xml:space="preserve">, M.C. Santos, A.O. </w:t>
      </w:r>
      <w:proofErr w:type="spellStart"/>
      <w:r w:rsidRPr="001558DF">
        <w:rPr>
          <w:rFonts w:ascii="Times New Roman" w:hAnsi="Times New Roman"/>
          <w:szCs w:val="24"/>
        </w:rPr>
        <w:t>Neto</w:t>
      </w:r>
      <w:proofErr w:type="spellEnd"/>
      <w:r w:rsidRPr="001558DF">
        <w:rPr>
          <w:rFonts w:ascii="Times New Roman" w:hAnsi="Times New Roman"/>
          <w:szCs w:val="24"/>
        </w:rPr>
        <w:t xml:space="preserve">, </w:t>
      </w:r>
      <w:r w:rsidRPr="001558DF">
        <w:t xml:space="preserve">Ethanol electro-oxidation on </w:t>
      </w:r>
      <w:proofErr w:type="spellStart"/>
      <w:r w:rsidRPr="001558DF">
        <w:t>PtSn</w:t>
      </w:r>
      <w:proofErr w:type="spellEnd"/>
      <w:r w:rsidRPr="001558DF">
        <w:t xml:space="preserve">/C-ATO electrocatalysts, </w:t>
      </w:r>
      <w:r w:rsidRPr="001558DF">
        <w:rPr>
          <w:rFonts w:ascii="Times New Roman" w:hAnsi="Times New Roman"/>
          <w:szCs w:val="24"/>
        </w:rPr>
        <w:t xml:space="preserve">Int. J. </w:t>
      </w:r>
      <w:proofErr w:type="spellStart"/>
      <w:r w:rsidRPr="001558DF">
        <w:rPr>
          <w:rFonts w:ascii="Times New Roman" w:hAnsi="Times New Roman"/>
          <w:szCs w:val="24"/>
        </w:rPr>
        <w:t>Electrochem</w:t>
      </w:r>
      <w:proofErr w:type="spellEnd"/>
      <w:r w:rsidRPr="001558DF">
        <w:rPr>
          <w:rFonts w:ascii="Times New Roman" w:hAnsi="Times New Roman"/>
          <w:szCs w:val="24"/>
        </w:rPr>
        <w:t>. Sci. 7 (2012) 11351 – 11362.</w:t>
      </w:r>
    </w:p>
  </w:endnote>
  <w:endnote w:id="37">
    <w:p w14:paraId="0ADBCEBD" w14:textId="7BCB8700" w:rsidR="00960EE3" w:rsidRPr="001558DF" w:rsidRDefault="00960EE3" w:rsidP="00D13290">
      <w:pPr>
        <w:pStyle w:val="TFReferencesSection"/>
        <w:spacing w:after="0"/>
        <w:ind w:firstLine="0"/>
        <w:rPr>
          <w:rFonts w:ascii="Times New Roman" w:hAnsi="Times New Roman"/>
          <w:szCs w:val="24"/>
        </w:rPr>
      </w:pPr>
      <w:r w:rsidRPr="001558DF">
        <w:rPr>
          <w:rFonts w:ascii="Times New Roman" w:hAnsi="Times New Roman"/>
          <w:szCs w:val="24"/>
        </w:rPr>
        <w:t>[</w:t>
      </w:r>
      <w:r w:rsidRPr="001558DF">
        <w:endnoteRef/>
      </w:r>
      <w:r w:rsidRPr="001558DF">
        <w:rPr>
          <w:rFonts w:ascii="Times New Roman" w:hAnsi="Times New Roman"/>
          <w:szCs w:val="24"/>
        </w:rPr>
        <w:t xml:space="preserve">] V. Del Colle, J. Souza-Garcia, G. </w:t>
      </w:r>
      <w:proofErr w:type="spellStart"/>
      <w:r w:rsidRPr="001558DF">
        <w:rPr>
          <w:rFonts w:ascii="Times New Roman" w:hAnsi="Times New Roman"/>
          <w:szCs w:val="24"/>
        </w:rPr>
        <w:t>Tremiliosi-Filho</w:t>
      </w:r>
      <w:proofErr w:type="spellEnd"/>
      <w:r w:rsidRPr="001558DF">
        <w:rPr>
          <w:rFonts w:ascii="Times New Roman" w:hAnsi="Times New Roman"/>
          <w:szCs w:val="24"/>
        </w:rPr>
        <w:t xml:space="preserve">, E. Herrero, J.M. </w:t>
      </w:r>
      <w:proofErr w:type="spellStart"/>
      <w:r w:rsidRPr="001558DF">
        <w:rPr>
          <w:rFonts w:ascii="Times New Roman" w:hAnsi="Times New Roman"/>
          <w:szCs w:val="24"/>
        </w:rPr>
        <w:t>Feliu</w:t>
      </w:r>
      <w:proofErr w:type="spellEnd"/>
      <w:r w:rsidRPr="001558DF">
        <w:rPr>
          <w:rFonts w:ascii="Times New Roman" w:hAnsi="Times New Roman"/>
          <w:szCs w:val="24"/>
        </w:rPr>
        <w:t>, Electrochemical and spectroscopic studies of </w:t>
      </w:r>
      <w:proofErr w:type="spellStart"/>
      <w:r w:rsidRPr="001558DF">
        <w:rPr>
          <w:rFonts w:ascii="Times New Roman" w:hAnsi="Times New Roman"/>
          <w:szCs w:val="24"/>
        </w:rPr>
        <w:t>ethanoloxidation</w:t>
      </w:r>
      <w:proofErr w:type="spellEnd"/>
      <w:r w:rsidRPr="001558DF">
        <w:rPr>
          <w:rFonts w:ascii="Times New Roman" w:hAnsi="Times New Roman"/>
          <w:szCs w:val="24"/>
        </w:rPr>
        <w:t xml:space="preserve"> on Pt stepped surfaces modified by tin </w:t>
      </w:r>
      <w:proofErr w:type="spellStart"/>
      <w:r w:rsidRPr="001558DF">
        <w:rPr>
          <w:rFonts w:ascii="Times New Roman" w:hAnsi="Times New Roman"/>
          <w:szCs w:val="24"/>
        </w:rPr>
        <w:t>adatoms</w:t>
      </w:r>
      <w:proofErr w:type="spellEnd"/>
      <w:r w:rsidRPr="001558DF">
        <w:rPr>
          <w:rFonts w:ascii="Times New Roman" w:hAnsi="Times New Roman"/>
          <w:szCs w:val="24"/>
        </w:rPr>
        <w:t>, Phys. Chem. Chem. Phys. 13 (2011) 12163-12172.</w:t>
      </w:r>
    </w:p>
  </w:endnote>
  <w:endnote w:id="38">
    <w:p w14:paraId="2D96E67A" w14:textId="7D43B032" w:rsidR="00960EE3" w:rsidRPr="001558DF" w:rsidRDefault="00960EE3" w:rsidP="00210F52">
      <w:pPr>
        <w:pStyle w:val="TFReferencesSection"/>
        <w:spacing w:after="0"/>
        <w:ind w:firstLine="0"/>
        <w:rPr>
          <w:rFonts w:ascii="Times New Roman" w:hAnsi="Times New Roman"/>
          <w:szCs w:val="24"/>
        </w:rPr>
      </w:pPr>
      <w:proofErr w:type="gramStart"/>
      <w:r w:rsidRPr="001558DF">
        <w:rPr>
          <w:rFonts w:ascii="Times New Roman" w:hAnsi="Times New Roman"/>
          <w:szCs w:val="24"/>
        </w:rPr>
        <w:t>[</w:t>
      </w:r>
      <w:r w:rsidRPr="001558DF">
        <w:endnoteRef/>
      </w:r>
      <w:r w:rsidRPr="001558DF">
        <w:rPr>
          <w:rFonts w:ascii="Times New Roman" w:hAnsi="Times New Roman"/>
          <w:szCs w:val="24"/>
        </w:rPr>
        <w:t xml:space="preserve">] F.C. </w:t>
      </w:r>
      <w:proofErr w:type="spellStart"/>
      <w:r w:rsidRPr="001558DF">
        <w:rPr>
          <w:rFonts w:ascii="Times New Roman" w:hAnsi="Times New Roman"/>
          <w:szCs w:val="24"/>
        </w:rPr>
        <w:t>Simoes</w:t>
      </w:r>
      <w:proofErr w:type="spellEnd"/>
      <w:r w:rsidRPr="001558DF">
        <w:rPr>
          <w:rFonts w:ascii="Times New Roman" w:hAnsi="Times New Roman"/>
          <w:szCs w:val="24"/>
        </w:rPr>
        <w:t xml:space="preserve">, D.M. dos </w:t>
      </w:r>
      <w:proofErr w:type="spellStart"/>
      <w:r w:rsidRPr="001558DF">
        <w:rPr>
          <w:rFonts w:ascii="Times New Roman" w:hAnsi="Times New Roman"/>
          <w:szCs w:val="24"/>
        </w:rPr>
        <w:t>Anjos</w:t>
      </w:r>
      <w:proofErr w:type="spellEnd"/>
      <w:r w:rsidRPr="001558DF">
        <w:rPr>
          <w:rFonts w:ascii="Times New Roman" w:hAnsi="Times New Roman"/>
          <w:szCs w:val="24"/>
        </w:rPr>
        <w:t xml:space="preserve">, F. </w:t>
      </w:r>
      <w:proofErr w:type="spellStart"/>
      <w:r w:rsidRPr="001558DF">
        <w:rPr>
          <w:rFonts w:ascii="Times New Roman" w:hAnsi="Times New Roman"/>
          <w:szCs w:val="24"/>
        </w:rPr>
        <w:t>Vigier</w:t>
      </w:r>
      <w:proofErr w:type="spellEnd"/>
      <w:r w:rsidRPr="001558DF">
        <w:rPr>
          <w:rFonts w:ascii="Times New Roman" w:hAnsi="Times New Roman"/>
          <w:szCs w:val="24"/>
        </w:rPr>
        <w:t>, J.-M.</w:t>
      </w:r>
      <w:proofErr w:type="gramEnd"/>
      <w:r w:rsidRPr="001558DF">
        <w:rPr>
          <w:rFonts w:ascii="Times New Roman" w:hAnsi="Times New Roman"/>
          <w:szCs w:val="24"/>
        </w:rPr>
        <w:t xml:space="preserve"> Léger, F. Hahn, C. </w:t>
      </w:r>
      <w:proofErr w:type="spellStart"/>
      <w:r w:rsidRPr="001558DF">
        <w:rPr>
          <w:rFonts w:ascii="Times New Roman" w:hAnsi="Times New Roman"/>
          <w:szCs w:val="24"/>
        </w:rPr>
        <w:t>Coutanceau</w:t>
      </w:r>
      <w:proofErr w:type="spellEnd"/>
      <w:r w:rsidRPr="001558DF">
        <w:rPr>
          <w:rFonts w:ascii="Times New Roman" w:hAnsi="Times New Roman"/>
          <w:szCs w:val="24"/>
        </w:rPr>
        <w:t xml:space="preserve">, E.R. Gonzalez, G. </w:t>
      </w:r>
      <w:proofErr w:type="spellStart"/>
      <w:r w:rsidRPr="001558DF">
        <w:rPr>
          <w:rFonts w:ascii="Times New Roman" w:hAnsi="Times New Roman"/>
          <w:szCs w:val="24"/>
        </w:rPr>
        <w:t>Tremiliosi-Filho</w:t>
      </w:r>
      <w:proofErr w:type="spellEnd"/>
      <w:r w:rsidRPr="001558DF">
        <w:rPr>
          <w:rFonts w:ascii="Times New Roman" w:hAnsi="Times New Roman"/>
          <w:szCs w:val="24"/>
        </w:rPr>
        <w:t xml:space="preserve">, A.R. de Andrade, P. </w:t>
      </w:r>
      <w:proofErr w:type="spellStart"/>
      <w:r w:rsidRPr="001558DF">
        <w:rPr>
          <w:rFonts w:ascii="Times New Roman" w:hAnsi="Times New Roman"/>
          <w:szCs w:val="24"/>
        </w:rPr>
        <w:t>Olivi</w:t>
      </w:r>
      <w:proofErr w:type="spellEnd"/>
      <w:r w:rsidRPr="001558DF">
        <w:rPr>
          <w:rFonts w:ascii="Times New Roman" w:hAnsi="Times New Roman"/>
          <w:szCs w:val="24"/>
        </w:rPr>
        <w:t xml:space="preserve">, K.B. </w:t>
      </w:r>
      <w:proofErr w:type="spellStart"/>
      <w:r w:rsidRPr="001558DF">
        <w:rPr>
          <w:rFonts w:ascii="Times New Roman" w:hAnsi="Times New Roman"/>
          <w:szCs w:val="24"/>
        </w:rPr>
        <w:t>Kokoh</w:t>
      </w:r>
      <w:proofErr w:type="spellEnd"/>
      <w:r w:rsidRPr="001558DF">
        <w:rPr>
          <w:rFonts w:ascii="Times New Roman" w:hAnsi="Times New Roman"/>
          <w:szCs w:val="24"/>
        </w:rPr>
        <w:t xml:space="preserve">, </w:t>
      </w:r>
      <w:proofErr w:type="spellStart"/>
      <w:r w:rsidRPr="001558DF">
        <w:rPr>
          <w:rFonts w:ascii="Times New Roman" w:hAnsi="Times New Roman"/>
          <w:szCs w:val="24"/>
        </w:rPr>
        <w:t>Electroactivity</w:t>
      </w:r>
      <w:proofErr w:type="spellEnd"/>
      <w:r w:rsidRPr="001558DF">
        <w:rPr>
          <w:rFonts w:ascii="Times New Roman" w:hAnsi="Times New Roman"/>
          <w:szCs w:val="24"/>
        </w:rPr>
        <w:t xml:space="preserve"> of tin modified platinum electrodes for ethanol </w:t>
      </w:r>
      <w:proofErr w:type="spellStart"/>
      <w:r w:rsidRPr="001558DF">
        <w:rPr>
          <w:rFonts w:ascii="Times New Roman" w:hAnsi="Times New Roman"/>
          <w:szCs w:val="24"/>
        </w:rPr>
        <w:t>electrooxidation</w:t>
      </w:r>
      <w:proofErr w:type="spellEnd"/>
      <w:r w:rsidRPr="001558DF">
        <w:rPr>
          <w:rFonts w:ascii="Times New Roman" w:hAnsi="Times New Roman"/>
          <w:szCs w:val="24"/>
        </w:rPr>
        <w:t>, J. Power Sources 167 (2007) 1-10.</w:t>
      </w:r>
    </w:p>
  </w:endnote>
  <w:endnote w:id="39">
    <w:p w14:paraId="1114AA8B" w14:textId="0AB1115A" w:rsidR="00960EE3" w:rsidRPr="001558DF" w:rsidRDefault="00960EE3" w:rsidP="00210F52">
      <w:pPr>
        <w:pStyle w:val="TFReferencesSection"/>
        <w:spacing w:after="0"/>
        <w:ind w:firstLine="0"/>
        <w:rPr>
          <w:rFonts w:ascii="Times New Roman" w:hAnsi="Times New Roman"/>
          <w:szCs w:val="24"/>
        </w:rPr>
      </w:pPr>
      <w:r w:rsidRPr="001558DF">
        <w:rPr>
          <w:rFonts w:ascii="Times New Roman" w:hAnsi="Times New Roman"/>
          <w:szCs w:val="24"/>
        </w:rPr>
        <w:t>[</w:t>
      </w:r>
      <w:r w:rsidRPr="001558DF">
        <w:endnoteRef/>
      </w:r>
      <w:r w:rsidRPr="001558DF">
        <w:rPr>
          <w:rFonts w:ascii="Times New Roman" w:hAnsi="Times New Roman"/>
          <w:szCs w:val="24"/>
        </w:rPr>
        <w:t xml:space="preserve">] R.F.B. De Souza, L.S. </w:t>
      </w:r>
      <w:proofErr w:type="spellStart"/>
      <w:r w:rsidRPr="001558DF">
        <w:rPr>
          <w:rFonts w:ascii="Times New Roman" w:hAnsi="Times New Roman"/>
          <w:szCs w:val="24"/>
        </w:rPr>
        <w:t>Parreira</w:t>
      </w:r>
      <w:proofErr w:type="spellEnd"/>
      <w:r w:rsidRPr="001558DF">
        <w:rPr>
          <w:rFonts w:ascii="Times New Roman" w:hAnsi="Times New Roman"/>
          <w:szCs w:val="24"/>
        </w:rPr>
        <w:t xml:space="preserve">, J.C.M. Silva, F.C. </w:t>
      </w:r>
      <w:proofErr w:type="spellStart"/>
      <w:r w:rsidRPr="001558DF">
        <w:rPr>
          <w:rFonts w:ascii="Times New Roman" w:hAnsi="Times New Roman"/>
          <w:szCs w:val="24"/>
        </w:rPr>
        <w:t>Simoes</w:t>
      </w:r>
      <w:proofErr w:type="spellEnd"/>
      <w:r w:rsidRPr="001558DF">
        <w:rPr>
          <w:rFonts w:ascii="Times New Roman" w:hAnsi="Times New Roman"/>
          <w:szCs w:val="24"/>
        </w:rPr>
        <w:t xml:space="preserve">, M.L. </w:t>
      </w:r>
      <w:proofErr w:type="spellStart"/>
      <w:r w:rsidRPr="001558DF">
        <w:rPr>
          <w:rFonts w:ascii="Times New Roman" w:hAnsi="Times New Roman"/>
          <w:szCs w:val="24"/>
        </w:rPr>
        <w:t>Calegaro</w:t>
      </w:r>
      <w:proofErr w:type="spellEnd"/>
      <w:r w:rsidRPr="001558DF">
        <w:rPr>
          <w:rFonts w:ascii="Times New Roman" w:hAnsi="Times New Roman"/>
          <w:szCs w:val="24"/>
        </w:rPr>
        <w:t xml:space="preserve">, M.J. </w:t>
      </w:r>
      <w:proofErr w:type="spellStart"/>
      <w:r w:rsidRPr="001558DF">
        <w:rPr>
          <w:rFonts w:ascii="Times New Roman" w:hAnsi="Times New Roman"/>
          <w:szCs w:val="24"/>
        </w:rPr>
        <w:t>Giz</w:t>
      </w:r>
      <w:proofErr w:type="spellEnd"/>
      <w:r w:rsidRPr="001558DF">
        <w:rPr>
          <w:rFonts w:ascii="Times New Roman" w:hAnsi="Times New Roman"/>
          <w:szCs w:val="24"/>
        </w:rPr>
        <w:t xml:space="preserve">, C.A. </w:t>
      </w:r>
      <w:proofErr w:type="spellStart"/>
      <w:r w:rsidRPr="001558DF">
        <w:rPr>
          <w:rFonts w:ascii="Times New Roman" w:hAnsi="Times New Roman"/>
          <w:szCs w:val="24"/>
        </w:rPr>
        <w:t>Camara</w:t>
      </w:r>
      <w:proofErr w:type="spellEnd"/>
      <w:r w:rsidRPr="001558DF">
        <w:rPr>
          <w:rFonts w:ascii="Times New Roman" w:hAnsi="Times New Roman"/>
          <w:szCs w:val="24"/>
        </w:rPr>
        <w:t xml:space="preserve">, A.O. </w:t>
      </w:r>
      <w:proofErr w:type="spellStart"/>
      <w:r w:rsidRPr="001558DF">
        <w:rPr>
          <w:rFonts w:ascii="Times New Roman" w:hAnsi="Times New Roman"/>
          <w:szCs w:val="24"/>
        </w:rPr>
        <w:t>Neto</w:t>
      </w:r>
      <w:proofErr w:type="spellEnd"/>
      <w:r w:rsidRPr="001558DF">
        <w:rPr>
          <w:rFonts w:ascii="Times New Roman" w:hAnsi="Times New Roman"/>
          <w:szCs w:val="24"/>
        </w:rPr>
        <w:t xml:space="preserve">, M.C. Santos, </w:t>
      </w:r>
      <w:proofErr w:type="spellStart"/>
      <w:r w:rsidRPr="001558DF">
        <w:rPr>
          <w:rFonts w:ascii="Times New Roman" w:hAnsi="Times New Roman"/>
          <w:szCs w:val="24"/>
        </w:rPr>
        <w:t>PtSnCe</w:t>
      </w:r>
      <w:proofErr w:type="spellEnd"/>
      <w:r w:rsidRPr="001558DF">
        <w:rPr>
          <w:rFonts w:ascii="Times New Roman" w:hAnsi="Times New Roman"/>
          <w:szCs w:val="24"/>
        </w:rPr>
        <w:t>/C electrocatalysts for ethanol oxidation: DEFC and FTIR “</w:t>
      </w:r>
      <w:r w:rsidRPr="001558DF">
        <w:rPr>
          <w:rFonts w:ascii="Times New Roman" w:hAnsi="Times New Roman"/>
          <w:i/>
          <w:iCs/>
          <w:szCs w:val="24"/>
        </w:rPr>
        <w:t>in-situ</w:t>
      </w:r>
      <w:r w:rsidRPr="001558DF">
        <w:rPr>
          <w:rFonts w:ascii="Times New Roman" w:hAnsi="Times New Roman"/>
          <w:szCs w:val="24"/>
        </w:rPr>
        <w:t xml:space="preserve">” studies, Int. J. Hydrogen </w:t>
      </w:r>
      <w:proofErr w:type="spellStart"/>
      <w:r w:rsidRPr="001558DF">
        <w:rPr>
          <w:rFonts w:ascii="Times New Roman" w:hAnsi="Times New Roman"/>
          <w:szCs w:val="24"/>
        </w:rPr>
        <w:t>Energ</w:t>
      </w:r>
      <w:proofErr w:type="spellEnd"/>
      <w:r w:rsidRPr="001558DF">
        <w:rPr>
          <w:rFonts w:ascii="Times New Roman" w:hAnsi="Times New Roman"/>
          <w:szCs w:val="24"/>
        </w:rPr>
        <w:t>. 36 (2011) 11519-11527.</w:t>
      </w:r>
    </w:p>
  </w:endnote>
  <w:endnote w:id="40">
    <w:p w14:paraId="60DF5044" w14:textId="263EEE43" w:rsidR="00960EE3" w:rsidRPr="001558DF" w:rsidRDefault="00960EE3" w:rsidP="00210F52">
      <w:pPr>
        <w:pStyle w:val="TFReferencesSection"/>
        <w:spacing w:after="0"/>
        <w:ind w:firstLine="0"/>
        <w:rPr>
          <w:rFonts w:ascii="Times New Roman" w:hAnsi="Times New Roman"/>
          <w:szCs w:val="24"/>
        </w:rPr>
      </w:pPr>
      <w:proofErr w:type="gramStart"/>
      <w:r w:rsidRPr="001558DF">
        <w:rPr>
          <w:rFonts w:ascii="Times New Roman" w:hAnsi="Times New Roman"/>
          <w:szCs w:val="24"/>
        </w:rPr>
        <w:t>[</w:t>
      </w:r>
      <w:r w:rsidRPr="001558DF">
        <w:endnoteRef/>
      </w:r>
      <w:r w:rsidRPr="001558DF">
        <w:rPr>
          <w:rFonts w:ascii="Times New Roman" w:hAnsi="Times New Roman"/>
          <w:szCs w:val="24"/>
        </w:rPr>
        <w:t xml:space="preserve">] M.H. Shao, R.R. </w:t>
      </w:r>
      <w:proofErr w:type="spellStart"/>
      <w:r w:rsidRPr="001558DF">
        <w:rPr>
          <w:rFonts w:ascii="Times New Roman" w:hAnsi="Times New Roman"/>
          <w:szCs w:val="24"/>
        </w:rPr>
        <w:t>Adzic</w:t>
      </w:r>
      <w:proofErr w:type="spellEnd"/>
      <w:r w:rsidRPr="001558DF">
        <w:rPr>
          <w:rFonts w:ascii="Times New Roman" w:hAnsi="Times New Roman"/>
          <w:szCs w:val="24"/>
        </w:rPr>
        <w:t xml:space="preserve">, </w:t>
      </w:r>
      <w:proofErr w:type="spellStart"/>
      <w:r w:rsidRPr="001558DF">
        <w:rPr>
          <w:rFonts w:ascii="Times New Roman" w:hAnsi="Times New Roman"/>
          <w:szCs w:val="24"/>
        </w:rPr>
        <w:t>Electrooxidation</w:t>
      </w:r>
      <w:proofErr w:type="spellEnd"/>
      <w:r w:rsidRPr="001558DF">
        <w:rPr>
          <w:rFonts w:ascii="Times New Roman" w:hAnsi="Times New Roman"/>
          <w:szCs w:val="24"/>
        </w:rPr>
        <w:t xml:space="preserve"> of ethanol on a Pt electrode in acid solutions: in situ ATR-SEIRAS study, </w:t>
      </w:r>
      <w:proofErr w:type="spellStart"/>
      <w:r w:rsidRPr="001558DF">
        <w:rPr>
          <w:rFonts w:ascii="Times New Roman" w:hAnsi="Times New Roman"/>
          <w:szCs w:val="24"/>
        </w:rPr>
        <w:t>Electrochim</w:t>
      </w:r>
      <w:proofErr w:type="spellEnd"/>
      <w:r w:rsidRPr="001558DF">
        <w:rPr>
          <w:rFonts w:ascii="Times New Roman" w:hAnsi="Times New Roman"/>
          <w:szCs w:val="24"/>
        </w:rPr>
        <w:t>.</w:t>
      </w:r>
      <w:proofErr w:type="gramEnd"/>
      <w:r w:rsidRPr="001558DF">
        <w:rPr>
          <w:rFonts w:ascii="Times New Roman" w:hAnsi="Times New Roman"/>
          <w:szCs w:val="24"/>
        </w:rPr>
        <w:t xml:space="preserve"> </w:t>
      </w:r>
      <w:proofErr w:type="spellStart"/>
      <w:r w:rsidRPr="001558DF">
        <w:rPr>
          <w:rFonts w:ascii="Times New Roman" w:hAnsi="Times New Roman"/>
          <w:szCs w:val="24"/>
        </w:rPr>
        <w:t>Acta</w:t>
      </w:r>
      <w:proofErr w:type="spellEnd"/>
      <w:r w:rsidRPr="001558DF">
        <w:rPr>
          <w:rFonts w:ascii="Times New Roman" w:hAnsi="Times New Roman"/>
          <w:szCs w:val="24"/>
        </w:rPr>
        <w:t xml:space="preserve"> 50 (2005) 2415-2422.</w:t>
      </w:r>
    </w:p>
  </w:endnote>
  <w:endnote w:id="41">
    <w:p w14:paraId="4C638B7E" w14:textId="2CD3F486" w:rsidR="00960EE3" w:rsidRPr="001558DF" w:rsidRDefault="00960EE3" w:rsidP="00F31004">
      <w:pPr>
        <w:pStyle w:val="TFReferencesSection"/>
        <w:spacing w:after="0"/>
        <w:ind w:firstLine="0"/>
        <w:rPr>
          <w:rFonts w:ascii="Times New Roman" w:hAnsi="Times New Roman"/>
          <w:szCs w:val="24"/>
        </w:rPr>
      </w:pPr>
      <w:r w:rsidRPr="001558DF">
        <w:rPr>
          <w:rFonts w:ascii="Times New Roman" w:hAnsi="Times New Roman"/>
          <w:szCs w:val="24"/>
        </w:rPr>
        <w:t>[</w:t>
      </w:r>
      <w:r w:rsidRPr="001558DF">
        <w:endnoteRef/>
      </w:r>
      <w:r w:rsidRPr="001558DF">
        <w:rPr>
          <w:rFonts w:ascii="Times New Roman" w:hAnsi="Times New Roman"/>
          <w:szCs w:val="24"/>
        </w:rPr>
        <w:t xml:space="preserve">] W.J. Zhou, S.Q. Song, W.Z. Li, Z.H. Zhou, G.Q. Sun, Q. </w:t>
      </w:r>
      <w:proofErr w:type="spellStart"/>
      <w:r w:rsidRPr="001558DF">
        <w:rPr>
          <w:rFonts w:ascii="Times New Roman" w:hAnsi="Times New Roman"/>
          <w:szCs w:val="24"/>
        </w:rPr>
        <w:t>Xina</w:t>
      </w:r>
      <w:proofErr w:type="spellEnd"/>
      <w:r w:rsidRPr="001558DF">
        <w:rPr>
          <w:rFonts w:ascii="Times New Roman" w:hAnsi="Times New Roman"/>
          <w:szCs w:val="24"/>
        </w:rPr>
        <w:t xml:space="preserve">, S. </w:t>
      </w:r>
      <w:proofErr w:type="spellStart"/>
      <w:r w:rsidRPr="001558DF">
        <w:rPr>
          <w:rFonts w:ascii="Times New Roman" w:hAnsi="Times New Roman"/>
          <w:szCs w:val="24"/>
        </w:rPr>
        <w:t>Douvartzides</w:t>
      </w:r>
      <w:proofErr w:type="spellEnd"/>
      <w:r w:rsidRPr="001558DF">
        <w:rPr>
          <w:rFonts w:ascii="Times New Roman" w:hAnsi="Times New Roman"/>
          <w:szCs w:val="24"/>
        </w:rPr>
        <w:t xml:space="preserve">, P. </w:t>
      </w:r>
      <w:proofErr w:type="spellStart"/>
      <w:r w:rsidRPr="001558DF">
        <w:rPr>
          <w:rFonts w:ascii="Times New Roman" w:hAnsi="Times New Roman"/>
          <w:szCs w:val="24"/>
        </w:rPr>
        <w:t>Tsiakaras</w:t>
      </w:r>
      <w:proofErr w:type="spellEnd"/>
      <w:r w:rsidRPr="001558DF">
        <w:rPr>
          <w:rFonts w:ascii="Times New Roman" w:hAnsi="Times New Roman"/>
          <w:szCs w:val="24"/>
        </w:rPr>
        <w:t xml:space="preserve">, Direct ethanol fuel cells based on </w:t>
      </w:r>
      <w:proofErr w:type="spellStart"/>
      <w:r w:rsidRPr="001558DF">
        <w:rPr>
          <w:rFonts w:ascii="Times New Roman" w:hAnsi="Times New Roman"/>
          <w:szCs w:val="24"/>
        </w:rPr>
        <w:t>PtSn</w:t>
      </w:r>
      <w:proofErr w:type="spellEnd"/>
      <w:r w:rsidRPr="001558DF">
        <w:rPr>
          <w:rFonts w:ascii="Times New Roman" w:hAnsi="Times New Roman"/>
          <w:szCs w:val="24"/>
        </w:rPr>
        <w:t xml:space="preserve"> anodes: the effect of Sn content on the fuel cell performance, J. Power Sources 140 (2008) 50-58.</w:t>
      </w:r>
    </w:p>
    <w:p w14:paraId="0166AA9A" w14:textId="77777777" w:rsidR="00980A3E" w:rsidRPr="001558DF" w:rsidRDefault="00980A3E" w:rsidP="00F31004">
      <w:pPr>
        <w:pStyle w:val="TFReferencesSection"/>
        <w:spacing w:after="0"/>
        <w:ind w:firstLine="0"/>
        <w:rPr>
          <w:rFonts w:ascii="Times New Roman" w:hAnsi="Times New Roman"/>
          <w:szCs w:val="24"/>
        </w:rPr>
      </w:pPr>
    </w:p>
    <w:p w14:paraId="5AAB79E9" w14:textId="77777777" w:rsidR="00980A3E" w:rsidRPr="001558DF" w:rsidRDefault="00980A3E" w:rsidP="00F31004">
      <w:pPr>
        <w:pStyle w:val="TFReferencesSection"/>
        <w:spacing w:after="0"/>
        <w:ind w:firstLine="0"/>
        <w:rPr>
          <w:rFonts w:ascii="Times New Roman" w:hAnsi="Times New Roman"/>
          <w:szCs w:val="24"/>
        </w:rPr>
      </w:pPr>
    </w:p>
    <w:p w14:paraId="667259D3" w14:textId="77777777" w:rsidR="0096751F" w:rsidRPr="001558DF" w:rsidRDefault="0096751F" w:rsidP="00F31004">
      <w:pPr>
        <w:pStyle w:val="TFReferencesSection"/>
        <w:spacing w:after="0"/>
        <w:ind w:firstLine="0"/>
        <w:rPr>
          <w:rFonts w:ascii="Times New Roman" w:hAnsi="Times New Roman"/>
          <w:b/>
          <w:szCs w:val="24"/>
        </w:rPr>
      </w:pPr>
    </w:p>
    <w:p w14:paraId="4BECD223" w14:textId="77777777" w:rsidR="0096751F" w:rsidRPr="001558DF" w:rsidRDefault="0096751F" w:rsidP="00F31004">
      <w:pPr>
        <w:pStyle w:val="TFReferencesSection"/>
        <w:spacing w:after="0"/>
        <w:ind w:firstLine="0"/>
        <w:rPr>
          <w:rFonts w:ascii="Times New Roman" w:hAnsi="Times New Roman"/>
          <w:b/>
          <w:szCs w:val="24"/>
        </w:rPr>
      </w:pPr>
    </w:p>
    <w:p w14:paraId="5746646D" w14:textId="77777777" w:rsidR="0096751F" w:rsidRPr="001558DF" w:rsidRDefault="0096751F" w:rsidP="00F31004">
      <w:pPr>
        <w:pStyle w:val="TFReferencesSection"/>
        <w:spacing w:after="0"/>
        <w:ind w:firstLine="0"/>
        <w:rPr>
          <w:rFonts w:ascii="Times New Roman" w:hAnsi="Times New Roman"/>
          <w:b/>
          <w:szCs w:val="24"/>
        </w:rPr>
      </w:pPr>
    </w:p>
    <w:p w14:paraId="42879006" w14:textId="77777777" w:rsidR="0096751F" w:rsidRPr="001558DF" w:rsidRDefault="0096751F" w:rsidP="00F31004">
      <w:pPr>
        <w:pStyle w:val="TFReferencesSection"/>
        <w:spacing w:after="0"/>
        <w:ind w:firstLine="0"/>
        <w:rPr>
          <w:rFonts w:ascii="Times New Roman" w:hAnsi="Times New Roman"/>
          <w:b/>
          <w:szCs w:val="24"/>
        </w:rPr>
      </w:pPr>
    </w:p>
    <w:p w14:paraId="65AD1BA1" w14:textId="77777777" w:rsidR="0096751F" w:rsidRPr="001558DF" w:rsidRDefault="0096751F" w:rsidP="00F31004">
      <w:pPr>
        <w:pStyle w:val="TFReferencesSection"/>
        <w:spacing w:after="0"/>
        <w:ind w:firstLine="0"/>
        <w:rPr>
          <w:rFonts w:ascii="Times New Roman" w:hAnsi="Times New Roman"/>
          <w:b/>
          <w:szCs w:val="24"/>
        </w:rPr>
      </w:pPr>
    </w:p>
    <w:p w14:paraId="3D09ED71" w14:textId="77777777" w:rsidR="0096751F" w:rsidRPr="001558DF" w:rsidRDefault="0096751F" w:rsidP="00F31004">
      <w:pPr>
        <w:pStyle w:val="TFReferencesSection"/>
        <w:spacing w:after="0"/>
        <w:ind w:firstLine="0"/>
        <w:rPr>
          <w:rFonts w:ascii="Times New Roman" w:hAnsi="Times New Roman"/>
          <w:b/>
          <w:szCs w:val="24"/>
        </w:rPr>
      </w:pPr>
    </w:p>
    <w:p w14:paraId="40E6EEDA" w14:textId="77777777" w:rsidR="0096751F" w:rsidRPr="001558DF" w:rsidRDefault="0096751F" w:rsidP="00F31004">
      <w:pPr>
        <w:pStyle w:val="TFReferencesSection"/>
        <w:spacing w:after="0"/>
        <w:ind w:firstLine="0"/>
        <w:rPr>
          <w:rFonts w:ascii="Times New Roman" w:hAnsi="Times New Roman"/>
          <w:b/>
          <w:szCs w:val="24"/>
        </w:rPr>
      </w:pPr>
    </w:p>
    <w:p w14:paraId="7F70C0AD" w14:textId="49EA3D06" w:rsidR="00980A3E" w:rsidRPr="001558DF" w:rsidRDefault="00980A3E" w:rsidP="00F31004">
      <w:pPr>
        <w:pStyle w:val="TFReferencesSection"/>
        <w:spacing w:after="0"/>
        <w:ind w:firstLine="0"/>
        <w:rPr>
          <w:rFonts w:ascii="Times New Roman" w:hAnsi="Times New Roman"/>
          <w:b/>
          <w:szCs w:val="24"/>
        </w:rPr>
      </w:pPr>
      <w:r w:rsidRPr="001558DF">
        <w:rPr>
          <w:rFonts w:ascii="Times New Roman" w:hAnsi="Times New Roman"/>
          <w:b/>
          <w:szCs w:val="24"/>
        </w:rPr>
        <w:t>Figure captions</w:t>
      </w:r>
    </w:p>
    <w:p w14:paraId="3A33F7A1" w14:textId="77777777" w:rsidR="00980A3E" w:rsidRPr="001558DF" w:rsidRDefault="00980A3E" w:rsidP="00980A3E">
      <w:pPr>
        <w:pStyle w:val="VAFigureCaption"/>
      </w:pPr>
      <w:proofErr w:type="gramStart"/>
      <w:r w:rsidRPr="001558DF">
        <w:t>Figure 1.</w:t>
      </w:r>
      <w:proofErr w:type="gramEnd"/>
      <w:r w:rsidRPr="001558DF">
        <w:t xml:space="preserve"> HAADF atomic-resolution images (</w:t>
      </w:r>
      <w:proofErr w:type="spellStart"/>
      <w:r w:rsidRPr="001558DF">
        <w:t>a</w:t>
      </w:r>
      <w:proofErr w:type="gramStart"/>
      <w:r w:rsidRPr="001558DF">
        <w:t>,c</w:t>
      </w:r>
      <w:proofErr w:type="spellEnd"/>
      <w:proofErr w:type="gramEnd"/>
      <w:r w:rsidRPr="001558DF">
        <w:t>) and corresponding STEM-EDS spectra (</w:t>
      </w:r>
      <w:proofErr w:type="spellStart"/>
      <w:r w:rsidRPr="001558DF">
        <w:t>b,d</w:t>
      </w:r>
      <w:proofErr w:type="spellEnd"/>
      <w:r w:rsidRPr="001558DF">
        <w:t>) along the line in the image for the Sn/Pt/C (</w:t>
      </w:r>
      <w:proofErr w:type="spellStart"/>
      <w:r w:rsidRPr="001558DF">
        <w:t>a,b</w:t>
      </w:r>
      <w:proofErr w:type="spellEnd"/>
      <w:r w:rsidRPr="001558DF">
        <w:t>) and Pt</w:t>
      </w:r>
      <w:r w:rsidRPr="001558DF">
        <w:rPr>
          <w:vertAlign w:val="subscript"/>
        </w:rPr>
        <w:t>3</w:t>
      </w:r>
      <w:r w:rsidRPr="001558DF">
        <w:t>Sn/C (</w:t>
      </w:r>
      <w:proofErr w:type="spellStart"/>
      <w:r w:rsidRPr="001558DF">
        <w:t>c,d</w:t>
      </w:r>
      <w:proofErr w:type="spellEnd"/>
      <w:r w:rsidRPr="001558DF">
        <w:t>) samples. The insets in (b) and (d) show the schema of the Pt-Sn nanostructures where blue and red circles represent Pt and Sn atoms, respectively.</w:t>
      </w:r>
    </w:p>
    <w:p w14:paraId="557CC83C" w14:textId="77777777" w:rsidR="00980A3E" w:rsidRPr="001558DF" w:rsidRDefault="00980A3E" w:rsidP="00980A3E">
      <w:pPr>
        <w:pStyle w:val="VAFigureCaption"/>
      </w:pPr>
      <w:proofErr w:type="gramStart"/>
      <w:r w:rsidRPr="001558DF">
        <w:t>Figure 2.</w:t>
      </w:r>
      <w:proofErr w:type="gramEnd"/>
      <w:r w:rsidRPr="001558DF">
        <w:t xml:space="preserve"> XRD diffraction patterns (left) and photoemission spectra (right) for the commercial Pt/C-JM, Sn/Pt/C, Pt</w:t>
      </w:r>
      <w:r w:rsidRPr="001558DF">
        <w:rPr>
          <w:vertAlign w:val="subscript"/>
        </w:rPr>
        <w:t>1</w:t>
      </w:r>
      <w:r w:rsidRPr="001558DF">
        <w:t>Sn</w:t>
      </w:r>
      <w:r w:rsidRPr="001558DF">
        <w:rPr>
          <w:vertAlign w:val="subscript"/>
        </w:rPr>
        <w:t>1</w:t>
      </w:r>
      <w:r w:rsidRPr="001558DF">
        <w:t>/C, and Pt</w:t>
      </w:r>
      <w:r w:rsidRPr="001558DF">
        <w:rPr>
          <w:vertAlign w:val="subscript"/>
        </w:rPr>
        <w:t>3</w:t>
      </w:r>
      <w:r w:rsidRPr="001558DF">
        <w:t>Sn</w:t>
      </w:r>
      <w:r w:rsidRPr="001558DF">
        <w:rPr>
          <w:vertAlign w:val="subscript"/>
        </w:rPr>
        <w:t>1</w:t>
      </w:r>
      <w:r w:rsidRPr="001558DF">
        <w:t>/C catalysts. In the right panel, the Pt 4f and Sn 3d regions as well as the corresponding chemical shifted components are shown.</w:t>
      </w:r>
    </w:p>
    <w:p w14:paraId="2AD55164" w14:textId="77777777" w:rsidR="00980A3E" w:rsidRPr="001558DF" w:rsidRDefault="00980A3E" w:rsidP="00980A3E">
      <w:pPr>
        <w:pStyle w:val="VAFigureCaption"/>
      </w:pPr>
      <w:proofErr w:type="gramStart"/>
      <w:r w:rsidRPr="001558DF">
        <w:t>Figure 3.</w:t>
      </w:r>
      <w:proofErr w:type="gramEnd"/>
      <w:r w:rsidRPr="001558DF">
        <w:t xml:space="preserve"> Cyclic </w:t>
      </w:r>
      <w:proofErr w:type="spellStart"/>
      <w:r w:rsidRPr="001558DF">
        <w:t>voltammomgrams</w:t>
      </w:r>
      <w:proofErr w:type="spellEnd"/>
      <w:r w:rsidRPr="001558DF">
        <w:t xml:space="preserve"> in 0.5M H</w:t>
      </w:r>
      <w:r w:rsidRPr="001558DF">
        <w:rPr>
          <w:vertAlign w:val="subscript"/>
        </w:rPr>
        <w:t>2</w:t>
      </w:r>
      <w:r w:rsidRPr="001558DF">
        <w:t>SO</w:t>
      </w:r>
      <w:r w:rsidRPr="001558DF">
        <w:rPr>
          <w:vertAlign w:val="subscript"/>
        </w:rPr>
        <w:t>4</w:t>
      </w:r>
      <w:r w:rsidRPr="001558DF">
        <w:t xml:space="preserve"> + 0.5M CH</w:t>
      </w:r>
      <w:r w:rsidRPr="001558DF">
        <w:rPr>
          <w:vertAlign w:val="subscript"/>
        </w:rPr>
        <w:t>3</w:t>
      </w:r>
      <w:r w:rsidRPr="001558DF">
        <w:t>CH</w:t>
      </w:r>
      <w:r w:rsidRPr="001558DF">
        <w:rPr>
          <w:vertAlign w:val="subscript"/>
        </w:rPr>
        <w:t>2</w:t>
      </w:r>
      <w:r w:rsidRPr="001558DF">
        <w:t>OH obtained at room temperature and at a scan rate of 0.02 Vs</w:t>
      </w:r>
      <w:r w:rsidRPr="001558DF">
        <w:rPr>
          <w:vertAlign w:val="superscript"/>
        </w:rPr>
        <w:t>-1</w:t>
      </w:r>
      <w:r w:rsidRPr="001558DF">
        <w:t xml:space="preserve"> for the Pt-Sn/C catalysts and the commercial Pt/C from JM. Inset: enlargement of the onset potential for the ethanol </w:t>
      </w:r>
      <w:proofErr w:type="spellStart"/>
      <w:r w:rsidRPr="001558DF">
        <w:t>electroxidation</w:t>
      </w:r>
      <w:proofErr w:type="spellEnd"/>
      <w:r w:rsidRPr="001558DF">
        <w:t xml:space="preserve"> during the forward scan after double layer removal.</w:t>
      </w:r>
    </w:p>
    <w:p w14:paraId="239C9AC5" w14:textId="2035D4D3" w:rsidR="00980A3E" w:rsidRPr="001558DF" w:rsidRDefault="00980A3E" w:rsidP="00980A3E">
      <w:pPr>
        <w:pStyle w:val="VAFigureCaption"/>
      </w:pPr>
      <w:proofErr w:type="gramStart"/>
      <w:r w:rsidRPr="001558DF">
        <w:t>Figure 4.</w:t>
      </w:r>
      <w:proofErr w:type="gramEnd"/>
      <w:r w:rsidRPr="001558DF">
        <w:t xml:space="preserve"> In situ FTIR spectra taken at different potentials in 0.5 M CH</w:t>
      </w:r>
      <w:r w:rsidRPr="001558DF">
        <w:rPr>
          <w:vertAlign w:val="subscript"/>
        </w:rPr>
        <w:t>3</w:t>
      </w:r>
      <w:r w:rsidRPr="001558DF">
        <w:t>CH</w:t>
      </w:r>
      <w:r w:rsidRPr="001558DF">
        <w:rPr>
          <w:vertAlign w:val="subscript"/>
        </w:rPr>
        <w:t>2</w:t>
      </w:r>
      <w:r w:rsidRPr="001558DF">
        <w:t>OH + 0.1 M HClO</w:t>
      </w:r>
      <w:r w:rsidRPr="001558DF">
        <w:rPr>
          <w:vertAlign w:val="subscript"/>
        </w:rPr>
        <w:t>4</w:t>
      </w:r>
      <w:r w:rsidRPr="001558DF">
        <w:t xml:space="preserve"> (upper panels); and normalized areas of the CO</w:t>
      </w:r>
      <w:r w:rsidRPr="001558DF">
        <w:rPr>
          <w:vertAlign w:val="subscript"/>
        </w:rPr>
        <w:t>2</w:t>
      </w:r>
      <w:r w:rsidRPr="001558DF">
        <w:t xml:space="preserve"> (2343 cm</w:t>
      </w:r>
      <w:r w:rsidRPr="001558DF">
        <w:rPr>
          <w:vertAlign w:val="superscript"/>
        </w:rPr>
        <w:t>-1</w:t>
      </w:r>
      <w:r w:rsidRPr="001558DF">
        <w:t>) and acetic acid (1280 cm</w:t>
      </w:r>
      <w:r w:rsidRPr="001558DF">
        <w:rPr>
          <w:vertAlign w:val="superscript"/>
        </w:rPr>
        <w:t>-1</w:t>
      </w:r>
      <w:r w:rsidRPr="001558DF">
        <w:t>) bands as function of the applied potential (bottom panels) for Pt/C-JM (</w:t>
      </w:r>
      <w:proofErr w:type="spellStart"/>
      <w:r w:rsidRPr="001558DF">
        <w:t>a,e</w:t>
      </w:r>
      <w:proofErr w:type="spellEnd"/>
      <w:r w:rsidRPr="001558DF">
        <w:t>), Sn/Pt/C (</w:t>
      </w:r>
      <w:proofErr w:type="spellStart"/>
      <w:r w:rsidRPr="001558DF">
        <w:t>b,f</w:t>
      </w:r>
      <w:proofErr w:type="spellEnd"/>
      <w:r w:rsidRPr="001558DF">
        <w:t>), Pt</w:t>
      </w:r>
      <w:r w:rsidRPr="001558DF">
        <w:rPr>
          <w:vertAlign w:val="subscript"/>
        </w:rPr>
        <w:t>3</w:t>
      </w:r>
      <w:r w:rsidRPr="001558DF">
        <w:t>Sn</w:t>
      </w:r>
      <w:r w:rsidRPr="001558DF">
        <w:rPr>
          <w:vertAlign w:val="subscript"/>
        </w:rPr>
        <w:t>1</w:t>
      </w:r>
      <w:r w:rsidRPr="001558DF">
        <w:t>/C (</w:t>
      </w:r>
      <w:proofErr w:type="spellStart"/>
      <w:r w:rsidRPr="001558DF">
        <w:t>c,g</w:t>
      </w:r>
      <w:proofErr w:type="spellEnd"/>
      <w:r w:rsidRPr="001558DF">
        <w:t>) and Pt</w:t>
      </w:r>
      <w:r w:rsidRPr="001558DF">
        <w:rPr>
          <w:vertAlign w:val="subscript"/>
        </w:rPr>
        <w:t>1</w:t>
      </w:r>
      <w:r w:rsidRPr="001558DF">
        <w:t>Sn</w:t>
      </w:r>
      <w:r w:rsidRPr="001558DF">
        <w:rPr>
          <w:vertAlign w:val="subscript"/>
        </w:rPr>
        <w:t>1</w:t>
      </w:r>
      <w:r w:rsidRPr="001558DF">
        <w:t>/C (</w:t>
      </w:r>
      <w:proofErr w:type="spellStart"/>
      <w:r w:rsidRPr="001558DF">
        <w:t>d,h</w:t>
      </w:r>
      <w:proofErr w:type="spellEnd"/>
      <w:r w:rsidRPr="001558DF">
        <w:t>) catalysts. The insets in (e)-(h) show the Pt-Sn nanostructures where blue and red circles represent Pt and Sn atoms, respectively.</w:t>
      </w:r>
    </w:p>
    <w:p w14:paraId="4A6CDF85" w14:textId="77777777" w:rsidR="00247B61" w:rsidRPr="001558DF" w:rsidRDefault="00247B61" w:rsidP="00247B61"/>
    <w:p w14:paraId="39556CC1" w14:textId="77777777" w:rsidR="00247B61" w:rsidRPr="001558DF" w:rsidRDefault="00247B61" w:rsidP="00247B61"/>
    <w:p w14:paraId="1D39EACD" w14:textId="77777777" w:rsidR="00247B61" w:rsidRPr="001558DF" w:rsidRDefault="00247B61" w:rsidP="00247B61"/>
    <w:p w14:paraId="51F18746" w14:textId="77777777" w:rsidR="00247B61" w:rsidRPr="001558DF" w:rsidRDefault="00247B61" w:rsidP="00247B61"/>
    <w:p w14:paraId="39DF693D" w14:textId="77777777" w:rsidR="00247B61" w:rsidRPr="001558DF" w:rsidRDefault="00247B61" w:rsidP="00247B61"/>
    <w:p w14:paraId="47AFFB7E" w14:textId="77777777" w:rsidR="00247B61" w:rsidRPr="001558DF" w:rsidRDefault="00247B61" w:rsidP="00247B61">
      <w:pPr>
        <w:pStyle w:val="VDTableTitle"/>
      </w:pPr>
      <w:proofErr w:type="gramStart"/>
      <w:r w:rsidRPr="001558DF">
        <w:t>Table 1.</w:t>
      </w:r>
      <w:proofErr w:type="gramEnd"/>
      <w:r w:rsidRPr="001558DF">
        <w:t xml:space="preserve"> Structural parameters obtained for the Sn/Pt/C catalyst from fitting the Pt L</w:t>
      </w:r>
      <w:r w:rsidRPr="001558DF">
        <w:rPr>
          <w:vertAlign w:val="subscript"/>
        </w:rPr>
        <w:t>3</w:t>
      </w:r>
      <w:r w:rsidRPr="001558DF">
        <w:t xml:space="preserve"> and Sn K edges EXAFS data acquired under potential control in 0.5 M H</w:t>
      </w:r>
      <w:r w:rsidRPr="001558DF">
        <w:rPr>
          <w:vertAlign w:val="subscript"/>
        </w:rPr>
        <w:t>2</w:t>
      </w:r>
      <w:r w:rsidRPr="001558DF">
        <w:t>SO</w:t>
      </w:r>
      <w:r w:rsidRPr="001558DF">
        <w:rPr>
          <w:vertAlign w:val="subscript"/>
        </w:rPr>
        <w:t>4</w:t>
      </w:r>
      <w:r w:rsidRPr="001558DF">
        <w:t xml:space="preserve"> and in 0.5 M CH</w:t>
      </w:r>
      <w:r w:rsidRPr="001558DF">
        <w:rPr>
          <w:vertAlign w:val="subscript"/>
        </w:rPr>
        <w:t>3</w:t>
      </w:r>
      <w:r w:rsidRPr="001558DF">
        <w:t>CH</w:t>
      </w:r>
      <w:r w:rsidRPr="001558DF">
        <w:rPr>
          <w:vertAlign w:val="subscript"/>
        </w:rPr>
        <w:t>2</w:t>
      </w:r>
      <w:r w:rsidRPr="001558DF">
        <w:t>OH + 0.5 M H</w:t>
      </w:r>
      <w:r w:rsidRPr="001558DF">
        <w:rPr>
          <w:vertAlign w:val="subscript"/>
        </w:rPr>
        <w:t>2</w:t>
      </w:r>
      <w:r w:rsidRPr="001558DF">
        <w:t>SO</w:t>
      </w:r>
      <w:r w:rsidRPr="001558DF">
        <w:rPr>
          <w:vertAlign w:val="subscript"/>
        </w:rPr>
        <w:t>4</w:t>
      </w:r>
      <w:r w:rsidRPr="001558DF">
        <w:t>.</w:t>
      </w:r>
    </w:p>
    <w:tbl>
      <w:tblPr>
        <w:tblW w:w="9356" w:type="dxa"/>
        <w:tblBorders>
          <w:top w:val="single" w:sz="4" w:space="0" w:color="auto"/>
          <w:bottom w:val="single" w:sz="4" w:space="0" w:color="auto"/>
        </w:tblBorders>
        <w:tblLook w:val="04A0" w:firstRow="1" w:lastRow="0" w:firstColumn="1" w:lastColumn="0" w:noHBand="0" w:noVBand="1"/>
      </w:tblPr>
      <w:tblGrid>
        <w:gridCol w:w="1276"/>
        <w:gridCol w:w="1070"/>
        <w:gridCol w:w="915"/>
        <w:gridCol w:w="1417"/>
        <w:gridCol w:w="1588"/>
        <w:gridCol w:w="1105"/>
        <w:gridCol w:w="1134"/>
        <w:gridCol w:w="851"/>
      </w:tblGrid>
      <w:tr w:rsidR="00247B61" w:rsidRPr="001558DF" w14:paraId="2765EC4B" w14:textId="77777777" w:rsidTr="000B2B07">
        <w:tc>
          <w:tcPr>
            <w:tcW w:w="1276" w:type="dxa"/>
            <w:tcBorders>
              <w:top w:val="single" w:sz="8" w:space="0" w:color="auto"/>
              <w:bottom w:val="single" w:sz="8" w:space="0" w:color="auto"/>
            </w:tcBorders>
          </w:tcPr>
          <w:p w14:paraId="454FE91D" w14:textId="77777777" w:rsidR="00247B61" w:rsidRPr="001558DF" w:rsidRDefault="00247B61" w:rsidP="00247B61">
            <w:pPr>
              <w:pStyle w:val="TCTableBody"/>
              <w:spacing w:after="0" w:line="276" w:lineRule="auto"/>
            </w:pPr>
            <w:r w:rsidRPr="001558DF">
              <w:t>Electrolyte</w:t>
            </w:r>
          </w:p>
        </w:tc>
        <w:tc>
          <w:tcPr>
            <w:tcW w:w="1070" w:type="dxa"/>
            <w:tcBorders>
              <w:top w:val="single" w:sz="8" w:space="0" w:color="auto"/>
              <w:bottom w:val="single" w:sz="8" w:space="0" w:color="auto"/>
            </w:tcBorders>
          </w:tcPr>
          <w:p w14:paraId="25AEDD4C" w14:textId="77777777" w:rsidR="00247B61" w:rsidRPr="001558DF" w:rsidRDefault="00247B61" w:rsidP="00247B61">
            <w:pPr>
              <w:pStyle w:val="TCTableBody"/>
              <w:spacing w:after="0" w:line="276" w:lineRule="auto"/>
            </w:pPr>
            <w:r w:rsidRPr="001558DF">
              <w:t>Potential</w:t>
            </w:r>
          </w:p>
          <w:p w14:paraId="406C6555" w14:textId="77777777" w:rsidR="00247B61" w:rsidRPr="001558DF" w:rsidRDefault="00247B61" w:rsidP="00247B61">
            <w:pPr>
              <w:pStyle w:val="TCTableBody"/>
              <w:spacing w:after="0" w:line="276" w:lineRule="auto"/>
            </w:pPr>
            <w:r w:rsidRPr="001558DF">
              <w:t>vs RHE</w:t>
            </w:r>
          </w:p>
        </w:tc>
        <w:tc>
          <w:tcPr>
            <w:tcW w:w="915" w:type="dxa"/>
            <w:tcBorders>
              <w:top w:val="single" w:sz="8" w:space="0" w:color="auto"/>
              <w:bottom w:val="single" w:sz="8" w:space="0" w:color="auto"/>
            </w:tcBorders>
          </w:tcPr>
          <w:p w14:paraId="1978349D" w14:textId="77777777" w:rsidR="00247B61" w:rsidRPr="001558DF" w:rsidRDefault="00247B61" w:rsidP="00247B61">
            <w:pPr>
              <w:pStyle w:val="TCTableBody"/>
              <w:spacing w:after="0" w:line="276" w:lineRule="auto"/>
            </w:pPr>
            <w:r w:rsidRPr="001558DF">
              <w:t>Shell</w:t>
            </w:r>
          </w:p>
        </w:tc>
        <w:tc>
          <w:tcPr>
            <w:tcW w:w="1417" w:type="dxa"/>
            <w:tcBorders>
              <w:top w:val="single" w:sz="8" w:space="0" w:color="auto"/>
              <w:bottom w:val="single" w:sz="8" w:space="0" w:color="auto"/>
            </w:tcBorders>
          </w:tcPr>
          <w:p w14:paraId="3387307F" w14:textId="77777777" w:rsidR="00247B61" w:rsidRPr="001558DF" w:rsidRDefault="00247B61" w:rsidP="00247B61">
            <w:pPr>
              <w:pStyle w:val="TCTableBody"/>
              <w:spacing w:after="0" w:line="276" w:lineRule="auto"/>
            </w:pPr>
            <w:r w:rsidRPr="001558DF">
              <w:t>N</w:t>
            </w:r>
          </w:p>
        </w:tc>
        <w:tc>
          <w:tcPr>
            <w:tcW w:w="1588" w:type="dxa"/>
            <w:tcBorders>
              <w:top w:val="single" w:sz="8" w:space="0" w:color="auto"/>
              <w:bottom w:val="single" w:sz="8" w:space="0" w:color="auto"/>
            </w:tcBorders>
          </w:tcPr>
          <w:p w14:paraId="645C3A39" w14:textId="77777777" w:rsidR="00247B61" w:rsidRPr="001558DF" w:rsidRDefault="00247B61" w:rsidP="00247B61">
            <w:pPr>
              <w:pStyle w:val="TCTableBody"/>
              <w:spacing w:after="0" w:line="276" w:lineRule="auto"/>
            </w:pPr>
            <w:r w:rsidRPr="001558DF">
              <w:t>R</w:t>
            </w:r>
          </w:p>
          <w:p w14:paraId="41327E7D" w14:textId="77777777" w:rsidR="00247B61" w:rsidRPr="001558DF" w:rsidRDefault="00247B61" w:rsidP="00247B61">
            <w:pPr>
              <w:pStyle w:val="TCTableBody"/>
              <w:spacing w:after="0" w:line="276" w:lineRule="auto"/>
            </w:pPr>
            <w:r w:rsidRPr="001558DF">
              <w:t>/Å</w:t>
            </w:r>
          </w:p>
        </w:tc>
        <w:tc>
          <w:tcPr>
            <w:tcW w:w="1105" w:type="dxa"/>
            <w:tcBorders>
              <w:top w:val="single" w:sz="8" w:space="0" w:color="auto"/>
              <w:bottom w:val="single" w:sz="8" w:space="0" w:color="auto"/>
            </w:tcBorders>
          </w:tcPr>
          <w:p w14:paraId="492B5CD3" w14:textId="77777777" w:rsidR="00247B61" w:rsidRPr="001558DF" w:rsidRDefault="00247B61" w:rsidP="00247B61">
            <w:pPr>
              <w:pStyle w:val="TCTableBody"/>
              <w:spacing w:after="0" w:line="276" w:lineRule="auto"/>
              <w:rPr>
                <w:vertAlign w:val="superscript"/>
              </w:rPr>
            </w:pPr>
            <w:r w:rsidRPr="001558DF">
              <w:t>σ</w:t>
            </w:r>
            <w:r w:rsidRPr="001558DF">
              <w:rPr>
                <w:vertAlign w:val="superscript"/>
              </w:rPr>
              <w:t>2</w:t>
            </w:r>
            <w:r w:rsidRPr="001558DF">
              <w:t xml:space="preserve"> x 10</w:t>
            </w:r>
            <w:r w:rsidRPr="001558DF">
              <w:rPr>
                <w:vertAlign w:val="superscript"/>
              </w:rPr>
              <w:t>4</w:t>
            </w:r>
          </w:p>
          <w:p w14:paraId="1F94D535" w14:textId="77777777" w:rsidR="00247B61" w:rsidRPr="001558DF" w:rsidRDefault="00247B61" w:rsidP="00247B61">
            <w:pPr>
              <w:pStyle w:val="TCTableBody"/>
              <w:spacing w:after="0" w:line="276" w:lineRule="auto"/>
            </w:pPr>
            <w:r w:rsidRPr="001558DF">
              <w:t>/ Å</w:t>
            </w:r>
            <w:r w:rsidRPr="001558DF">
              <w:rPr>
                <w:vertAlign w:val="superscript"/>
              </w:rPr>
              <w:t>2</w:t>
            </w:r>
          </w:p>
        </w:tc>
        <w:tc>
          <w:tcPr>
            <w:tcW w:w="1134" w:type="dxa"/>
            <w:tcBorders>
              <w:top w:val="single" w:sz="8" w:space="0" w:color="auto"/>
              <w:bottom w:val="single" w:sz="8" w:space="0" w:color="auto"/>
            </w:tcBorders>
          </w:tcPr>
          <w:p w14:paraId="2BC421D4" w14:textId="77777777" w:rsidR="00247B61" w:rsidRPr="001558DF" w:rsidRDefault="00247B61" w:rsidP="00247B61">
            <w:pPr>
              <w:pStyle w:val="TCTableBody"/>
              <w:spacing w:after="0" w:line="276" w:lineRule="auto"/>
              <w:rPr>
                <w:vertAlign w:val="subscript"/>
              </w:rPr>
            </w:pPr>
            <w:r w:rsidRPr="001558DF">
              <w:t>ΔE</w:t>
            </w:r>
            <w:r w:rsidRPr="001558DF">
              <w:rPr>
                <w:vertAlign w:val="subscript"/>
              </w:rPr>
              <w:t>0</w:t>
            </w:r>
          </w:p>
          <w:p w14:paraId="1E52981C" w14:textId="77777777" w:rsidR="00247B61" w:rsidRPr="001558DF" w:rsidRDefault="00247B61" w:rsidP="00247B61">
            <w:pPr>
              <w:pStyle w:val="TCTableBody"/>
              <w:spacing w:after="0" w:line="276" w:lineRule="auto"/>
            </w:pPr>
            <w:r w:rsidRPr="001558DF">
              <w:t>/eV</w:t>
            </w:r>
          </w:p>
        </w:tc>
        <w:tc>
          <w:tcPr>
            <w:tcW w:w="851" w:type="dxa"/>
            <w:tcBorders>
              <w:top w:val="single" w:sz="8" w:space="0" w:color="auto"/>
              <w:bottom w:val="single" w:sz="8" w:space="0" w:color="auto"/>
            </w:tcBorders>
          </w:tcPr>
          <w:p w14:paraId="61A238B2" w14:textId="77777777" w:rsidR="00247B61" w:rsidRPr="001558DF" w:rsidRDefault="00247B61" w:rsidP="00247B61">
            <w:pPr>
              <w:pStyle w:val="TCTableBody"/>
              <w:spacing w:after="0" w:line="276" w:lineRule="auto"/>
            </w:pPr>
            <w:proofErr w:type="spellStart"/>
            <w:r w:rsidRPr="001558DF">
              <w:t>R</w:t>
            </w:r>
            <w:r w:rsidRPr="001558DF">
              <w:rPr>
                <w:vertAlign w:val="subscript"/>
              </w:rPr>
              <w:t>f</w:t>
            </w:r>
            <w:proofErr w:type="spellEnd"/>
          </w:p>
        </w:tc>
      </w:tr>
      <w:tr w:rsidR="00247B61" w:rsidRPr="001558DF" w14:paraId="4F7AB012" w14:textId="77777777" w:rsidTr="000B2B07">
        <w:tc>
          <w:tcPr>
            <w:tcW w:w="1276" w:type="dxa"/>
            <w:vMerge w:val="restart"/>
            <w:tcBorders>
              <w:top w:val="single" w:sz="8" w:space="0" w:color="auto"/>
              <w:bottom w:val="single" w:sz="8" w:space="0" w:color="auto"/>
            </w:tcBorders>
            <w:vAlign w:val="center"/>
          </w:tcPr>
          <w:p w14:paraId="0C26B4BE" w14:textId="77777777" w:rsidR="00247B61" w:rsidRPr="001558DF" w:rsidRDefault="00247B61" w:rsidP="00247B61">
            <w:pPr>
              <w:pStyle w:val="TCTableBody"/>
              <w:spacing w:after="0" w:line="276" w:lineRule="auto"/>
            </w:pPr>
            <w:r w:rsidRPr="001558DF">
              <w:t>0.5M H</w:t>
            </w:r>
            <w:r w:rsidRPr="001558DF">
              <w:rPr>
                <w:vertAlign w:val="subscript"/>
              </w:rPr>
              <w:t>2</w:t>
            </w:r>
            <w:r w:rsidRPr="001558DF">
              <w:t>SO</w:t>
            </w:r>
            <w:r w:rsidRPr="001558DF">
              <w:rPr>
                <w:vertAlign w:val="subscript"/>
              </w:rPr>
              <w:t>4</w:t>
            </w:r>
          </w:p>
        </w:tc>
        <w:tc>
          <w:tcPr>
            <w:tcW w:w="1070" w:type="dxa"/>
            <w:vMerge w:val="restart"/>
            <w:tcBorders>
              <w:top w:val="single" w:sz="8" w:space="0" w:color="auto"/>
            </w:tcBorders>
            <w:vAlign w:val="center"/>
          </w:tcPr>
          <w:p w14:paraId="43F0990B" w14:textId="77777777" w:rsidR="00247B61" w:rsidRPr="001558DF" w:rsidRDefault="00247B61" w:rsidP="00247B61">
            <w:pPr>
              <w:pStyle w:val="TCTableBody"/>
              <w:spacing w:after="0" w:line="276" w:lineRule="auto"/>
            </w:pPr>
            <w:r w:rsidRPr="001558DF">
              <w:t>0.2 V</w:t>
            </w:r>
          </w:p>
        </w:tc>
        <w:tc>
          <w:tcPr>
            <w:tcW w:w="915" w:type="dxa"/>
            <w:tcBorders>
              <w:top w:val="single" w:sz="8" w:space="0" w:color="auto"/>
              <w:bottom w:val="single" w:sz="4" w:space="0" w:color="auto"/>
            </w:tcBorders>
          </w:tcPr>
          <w:p w14:paraId="002C016F" w14:textId="77777777" w:rsidR="00247B61" w:rsidRPr="001558DF" w:rsidRDefault="00247B61" w:rsidP="00247B61">
            <w:pPr>
              <w:pStyle w:val="TCTableBody"/>
              <w:spacing w:after="0" w:line="276" w:lineRule="auto"/>
            </w:pPr>
            <w:r w:rsidRPr="001558DF">
              <w:t>Pt-Pt</w:t>
            </w:r>
            <w:r w:rsidRPr="001558DF">
              <w:rPr>
                <w:vertAlign w:val="subscript"/>
              </w:rPr>
              <w:t>1</w:t>
            </w:r>
          </w:p>
        </w:tc>
        <w:tc>
          <w:tcPr>
            <w:tcW w:w="1417" w:type="dxa"/>
            <w:tcBorders>
              <w:top w:val="single" w:sz="8" w:space="0" w:color="auto"/>
              <w:bottom w:val="single" w:sz="4" w:space="0" w:color="auto"/>
            </w:tcBorders>
          </w:tcPr>
          <w:p w14:paraId="333FA8E9" w14:textId="77777777" w:rsidR="00247B61" w:rsidRPr="001558DF" w:rsidRDefault="00247B61" w:rsidP="00247B61">
            <w:pPr>
              <w:pStyle w:val="TCTableBody"/>
              <w:spacing w:after="0" w:line="276" w:lineRule="auto"/>
            </w:pPr>
            <w:r w:rsidRPr="001558DF">
              <w:t>8.92 ± 0.29</w:t>
            </w:r>
          </w:p>
        </w:tc>
        <w:tc>
          <w:tcPr>
            <w:tcW w:w="1588" w:type="dxa"/>
            <w:tcBorders>
              <w:top w:val="single" w:sz="8" w:space="0" w:color="auto"/>
              <w:bottom w:val="single" w:sz="4" w:space="0" w:color="auto"/>
            </w:tcBorders>
            <w:vAlign w:val="center"/>
          </w:tcPr>
          <w:p w14:paraId="2C3FC538" w14:textId="77777777" w:rsidR="00247B61" w:rsidRPr="001558DF" w:rsidRDefault="00247B61" w:rsidP="00247B61">
            <w:pPr>
              <w:pStyle w:val="TCTableBody"/>
              <w:spacing w:after="0" w:line="276" w:lineRule="auto"/>
            </w:pPr>
            <w:r w:rsidRPr="001558DF">
              <w:t>2.743 ± 0.001</w:t>
            </w:r>
          </w:p>
        </w:tc>
        <w:tc>
          <w:tcPr>
            <w:tcW w:w="1105" w:type="dxa"/>
            <w:tcBorders>
              <w:top w:val="single" w:sz="8" w:space="0" w:color="auto"/>
              <w:bottom w:val="single" w:sz="4" w:space="0" w:color="auto"/>
            </w:tcBorders>
            <w:vAlign w:val="center"/>
          </w:tcPr>
          <w:p w14:paraId="257DBDA7" w14:textId="77777777" w:rsidR="00247B61" w:rsidRPr="001558DF" w:rsidRDefault="00247B61" w:rsidP="00247B61">
            <w:pPr>
              <w:pStyle w:val="TCTableBody"/>
              <w:spacing w:after="0" w:line="276" w:lineRule="auto"/>
            </w:pPr>
            <w:r w:rsidRPr="001558DF">
              <w:t>55 ± 1</w:t>
            </w:r>
          </w:p>
        </w:tc>
        <w:tc>
          <w:tcPr>
            <w:tcW w:w="1134" w:type="dxa"/>
            <w:tcBorders>
              <w:top w:val="single" w:sz="8" w:space="0" w:color="auto"/>
              <w:bottom w:val="single" w:sz="4" w:space="0" w:color="auto"/>
            </w:tcBorders>
            <w:vAlign w:val="center"/>
          </w:tcPr>
          <w:p w14:paraId="63E16E02" w14:textId="77777777" w:rsidR="00247B61" w:rsidRPr="001558DF" w:rsidRDefault="00247B61" w:rsidP="00247B61">
            <w:pPr>
              <w:pStyle w:val="TCTableBody"/>
              <w:spacing w:after="0" w:line="276" w:lineRule="auto"/>
              <w:rPr>
                <w:lang w:val="it-IT"/>
              </w:rPr>
            </w:pPr>
            <w:r w:rsidRPr="001558DF">
              <w:t>7.4 ± 0.3</w:t>
            </w:r>
          </w:p>
        </w:tc>
        <w:tc>
          <w:tcPr>
            <w:tcW w:w="851" w:type="dxa"/>
            <w:tcBorders>
              <w:top w:val="single" w:sz="8" w:space="0" w:color="auto"/>
              <w:bottom w:val="single" w:sz="4" w:space="0" w:color="auto"/>
            </w:tcBorders>
            <w:vAlign w:val="center"/>
          </w:tcPr>
          <w:p w14:paraId="5A46215C" w14:textId="77777777" w:rsidR="00247B61" w:rsidRPr="001558DF" w:rsidRDefault="00247B61" w:rsidP="00247B61">
            <w:pPr>
              <w:pStyle w:val="TCTableBody"/>
              <w:spacing w:after="0" w:line="276" w:lineRule="auto"/>
              <w:rPr>
                <w:lang w:val="it-IT"/>
              </w:rPr>
            </w:pPr>
            <w:r w:rsidRPr="001558DF">
              <w:t>0.005</w:t>
            </w:r>
          </w:p>
        </w:tc>
      </w:tr>
      <w:tr w:rsidR="00247B61" w:rsidRPr="001558DF" w14:paraId="5A70E5B3" w14:textId="77777777" w:rsidTr="000B2B07">
        <w:tc>
          <w:tcPr>
            <w:tcW w:w="1276" w:type="dxa"/>
            <w:vMerge/>
            <w:tcBorders>
              <w:top w:val="nil"/>
              <w:bottom w:val="single" w:sz="8" w:space="0" w:color="auto"/>
            </w:tcBorders>
            <w:vAlign w:val="center"/>
          </w:tcPr>
          <w:p w14:paraId="30C180BA" w14:textId="77777777" w:rsidR="00247B61" w:rsidRPr="001558DF" w:rsidRDefault="00247B61" w:rsidP="00247B61">
            <w:pPr>
              <w:pStyle w:val="TCTableBody"/>
              <w:spacing w:after="0" w:line="276" w:lineRule="auto"/>
            </w:pPr>
          </w:p>
        </w:tc>
        <w:tc>
          <w:tcPr>
            <w:tcW w:w="1070" w:type="dxa"/>
            <w:vMerge/>
            <w:vAlign w:val="center"/>
          </w:tcPr>
          <w:p w14:paraId="0A741F6A" w14:textId="77777777" w:rsidR="00247B61" w:rsidRPr="001558DF" w:rsidRDefault="00247B61" w:rsidP="00247B61">
            <w:pPr>
              <w:pStyle w:val="TCTableBody"/>
              <w:spacing w:after="0" w:line="276" w:lineRule="auto"/>
            </w:pPr>
          </w:p>
        </w:tc>
        <w:tc>
          <w:tcPr>
            <w:tcW w:w="915" w:type="dxa"/>
            <w:tcBorders>
              <w:top w:val="single" w:sz="4" w:space="0" w:color="auto"/>
              <w:bottom w:val="nil"/>
            </w:tcBorders>
          </w:tcPr>
          <w:p w14:paraId="23E5CFB2" w14:textId="77777777" w:rsidR="00247B61" w:rsidRPr="001558DF" w:rsidRDefault="00247B61" w:rsidP="00247B61">
            <w:pPr>
              <w:pStyle w:val="TCTableBody"/>
              <w:spacing w:after="0" w:line="276" w:lineRule="auto"/>
            </w:pPr>
            <w:r w:rsidRPr="001558DF">
              <w:t>Sn-Sn</w:t>
            </w:r>
          </w:p>
        </w:tc>
        <w:tc>
          <w:tcPr>
            <w:tcW w:w="1417" w:type="dxa"/>
            <w:tcBorders>
              <w:top w:val="single" w:sz="4" w:space="0" w:color="auto"/>
              <w:bottom w:val="nil"/>
            </w:tcBorders>
          </w:tcPr>
          <w:p w14:paraId="425D9D41" w14:textId="77777777" w:rsidR="00247B61" w:rsidRPr="001558DF" w:rsidRDefault="00247B61" w:rsidP="00247B61">
            <w:pPr>
              <w:pStyle w:val="TCTableBody"/>
              <w:spacing w:after="0" w:line="276" w:lineRule="auto"/>
            </w:pPr>
            <w:r w:rsidRPr="001558DF">
              <w:t>1.65 ± 0.91</w:t>
            </w:r>
          </w:p>
        </w:tc>
        <w:tc>
          <w:tcPr>
            <w:tcW w:w="1588" w:type="dxa"/>
            <w:tcBorders>
              <w:top w:val="single" w:sz="4" w:space="0" w:color="auto"/>
            </w:tcBorders>
            <w:vAlign w:val="center"/>
          </w:tcPr>
          <w:p w14:paraId="1C66AC4B" w14:textId="77777777" w:rsidR="00247B61" w:rsidRPr="001558DF" w:rsidRDefault="00247B61" w:rsidP="00247B61">
            <w:pPr>
              <w:pStyle w:val="TCTableBody"/>
              <w:spacing w:after="0" w:line="276" w:lineRule="auto"/>
            </w:pPr>
            <w:r w:rsidRPr="001558DF">
              <w:t>3.213 ± 0.019</w:t>
            </w:r>
          </w:p>
        </w:tc>
        <w:tc>
          <w:tcPr>
            <w:tcW w:w="1105" w:type="dxa"/>
            <w:tcBorders>
              <w:top w:val="single" w:sz="4" w:space="0" w:color="auto"/>
            </w:tcBorders>
            <w:vAlign w:val="center"/>
          </w:tcPr>
          <w:p w14:paraId="29EC7F61" w14:textId="77777777" w:rsidR="00247B61" w:rsidRPr="001558DF" w:rsidRDefault="00247B61" w:rsidP="00247B61">
            <w:pPr>
              <w:pStyle w:val="TCTableBody"/>
              <w:spacing w:after="0" w:line="276" w:lineRule="auto"/>
            </w:pPr>
            <w:r w:rsidRPr="001558DF">
              <w:t>56 ± 41</w:t>
            </w:r>
          </w:p>
        </w:tc>
        <w:tc>
          <w:tcPr>
            <w:tcW w:w="1134" w:type="dxa"/>
            <w:vMerge w:val="restart"/>
            <w:tcBorders>
              <w:top w:val="single" w:sz="4" w:space="0" w:color="auto"/>
            </w:tcBorders>
            <w:vAlign w:val="center"/>
          </w:tcPr>
          <w:p w14:paraId="70DF86AD" w14:textId="77777777" w:rsidR="00247B61" w:rsidRPr="001558DF" w:rsidRDefault="00247B61" w:rsidP="00247B61">
            <w:pPr>
              <w:pStyle w:val="TCTableBody"/>
              <w:spacing w:after="0" w:line="276" w:lineRule="auto"/>
              <w:rPr>
                <w:lang w:val="it-IT"/>
              </w:rPr>
            </w:pPr>
            <w:r w:rsidRPr="001558DF">
              <w:rPr>
                <w:lang w:val="it-IT"/>
              </w:rPr>
              <w:t>5.0 ± 0.9</w:t>
            </w:r>
          </w:p>
        </w:tc>
        <w:tc>
          <w:tcPr>
            <w:tcW w:w="851" w:type="dxa"/>
            <w:vMerge w:val="restart"/>
            <w:tcBorders>
              <w:top w:val="single" w:sz="4" w:space="0" w:color="auto"/>
            </w:tcBorders>
            <w:vAlign w:val="center"/>
          </w:tcPr>
          <w:p w14:paraId="4A3E7DE7" w14:textId="77777777" w:rsidR="00247B61" w:rsidRPr="001558DF" w:rsidRDefault="00247B61" w:rsidP="00247B61">
            <w:pPr>
              <w:pStyle w:val="TCTableBody"/>
              <w:spacing w:after="0" w:line="276" w:lineRule="auto"/>
              <w:rPr>
                <w:lang w:val="it-IT"/>
              </w:rPr>
            </w:pPr>
            <w:r w:rsidRPr="001558DF">
              <w:rPr>
                <w:lang w:val="it-IT"/>
              </w:rPr>
              <w:t>0.011</w:t>
            </w:r>
          </w:p>
        </w:tc>
      </w:tr>
      <w:tr w:rsidR="00247B61" w:rsidRPr="001558DF" w14:paraId="0DD0D227" w14:textId="77777777" w:rsidTr="000B2B07">
        <w:tc>
          <w:tcPr>
            <w:tcW w:w="1276" w:type="dxa"/>
            <w:vMerge/>
            <w:tcBorders>
              <w:top w:val="nil"/>
              <w:bottom w:val="single" w:sz="8" w:space="0" w:color="auto"/>
            </w:tcBorders>
          </w:tcPr>
          <w:p w14:paraId="3828FB9D" w14:textId="77777777" w:rsidR="00247B61" w:rsidRPr="001558DF" w:rsidRDefault="00247B61" w:rsidP="00247B61">
            <w:pPr>
              <w:pStyle w:val="TCTableBody"/>
              <w:spacing w:after="0" w:line="276" w:lineRule="auto"/>
              <w:rPr>
                <w:lang w:val="it-IT"/>
              </w:rPr>
            </w:pPr>
          </w:p>
        </w:tc>
        <w:tc>
          <w:tcPr>
            <w:tcW w:w="1070" w:type="dxa"/>
            <w:vMerge/>
            <w:tcBorders>
              <w:bottom w:val="single" w:sz="4" w:space="0" w:color="auto"/>
            </w:tcBorders>
          </w:tcPr>
          <w:p w14:paraId="17498BFB" w14:textId="77777777" w:rsidR="00247B61" w:rsidRPr="001558DF" w:rsidRDefault="00247B61" w:rsidP="00247B61">
            <w:pPr>
              <w:pStyle w:val="TCTableBody"/>
              <w:spacing w:after="0" w:line="276" w:lineRule="auto"/>
              <w:rPr>
                <w:lang w:val="it-IT"/>
              </w:rPr>
            </w:pPr>
          </w:p>
        </w:tc>
        <w:tc>
          <w:tcPr>
            <w:tcW w:w="915" w:type="dxa"/>
            <w:tcBorders>
              <w:top w:val="nil"/>
              <w:bottom w:val="single" w:sz="4" w:space="0" w:color="auto"/>
            </w:tcBorders>
          </w:tcPr>
          <w:p w14:paraId="7B8BDCC5" w14:textId="77777777" w:rsidR="00247B61" w:rsidRPr="001558DF" w:rsidRDefault="00247B61" w:rsidP="00247B61">
            <w:pPr>
              <w:pStyle w:val="TCTableBody"/>
              <w:spacing w:after="0" w:line="276" w:lineRule="auto"/>
              <w:rPr>
                <w:lang w:val="it-IT"/>
              </w:rPr>
            </w:pPr>
            <w:r w:rsidRPr="001558DF">
              <w:rPr>
                <w:lang w:val="it-IT"/>
              </w:rPr>
              <w:t>Sn-O</w:t>
            </w:r>
          </w:p>
        </w:tc>
        <w:tc>
          <w:tcPr>
            <w:tcW w:w="1417" w:type="dxa"/>
            <w:tcBorders>
              <w:top w:val="nil"/>
              <w:bottom w:val="single" w:sz="4" w:space="0" w:color="auto"/>
            </w:tcBorders>
          </w:tcPr>
          <w:p w14:paraId="3FA1616F" w14:textId="77777777" w:rsidR="00247B61" w:rsidRPr="001558DF" w:rsidRDefault="00247B61" w:rsidP="00247B61">
            <w:pPr>
              <w:pStyle w:val="TCTableBody"/>
              <w:spacing w:after="0" w:line="276" w:lineRule="auto"/>
              <w:rPr>
                <w:lang w:val="it-IT"/>
              </w:rPr>
            </w:pPr>
            <w:r w:rsidRPr="001558DF">
              <w:rPr>
                <w:lang w:val="it-IT"/>
              </w:rPr>
              <w:t>5.36 ± 0.38</w:t>
            </w:r>
          </w:p>
        </w:tc>
        <w:tc>
          <w:tcPr>
            <w:tcW w:w="1588" w:type="dxa"/>
            <w:tcBorders>
              <w:bottom w:val="single" w:sz="4" w:space="0" w:color="auto"/>
            </w:tcBorders>
          </w:tcPr>
          <w:p w14:paraId="2D23C082" w14:textId="77777777" w:rsidR="00247B61" w:rsidRPr="001558DF" w:rsidRDefault="00247B61" w:rsidP="00247B61">
            <w:pPr>
              <w:pStyle w:val="TCTableBody"/>
              <w:spacing w:after="0" w:line="276" w:lineRule="auto"/>
              <w:rPr>
                <w:lang w:val="it-IT"/>
              </w:rPr>
            </w:pPr>
            <w:r w:rsidRPr="001558DF">
              <w:rPr>
                <w:lang w:val="it-IT"/>
              </w:rPr>
              <w:t>2.053 ± 0.007</w:t>
            </w:r>
          </w:p>
        </w:tc>
        <w:tc>
          <w:tcPr>
            <w:tcW w:w="1105" w:type="dxa"/>
            <w:tcBorders>
              <w:bottom w:val="single" w:sz="4" w:space="0" w:color="auto"/>
            </w:tcBorders>
          </w:tcPr>
          <w:p w14:paraId="4F9D0541" w14:textId="77777777" w:rsidR="00247B61" w:rsidRPr="001558DF" w:rsidRDefault="00247B61" w:rsidP="00247B61">
            <w:pPr>
              <w:pStyle w:val="TCTableBody"/>
              <w:spacing w:after="0" w:line="276" w:lineRule="auto"/>
              <w:rPr>
                <w:lang w:val="it-IT"/>
              </w:rPr>
            </w:pPr>
            <w:r w:rsidRPr="001558DF">
              <w:rPr>
                <w:lang w:val="it-IT"/>
              </w:rPr>
              <w:t>32 ± 9</w:t>
            </w:r>
          </w:p>
        </w:tc>
        <w:tc>
          <w:tcPr>
            <w:tcW w:w="1134" w:type="dxa"/>
            <w:vMerge/>
            <w:tcBorders>
              <w:bottom w:val="single" w:sz="4" w:space="0" w:color="auto"/>
            </w:tcBorders>
          </w:tcPr>
          <w:p w14:paraId="55DF7A22" w14:textId="77777777" w:rsidR="00247B61" w:rsidRPr="001558DF" w:rsidRDefault="00247B61" w:rsidP="00247B61">
            <w:pPr>
              <w:pStyle w:val="TCTableBody"/>
              <w:spacing w:after="0" w:line="276" w:lineRule="auto"/>
              <w:rPr>
                <w:lang w:val="it-IT"/>
              </w:rPr>
            </w:pPr>
          </w:p>
        </w:tc>
        <w:tc>
          <w:tcPr>
            <w:tcW w:w="851" w:type="dxa"/>
            <w:vMerge/>
            <w:tcBorders>
              <w:bottom w:val="single" w:sz="4" w:space="0" w:color="auto"/>
            </w:tcBorders>
          </w:tcPr>
          <w:p w14:paraId="795D5D4A" w14:textId="77777777" w:rsidR="00247B61" w:rsidRPr="001558DF" w:rsidRDefault="00247B61" w:rsidP="00247B61">
            <w:pPr>
              <w:pStyle w:val="TCTableBody"/>
              <w:spacing w:after="0" w:line="276" w:lineRule="auto"/>
              <w:rPr>
                <w:lang w:val="it-IT"/>
              </w:rPr>
            </w:pPr>
          </w:p>
        </w:tc>
      </w:tr>
      <w:tr w:rsidR="00247B61" w:rsidRPr="001558DF" w14:paraId="144524CB" w14:textId="77777777" w:rsidTr="000B2B07">
        <w:tc>
          <w:tcPr>
            <w:tcW w:w="1276" w:type="dxa"/>
            <w:vMerge/>
            <w:tcBorders>
              <w:top w:val="nil"/>
              <w:bottom w:val="single" w:sz="8" w:space="0" w:color="auto"/>
            </w:tcBorders>
          </w:tcPr>
          <w:p w14:paraId="1F1AD5CC" w14:textId="77777777" w:rsidR="00247B61" w:rsidRPr="001558DF" w:rsidRDefault="00247B61" w:rsidP="00247B61">
            <w:pPr>
              <w:pStyle w:val="TCTableBody"/>
              <w:spacing w:after="0" w:line="276" w:lineRule="auto"/>
              <w:rPr>
                <w:lang w:val="it-IT"/>
              </w:rPr>
            </w:pPr>
          </w:p>
        </w:tc>
        <w:tc>
          <w:tcPr>
            <w:tcW w:w="1070" w:type="dxa"/>
            <w:vMerge w:val="restart"/>
            <w:tcBorders>
              <w:top w:val="single" w:sz="4" w:space="0" w:color="auto"/>
            </w:tcBorders>
            <w:vAlign w:val="center"/>
          </w:tcPr>
          <w:p w14:paraId="6388AC5A" w14:textId="77777777" w:rsidR="00247B61" w:rsidRPr="001558DF" w:rsidRDefault="00247B61" w:rsidP="00247B61">
            <w:pPr>
              <w:pStyle w:val="TCTableBody"/>
              <w:spacing w:after="0" w:line="276" w:lineRule="auto"/>
              <w:rPr>
                <w:lang w:val="it-IT"/>
              </w:rPr>
            </w:pPr>
            <w:r w:rsidRPr="001558DF">
              <w:rPr>
                <w:lang w:val="it-IT"/>
              </w:rPr>
              <w:t>0.4 V</w:t>
            </w:r>
          </w:p>
        </w:tc>
        <w:tc>
          <w:tcPr>
            <w:tcW w:w="915" w:type="dxa"/>
            <w:tcBorders>
              <w:top w:val="single" w:sz="4" w:space="0" w:color="auto"/>
              <w:bottom w:val="nil"/>
            </w:tcBorders>
          </w:tcPr>
          <w:p w14:paraId="0D48F036" w14:textId="77777777" w:rsidR="00247B61" w:rsidRPr="001558DF" w:rsidRDefault="00247B61" w:rsidP="00247B61">
            <w:pPr>
              <w:pStyle w:val="TCTableBody"/>
              <w:spacing w:after="0" w:line="276" w:lineRule="auto"/>
              <w:rPr>
                <w:lang w:val="it-IT"/>
              </w:rPr>
            </w:pPr>
            <w:r w:rsidRPr="001558DF">
              <w:t>Pt-Pt</w:t>
            </w:r>
            <w:r w:rsidRPr="001558DF">
              <w:rPr>
                <w:vertAlign w:val="subscript"/>
              </w:rPr>
              <w:t>1</w:t>
            </w:r>
          </w:p>
        </w:tc>
        <w:tc>
          <w:tcPr>
            <w:tcW w:w="1417" w:type="dxa"/>
            <w:tcBorders>
              <w:top w:val="single" w:sz="4" w:space="0" w:color="auto"/>
              <w:bottom w:val="nil"/>
            </w:tcBorders>
          </w:tcPr>
          <w:p w14:paraId="4233F03B" w14:textId="77777777" w:rsidR="00247B61" w:rsidRPr="001558DF" w:rsidRDefault="00247B61" w:rsidP="00247B61">
            <w:pPr>
              <w:pStyle w:val="TCTableBody"/>
              <w:spacing w:after="0" w:line="276" w:lineRule="auto"/>
              <w:rPr>
                <w:lang w:val="it-IT"/>
              </w:rPr>
            </w:pPr>
            <w:r w:rsidRPr="001558DF">
              <w:t>9.10 ± 0.27</w:t>
            </w:r>
          </w:p>
        </w:tc>
        <w:tc>
          <w:tcPr>
            <w:tcW w:w="1588" w:type="dxa"/>
            <w:tcBorders>
              <w:top w:val="single" w:sz="4" w:space="0" w:color="auto"/>
            </w:tcBorders>
            <w:vAlign w:val="center"/>
          </w:tcPr>
          <w:p w14:paraId="5D93CC24" w14:textId="77777777" w:rsidR="00247B61" w:rsidRPr="001558DF" w:rsidRDefault="00247B61" w:rsidP="00247B61">
            <w:pPr>
              <w:pStyle w:val="TCTableBody"/>
              <w:spacing w:after="0" w:line="276" w:lineRule="auto"/>
              <w:rPr>
                <w:lang w:val="it-IT"/>
              </w:rPr>
            </w:pPr>
            <w:r w:rsidRPr="001558DF">
              <w:t>2.744 ± 0.001</w:t>
            </w:r>
          </w:p>
        </w:tc>
        <w:tc>
          <w:tcPr>
            <w:tcW w:w="1105" w:type="dxa"/>
            <w:tcBorders>
              <w:top w:val="single" w:sz="4" w:space="0" w:color="auto"/>
            </w:tcBorders>
            <w:vAlign w:val="center"/>
          </w:tcPr>
          <w:p w14:paraId="0A0B7093" w14:textId="77777777" w:rsidR="00247B61" w:rsidRPr="001558DF" w:rsidRDefault="00247B61" w:rsidP="00247B61">
            <w:pPr>
              <w:pStyle w:val="TCTableBody"/>
              <w:spacing w:after="0" w:line="276" w:lineRule="auto"/>
              <w:rPr>
                <w:color w:val="FF0000"/>
                <w:lang w:val="it-IT"/>
              </w:rPr>
            </w:pPr>
            <w:r w:rsidRPr="001558DF">
              <w:t>57 ± 1</w:t>
            </w:r>
          </w:p>
        </w:tc>
        <w:tc>
          <w:tcPr>
            <w:tcW w:w="1134" w:type="dxa"/>
            <w:tcBorders>
              <w:top w:val="single" w:sz="4" w:space="0" w:color="auto"/>
            </w:tcBorders>
            <w:vAlign w:val="center"/>
          </w:tcPr>
          <w:p w14:paraId="73EA75AA" w14:textId="77777777" w:rsidR="00247B61" w:rsidRPr="001558DF" w:rsidRDefault="00247B61" w:rsidP="00247B61">
            <w:pPr>
              <w:pStyle w:val="TCTableBody"/>
              <w:spacing w:after="0" w:line="276" w:lineRule="auto"/>
              <w:rPr>
                <w:lang w:val="it-IT"/>
              </w:rPr>
            </w:pPr>
            <w:r w:rsidRPr="001558DF">
              <w:t>7.3 ± 0.3</w:t>
            </w:r>
          </w:p>
        </w:tc>
        <w:tc>
          <w:tcPr>
            <w:tcW w:w="851" w:type="dxa"/>
            <w:tcBorders>
              <w:top w:val="single" w:sz="4" w:space="0" w:color="auto"/>
            </w:tcBorders>
            <w:vAlign w:val="center"/>
          </w:tcPr>
          <w:p w14:paraId="04B0F8CB" w14:textId="77777777" w:rsidR="00247B61" w:rsidRPr="001558DF" w:rsidRDefault="00247B61" w:rsidP="00247B61">
            <w:pPr>
              <w:pStyle w:val="TCTableBody"/>
              <w:spacing w:after="0" w:line="276" w:lineRule="auto"/>
              <w:rPr>
                <w:lang w:val="it-IT"/>
              </w:rPr>
            </w:pPr>
            <w:r w:rsidRPr="001558DF">
              <w:t>0.003</w:t>
            </w:r>
          </w:p>
        </w:tc>
      </w:tr>
      <w:tr w:rsidR="00247B61" w:rsidRPr="001558DF" w14:paraId="7121A2FD" w14:textId="77777777" w:rsidTr="000B2B07">
        <w:tc>
          <w:tcPr>
            <w:tcW w:w="1276" w:type="dxa"/>
            <w:vMerge/>
            <w:tcBorders>
              <w:top w:val="nil"/>
              <w:bottom w:val="single" w:sz="8" w:space="0" w:color="auto"/>
            </w:tcBorders>
          </w:tcPr>
          <w:p w14:paraId="3BA13732" w14:textId="77777777" w:rsidR="00247B61" w:rsidRPr="001558DF" w:rsidRDefault="00247B61" w:rsidP="00247B61">
            <w:pPr>
              <w:pStyle w:val="TCTableBody"/>
              <w:spacing w:after="0" w:line="276" w:lineRule="auto"/>
              <w:rPr>
                <w:lang w:val="it-IT"/>
              </w:rPr>
            </w:pPr>
          </w:p>
        </w:tc>
        <w:tc>
          <w:tcPr>
            <w:tcW w:w="1070" w:type="dxa"/>
            <w:vMerge/>
            <w:vAlign w:val="center"/>
          </w:tcPr>
          <w:p w14:paraId="32CF3C87" w14:textId="77777777" w:rsidR="00247B61" w:rsidRPr="001558DF" w:rsidRDefault="00247B61" w:rsidP="00247B61">
            <w:pPr>
              <w:pStyle w:val="TCTableBody"/>
              <w:spacing w:after="0" w:line="276" w:lineRule="auto"/>
              <w:rPr>
                <w:lang w:val="it-IT"/>
              </w:rPr>
            </w:pPr>
          </w:p>
        </w:tc>
        <w:tc>
          <w:tcPr>
            <w:tcW w:w="915" w:type="dxa"/>
            <w:tcBorders>
              <w:top w:val="single" w:sz="4" w:space="0" w:color="auto"/>
              <w:bottom w:val="nil"/>
            </w:tcBorders>
          </w:tcPr>
          <w:p w14:paraId="5351C5D5" w14:textId="77777777" w:rsidR="00247B61" w:rsidRPr="001558DF" w:rsidRDefault="00247B61" w:rsidP="00247B61">
            <w:pPr>
              <w:pStyle w:val="TCTableBody"/>
              <w:spacing w:after="0" w:line="276" w:lineRule="auto"/>
              <w:rPr>
                <w:lang w:val="it-IT"/>
              </w:rPr>
            </w:pPr>
            <w:r w:rsidRPr="001558DF">
              <w:rPr>
                <w:lang w:val="it-IT"/>
              </w:rPr>
              <w:t>Sn-Sn</w:t>
            </w:r>
          </w:p>
        </w:tc>
        <w:tc>
          <w:tcPr>
            <w:tcW w:w="1417" w:type="dxa"/>
            <w:tcBorders>
              <w:top w:val="single" w:sz="4" w:space="0" w:color="auto"/>
              <w:bottom w:val="nil"/>
            </w:tcBorders>
          </w:tcPr>
          <w:p w14:paraId="031F5E77" w14:textId="77777777" w:rsidR="00247B61" w:rsidRPr="001558DF" w:rsidRDefault="00247B61" w:rsidP="00247B61">
            <w:pPr>
              <w:pStyle w:val="TCTableBody"/>
              <w:spacing w:after="0" w:line="276" w:lineRule="auto"/>
              <w:rPr>
                <w:lang w:val="it-IT"/>
              </w:rPr>
            </w:pPr>
            <w:r w:rsidRPr="001558DF">
              <w:rPr>
                <w:lang w:val="it-IT"/>
              </w:rPr>
              <w:t>1.47 ± 0.74</w:t>
            </w:r>
          </w:p>
        </w:tc>
        <w:tc>
          <w:tcPr>
            <w:tcW w:w="1588" w:type="dxa"/>
            <w:tcBorders>
              <w:top w:val="single" w:sz="4" w:space="0" w:color="auto"/>
            </w:tcBorders>
            <w:vAlign w:val="center"/>
          </w:tcPr>
          <w:p w14:paraId="6577A5CA" w14:textId="77777777" w:rsidR="00247B61" w:rsidRPr="001558DF" w:rsidRDefault="00247B61" w:rsidP="00247B61">
            <w:pPr>
              <w:pStyle w:val="TCTableBody"/>
              <w:spacing w:after="0" w:line="276" w:lineRule="auto"/>
              <w:rPr>
                <w:lang w:val="it-IT"/>
              </w:rPr>
            </w:pPr>
            <w:r w:rsidRPr="001558DF">
              <w:rPr>
                <w:lang w:val="it-IT"/>
              </w:rPr>
              <w:t>3.214 ± 0.015</w:t>
            </w:r>
          </w:p>
        </w:tc>
        <w:tc>
          <w:tcPr>
            <w:tcW w:w="1105" w:type="dxa"/>
            <w:tcBorders>
              <w:top w:val="single" w:sz="4" w:space="0" w:color="auto"/>
            </w:tcBorders>
            <w:vAlign w:val="center"/>
          </w:tcPr>
          <w:p w14:paraId="3A2016D2" w14:textId="77777777" w:rsidR="00247B61" w:rsidRPr="001558DF" w:rsidRDefault="00247B61" w:rsidP="00247B61">
            <w:pPr>
              <w:pStyle w:val="TCTableBody"/>
              <w:spacing w:after="0" w:line="276" w:lineRule="auto"/>
              <w:rPr>
                <w:lang w:val="it-IT"/>
              </w:rPr>
            </w:pPr>
            <w:r w:rsidRPr="001558DF">
              <w:rPr>
                <w:lang w:val="it-IT"/>
              </w:rPr>
              <w:t>27 ± 31</w:t>
            </w:r>
          </w:p>
        </w:tc>
        <w:tc>
          <w:tcPr>
            <w:tcW w:w="1134" w:type="dxa"/>
            <w:vMerge w:val="restart"/>
            <w:tcBorders>
              <w:top w:val="single" w:sz="4" w:space="0" w:color="auto"/>
            </w:tcBorders>
            <w:vAlign w:val="center"/>
          </w:tcPr>
          <w:p w14:paraId="7C1837FF" w14:textId="77777777" w:rsidR="00247B61" w:rsidRPr="001558DF" w:rsidRDefault="00247B61" w:rsidP="00247B61">
            <w:pPr>
              <w:pStyle w:val="TCTableBody"/>
              <w:spacing w:after="0" w:line="276" w:lineRule="auto"/>
              <w:rPr>
                <w:lang w:val="it-IT"/>
              </w:rPr>
            </w:pPr>
            <w:r w:rsidRPr="001558DF">
              <w:rPr>
                <w:lang w:val="it-IT"/>
              </w:rPr>
              <w:t>4.3 ± 0.9</w:t>
            </w:r>
          </w:p>
        </w:tc>
        <w:tc>
          <w:tcPr>
            <w:tcW w:w="851" w:type="dxa"/>
            <w:vMerge w:val="restart"/>
            <w:tcBorders>
              <w:top w:val="single" w:sz="4" w:space="0" w:color="auto"/>
            </w:tcBorders>
            <w:vAlign w:val="center"/>
          </w:tcPr>
          <w:p w14:paraId="48293D4E" w14:textId="77777777" w:rsidR="00247B61" w:rsidRPr="001558DF" w:rsidRDefault="00247B61" w:rsidP="00247B61">
            <w:pPr>
              <w:pStyle w:val="TCTableBody"/>
              <w:spacing w:after="0" w:line="276" w:lineRule="auto"/>
              <w:rPr>
                <w:lang w:val="it-IT"/>
              </w:rPr>
            </w:pPr>
            <w:r w:rsidRPr="001558DF">
              <w:rPr>
                <w:lang w:val="it-IT"/>
              </w:rPr>
              <w:t>0.012</w:t>
            </w:r>
          </w:p>
        </w:tc>
      </w:tr>
      <w:tr w:rsidR="00247B61" w:rsidRPr="001558DF" w14:paraId="34766CDA" w14:textId="77777777" w:rsidTr="000B2B07">
        <w:tc>
          <w:tcPr>
            <w:tcW w:w="1276" w:type="dxa"/>
            <w:vMerge/>
            <w:tcBorders>
              <w:top w:val="nil"/>
              <w:bottom w:val="single" w:sz="8" w:space="0" w:color="auto"/>
            </w:tcBorders>
          </w:tcPr>
          <w:p w14:paraId="3276B2F4" w14:textId="77777777" w:rsidR="00247B61" w:rsidRPr="001558DF" w:rsidRDefault="00247B61" w:rsidP="00247B61">
            <w:pPr>
              <w:pStyle w:val="TCTableBody"/>
              <w:spacing w:after="0" w:line="276" w:lineRule="auto"/>
              <w:rPr>
                <w:lang w:val="it-IT"/>
              </w:rPr>
            </w:pPr>
          </w:p>
        </w:tc>
        <w:tc>
          <w:tcPr>
            <w:tcW w:w="1070" w:type="dxa"/>
            <w:vMerge/>
            <w:tcBorders>
              <w:bottom w:val="single" w:sz="4" w:space="0" w:color="auto"/>
            </w:tcBorders>
          </w:tcPr>
          <w:p w14:paraId="0EBC1BD3" w14:textId="77777777" w:rsidR="00247B61" w:rsidRPr="001558DF" w:rsidRDefault="00247B61" w:rsidP="00247B61">
            <w:pPr>
              <w:pStyle w:val="TCTableBody"/>
              <w:spacing w:after="0" w:line="276" w:lineRule="auto"/>
              <w:rPr>
                <w:lang w:val="it-IT"/>
              </w:rPr>
            </w:pPr>
          </w:p>
        </w:tc>
        <w:tc>
          <w:tcPr>
            <w:tcW w:w="915" w:type="dxa"/>
            <w:tcBorders>
              <w:top w:val="nil"/>
              <w:bottom w:val="single" w:sz="4" w:space="0" w:color="auto"/>
            </w:tcBorders>
          </w:tcPr>
          <w:p w14:paraId="618437AE" w14:textId="77777777" w:rsidR="00247B61" w:rsidRPr="001558DF" w:rsidRDefault="00247B61" w:rsidP="00247B61">
            <w:pPr>
              <w:pStyle w:val="TCTableBody"/>
              <w:spacing w:after="0" w:line="276" w:lineRule="auto"/>
              <w:rPr>
                <w:lang w:val="it-IT"/>
              </w:rPr>
            </w:pPr>
            <w:r w:rsidRPr="001558DF">
              <w:rPr>
                <w:lang w:val="it-IT"/>
              </w:rPr>
              <w:t>Sn-O</w:t>
            </w:r>
          </w:p>
        </w:tc>
        <w:tc>
          <w:tcPr>
            <w:tcW w:w="1417" w:type="dxa"/>
            <w:tcBorders>
              <w:top w:val="nil"/>
              <w:bottom w:val="single" w:sz="4" w:space="0" w:color="auto"/>
            </w:tcBorders>
          </w:tcPr>
          <w:p w14:paraId="2858F9BC" w14:textId="77777777" w:rsidR="00247B61" w:rsidRPr="001558DF" w:rsidRDefault="00247B61" w:rsidP="00247B61">
            <w:pPr>
              <w:pStyle w:val="TCTableBody"/>
              <w:spacing w:after="0" w:line="276" w:lineRule="auto"/>
              <w:rPr>
                <w:lang w:val="it-IT"/>
              </w:rPr>
            </w:pPr>
            <w:r w:rsidRPr="001558DF">
              <w:rPr>
                <w:lang w:val="it-IT"/>
              </w:rPr>
              <w:t>5.43 ± 0.40</w:t>
            </w:r>
          </w:p>
        </w:tc>
        <w:tc>
          <w:tcPr>
            <w:tcW w:w="1588" w:type="dxa"/>
            <w:tcBorders>
              <w:bottom w:val="single" w:sz="4" w:space="0" w:color="auto"/>
            </w:tcBorders>
          </w:tcPr>
          <w:p w14:paraId="78716DDF" w14:textId="77777777" w:rsidR="00247B61" w:rsidRPr="001558DF" w:rsidRDefault="00247B61" w:rsidP="00247B61">
            <w:pPr>
              <w:pStyle w:val="TCTableBody"/>
              <w:spacing w:after="0" w:line="276" w:lineRule="auto"/>
              <w:rPr>
                <w:lang w:val="it-IT"/>
              </w:rPr>
            </w:pPr>
            <w:r w:rsidRPr="001558DF">
              <w:rPr>
                <w:lang w:val="it-IT"/>
              </w:rPr>
              <w:t>2.056 ± 0.007</w:t>
            </w:r>
          </w:p>
        </w:tc>
        <w:tc>
          <w:tcPr>
            <w:tcW w:w="1105" w:type="dxa"/>
            <w:tcBorders>
              <w:bottom w:val="single" w:sz="4" w:space="0" w:color="auto"/>
            </w:tcBorders>
          </w:tcPr>
          <w:p w14:paraId="3290F647" w14:textId="77777777" w:rsidR="00247B61" w:rsidRPr="001558DF" w:rsidRDefault="00247B61" w:rsidP="00247B61">
            <w:pPr>
              <w:pStyle w:val="TCTableBody"/>
              <w:spacing w:after="0" w:line="276" w:lineRule="auto"/>
              <w:rPr>
                <w:lang w:val="it-IT"/>
              </w:rPr>
            </w:pPr>
            <w:r w:rsidRPr="001558DF">
              <w:rPr>
                <w:lang w:val="it-IT"/>
              </w:rPr>
              <w:t>35 ± 9</w:t>
            </w:r>
          </w:p>
        </w:tc>
        <w:tc>
          <w:tcPr>
            <w:tcW w:w="1134" w:type="dxa"/>
            <w:vMerge/>
            <w:tcBorders>
              <w:bottom w:val="single" w:sz="4" w:space="0" w:color="auto"/>
            </w:tcBorders>
          </w:tcPr>
          <w:p w14:paraId="7E44DBC7" w14:textId="77777777" w:rsidR="00247B61" w:rsidRPr="001558DF" w:rsidRDefault="00247B61" w:rsidP="00247B61">
            <w:pPr>
              <w:pStyle w:val="TCTableBody"/>
              <w:spacing w:after="0" w:line="276" w:lineRule="auto"/>
              <w:rPr>
                <w:lang w:val="it-IT"/>
              </w:rPr>
            </w:pPr>
          </w:p>
        </w:tc>
        <w:tc>
          <w:tcPr>
            <w:tcW w:w="851" w:type="dxa"/>
            <w:vMerge/>
            <w:tcBorders>
              <w:bottom w:val="single" w:sz="4" w:space="0" w:color="auto"/>
            </w:tcBorders>
          </w:tcPr>
          <w:p w14:paraId="32B06744" w14:textId="77777777" w:rsidR="00247B61" w:rsidRPr="001558DF" w:rsidRDefault="00247B61" w:rsidP="00247B61">
            <w:pPr>
              <w:pStyle w:val="TCTableBody"/>
              <w:spacing w:after="0" w:line="276" w:lineRule="auto"/>
              <w:rPr>
                <w:lang w:val="it-IT"/>
              </w:rPr>
            </w:pPr>
          </w:p>
        </w:tc>
      </w:tr>
      <w:tr w:rsidR="00247B61" w:rsidRPr="001558DF" w14:paraId="0A609A67" w14:textId="77777777" w:rsidTr="000B2B07">
        <w:tc>
          <w:tcPr>
            <w:tcW w:w="1276" w:type="dxa"/>
            <w:vMerge/>
            <w:tcBorders>
              <w:top w:val="nil"/>
              <w:bottom w:val="single" w:sz="8" w:space="0" w:color="auto"/>
            </w:tcBorders>
          </w:tcPr>
          <w:p w14:paraId="3E3AB62C" w14:textId="77777777" w:rsidR="00247B61" w:rsidRPr="001558DF" w:rsidRDefault="00247B61" w:rsidP="00247B61">
            <w:pPr>
              <w:pStyle w:val="TCTableBody"/>
              <w:spacing w:after="0" w:line="276" w:lineRule="auto"/>
              <w:rPr>
                <w:lang w:val="it-IT"/>
              </w:rPr>
            </w:pPr>
          </w:p>
        </w:tc>
        <w:tc>
          <w:tcPr>
            <w:tcW w:w="1070" w:type="dxa"/>
            <w:vMerge w:val="restart"/>
            <w:tcBorders>
              <w:top w:val="single" w:sz="4" w:space="0" w:color="auto"/>
              <w:bottom w:val="single" w:sz="8" w:space="0" w:color="auto"/>
            </w:tcBorders>
            <w:vAlign w:val="center"/>
          </w:tcPr>
          <w:p w14:paraId="6D6B7AB1" w14:textId="77777777" w:rsidR="00247B61" w:rsidRPr="001558DF" w:rsidRDefault="00247B61" w:rsidP="00247B61">
            <w:pPr>
              <w:pStyle w:val="TCTableBody"/>
              <w:spacing w:after="0" w:line="276" w:lineRule="auto"/>
              <w:rPr>
                <w:lang w:val="it-IT"/>
              </w:rPr>
            </w:pPr>
            <w:r w:rsidRPr="001558DF">
              <w:rPr>
                <w:lang w:val="it-IT"/>
              </w:rPr>
              <w:t>0.6 V</w:t>
            </w:r>
          </w:p>
        </w:tc>
        <w:tc>
          <w:tcPr>
            <w:tcW w:w="915" w:type="dxa"/>
            <w:tcBorders>
              <w:top w:val="single" w:sz="4" w:space="0" w:color="auto"/>
              <w:bottom w:val="nil"/>
            </w:tcBorders>
          </w:tcPr>
          <w:p w14:paraId="4F4EC7CB" w14:textId="77777777" w:rsidR="00247B61" w:rsidRPr="001558DF" w:rsidRDefault="00247B61" w:rsidP="00247B61">
            <w:pPr>
              <w:pStyle w:val="TCTableBody"/>
              <w:spacing w:after="0" w:line="276" w:lineRule="auto"/>
              <w:rPr>
                <w:lang w:val="it-IT"/>
              </w:rPr>
            </w:pPr>
            <w:r w:rsidRPr="001558DF">
              <w:t>Pt-Pt</w:t>
            </w:r>
            <w:r w:rsidRPr="001558DF">
              <w:rPr>
                <w:vertAlign w:val="subscript"/>
              </w:rPr>
              <w:t>1</w:t>
            </w:r>
          </w:p>
        </w:tc>
        <w:tc>
          <w:tcPr>
            <w:tcW w:w="1417" w:type="dxa"/>
            <w:tcBorders>
              <w:top w:val="single" w:sz="4" w:space="0" w:color="auto"/>
              <w:bottom w:val="nil"/>
            </w:tcBorders>
          </w:tcPr>
          <w:p w14:paraId="1C539B61" w14:textId="77777777" w:rsidR="00247B61" w:rsidRPr="001558DF" w:rsidRDefault="00247B61" w:rsidP="00247B61">
            <w:pPr>
              <w:pStyle w:val="TCTableBody"/>
              <w:spacing w:after="0" w:line="276" w:lineRule="auto"/>
              <w:rPr>
                <w:lang w:val="it-IT"/>
              </w:rPr>
            </w:pPr>
            <w:r w:rsidRPr="001558DF">
              <w:t>8.90 ± 0.33</w:t>
            </w:r>
          </w:p>
        </w:tc>
        <w:tc>
          <w:tcPr>
            <w:tcW w:w="1588" w:type="dxa"/>
            <w:tcBorders>
              <w:top w:val="single" w:sz="4" w:space="0" w:color="auto"/>
            </w:tcBorders>
            <w:vAlign w:val="center"/>
          </w:tcPr>
          <w:p w14:paraId="4E7C898A" w14:textId="77777777" w:rsidR="00247B61" w:rsidRPr="001558DF" w:rsidRDefault="00247B61" w:rsidP="00247B61">
            <w:pPr>
              <w:pStyle w:val="TCTableBody"/>
              <w:spacing w:after="0" w:line="276" w:lineRule="auto"/>
              <w:rPr>
                <w:lang w:val="it-IT"/>
              </w:rPr>
            </w:pPr>
            <w:r w:rsidRPr="001558DF">
              <w:t>2.744 ± 0.002</w:t>
            </w:r>
          </w:p>
        </w:tc>
        <w:tc>
          <w:tcPr>
            <w:tcW w:w="1105" w:type="dxa"/>
            <w:tcBorders>
              <w:top w:val="single" w:sz="4" w:space="0" w:color="auto"/>
            </w:tcBorders>
            <w:vAlign w:val="center"/>
          </w:tcPr>
          <w:p w14:paraId="1AB560E8" w14:textId="77777777" w:rsidR="00247B61" w:rsidRPr="001558DF" w:rsidRDefault="00247B61" w:rsidP="00247B61">
            <w:pPr>
              <w:pStyle w:val="TCTableBody"/>
              <w:spacing w:after="0" w:line="276" w:lineRule="auto"/>
              <w:rPr>
                <w:lang w:val="it-IT"/>
              </w:rPr>
            </w:pPr>
            <w:r w:rsidRPr="001558DF">
              <w:t>56 ± 2</w:t>
            </w:r>
          </w:p>
        </w:tc>
        <w:tc>
          <w:tcPr>
            <w:tcW w:w="1134" w:type="dxa"/>
            <w:tcBorders>
              <w:top w:val="single" w:sz="4" w:space="0" w:color="auto"/>
              <w:bottom w:val="single" w:sz="4" w:space="0" w:color="auto"/>
            </w:tcBorders>
            <w:vAlign w:val="center"/>
          </w:tcPr>
          <w:p w14:paraId="3B535BBB" w14:textId="77777777" w:rsidR="00247B61" w:rsidRPr="001558DF" w:rsidRDefault="00247B61" w:rsidP="00247B61">
            <w:pPr>
              <w:pStyle w:val="TCTableBody"/>
              <w:spacing w:after="0" w:line="276" w:lineRule="auto"/>
              <w:rPr>
                <w:lang w:val="it-IT"/>
              </w:rPr>
            </w:pPr>
            <w:r w:rsidRPr="001558DF">
              <w:t>7.2 ± 0.3</w:t>
            </w:r>
          </w:p>
        </w:tc>
        <w:tc>
          <w:tcPr>
            <w:tcW w:w="851" w:type="dxa"/>
            <w:tcBorders>
              <w:top w:val="single" w:sz="4" w:space="0" w:color="auto"/>
              <w:bottom w:val="single" w:sz="4" w:space="0" w:color="auto"/>
            </w:tcBorders>
            <w:vAlign w:val="center"/>
          </w:tcPr>
          <w:p w14:paraId="07F2D84C" w14:textId="77777777" w:rsidR="00247B61" w:rsidRPr="001558DF" w:rsidRDefault="00247B61" w:rsidP="00247B61">
            <w:pPr>
              <w:pStyle w:val="TCTableBody"/>
              <w:spacing w:after="0" w:line="276" w:lineRule="auto"/>
              <w:rPr>
                <w:lang w:val="it-IT"/>
              </w:rPr>
            </w:pPr>
            <w:r w:rsidRPr="001558DF">
              <w:t>0.003</w:t>
            </w:r>
          </w:p>
        </w:tc>
      </w:tr>
      <w:tr w:rsidR="00247B61" w:rsidRPr="001558DF" w14:paraId="0FF2650E" w14:textId="77777777" w:rsidTr="000B2B07">
        <w:tc>
          <w:tcPr>
            <w:tcW w:w="1276" w:type="dxa"/>
            <w:vMerge/>
            <w:tcBorders>
              <w:top w:val="nil"/>
              <w:bottom w:val="single" w:sz="8" w:space="0" w:color="auto"/>
            </w:tcBorders>
          </w:tcPr>
          <w:p w14:paraId="37101D23" w14:textId="77777777" w:rsidR="00247B61" w:rsidRPr="001558DF" w:rsidRDefault="00247B61" w:rsidP="00247B61">
            <w:pPr>
              <w:pStyle w:val="TCTableBody"/>
              <w:spacing w:after="0" w:line="276" w:lineRule="auto"/>
              <w:rPr>
                <w:lang w:val="it-IT"/>
              </w:rPr>
            </w:pPr>
          </w:p>
        </w:tc>
        <w:tc>
          <w:tcPr>
            <w:tcW w:w="1070" w:type="dxa"/>
            <w:vMerge/>
            <w:tcBorders>
              <w:top w:val="nil"/>
              <w:bottom w:val="single" w:sz="8" w:space="0" w:color="auto"/>
            </w:tcBorders>
            <w:vAlign w:val="center"/>
          </w:tcPr>
          <w:p w14:paraId="003A98A4" w14:textId="77777777" w:rsidR="00247B61" w:rsidRPr="001558DF" w:rsidRDefault="00247B61" w:rsidP="00247B61">
            <w:pPr>
              <w:pStyle w:val="TCTableBody"/>
              <w:spacing w:after="0" w:line="276" w:lineRule="auto"/>
              <w:rPr>
                <w:lang w:val="it-IT"/>
              </w:rPr>
            </w:pPr>
          </w:p>
        </w:tc>
        <w:tc>
          <w:tcPr>
            <w:tcW w:w="915" w:type="dxa"/>
            <w:tcBorders>
              <w:top w:val="single" w:sz="4" w:space="0" w:color="auto"/>
              <w:bottom w:val="nil"/>
            </w:tcBorders>
          </w:tcPr>
          <w:p w14:paraId="62FE85A5" w14:textId="77777777" w:rsidR="00247B61" w:rsidRPr="001558DF" w:rsidRDefault="00247B61" w:rsidP="00247B61">
            <w:pPr>
              <w:pStyle w:val="TCTableBody"/>
              <w:spacing w:after="0" w:line="276" w:lineRule="auto"/>
              <w:rPr>
                <w:lang w:val="it-IT"/>
              </w:rPr>
            </w:pPr>
            <w:r w:rsidRPr="001558DF">
              <w:rPr>
                <w:lang w:val="it-IT"/>
              </w:rPr>
              <w:t>Sn-Sn</w:t>
            </w:r>
          </w:p>
        </w:tc>
        <w:tc>
          <w:tcPr>
            <w:tcW w:w="1417" w:type="dxa"/>
            <w:tcBorders>
              <w:top w:val="single" w:sz="4" w:space="0" w:color="auto"/>
              <w:bottom w:val="nil"/>
            </w:tcBorders>
          </w:tcPr>
          <w:p w14:paraId="595A0261" w14:textId="77777777" w:rsidR="00247B61" w:rsidRPr="001558DF" w:rsidRDefault="00247B61" w:rsidP="00247B61">
            <w:pPr>
              <w:pStyle w:val="TCTableBody"/>
              <w:spacing w:after="0" w:line="276" w:lineRule="auto"/>
              <w:rPr>
                <w:lang w:val="it-IT"/>
              </w:rPr>
            </w:pPr>
            <w:r w:rsidRPr="001558DF">
              <w:rPr>
                <w:lang w:val="it-IT"/>
              </w:rPr>
              <w:t>1.69 ± 1.00</w:t>
            </w:r>
          </w:p>
        </w:tc>
        <w:tc>
          <w:tcPr>
            <w:tcW w:w="1588" w:type="dxa"/>
            <w:tcBorders>
              <w:top w:val="single" w:sz="4" w:space="0" w:color="auto"/>
              <w:bottom w:val="nil"/>
            </w:tcBorders>
            <w:vAlign w:val="center"/>
          </w:tcPr>
          <w:p w14:paraId="6D1A19A1" w14:textId="77777777" w:rsidR="00247B61" w:rsidRPr="001558DF" w:rsidRDefault="00247B61" w:rsidP="00247B61">
            <w:pPr>
              <w:pStyle w:val="TCTableBody"/>
              <w:spacing w:after="0" w:line="276" w:lineRule="auto"/>
              <w:rPr>
                <w:lang w:val="it-IT"/>
              </w:rPr>
            </w:pPr>
            <w:r w:rsidRPr="001558DF">
              <w:rPr>
                <w:lang w:val="it-IT"/>
              </w:rPr>
              <w:t>3.222 ± 0.021</w:t>
            </w:r>
          </w:p>
        </w:tc>
        <w:tc>
          <w:tcPr>
            <w:tcW w:w="1105" w:type="dxa"/>
            <w:tcBorders>
              <w:top w:val="single" w:sz="4" w:space="0" w:color="auto"/>
              <w:bottom w:val="nil"/>
            </w:tcBorders>
            <w:vAlign w:val="center"/>
          </w:tcPr>
          <w:p w14:paraId="1D561FE4" w14:textId="77777777" w:rsidR="00247B61" w:rsidRPr="001558DF" w:rsidRDefault="00247B61" w:rsidP="00247B61">
            <w:pPr>
              <w:pStyle w:val="TCTableBody"/>
              <w:spacing w:after="0" w:line="276" w:lineRule="auto"/>
              <w:rPr>
                <w:lang w:val="it-IT"/>
              </w:rPr>
            </w:pPr>
            <w:r w:rsidRPr="001558DF">
              <w:rPr>
                <w:lang w:val="it-IT"/>
              </w:rPr>
              <w:t>58 ± 46</w:t>
            </w:r>
          </w:p>
        </w:tc>
        <w:tc>
          <w:tcPr>
            <w:tcW w:w="1134" w:type="dxa"/>
            <w:vMerge w:val="restart"/>
            <w:tcBorders>
              <w:top w:val="single" w:sz="4" w:space="0" w:color="auto"/>
              <w:bottom w:val="single" w:sz="8" w:space="0" w:color="auto"/>
            </w:tcBorders>
            <w:vAlign w:val="center"/>
          </w:tcPr>
          <w:p w14:paraId="0C121E9C" w14:textId="77777777" w:rsidR="00247B61" w:rsidRPr="001558DF" w:rsidRDefault="00247B61" w:rsidP="00247B61">
            <w:pPr>
              <w:pStyle w:val="TCTableBody"/>
              <w:spacing w:after="0" w:line="276" w:lineRule="auto"/>
              <w:rPr>
                <w:lang w:val="it-IT"/>
              </w:rPr>
            </w:pPr>
            <w:r w:rsidRPr="001558DF">
              <w:rPr>
                <w:lang w:val="it-IT"/>
              </w:rPr>
              <w:t>4.3 ± 0.9</w:t>
            </w:r>
          </w:p>
        </w:tc>
        <w:tc>
          <w:tcPr>
            <w:tcW w:w="851" w:type="dxa"/>
            <w:vMerge w:val="restart"/>
            <w:tcBorders>
              <w:top w:val="single" w:sz="4" w:space="0" w:color="auto"/>
              <w:bottom w:val="single" w:sz="8" w:space="0" w:color="auto"/>
            </w:tcBorders>
            <w:vAlign w:val="center"/>
          </w:tcPr>
          <w:p w14:paraId="2E2D03AA" w14:textId="77777777" w:rsidR="00247B61" w:rsidRPr="001558DF" w:rsidRDefault="00247B61" w:rsidP="00247B61">
            <w:pPr>
              <w:pStyle w:val="TCTableBody"/>
              <w:spacing w:after="0" w:line="276" w:lineRule="auto"/>
              <w:rPr>
                <w:lang w:val="it-IT"/>
              </w:rPr>
            </w:pPr>
            <w:r w:rsidRPr="001558DF">
              <w:rPr>
                <w:lang w:val="it-IT"/>
              </w:rPr>
              <w:t>0.012</w:t>
            </w:r>
          </w:p>
        </w:tc>
      </w:tr>
      <w:tr w:rsidR="00247B61" w:rsidRPr="001558DF" w14:paraId="21911E34" w14:textId="77777777" w:rsidTr="000B2B07">
        <w:tc>
          <w:tcPr>
            <w:tcW w:w="1276" w:type="dxa"/>
            <w:vMerge/>
            <w:tcBorders>
              <w:top w:val="nil"/>
              <w:bottom w:val="single" w:sz="8" w:space="0" w:color="auto"/>
            </w:tcBorders>
          </w:tcPr>
          <w:p w14:paraId="611B8AD3" w14:textId="77777777" w:rsidR="00247B61" w:rsidRPr="001558DF" w:rsidRDefault="00247B61" w:rsidP="00247B61">
            <w:pPr>
              <w:pStyle w:val="TCTableBody"/>
              <w:spacing w:after="0" w:line="276" w:lineRule="auto"/>
              <w:rPr>
                <w:lang w:val="it-IT"/>
              </w:rPr>
            </w:pPr>
          </w:p>
        </w:tc>
        <w:tc>
          <w:tcPr>
            <w:tcW w:w="1070" w:type="dxa"/>
            <w:vMerge/>
            <w:tcBorders>
              <w:top w:val="nil"/>
              <w:bottom w:val="single" w:sz="8" w:space="0" w:color="auto"/>
            </w:tcBorders>
          </w:tcPr>
          <w:p w14:paraId="78A99817" w14:textId="77777777" w:rsidR="00247B61" w:rsidRPr="001558DF" w:rsidRDefault="00247B61" w:rsidP="00247B61">
            <w:pPr>
              <w:pStyle w:val="TCTableBody"/>
              <w:spacing w:after="0" w:line="276" w:lineRule="auto"/>
              <w:rPr>
                <w:lang w:val="it-IT"/>
              </w:rPr>
            </w:pPr>
          </w:p>
        </w:tc>
        <w:tc>
          <w:tcPr>
            <w:tcW w:w="915" w:type="dxa"/>
            <w:tcBorders>
              <w:top w:val="nil"/>
              <w:bottom w:val="single" w:sz="8" w:space="0" w:color="auto"/>
            </w:tcBorders>
          </w:tcPr>
          <w:p w14:paraId="1D3CA996" w14:textId="77777777" w:rsidR="00247B61" w:rsidRPr="001558DF" w:rsidRDefault="00247B61" w:rsidP="00247B61">
            <w:pPr>
              <w:pStyle w:val="TCTableBody"/>
              <w:spacing w:after="0" w:line="276" w:lineRule="auto"/>
              <w:rPr>
                <w:lang w:val="it-IT"/>
              </w:rPr>
            </w:pPr>
            <w:r w:rsidRPr="001558DF">
              <w:rPr>
                <w:lang w:val="it-IT"/>
              </w:rPr>
              <w:t>Sn-O</w:t>
            </w:r>
          </w:p>
        </w:tc>
        <w:tc>
          <w:tcPr>
            <w:tcW w:w="1417" w:type="dxa"/>
            <w:tcBorders>
              <w:top w:val="nil"/>
              <w:bottom w:val="single" w:sz="8" w:space="0" w:color="auto"/>
            </w:tcBorders>
          </w:tcPr>
          <w:p w14:paraId="3B42A34E" w14:textId="77777777" w:rsidR="00247B61" w:rsidRPr="001558DF" w:rsidRDefault="00247B61" w:rsidP="00247B61">
            <w:pPr>
              <w:pStyle w:val="TCTableBody"/>
              <w:spacing w:after="0" w:line="276" w:lineRule="auto"/>
              <w:rPr>
                <w:lang w:val="it-IT"/>
              </w:rPr>
            </w:pPr>
            <w:r w:rsidRPr="001558DF">
              <w:rPr>
                <w:lang w:val="it-IT"/>
              </w:rPr>
              <w:t xml:space="preserve">5.39 ± </w:t>
            </w:r>
            <w:r w:rsidRPr="001558DF">
              <w:t>0.40</w:t>
            </w:r>
          </w:p>
        </w:tc>
        <w:tc>
          <w:tcPr>
            <w:tcW w:w="1588" w:type="dxa"/>
            <w:tcBorders>
              <w:top w:val="nil"/>
              <w:bottom w:val="single" w:sz="8" w:space="0" w:color="auto"/>
            </w:tcBorders>
          </w:tcPr>
          <w:p w14:paraId="067FA994" w14:textId="77777777" w:rsidR="00247B61" w:rsidRPr="001558DF" w:rsidRDefault="00247B61" w:rsidP="00247B61">
            <w:pPr>
              <w:pStyle w:val="TCTableBody"/>
              <w:spacing w:after="0" w:line="276" w:lineRule="auto"/>
              <w:rPr>
                <w:lang w:val="de-DE"/>
              </w:rPr>
            </w:pPr>
            <w:r w:rsidRPr="001558DF">
              <w:t>2.053 ± 0.007</w:t>
            </w:r>
          </w:p>
        </w:tc>
        <w:tc>
          <w:tcPr>
            <w:tcW w:w="1105" w:type="dxa"/>
            <w:tcBorders>
              <w:top w:val="nil"/>
              <w:bottom w:val="single" w:sz="8" w:space="0" w:color="auto"/>
            </w:tcBorders>
          </w:tcPr>
          <w:p w14:paraId="6A9935C1" w14:textId="77777777" w:rsidR="00247B61" w:rsidRPr="001558DF" w:rsidRDefault="00247B61" w:rsidP="00247B61">
            <w:pPr>
              <w:pStyle w:val="TCTableBody"/>
              <w:spacing w:after="0" w:line="276" w:lineRule="auto"/>
              <w:rPr>
                <w:lang w:val="de-DE"/>
              </w:rPr>
            </w:pPr>
            <w:r w:rsidRPr="001558DF">
              <w:t>29 ± 9</w:t>
            </w:r>
          </w:p>
        </w:tc>
        <w:tc>
          <w:tcPr>
            <w:tcW w:w="1134" w:type="dxa"/>
            <w:vMerge/>
            <w:tcBorders>
              <w:top w:val="nil"/>
              <w:bottom w:val="single" w:sz="8" w:space="0" w:color="auto"/>
            </w:tcBorders>
          </w:tcPr>
          <w:p w14:paraId="12B026A6" w14:textId="77777777" w:rsidR="00247B61" w:rsidRPr="001558DF" w:rsidRDefault="00247B61" w:rsidP="00247B61">
            <w:pPr>
              <w:pStyle w:val="TCTableBody"/>
              <w:spacing w:after="0" w:line="276" w:lineRule="auto"/>
              <w:rPr>
                <w:lang w:val="de-DE"/>
              </w:rPr>
            </w:pPr>
          </w:p>
        </w:tc>
        <w:tc>
          <w:tcPr>
            <w:tcW w:w="851" w:type="dxa"/>
            <w:vMerge/>
            <w:tcBorders>
              <w:top w:val="nil"/>
              <w:bottom w:val="single" w:sz="8" w:space="0" w:color="auto"/>
            </w:tcBorders>
          </w:tcPr>
          <w:p w14:paraId="0AC7799C" w14:textId="77777777" w:rsidR="00247B61" w:rsidRPr="001558DF" w:rsidRDefault="00247B61" w:rsidP="00247B61">
            <w:pPr>
              <w:pStyle w:val="TCTableBody"/>
              <w:spacing w:after="0" w:line="276" w:lineRule="auto"/>
              <w:rPr>
                <w:lang w:val="de-DE"/>
              </w:rPr>
            </w:pPr>
          </w:p>
        </w:tc>
      </w:tr>
      <w:tr w:rsidR="00247B61" w:rsidRPr="001558DF" w14:paraId="46101E06" w14:textId="77777777" w:rsidTr="000B2B07">
        <w:tc>
          <w:tcPr>
            <w:tcW w:w="1276" w:type="dxa"/>
            <w:vMerge w:val="restart"/>
            <w:tcBorders>
              <w:top w:val="single" w:sz="8" w:space="0" w:color="auto"/>
              <w:bottom w:val="single" w:sz="8" w:space="0" w:color="auto"/>
            </w:tcBorders>
            <w:vAlign w:val="center"/>
          </w:tcPr>
          <w:p w14:paraId="57408423" w14:textId="77777777" w:rsidR="00247B61" w:rsidRPr="001558DF" w:rsidRDefault="00247B61" w:rsidP="00247B61">
            <w:pPr>
              <w:pStyle w:val="TCTableBody"/>
              <w:spacing w:after="0" w:line="276" w:lineRule="auto"/>
              <w:rPr>
                <w:lang w:val="de-DE"/>
              </w:rPr>
            </w:pPr>
            <w:r w:rsidRPr="001558DF">
              <w:rPr>
                <w:lang w:val="de-DE"/>
              </w:rPr>
              <w:t>0.5M H</w:t>
            </w:r>
            <w:r w:rsidRPr="001558DF">
              <w:rPr>
                <w:vertAlign w:val="subscript"/>
                <w:lang w:val="de-DE"/>
              </w:rPr>
              <w:t>2</w:t>
            </w:r>
            <w:r w:rsidRPr="001558DF">
              <w:rPr>
                <w:lang w:val="de-DE"/>
              </w:rPr>
              <w:t>SO</w:t>
            </w:r>
            <w:r w:rsidRPr="001558DF">
              <w:rPr>
                <w:vertAlign w:val="subscript"/>
                <w:lang w:val="de-DE"/>
              </w:rPr>
              <w:t>4</w:t>
            </w:r>
            <w:r w:rsidRPr="001558DF">
              <w:rPr>
                <w:lang w:val="de-DE"/>
              </w:rPr>
              <w:t xml:space="preserve"> +0.5M EtOH</w:t>
            </w:r>
          </w:p>
        </w:tc>
        <w:tc>
          <w:tcPr>
            <w:tcW w:w="1070" w:type="dxa"/>
            <w:vMerge w:val="restart"/>
            <w:tcBorders>
              <w:top w:val="single" w:sz="8" w:space="0" w:color="auto"/>
            </w:tcBorders>
            <w:vAlign w:val="center"/>
          </w:tcPr>
          <w:p w14:paraId="611A04FC" w14:textId="77777777" w:rsidR="00247B61" w:rsidRPr="001558DF" w:rsidRDefault="00247B61" w:rsidP="00247B61">
            <w:pPr>
              <w:pStyle w:val="TCTableBody"/>
              <w:spacing w:after="0" w:line="276" w:lineRule="auto"/>
              <w:rPr>
                <w:lang w:val="de-DE"/>
              </w:rPr>
            </w:pPr>
            <w:r w:rsidRPr="001558DF">
              <w:rPr>
                <w:lang w:val="de-DE"/>
              </w:rPr>
              <w:t>0.2 V</w:t>
            </w:r>
          </w:p>
        </w:tc>
        <w:tc>
          <w:tcPr>
            <w:tcW w:w="915" w:type="dxa"/>
            <w:tcBorders>
              <w:top w:val="single" w:sz="8" w:space="0" w:color="auto"/>
              <w:bottom w:val="single" w:sz="4" w:space="0" w:color="auto"/>
            </w:tcBorders>
          </w:tcPr>
          <w:p w14:paraId="3E3E2252" w14:textId="77777777" w:rsidR="00247B61" w:rsidRPr="001558DF" w:rsidRDefault="00247B61" w:rsidP="00247B61">
            <w:pPr>
              <w:pStyle w:val="TCTableBody"/>
              <w:spacing w:after="0" w:line="276" w:lineRule="auto"/>
            </w:pPr>
            <w:r w:rsidRPr="001558DF">
              <w:t>Pt-Pt</w:t>
            </w:r>
            <w:r w:rsidRPr="001558DF">
              <w:rPr>
                <w:vertAlign w:val="subscript"/>
              </w:rPr>
              <w:t>1</w:t>
            </w:r>
          </w:p>
        </w:tc>
        <w:tc>
          <w:tcPr>
            <w:tcW w:w="1417" w:type="dxa"/>
            <w:tcBorders>
              <w:top w:val="single" w:sz="8" w:space="0" w:color="auto"/>
              <w:bottom w:val="single" w:sz="4" w:space="0" w:color="auto"/>
            </w:tcBorders>
          </w:tcPr>
          <w:p w14:paraId="70B77768" w14:textId="77777777" w:rsidR="00247B61" w:rsidRPr="001558DF" w:rsidRDefault="00247B61" w:rsidP="00247B61">
            <w:pPr>
              <w:pStyle w:val="TCTableBody"/>
              <w:spacing w:after="0" w:line="276" w:lineRule="auto"/>
            </w:pPr>
            <w:r w:rsidRPr="001558DF">
              <w:t>9.07 ± 0.30</w:t>
            </w:r>
          </w:p>
        </w:tc>
        <w:tc>
          <w:tcPr>
            <w:tcW w:w="1588" w:type="dxa"/>
            <w:tcBorders>
              <w:top w:val="single" w:sz="8" w:space="0" w:color="auto"/>
              <w:bottom w:val="single" w:sz="4" w:space="0" w:color="auto"/>
            </w:tcBorders>
            <w:vAlign w:val="center"/>
          </w:tcPr>
          <w:p w14:paraId="496CC5E5" w14:textId="77777777" w:rsidR="00247B61" w:rsidRPr="001558DF" w:rsidRDefault="00247B61" w:rsidP="00247B61">
            <w:pPr>
              <w:pStyle w:val="TCTableBody"/>
              <w:spacing w:after="0" w:line="276" w:lineRule="auto"/>
            </w:pPr>
            <w:r w:rsidRPr="001558DF">
              <w:t>2.747 ± 0.002</w:t>
            </w:r>
          </w:p>
        </w:tc>
        <w:tc>
          <w:tcPr>
            <w:tcW w:w="1105" w:type="dxa"/>
            <w:tcBorders>
              <w:top w:val="single" w:sz="8" w:space="0" w:color="auto"/>
              <w:bottom w:val="single" w:sz="4" w:space="0" w:color="auto"/>
            </w:tcBorders>
            <w:vAlign w:val="center"/>
          </w:tcPr>
          <w:p w14:paraId="6CF0B86E" w14:textId="77777777" w:rsidR="00247B61" w:rsidRPr="001558DF" w:rsidRDefault="00247B61" w:rsidP="00247B61">
            <w:pPr>
              <w:pStyle w:val="TCTableBody"/>
              <w:spacing w:after="0" w:line="276" w:lineRule="auto"/>
            </w:pPr>
            <w:r w:rsidRPr="001558DF">
              <w:t>57 ± 2</w:t>
            </w:r>
          </w:p>
        </w:tc>
        <w:tc>
          <w:tcPr>
            <w:tcW w:w="1134" w:type="dxa"/>
            <w:tcBorders>
              <w:top w:val="single" w:sz="8" w:space="0" w:color="auto"/>
              <w:bottom w:val="single" w:sz="4" w:space="0" w:color="auto"/>
            </w:tcBorders>
            <w:vAlign w:val="center"/>
          </w:tcPr>
          <w:p w14:paraId="69E056C9" w14:textId="77777777" w:rsidR="00247B61" w:rsidRPr="001558DF" w:rsidRDefault="00247B61" w:rsidP="00247B61">
            <w:pPr>
              <w:pStyle w:val="TCTableBody"/>
              <w:spacing w:after="0" w:line="276" w:lineRule="auto"/>
              <w:rPr>
                <w:lang w:val="it-IT"/>
              </w:rPr>
            </w:pPr>
            <w:r w:rsidRPr="001558DF">
              <w:t>7.0 ± 0.5</w:t>
            </w:r>
          </w:p>
        </w:tc>
        <w:tc>
          <w:tcPr>
            <w:tcW w:w="851" w:type="dxa"/>
            <w:tcBorders>
              <w:top w:val="single" w:sz="8" w:space="0" w:color="auto"/>
              <w:bottom w:val="single" w:sz="4" w:space="0" w:color="auto"/>
            </w:tcBorders>
            <w:vAlign w:val="center"/>
          </w:tcPr>
          <w:p w14:paraId="5E6E3C67" w14:textId="77777777" w:rsidR="00247B61" w:rsidRPr="001558DF" w:rsidRDefault="00247B61" w:rsidP="00247B61">
            <w:pPr>
              <w:pStyle w:val="TCTableBody"/>
              <w:spacing w:after="0" w:line="276" w:lineRule="auto"/>
              <w:rPr>
                <w:lang w:val="it-IT"/>
              </w:rPr>
            </w:pPr>
            <w:r w:rsidRPr="001558DF">
              <w:t>0.003</w:t>
            </w:r>
          </w:p>
        </w:tc>
      </w:tr>
      <w:tr w:rsidR="00247B61" w:rsidRPr="001558DF" w14:paraId="61653965" w14:textId="77777777" w:rsidTr="000B2B07">
        <w:tc>
          <w:tcPr>
            <w:tcW w:w="1276" w:type="dxa"/>
            <w:vMerge/>
            <w:tcBorders>
              <w:top w:val="nil"/>
              <w:bottom w:val="single" w:sz="8" w:space="0" w:color="auto"/>
            </w:tcBorders>
            <w:vAlign w:val="center"/>
          </w:tcPr>
          <w:p w14:paraId="735CA784" w14:textId="77777777" w:rsidR="00247B61" w:rsidRPr="001558DF" w:rsidRDefault="00247B61" w:rsidP="00247B61">
            <w:pPr>
              <w:pStyle w:val="TCTableBody"/>
              <w:spacing w:after="0" w:line="276" w:lineRule="auto"/>
              <w:rPr>
                <w:lang w:val="de-DE"/>
              </w:rPr>
            </w:pPr>
          </w:p>
        </w:tc>
        <w:tc>
          <w:tcPr>
            <w:tcW w:w="1070" w:type="dxa"/>
            <w:vMerge/>
            <w:vAlign w:val="center"/>
          </w:tcPr>
          <w:p w14:paraId="44935CE7" w14:textId="77777777" w:rsidR="00247B61" w:rsidRPr="001558DF" w:rsidRDefault="00247B61" w:rsidP="00247B61">
            <w:pPr>
              <w:pStyle w:val="TCTableBody"/>
              <w:spacing w:after="0" w:line="276" w:lineRule="auto"/>
              <w:rPr>
                <w:lang w:val="de-DE"/>
              </w:rPr>
            </w:pPr>
          </w:p>
        </w:tc>
        <w:tc>
          <w:tcPr>
            <w:tcW w:w="915" w:type="dxa"/>
            <w:tcBorders>
              <w:top w:val="single" w:sz="4" w:space="0" w:color="auto"/>
              <w:bottom w:val="nil"/>
            </w:tcBorders>
          </w:tcPr>
          <w:p w14:paraId="645FDD9C" w14:textId="77777777" w:rsidR="00247B61" w:rsidRPr="001558DF" w:rsidRDefault="00247B61" w:rsidP="00247B61">
            <w:pPr>
              <w:pStyle w:val="TCTableBody"/>
              <w:spacing w:after="0" w:line="276" w:lineRule="auto"/>
              <w:rPr>
                <w:lang w:val="de-DE"/>
              </w:rPr>
            </w:pPr>
            <w:r w:rsidRPr="001558DF">
              <w:t>Sn-Sn</w:t>
            </w:r>
          </w:p>
        </w:tc>
        <w:tc>
          <w:tcPr>
            <w:tcW w:w="1417" w:type="dxa"/>
            <w:tcBorders>
              <w:top w:val="single" w:sz="4" w:space="0" w:color="auto"/>
              <w:bottom w:val="nil"/>
            </w:tcBorders>
          </w:tcPr>
          <w:p w14:paraId="4CC5A5C1" w14:textId="77777777" w:rsidR="00247B61" w:rsidRPr="001558DF" w:rsidRDefault="00247B61" w:rsidP="00247B61">
            <w:pPr>
              <w:pStyle w:val="TCTableBody"/>
              <w:spacing w:after="0" w:line="276" w:lineRule="auto"/>
            </w:pPr>
            <w:r w:rsidRPr="001558DF">
              <w:t>1.72 ± 0.82</w:t>
            </w:r>
          </w:p>
        </w:tc>
        <w:tc>
          <w:tcPr>
            <w:tcW w:w="1588" w:type="dxa"/>
            <w:tcBorders>
              <w:top w:val="single" w:sz="4" w:space="0" w:color="auto"/>
              <w:bottom w:val="nil"/>
            </w:tcBorders>
            <w:vAlign w:val="center"/>
          </w:tcPr>
          <w:p w14:paraId="5574AF29" w14:textId="77777777" w:rsidR="00247B61" w:rsidRPr="001558DF" w:rsidRDefault="00247B61" w:rsidP="00247B61">
            <w:pPr>
              <w:pStyle w:val="TCTableBody"/>
              <w:spacing w:after="0" w:line="276" w:lineRule="auto"/>
            </w:pPr>
            <w:r w:rsidRPr="001558DF">
              <w:t>3.226 ± 0.017</w:t>
            </w:r>
          </w:p>
        </w:tc>
        <w:tc>
          <w:tcPr>
            <w:tcW w:w="1105" w:type="dxa"/>
            <w:tcBorders>
              <w:top w:val="single" w:sz="4" w:space="0" w:color="auto"/>
              <w:bottom w:val="nil"/>
            </w:tcBorders>
            <w:vAlign w:val="center"/>
          </w:tcPr>
          <w:p w14:paraId="78708DC2" w14:textId="77777777" w:rsidR="00247B61" w:rsidRPr="001558DF" w:rsidRDefault="00247B61" w:rsidP="00247B61">
            <w:pPr>
              <w:pStyle w:val="TCTableBody"/>
              <w:spacing w:after="0" w:line="276" w:lineRule="auto"/>
            </w:pPr>
            <w:r w:rsidRPr="001558DF">
              <w:t>54 ± 35</w:t>
            </w:r>
          </w:p>
        </w:tc>
        <w:tc>
          <w:tcPr>
            <w:tcW w:w="1134" w:type="dxa"/>
            <w:vMerge w:val="restart"/>
            <w:tcBorders>
              <w:top w:val="single" w:sz="4" w:space="0" w:color="auto"/>
              <w:bottom w:val="nil"/>
            </w:tcBorders>
            <w:vAlign w:val="center"/>
          </w:tcPr>
          <w:p w14:paraId="10FB51D4" w14:textId="77777777" w:rsidR="00247B61" w:rsidRPr="001558DF" w:rsidRDefault="00247B61" w:rsidP="00247B61">
            <w:pPr>
              <w:pStyle w:val="TCTableBody"/>
              <w:spacing w:after="0" w:line="276" w:lineRule="auto"/>
              <w:rPr>
                <w:lang w:val="it-IT"/>
              </w:rPr>
            </w:pPr>
            <w:r w:rsidRPr="001558DF">
              <w:rPr>
                <w:lang w:val="it-IT"/>
              </w:rPr>
              <w:t>5.2 ± 0.9</w:t>
            </w:r>
          </w:p>
        </w:tc>
        <w:tc>
          <w:tcPr>
            <w:tcW w:w="851" w:type="dxa"/>
            <w:vMerge w:val="restart"/>
            <w:tcBorders>
              <w:top w:val="single" w:sz="4" w:space="0" w:color="auto"/>
              <w:bottom w:val="nil"/>
            </w:tcBorders>
            <w:vAlign w:val="center"/>
          </w:tcPr>
          <w:p w14:paraId="147ED95B" w14:textId="77777777" w:rsidR="00247B61" w:rsidRPr="001558DF" w:rsidRDefault="00247B61" w:rsidP="00247B61">
            <w:pPr>
              <w:pStyle w:val="TCTableBody"/>
              <w:spacing w:after="0" w:line="276" w:lineRule="auto"/>
              <w:rPr>
                <w:lang w:val="it-IT"/>
              </w:rPr>
            </w:pPr>
            <w:r w:rsidRPr="001558DF">
              <w:rPr>
                <w:lang w:val="it-IT"/>
              </w:rPr>
              <w:t>0.010</w:t>
            </w:r>
          </w:p>
        </w:tc>
      </w:tr>
      <w:tr w:rsidR="00247B61" w:rsidRPr="001558DF" w14:paraId="3ED7B286" w14:textId="77777777" w:rsidTr="000B2B07">
        <w:tc>
          <w:tcPr>
            <w:tcW w:w="1276" w:type="dxa"/>
            <w:vMerge/>
            <w:tcBorders>
              <w:top w:val="nil"/>
              <w:bottom w:val="single" w:sz="8" w:space="0" w:color="auto"/>
            </w:tcBorders>
          </w:tcPr>
          <w:p w14:paraId="0357C085" w14:textId="77777777" w:rsidR="00247B61" w:rsidRPr="001558DF" w:rsidRDefault="00247B61" w:rsidP="00247B61">
            <w:pPr>
              <w:pStyle w:val="TCTableBody"/>
              <w:spacing w:after="0" w:line="276" w:lineRule="auto"/>
              <w:rPr>
                <w:lang w:val="de-DE"/>
              </w:rPr>
            </w:pPr>
          </w:p>
        </w:tc>
        <w:tc>
          <w:tcPr>
            <w:tcW w:w="1070" w:type="dxa"/>
            <w:vMerge/>
            <w:tcBorders>
              <w:bottom w:val="single" w:sz="4" w:space="0" w:color="auto"/>
            </w:tcBorders>
          </w:tcPr>
          <w:p w14:paraId="58816636" w14:textId="77777777" w:rsidR="00247B61" w:rsidRPr="001558DF" w:rsidRDefault="00247B61" w:rsidP="00247B61">
            <w:pPr>
              <w:pStyle w:val="TCTableBody"/>
              <w:spacing w:after="0" w:line="276" w:lineRule="auto"/>
              <w:rPr>
                <w:lang w:val="de-DE"/>
              </w:rPr>
            </w:pPr>
          </w:p>
        </w:tc>
        <w:tc>
          <w:tcPr>
            <w:tcW w:w="915" w:type="dxa"/>
            <w:tcBorders>
              <w:top w:val="nil"/>
              <w:bottom w:val="single" w:sz="4" w:space="0" w:color="auto"/>
            </w:tcBorders>
          </w:tcPr>
          <w:p w14:paraId="773B12C9" w14:textId="77777777" w:rsidR="00247B61" w:rsidRPr="001558DF" w:rsidRDefault="00247B61" w:rsidP="00247B61">
            <w:pPr>
              <w:pStyle w:val="TCTableBody"/>
              <w:spacing w:after="0" w:line="276" w:lineRule="auto"/>
              <w:rPr>
                <w:lang w:val="de-DE"/>
              </w:rPr>
            </w:pPr>
            <w:r w:rsidRPr="001558DF">
              <w:rPr>
                <w:lang w:val="de-DE"/>
              </w:rPr>
              <w:t>Sn-O</w:t>
            </w:r>
          </w:p>
        </w:tc>
        <w:tc>
          <w:tcPr>
            <w:tcW w:w="1417" w:type="dxa"/>
            <w:tcBorders>
              <w:top w:val="nil"/>
              <w:bottom w:val="single" w:sz="4" w:space="0" w:color="auto"/>
            </w:tcBorders>
          </w:tcPr>
          <w:p w14:paraId="304C9BD0" w14:textId="77777777" w:rsidR="00247B61" w:rsidRPr="001558DF" w:rsidRDefault="00247B61" w:rsidP="00247B61">
            <w:pPr>
              <w:pStyle w:val="TCTableBody"/>
              <w:spacing w:after="0" w:line="276" w:lineRule="auto"/>
              <w:rPr>
                <w:lang w:val="de-DE"/>
              </w:rPr>
            </w:pPr>
            <w:r w:rsidRPr="001558DF">
              <w:rPr>
                <w:lang w:val="it-IT"/>
              </w:rPr>
              <w:t>5.32 ± 0.36</w:t>
            </w:r>
          </w:p>
        </w:tc>
        <w:tc>
          <w:tcPr>
            <w:tcW w:w="1588" w:type="dxa"/>
            <w:tcBorders>
              <w:top w:val="nil"/>
              <w:bottom w:val="single" w:sz="4" w:space="0" w:color="auto"/>
            </w:tcBorders>
          </w:tcPr>
          <w:p w14:paraId="06023888" w14:textId="77777777" w:rsidR="00247B61" w:rsidRPr="001558DF" w:rsidRDefault="00247B61" w:rsidP="00247B61">
            <w:pPr>
              <w:pStyle w:val="TCTableBody"/>
              <w:spacing w:after="0" w:line="276" w:lineRule="auto"/>
              <w:rPr>
                <w:lang w:val="de-DE"/>
              </w:rPr>
            </w:pPr>
            <w:r w:rsidRPr="001558DF">
              <w:rPr>
                <w:lang w:val="it-IT"/>
              </w:rPr>
              <w:t>2.053 ± 0.007</w:t>
            </w:r>
          </w:p>
        </w:tc>
        <w:tc>
          <w:tcPr>
            <w:tcW w:w="1105" w:type="dxa"/>
            <w:tcBorders>
              <w:top w:val="nil"/>
              <w:bottom w:val="single" w:sz="4" w:space="0" w:color="auto"/>
            </w:tcBorders>
          </w:tcPr>
          <w:p w14:paraId="1E3F7534" w14:textId="77777777" w:rsidR="00247B61" w:rsidRPr="001558DF" w:rsidRDefault="00247B61" w:rsidP="00247B61">
            <w:pPr>
              <w:pStyle w:val="TCTableBody"/>
              <w:spacing w:after="0" w:line="276" w:lineRule="auto"/>
              <w:rPr>
                <w:lang w:val="de-DE"/>
              </w:rPr>
            </w:pPr>
            <w:r w:rsidRPr="001558DF">
              <w:rPr>
                <w:lang w:val="it-IT"/>
              </w:rPr>
              <w:t>37 ± 9</w:t>
            </w:r>
          </w:p>
        </w:tc>
        <w:tc>
          <w:tcPr>
            <w:tcW w:w="1134" w:type="dxa"/>
            <w:vMerge/>
            <w:tcBorders>
              <w:top w:val="nil"/>
              <w:bottom w:val="single" w:sz="4" w:space="0" w:color="auto"/>
            </w:tcBorders>
          </w:tcPr>
          <w:p w14:paraId="037FFD6C" w14:textId="77777777" w:rsidR="00247B61" w:rsidRPr="001558DF" w:rsidRDefault="00247B61" w:rsidP="00247B61">
            <w:pPr>
              <w:pStyle w:val="TCTableBody"/>
              <w:spacing w:after="0" w:line="276" w:lineRule="auto"/>
              <w:rPr>
                <w:lang w:val="de-DE"/>
              </w:rPr>
            </w:pPr>
          </w:p>
        </w:tc>
        <w:tc>
          <w:tcPr>
            <w:tcW w:w="851" w:type="dxa"/>
            <w:vMerge/>
            <w:tcBorders>
              <w:top w:val="nil"/>
              <w:bottom w:val="single" w:sz="4" w:space="0" w:color="auto"/>
            </w:tcBorders>
          </w:tcPr>
          <w:p w14:paraId="6029CE2E" w14:textId="77777777" w:rsidR="00247B61" w:rsidRPr="001558DF" w:rsidRDefault="00247B61" w:rsidP="00247B61">
            <w:pPr>
              <w:pStyle w:val="TCTableBody"/>
              <w:spacing w:after="0" w:line="276" w:lineRule="auto"/>
              <w:rPr>
                <w:lang w:val="de-DE"/>
              </w:rPr>
            </w:pPr>
          </w:p>
        </w:tc>
      </w:tr>
      <w:tr w:rsidR="00247B61" w:rsidRPr="001558DF" w14:paraId="10E8D3D8" w14:textId="77777777" w:rsidTr="000B2B07">
        <w:tc>
          <w:tcPr>
            <w:tcW w:w="1276" w:type="dxa"/>
            <w:vMerge/>
            <w:tcBorders>
              <w:top w:val="nil"/>
              <w:bottom w:val="single" w:sz="8" w:space="0" w:color="auto"/>
            </w:tcBorders>
          </w:tcPr>
          <w:p w14:paraId="73E88329" w14:textId="77777777" w:rsidR="00247B61" w:rsidRPr="001558DF" w:rsidRDefault="00247B61" w:rsidP="00247B61">
            <w:pPr>
              <w:pStyle w:val="TCTableBody"/>
              <w:spacing w:after="0" w:line="276" w:lineRule="auto"/>
              <w:rPr>
                <w:lang w:val="de-DE"/>
              </w:rPr>
            </w:pPr>
          </w:p>
        </w:tc>
        <w:tc>
          <w:tcPr>
            <w:tcW w:w="1070" w:type="dxa"/>
            <w:vMerge w:val="restart"/>
            <w:vAlign w:val="center"/>
          </w:tcPr>
          <w:p w14:paraId="39FCBCD9" w14:textId="77777777" w:rsidR="00247B61" w:rsidRPr="001558DF" w:rsidRDefault="00247B61" w:rsidP="00247B61">
            <w:pPr>
              <w:pStyle w:val="TCTableBody"/>
              <w:spacing w:after="0" w:line="276" w:lineRule="auto"/>
              <w:rPr>
                <w:lang w:val="de-DE"/>
              </w:rPr>
            </w:pPr>
            <w:r w:rsidRPr="001558DF">
              <w:rPr>
                <w:lang w:val="de-DE"/>
              </w:rPr>
              <w:t>0.4 V</w:t>
            </w:r>
          </w:p>
        </w:tc>
        <w:tc>
          <w:tcPr>
            <w:tcW w:w="915" w:type="dxa"/>
            <w:tcBorders>
              <w:top w:val="single" w:sz="4" w:space="0" w:color="auto"/>
              <w:bottom w:val="nil"/>
            </w:tcBorders>
          </w:tcPr>
          <w:p w14:paraId="2FE59B89" w14:textId="77777777" w:rsidR="00247B61" w:rsidRPr="001558DF" w:rsidRDefault="00247B61" w:rsidP="00247B61">
            <w:pPr>
              <w:pStyle w:val="TCTableBody"/>
              <w:spacing w:after="0" w:line="276" w:lineRule="auto"/>
              <w:rPr>
                <w:lang w:val="it-IT"/>
              </w:rPr>
            </w:pPr>
            <w:r w:rsidRPr="001558DF">
              <w:t>Pt-Pt</w:t>
            </w:r>
            <w:r w:rsidRPr="001558DF">
              <w:rPr>
                <w:vertAlign w:val="subscript"/>
              </w:rPr>
              <w:t>1</w:t>
            </w:r>
          </w:p>
        </w:tc>
        <w:tc>
          <w:tcPr>
            <w:tcW w:w="1417" w:type="dxa"/>
            <w:tcBorders>
              <w:top w:val="single" w:sz="4" w:space="0" w:color="auto"/>
              <w:bottom w:val="nil"/>
            </w:tcBorders>
          </w:tcPr>
          <w:p w14:paraId="168CB448" w14:textId="77777777" w:rsidR="00247B61" w:rsidRPr="001558DF" w:rsidRDefault="00247B61" w:rsidP="00247B61">
            <w:pPr>
              <w:pStyle w:val="TCTableBody"/>
              <w:spacing w:after="0" w:line="276" w:lineRule="auto"/>
              <w:rPr>
                <w:lang w:val="it-IT"/>
              </w:rPr>
            </w:pPr>
            <w:r w:rsidRPr="001558DF">
              <w:t>9.28 ± 0.27</w:t>
            </w:r>
          </w:p>
        </w:tc>
        <w:tc>
          <w:tcPr>
            <w:tcW w:w="1588" w:type="dxa"/>
            <w:tcBorders>
              <w:top w:val="single" w:sz="4" w:space="0" w:color="auto"/>
              <w:bottom w:val="nil"/>
            </w:tcBorders>
            <w:vAlign w:val="center"/>
          </w:tcPr>
          <w:p w14:paraId="2EECFC02" w14:textId="77777777" w:rsidR="00247B61" w:rsidRPr="001558DF" w:rsidRDefault="00247B61" w:rsidP="00247B61">
            <w:pPr>
              <w:pStyle w:val="TCTableBody"/>
              <w:spacing w:after="0" w:line="276" w:lineRule="auto"/>
              <w:rPr>
                <w:lang w:val="it-IT"/>
              </w:rPr>
            </w:pPr>
            <w:r w:rsidRPr="001558DF">
              <w:t>2.747 ± 0.001</w:t>
            </w:r>
          </w:p>
        </w:tc>
        <w:tc>
          <w:tcPr>
            <w:tcW w:w="1105" w:type="dxa"/>
            <w:tcBorders>
              <w:top w:val="single" w:sz="4" w:space="0" w:color="auto"/>
            </w:tcBorders>
            <w:vAlign w:val="center"/>
          </w:tcPr>
          <w:p w14:paraId="548CA800" w14:textId="77777777" w:rsidR="00247B61" w:rsidRPr="001558DF" w:rsidRDefault="00247B61" w:rsidP="00247B61">
            <w:pPr>
              <w:pStyle w:val="TCTableBody"/>
              <w:spacing w:after="0" w:line="276" w:lineRule="auto"/>
              <w:rPr>
                <w:lang w:val="it-IT"/>
              </w:rPr>
            </w:pPr>
            <w:r w:rsidRPr="001558DF">
              <w:t>58 ± 1</w:t>
            </w:r>
          </w:p>
        </w:tc>
        <w:tc>
          <w:tcPr>
            <w:tcW w:w="1134" w:type="dxa"/>
            <w:tcBorders>
              <w:top w:val="single" w:sz="4" w:space="0" w:color="auto"/>
            </w:tcBorders>
            <w:vAlign w:val="center"/>
          </w:tcPr>
          <w:p w14:paraId="3315E895" w14:textId="77777777" w:rsidR="00247B61" w:rsidRPr="001558DF" w:rsidRDefault="00247B61" w:rsidP="00247B61">
            <w:pPr>
              <w:pStyle w:val="TCTableBody"/>
              <w:spacing w:after="0" w:line="276" w:lineRule="auto"/>
              <w:rPr>
                <w:lang w:val="it-IT"/>
              </w:rPr>
            </w:pPr>
            <w:r w:rsidRPr="001558DF">
              <w:t>7.0 ± 0.6</w:t>
            </w:r>
          </w:p>
        </w:tc>
        <w:tc>
          <w:tcPr>
            <w:tcW w:w="851" w:type="dxa"/>
            <w:tcBorders>
              <w:top w:val="single" w:sz="4" w:space="0" w:color="auto"/>
            </w:tcBorders>
            <w:vAlign w:val="center"/>
          </w:tcPr>
          <w:p w14:paraId="6A887B23" w14:textId="77777777" w:rsidR="00247B61" w:rsidRPr="001558DF" w:rsidRDefault="00247B61" w:rsidP="00247B61">
            <w:pPr>
              <w:pStyle w:val="TCTableBody"/>
              <w:spacing w:after="0" w:line="276" w:lineRule="auto"/>
              <w:rPr>
                <w:lang w:val="it-IT"/>
              </w:rPr>
            </w:pPr>
            <w:r w:rsidRPr="001558DF">
              <w:t>0.005</w:t>
            </w:r>
          </w:p>
        </w:tc>
      </w:tr>
      <w:tr w:rsidR="00247B61" w:rsidRPr="001558DF" w14:paraId="7AAD12FA" w14:textId="77777777" w:rsidTr="000B2B07">
        <w:tc>
          <w:tcPr>
            <w:tcW w:w="1276" w:type="dxa"/>
            <w:vMerge/>
            <w:tcBorders>
              <w:top w:val="nil"/>
              <w:bottom w:val="single" w:sz="8" w:space="0" w:color="auto"/>
            </w:tcBorders>
          </w:tcPr>
          <w:p w14:paraId="4F13CF0C" w14:textId="77777777" w:rsidR="00247B61" w:rsidRPr="001558DF" w:rsidRDefault="00247B61" w:rsidP="00247B61">
            <w:pPr>
              <w:pStyle w:val="TCTableBody"/>
              <w:spacing w:after="0" w:line="276" w:lineRule="auto"/>
              <w:rPr>
                <w:lang w:val="de-DE"/>
              </w:rPr>
            </w:pPr>
          </w:p>
        </w:tc>
        <w:tc>
          <w:tcPr>
            <w:tcW w:w="1070" w:type="dxa"/>
            <w:vMerge/>
            <w:vAlign w:val="center"/>
          </w:tcPr>
          <w:p w14:paraId="45FAE76F" w14:textId="77777777" w:rsidR="00247B61" w:rsidRPr="001558DF" w:rsidRDefault="00247B61" w:rsidP="00247B61">
            <w:pPr>
              <w:pStyle w:val="TCTableBody"/>
              <w:spacing w:after="0" w:line="276" w:lineRule="auto"/>
              <w:rPr>
                <w:lang w:val="de-DE"/>
              </w:rPr>
            </w:pPr>
          </w:p>
        </w:tc>
        <w:tc>
          <w:tcPr>
            <w:tcW w:w="915" w:type="dxa"/>
            <w:tcBorders>
              <w:top w:val="single" w:sz="4" w:space="0" w:color="auto"/>
              <w:bottom w:val="nil"/>
            </w:tcBorders>
          </w:tcPr>
          <w:p w14:paraId="458D72A1" w14:textId="77777777" w:rsidR="00247B61" w:rsidRPr="001558DF" w:rsidRDefault="00247B61" w:rsidP="00247B61">
            <w:pPr>
              <w:pStyle w:val="TCTableBody"/>
              <w:spacing w:after="0" w:line="276" w:lineRule="auto"/>
              <w:rPr>
                <w:lang w:val="it-IT"/>
              </w:rPr>
            </w:pPr>
            <w:r w:rsidRPr="001558DF">
              <w:rPr>
                <w:lang w:val="it-IT"/>
              </w:rPr>
              <w:t>Sn-Sn</w:t>
            </w:r>
          </w:p>
        </w:tc>
        <w:tc>
          <w:tcPr>
            <w:tcW w:w="1417" w:type="dxa"/>
            <w:tcBorders>
              <w:top w:val="single" w:sz="4" w:space="0" w:color="auto"/>
              <w:bottom w:val="nil"/>
            </w:tcBorders>
          </w:tcPr>
          <w:p w14:paraId="5E735424" w14:textId="77777777" w:rsidR="00247B61" w:rsidRPr="001558DF" w:rsidRDefault="00247B61" w:rsidP="00247B61">
            <w:pPr>
              <w:pStyle w:val="TCTableBody"/>
              <w:spacing w:after="0" w:line="276" w:lineRule="auto"/>
              <w:rPr>
                <w:lang w:val="it-IT"/>
              </w:rPr>
            </w:pPr>
            <w:r w:rsidRPr="001558DF">
              <w:rPr>
                <w:lang w:val="it-IT"/>
              </w:rPr>
              <w:t>1.83 ± 0.85</w:t>
            </w:r>
          </w:p>
        </w:tc>
        <w:tc>
          <w:tcPr>
            <w:tcW w:w="1588" w:type="dxa"/>
            <w:tcBorders>
              <w:top w:val="single" w:sz="4" w:space="0" w:color="auto"/>
              <w:bottom w:val="nil"/>
            </w:tcBorders>
            <w:vAlign w:val="center"/>
          </w:tcPr>
          <w:p w14:paraId="096FD820" w14:textId="77777777" w:rsidR="00247B61" w:rsidRPr="001558DF" w:rsidRDefault="00247B61" w:rsidP="00247B61">
            <w:pPr>
              <w:pStyle w:val="TCTableBody"/>
              <w:spacing w:after="0" w:line="276" w:lineRule="auto"/>
              <w:rPr>
                <w:lang w:val="it-IT"/>
              </w:rPr>
            </w:pPr>
            <w:r w:rsidRPr="001558DF">
              <w:rPr>
                <w:lang w:val="it-IT"/>
              </w:rPr>
              <w:t>3.223 ± 0.017</w:t>
            </w:r>
          </w:p>
        </w:tc>
        <w:tc>
          <w:tcPr>
            <w:tcW w:w="1105" w:type="dxa"/>
            <w:tcBorders>
              <w:top w:val="single" w:sz="4" w:space="0" w:color="auto"/>
            </w:tcBorders>
            <w:vAlign w:val="center"/>
          </w:tcPr>
          <w:p w14:paraId="22C2FE72" w14:textId="77777777" w:rsidR="00247B61" w:rsidRPr="001558DF" w:rsidRDefault="00247B61" w:rsidP="00247B61">
            <w:pPr>
              <w:pStyle w:val="TCTableBody"/>
              <w:spacing w:after="0" w:line="276" w:lineRule="auto"/>
              <w:rPr>
                <w:lang w:val="it-IT"/>
              </w:rPr>
            </w:pPr>
            <w:r w:rsidRPr="001558DF">
              <w:rPr>
                <w:lang w:val="it-IT"/>
              </w:rPr>
              <w:t>58 ± 35</w:t>
            </w:r>
          </w:p>
        </w:tc>
        <w:tc>
          <w:tcPr>
            <w:tcW w:w="1134" w:type="dxa"/>
            <w:vMerge w:val="restart"/>
            <w:tcBorders>
              <w:top w:val="single" w:sz="4" w:space="0" w:color="auto"/>
            </w:tcBorders>
            <w:vAlign w:val="center"/>
          </w:tcPr>
          <w:p w14:paraId="2DA82572" w14:textId="77777777" w:rsidR="00247B61" w:rsidRPr="001558DF" w:rsidRDefault="00247B61" w:rsidP="00247B61">
            <w:pPr>
              <w:pStyle w:val="TCTableBody"/>
              <w:spacing w:after="0" w:line="276" w:lineRule="auto"/>
              <w:rPr>
                <w:lang w:val="it-IT"/>
              </w:rPr>
            </w:pPr>
            <w:r w:rsidRPr="001558DF">
              <w:rPr>
                <w:lang w:val="it-IT"/>
              </w:rPr>
              <w:t>5.1 ± 0.8</w:t>
            </w:r>
          </w:p>
        </w:tc>
        <w:tc>
          <w:tcPr>
            <w:tcW w:w="851" w:type="dxa"/>
            <w:vMerge w:val="restart"/>
            <w:tcBorders>
              <w:top w:val="single" w:sz="4" w:space="0" w:color="auto"/>
            </w:tcBorders>
            <w:vAlign w:val="center"/>
          </w:tcPr>
          <w:p w14:paraId="26B14B93" w14:textId="77777777" w:rsidR="00247B61" w:rsidRPr="001558DF" w:rsidRDefault="00247B61" w:rsidP="00247B61">
            <w:pPr>
              <w:pStyle w:val="TCTableBody"/>
              <w:spacing w:after="0" w:line="276" w:lineRule="auto"/>
              <w:rPr>
                <w:lang w:val="it-IT"/>
              </w:rPr>
            </w:pPr>
            <w:r w:rsidRPr="001558DF">
              <w:rPr>
                <w:lang w:val="it-IT"/>
              </w:rPr>
              <w:t>0.010</w:t>
            </w:r>
          </w:p>
        </w:tc>
      </w:tr>
      <w:tr w:rsidR="00247B61" w:rsidRPr="001558DF" w14:paraId="3F0D2FBA" w14:textId="77777777" w:rsidTr="000B2B07">
        <w:tc>
          <w:tcPr>
            <w:tcW w:w="1276" w:type="dxa"/>
            <w:vMerge/>
            <w:tcBorders>
              <w:top w:val="nil"/>
              <w:bottom w:val="single" w:sz="8" w:space="0" w:color="auto"/>
            </w:tcBorders>
          </w:tcPr>
          <w:p w14:paraId="5CBDF316" w14:textId="77777777" w:rsidR="00247B61" w:rsidRPr="001558DF" w:rsidRDefault="00247B61" w:rsidP="00247B61">
            <w:pPr>
              <w:pStyle w:val="TCTableBody"/>
              <w:spacing w:after="0" w:line="276" w:lineRule="auto"/>
              <w:rPr>
                <w:lang w:val="it-IT"/>
              </w:rPr>
            </w:pPr>
          </w:p>
        </w:tc>
        <w:tc>
          <w:tcPr>
            <w:tcW w:w="1070" w:type="dxa"/>
            <w:vMerge/>
            <w:tcBorders>
              <w:bottom w:val="single" w:sz="4" w:space="0" w:color="auto"/>
            </w:tcBorders>
          </w:tcPr>
          <w:p w14:paraId="7E236CFA" w14:textId="77777777" w:rsidR="00247B61" w:rsidRPr="001558DF" w:rsidRDefault="00247B61" w:rsidP="00247B61">
            <w:pPr>
              <w:pStyle w:val="TCTableBody"/>
              <w:spacing w:after="0" w:line="276" w:lineRule="auto"/>
              <w:rPr>
                <w:lang w:val="it-IT"/>
              </w:rPr>
            </w:pPr>
          </w:p>
        </w:tc>
        <w:tc>
          <w:tcPr>
            <w:tcW w:w="915" w:type="dxa"/>
            <w:tcBorders>
              <w:top w:val="nil"/>
              <w:bottom w:val="single" w:sz="4" w:space="0" w:color="auto"/>
            </w:tcBorders>
          </w:tcPr>
          <w:p w14:paraId="3018B8CB" w14:textId="77777777" w:rsidR="00247B61" w:rsidRPr="001558DF" w:rsidRDefault="00247B61" w:rsidP="00247B61">
            <w:pPr>
              <w:pStyle w:val="TCTableBody"/>
              <w:spacing w:after="0" w:line="276" w:lineRule="auto"/>
              <w:rPr>
                <w:lang w:val="it-IT"/>
              </w:rPr>
            </w:pPr>
            <w:r w:rsidRPr="001558DF">
              <w:rPr>
                <w:lang w:val="it-IT"/>
              </w:rPr>
              <w:t>Sn-O</w:t>
            </w:r>
          </w:p>
        </w:tc>
        <w:tc>
          <w:tcPr>
            <w:tcW w:w="1417" w:type="dxa"/>
            <w:tcBorders>
              <w:top w:val="nil"/>
              <w:bottom w:val="single" w:sz="4" w:space="0" w:color="auto"/>
            </w:tcBorders>
          </w:tcPr>
          <w:p w14:paraId="3F7614E5" w14:textId="77777777" w:rsidR="00247B61" w:rsidRPr="001558DF" w:rsidRDefault="00247B61" w:rsidP="00247B61">
            <w:pPr>
              <w:pStyle w:val="TCTableBody"/>
              <w:spacing w:after="0" w:line="276" w:lineRule="auto"/>
              <w:rPr>
                <w:lang w:val="de-DE"/>
              </w:rPr>
            </w:pPr>
            <w:r w:rsidRPr="001558DF">
              <w:rPr>
                <w:lang w:val="it-IT"/>
              </w:rPr>
              <w:t>5.28 ± 0.36</w:t>
            </w:r>
          </w:p>
        </w:tc>
        <w:tc>
          <w:tcPr>
            <w:tcW w:w="1588" w:type="dxa"/>
            <w:tcBorders>
              <w:top w:val="nil"/>
              <w:bottom w:val="single" w:sz="4" w:space="0" w:color="auto"/>
            </w:tcBorders>
          </w:tcPr>
          <w:p w14:paraId="300C642B" w14:textId="77777777" w:rsidR="00247B61" w:rsidRPr="001558DF" w:rsidRDefault="00247B61" w:rsidP="00247B61">
            <w:pPr>
              <w:pStyle w:val="TCTableBody"/>
              <w:spacing w:after="0" w:line="276" w:lineRule="auto"/>
              <w:rPr>
                <w:lang w:val="de-DE"/>
              </w:rPr>
            </w:pPr>
            <w:r w:rsidRPr="001558DF">
              <w:t>2.053 ± 0.006</w:t>
            </w:r>
          </w:p>
        </w:tc>
        <w:tc>
          <w:tcPr>
            <w:tcW w:w="1105" w:type="dxa"/>
            <w:tcBorders>
              <w:bottom w:val="single" w:sz="4" w:space="0" w:color="auto"/>
            </w:tcBorders>
          </w:tcPr>
          <w:p w14:paraId="666B8A54" w14:textId="77777777" w:rsidR="00247B61" w:rsidRPr="001558DF" w:rsidRDefault="00247B61" w:rsidP="00247B61">
            <w:pPr>
              <w:pStyle w:val="TCTableBody"/>
              <w:spacing w:after="0" w:line="276" w:lineRule="auto"/>
              <w:rPr>
                <w:lang w:val="de-DE"/>
              </w:rPr>
            </w:pPr>
            <w:r w:rsidRPr="001558DF">
              <w:t>34 ± 8</w:t>
            </w:r>
          </w:p>
        </w:tc>
        <w:tc>
          <w:tcPr>
            <w:tcW w:w="1134" w:type="dxa"/>
            <w:vMerge/>
            <w:tcBorders>
              <w:bottom w:val="single" w:sz="4" w:space="0" w:color="auto"/>
            </w:tcBorders>
          </w:tcPr>
          <w:p w14:paraId="46A6A802" w14:textId="77777777" w:rsidR="00247B61" w:rsidRPr="001558DF" w:rsidRDefault="00247B61" w:rsidP="00247B61">
            <w:pPr>
              <w:pStyle w:val="TCTableBody"/>
              <w:spacing w:after="0" w:line="276" w:lineRule="auto"/>
            </w:pPr>
          </w:p>
        </w:tc>
        <w:tc>
          <w:tcPr>
            <w:tcW w:w="851" w:type="dxa"/>
            <w:vMerge/>
            <w:tcBorders>
              <w:bottom w:val="single" w:sz="4" w:space="0" w:color="auto"/>
            </w:tcBorders>
          </w:tcPr>
          <w:p w14:paraId="0288395C" w14:textId="77777777" w:rsidR="00247B61" w:rsidRPr="001558DF" w:rsidRDefault="00247B61" w:rsidP="00247B61">
            <w:pPr>
              <w:pStyle w:val="TCTableBody"/>
              <w:spacing w:after="0" w:line="276" w:lineRule="auto"/>
            </w:pPr>
          </w:p>
        </w:tc>
      </w:tr>
      <w:tr w:rsidR="00247B61" w:rsidRPr="001558DF" w14:paraId="038D37BF" w14:textId="77777777" w:rsidTr="000B2B07">
        <w:tc>
          <w:tcPr>
            <w:tcW w:w="1276" w:type="dxa"/>
            <w:vMerge/>
            <w:tcBorders>
              <w:top w:val="nil"/>
              <w:bottom w:val="single" w:sz="8" w:space="0" w:color="auto"/>
            </w:tcBorders>
          </w:tcPr>
          <w:p w14:paraId="77ECB9FA" w14:textId="77777777" w:rsidR="00247B61" w:rsidRPr="001558DF" w:rsidRDefault="00247B61" w:rsidP="00247B61">
            <w:pPr>
              <w:pStyle w:val="TCTableBody"/>
              <w:spacing w:after="0" w:line="276" w:lineRule="auto"/>
            </w:pPr>
          </w:p>
        </w:tc>
        <w:tc>
          <w:tcPr>
            <w:tcW w:w="1070" w:type="dxa"/>
            <w:vMerge w:val="restart"/>
            <w:tcBorders>
              <w:top w:val="single" w:sz="4" w:space="0" w:color="auto"/>
              <w:bottom w:val="single" w:sz="8" w:space="0" w:color="auto"/>
            </w:tcBorders>
            <w:vAlign w:val="center"/>
          </w:tcPr>
          <w:p w14:paraId="4FA7A0A2" w14:textId="77777777" w:rsidR="00247B61" w:rsidRPr="001558DF" w:rsidRDefault="00247B61" w:rsidP="00247B61">
            <w:pPr>
              <w:pStyle w:val="TCTableBody"/>
              <w:spacing w:after="0" w:line="276" w:lineRule="auto"/>
            </w:pPr>
            <w:r w:rsidRPr="001558DF">
              <w:t>0.6 V</w:t>
            </w:r>
          </w:p>
        </w:tc>
        <w:tc>
          <w:tcPr>
            <w:tcW w:w="915" w:type="dxa"/>
            <w:tcBorders>
              <w:top w:val="single" w:sz="4" w:space="0" w:color="auto"/>
              <w:bottom w:val="single" w:sz="4" w:space="0" w:color="auto"/>
            </w:tcBorders>
          </w:tcPr>
          <w:p w14:paraId="6CCA4795" w14:textId="77777777" w:rsidR="00247B61" w:rsidRPr="001558DF" w:rsidRDefault="00247B61" w:rsidP="00247B61">
            <w:pPr>
              <w:pStyle w:val="TCTableBody"/>
              <w:spacing w:after="0" w:line="276" w:lineRule="auto"/>
            </w:pPr>
            <w:r w:rsidRPr="001558DF">
              <w:t>Pt-Pt</w:t>
            </w:r>
            <w:r w:rsidRPr="001558DF">
              <w:rPr>
                <w:vertAlign w:val="subscript"/>
              </w:rPr>
              <w:t>1</w:t>
            </w:r>
          </w:p>
        </w:tc>
        <w:tc>
          <w:tcPr>
            <w:tcW w:w="1417" w:type="dxa"/>
            <w:tcBorders>
              <w:top w:val="single" w:sz="4" w:space="0" w:color="auto"/>
              <w:bottom w:val="single" w:sz="4" w:space="0" w:color="auto"/>
            </w:tcBorders>
          </w:tcPr>
          <w:p w14:paraId="27290C14" w14:textId="77777777" w:rsidR="00247B61" w:rsidRPr="001558DF" w:rsidRDefault="00247B61" w:rsidP="00247B61">
            <w:pPr>
              <w:pStyle w:val="TCTableBody"/>
              <w:spacing w:after="0" w:line="276" w:lineRule="auto"/>
              <w:rPr>
                <w:lang w:val="it-IT"/>
              </w:rPr>
            </w:pPr>
            <w:r w:rsidRPr="001558DF">
              <w:t>9.15 ± 0.43</w:t>
            </w:r>
          </w:p>
        </w:tc>
        <w:tc>
          <w:tcPr>
            <w:tcW w:w="1588" w:type="dxa"/>
            <w:tcBorders>
              <w:top w:val="single" w:sz="4" w:space="0" w:color="auto"/>
              <w:bottom w:val="single" w:sz="4" w:space="0" w:color="auto"/>
            </w:tcBorders>
            <w:vAlign w:val="center"/>
          </w:tcPr>
          <w:p w14:paraId="6CC112C9" w14:textId="77777777" w:rsidR="00247B61" w:rsidRPr="001558DF" w:rsidRDefault="00247B61" w:rsidP="00247B61">
            <w:pPr>
              <w:pStyle w:val="TCTableBody"/>
              <w:spacing w:after="0" w:line="276" w:lineRule="auto"/>
              <w:rPr>
                <w:lang w:val="it-IT"/>
              </w:rPr>
            </w:pPr>
            <w:r w:rsidRPr="001558DF">
              <w:t>2.747 ± 0.002</w:t>
            </w:r>
          </w:p>
        </w:tc>
        <w:tc>
          <w:tcPr>
            <w:tcW w:w="1105" w:type="dxa"/>
            <w:tcBorders>
              <w:top w:val="single" w:sz="4" w:space="0" w:color="auto"/>
              <w:bottom w:val="single" w:sz="4" w:space="0" w:color="auto"/>
            </w:tcBorders>
            <w:vAlign w:val="center"/>
          </w:tcPr>
          <w:p w14:paraId="45FA99B6" w14:textId="77777777" w:rsidR="00247B61" w:rsidRPr="001558DF" w:rsidRDefault="00247B61" w:rsidP="00247B61">
            <w:pPr>
              <w:pStyle w:val="TCTableBody"/>
              <w:spacing w:after="0" w:line="276" w:lineRule="auto"/>
              <w:rPr>
                <w:lang w:val="it-IT"/>
              </w:rPr>
            </w:pPr>
            <w:r w:rsidRPr="001558DF">
              <w:t>58 ± 2</w:t>
            </w:r>
          </w:p>
        </w:tc>
        <w:tc>
          <w:tcPr>
            <w:tcW w:w="1134" w:type="dxa"/>
            <w:tcBorders>
              <w:top w:val="single" w:sz="4" w:space="0" w:color="auto"/>
              <w:bottom w:val="single" w:sz="4" w:space="0" w:color="auto"/>
            </w:tcBorders>
            <w:vAlign w:val="center"/>
          </w:tcPr>
          <w:p w14:paraId="39E7BC26" w14:textId="77777777" w:rsidR="00247B61" w:rsidRPr="001558DF" w:rsidRDefault="00247B61" w:rsidP="00247B61">
            <w:pPr>
              <w:pStyle w:val="TCTableBody"/>
              <w:spacing w:after="0" w:line="276" w:lineRule="auto"/>
            </w:pPr>
            <w:r w:rsidRPr="001558DF">
              <w:t>6.9 ± 0.4</w:t>
            </w:r>
          </w:p>
        </w:tc>
        <w:tc>
          <w:tcPr>
            <w:tcW w:w="851" w:type="dxa"/>
            <w:tcBorders>
              <w:top w:val="single" w:sz="4" w:space="0" w:color="auto"/>
              <w:bottom w:val="single" w:sz="4" w:space="0" w:color="auto"/>
            </w:tcBorders>
            <w:vAlign w:val="center"/>
          </w:tcPr>
          <w:p w14:paraId="0A29E044" w14:textId="77777777" w:rsidR="00247B61" w:rsidRPr="001558DF" w:rsidRDefault="00247B61" w:rsidP="00247B61">
            <w:pPr>
              <w:pStyle w:val="TCTableBody"/>
              <w:spacing w:after="0" w:line="276" w:lineRule="auto"/>
            </w:pPr>
            <w:r w:rsidRPr="001558DF">
              <w:t>0.006</w:t>
            </w:r>
          </w:p>
        </w:tc>
      </w:tr>
      <w:tr w:rsidR="00247B61" w:rsidRPr="001558DF" w14:paraId="50BAE9AE" w14:textId="77777777" w:rsidTr="000B2B07">
        <w:tc>
          <w:tcPr>
            <w:tcW w:w="1276" w:type="dxa"/>
            <w:vMerge/>
            <w:tcBorders>
              <w:top w:val="nil"/>
              <w:bottom w:val="single" w:sz="8" w:space="0" w:color="auto"/>
            </w:tcBorders>
          </w:tcPr>
          <w:p w14:paraId="5BA03FD9" w14:textId="77777777" w:rsidR="00247B61" w:rsidRPr="001558DF" w:rsidRDefault="00247B61" w:rsidP="00247B61">
            <w:pPr>
              <w:pStyle w:val="TCTableBody"/>
              <w:spacing w:after="0" w:line="276" w:lineRule="auto"/>
            </w:pPr>
          </w:p>
        </w:tc>
        <w:tc>
          <w:tcPr>
            <w:tcW w:w="1070" w:type="dxa"/>
            <w:vMerge/>
            <w:tcBorders>
              <w:top w:val="nil"/>
              <w:bottom w:val="single" w:sz="8" w:space="0" w:color="auto"/>
            </w:tcBorders>
            <w:vAlign w:val="center"/>
          </w:tcPr>
          <w:p w14:paraId="2DBE6124" w14:textId="77777777" w:rsidR="00247B61" w:rsidRPr="001558DF" w:rsidRDefault="00247B61" w:rsidP="00247B61">
            <w:pPr>
              <w:pStyle w:val="TCTableBody"/>
              <w:spacing w:after="0" w:line="276" w:lineRule="auto"/>
            </w:pPr>
          </w:p>
        </w:tc>
        <w:tc>
          <w:tcPr>
            <w:tcW w:w="915" w:type="dxa"/>
            <w:tcBorders>
              <w:top w:val="single" w:sz="4" w:space="0" w:color="auto"/>
              <w:bottom w:val="nil"/>
            </w:tcBorders>
          </w:tcPr>
          <w:p w14:paraId="7BA17ED6" w14:textId="77777777" w:rsidR="00247B61" w:rsidRPr="001558DF" w:rsidRDefault="00247B61" w:rsidP="00247B61">
            <w:pPr>
              <w:pStyle w:val="TCTableBody"/>
              <w:spacing w:after="0" w:line="276" w:lineRule="auto"/>
            </w:pPr>
            <w:r w:rsidRPr="001558DF">
              <w:t>Sn-Sn</w:t>
            </w:r>
          </w:p>
        </w:tc>
        <w:tc>
          <w:tcPr>
            <w:tcW w:w="1417" w:type="dxa"/>
            <w:tcBorders>
              <w:top w:val="single" w:sz="4" w:space="0" w:color="auto"/>
              <w:bottom w:val="nil"/>
            </w:tcBorders>
          </w:tcPr>
          <w:p w14:paraId="7D8BD2FF" w14:textId="77777777" w:rsidR="00247B61" w:rsidRPr="001558DF" w:rsidRDefault="00247B61" w:rsidP="00247B61">
            <w:pPr>
              <w:pStyle w:val="TCTableBody"/>
              <w:spacing w:after="0" w:line="276" w:lineRule="auto"/>
              <w:rPr>
                <w:lang w:val="it-IT"/>
              </w:rPr>
            </w:pPr>
            <w:r w:rsidRPr="001558DF">
              <w:rPr>
                <w:lang w:val="it-IT"/>
              </w:rPr>
              <w:t>1.73 ± 1.28</w:t>
            </w:r>
          </w:p>
        </w:tc>
        <w:tc>
          <w:tcPr>
            <w:tcW w:w="1588" w:type="dxa"/>
            <w:tcBorders>
              <w:top w:val="single" w:sz="4" w:space="0" w:color="auto"/>
              <w:bottom w:val="nil"/>
            </w:tcBorders>
            <w:vAlign w:val="center"/>
          </w:tcPr>
          <w:p w14:paraId="782A7931" w14:textId="77777777" w:rsidR="00247B61" w:rsidRPr="001558DF" w:rsidRDefault="00247B61" w:rsidP="00247B61">
            <w:pPr>
              <w:pStyle w:val="TCTableBody"/>
              <w:spacing w:after="0" w:line="276" w:lineRule="auto"/>
              <w:rPr>
                <w:lang w:val="it-IT"/>
              </w:rPr>
            </w:pPr>
            <w:r w:rsidRPr="001558DF">
              <w:rPr>
                <w:lang w:val="it-IT"/>
              </w:rPr>
              <w:t>3.239 ± 0.008</w:t>
            </w:r>
          </w:p>
        </w:tc>
        <w:tc>
          <w:tcPr>
            <w:tcW w:w="1105" w:type="dxa"/>
            <w:tcBorders>
              <w:top w:val="single" w:sz="4" w:space="0" w:color="auto"/>
              <w:bottom w:val="nil"/>
            </w:tcBorders>
            <w:vAlign w:val="center"/>
          </w:tcPr>
          <w:p w14:paraId="1078570C" w14:textId="77777777" w:rsidR="00247B61" w:rsidRPr="001558DF" w:rsidRDefault="00247B61" w:rsidP="00247B61">
            <w:pPr>
              <w:pStyle w:val="TCTableBody"/>
              <w:spacing w:after="0" w:line="276" w:lineRule="auto"/>
              <w:rPr>
                <w:lang w:val="it-IT"/>
              </w:rPr>
            </w:pPr>
            <w:r w:rsidRPr="001558DF">
              <w:rPr>
                <w:lang w:val="it-IT"/>
              </w:rPr>
              <w:t>79 ± 66</w:t>
            </w:r>
          </w:p>
        </w:tc>
        <w:tc>
          <w:tcPr>
            <w:tcW w:w="1134" w:type="dxa"/>
            <w:vMerge w:val="restart"/>
            <w:tcBorders>
              <w:top w:val="single" w:sz="4" w:space="0" w:color="auto"/>
              <w:bottom w:val="single" w:sz="8" w:space="0" w:color="auto"/>
            </w:tcBorders>
            <w:vAlign w:val="center"/>
          </w:tcPr>
          <w:p w14:paraId="73B01FC7" w14:textId="77777777" w:rsidR="00247B61" w:rsidRPr="001558DF" w:rsidRDefault="00247B61" w:rsidP="00247B61">
            <w:pPr>
              <w:pStyle w:val="TCTableBody"/>
              <w:spacing w:after="0" w:line="276" w:lineRule="auto"/>
            </w:pPr>
            <w:r w:rsidRPr="001558DF">
              <w:t>5.0 ± 1.0</w:t>
            </w:r>
          </w:p>
        </w:tc>
        <w:tc>
          <w:tcPr>
            <w:tcW w:w="851" w:type="dxa"/>
            <w:vMerge w:val="restart"/>
            <w:tcBorders>
              <w:top w:val="single" w:sz="4" w:space="0" w:color="auto"/>
              <w:bottom w:val="single" w:sz="8" w:space="0" w:color="auto"/>
            </w:tcBorders>
            <w:vAlign w:val="center"/>
          </w:tcPr>
          <w:p w14:paraId="46C00CE1" w14:textId="77777777" w:rsidR="00247B61" w:rsidRPr="001558DF" w:rsidRDefault="00247B61" w:rsidP="00247B61">
            <w:pPr>
              <w:pStyle w:val="TCTableBody"/>
              <w:spacing w:after="0" w:line="276" w:lineRule="auto"/>
            </w:pPr>
            <w:r w:rsidRPr="001558DF">
              <w:t>0.019</w:t>
            </w:r>
          </w:p>
        </w:tc>
      </w:tr>
      <w:tr w:rsidR="00247B61" w:rsidRPr="001558DF" w14:paraId="262AAD39" w14:textId="77777777" w:rsidTr="000B2B07">
        <w:tc>
          <w:tcPr>
            <w:tcW w:w="1276" w:type="dxa"/>
            <w:vMerge/>
            <w:tcBorders>
              <w:top w:val="nil"/>
              <w:bottom w:val="single" w:sz="8" w:space="0" w:color="auto"/>
            </w:tcBorders>
          </w:tcPr>
          <w:p w14:paraId="2DA39F2A" w14:textId="77777777" w:rsidR="00247B61" w:rsidRPr="001558DF" w:rsidRDefault="00247B61" w:rsidP="00247B61">
            <w:pPr>
              <w:pStyle w:val="TCTableBody"/>
              <w:spacing w:after="0" w:line="276" w:lineRule="auto"/>
            </w:pPr>
          </w:p>
        </w:tc>
        <w:tc>
          <w:tcPr>
            <w:tcW w:w="1070" w:type="dxa"/>
            <w:vMerge/>
            <w:tcBorders>
              <w:top w:val="nil"/>
              <w:bottom w:val="single" w:sz="8" w:space="0" w:color="auto"/>
            </w:tcBorders>
            <w:vAlign w:val="center"/>
          </w:tcPr>
          <w:p w14:paraId="791DD7C2" w14:textId="77777777" w:rsidR="00247B61" w:rsidRPr="001558DF" w:rsidRDefault="00247B61" w:rsidP="00247B61">
            <w:pPr>
              <w:pStyle w:val="TCTableBody"/>
              <w:spacing w:after="0" w:line="276" w:lineRule="auto"/>
            </w:pPr>
          </w:p>
        </w:tc>
        <w:tc>
          <w:tcPr>
            <w:tcW w:w="915" w:type="dxa"/>
            <w:tcBorders>
              <w:top w:val="nil"/>
              <w:bottom w:val="single" w:sz="8" w:space="0" w:color="auto"/>
            </w:tcBorders>
          </w:tcPr>
          <w:p w14:paraId="08EB34F3" w14:textId="77777777" w:rsidR="00247B61" w:rsidRPr="001558DF" w:rsidRDefault="00247B61" w:rsidP="00247B61">
            <w:pPr>
              <w:pStyle w:val="TCTableBody"/>
              <w:spacing w:after="0" w:line="276" w:lineRule="auto"/>
            </w:pPr>
            <w:r w:rsidRPr="001558DF">
              <w:t>Sn-O</w:t>
            </w:r>
          </w:p>
        </w:tc>
        <w:tc>
          <w:tcPr>
            <w:tcW w:w="1417" w:type="dxa"/>
            <w:tcBorders>
              <w:top w:val="nil"/>
              <w:bottom w:val="single" w:sz="8" w:space="0" w:color="auto"/>
            </w:tcBorders>
          </w:tcPr>
          <w:p w14:paraId="425B1157" w14:textId="77777777" w:rsidR="00247B61" w:rsidRPr="001558DF" w:rsidRDefault="00247B61" w:rsidP="00247B61">
            <w:pPr>
              <w:pStyle w:val="TCTableBody"/>
              <w:spacing w:after="0" w:line="276" w:lineRule="auto"/>
              <w:rPr>
                <w:lang w:val="de-DE"/>
              </w:rPr>
            </w:pPr>
            <w:r w:rsidRPr="001558DF">
              <w:t>4.81 ± 0.40</w:t>
            </w:r>
          </w:p>
        </w:tc>
        <w:tc>
          <w:tcPr>
            <w:tcW w:w="1588" w:type="dxa"/>
            <w:tcBorders>
              <w:top w:val="nil"/>
              <w:bottom w:val="single" w:sz="8" w:space="0" w:color="auto"/>
            </w:tcBorders>
          </w:tcPr>
          <w:p w14:paraId="3AB4FFE3" w14:textId="77777777" w:rsidR="00247B61" w:rsidRPr="001558DF" w:rsidRDefault="00247B61" w:rsidP="00247B61">
            <w:pPr>
              <w:pStyle w:val="TCTableBody"/>
              <w:spacing w:after="0" w:line="276" w:lineRule="auto"/>
              <w:rPr>
                <w:lang w:val="de-DE"/>
              </w:rPr>
            </w:pPr>
            <w:r w:rsidRPr="001558DF">
              <w:t>2.052 ± 0.009</w:t>
            </w:r>
          </w:p>
        </w:tc>
        <w:tc>
          <w:tcPr>
            <w:tcW w:w="1105" w:type="dxa"/>
            <w:tcBorders>
              <w:top w:val="nil"/>
              <w:bottom w:val="single" w:sz="8" w:space="0" w:color="auto"/>
            </w:tcBorders>
          </w:tcPr>
          <w:p w14:paraId="4CC973AB" w14:textId="77777777" w:rsidR="00247B61" w:rsidRPr="001558DF" w:rsidRDefault="00247B61" w:rsidP="00247B61">
            <w:pPr>
              <w:pStyle w:val="TCTableBody"/>
              <w:spacing w:after="0" w:line="276" w:lineRule="auto"/>
              <w:rPr>
                <w:lang w:val="de-DE"/>
              </w:rPr>
            </w:pPr>
            <w:r w:rsidRPr="001558DF">
              <w:t>21 ± 10</w:t>
            </w:r>
          </w:p>
        </w:tc>
        <w:tc>
          <w:tcPr>
            <w:tcW w:w="1134" w:type="dxa"/>
            <w:vMerge/>
            <w:tcBorders>
              <w:top w:val="nil"/>
              <w:bottom w:val="single" w:sz="8" w:space="0" w:color="auto"/>
            </w:tcBorders>
            <w:vAlign w:val="center"/>
          </w:tcPr>
          <w:p w14:paraId="6767368B" w14:textId="77777777" w:rsidR="00247B61" w:rsidRPr="001558DF" w:rsidRDefault="00247B61" w:rsidP="00247B61">
            <w:pPr>
              <w:pStyle w:val="TCTableBody"/>
              <w:spacing w:after="0" w:line="276" w:lineRule="auto"/>
            </w:pPr>
          </w:p>
        </w:tc>
        <w:tc>
          <w:tcPr>
            <w:tcW w:w="851" w:type="dxa"/>
            <w:vMerge/>
            <w:tcBorders>
              <w:top w:val="nil"/>
              <w:bottom w:val="single" w:sz="8" w:space="0" w:color="auto"/>
            </w:tcBorders>
            <w:vAlign w:val="center"/>
          </w:tcPr>
          <w:p w14:paraId="7DA46103" w14:textId="77777777" w:rsidR="00247B61" w:rsidRPr="001558DF" w:rsidRDefault="00247B61" w:rsidP="00247B61">
            <w:pPr>
              <w:pStyle w:val="TCTableBody"/>
              <w:spacing w:after="0" w:line="276" w:lineRule="auto"/>
            </w:pPr>
          </w:p>
        </w:tc>
      </w:tr>
    </w:tbl>
    <w:p w14:paraId="4E442438" w14:textId="77777777" w:rsidR="00247B61" w:rsidRPr="001558DF" w:rsidRDefault="00247B61" w:rsidP="00247B61">
      <w:pPr>
        <w:pStyle w:val="TAMainText"/>
        <w:spacing w:line="240" w:lineRule="auto"/>
        <w:rPr>
          <w:bCs/>
          <w:i/>
        </w:rPr>
      </w:pPr>
    </w:p>
    <w:p w14:paraId="272E613F" w14:textId="77777777" w:rsidR="00247B61" w:rsidRPr="001558DF" w:rsidRDefault="00247B61" w:rsidP="00247B61">
      <w:pPr>
        <w:pStyle w:val="TAMainText"/>
        <w:rPr>
          <w:bCs/>
          <w:i/>
        </w:rPr>
      </w:pPr>
    </w:p>
    <w:p w14:paraId="364380CB" w14:textId="77777777" w:rsidR="00247B61" w:rsidRPr="001558DF" w:rsidRDefault="00247B61" w:rsidP="00247B61">
      <w:pPr>
        <w:pStyle w:val="TAMainText"/>
        <w:rPr>
          <w:bCs/>
          <w:i/>
        </w:rPr>
      </w:pPr>
    </w:p>
    <w:p w14:paraId="56B0B7DF" w14:textId="77777777" w:rsidR="00247B61" w:rsidRPr="001558DF" w:rsidRDefault="00247B61" w:rsidP="00247B61">
      <w:pPr>
        <w:pStyle w:val="TAMainText"/>
        <w:rPr>
          <w:bCs/>
          <w:i/>
        </w:rPr>
      </w:pPr>
    </w:p>
    <w:p w14:paraId="548AD4D4" w14:textId="77777777" w:rsidR="00247B61" w:rsidRPr="001558DF" w:rsidRDefault="00247B61" w:rsidP="00247B61">
      <w:pPr>
        <w:pStyle w:val="TAMainText"/>
        <w:rPr>
          <w:bCs/>
          <w:i/>
        </w:rPr>
      </w:pPr>
    </w:p>
    <w:p w14:paraId="6D13BBA7" w14:textId="77777777" w:rsidR="00247B61" w:rsidRPr="001558DF" w:rsidRDefault="00247B61" w:rsidP="00247B61">
      <w:pPr>
        <w:pStyle w:val="TAMainText"/>
        <w:rPr>
          <w:bCs/>
          <w:i/>
        </w:rPr>
      </w:pPr>
    </w:p>
    <w:p w14:paraId="47BE9B62" w14:textId="77777777" w:rsidR="00247B61" w:rsidRPr="001558DF" w:rsidRDefault="00247B61" w:rsidP="00247B61">
      <w:pPr>
        <w:pStyle w:val="VDTableTitle"/>
        <w:spacing w:after="0"/>
      </w:pPr>
      <w:proofErr w:type="gramStart"/>
      <w:r w:rsidRPr="001558DF">
        <w:t>Table 2.</w:t>
      </w:r>
      <w:proofErr w:type="gramEnd"/>
      <w:r w:rsidRPr="001558DF">
        <w:t xml:space="preserve"> Structural parameters obtained for the Pt</w:t>
      </w:r>
      <w:r w:rsidRPr="001558DF">
        <w:rPr>
          <w:vertAlign w:val="subscript"/>
        </w:rPr>
        <w:t>3</w:t>
      </w:r>
      <w:r w:rsidRPr="001558DF">
        <w:t>Sn</w:t>
      </w:r>
      <w:r w:rsidRPr="001558DF">
        <w:rPr>
          <w:vertAlign w:val="subscript"/>
        </w:rPr>
        <w:t>1</w:t>
      </w:r>
      <w:r w:rsidRPr="001558DF">
        <w:t>/C catalyst from fitting simultaneously the Pt L</w:t>
      </w:r>
      <w:r w:rsidRPr="001558DF">
        <w:rPr>
          <w:vertAlign w:val="subscript"/>
        </w:rPr>
        <w:t>3</w:t>
      </w:r>
      <w:r w:rsidRPr="001558DF">
        <w:t xml:space="preserve"> and Sn K edges EXAFS data acquired under potential control in 0.5 M H</w:t>
      </w:r>
      <w:r w:rsidRPr="001558DF">
        <w:rPr>
          <w:vertAlign w:val="subscript"/>
        </w:rPr>
        <w:t>2</w:t>
      </w:r>
      <w:r w:rsidRPr="001558DF">
        <w:t>SO</w:t>
      </w:r>
      <w:r w:rsidRPr="001558DF">
        <w:rPr>
          <w:vertAlign w:val="subscript"/>
        </w:rPr>
        <w:t>4</w:t>
      </w:r>
      <w:r w:rsidRPr="001558DF">
        <w:t xml:space="preserve"> and in 0.5 M CH</w:t>
      </w:r>
      <w:r w:rsidRPr="001558DF">
        <w:rPr>
          <w:vertAlign w:val="subscript"/>
        </w:rPr>
        <w:t>3</w:t>
      </w:r>
      <w:r w:rsidRPr="001558DF">
        <w:t>CH</w:t>
      </w:r>
      <w:r w:rsidRPr="001558DF">
        <w:rPr>
          <w:vertAlign w:val="subscript"/>
        </w:rPr>
        <w:t>2</w:t>
      </w:r>
      <w:r w:rsidRPr="001558DF">
        <w:t>OH + 0.5M H</w:t>
      </w:r>
      <w:r w:rsidRPr="001558DF">
        <w:rPr>
          <w:vertAlign w:val="subscript"/>
        </w:rPr>
        <w:t>2</w:t>
      </w:r>
      <w:r w:rsidRPr="001558DF">
        <w:t>SO</w:t>
      </w:r>
      <w:r w:rsidRPr="001558DF">
        <w:rPr>
          <w:vertAlign w:val="subscript"/>
        </w:rPr>
        <w:t>4</w:t>
      </w:r>
      <w:r w:rsidRPr="001558DF">
        <w:t>.</w:t>
      </w:r>
    </w:p>
    <w:tbl>
      <w:tblPr>
        <w:tblW w:w="9356" w:type="dxa"/>
        <w:tblBorders>
          <w:top w:val="single" w:sz="4" w:space="0" w:color="auto"/>
          <w:bottom w:val="single" w:sz="4" w:space="0" w:color="auto"/>
        </w:tblBorders>
        <w:tblLook w:val="04A0" w:firstRow="1" w:lastRow="0" w:firstColumn="1" w:lastColumn="0" w:noHBand="0" w:noVBand="1"/>
      </w:tblPr>
      <w:tblGrid>
        <w:gridCol w:w="1276"/>
        <w:gridCol w:w="1070"/>
        <w:gridCol w:w="773"/>
        <w:gridCol w:w="1417"/>
        <w:gridCol w:w="1560"/>
        <w:gridCol w:w="1147"/>
        <w:gridCol w:w="1262"/>
        <w:gridCol w:w="851"/>
      </w:tblGrid>
      <w:tr w:rsidR="00247B61" w:rsidRPr="001558DF" w14:paraId="23C1CAA6" w14:textId="77777777" w:rsidTr="000B2B07">
        <w:tc>
          <w:tcPr>
            <w:tcW w:w="1276" w:type="dxa"/>
            <w:tcBorders>
              <w:top w:val="single" w:sz="8" w:space="0" w:color="auto"/>
              <w:bottom w:val="single" w:sz="8" w:space="0" w:color="auto"/>
            </w:tcBorders>
          </w:tcPr>
          <w:p w14:paraId="765BE699" w14:textId="77777777" w:rsidR="00247B61" w:rsidRPr="001558DF" w:rsidRDefault="00247B61" w:rsidP="00247B61">
            <w:pPr>
              <w:pStyle w:val="TCTableBody"/>
              <w:spacing w:after="0" w:line="276" w:lineRule="auto"/>
            </w:pPr>
            <w:r w:rsidRPr="001558DF">
              <w:t>Electrolyte</w:t>
            </w:r>
          </w:p>
        </w:tc>
        <w:tc>
          <w:tcPr>
            <w:tcW w:w="1070" w:type="dxa"/>
            <w:tcBorders>
              <w:top w:val="single" w:sz="8" w:space="0" w:color="auto"/>
              <w:bottom w:val="single" w:sz="8" w:space="0" w:color="auto"/>
            </w:tcBorders>
          </w:tcPr>
          <w:p w14:paraId="3EAA8048" w14:textId="77777777" w:rsidR="00247B61" w:rsidRPr="001558DF" w:rsidRDefault="00247B61" w:rsidP="00247B61">
            <w:pPr>
              <w:pStyle w:val="TCTableBody"/>
              <w:spacing w:after="0" w:line="276" w:lineRule="auto"/>
            </w:pPr>
            <w:r w:rsidRPr="001558DF">
              <w:t>Potential</w:t>
            </w:r>
          </w:p>
          <w:p w14:paraId="2E081802" w14:textId="77777777" w:rsidR="00247B61" w:rsidRPr="001558DF" w:rsidRDefault="00247B61" w:rsidP="00247B61">
            <w:pPr>
              <w:pStyle w:val="TCTableBody"/>
              <w:spacing w:after="0" w:line="276" w:lineRule="auto"/>
            </w:pPr>
            <w:r w:rsidRPr="001558DF">
              <w:t>vs RHE</w:t>
            </w:r>
          </w:p>
        </w:tc>
        <w:tc>
          <w:tcPr>
            <w:tcW w:w="773" w:type="dxa"/>
            <w:tcBorders>
              <w:top w:val="single" w:sz="8" w:space="0" w:color="auto"/>
              <w:bottom w:val="single" w:sz="8" w:space="0" w:color="auto"/>
            </w:tcBorders>
          </w:tcPr>
          <w:p w14:paraId="078DD401" w14:textId="77777777" w:rsidR="00247B61" w:rsidRPr="001558DF" w:rsidRDefault="00247B61" w:rsidP="00247B61">
            <w:pPr>
              <w:pStyle w:val="TCTableBody"/>
              <w:spacing w:after="0" w:line="276" w:lineRule="auto"/>
            </w:pPr>
            <w:r w:rsidRPr="001558DF">
              <w:t>Shell</w:t>
            </w:r>
          </w:p>
        </w:tc>
        <w:tc>
          <w:tcPr>
            <w:tcW w:w="1417" w:type="dxa"/>
            <w:tcBorders>
              <w:top w:val="single" w:sz="8" w:space="0" w:color="auto"/>
              <w:bottom w:val="single" w:sz="8" w:space="0" w:color="auto"/>
            </w:tcBorders>
          </w:tcPr>
          <w:p w14:paraId="670AE495" w14:textId="77777777" w:rsidR="00247B61" w:rsidRPr="001558DF" w:rsidRDefault="00247B61" w:rsidP="00247B61">
            <w:pPr>
              <w:pStyle w:val="TCTableBody"/>
              <w:spacing w:after="0" w:line="276" w:lineRule="auto"/>
            </w:pPr>
            <w:r w:rsidRPr="001558DF">
              <w:t>N</w:t>
            </w:r>
          </w:p>
        </w:tc>
        <w:tc>
          <w:tcPr>
            <w:tcW w:w="1560" w:type="dxa"/>
            <w:tcBorders>
              <w:top w:val="single" w:sz="8" w:space="0" w:color="auto"/>
              <w:bottom w:val="single" w:sz="8" w:space="0" w:color="auto"/>
            </w:tcBorders>
          </w:tcPr>
          <w:p w14:paraId="27F00724" w14:textId="77777777" w:rsidR="00247B61" w:rsidRPr="001558DF" w:rsidRDefault="00247B61" w:rsidP="00247B61">
            <w:pPr>
              <w:pStyle w:val="TCTableBody"/>
              <w:spacing w:after="0" w:line="276" w:lineRule="auto"/>
            </w:pPr>
            <w:r w:rsidRPr="001558DF">
              <w:t>R</w:t>
            </w:r>
          </w:p>
          <w:p w14:paraId="3E4EAFD8" w14:textId="77777777" w:rsidR="00247B61" w:rsidRPr="001558DF" w:rsidRDefault="00247B61" w:rsidP="00247B61">
            <w:pPr>
              <w:pStyle w:val="TCTableBody"/>
              <w:spacing w:after="0" w:line="276" w:lineRule="auto"/>
            </w:pPr>
            <w:r w:rsidRPr="001558DF">
              <w:t>/Å</w:t>
            </w:r>
          </w:p>
        </w:tc>
        <w:tc>
          <w:tcPr>
            <w:tcW w:w="1147" w:type="dxa"/>
            <w:tcBorders>
              <w:top w:val="single" w:sz="8" w:space="0" w:color="auto"/>
              <w:bottom w:val="single" w:sz="8" w:space="0" w:color="auto"/>
            </w:tcBorders>
          </w:tcPr>
          <w:p w14:paraId="6BBCBB0C" w14:textId="77777777" w:rsidR="00247B61" w:rsidRPr="001558DF" w:rsidRDefault="00247B61" w:rsidP="00247B61">
            <w:pPr>
              <w:pStyle w:val="TCTableBody"/>
              <w:spacing w:after="0" w:line="276" w:lineRule="auto"/>
              <w:rPr>
                <w:vertAlign w:val="superscript"/>
              </w:rPr>
            </w:pPr>
            <w:r w:rsidRPr="001558DF">
              <w:t>σ</w:t>
            </w:r>
            <w:r w:rsidRPr="001558DF">
              <w:rPr>
                <w:vertAlign w:val="superscript"/>
              </w:rPr>
              <w:t>2</w:t>
            </w:r>
            <w:r w:rsidRPr="001558DF">
              <w:t xml:space="preserve"> x 10</w:t>
            </w:r>
            <w:r w:rsidRPr="001558DF">
              <w:rPr>
                <w:vertAlign w:val="superscript"/>
              </w:rPr>
              <w:t>4</w:t>
            </w:r>
          </w:p>
          <w:p w14:paraId="4260A36F" w14:textId="77777777" w:rsidR="00247B61" w:rsidRPr="001558DF" w:rsidRDefault="00247B61" w:rsidP="00247B61">
            <w:pPr>
              <w:pStyle w:val="TCTableBody"/>
              <w:spacing w:after="0" w:line="276" w:lineRule="auto"/>
            </w:pPr>
            <w:r w:rsidRPr="001558DF">
              <w:t>/ Å</w:t>
            </w:r>
            <w:r w:rsidRPr="001558DF">
              <w:rPr>
                <w:vertAlign w:val="superscript"/>
              </w:rPr>
              <w:t>2</w:t>
            </w:r>
          </w:p>
        </w:tc>
        <w:tc>
          <w:tcPr>
            <w:tcW w:w="1262" w:type="dxa"/>
            <w:tcBorders>
              <w:top w:val="single" w:sz="8" w:space="0" w:color="auto"/>
              <w:bottom w:val="single" w:sz="8" w:space="0" w:color="auto"/>
            </w:tcBorders>
          </w:tcPr>
          <w:p w14:paraId="106ABEB5" w14:textId="77777777" w:rsidR="00247B61" w:rsidRPr="001558DF" w:rsidRDefault="00247B61" w:rsidP="00247B61">
            <w:pPr>
              <w:pStyle w:val="TCTableBody"/>
              <w:spacing w:after="0" w:line="276" w:lineRule="auto"/>
              <w:rPr>
                <w:vertAlign w:val="subscript"/>
              </w:rPr>
            </w:pPr>
            <w:r w:rsidRPr="001558DF">
              <w:t>ΔE</w:t>
            </w:r>
            <w:r w:rsidRPr="001558DF">
              <w:rPr>
                <w:vertAlign w:val="subscript"/>
              </w:rPr>
              <w:t>0</w:t>
            </w:r>
          </w:p>
          <w:p w14:paraId="6A22D003" w14:textId="77777777" w:rsidR="00247B61" w:rsidRPr="001558DF" w:rsidRDefault="00247B61" w:rsidP="00247B61">
            <w:pPr>
              <w:pStyle w:val="TCTableBody"/>
              <w:spacing w:after="0" w:line="276" w:lineRule="auto"/>
            </w:pPr>
            <w:r w:rsidRPr="001558DF">
              <w:t>/eV</w:t>
            </w:r>
          </w:p>
        </w:tc>
        <w:tc>
          <w:tcPr>
            <w:tcW w:w="851" w:type="dxa"/>
            <w:tcBorders>
              <w:top w:val="single" w:sz="8" w:space="0" w:color="auto"/>
              <w:bottom w:val="single" w:sz="8" w:space="0" w:color="auto"/>
            </w:tcBorders>
          </w:tcPr>
          <w:p w14:paraId="5492EE03" w14:textId="77777777" w:rsidR="00247B61" w:rsidRPr="001558DF" w:rsidRDefault="00247B61" w:rsidP="00247B61">
            <w:pPr>
              <w:pStyle w:val="TCTableBody"/>
              <w:spacing w:after="0" w:line="276" w:lineRule="auto"/>
            </w:pPr>
            <w:proofErr w:type="spellStart"/>
            <w:r w:rsidRPr="001558DF">
              <w:t>R</w:t>
            </w:r>
            <w:r w:rsidRPr="001558DF">
              <w:rPr>
                <w:vertAlign w:val="subscript"/>
              </w:rPr>
              <w:t>f</w:t>
            </w:r>
            <w:proofErr w:type="spellEnd"/>
          </w:p>
        </w:tc>
      </w:tr>
      <w:tr w:rsidR="00247B61" w:rsidRPr="001558DF" w14:paraId="2DA117DB" w14:textId="77777777" w:rsidTr="000B2B07">
        <w:tc>
          <w:tcPr>
            <w:tcW w:w="1276" w:type="dxa"/>
            <w:vMerge w:val="restart"/>
            <w:tcBorders>
              <w:top w:val="single" w:sz="8" w:space="0" w:color="auto"/>
              <w:bottom w:val="single" w:sz="8" w:space="0" w:color="auto"/>
            </w:tcBorders>
            <w:vAlign w:val="center"/>
          </w:tcPr>
          <w:p w14:paraId="5C8808D0" w14:textId="77777777" w:rsidR="00247B61" w:rsidRPr="001558DF" w:rsidRDefault="00247B61" w:rsidP="00247B61">
            <w:pPr>
              <w:pStyle w:val="TCTableBody"/>
              <w:spacing w:after="0" w:line="276" w:lineRule="auto"/>
            </w:pPr>
            <w:r w:rsidRPr="001558DF">
              <w:t>0.5M H</w:t>
            </w:r>
            <w:r w:rsidRPr="001558DF">
              <w:rPr>
                <w:vertAlign w:val="subscript"/>
              </w:rPr>
              <w:t>2</w:t>
            </w:r>
            <w:r w:rsidRPr="001558DF">
              <w:t>SO</w:t>
            </w:r>
            <w:r w:rsidRPr="001558DF">
              <w:rPr>
                <w:vertAlign w:val="subscript"/>
              </w:rPr>
              <w:t>4</w:t>
            </w:r>
          </w:p>
        </w:tc>
        <w:tc>
          <w:tcPr>
            <w:tcW w:w="1070" w:type="dxa"/>
            <w:vMerge w:val="restart"/>
            <w:tcBorders>
              <w:top w:val="single" w:sz="8" w:space="0" w:color="auto"/>
            </w:tcBorders>
            <w:vAlign w:val="center"/>
          </w:tcPr>
          <w:p w14:paraId="69C6EA7A" w14:textId="77777777" w:rsidR="00247B61" w:rsidRPr="001558DF" w:rsidRDefault="00247B61" w:rsidP="00247B61">
            <w:pPr>
              <w:pStyle w:val="TCTableBody"/>
              <w:spacing w:after="0" w:line="276" w:lineRule="auto"/>
            </w:pPr>
            <w:r w:rsidRPr="001558DF">
              <w:t>0.2 V</w:t>
            </w:r>
          </w:p>
        </w:tc>
        <w:tc>
          <w:tcPr>
            <w:tcW w:w="773" w:type="dxa"/>
            <w:tcBorders>
              <w:top w:val="single" w:sz="8" w:space="0" w:color="auto"/>
              <w:bottom w:val="nil"/>
            </w:tcBorders>
            <w:vAlign w:val="center"/>
          </w:tcPr>
          <w:p w14:paraId="0F1E3F23" w14:textId="77777777" w:rsidR="00247B61" w:rsidRPr="001558DF" w:rsidRDefault="00247B61" w:rsidP="00247B61">
            <w:pPr>
              <w:pStyle w:val="TCTableBody"/>
              <w:spacing w:after="0" w:line="276" w:lineRule="auto"/>
            </w:pPr>
            <w:r w:rsidRPr="001558DF">
              <w:t>Pt-Pt</w:t>
            </w:r>
          </w:p>
        </w:tc>
        <w:tc>
          <w:tcPr>
            <w:tcW w:w="1417" w:type="dxa"/>
            <w:tcBorders>
              <w:top w:val="single" w:sz="8" w:space="0" w:color="auto"/>
              <w:bottom w:val="nil"/>
            </w:tcBorders>
            <w:vAlign w:val="center"/>
          </w:tcPr>
          <w:p w14:paraId="1668DC03" w14:textId="77777777" w:rsidR="00247B61" w:rsidRPr="001558DF" w:rsidRDefault="00247B61" w:rsidP="00247B61">
            <w:pPr>
              <w:pStyle w:val="TCTableBody"/>
              <w:spacing w:after="0" w:line="276" w:lineRule="auto"/>
            </w:pPr>
            <w:r w:rsidRPr="001558DF">
              <w:t xml:space="preserve">8.96 </w:t>
            </w:r>
            <w:r w:rsidRPr="001558DF">
              <w:rPr>
                <w:lang w:val="de-DE"/>
              </w:rPr>
              <w:t>± 0.38</w:t>
            </w:r>
          </w:p>
        </w:tc>
        <w:tc>
          <w:tcPr>
            <w:tcW w:w="1560" w:type="dxa"/>
            <w:tcBorders>
              <w:top w:val="single" w:sz="8" w:space="0" w:color="auto"/>
              <w:bottom w:val="nil"/>
            </w:tcBorders>
            <w:vAlign w:val="center"/>
          </w:tcPr>
          <w:p w14:paraId="4FCD1EB4" w14:textId="77777777" w:rsidR="00247B61" w:rsidRPr="001558DF" w:rsidRDefault="00247B61" w:rsidP="00247B61">
            <w:pPr>
              <w:pStyle w:val="TCTableBody"/>
              <w:spacing w:after="0" w:line="276" w:lineRule="auto"/>
            </w:pPr>
            <w:r w:rsidRPr="001558DF">
              <w:t xml:space="preserve">2.757 </w:t>
            </w:r>
            <w:r w:rsidRPr="001558DF">
              <w:rPr>
                <w:lang w:val="de-DE"/>
              </w:rPr>
              <w:t>± 0.003</w:t>
            </w:r>
          </w:p>
        </w:tc>
        <w:tc>
          <w:tcPr>
            <w:tcW w:w="1147" w:type="dxa"/>
            <w:tcBorders>
              <w:top w:val="single" w:sz="8" w:space="0" w:color="auto"/>
              <w:bottom w:val="nil"/>
            </w:tcBorders>
            <w:vAlign w:val="center"/>
          </w:tcPr>
          <w:p w14:paraId="0B1FC166" w14:textId="77777777" w:rsidR="00247B61" w:rsidRPr="001558DF" w:rsidRDefault="00247B61" w:rsidP="00247B61">
            <w:pPr>
              <w:pStyle w:val="TCTableBody"/>
              <w:spacing w:after="0" w:line="276" w:lineRule="auto"/>
            </w:pPr>
            <w:r w:rsidRPr="001558DF">
              <w:rPr>
                <w:lang w:val="de-DE"/>
              </w:rPr>
              <w:t>67 ± 2</w:t>
            </w:r>
          </w:p>
        </w:tc>
        <w:tc>
          <w:tcPr>
            <w:tcW w:w="1262" w:type="dxa"/>
            <w:vMerge w:val="restart"/>
            <w:tcBorders>
              <w:top w:val="single" w:sz="8" w:space="0" w:color="auto"/>
            </w:tcBorders>
            <w:vAlign w:val="center"/>
          </w:tcPr>
          <w:p w14:paraId="5C4B3002" w14:textId="77777777" w:rsidR="00247B61" w:rsidRPr="001558DF" w:rsidRDefault="00247B61" w:rsidP="00247B61">
            <w:pPr>
              <w:pStyle w:val="TCTableBody"/>
              <w:spacing w:after="0" w:line="276" w:lineRule="auto"/>
              <w:rPr>
                <w:lang w:val="it-IT"/>
              </w:rPr>
            </w:pPr>
            <w:r w:rsidRPr="001558DF">
              <w:rPr>
                <w:lang w:val="de-DE"/>
              </w:rPr>
              <w:t>5.5 ± 0.5</w:t>
            </w:r>
          </w:p>
        </w:tc>
        <w:tc>
          <w:tcPr>
            <w:tcW w:w="851" w:type="dxa"/>
            <w:vMerge w:val="restart"/>
            <w:tcBorders>
              <w:top w:val="single" w:sz="8" w:space="0" w:color="auto"/>
            </w:tcBorders>
            <w:vAlign w:val="center"/>
          </w:tcPr>
          <w:p w14:paraId="4B7DA148" w14:textId="77777777" w:rsidR="00247B61" w:rsidRPr="001558DF" w:rsidRDefault="00247B61" w:rsidP="00247B61">
            <w:pPr>
              <w:pStyle w:val="TCTableBody"/>
              <w:spacing w:after="0" w:line="276" w:lineRule="auto"/>
              <w:rPr>
                <w:lang w:val="it-IT"/>
              </w:rPr>
            </w:pPr>
            <w:r w:rsidRPr="001558DF">
              <w:rPr>
                <w:lang w:val="it-IT"/>
              </w:rPr>
              <w:t>0.007</w:t>
            </w:r>
          </w:p>
        </w:tc>
      </w:tr>
      <w:tr w:rsidR="00247B61" w:rsidRPr="001558DF" w14:paraId="7BD8672F" w14:textId="77777777" w:rsidTr="000B2B07">
        <w:tc>
          <w:tcPr>
            <w:tcW w:w="1276" w:type="dxa"/>
            <w:vMerge/>
            <w:tcBorders>
              <w:top w:val="nil"/>
              <w:bottom w:val="single" w:sz="8" w:space="0" w:color="auto"/>
            </w:tcBorders>
            <w:vAlign w:val="center"/>
          </w:tcPr>
          <w:p w14:paraId="181CF817" w14:textId="77777777" w:rsidR="00247B61" w:rsidRPr="001558DF" w:rsidRDefault="00247B61" w:rsidP="00247B61">
            <w:pPr>
              <w:pStyle w:val="TCTableBody"/>
              <w:spacing w:after="0" w:line="276" w:lineRule="auto"/>
              <w:rPr>
                <w:lang w:val="it-IT"/>
              </w:rPr>
            </w:pPr>
          </w:p>
        </w:tc>
        <w:tc>
          <w:tcPr>
            <w:tcW w:w="1070" w:type="dxa"/>
            <w:vMerge/>
            <w:vAlign w:val="center"/>
          </w:tcPr>
          <w:p w14:paraId="2A66416E" w14:textId="77777777" w:rsidR="00247B61" w:rsidRPr="001558DF" w:rsidRDefault="00247B61" w:rsidP="00247B61">
            <w:pPr>
              <w:pStyle w:val="TCTableBody"/>
              <w:spacing w:after="0" w:line="276" w:lineRule="auto"/>
              <w:rPr>
                <w:lang w:val="it-IT"/>
              </w:rPr>
            </w:pPr>
          </w:p>
        </w:tc>
        <w:tc>
          <w:tcPr>
            <w:tcW w:w="773" w:type="dxa"/>
            <w:tcBorders>
              <w:top w:val="nil"/>
              <w:bottom w:val="single" w:sz="4" w:space="0" w:color="auto"/>
            </w:tcBorders>
            <w:vAlign w:val="center"/>
          </w:tcPr>
          <w:p w14:paraId="2FE8DFD8" w14:textId="77777777" w:rsidR="00247B61" w:rsidRPr="001558DF" w:rsidRDefault="00247B61" w:rsidP="00247B61">
            <w:pPr>
              <w:pStyle w:val="TCTableBody"/>
              <w:spacing w:after="0" w:line="276" w:lineRule="auto"/>
              <w:rPr>
                <w:lang w:val="it-IT"/>
              </w:rPr>
            </w:pPr>
            <w:r w:rsidRPr="001558DF">
              <w:rPr>
                <w:lang w:val="it-IT"/>
              </w:rPr>
              <w:t>Pt-Sn</w:t>
            </w:r>
          </w:p>
        </w:tc>
        <w:tc>
          <w:tcPr>
            <w:tcW w:w="1417" w:type="dxa"/>
            <w:tcBorders>
              <w:top w:val="nil"/>
              <w:bottom w:val="single" w:sz="4" w:space="0" w:color="auto"/>
            </w:tcBorders>
            <w:vAlign w:val="center"/>
          </w:tcPr>
          <w:p w14:paraId="13E034DE" w14:textId="77777777" w:rsidR="00247B61" w:rsidRPr="001558DF" w:rsidRDefault="00247B61" w:rsidP="00247B61">
            <w:pPr>
              <w:pStyle w:val="TCTableBody"/>
              <w:spacing w:after="0" w:line="276" w:lineRule="auto"/>
              <w:rPr>
                <w:lang w:val="it-IT"/>
              </w:rPr>
            </w:pPr>
            <w:r w:rsidRPr="001558DF">
              <w:rPr>
                <w:lang w:val="it-IT"/>
              </w:rPr>
              <w:t xml:space="preserve">1.14 </w:t>
            </w:r>
            <w:r w:rsidRPr="001558DF">
              <w:rPr>
                <w:lang w:val="de-DE"/>
              </w:rPr>
              <w:t>± 0.31</w:t>
            </w:r>
          </w:p>
        </w:tc>
        <w:tc>
          <w:tcPr>
            <w:tcW w:w="1560" w:type="dxa"/>
            <w:tcBorders>
              <w:top w:val="nil"/>
              <w:bottom w:val="single" w:sz="4" w:space="0" w:color="auto"/>
            </w:tcBorders>
            <w:vAlign w:val="center"/>
          </w:tcPr>
          <w:p w14:paraId="1B58E27F" w14:textId="77777777" w:rsidR="00247B61" w:rsidRPr="001558DF" w:rsidRDefault="00247B61" w:rsidP="00247B61">
            <w:pPr>
              <w:pStyle w:val="TCTableBody"/>
              <w:spacing w:after="0" w:line="276" w:lineRule="auto"/>
              <w:rPr>
                <w:lang w:val="it-IT"/>
              </w:rPr>
            </w:pPr>
            <w:r w:rsidRPr="001558DF">
              <w:rPr>
                <w:lang w:val="it-IT"/>
              </w:rPr>
              <w:t xml:space="preserve">2.796 </w:t>
            </w:r>
            <w:r w:rsidRPr="001558DF">
              <w:rPr>
                <w:lang w:val="de-DE"/>
              </w:rPr>
              <w:t>± 0.012</w:t>
            </w:r>
          </w:p>
        </w:tc>
        <w:tc>
          <w:tcPr>
            <w:tcW w:w="1147" w:type="dxa"/>
            <w:tcBorders>
              <w:top w:val="nil"/>
              <w:bottom w:val="single" w:sz="4" w:space="0" w:color="auto"/>
            </w:tcBorders>
            <w:vAlign w:val="center"/>
          </w:tcPr>
          <w:p w14:paraId="3BF5DE4E" w14:textId="77777777" w:rsidR="00247B61" w:rsidRPr="001558DF" w:rsidRDefault="00247B61" w:rsidP="00247B61">
            <w:pPr>
              <w:pStyle w:val="TCTableBody"/>
              <w:spacing w:after="0" w:line="276" w:lineRule="auto"/>
              <w:rPr>
                <w:lang w:val="it-IT"/>
              </w:rPr>
            </w:pPr>
            <w:r w:rsidRPr="001558DF">
              <w:rPr>
                <w:lang w:val="de-DE"/>
              </w:rPr>
              <w:t>102 ± 24</w:t>
            </w:r>
          </w:p>
        </w:tc>
        <w:tc>
          <w:tcPr>
            <w:tcW w:w="1262" w:type="dxa"/>
            <w:vMerge/>
            <w:tcBorders>
              <w:bottom w:val="single" w:sz="4" w:space="0" w:color="auto"/>
            </w:tcBorders>
            <w:vAlign w:val="center"/>
          </w:tcPr>
          <w:p w14:paraId="625E2AB4" w14:textId="77777777" w:rsidR="00247B61" w:rsidRPr="001558DF" w:rsidRDefault="00247B61" w:rsidP="00247B61">
            <w:pPr>
              <w:pStyle w:val="TCTableBody"/>
              <w:spacing w:after="0" w:line="276" w:lineRule="auto"/>
              <w:rPr>
                <w:lang w:val="it-IT"/>
              </w:rPr>
            </w:pPr>
          </w:p>
        </w:tc>
        <w:tc>
          <w:tcPr>
            <w:tcW w:w="851" w:type="dxa"/>
            <w:vMerge/>
            <w:vAlign w:val="center"/>
          </w:tcPr>
          <w:p w14:paraId="51992976" w14:textId="77777777" w:rsidR="00247B61" w:rsidRPr="001558DF" w:rsidRDefault="00247B61" w:rsidP="00247B61">
            <w:pPr>
              <w:pStyle w:val="TCTableBody"/>
              <w:spacing w:after="0" w:line="276" w:lineRule="auto"/>
              <w:rPr>
                <w:lang w:val="it-IT"/>
              </w:rPr>
            </w:pPr>
          </w:p>
        </w:tc>
      </w:tr>
      <w:tr w:rsidR="00247B61" w:rsidRPr="001558DF" w14:paraId="0ED38D9F" w14:textId="77777777" w:rsidTr="000B2B07">
        <w:tc>
          <w:tcPr>
            <w:tcW w:w="1276" w:type="dxa"/>
            <w:vMerge/>
            <w:tcBorders>
              <w:top w:val="nil"/>
              <w:bottom w:val="single" w:sz="8" w:space="0" w:color="auto"/>
            </w:tcBorders>
            <w:vAlign w:val="center"/>
          </w:tcPr>
          <w:p w14:paraId="37FB75AE" w14:textId="77777777" w:rsidR="00247B61" w:rsidRPr="001558DF" w:rsidRDefault="00247B61" w:rsidP="00247B61">
            <w:pPr>
              <w:pStyle w:val="TCTableBody"/>
              <w:spacing w:after="0" w:line="276" w:lineRule="auto"/>
              <w:rPr>
                <w:lang w:val="it-IT"/>
              </w:rPr>
            </w:pPr>
          </w:p>
        </w:tc>
        <w:tc>
          <w:tcPr>
            <w:tcW w:w="1070" w:type="dxa"/>
            <w:vMerge/>
            <w:vAlign w:val="center"/>
          </w:tcPr>
          <w:p w14:paraId="44DE5493" w14:textId="77777777" w:rsidR="00247B61" w:rsidRPr="001558DF" w:rsidRDefault="00247B61" w:rsidP="00247B61">
            <w:pPr>
              <w:pStyle w:val="TCTableBody"/>
              <w:spacing w:after="0" w:line="276" w:lineRule="auto"/>
              <w:rPr>
                <w:lang w:val="it-IT"/>
              </w:rPr>
            </w:pPr>
          </w:p>
        </w:tc>
        <w:tc>
          <w:tcPr>
            <w:tcW w:w="773" w:type="dxa"/>
            <w:tcBorders>
              <w:top w:val="single" w:sz="4" w:space="0" w:color="auto"/>
              <w:bottom w:val="nil"/>
            </w:tcBorders>
            <w:vAlign w:val="center"/>
          </w:tcPr>
          <w:p w14:paraId="205F665E" w14:textId="77777777" w:rsidR="00247B61" w:rsidRPr="001558DF" w:rsidRDefault="00247B61" w:rsidP="00247B61">
            <w:pPr>
              <w:pStyle w:val="TCTableBody"/>
              <w:spacing w:after="0" w:line="276" w:lineRule="auto"/>
              <w:rPr>
                <w:lang w:val="it-IT"/>
              </w:rPr>
            </w:pPr>
            <w:r w:rsidRPr="001558DF">
              <w:rPr>
                <w:lang w:val="it-IT"/>
              </w:rPr>
              <w:t>Sn-Pt</w:t>
            </w:r>
          </w:p>
        </w:tc>
        <w:tc>
          <w:tcPr>
            <w:tcW w:w="1417" w:type="dxa"/>
            <w:tcBorders>
              <w:top w:val="single" w:sz="4" w:space="0" w:color="auto"/>
              <w:bottom w:val="nil"/>
            </w:tcBorders>
            <w:vAlign w:val="center"/>
          </w:tcPr>
          <w:p w14:paraId="06E6EB42" w14:textId="77777777" w:rsidR="00247B61" w:rsidRPr="001558DF" w:rsidRDefault="00247B61" w:rsidP="00247B61">
            <w:pPr>
              <w:pStyle w:val="TCTableBody"/>
              <w:spacing w:after="0" w:line="276" w:lineRule="auto"/>
              <w:rPr>
                <w:lang w:val="it-IT"/>
              </w:rPr>
            </w:pPr>
            <w:r w:rsidRPr="001558DF">
              <w:rPr>
                <w:lang w:val="it-IT"/>
              </w:rPr>
              <w:t xml:space="preserve">5.22 </w:t>
            </w:r>
            <w:r w:rsidRPr="001558DF">
              <w:rPr>
                <w:lang w:val="de-DE"/>
              </w:rPr>
              <w:t>± 1.37</w:t>
            </w:r>
          </w:p>
        </w:tc>
        <w:tc>
          <w:tcPr>
            <w:tcW w:w="1560" w:type="dxa"/>
            <w:tcBorders>
              <w:top w:val="single" w:sz="4" w:space="0" w:color="auto"/>
              <w:bottom w:val="nil"/>
            </w:tcBorders>
            <w:vAlign w:val="center"/>
          </w:tcPr>
          <w:p w14:paraId="63DC04E9" w14:textId="77777777" w:rsidR="00247B61" w:rsidRPr="001558DF" w:rsidRDefault="00247B61" w:rsidP="00247B61">
            <w:pPr>
              <w:pStyle w:val="TCTableBody"/>
              <w:spacing w:after="0" w:line="276" w:lineRule="auto"/>
              <w:rPr>
                <w:lang w:val="it-IT"/>
              </w:rPr>
            </w:pPr>
            <w:r w:rsidRPr="001558DF">
              <w:rPr>
                <w:lang w:val="it-IT"/>
              </w:rPr>
              <w:t xml:space="preserve">2.796 </w:t>
            </w:r>
            <w:r w:rsidRPr="001558DF">
              <w:rPr>
                <w:lang w:val="de-DE"/>
              </w:rPr>
              <w:t>± 0.012</w:t>
            </w:r>
          </w:p>
        </w:tc>
        <w:tc>
          <w:tcPr>
            <w:tcW w:w="1147" w:type="dxa"/>
            <w:tcBorders>
              <w:top w:val="single" w:sz="4" w:space="0" w:color="auto"/>
              <w:bottom w:val="nil"/>
            </w:tcBorders>
            <w:vAlign w:val="center"/>
          </w:tcPr>
          <w:p w14:paraId="0AB558DB" w14:textId="77777777" w:rsidR="00247B61" w:rsidRPr="001558DF" w:rsidRDefault="00247B61" w:rsidP="00247B61">
            <w:pPr>
              <w:pStyle w:val="TCTableBody"/>
              <w:spacing w:after="0" w:line="276" w:lineRule="auto"/>
              <w:rPr>
                <w:lang w:val="it-IT"/>
              </w:rPr>
            </w:pPr>
            <w:r w:rsidRPr="001558DF">
              <w:rPr>
                <w:lang w:val="de-DE"/>
              </w:rPr>
              <w:t>102 ± 24</w:t>
            </w:r>
          </w:p>
        </w:tc>
        <w:tc>
          <w:tcPr>
            <w:tcW w:w="1262" w:type="dxa"/>
            <w:vMerge w:val="restart"/>
            <w:tcBorders>
              <w:top w:val="single" w:sz="4" w:space="0" w:color="auto"/>
            </w:tcBorders>
            <w:vAlign w:val="center"/>
          </w:tcPr>
          <w:p w14:paraId="6A1E86D9" w14:textId="77777777" w:rsidR="00247B61" w:rsidRPr="001558DF" w:rsidRDefault="00247B61" w:rsidP="00247B61">
            <w:pPr>
              <w:pStyle w:val="TCTableBody"/>
              <w:spacing w:after="0" w:line="276" w:lineRule="auto"/>
              <w:rPr>
                <w:lang w:val="it-IT"/>
              </w:rPr>
            </w:pPr>
            <w:r w:rsidRPr="001558DF">
              <w:rPr>
                <w:lang w:val="de-DE"/>
              </w:rPr>
              <w:t>3.5 ± 1.5</w:t>
            </w:r>
          </w:p>
        </w:tc>
        <w:tc>
          <w:tcPr>
            <w:tcW w:w="851" w:type="dxa"/>
            <w:vMerge/>
            <w:vAlign w:val="center"/>
          </w:tcPr>
          <w:p w14:paraId="30282300" w14:textId="77777777" w:rsidR="00247B61" w:rsidRPr="001558DF" w:rsidRDefault="00247B61" w:rsidP="00247B61">
            <w:pPr>
              <w:pStyle w:val="TCTableBody"/>
              <w:spacing w:after="0" w:line="276" w:lineRule="auto"/>
              <w:rPr>
                <w:lang w:val="it-IT"/>
              </w:rPr>
            </w:pPr>
          </w:p>
        </w:tc>
      </w:tr>
      <w:tr w:rsidR="00247B61" w:rsidRPr="001558DF" w14:paraId="4049AD6B" w14:textId="77777777" w:rsidTr="000B2B07">
        <w:tc>
          <w:tcPr>
            <w:tcW w:w="1276" w:type="dxa"/>
            <w:vMerge/>
            <w:tcBorders>
              <w:top w:val="nil"/>
              <w:bottom w:val="single" w:sz="8" w:space="0" w:color="auto"/>
            </w:tcBorders>
            <w:vAlign w:val="center"/>
          </w:tcPr>
          <w:p w14:paraId="64ECBF56" w14:textId="77777777" w:rsidR="00247B61" w:rsidRPr="001558DF" w:rsidRDefault="00247B61" w:rsidP="00247B61">
            <w:pPr>
              <w:pStyle w:val="TCTableBody"/>
              <w:spacing w:after="0" w:line="276" w:lineRule="auto"/>
              <w:rPr>
                <w:lang w:val="it-IT"/>
              </w:rPr>
            </w:pPr>
          </w:p>
        </w:tc>
        <w:tc>
          <w:tcPr>
            <w:tcW w:w="1070" w:type="dxa"/>
            <w:vMerge/>
            <w:tcBorders>
              <w:bottom w:val="single" w:sz="4" w:space="0" w:color="auto"/>
            </w:tcBorders>
            <w:vAlign w:val="center"/>
          </w:tcPr>
          <w:p w14:paraId="69753762" w14:textId="77777777" w:rsidR="00247B61" w:rsidRPr="001558DF" w:rsidRDefault="00247B61" w:rsidP="00247B61">
            <w:pPr>
              <w:pStyle w:val="TCTableBody"/>
              <w:spacing w:after="0" w:line="276" w:lineRule="auto"/>
              <w:rPr>
                <w:lang w:val="it-IT"/>
              </w:rPr>
            </w:pPr>
          </w:p>
        </w:tc>
        <w:tc>
          <w:tcPr>
            <w:tcW w:w="773" w:type="dxa"/>
            <w:tcBorders>
              <w:top w:val="nil"/>
              <w:bottom w:val="single" w:sz="4" w:space="0" w:color="auto"/>
            </w:tcBorders>
            <w:vAlign w:val="center"/>
          </w:tcPr>
          <w:p w14:paraId="50DA8F14" w14:textId="77777777" w:rsidR="00247B61" w:rsidRPr="001558DF" w:rsidRDefault="00247B61" w:rsidP="00247B61">
            <w:pPr>
              <w:pStyle w:val="TCTableBody"/>
              <w:spacing w:after="0" w:line="276" w:lineRule="auto"/>
              <w:rPr>
                <w:lang w:val="it-IT"/>
              </w:rPr>
            </w:pPr>
            <w:r w:rsidRPr="001558DF">
              <w:rPr>
                <w:lang w:val="it-IT"/>
              </w:rPr>
              <w:t>Sn-O</w:t>
            </w:r>
          </w:p>
        </w:tc>
        <w:tc>
          <w:tcPr>
            <w:tcW w:w="1417" w:type="dxa"/>
            <w:tcBorders>
              <w:top w:val="nil"/>
              <w:bottom w:val="single" w:sz="4" w:space="0" w:color="auto"/>
            </w:tcBorders>
            <w:vAlign w:val="center"/>
          </w:tcPr>
          <w:p w14:paraId="6BAFE25B" w14:textId="77777777" w:rsidR="00247B61" w:rsidRPr="001558DF" w:rsidRDefault="00247B61" w:rsidP="00247B61">
            <w:pPr>
              <w:pStyle w:val="TCTableBody"/>
              <w:spacing w:after="0" w:line="276" w:lineRule="auto"/>
              <w:rPr>
                <w:lang w:val="it-IT"/>
              </w:rPr>
            </w:pPr>
            <w:r w:rsidRPr="001558DF">
              <w:rPr>
                <w:lang w:val="de-DE"/>
              </w:rPr>
              <w:t>3.55 ± 0.42</w:t>
            </w:r>
          </w:p>
        </w:tc>
        <w:tc>
          <w:tcPr>
            <w:tcW w:w="1560" w:type="dxa"/>
            <w:tcBorders>
              <w:top w:val="nil"/>
              <w:bottom w:val="single" w:sz="4" w:space="0" w:color="auto"/>
            </w:tcBorders>
            <w:vAlign w:val="center"/>
          </w:tcPr>
          <w:p w14:paraId="558BB312" w14:textId="77777777" w:rsidR="00247B61" w:rsidRPr="001558DF" w:rsidRDefault="00247B61" w:rsidP="00247B61">
            <w:pPr>
              <w:pStyle w:val="TCTableBody"/>
              <w:spacing w:after="0" w:line="276" w:lineRule="auto"/>
            </w:pPr>
            <w:r w:rsidRPr="001558DF">
              <w:rPr>
                <w:lang w:val="it-IT"/>
              </w:rPr>
              <w:t xml:space="preserve">2.052 </w:t>
            </w:r>
            <w:r w:rsidRPr="001558DF">
              <w:rPr>
                <w:lang w:val="de-DE"/>
              </w:rPr>
              <w:t>± 0.015</w:t>
            </w:r>
          </w:p>
        </w:tc>
        <w:tc>
          <w:tcPr>
            <w:tcW w:w="1147" w:type="dxa"/>
            <w:tcBorders>
              <w:top w:val="nil"/>
              <w:bottom w:val="single" w:sz="4" w:space="0" w:color="auto"/>
            </w:tcBorders>
            <w:vAlign w:val="center"/>
          </w:tcPr>
          <w:p w14:paraId="6B6196AC" w14:textId="77777777" w:rsidR="00247B61" w:rsidRPr="001558DF" w:rsidRDefault="00247B61" w:rsidP="00247B61">
            <w:pPr>
              <w:pStyle w:val="TCTableBody"/>
              <w:spacing w:after="0" w:line="276" w:lineRule="auto"/>
            </w:pPr>
            <w:r w:rsidRPr="001558DF">
              <w:rPr>
                <w:lang w:val="de-DE"/>
              </w:rPr>
              <w:t>47 ± 17</w:t>
            </w:r>
          </w:p>
        </w:tc>
        <w:tc>
          <w:tcPr>
            <w:tcW w:w="1262" w:type="dxa"/>
            <w:vMerge/>
            <w:tcBorders>
              <w:bottom w:val="single" w:sz="4" w:space="0" w:color="auto"/>
            </w:tcBorders>
            <w:vAlign w:val="center"/>
          </w:tcPr>
          <w:p w14:paraId="19DE3C39" w14:textId="77777777" w:rsidR="00247B61" w:rsidRPr="001558DF" w:rsidRDefault="00247B61" w:rsidP="00247B61">
            <w:pPr>
              <w:pStyle w:val="TCTableBody"/>
              <w:spacing w:after="0" w:line="276" w:lineRule="auto"/>
            </w:pPr>
          </w:p>
        </w:tc>
        <w:tc>
          <w:tcPr>
            <w:tcW w:w="851" w:type="dxa"/>
            <w:vMerge/>
            <w:tcBorders>
              <w:bottom w:val="single" w:sz="4" w:space="0" w:color="auto"/>
            </w:tcBorders>
            <w:vAlign w:val="center"/>
          </w:tcPr>
          <w:p w14:paraId="7DB91438" w14:textId="77777777" w:rsidR="00247B61" w:rsidRPr="001558DF" w:rsidRDefault="00247B61" w:rsidP="00247B61">
            <w:pPr>
              <w:pStyle w:val="TCTableBody"/>
              <w:spacing w:after="0" w:line="276" w:lineRule="auto"/>
            </w:pPr>
          </w:p>
        </w:tc>
      </w:tr>
      <w:tr w:rsidR="00247B61" w:rsidRPr="001558DF" w14:paraId="3BFBABF0" w14:textId="77777777" w:rsidTr="000B2B07">
        <w:tc>
          <w:tcPr>
            <w:tcW w:w="1276" w:type="dxa"/>
            <w:vMerge/>
            <w:tcBorders>
              <w:top w:val="nil"/>
              <w:bottom w:val="single" w:sz="8" w:space="0" w:color="auto"/>
            </w:tcBorders>
            <w:vAlign w:val="center"/>
          </w:tcPr>
          <w:p w14:paraId="658EAC20" w14:textId="77777777" w:rsidR="00247B61" w:rsidRPr="001558DF" w:rsidRDefault="00247B61" w:rsidP="00247B61">
            <w:pPr>
              <w:pStyle w:val="TCTableBody"/>
              <w:spacing w:after="0" w:line="276" w:lineRule="auto"/>
            </w:pPr>
          </w:p>
        </w:tc>
        <w:tc>
          <w:tcPr>
            <w:tcW w:w="1070" w:type="dxa"/>
            <w:vMerge w:val="restart"/>
            <w:tcBorders>
              <w:top w:val="single" w:sz="4" w:space="0" w:color="auto"/>
            </w:tcBorders>
            <w:vAlign w:val="center"/>
          </w:tcPr>
          <w:p w14:paraId="2D6E21B1" w14:textId="77777777" w:rsidR="00247B61" w:rsidRPr="001558DF" w:rsidRDefault="00247B61" w:rsidP="00247B61">
            <w:pPr>
              <w:pStyle w:val="TCTableBody"/>
              <w:spacing w:after="0" w:line="276" w:lineRule="auto"/>
            </w:pPr>
            <w:r w:rsidRPr="001558DF">
              <w:t>0.4 V</w:t>
            </w:r>
          </w:p>
        </w:tc>
        <w:tc>
          <w:tcPr>
            <w:tcW w:w="773" w:type="dxa"/>
            <w:tcBorders>
              <w:top w:val="single" w:sz="4" w:space="0" w:color="auto"/>
              <w:bottom w:val="nil"/>
            </w:tcBorders>
            <w:vAlign w:val="center"/>
          </w:tcPr>
          <w:p w14:paraId="750F4383" w14:textId="77777777" w:rsidR="00247B61" w:rsidRPr="001558DF" w:rsidRDefault="00247B61" w:rsidP="00247B61">
            <w:pPr>
              <w:pStyle w:val="TCTableBody"/>
              <w:spacing w:after="0" w:line="276" w:lineRule="auto"/>
            </w:pPr>
            <w:r w:rsidRPr="001558DF">
              <w:t>Pt-Pt</w:t>
            </w:r>
          </w:p>
        </w:tc>
        <w:tc>
          <w:tcPr>
            <w:tcW w:w="1417" w:type="dxa"/>
            <w:tcBorders>
              <w:top w:val="single" w:sz="4" w:space="0" w:color="auto"/>
              <w:bottom w:val="nil"/>
            </w:tcBorders>
            <w:vAlign w:val="center"/>
          </w:tcPr>
          <w:p w14:paraId="659DEBFA" w14:textId="77777777" w:rsidR="00247B61" w:rsidRPr="001558DF" w:rsidRDefault="00247B61" w:rsidP="00247B61">
            <w:pPr>
              <w:pStyle w:val="TCTableBody"/>
              <w:spacing w:after="0" w:line="276" w:lineRule="auto"/>
            </w:pPr>
            <w:r w:rsidRPr="001558DF">
              <w:t xml:space="preserve">8.86 </w:t>
            </w:r>
            <w:r w:rsidRPr="001558DF">
              <w:rPr>
                <w:lang w:val="de-DE"/>
              </w:rPr>
              <w:t>± 0.39</w:t>
            </w:r>
          </w:p>
        </w:tc>
        <w:tc>
          <w:tcPr>
            <w:tcW w:w="1560" w:type="dxa"/>
            <w:tcBorders>
              <w:top w:val="single" w:sz="4" w:space="0" w:color="auto"/>
              <w:bottom w:val="nil"/>
            </w:tcBorders>
            <w:vAlign w:val="center"/>
          </w:tcPr>
          <w:p w14:paraId="7672CB88" w14:textId="77777777" w:rsidR="00247B61" w:rsidRPr="001558DF" w:rsidRDefault="00247B61" w:rsidP="00247B61">
            <w:pPr>
              <w:pStyle w:val="TCTableBody"/>
              <w:spacing w:after="0" w:line="276" w:lineRule="auto"/>
            </w:pPr>
            <w:r w:rsidRPr="001558DF">
              <w:t xml:space="preserve">2.762 </w:t>
            </w:r>
            <w:r w:rsidRPr="001558DF">
              <w:rPr>
                <w:lang w:val="de-DE"/>
              </w:rPr>
              <w:t>± 0.003</w:t>
            </w:r>
          </w:p>
        </w:tc>
        <w:tc>
          <w:tcPr>
            <w:tcW w:w="1147" w:type="dxa"/>
            <w:tcBorders>
              <w:top w:val="single" w:sz="4" w:space="0" w:color="auto"/>
              <w:bottom w:val="nil"/>
            </w:tcBorders>
            <w:vAlign w:val="center"/>
          </w:tcPr>
          <w:p w14:paraId="2CF707F5" w14:textId="77777777" w:rsidR="00247B61" w:rsidRPr="001558DF" w:rsidRDefault="00247B61" w:rsidP="00247B61">
            <w:pPr>
              <w:pStyle w:val="TCTableBody"/>
              <w:spacing w:after="0" w:line="276" w:lineRule="auto"/>
            </w:pPr>
            <w:r w:rsidRPr="001558DF">
              <w:rPr>
                <w:lang w:val="de-DE"/>
              </w:rPr>
              <w:t>67 ± 3</w:t>
            </w:r>
          </w:p>
        </w:tc>
        <w:tc>
          <w:tcPr>
            <w:tcW w:w="1262" w:type="dxa"/>
            <w:vMerge w:val="restart"/>
            <w:tcBorders>
              <w:top w:val="single" w:sz="4" w:space="0" w:color="auto"/>
            </w:tcBorders>
            <w:vAlign w:val="center"/>
          </w:tcPr>
          <w:p w14:paraId="1BF91CE5" w14:textId="77777777" w:rsidR="00247B61" w:rsidRPr="001558DF" w:rsidRDefault="00247B61" w:rsidP="00247B61">
            <w:pPr>
              <w:pStyle w:val="TCTableBody"/>
              <w:spacing w:after="0" w:line="276" w:lineRule="auto"/>
              <w:rPr>
                <w:lang w:val="it-IT"/>
              </w:rPr>
            </w:pPr>
            <w:r w:rsidRPr="001558DF">
              <w:rPr>
                <w:lang w:val="de-DE"/>
              </w:rPr>
              <w:t>6.2 ± 0.5</w:t>
            </w:r>
          </w:p>
        </w:tc>
        <w:tc>
          <w:tcPr>
            <w:tcW w:w="851" w:type="dxa"/>
            <w:vMerge w:val="restart"/>
            <w:tcBorders>
              <w:top w:val="single" w:sz="4" w:space="0" w:color="auto"/>
            </w:tcBorders>
            <w:vAlign w:val="center"/>
          </w:tcPr>
          <w:p w14:paraId="3ED63D55" w14:textId="77777777" w:rsidR="00247B61" w:rsidRPr="001558DF" w:rsidRDefault="00247B61" w:rsidP="00247B61">
            <w:pPr>
              <w:pStyle w:val="TCTableBody"/>
              <w:spacing w:after="0" w:line="276" w:lineRule="auto"/>
              <w:rPr>
                <w:lang w:val="it-IT"/>
              </w:rPr>
            </w:pPr>
            <w:r w:rsidRPr="001558DF">
              <w:rPr>
                <w:lang w:val="it-IT"/>
              </w:rPr>
              <w:t>0.007</w:t>
            </w:r>
          </w:p>
        </w:tc>
      </w:tr>
      <w:tr w:rsidR="00247B61" w:rsidRPr="001558DF" w14:paraId="7CBE2B60" w14:textId="77777777" w:rsidTr="000B2B07">
        <w:tc>
          <w:tcPr>
            <w:tcW w:w="1276" w:type="dxa"/>
            <w:vMerge/>
            <w:tcBorders>
              <w:top w:val="nil"/>
              <w:bottom w:val="single" w:sz="8" w:space="0" w:color="auto"/>
            </w:tcBorders>
            <w:vAlign w:val="center"/>
          </w:tcPr>
          <w:p w14:paraId="40FFE9A8" w14:textId="77777777" w:rsidR="00247B61" w:rsidRPr="001558DF" w:rsidRDefault="00247B61" w:rsidP="00247B61">
            <w:pPr>
              <w:pStyle w:val="TCTableBody"/>
              <w:spacing w:after="0" w:line="276" w:lineRule="auto"/>
              <w:rPr>
                <w:lang w:val="it-IT"/>
              </w:rPr>
            </w:pPr>
          </w:p>
        </w:tc>
        <w:tc>
          <w:tcPr>
            <w:tcW w:w="1070" w:type="dxa"/>
            <w:vMerge/>
            <w:vAlign w:val="center"/>
          </w:tcPr>
          <w:p w14:paraId="34B3B935" w14:textId="77777777" w:rsidR="00247B61" w:rsidRPr="001558DF" w:rsidRDefault="00247B61" w:rsidP="00247B61">
            <w:pPr>
              <w:pStyle w:val="TCTableBody"/>
              <w:spacing w:after="0" w:line="276" w:lineRule="auto"/>
              <w:rPr>
                <w:lang w:val="it-IT"/>
              </w:rPr>
            </w:pPr>
          </w:p>
        </w:tc>
        <w:tc>
          <w:tcPr>
            <w:tcW w:w="773" w:type="dxa"/>
            <w:tcBorders>
              <w:top w:val="nil"/>
              <w:bottom w:val="single" w:sz="4" w:space="0" w:color="auto"/>
            </w:tcBorders>
            <w:vAlign w:val="center"/>
          </w:tcPr>
          <w:p w14:paraId="6DD504A9" w14:textId="77777777" w:rsidR="00247B61" w:rsidRPr="001558DF" w:rsidRDefault="00247B61" w:rsidP="00247B61">
            <w:pPr>
              <w:pStyle w:val="TCTableBody"/>
              <w:spacing w:after="0" w:line="276" w:lineRule="auto"/>
              <w:rPr>
                <w:lang w:val="it-IT"/>
              </w:rPr>
            </w:pPr>
            <w:r w:rsidRPr="001558DF">
              <w:rPr>
                <w:lang w:val="it-IT"/>
              </w:rPr>
              <w:t>Pt-Sn</w:t>
            </w:r>
          </w:p>
        </w:tc>
        <w:tc>
          <w:tcPr>
            <w:tcW w:w="1417" w:type="dxa"/>
            <w:tcBorders>
              <w:top w:val="nil"/>
              <w:bottom w:val="single" w:sz="4" w:space="0" w:color="auto"/>
            </w:tcBorders>
            <w:vAlign w:val="center"/>
          </w:tcPr>
          <w:p w14:paraId="2020C281" w14:textId="77777777" w:rsidR="00247B61" w:rsidRPr="001558DF" w:rsidRDefault="00247B61" w:rsidP="00247B61">
            <w:pPr>
              <w:pStyle w:val="TCTableBody"/>
              <w:spacing w:after="0" w:line="276" w:lineRule="auto"/>
              <w:rPr>
                <w:lang w:val="it-IT"/>
              </w:rPr>
            </w:pPr>
            <w:r w:rsidRPr="001558DF">
              <w:rPr>
                <w:lang w:val="it-IT"/>
              </w:rPr>
              <w:t xml:space="preserve">1.27 </w:t>
            </w:r>
            <w:r w:rsidRPr="001558DF">
              <w:rPr>
                <w:lang w:val="de-DE"/>
              </w:rPr>
              <w:t>± 0.30</w:t>
            </w:r>
          </w:p>
        </w:tc>
        <w:tc>
          <w:tcPr>
            <w:tcW w:w="1560" w:type="dxa"/>
            <w:tcBorders>
              <w:top w:val="nil"/>
              <w:bottom w:val="single" w:sz="4" w:space="0" w:color="auto"/>
            </w:tcBorders>
            <w:vAlign w:val="center"/>
          </w:tcPr>
          <w:p w14:paraId="23D29320" w14:textId="77777777" w:rsidR="00247B61" w:rsidRPr="001558DF" w:rsidRDefault="00247B61" w:rsidP="00247B61">
            <w:pPr>
              <w:pStyle w:val="TCTableBody"/>
              <w:spacing w:after="0" w:line="276" w:lineRule="auto"/>
              <w:rPr>
                <w:lang w:val="it-IT"/>
              </w:rPr>
            </w:pPr>
            <w:r w:rsidRPr="001558DF">
              <w:rPr>
                <w:lang w:val="it-IT"/>
              </w:rPr>
              <w:t xml:space="preserve">2.800 </w:t>
            </w:r>
            <w:r w:rsidRPr="001558DF">
              <w:rPr>
                <w:lang w:val="de-DE"/>
              </w:rPr>
              <w:t>± 0.009</w:t>
            </w:r>
          </w:p>
        </w:tc>
        <w:tc>
          <w:tcPr>
            <w:tcW w:w="1147" w:type="dxa"/>
            <w:tcBorders>
              <w:top w:val="nil"/>
              <w:bottom w:val="single" w:sz="4" w:space="0" w:color="auto"/>
            </w:tcBorders>
            <w:vAlign w:val="center"/>
          </w:tcPr>
          <w:p w14:paraId="6062F84F" w14:textId="77777777" w:rsidR="00247B61" w:rsidRPr="001558DF" w:rsidRDefault="00247B61" w:rsidP="00247B61">
            <w:pPr>
              <w:pStyle w:val="TCTableBody"/>
              <w:spacing w:after="0" w:line="276" w:lineRule="auto"/>
              <w:rPr>
                <w:lang w:val="it-IT"/>
              </w:rPr>
            </w:pPr>
            <w:r w:rsidRPr="001558DF">
              <w:rPr>
                <w:lang w:val="de-DE"/>
              </w:rPr>
              <w:t>96 ± 20</w:t>
            </w:r>
          </w:p>
        </w:tc>
        <w:tc>
          <w:tcPr>
            <w:tcW w:w="1262" w:type="dxa"/>
            <w:vMerge/>
            <w:tcBorders>
              <w:bottom w:val="single" w:sz="4" w:space="0" w:color="auto"/>
            </w:tcBorders>
            <w:vAlign w:val="center"/>
          </w:tcPr>
          <w:p w14:paraId="4FDCC5B1" w14:textId="77777777" w:rsidR="00247B61" w:rsidRPr="001558DF" w:rsidRDefault="00247B61" w:rsidP="00247B61">
            <w:pPr>
              <w:pStyle w:val="TCTableBody"/>
              <w:spacing w:after="0" w:line="276" w:lineRule="auto"/>
              <w:rPr>
                <w:lang w:val="it-IT"/>
              </w:rPr>
            </w:pPr>
          </w:p>
        </w:tc>
        <w:tc>
          <w:tcPr>
            <w:tcW w:w="851" w:type="dxa"/>
            <w:vMerge/>
            <w:vAlign w:val="center"/>
          </w:tcPr>
          <w:p w14:paraId="6398ECB8" w14:textId="77777777" w:rsidR="00247B61" w:rsidRPr="001558DF" w:rsidRDefault="00247B61" w:rsidP="00247B61">
            <w:pPr>
              <w:pStyle w:val="TCTableBody"/>
              <w:spacing w:after="0" w:line="276" w:lineRule="auto"/>
              <w:rPr>
                <w:lang w:val="it-IT"/>
              </w:rPr>
            </w:pPr>
          </w:p>
        </w:tc>
      </w:tr>
      <w:tr w:rsidR="00247B61" w:rsidRPr="001558DF" w14:paraId="43CDDB3D" w14:textId="77777777" w:rsidTr="000B2B07">
        <w:tc>
          <w:tcPr>
            <w:tcW w:w="1276" w:type="dxa"/>
            <w:vMerge/>
            <w:tcBorders>
              <w:top w:val="nil"/>
              <w:bottom w:val="single" w:sz="8" w:space="0" w:color="auto"/>
            </w:tcBorders>
            <w:vAlign w:val="center"/>
          </w:tcPr>
          <w:p w14:paraId="26930E98" w14:textId="77777777" w:rsidR="00247B61" w:rsidRPr="001558DF" w:rsidRDefault="00247B61" w:rsidP="00247B61">
            <w:pPr>
              <w:pStyle w:val="TCTableBody"/>
              <w:spacing w:after="0" w:line="276" w:lineRule="auto"/>
              <w:rPr>
                <w:lang w:val="it-IT"/>
              </w:rPr>
            </w:pPr>
          </w:p>
        </w:tc>
        <w:tc>
          <w:tcPr>
            <w:tcW w:w="1070" w:type="dxa"/>
            <w:vMerge/>
            <w:vAlign w:val="center"/>
          </w:tcPr>
          <w:p w14:paraId="72A39556" w14:textId="77777777" w:rsidR="00247B61" w:rsidRPr="001558DF" w:rsidRDefault="00247B61" w:rsidP="00247B61">
            <w:pPr>
              <w:pStyle w:val="TCTableBody"/>
              <w:spacing w:after="0" w:line="276" w:lineRule="auto"/>
              <w:rPr>
                <w:lang w:val="it-IT"/>
              </w:rPr>
            </w:pPr>
          </w:p>
        </w:tc>
        <w:tc>
          <w:tcPr>
            <w:tcW w:w="773" w:type="dxa"/>
            <w:tcBorders>
              <w:top w:val="single" w:sz="4" w:space="0" w:color="auto"/>
              <w:bottom w:val="nil"/>
            </w:tcBorders>
            <w:vAlign w:val="center"/>
          </w:tcPr>
          <w:p w14:paraId="08A50652" w14:textId="77777777" w:rsidR="00247B61" w:rsidRPr="001558DF" w:rsidRDefault="00247B61" w:rsidP="00247B61">
            <w:pPr>
              <w:pStyle w:val="TCTableBody"/>
              <w:spacing w:after="0" w:line="276" w:lineRule="auto"/>
              <w:rPr>
                <w:lang w:val="it-IT"/>
              </w:rPr>
            </w:pPr>
            <w:r w:rsidRPr="001558DF">
              <w:rPr>
                <w:lang w:val="it-IT"/>
              </w:rPr>
              <w:t>Sn-Pt</w:t>
            </w:r>
          </w:p>
        </w:tc>
        <w:tc>
          <w:tcPr>
            <w:tcW w:w="1417" w:type="dxa"/>
            <w:tcBorders>
              <w:top w:val="single" w:sz="4" w:space="0" w:color="auto"/>
              <w:bottom w:val="nil"/>
            </w:tcBorders>
            <w:vAlign w:val="center"/>
          </w:tcPr>
          <w:p w14:paraId="3DF037DA" w14:textId="77777777" w:rsidR="00247B61" w:rsidRPr="001558DF" w:rsidRDefault="00247B61" w:rsidP="00247B61">
            <w:pPr>
              <w:pStyle w:val="TCTableBody"/>
              <w:spacing w:after="0" w:line="276" w:lineRule="auto"/>
              <w:rPr>
                <w:lang w:val="it-IT"/>
              </w:rPr>
            </w:pPr>
            <w:r w:rsidRPr="001558DF">
              <w:rPr>
                <w:lang w:val="it-IT"/>
              </w:rPr>
              <w:t xml:space="preserve">5.25 </w:t>
            </w:r>
            <w:r w:rsidRPr="001558DF">
              <w:rPr>
                <w:lang w:val="de-DE"/>
              </w:rPr>
              <w:t>± 1.23</w:t>
            </w:r>
          </w:p>
        </w:tc>
        <w:tc>
          <w:tcPr>
            <w:tcW w:w="1560" w:type="dxa"/>
            <w:tcBorders>
              <w:top w:val="single" w:sz="4" w:space="0" w:color="auto"/>
              <w:bottom w:val="nil"/>
            </w:tcBorders>
            <w:vAlign w:val="center"/>
          </w:tcPr>
          <w:p w14:paraId="439B8BA6" w14:textId="77777777" w:rsidR="00247B61" w:rsidRPr="001558DF" w:rsidRDefault="00247B61" w:rsidP="00247B61">
            <w:pPr>
              <w:pStyle w:val="TCTableBody"/>
              <w:spacing w:after="0" w:line="276" w:lineRule="auto"/>
              <w:rPr>
                <w:lang w:val="it-IT"/>
              </w:rPr>
            </w:pPr>
            <w:r w:rsidRPr="001558DF">
              <w:rPr>
                <w:lang w:val="it-IT"/>
              </w:rPr>
              <w:t xml:space="preserve">2.800 </w:t>
            </w:r>
            <w:r w:rsidRPr="001558DF">
              <w:rPr>
                <w:lang w:val="de-DE"/>
              </w:rPr>
              <w:t>± 0.009</w:t>
            </w:r>
          </w:p>
        </w:tc>
        <w:tc>
          <w:tcPr>
            <w:tcW w:w="1147" w:type="dxa"/>
            <w:tcBorders>
              <w:top w:val="single" w:sz="4" w:space="0" w:color="auto"/>
              <w:bottom w:val="nil"/>
            </w:tcBorders>
            <w:vAlign w:val="center"/>
          </w:tcPr>
          <w:p w14:paraId="414936E5" w14:textId="77777777" w:rsidR="00247B61" w:rsidRPr="001558DF" w:rsidRDefault="00247B61" w:rsidP="00247B61">
            <w:pPr>
              <w:pStyle w:val="TCTableBody"/>
              <w:spacing w:after="0" w:line="276" w:lineRule="auto"/>
              <w:rPr>
                <w:lang w:val="it-IT"/>
              </w:rPr>
            </w:pPr>
            <w:r w:rsidRPr="001558DF">
              <w:rPr>
                <w:lang w:val="de-DE"/>
              </w:rPr>
              <w:t>96 ± 20</w:t>
            </w:r>
          </w:p>
        </w:tc>
        <w:tc>
          <w:tcPr>
            <w:tcW w:w="1262" w:type="dxa"/>
            <w:vMerge w:val="restart"/>
            <w:tcBorders>
              <w:top w:val="single" w:sz="4" w:space="0" w:color="auto"/>
            </w:tcBorders>
            <w:vAlign w:val="center"/>
          </w:tcPr>
          <w:p w14:paraId="30CBD5FF" w14:textId="77777777" w:rsidR="00247B61" w:rsidRPr="001558DF" w:rsidRDefault="00247B61" w:rsidP="00247B61">
            <w:pPr>
              <w:pStyle w:val="TCTableBody"/>
              <w:spacing w:after="0" w:line="276" w:lineRule="auto"/>
              <w:rPr>
                <w:lang w:val="it-IT"/>
              </w:rPr>
            </w:pPr>
            <w:r w:rsidRPr="001558DF">
              <w:rPr>
                <w:lang w:val="de-DE"/>
              </w:rPr>
              <w:t>3.4 ± 1.3</w:t>
            </w:r>
          </w:p>
        </w:tc>
        <w:tc>
          <w:tcPr>
            <w:tcW w:w="851" w:type="dxa"/>
            <w:vMerge/>
            <w:vAlign w:val="center"/>
          </w:tcPr>
          <w:p w14:paraId="16DD5335" w14:textId="77777777" w:rsidR="00247B61" w:rsidRPr="001558DF" w:rsidRDefault="00247B61" w:rsidP="00247B61">
            <w:pPr>
              <w:pStyle w:val="TCTableBody"/>
              <w:spacing w:after="0" w:line="276" w:lineRule="auto"/>
              <w:rPr>
                <w:lang w:val="it-IT"/>
              </w:rPr>
            </w:pPr>
          </w:p>
        </w:tc>
      </w:tr>
      <w:tr w:rsidR="00247B61" w:rsidRPr="001558DF" w14:paraId="11AA76BE" w14:textId="77777777" w:rsidTr="000B2B07">
        <w:tc>
          <w:tcPr>
            <w:tcW w:w="1276" w:type="dxa"/>
            <w:vMerge/>
            <w:tcBorders>
              <w:top w:val="nil"/>
              <w:bottom w:val="single" w:sz="8" w:space="0" w:color="auto"/>
            </w:tcBorders>
            <w:vAlign w:val="center"/>
          </w:tcPr>
          <w:p w14:paraId="4B609BD6" w14:textId="77777777" w:rsidR="00247B61" w:rsidRPr="001558DF" w:rsidRDefault="00247B61" w:rsidP="00247B61">
            <w:pPr>
              <w:pStyle w:val="TCTableBody"/>
              <w:spacing w:after="0" w:line="276" w:lineRule="auto"/>
              <w:rPr>
                <w:lang w:val="it-IT"/>
              </w:rPr>
            </w:pPr>
          </w:p>
        </w:tc>
        <w:tc>
          <w:tcPr>
            <w:tcW w:w="1070" w:type="dxa"/>
            <w:vMerge/>
            <w:tcBorders>
              <w:bottom w:val="single" w:sz="4" w:space="0" w:color="auto"/>
            </w:tcBorders>
            <w:vAlign w:val="center"/>
          </w:tcPr>
          <w:p w14:paraId="54473110" w14:textId="77777777" w:rsidR="00247B61" w:rsidRPr="001558DF" w:rsidRDefault="00247B61" w:rsidP="00247B61">
            <w:pPr>
              <w:pStyle w:val="TCTableBody"/>
              <w:spacing w:after="0" w:line="276" w:lineRule="auto"/>
              <w:rPr>
                <w:lang w:val="it-IT"/>
              </w:rPr>
            </w:pPr>
          </w:p>
        </w:tc>
        <w:tc>
          <w:tcPr>
            <w:tcW w:w="773" w:type="dxa"/>
            <w:tcBorders>
              <w:top w:val="nil"/>
              <w:bottom w:val="single" w:sz="4" w:space="0" w:color="auto"/>
            </w:tcBorders>
            <w:vAlign w:val="center"/>
          </w:tcPr>
          <w:p w14:paraId="4A32283A" w14:textId="77777777" w:rsidR="00247B61" w:rsidRPr="001558DF" w:rsidRDefault="00247B61" w:rsidP="00247B61">
            <w:pPr>
              <w:pStyle w:val="TCTableBody"/>
              <w:spacing w:after="0" w:line="276" w:lineRule="auto"/>
              <w:rPr>
                <w:lang w:val="it-IT"/>
              </w:rPr>
            </w:pPr>
            <w:r w:rsidRPr="001558DF">
              <w:rPr>
                <w:lang w:val="it-IT"/>
              </w:rPr>
              <w:t>Sn-O</w:t>
            </w:r>
          </w:p>
        </w:tc>
        <w:tc>
          <w:tcPr>
            <w:tcW w:w="1417" w:type="dxa"/>
            <w:tcBorders>
              <w:top w:val="nil"/>
              <w:bottom w:val="single" w:sz="4" w:space="0" w:color="auto"/>
            </w:tcBorders>
            <w:vAlign w:val="center"/>
          </w:tcPr>
          <w:p w14:paraId="013E04C1" w14:textId="77777777" w:rsidR="00247B61" w:rsidRPr="001558DF" w:rsidRDefault="00247B61" w:rsidP="00247B61">
            <w:pPr>
              <w:pStyle w:val="TCTableBody"/>
              <w:spacing w:after="0" w:line="276" w:lineRule="auto"/>
              <w:rPr>
                <w:lang w:val="it-IT"/>
              </w:rPr>
            </w:pPr>
            <w:r w:rsidRPr="001558DF">
              <w:rPr>
                <w:lang w:val="de-DE"/>
              </w:rPr>
              <w:t>3.73 ± 0.43</w:t>
            </w:r>
          </w:p>
        </w:tc>
        <w:tc>
          <w:tcPr>
            <w:tcW w:w="1560" w:type="dxa"/>
            <w:tcBorders>
              <w:top w:val="nil"/>
              <w:bottom w:val="single" w:sz="4" w:space="0" w:color="auto"/>
            </w:tcBorders>
            <w:vAlign w:val="center"/>
          </w:tcPr>
          <w:p w14:paraId="4348FEC2" w14:textId="77777777" w:rsidR="00247B61" w:rsidRPr="001558DF" w:rsidRDefault="00247B61" w:rsidP="00247B61">
            <w:pPr>
              <w:pStyle w:val="TCTableBody"/>
              <w:spacing w:after="0" w:line="276" w:lineRule="auto"/>
            </w:pPr>
            <w:r w:rsidRPr="001558DF">
              <w:rPr>
                <w:lang w:val="it-IT"/>
              </w:rPr>
              <w:t xml:space="preserve">2.051 </w:t>
            </w:r>
            <w:r w:rsidRPr="001558DF">
              <w:rPr>
                <w:lang w:val="de-DE"/>
              </w:rPr>
              <w:t>± 0.011</w:t>
            </w:r>
          </w:p>
        </w:tc>
        <w:tc>
          <w:tcPr>
            <w:tcW w:w="1147" w:type="dxa"/>
            <w:tcBorders>
              <w:top w:val="nil"/>
              <w:bottom w:val="single" w:sz="4" w:space="0" w:color="auto"/>
            </w:tcBorders>
            <w:vAlign w:val="center"/>
          </w:tcPr>
          <w:p w14:paraId="62623D7B" w14:textId="77777777" w:rsidR="00247B61" w:rsidRPr="001558DF" w:rsidRDefault="00247B61" w:rsidP="00247B61">
            <w:pPr>
              <w:pStyle w:val="TCTableBody"/>
              <w:spacing w:after="0" w:line="276" w:lineRule="auto"/>
            </w:pPr>
            <w:r w:rsidRPr="001558DF">
              <w:rPr>
                <w:lang w:val="de-DE"/>
              </w:rPr>
              <w:t>59 ± 17</w:t>
            </w:r>
          </w:p>
        </w:tc>
        <w:tc>
          <w:tcPr>
            <w:tcW w:w="1262" w:type="dxa"/>
            <w:vMerge/>
            <w:tcBorders>
              <w:bottom w:val="single" w:sz="4" w:space="0" w:color="auto"/>
            </w:tcBorders>
            <w:vAlign w:val="center"/>
          </w:tcPr>
          <w:p w14:paraId="6DDD774A" w14:textId="77777777" w:rsidR="00247B61" w:rsidRPr="001558DF" w:rsidRDefault="00247B61" w:rsidP="00247B61">
            <w:pPr>
              <w:pStyle w:val="TCTableBody"/>
              <w:spacing w:after="0" w:line="276" w:lineRule="auto"/>
            </w:pPr>
          </w:p>
        </w:tc>
        <w:tc>
          <w:tcPr>
            <w:tcW w:w="851" w:type="dxa"/>
            <w:vMerge/>
            <w:tcBorders>
              <w:bottom w:val="single" w:sz="4" w:space="0" w:color="auto"/>
            </w:tcBorders>
            <w:vAlign w:val="center"/>
          </w:tcPr>
          <w:p w14:paraId="64364964" w14:textId="77777777" w:rsidR="00247B61" w:rsidRPr="001558DF" w:rsidRDefault="00247B61" w:rsidP="00247B61">
            <w:pPr>
              <w:pStyle w:val="TCTableBody"/>
              <w:spacing w:after="0" w:line="276" w:lineRule="auto"/>
            </w:pPr>
          </w:p>
        </w:tc>
      </w:tr>
      <w:tr w:rsidR="00247B61" w:rsidRPr="001558DF" w14:paraId="5E7D4F9F" w14:textId="77777777" w:rsidTr="000B2B07">
        <w:tc>
          <w:tcPr>
            <w:tcW w:w="1276" w:type="dxa"/>
            <w:vMerge/>
            <w:tcBorders>
              <w:top w:val="nil"/>
              <w:bottom w:val="single" w:sz="8" w:space="0" w:color="auto"/>
            </w:tcBorders>
            <w:vAlign w:val="center"/>
          </w:tcPr>
          <w:p w14:paraId="539A22B3" w14:textId="77777777" w:rsidR="00247B61" w:rsidRPr="001558DF" w:rsidRDefault="00247B61" w:rsidP="00247B61">
            <w:pPr>
              <w:pStyle w:val="TCTableBody"/>
              <w:spacing w:after="0" w:line="276" w:lineRule="auto"/>
            </w:pPr>
          </w:p>
        </w:tc>
        <w:tc>
          <w:tcPr>
            <w:tcW w:w="1070" w:type="dxa"/>
            <w:vMerge w:val="restart"/>
            <w:tcBorders>
              <w:top w:val="single" w:sz="4" w:space="0" w:color="auto"/>
              <w:bottom w:val="single" w:sz="8" w:space="0" w:color="auto"/>
            </w:tcBorders>
            <w:vAlign w:val="center"/>
          </w:tcPr>
          <w:p w14:paraId="5B321866" w14:textId="77777777" w:rsidR="00247B61" w:rsidRPr="001558DF" w:rsidRDefault="00247B61" w:rsidP="00247B61">
            <w:pPr>
              <w:pStyle w:val="TCTableBody"/>
              <w:spacing w:after="0" w:line="276" w:lineRule="auto"/>
            </w:pPr>
            <w:r w:rsidRPr="001558DF">
              <w:t>0.6 V</w:t>
            </w:r>
          </w:p>
        </w:tc>
        <w:tc>
          <w:tcPr>
            <w:tcW w:w="773" w:type="dxa"/>
            <w:tcBorders>
              <w:top w:val="single" w:sz="4" w:space="0" w:color="auto"/>
              <w:bottom w:val="nil"/>
            </w:tcBorders>
            <w:vAlign w:val="center"/>
          </w:tcPr>
          <w:p w14:paraId="2BDEE60F" w14:textId="77777777" w:rsidR="00247B61" w:rsidRPr="001558DF" w:rsidRDefault="00247B61" w:rsidP="00247B61">
            <w:pPr>
              <w:pStyle w:val="TCTableBody"/>
              <w:spacing w:after="0" w:line="276" w:lineRule="auto"/>
            </w:pPr>
            <w:r w:rsidRPr="001558DF">
              <w:t>Pt-Pt</w:t>
            </w:r>
          </w:p>
        </w:tc>
        <w:tc>
          <w:tcPr>
            <w:tcW w:w="1417" w:type="dxa"/>
            <w:tcBorders>
              <w:top w:val="single" w:sz="4" w:space="0" w:color="auto"/>
              <w:bottom w:val="nil"/>
            </w:tcBorders>
            <w:vAlign w:val="center"/>
          </w:tcPr>
          <w:p w14:paraId="212CA199" w14:textId="77777777" w:rsidR="00247B61" w:rsidRPr="001558DF" w:rsidRDefault="00247B61" w:rsidP="00247B61">
            <w:pPr>
              <w:pStyle w:val="TCTableBody"/>
              <w:spacing w:after="0" w:line="276" w:lineRule="auto"/>
            </w:pPr>
            <w:r w:rsidRPr="001558DF">
              <w:t xml:space="preserve">8.98 </w:t>
            </w:r>
            <w:r w:rsidRPr="001558DF">
              <w:rPr>
                <w:lang w:val="de-DE"/>
              </w:rPr>
              <w:t>± 0.39</w:t>
            </w:r>
          </w:p>
        </w:tc>
        <w:tc>
          <w:tcPr>
            <w:tcW w:w="1560" w:type="dxa"/>
            <w:tcBorders>
              <w:top w:val="single" w:sz="4" w:space="0" w:color="auto"/>
              <w:bottom w:val="nil"/>
            </w:tcBorders>
            <w:vAlign w:val="center"/>
          </w:tcPr>
          <w:p w14:paraId="48401D62" w14:textId="77777777" w:rsidR="00247B61" w:rsidRPr="001558DF" w:rsidRDefault="00247B61" w:rsidP="00247B61">
            <w:pPr>
              <w:pStyle w:val="TCTableBody"/>
              <w:spacing w:after="0" w:line="276" w:lineRule="auto"/>
            </w:pPr>
            <w:r w:rsidRPr="001558DF">
              <w:t xml:space="preserve">2.758 </w:t>
            </w:r>
            <w:r w:rsidRPr="001558DF">
              <w:rPr>
                <w:lang w:val="de-DE"/>
              </w:rPr>
              <w:t>± 0.003</w:t>
            </w:r>
          </w:p>
        </w:tc>
        <w:tc>
          <w:tcPr>
            <w:tcW w:w="1147" w:type="dxa"/>
            <w:tcBorders>
              <w:top w:val="single" w:sz="4" w:space="0" w:color="auto"/>
              <w:bottom w:val="nil"/>
            </w:tcBorders>
            <w:vAlign w:val="center"/>
          </w:tcPr>
          <w:p w14:paraId="5EB41849" w14:textId="77777777" w:rsidR="00247B61" w:rsidRPr="001558DF" w:rsidRDefault="00247B61" w:rsidP="00247B61">
            <w:pPr>
              <w:pStyle w:val="TCTableBody"/>
              <w:spacing w:after="0" w:line="276" w:lineRule="auto"/>
            </w:pPr>
            <w:r w:rsidRPr="001558DF">
              <w:rPr>
                <w:lang w:val="de-DE"/>
              </w:rPr>
              <w:t>70 ± 3</w:t>
            </w:r>
          </w:p>
        </w:tc>
        <w:tc>
          <w:tcPr>
            <w:tcW w:w="1262" w:type="dxa"/>
            <w:vMerge w:val="restart"/>
            <w:tcBorders>
              <w:top w:val="single" w:sz="4" w:space="0" w:color="auto"/>
            </w:tcBorders>
            <w:vAlign w:val="center"/>
          </w:tcPr>
          <w:p w14:paraId="3E1480A3" w14:textId="77777777" w:rsidR="00247B61" w:rsidRPr="001558DF" w:rsidRDefault="00247B61" w:rsidP="00247B61">
            <w:pPr>
              <w:pStyle w:val="TCTableBody"/>
              <w:spacing w:after="0" w:line="276" w:lineRule="auto"/>
              <w:rPr>
                <w:lang w:val="it-IT"/>
              </w:rPr>
            </w:pPr>
            <w:r w:rsidRPr="001558DF">
              <w:rPr>
                <w:lang w:val="de-DE"/>
              </w:rPr>
              <w:t>6.0 ± 0.5</w:t>
            </w:r>
          </w:p>
        </w:tc>
        <w:tc>
          <w:tcPr>
            <w:tcW w:w="851" w:type="dxa"/>
            <w:vMerge w:val="restart"/>
            <w:tcBorders>
              <w:top w:val="single" w:sz="4" w:space="0" w:color="auto"/>
              <w:bottom w:val="single" w:sz="8" w:space="0" w:color="auto"/>
            </w:tcBorders>
            <w:vAlign w:val="center"/>
          </w:tcPr>
          <w:p w14:paraId="3397B812" w14:textId="77777777" w:rsidR="00247B61" w:rsidRPr="001558DF" w:rsidRDefault="00247B61" w:rsidP="00247B61">
            <w:pPr>
              <w:pStyle w:val="TCTableBody"/>
              <w:spacing w:after="0" w:line="276" w:lineRule="auto"/>
              <w:rPr>
                <w:lang w:val="it-IT"/>
              </w:rPr>
            </w:pPr>
            <w:r w:rsidRPr="001558DF">
              <w:rPr>
                <w:lang w:val="it-IT"/>
              </w:rPr>
              <w:t>0.008</w:t>
            </w:r>
          </w:p>
        </w:tc>
      </w:tr>
      <w:tr w:rsidR="00247B61" w:rsidRPr="001558DF" w14:paraId="2A08B05A" w14:textId="77777777" w:rsidTr="000B2B07">
        <w:tc>
          <w:tcPr>
            <w:tcW w:w="1276" w:type="dxa"/>
            <w:vMerge/>
            <w:tcBorders>
              <w:top w:val="nil"/>
              <w:bottom w:val="single" w:sz="8" w:space="0" w:color="auto"/>
            </w:tcBorders>
            <w:vAlign w:val="center"/>
          </w:tcPr>
          <w:p w14:paraId="086472BD" w14:textId="77777777" w:rsidR="00247B61" w:rsidRPr="001558DF" w:rsidRDefault="00247B61" w:rsidP="00247B61">
            <w:pPr>
              <w:pStyle w:val="TCTableBody"/>
              <w:spacing w:after="0" w:line="276" w:lineRule="auto"/>
              <w:rPr>
                <w:lang w:val="it-IT"/>
              </w:rPr>
            </w:pPr>
          </w:p>
        </w:tc>
        <w:tc>
          <w:tcPr>
            <w:tcW w:w="1070" w:type="dxa"/>
            <w:vMerge/>
            <w:tcBorders>
              <w:top w:val="nil"/>
              <w:bottom w:val="single" w:sz="8" w:space="0" w:color="auto"/>
            </w:tcBorders>
            <w:vAlign w:val="center"/>
          </w:tcPr>
          <w:p w14:paraId="10926653" w14:textId="77777777" w:rsidR="00247B61" w:rsidRPr="001558DF" w:rsidRDefault="00247B61" w:rsidP="00247B61">
            <w:pPr>
              <w:pStyle w:val="TCTableBody"/>
              <w:spacing w:after="0" w:line="276" w:lineRule="auto"/>
              <w:rPr>
                <w:lang w:val="it-IT"/>
              </w:rPr>
            </w:pPr>
          </w:p>
        </w:tc>
        <w:tc>
          <w:tcPr>
            <w:tcW w:w="773" w:type="dxa"/>
            <w:tcBorders>
              <w:top w:val="nil"/>
              <w:bottom w:val="single" w:sz="4" w:space="0" w:color="auto"/>
            </w:tcBorders>
            <w:vAlign w:val="center"/>
          </w:tcPr>
          <w:p w14:paraId="5B6C3154" w14:textId="77777777" w:rsidR="00247B61" w:rsidRPr="001558DF" w:rsidRDefault="00247B61" w:rsidP="00247B61">
            <w:pPr>
              <w:pStyle w:val="TCTableBody"/>
              <w:spacing w:after="0" w:line="276" w:lineRule="auto"/>
              <w:rPr>
                <w:lang w:val="it-IT"/>
              </w:rPr>
            </w:pPr>
            <w:r w:rsidRPr="001558DF">
              <w:rPr>
                <w:lang w:val="it-IT"/>
              </w:rPr>
              <w:t>Pt-Sn</w:t>
            </w:r>
          </w:p>
        </w:tc>
        <w:tc>
          <w:tcPr>
            <w:tcW w:w="1417" w:type="dxa"/>
            <w:tcBorders>
              <w:top w:val="nil"/>
              <w:bottom w:val="single" w:sz="4" w:space="0" w:color="auto"/>
            </w:tcBorders>
            <w:vAlign w:val="center"/>
          </w:tcPr>
          <w:p w14:paraId="60AD3FAD" w14:textId="77777777" w:rsidR="00247B61" w:rsidRPr="001558DF" w:rsidRDefault="00247B61" w:rsidP="00247B61">
            <w:pPr>
              <w:pStyle w:val="TCTableBody"/>
              <w:spacing w:after="0" w:line="276" w:lineRule="auto"/>
              <w:rPr>
                <w:lang w:val="it-IT"/>
              </w:rPr>
            </w:pPr>
            <w:r w:rsidRPr="001558DF">
              <w:rPr>
                <w:lang w:val="it-IT"/>
              </w:rPr>
              <w:t xml:space="preserve">1.52 </w:t>
            </w:r>
            <w:r w:rsidRPr="001558DF">
              <w:rPr>
                <w:lang w:val="de-DE"/>
              </w:rPr>
              <w:t>± 0.41</w:t>
            </w:r>
          </w:p>
        </w:tc>
        <w:tc>
          <w:tcPr>
            <w:tcW w:w="1560" w:type="dxa"/>
            <w:tcBorders>
              <w:top w:val="nil"/>
              <w:bottom w:val="single" w:sz="4" w:space="0" w:color="auto"/>
            </w:tcBorders>
            <w:vAlign w:val="center"/>
          </w:tcPr>
          <w:p w14:paraId="7170B9B8" w14:textId="77777777" w:rsidR="00247B61" w:rsidRPr="001558DF" w:rsidRDefault="00247B61" w:rsidP="00247B61">
            <w:pPr>
              <w:pStyle w:val="TCTableBody"/>
              <w:spacing w:after="0" w:line="276" w:lineRule="auto"/>
              <w:rPr>
                <w:lang w:val="it-IT"/>
              </w:rPr>
            </w:pPr>
            <w:r w:rsidRPr="001558DF">
              <w:rPr>
                <w:lang w:val="it-IT"/>
              </w:rPr>
              <w:t xml:space="preserve">2.805 </w:t>
            </w:r>
            <w:r w:rsidRPr="001558DF">
              <w:rPr>
                <w:lang w:val="de-DE"/>
              </w:rPr>
              <w:t>± 0.011</w:t>
            </w:r>
          </w:p>
        </w:tc>
        <w:tc>
          <w:tcPr>
            <w:tcW w:w="1147" w:type="dxa"/>
            <w:tcBorders>
              <w:top w:val="nil"/>
              <w:bottom w:val="single" w:sz="4" w:space="0" w:color="auto"/>
            </w:tcBorders>
            <w:vAlign w:val="center"/>
          </w:tcPr>
          <w:p w14:paraId="0C91BAF0" w14:textId="77777777" w:rsidR="00247B61" w:rsidRPr="001558DF" w:rsidRDefault="00247B61" w:rsidP="00247B61">
            <w:pPr>
              <w:pStyle w:val="TCTableBody"/>
              <w:spacing w:after="0" w:line="276" w:lineRule="auto"/>
              <w:rPr>
                <w:lang w:val="it-IT"/>
              </w:rPr>
            </w:pPr>
            <w:r w:rsidRPr="001558DF">
              <w:rPr>
                <w:lang w:val="de-DE"/>
              </w:rPr>
              <w:t>115 ± 29</w:t>
            </w:r>
          </w:p>
        </w:tc>
        <w:tc>
          <w:tcPr>
            <w:tcW w:w="1262" w:type="dxa"/>
            <w:vMerge/>
            <w:tcBorders>
              <w:bottom w:val="single" w:sz="4" w:space="0" w:color="auto"/>
            </w:tcBorders>
            <w:vAlign w:val="center"/>
          </w:tcPr>
          <w:p w14:paraId="4DBD3CAA" w14:textId="77777777" w:rsidR="00247B61" w:rsidRPr="001558DF" w:rsidRDefault="00247B61" w:rsidP="00247B61">
            <w:pPr>
              <w:pStyle w:val="TCTableBody"/>
              <w:spacing w:after="0" w:line="276" w:lineRule="auto"/>
              <w:rPr>
                <w:lang w:val="it-IT"/>
              </w:rPr>
            </w:pPr>
          </w:p>
        </w:tc>
        <w:tc>
          <w:tcPr>
            <w:tcW w:w="851" w:type="dxa"/>
            <w:vMerge/>
            <w:tcBorders>
              <w:top w:val="nil"/>
              <w:bottom w:val="single" w:sz="8" w:space="0" w:color="auto"/>
            </w:tcBorders>
            <w:vAlign w:val="center"/>
          </w:tcPr>
          <w:p w14:paraId="6FCD176D" w14:textId="77777777" w:rsidR="00247B61" w:rsidRPr="001558DF" w:rsidRDefault="00247B61" w:rsidP="00247B61">
            <w:pPr>
              <w:pStyle w:val="TCTableBody"/>
              <w:spacing w:after="0" w:line="276" w:lineRule="auto"/>
              <w:rPr>
                <w:lang w:val="it-IT"/>
              </w:rPr>
            </w:pPr>
          </w:p>
        </w:tc>
      </w:tr>
      <w:tr w:rsidR="00247B61" w:rsidRPr="001558DF" w14:paraId="761E5BA9" w14:textId="77777777" w:rsidTr="000B2B07">
        <w:tc>
          <w:tcPr>
            <w:tcW w:w="1276" w:type="dxa"/>
            <w:vMerge/>
            <w:tcBorders>
              <w:top w:val="nil"/>
              <w:bottom w:val="single" w:sz="8" w:space="0" w:color="auto"/>
            </w:tcBorders>
            <w:vAlign w:val="center"/>
          </w:tcPr>
          <w:p w14:paraId="2A623AFF" w14:textId="77777777" w:rsidR="00247B61" w:rsidRPr="001558DF" w:rsidRDefault="00247B61" w:rsidP="00247B61">
            <w:pPr>
              <w:pStyle w:val="TCTableBody"/>
              <w:spacing w:after="0" w:line="276" w:lineRule="auto"/>
              <w:rPr>
                <w:lang w:val="it-IT"/>
              </w:rPr>
            </w:pPr>
          </w:p>
        </w:tc>
        <w:tc>
          <w:tcPr>
            <w:tcW w:w="1070" w:type="dxa"/>
            <w:vMerge/>
            <w:tcBorders>
              <w:top w:val="nil"/>
              <w:bottom w:val="single" w:sz="8" w:space="0" w:color="auto"/>
            </w:tcBorders>
            <w:vAlign w:val="center"/>
          </w:tcPr>
          <w:p w14:paraId="157E1B5C" w14:textId="77777777" w:rsidR="00247B61" w:rsidRPr="001558DF" w:rsidRDefault="00247B61" w:rsidP="00247B61">
            <w:pPr>
              <w:pStyle w:val="TCTableBody"/>
              <w:spacing w:after="0" w:line="276" w:lineRule="auto"/>
              <w:rPr>
                <w:lang w:val="it-IT"/>
              </w:rPr>
            </w:pPr>
          </w:p>
        </w:tc>
        <w:tc>
          <w:tcPr>
            <w:tcW w:w="773" w:type="dxa"/>
            <w:tcBorders>
              <w:top w:val="single" w:sz="4" w:space="0" w:color="auto"/>
              <w:bottom w:val="nil"/>
            </w:tcBorders>
            <w:vAlign w:val="center"/>
          </w:tcPr>
          <w:p w14:paraId="21EC6048" w14:textId="77777777" w:rsidR="00247B61" w:rsidRPr="001558DF" w:rsidRDefault="00247B61" w:rsidP="00247B61">
            <w:pPr>
              <w:pStyle w:val="TCTableBody"/>
              <w:spacing w:after="0" w:line="276" w:lineRule="auto"/>
              <w:rPr>
                <w:lang w:val="it-IT"/>
              </w:rPr>
            </w:pPr>
            <w:r w:rsidRPr="001558DF">
              <w:rPr>
                <w:lang w:val="it-IT"/>
              </w:rPr>
              <w:t>Sn-Pt</w:t>
            </w:r>
          </w:p>
        </w:tc>
        <w:tc>
          <w:tcPr>
            <w:tcW w:w="1417" w:type="dxa"/>
            <w:tcBorders>
              <w:top w:val="single" w:sz="4" w:space="0" w:color="auto"/>
              <w:bottom w:val="nil"/>
            </w:tcBorders>
            <w:vAlign w:val="center"/>
          </w:tcPr>
          <w:p w14:paraId="0436650E" w14:textId="77777777" w:rsidR="00247B61" w:rsidRPr="001558DF" w:rsidRDefault="00247B61" w:rsidP="00247B61">
            <w:pPr>
              <w:pStyle w:val="TCTableBody"/>
              <w:spacing w:after="0" w:line="276" w:lineRule="auto"/>
              <w:rPr>
                <w:lang w:val="it-IT"/>
              </w:rPr>
            </w:pPr>
            <w:r w:rsidRPr="001558DF">
              <w:rPr>
                <w:lang w:val="it-IT"/>
              </w:rPr>
              <w:t xml:space="preserve">5.42 </w:t>
            </w:r>
            <w:r w:rsidRPr="001558DF">
              <w:rPr>
                <w:lang w:val="de-DE"/>
              </w:rPr>
              <w:t>± 1.82</w:t>
            </w:r>
          </w:p>
        </w:tc>
        <w:tc>
          <w:tcPr>
            <w:tcW w:w="1560" w:type="dxa"/>
            <w:tcBorders>
              <w:top w:val="single" w:sz="4" w:space="0" w:color="auto"/>
              <w:bottom w:val="nil"/>
            </w:tcBorders>
            <w:vAlign w:val="center"/>
          </w:tcPr>
          <w:p w14:paraId="35CF74B9" w14:textId="77777777" w:rsidR="00247B61" w:rsidRPr="001558DF" w:rsidRDefault="00247B61" w:rsidP="00247B61">
            <w:pPr>
              <w:pStyle w:val="TCTableBody"/>
              <w:spacing w:after="0" w:line="276" w:lineRule="auto"/>
              <w:rPr>
                <w:lang w:val="it-IT"/>
              </w:rPr>
            </w:pPr>
            <w:r w:rsidRPr="001558DF">
              <w:rPr>
                <w:lang w:val="it-IT"/>
              </w:rPr>
              <w:t xml:space="preserve">2.805 </w:t>
            </w:r>
            <w:r w:rsidRPr="001558DF">
              <w:rPr>
                <w:lang w:val="de-DE"/>
              </w:rPr>
              <w:t>± 0.011</w:t>
            </w:r>
          </w:p>
        </w:tc>
        <w:tc>
          <w:tcPr>
            <w:tcW w:w="1147" w:type="dxa"/>
            <w:tcBorders>
              <w:top w:val="single" w:sz="4" w:space="0" w:color="auto"/>
              <w:bottom w:val="nil"/>
            </w:tcBorders>
            <w:vAlign w:val="center"/>
          </w:tcPr>
          <w:p w14:paraId="72BD9E3E" w14:textId="77777777" w:rsidR="00247B61" w:rsidRPr="001558DF" w:rsidRDefault="00247B61" w:rsidP="00247B61">
            <w:pPr>
              <w:pStyle w:val="TCTableBody"/>
              <w:spacing w:after="0" w:line="276" w:lineRule="auto"/>
              <w:rPr>
                <w:lang w:val="it-IT"/>
              </w:rPr>
            </w:pPr>
            <w:r w:rsidRPr="001558DF">
              <w:rPr>
                <w:lang w:val="de-DE"/>
              </w:rPr>
              <w:t>115 ± 29</w:t>
            </w:r>
          </w:p>
        </w:tc>
        <w:tc>
          <w:tcPr>
            <w:tcW w:w="1262" w:type="dxa"/>
            <w:vMerge w:val="restart"/>
            <w:tcBorders>
              <w:top w:val="single" w:sz="4" w:space="0" w:color="auto"/>
              <w:bottom w:val="single" w:sz="8" w:space="0" w:color="auto"/>
            </w:tcBorders>
            <w:vAlign w:val="center"/>
          </w:tcPr>
          <w:p w14:paraId="6F6CA3D6" w14:textId="77777777" w:rsidR="00247B61" w:rsidRPr="001558DF" w:rsidRDefault="00247B61" w:rsidP="00247B61">
            <w:pPr>
              <w:pStyle w:val="TCTableBody"/>
              <w:spacing w:after="0" w:line="276" w:lineRule="auto"/>
              <w:rPr>
                <w:lang w:val="it-IT"/>
              </w:rPr>
            </w:pPr>
            <w:r w:rsidRPr="001558DF">
              <w:rPr>
                <w:lang w:val="de-DE"/>
              </w:rPr>
              <w:t>3.0 ± 1.7</w:t>
            </w:r>
          </w:p>
        </w:tc>
        <w:tc>
          <w:tcPr>
            <w:tcW w:w="851" w:type="dxa"/>
            <w:vMerge/>
            <w:tcBorders>
              <w:top w:val="nil"/>
              <w:bottom w:val="single" w:sz="8" w:space="0" w:color="auto"/>
            </w:tcBorders>
            <w:vAlign w:val="center"/>
          </w:tcPr>
          <w:p w14:paraId="35D63790" w14:textId="77777777" w:rsidR="00247B61" w:rsidRPr="001558DF" w:rsidRDefault="00247B61" w:rsidP="00247B61">
            <w:pPr>
              <w:pStyle w:val="TCTableBody"/>
              <w:spacing w:after="0" w:line="276" w:lineRule="auto"/>
              <w:rPr>
                <w:lang w:val="it-IT"/>
              </w:rPr>
            </w:pPr>
          </w:p>
        </w:tc>
      </w:tr>
      <w:tr w:rsidR="00247B61" w:rsidRPr="001558DF" w14:paraId="7B54D301" w14:textId="77777777" w:rsidTr="000B2B07">
        <w:tc>
          <w:tcPr>
            <w:tcW w:w="1276" w:type="dxa"/>
            <w:vMerge/>
            <w:tcBorders>
              <w:top w:val="nil"/>
              <w:bottom w:val="single" w:sz="8" w:space="0" w:color="auto"/>
            </w:tcBorders>
            <w:vAlign w:val="center"/>
          </w:tcPr>
          <w:p w14:paraId="05AF661F" w14:textId="77777777" w:rsidR="00247B61" w:rsidRPr="001558DF" w:rsidRDefault="00247B61" w:rsidP="00247B61">
            <w:pPr>
              <w:pStyle w:val="TCTableBody"/>
              <w:spacing w:after="0" w:line="276" w:lineRule="auto"/>
              <w:rPr>
                <w:lang w:val="it-IT"/>
              </w:rPr>
            </w:pPr>
          </w:p>
        </w:tc>
        <w:tc>
          <w:tcPr>
            <w:tcW w:w="1070" w:type="dxa"/>
            <w:vMerge/>
            <w:tcBorders>
              <w:top w:val="nil"/>
              <w:bottom w:val="single" w:sz="8" w:space="0" w:color="auto"/>
            </w:tcBorders>
            <w:vAlign w:val="center"/>
          </w:tcPr>
          <w:p w14:paraId="34ED732D" w14:textId="77777777" w:rsidR="00247B61" w:rsidRPr="001558DF" w:rsidRDefault="00247B61" w:rsidP="00247B61">
            <w:pPr>
              <w:pStyle w:val="TCTableBody"/>
              <w:spacing w:after="0" w:line="276" w:lineRule="auto"/>
              <w:rPr>
                <w:lang w:val="it-IT"/>
              </w:rPr>
            </w:pPr>
          </w:p>
        </w:tc>
        <w:tc>
          <w:tcPr>
            <w:tcW w:w="773" w:type="dxa"/>
            <w:tcBorders>
              <w:top w:val="nil"/>
              <w:bottom w:val="single" w:sz="8" w:space="0" w:color="auto"/>
            </w:tcBorders>
            <w:vAlign w:val="center"/>
          </w:tcPr>
          <w:p w14:paraId="14685CDE" w14:textId="77777777" w:rsidR="00247B61" w:rsidRPr="001558DF" w:rsidRDefault="00247B61" w:rsidP="00247B61">
            <w:pPr>
              <w:pStyle w:val="TCTableBody"/>
              <w:spacing w:after="0" w:line="276" w:lineRule="auto"/>
              <w:rPr>
                <w:lang w:val="it-IT"/>
              </w:rPr>
            </w:pPr>
            <w:r w:rsidRPr="001558DF">
              <w:rPr>
                <w:lang w:val="it-IT"/>
              </w:rPr>
              <w:t>Sn-O</w:t>
            </w:r>
          </w:p>
        </w:tc>
        <w:tc>
          <w:tcPr>
            <w:tcW w:w="1417" w:type="dxa"/>
            <w:tcBorders>
              <w:top w:val="nil"/>
              <w:bottom w:val="single" w:sz="8" w:space="0" w:color="auto"/>
            </w:tcBorders>
            <w:vAlign w:val="center"/>
          </w:tcPr>
          <w:p w14:paraId="02BF6A1F" w14:textId="77777777" w:rsidR="00247B61" w:rsidRPr="001558DF" w:rsidRDefault="00247B61" w:rsidP="00247B61">
            <w:pPr>
              <w:pStyle w:val="TCTableBody"/>
              <w:spacing w:after="0" w:line="276" w:lineRule="auto"/>
              <w:rPr>
                <w:lang w:val="it-IT"/>
              </w:rPr>
            </w:pPr>
            <w:r w:rsidRPr="001558DF">
              <w:rPr>
                <w:lang w:val="de-DE"/>
              </w:rPr>
              <w:t>3.78 ± 0.61</w:t>
            </w:r>
          </w:p>
        </w:tc>
        <w:tc>
          <w:tcPr>
            <w:tcW w:w="1560" w:type="dxa"/>
            <w:tcBorders>
              <w:top w:val="nil"/>
              <w:bottom w:val="single" w:sz="8" w:space="0" w:color="auto"/>
            </w:tcBorders>
            <w:vAlign w:val="center"/>
          </w:tcPr>
          <w:p w14:paraId="0456E6F4" w14:textId="77777777" w:rsidR="00247B61" w:rsidRPr="001558DF" w:rsidRDefault="00247B61" w:rsidP="00247B61">
            <w:pPr>
              <w:pStyle w:val="TCTableBody"/>
              <w:spacing w:after="0" w:line="276" w:lineRule="auto"/>
            </w:pPr>
            <w:r w:rsidRPr="001558DF">
              <w:rPr>
                <w:lang w:val="it-IT"/>
              </w:rPr>
              <w:t xml:space="preserve">2.047 </w:t>
            </w:r>
            <w:r w:rsidRPr="001558DF">
              <w:rPr>
                <w:lang w:val="de-DE"/>
              </w:rPr>
              <w:t>± 0.015</w:t>
            </w:r>
          </w:p>
        </w:tc>
        <w:tc>
          <w:tcPr>
            <w:tcW w:w="1147" w:type="dxa"/>
            <w:tcBorders>
              <w:top w:val="nil"/>
              <w:bottom w:val="single" w:sz="8" w:space="0" w:color="auto"/>
            </w:tcBorders>
            <w:vAlign w:val="center"/>
          </w:tcPr>
          <w:p w14:paraId="14E6E142" w14:textId="77777777" w:rsidR="00247B61" w:rsidRPr="001558DF" w:rsidRDefault="00247B61" w:rsidP="00247B61">
            <w:pPr>
              <w:pStyle w:val="TCTableBody"/>
              <w:spacing w:after="0" w:line="276" w:lineRule="auto"/>
            </w:pPr>
            <w:r w:rsidRPr="001558DF">
              <w:rPr>
                <w:lang w:val="de-DE"/>
              </w:rPr>
              <w:t>49 ± 23</w:t>
            </w:r>
          </w:p>
        </w:tc>
        <w:tc>
          <w:tcPr>
            <w:tcW w:w="1262" w:type="dxa"/>
            <w:vMerge/>
            <w:tcBorders>
              <w:top w:val="nil"/>
              <w:bottom w:val="single" w:sz="8" w:space="0" w:color="auto"/>
            </w:tcBorders>
            <w:vAlign w:val="center"/>
          </w:tcPr>
          <w:p w14:paraId="785C5771" w14:textId="77777777" w:rsidR="00247B61" w:rsidRPr="001558DF" w:rsidRDefault="00247B61" w:rsidP="00247B61">
            <w:pPr>
              <w:pStyle w:val="TCTableBody"/>
              <w:spacing w:after="0" w:line="276" w:lineRule="auto"/>
            </w:pPr>
          </w:p>
        </w:tc>
        <w:tc>
          <w:tcPr>
            <w:tcW w:w="851" w:type="dxa"/>
            <w:vMerge/>
            <w:tcBorders>
              <w:top w:val="nil"/>
              <w:bottom w:val="single" w:sz="8" w:space="0" w:color="auto"/>
            </w:tcBorders>
            <w:vAlign w:val="center"/>
          </w:tcPr>
          <w:p w14:paraId="099384A8" w14:textId="77777777" w:rsidR="00247B61" w:rsidRPr="001558DF" w:rsidRDefault="00247B61" w:rsidP="00247B61">
            <w:pPr>
              <w:pStyle w:val="TCTableBody"/>
              <w:spacing w:after="0" w:line="276" w:lineRule="auto"/>
            </w:pPr>
          </w:p>
        </w:tc>
      </w:tr>
      <w:tr w:rsidR="00247B61" w:rsidRPr="001558DF" w14:paraId="3F24729A" w14:textId="77777777" w:rsidTr="000B2B07">
        <w:tblPrEx>
          <w:tblBorders>
            <w:top w:val="none" w:sz="0" w:space="0" w:color="auto"/>
            <w:bottom w:val="none" w:sz="0" w:space="0" w:color="auto"/>
          </w:tblBorders>
        </w:tblPrEx>
        <w:tc>
          <w:tcPr>
            <w:tcW w:w="1276" w:type="dxa"/>
            <w:vMerge w:val="restart"/>
            <w:tcBorders>
              <w:top w:val="single" w:sz="8" w:space="0" w:color="auto"/>
              <w:left w:val="nil"/>
              <w:bottom w:val="single" w:sz="8" w:space="0" w:color="auto"/>
              <w:right w:val="nil"/>
            </w:tcBorders>
            <w:vAlign w:val="center"/>
          </w:tcPr>
          <w:p w14:paraId="002FD37D" w14:textId="77777777" w:rsidR="00247B61" w:rsidRPr="001558DF" w:rsidRDefault="00247B61" w:rsidP="00247B61">
            <w:pPr>
              <w:pStyle w:val="TCTableBody"/>
              <w:spacing w:after="0" w:line="276" w:lineRule="auto"/>
            </w:pPr>
            <w:r w:rsidRPr="001558DF">
              <w:t>0.5M H</w:t>
            </w:r>
            <w:r w:rsidRPr="001558DF">
              <w:rPr>
                <w:vertAlign w:val="subscript"/>
              </w:rPr>
              <w:t>2</w:t>
            </w:r>
            <w:r w:rsidRPr="001558DF">
              <w:t>SO</w:t>
            </w:r>
            <w:r w:rsidRPr="001558DF">
              <w:rPr>
                <w:vertAlign w:val="subscript"/>
              </w:rPr>
              <w:t>4</w:t>
            </w:r>
            <w:r w:rsidRPr="001558DF">
              <w:t xml:space="preserve"> </w:t>
            </w:r>
          </w:p>
          <w:p w14:paraId="45D11B21" w14:textId="77777777" w:rsidR="00247B61" w:rsidRPr="001558DF" w:rsidRDefault="00247B61" w:rsidP="00247B61">
            <w:pPr>
              <w:pStyle w:val="TCTableBody"/>
              <w:spacing w:after="0" w:line="276" w:lineRule="auto"/>
            </w:pPr>
            <w:r w:rsidRPr="001558DF">
              <w:t xml:space="preserve">+0.5M </w:t>
            </w:r>
            <w:proofErr w:type="spellStart"/>
            <w:r w:rsidRPr="001558DF">
              <w:t>EtOH</w:t>
            </w:r>
            <w:proofErr w:type="spellEnd"/>
          </w:p>
        </w:tc>
        <w:tc>
          <w:tcPr>
            <w:tcW w:w="1070" w:type="dxa"/>
            <w:vMerge w:val="restart"/>
            <w:tcBorders>
              <w:top w:val="single" w:sz="8" w:space="0" w:color="auto"/>
              <w:left w:val="nil"/>
              <w:bottom w:val="nil"/>
              <w:right w:val="nil"/>
            </w:tcBorders>
            <w:vAlign w:val="center"/>
          </w:tcPr>
          <w:p w14:paraId="020AAE17" w14:textId="77777777" w:rsidR="00247B61" w:rsidRPr="001558DF" w:rsidRDefault="00247B61" w:rsidP="00247B61">
            <w:pPr>
              <w:pStyle w:val="TCTableBody"/>
              <w:spacing w:after="0" w:line="276" w:lineRule="auto"/>
            </w:pPr>
            <w:r w:rsidRPr="001558DF">
              <w:t>0.2 V</w:t>
            </w:r>
          </w:p>
        </w:tc>
        <w:tc>
          <w:tcPr>
            <w:tcW w:w="773" w:type="dxa"/>
            <w:tcBorders>
              <w:top w:val="single" w:sz="8" w:space="0" w:color="auto"/>
              <w:left w:val="nil"/>
              <w:bottom w:val="nil"/>
              <w:right w:val="nil"/>
            </w:tcBorders>
            <w:vAlign w:val="center"/>
          </w:tcPr>
          <w:p w14:paraId="6EC555D6" w14:textId="77777777" w:rsidR="00247B61" w:rsidRPr="001558DF" w:rsidRDefault="00247B61" w:rsidP="00247B61">
            <w:pPr>
              <w:pStyle w:val="TCTableBody"/>
              <w:spacing w:after="0" w:line="276" w:lineRule="auto"/>
            </w:pPr>
            <w:r w:rsidRPr="001558DF">
              <w:t>Pt-Pt</w:t>
            </w:r>
          </w:p>
        </w:tc>
        <w:tc>
          <w:tcPr>
            <w:tcW w:w="1417" w:type="dxa"/>
            <w:tcBorders>
              <w:top w:val="single" w:sz="8" w:space="0" w:color="auto"/>
              <w:left w:val="nil"/>
              <w:bottom w:val="nil"/>
              <w:right w:val="nil"/>
            </w:tcBorders>
            <w:vAlign w:val="center"/>
          </w:tcPr>
          <w:p w14:paraId="237AD667" w14:textId="77777777" w:rsidR="00247B61" w:rsidRPr="001558DF" w:rsidRDefault="00247B61" w:rsidP="00247B61">
            <w:pPr>
              <w:pStyle w:val="TCTableBody"/>
              <w:spacing w:after="0" w:line="276" w:lineRule="auto"/>
            </w:pPr>
            <w:r w:rsidRPr="001558DF">
              <w:t xml:space="preserve">8.84 </w:t>
            </w:r>
            <w:r w:rsidRPr="001558DF">
              <w:rPr>
                <w:lang w:val="de-DE"/>
              </w:rPr>
              <w:t>± 0.28</w:t>
            </w:r>
          </w:p>
        </w:tc>
        <w:tc>
          <w:tcPr>
            <w:tcW w:w="1560" w:type="dxa"/>
            <w:tcBorders>
              <w:top w:val="single" w:sz="8" w:space="0" w:color="auto"/>
              <w:left w:val="nil"/>
              <w:bottom w:val="nil"/>
              <w:right w:val="nil"/>
            </w:tcBorders>
            <w:vAlign w:val="center"/>
          </w:tcPr>
          <w:p w14:paraId="3A7FE7CA" w14:textId="77777777" w:rsidR="00247B61" w:rsidRPr="001558DF" w:rsidRDefault="00247B61" w:rsidP="00247B61">
            <w:pPr>
              <w:pStyle w:val="TCTableBody"/>
              <w:spacing w:after="0" w:line="276" w:lineRule="auto"/>
            </w:pPr>
            <w:r w:rsidRPr="001558DF">
              <w:t xml:space="preserve">2.756 </w:t>
            </w:r>
            <w:r w:rsidRPr="001558DF">
              <w:rPr>
                <w:lang w:val="de-DE"/>
              </w:rPr>
              <w:t>± 0.002</w:t>
            </w:r>
          </w:p>
        </w:tc>
        <w:tc>
          <w:tcPr>
            <w:tcW w:w="1147" w:type="dxa"/>
            <w:tcBorders>
              <w:top w:val="single" w:sz="8" w:space="0" w:color="auto"/>
              <w:left w:val="nil"/>
              <w:bottom w:val="nil"/>
              <w:right w:val="nil"/>
            </w:tcBorders>
            <w:vAlign w:val="center"/>
          </w:tcPr>
          <w:p w14:paraId="57EBF6F7" w14:textId="77777777" w:rsidR="00247B61" w:rsidRPr="001558DF" w:rsidRDefault="00247B61" w:rsidP="00247B61">
            <w:pPr>
              <w:pStyle w:val="TCTableBody"/>
              <w:spacing w:after="0" w:line="276" w:lineRule="auto"/>
            </w:pPr>
            <w:r w:rsidRPr="001558DF">
              <w:rPr>
                <w:lang w:val="de-DE"/>
              </w:rPr>
              <w:t>65 ± 2</w:t>
            </w:r>
          </w:p>
        </w:tc>
        <w:tc>
          <w:tcPr>
            <w:tcW w:w="1262" w:type="dxa"/>
            <w:vMerge w:val="restart"/>
            <w:tcBorders>
              <w:top w:val="single" w:sz="8" w:space="0" w:color="auto"/>
              <w:left w:val="nil"/>
              <w:right w:val="nil"/>
            </w:tcBorders>
            <w:vAlign w:val="center"/>
          </w:tcPr>
          <w:p w14:paraId="126E3F9E" w14:textId="77777777" w:rsidR="00247B61" w:rsidRPr="001558DF" w:rsidRDefault="00247B61" w:rsidP="00247B61">
            <w:pPr>
              <w:pStyle w:val="TCTableBody"/>
              <w:spacing w:after="0" w:line="276" w:lineRule="auto"/>
              <w:rPr>
                <w:lang w:val="it-IT"/>
              </w:rPr>
            </w:pPr>
            <w:r w:rsidRPr="001558DF">
              <w:rPr>
                <w:lang w:val="de-DE"/>
              </w:rPr>
              <w:t>5.2 ± 0.4</w:t>
            </w:r>
          </w:p>
        </w:tc>
        <w:tc>
          <w:tcPr>
            <w:tcW w:w="851" w:type="dxa"/>
            <w:vMerge w:val="restart"/>
            <w:tcBorders>
              <w:top w:val="single" w:sz="8" w:space="0" w:color="auto"/>
              <w:left w:val="nil"/>
              <w:bottom w:val="nil"/>
              <w:right w:val="nil"/>
            </w:tcBorders>
            <w:vAlign w:val="center"/>
          </w:tcPr>
          <w:p w14:paraId="2A8B5ABB" w14:textId="77777777" w:rsidR="00247B61" w:rsidRPr="001558DF" w:rsidRDefault="00247B61" w:rsidP="00247B61">
            <w:pPr>
              <w:pStyle w:val="TCTableBody"/>
              <w:spacing w:after="0" w:line="276" w:lineRule="auto"/>
              <w:rPr>
                <w:lang w:val="it-IT"/>
              </w:rPr>
            </w:pPr>
            <w:r w:rsidRPr="001558DF">
              <w:rPr>
                <w:lang w:val="it-IT"/>
              </w:rPr>
              <w:t>0.005</w:t>
            </w:r>
          </w:p>
        </w:tc>
      </w:tr>
      <w:tr w:rsidR="00247B61" w:rsidRPr="001558DF" w14:paraId="1D718CBE"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vAlign w:val="center"/>
          </w:tcPr>
          <w:p w14:paraId="744D6066" w14:textId="77777777" w:rsidR="00247B61" w:rsidRPr="001558DF" w:rsidRDefault="00247B61" w:rsidP="00247B61">
            <w:pPr>
              <w:pStyle w:val="TCTableBody"/>
              <w:spacing w:after="0" w:line="276" w:lineRule="auto"/>
              <w:rPr>
                <w:lang w:val="it-IT"/>
              </w:rPr>
            </w:pPr>
          </w:p>
        </w:tc>
        <w:tc>
          <w:tcPr>
            <w:tcW w:w="1070" w:type="dxa"/>
            <w:vMerge/>
            <w:tcBorders>
              <w:top w:val="nil"/>
              <w:left w:val="nil"/>
              <w:bottom w:val="nil"/>
              <w:right w:val="nil"/>
            </w:tcBorders>
            <w:vAlign w:val="center"/>
          </w:tcPr>
          <w:p w14:paraId="57781CD1" w14:textId="77777777" w:rsidR="00247B61" w:rsidRPr="001558DF" w:rsidRDefault="00247B61" w:rsidP="00247B61">
            <w:pPr>
              <w:pStyle w:val="TCTableBody"/>
              <w:spacing w:after="0" w:line="276" w:lineRule="auto"/>
              <w:rPr>
                <w:lang w:val="it-IT"/>
              </w:rPr>
            </w:pPr>
          </w:p>
        </w:tc>
        <w:tc>
          <w:tcPr>
            <w:tcW w:w="773" w:type="dxa"/>
            <w:tcBorders>
              <w:top w:val="nil"/>
              <w:left w:val="nil"/>
              <w:bottom w:val="single" w:sz="4" w:space="0" w:color="auto"/>
              <w:right w:val="nil"/>
            </w:tcBorders>
            <w:vAlign w:val="center"/>
          </w:tcPr>
          <w:p w14:paraId="35F67031" w14:textId="77777777" w:rsidR="00247B61" w:rsidRPr="001558DF" w:rsidRDefault="00247B61" w:rsidP="00247B61">
            <w:pPr>
              <w:pStyle w:val="TCTableBody"/>
              <w:spacing w:after="0" w:line="276" w:lineRule="auto"/>
              <w:rPr>
                <w:lang w:val="it-IT"/>
              </w:rPr>
            </w:pPr>
            <w:r w:rsidRPr="001558DF">
              <w:rPr>
                <w:lang w:val="it-IT"/>
              </w:rPr>
              <w:t>Pt-Sn</w:t>
            </w:r>
          </w:p>
        </w:tc>
        <w:tc>
          <w:tcPr>
            <w:tcW w:w="1417" w:type="dxa"/>
            <w:tcBorders>
              <w:top w:val="nil"/>
              <w:left w:val="nil"/>
              <w:bottom w:val="single" w:sz="4" w:space="0" w:color="auto"/>
              <w:right w:val="nil"/>
            </w:tcBorders>
            <w:vAlign w:val="center"/>
          </w:tcPr>
          <w:p w14:paraId="4A3AE1B7" w14:textId="77777777" w:rsidR="00247B61" w:rsidRPr="001558DF" w:rsidRDefault="00247B61" w:rsidP="00247B61">
            <w:pPr>
              <w:pStyle w:val="TCTableBody"/>
              <w:spacing w:after="0" w:line="276" w:lineRule="auto"/>
              <w:rPr>
                <w:lang w:val="it-IT"/>
              </w:rPr>
            </w:pPr>
            <w:r w:rsidRPr="001558DF">
              <w:rPr>
                <w:lang w:val="it-IT"/>
              </w:rPr>
              <w:t xml:space="preserve">1.15 </w:t>
            </w:r>
            <w:r w:rsidRPr="001558DF">
              <w:rPr>
                <w:lang w:val="de-DE"/>
              </w:rPr>
              <w:t>± 0.41</w:t>
            </w:r>
          </w:p>
        </w:tc>
        <w:tc>
          <w:tcPr>
            <w:tcW w:w="1560" w:type="dxa"/>
            <w:tcBorders>
              <w:top w:val="nil"/>
              <w:left w:val="nil"/>
              <w:bottom w:val="single" w:sz="4" w:space="0" w:color="auto"/>
              <w:right w:val="nil"/>
            </w:tcBorders>
            <w:vAlign w:val="center"/>
          </w:tcPr>
          <w:p w14:paraId="4FF2021F" w14:textId="77777777" w:rsidR="00247B61" w:rsidRPr="001558DF" w:rsidRDefault="00247B61" w:rsidP="00247B61">
            <w:pPr>
              <w:pStyle w:val="TCTableBody"/>
              <w:spacing w:after="0" w:line="276" w:lineRule="auto"/>
              <w:rPr>
                <w:lang w:val="it-IT"/>
              </w:rPr>
            </w:pPr>
            <w:r w:rsidRPr="001558DF">
              <w:rPr>
                <w:lang w:val="it-IT"/>
              </w:rPr>
              <w:t xml:space="preserve">2.797 </w:t>
            </w:r>
            <w:r w:rsidRPr="001558DF">
              <w:rPr>
                <w:lang w:val="de-DE"/>
              </w:rPr>
              <w:t>± 0.014</w:t>
            </w:r>
          </w:p>
        </w:tc>
        <w:tc>
          <w:tcPr>
            <w:tcW w:w="1147" w:type="dxa"/>
            <w:tcBorders>
              <w:top w:val="nil"/>
              <w:left w:val="nil"/>
              <w:bottom w:val="single" w:sz="4" w:space="0" w:color="auto"/>
              <w:right w:val="nil"/>
            </w:tcBorders>
            <w:vAlign w:val="center"/>
          </w:tcPr>
          <w:p w14:paraId="12483489" w14:textId="77777777" w:rsidR="00247B61" w:rsidRPr="001558DF" w:rsidRDefault="00247B61" w:rsidP="00247B61">
            <w:pPr>
              <w:pStyle w:val="TCTableBody"/>
              <w:spacing w:after="0" w:line="276" w:lineRule="auto"/>
              <w:rPr>
                <w:lang w:val="it-IT"/>
              </w:rPr>
            </w:pPr>
            <w:r w:rsidRPr="001558DF">
              <w:rPr>
                <w:lang w:val="de-DE"/>
              </w:rPr>
              <w:t>147 ± 40</w:t>
            </w:r>
          </w:p>
        </w:tc>
        <w:tc>
          <w:tcPr>
            <w:tcW w:w="1262" w:type="dxa"/>
            <w:vMerge/>
            <w:tcBorders>
              <w:left w:val="nil"/>
              <w:bottom w:val="single" w:sz="4" w:space="0" w:color="auto"/>
              <w:right w:val="nil"/>
            </w:tcBorders>
            <w:vAlign w:val="center"/>
          </w:tcPr>
          <w:p w14:paraId="77141401" w14:textId="77777777" w:rsidR="00247B61" w:rsidRPr="001558DF" w:rsidRDefault="00247B61" w:rsidP="00247B61">
            <w:pPr>
              <w:pStyle w:val="TCTableBody"/>
              <w:spacing w:after="0" w:line="276" w:lineRule="auto"/>
              <w:rPr>
                <w:lang w:val="it-IT"/>
              </w:rPr>
            </w:pPr>
          </w:p>
        </w:tc>
        <w:tc>
          <w:tcPr>
            <w:tcW w:w="851" w:type="dxa"/>
            <w:vMerge/>
            <w:tcBorders>
              <w:top w:val="nil"/>
              <w:left w:val="nil"/>
              <w:bottom w:val="nil"/>
              <w:right w:val="nil"/>
            </w:tcBorders>
            <w:vAlign w:val="center"/>
          </w:tcPr>
          <w:p w14:paraId="585058F5" w14:textId="77777777" w:rsidR="00247B61" w:rsidRPr="001558DF" w:rsidRDefault="00247B61" w:rsidP="00247B61">
            <w:pPr>
              <w:pStyle w:val="TCTableBody"/>
              <w:spacing w:after="0" w:line="276" w:lineRule="auto"/>
              <w:rPr>
                <w:lang w:val="it-IT"/>
              </w:rPr>
            </w:pPr>
          </w:p>
        </w:tc>
      </w:tr>
      <w:tr w:rsidR="00247B61" w:rsidRPr="001558DF" w14:paraId="5BBBEEDD"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vAlign w:val="center"/>
          </w:tcPr>
          <w:p w14:paraId="2831116B" w14:textId="77777777" w:rsidR="00247B61" w:rsidRPr="001558DF" w:rsidRDefault="00247B61" w:rsidP="00247B61">
            <w:pPr>
              <w:pStyle w:val="TCTableBody"/>
              <w:spacing w:after="0" w:line="276" w:lineRule="auto"/>
              <w:rPr>
                <w:lang w:val="it-IT"/>
              </w:rPr>
            </w:pPr>
          </w:p>
        </w:tc>
        <w:tc>
          <w:tcPr>
            <w:tcW w:w="1070" w:type="dxa"/>
            <w:vMerge/>
            <w:tcBorders>
              <w:top w:val="nil"/>
              <w:left w:val="nil"/>
              <w:bottom w:val="nil"/>
              <w:right w:val="nil"/>
            </w:tcBorders>
            <w:vAlign w:val="center"/>
          </w:tcPr>
          <w:p w14:paraId="7D75F8C7" w14:textId="77777777" w:rsidR="00247B61" w:rsidRPr="001558DF" w:rsidRDefault="00247B61" w:rsidP="00247B61">
            <w:pPr>
              <w:pStyle w:val="TCTableBody"/>
              <w:spacing w:after="0" w:line="276" w:lineRule="auto"/>
              <w:rPr>
                <w:lang w:val="it-IT"/>
              </w:rPr>
            </w:pPr>
          </w:p>
        </w:tc>
        <w:tc>
          <w:tcPr>
            <w:tcW w:w="773" w:type="dxa"/>
            <w:tcBorders>
              <w:top w:val="single" w:sz="4" w:space="0" w:color="auto"/>
              <w:left w:val="nil"/>
              <w:bottom w:val="nil"/>
              <w:right w:val="nil"/>
            </w:tcBorders>
            <w:vAlign w:val="center"/>
          </w:tcPr>
          <w:p w14:paraId="31D5F25D" w14:textId="77777777" w:rsidR="00247B61" w:rsidRPr="001558DF" w:rsidRDefault="00247B61" w:rsidP="00247B61">
            <w:pPr>
              <w:pStyle w:val="TCTableBody"/>
              <w:spacing w:after="0" w:line="276" w:lineRule="auto"/>
              <w:rPr>
                <w:lang w:val="it-IT"/>
              </w:rPr>
            </w:pPr>
            <w:r w:rsidRPr="001558DF">
              <w:rPr>
                <w:lang w:val="it-IT"/>
              </w:rPr>
              <w:t>Sn-Pt</w:t>
            </w:r>
          </w:p>
        </w:tc>
        <w:tc>
          <w:tcPr>
            <w:tcW w:w="1417" w:type="dxa"/>
            <w:tcBorders>
              <w:top w:val="single" w:sz="4" w:space="0" w:color="auto"/>
              <w:left w:val="nil"/>
              <w:bottom w:val="nil"/>
              <w:right w:val="nil"/>
            </w:tcBorders>
            <w:vAlign w:val="center"/>
          </w:tcPr>
          <w:p w14:paraId="77BFAE3A" w14:textId="77777777" w:rsidR="00247B61" w:rsidRPr="001558DF" w:rsidRDefault="00247B61" w:rsidP="00247B61">
            <w:pPr>
              <w:pStyle w:val="TCTableBody"/>
              <w:spacing w:after="0" w:line="276" w:lineRule="auto"/>
              <w:rPr>
                <w:lang w:val="it-IT"/>
              </w:rPr>
            </w:pPr>
            <w:r w:rsidRPr="001558DF">
              <w:rPr>
                <w:lang w:val="it-IT"/>
              </w:rPr>
              <w:t xml:space="preserve">8.30 </w:t>
            </w:r>
            <w:r w:rsidRPr="001558DF">
              <w:rPr>
                <w:lang w:val="de-DE"/>
              </w:rPr>
              <w:t>± 3.17</w:t>
            </w:r>
          </w:p>
        </w:tc>
        <w:tc>
          <w:tcPr>
            <w:tcW w:w="1560" w:type="dxa"/>
            <w:tcBorders>
              <w:top w:val="single" w:sz="4" w:space="0" w:color="auto"/>
              <w:left w:val="nil"/>
              <w:bottom w:val="nil"/>
              <w:right w:val="nil"/>
            </w:tcBorders>
            <w:vAlign w:val="center"/>
          </w:tcPr>
          <w:p w14:paraId="0F8BDC1D" w14:textId="77777777" w:rsidR="00247B61" w:rsidRPr="001558DF" w:rsidRDefault="00247B61" w:rsidP="00247B61">
            <w:pPr>
              <w:pStyle w:val="TCTableBody"/>
              <w:spacing w:after="0" w:line="276" w:lineRule="auto"/>
              <w:rPr>
                <w:lang w:val="it-IT"/>
              </w:rPr>
            </w:pPr>
            <w:r w:rsidRPr="001558DF">
              <w:rPr>
                <w:lang w:val="it-IT"/>
              </w:rPr>
              <w:t xml:space="preserve">2.797 </w:t>
            </w:r>
            <w:r w:rsidRPr="001558DF">
              <w:rPr>
                <w:lang w:val="de-DE"/>
              </w:rPr>
              <w:t>± 0.014</w:t>
            </w:r>
          </w:p>
        </w:tc>
        <w:tc>
          <w:tcPr>
            <w:tcW w:w="1147" w:type="dxa"/>
            <w:tcBorders>
              <w:top w:val="single" w:sz="4" w:space="0" w:color="auto"/>
              <w:left w:val="nil"/>
              <w:bottom w:val="nil"/>
              <w:right w:val="nil"/>
            </w:tcBorders>
            <w:vAlign w:val="center"/>
          </w:tcPr>
          <w:p w14:paraId="0387ED60" w14:textId="77777777" w:rsidR="00247B61" w:rsidRPr="001558DF" w:rsidRDefault="00247B61" w:rsidP="00247B61">
            <w:pPr>
              <w:pStyle w:val="TCTableBody"/>
              <w:spacing w:after="0" w:line="276" w:lineRule="auto"/>
              <w:rPr>
                <w:lang w:val="it-IT"/>
              </w:rPr>
            </w:pPr>
            <w:r w:rsidRPr="001558DF">
              <w:rPr>
                <w:lang w:val="de-DE"/>
              </w:rPr>
              <w:t>147 ± 40</w:t>
            </w:r>
          </w:p>
        </w:tc>
        <w:tc>
          <w:tcPr>
            <w:tcW w:w="1262" w:type="dxa"/>
            <w:vMerge w:val="restart"/>
            <w:tcBorders>
              <w:top w:val="single" w:sz="4" w:space="0" w:color="auto"/>
              <w:left w:val="nil"/>
              <w:bottom w:val="nil"/>
              <w:right w:val="nil"/>
            </w:tcBorders>
            <w:vAlign w:val="center"/>
          </w:tcPr>
          <w:p w14:paraId="10AA2F21" w14:textId="77777777" w:rsidR="00247B61" w:rsidRPr="001558DF" w:rsidRDefault="00247B61" w:rsidP="00247B61">
            <w:pPr>
              <w:pStyle w:val="TCTableBody"/>
              <w:spacing w:after="0" w:line="276" w:lineRule="auto"/>
              <w:rPr>
                <w:lang w:val="it-IT"/>
              </w:rPr>
            </w:pPr>
            <w:r w:rsidRPr="001558DF">
              <w:rPr>
                <w:lang w:val="de-DE"/>
              </w:rPr>
              <w:t>2.3 ± 2.0</w:t>
            </w:r>
          </w:p>
        </w:tc>
        <w:tc>
          <w:tcPr>
            <w:tcW w:w="851" w:type="dxa"/>
            <w:vMerge/>
            <w:tcBorders>
              <w:top w:val="nil"/>
              <w:left w:val="nil"/>
              <w:bottom w:val="nil"/>
              <w:right w:val="nil"/>
            </w:tcBorders>
            <w:vAlign w:val="center"/>
          </w:tcPr>
          <w:p w14:paraId="6BDEC1C1" w14:textId="77777777" w:rsidR="00247B61" w:rsidRPr="001558DF" w:rsidRDefault="00247B61" w:rsidP="00247B61">
            <w:pPr>
              <w:pStyle w:val="TCTableBody"/>
              <w:spacing w:after="0" w:line="276" w:lineRule="auto"/>
              <w:rPr>
                <w:lang w:val="it-IT"/>
              </w:rPr>
            </w:pPr>
          </w:p>
        </w:tc>
      </w:tr>
      <w:tr w:rsidR="00247B61" w:rsidRPr="001558DF" w14:paraId="0A2FBF81"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vAlign w:val="center"/>
          </w:tcPr>
          <w:p w14:paraId="53C787C0" w14:textId="77777777" w:rsidR="00247B61" w:rsidRPr="001558DF" w:rsidRDefault="00247B61" w:rsidP="00247B61">
            <w:pPr>
              <w:pStyle w:val="TCTableBody"/>
              <w:spacing w:after="0" w:line="276" w:lineRule="auto"/>
              <w:rPr>
                <w:lang w:val="it-IT"/>
              </w:rPr>
            </w:pPr>
          </w:p>
        </w:tc>
        <w:tc>
          <w:tcPr>
            <w:tcW w:w="1070" w:type="dxa"/>
            <w:vMerge/>
            <w:tcBorders>
              <w:top w:val="nil"/>
              <w:left w:val="nil"/>
              <w:bottom w:val="single" w:sz="4" w:space="0" w:color="auto"/>
              <w:right w:val="nil"/>
            </w:tcBorders>
            <w:vAlign w:val="center"/>
          </w:tcPr>
          <w:p w14:paraId="28AFA712" w14:textId="77777777" w:rsidR="00247B61" w:rsidRPr="001558DF" w:rsidRDefault="00247B61" w:rsidP="00247B61">
            <w:pPr>
              <w:pStyle w:val="TCTableBody"/>
              <w:spacing w:after="0" w:line="276" w:lineRule="auto"/>
              <w:rPr>
                <w:lang w:val="it-IT"/>
              </w:rPr>
            </w:pPr>
          </w:p>
        </w:tc>
        <w:tc>
          <w:tcPr>
            <w:tcW w:w="773" w:type="dxa"/>
            <w:tcBorders>
              <w:top w:val="nil"/>
              <w:left w:val="nil"/>
              <w:bottom w:val="single" w:sz="4" w:space="0" w:color="auto"/>
              <w:right w:val="nil"/>
            </w:tcBorders>
            <w:vAlign w:val="center"/>
          </w:tcPr>
          <w:p w14:paraId="75A91A9A" w14:textId="77777777" w:rsidR="00247B61" w:rsidRPr="001558DF" w:rsidRDefault="00247B61" w:rsidP="00247B61">
            <w:pPr>
              <w:pStyle w:val="TCTableBody"/>
              <w:spacing w:after="0" w:line="276" w:lineRule="auto"/>
              <w:rPr>
                <w:lang w:val="it-IT"/>
              </w:rPr>
            </w:pPr>
            <w:r w:rsidRPr="001558DF">
              <w:rPr>
                <w:lang w:val="it-IT"/>
              </w:rPr>
              <w:t>Sn-O</w:t>
            </w:r>
          </w:p>
        </w:tc>
        <w:tc>
          <w:tcPr>
            <w:tcW w:w="1417" w:type="dxa"/>
            <w:tcBorders>
              <w:top w:val="nil"/>
              <w:left w:val="nil"/>
              <w:bottom w:val="single" w:sz="4" w:space="0" w:color="auto"/>
              <w:right w:val="nil"/>
            </w:tcBorders>
            <w:vAlign w:val="center"/>
          </w:tcPr>
          <w:p w14:paraId="736E8792" w14:textId="77777777" w:rsidR="00247B61" w:rsidRPr="001558DF" w:rsidRDefault="00247B61" w:rsidP="00247B61">
            <w:pPr>
              <w:pStyle w:val="TCTableBody"/>
              <w:spacing w:after="0" w:line="276" w:lineRule="auto"/>
              <w:rPr>
                <w:lang w:val="it-IT"/>
              </w:rPr>
            </w:pPr>
            <w:r w:rsidRPr="001558DF">
              <w:rPr>
                <w:lang w:val="de-DE"/>
              </w:rPr>
              <w:t>3.23 ± 0.75</w:t>
            </w:r>
          </w:p>
        </w:tc>
        <w:tc>
          <w:tcPr>
            <w:tcW w:w="1560" w:type="dxa"/>
            <w:tcBorders>
              <w:top w:val="nil"/>
              <w:left w:val="nil"/>
              <w:bottom w:val="single" w:sz="4" w:space="0" w:color="auto"/>
              <w:right w:val="nil"/>
            </w:tcBorders>
            <w:vAlign w:val="center"/>
          </w:tcPr>
          <w:p w14:paraId="7253CF04" w14:textId="77777777" w:rsidR="00247B61" w:rsidRPr="001558DF" w:rsidRDefault="00247B61" w:rsidP="00247B61">
            <w:pPr>
              <w:pStyle w:val="TCTableBody"/>
              <w:spacing w:after="0" w:line="276" w:lineRule="auto"/>
            </w:pPr>
            <w:r w:rsidRPr="001558DF">
              <w:rPr>
                <w:lang w:val="it-IT"/>
              </w:rPr>
              <w:t xml:space="preserve">2.033 </w:t>
            </w:r>
            <w:r w:rsidRPr="001558DF">
              <w:rPr>
                <w:lang w:val="de-DE"/>
              </w:rPr>
              <w:t>± 0.017</w:t>
            </w:r>
          </w:p>
        </w:tc>
        <w:tc>
          <w:tcPr>
            <w:tcW w:w="1147" w:type="dxa"/>
            <w:tcBorders>
              <w:top w:val="nil"/>
              <w:left w:val="nil"/>
              <w:bottom w:val="single" w:sz="4" w:space="0" w:color="auto"/>
              <w:right w:val="nil"/>
            </w:tcBorders>
            <w:vAlign w:val="center"/>
          </w:tcPr>
          <w:p w14:paraId="1439CAB6" w14:textId="77777777" w:rsidR="00247B61" w:rsidRPr="001558DF" w:rsidRDefault="00247B61" w:rsidP="00247B61">
            <w:pPr>
              <w:pStyle w:val="TCTableBody"/>
              <w:spacing w:after="0" w:line="276" w:lineRule="auto"/>
            </w:pPr>
            <w:r w:rsidRPr="001558DF">
              <w:rPr>
                <w:lang w:val="de-DE"/>
              </w:rPr>
              <w:t>42 ± 30</w:t>
            </w:r>
          </w:p>
        </w:tc>
        <w:tc>
          <w:tcPr>
            <w:tcW w:w="1262" w:type="dxa"/>
            <w:vMerge/>
            <w:tcBorders>
              <w:top w:val="nil"/>
              <w:left w:val="nil"/>
              <w:bottom w:val="single" w:sz="4" w:space="0" w:color="auto"/>
              <w:right w:val="nil"/>
            </w:tcBorders>
            <w:vAlign w:val="center"/>
          </w:tcPr>
          <w:p w14:paraId="08225E25" w14:textId="77777777" w:rsidR="00247B61" w:rsidRPr="001558DF" w:rsidRDefault="00247B61" w:rsidP="00247B61">
            <w:pPr>
              <w:pStyle w:val="TCTableBody"/>
              <w:spacing w:after="0" w:line="276" w:lineRule="auto"/>
            </w:pPr>
          </w:p>
        </w:tc>
        <w:tc>
          <w:tcPr>
            <w:tcW w:w="851" w:type="dxa"/>
            <w:vMerge/>
            <w:tcBorders>
              <w:top w:val="nil"/>
              <w:left w:val="nil"/>
              <w:bottom w:val="single" w:sz="4" w:space="0" w:color="auto"/>
              <w:right w:val="nil"/>
            </w:tcBorders>
            <w:vAlign w:val="center"/>
          </w:tcPr>
          <w:p w14:paraId="2982637F" w14:textId="77777777" w:rsidR="00247B61" w:rsidRPr="001558DF" w:rsidRDefault="00247B61" w:rsidP="00247B61">
            <w:pPr>
              <w:pStyle w:val="TCTableBody"/>
              <w:spacing w:after="0" w:line="276" w:lineRule="auto"/>
            </w:pPr>
          </w:p>
        </w:tc>
      </w:tr>
      <w:tr w:rsidR="00247B61" w:rsidRPr="001558DF" w14:paraId="28A2251C"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vAlign w:val="center"/>
          </w:tcPr>
          <w:p w14:paraId="64D26C76" w14:textId="77777777" w:rsidR="00247B61" w:rsidRPr="001558DF" w:rsidRDefault="00247B61" w:rsidP="00247B61">
            <w:pPr>
              <w:pStyle w:val="TCTableBody"/>
              <w:spacing w:after="0" w:line="276" w:lineRule="auto"/>
            </w:pPr>
          </w:p>
        </w:tc>
        <w:tc>
          <w:tcPr>
            <w:tcW w:w="1070" w:type="dxa"/>
            <w:vMerge w:val="restart"/>
            <w:tcBorders>
              <w:top w:val="single" w:sz="4" w:space="0" w:color="auto"/>
              <w:left w:val="nil"/>
              <w:bottom w:val="nil"/>
              <w:right w:val="nil"/>
            </w:tcBorders>
            <w:vAlign w:val="center"/>
          </w:tcPr>
          <w:p w14:paraId="7797D856" w14:textId="77777777" w:rsidR="00247B61" w:rsidRPr="001558DF" w:rsidRDefault="00247B61" w:rsidP="00247B61">
            <w:pPr>
              <w:pStyle w:val="TCTableBody"/>
              <w:spacing w:after="0" w:line="276" w:lineRule="auto"/>
            </w:pPr>
            <w:r w:rsidRPr="001558DF">
              <w:t>0.4 V</w:t>
            </w:r>
          </w:p>
        </w:tc>
        <w:tc>
          <w:tcPr>
            <w:tcW w:w="773" w:type="dxa"/>
            <w:tcBorders>
              <w:top w:val="single" w:sz="4" w:space="0" w:color="auto"/>
              <w:left w:val="nil"/>
              <w:bottom w:val="nil"/>
              <w:right w:val="nil"/>
            </w:tcBorders>
            <w:vAlign w:val="center"/>
          </w:tcPr>
          <w:p w14:paraId="1753438C" w14:textId="77777777" w:rsidR="00247B61" w:rsidRPr="001558DF" w:rsidRDefault="00247B61" w:rsidP="00247B61">
            <w:pPr>
              <w:pStyle w:val="TCTableBody"/>
              <w:spacing w:after="0" w:line="276" w:lineRule="auto"/>
            </w:pPr>
            <w:r w:rsidRPr="001558DF">
              <w:t>Pt-Pt</w:t>
            </w:r>
          </w:p>
        </w:tc>
        <w:tc>
          <w:tcPr>
            <w:tcW w:w="1417" w:type="dxa"/>
            <w:tcBorders>
              <w:top w:val="single" w:sz="4" w:space="0" w:color="auto"/>
              <w:left w:val="nil"/>
              <w:bottom w:val="nil"/>
              <w:right w:val="nil"/>
            </w:tcBorders>
            <w:vAlign w:val="center"/>
          </w:tcPr>
          <w:p w14:paraId="7052FF57" w14:textId="77777777" w:rsidR="00247B61" w:rsidRPr="001558DF" w:rsidRDefault="00247B61" w:rsidP="00247B61">
            <w:pPr>
              <w:pStyle w:val="TCTableBody"/>
              <w:spacing w:after="0" w:line="276" w:lineRule="auto"/>
            </w:pPr>
            <w:r w:rsidRPr="001558DF">
              <w:t xml:space="preserve">8.74 </w:t>
            </w:r>
            <w:r w:rsidRPr="001558DF">
              <w:rPr>
                <w:lang w:val="de-DE"/>
              </w:rPr>
              <w:t>± 0.31</w:t>
            </w:r>
          </w:p>
        </w:tc>
        <w:tc>
          <w:tcPr>
            <w:tcW w:w="1560" w:type="dxa"/>
            <w:tcBorders>
              <w:top w:val="single" w:sz="4" w:space="0" w:color="auto"/>
              <w:left w:val="nil"/>
              <w:bottom w:val="nil"/>
              <w:right w:val="nil"/>
            </w:tcBorders>
            <w:vAlign w:val="center"/>
          </w:tcPr>
          <w:p w14:paraId="3B1A9043" w14:textId="77777777" w:rsidR="00247B61" w:rsidRPr="001558DF" w:rsidRDefault="00247B61" w:rsidP="00247B61">
            <w:pPr>
              <w:pStyle w:val="TCTableBody"/>
              <w:spacing w:after="0" w:line="276" w:lineRule="auto"/>
            </w:pPr>
            <w:r w:rsidRPr="001558DF">
              <w:t xml:space="preserve">2.761 </w:t>
            </w:r>
            <w:r w:rsidRPr="001558DF">
              <w:rPr>
                <w:lang w:val="de-DE"/>
              </w:rPr>
              <w:t>± 0.002</w:t>
            </w:r>
          </w:p>
        </w:tc>
        <w:tc>
          <w:tcPr>
            <w:tcW w:w="1147" w:type="dxa"/>
            <w:tcBorders>
              <w:top w:val="single" w:sz="4" w:space="0" w:color="auto"/>
              <w:left w:val="nil"/>
              <w:bottom w:val="nil"/>
              <w:right w:val="nil"/>
            </w:tcBorders>
            <w:vAlign w:val="center"/>
          </w:tcPr>
          <w:p w14:paraId="051D2426" w14:textId="77777777" w:rsidR="00247B61" w:rsidRPr="001558DF" w:rsidRDefault="00247B61" w:rsidP="00247B61">
            <w:pPr>
              <w:pStyle w:val="TCTableBody"/>
              <w:spacing w:after="0" w:line="276" w:lineRule="auto"/>
            </w:pPr>
            <w:r w:rsidRPr="001558DF">
              <w:rPr>
                <w:lang w:val="de-DE"/>
              </w:rPr>
              <w:t>65 ± 2</w:t>
            </w:r>
          </w:p>
        </w:tc>
        <w:tc>
          <w:tcPr>
            <w:tcW w:w="1262" w:type="dxa"/>
            <w:vMerge w:val="restart"/>
            <w:tcBorders>
              <w:top w:val="single" w:sz="4" w:space="0" w:color="auto"/>
              <w:left w:val="nil"/>
              <w:right w:val="nil"/>
            </w:tcBorders>
            <w:vAlign w:val="center"/>
          </w:tcPr>
          <w:p w14:paraId="4A00760F" w14:textId="77777777" w:rsidR="00247B61" w:rsidRPr="001558DF" w:rsidRDefault="00247B61" w:rsidP="00247B61">
            <w:pPr>
              <w:pStyle w:val="TCTableBody"/>
              <w:spacing w:after="0" w:line="276" w:lineRule="auto"/>
              <w:rPr>
                <w:lang w:val="it-IT"/>
              </w:rPr>
            </w:pPr>
            <w:r w:rsidRPr="001558DF">
              <w:rPr>
                <w:lang w:val="de-DE"/>
              </w:rPr>
              <w:t>5.6 ± 0.4</w:t>
            </w:r>
          </w:p>
        </w:tc>
        <w:tc>
          <w:tcPr>
            <w:tcW w:w="851" w:type="dxa"/>
            <w:vMerge w:val="restart"/>
            <w:tcBorders>
              <w:top w:val="single" w:sz="4" w:space="0" w:color="auto"/>
              <w:left w:val="nil"/>
              <w:bottom w:val="nil"/>
              <w:right w:val="nil"/>
            </w:tcBorders>
            <w:vAlign w:val="center"/>
          </w:tcPr>
          <w:p w14:paraId="0EBDF664" w14:textId="77777777" w:rsidR="00247B61" w:rsidRPr="001558DF" w:rsidRDefault="00247B61" w:rsidP="00247B61">
            <w:pPr>
              <w:pStyle w:val="TCTableBody"/>
              <w:spacing w:after="0" w:line="276" w:lineRule="auto"/>
              <w:rPr>
                <w:lang w:val="it-IT"/>
              </w:rPr>
            </w:pPr>
            <w:r w:rsidRPr="001558DF">
              <w:rPr>
                <w:lang w:val="it-IT"/>
              </w:rPr>
              <w:t>0.009</w:t>
            </w:r>
          </w:p>
        </w:tc>
      </w:tr>
      <w:tr w:rsidR="00247B61" w:rsidRPr="001558DF" w14:paraId="211D1A52"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vAlign w:val="center"/>
          </w:tcPr>
          <w:p w14:paraId="6F766149" w14:textId="77777777" w:rsidR="00247B61" w:rsidRPr="001558DF" w:rsidRDefault="00247B61" w:rsidP="00247B61">
            <w:pPr>
              <w:pStyle w:val="TCTableBody"/>
              <w:spacing w:after="0" w:line="276" w:lineRule="auto"/>
              <w:rPr>
                <w:lang w:val="it-IT"/>
              </w:rPr>
            </w:pPr>
          </w:p>
        </w:tc>
        <w:tc>
          <w:tcPr>
            <w:tcW w:w="1070" w:type="dxa"/>
            <w:vMerge/>
            <w:tcBorders>
              <w:top w:val="nil"/>
              <w:left w:val="nil"/>
              <w:bottom w:val="nil"/>
              <w:right w:val="nil"/>
            </w:tcBorders>
            <w:vAlign w:val="center"/>
          </w:tcPr>
          <w:p w14:paraId="2B7F1D9D" w14:textId="77777777" w:rsidR="00247B61" w:rsidRPr="001558DF" w:rsidRDefault="00247B61" w:rsidP="00247B61">
            <w:pPr>
              <w:pStyle w:val="TCTableBody"/>
              <w:spacing w:after="0" w:line="276" w:lineRule="auto"/>
              <w:rPr>
                <w:lang w:val="it-IT"/>
              </w:rPr>
            </w:pPr>
          </w:p>
        </w:tc>
        <w:tc>
          <w:tcPr>
            <w:tcW w:w="773" w:type="dxa"/>
            <w:tcBorders>
              <w:top w:val="nil"/>
              <w:left w:val="nil"/>
              <w:bottom w:val="single" w:sz="4" w:space="0" w:color="auto"/>
              <w:right w:val="nil"/>
            </w:tcBorders>
            <w:vAlign w:val="center"/>
          </w:tcPr>
          <w:p w14:paraId="469FDFAF" w14:textId="77777777" w:rsidR="00247B61" w:rsidRPr="001558DF" w:rsidRDefault="00247B61" w:rsidP="00247B61">
            <w:pPr>
              <w:pStyle w:val="TCTableBody"/>
              <w:spacing w:after="0" w:line="276" w:lineRule="auto"/>
              <w:rPr>
                <w:lang w:val="it-IT"/>
              </w:rPr>
            </w:pPr>
            <w:r w:rsidRPr="001558DF">
              <w:rPr>
                <w:lang w:val="it-IT"/>
              </w:rPr>
              <w:t>Pt-Sn</w:t>
            </w:r>
          </w:p>
        </w:tc>
        <w:tc>
          <w:tcPr>
            <w:tcW w:w="1417" w:type="dxa"/>
            <w:tcBorders>
              <w:top w:val="nil"/>
              <w:left w:val="nil"/>
              <w:bottom w:val="single" w:sz="4" w:space="0" w:color="auto"/>
              <w:right w:val="nil"/>
            </w:tcBorders>
            <w:vAlign w:val="center"/>
          </w:tcPr>
          <w:p w14:paraId="7E5519A2" w14:textId="77777777" w:rsidR="00247B61" w:rsidRPr="001558DF" w:rsidRDefault="00247B61" w:rsidP="00247B61">
            <w:pPr>
              <w:pStyle w:val="TCTableBody"/>
              <w:spacing w:after="0" w:line="276" w:lineRule="auto"/>
              <w:rPr>
                <w:lang w:val="it-IT"/>
              </w:rPr>
            </w:pPr>
            <w:r w:rsidRPr="001558DF">
              <w:rPr>
                <w:lang w:val="it-IT"/>
              </w:rPr>
              <w:t xml:space="preserve">1.22 </w:t>
            </w:r>
            <w:r w:rsidRPr="001558DF">
              <w:rPr>
                <w:lang w:val="de-DE"/>
              </w:rPr>
              <w:t>± 0.44</w:t>
            </w:r>
          </w:p>
        </w:tc>
        <w:tc>
          <w:tcPr>
            <w:tcW w:w="1560" w:type="dxa"/>
            <w:tcBorders>
              <w:top w:val="nil"/>
              <w:left w:val="nil"/>
              <w:bottom w:val="single" w:sz="4" w:space="0" w:color="auto"/>
              <w:right w:val="nil"/>
            </w:tcBorders>
            <w:vAlign w:val="center"/>
          </w:tcPr>
          <w:p w14:paraId="21C54C9F" w14:textId="77777777" w:rsidR="00247B61" w:rsidRPr="001558DF" w:rsidRDefault="00247B61" w:rsidP="00247B61">
            <w:pPr>
              <w:pStyle w:val="TCTableBody"/>
              <w:spacing w:after="0" w:line="276" w:lineRule="auto"/>
              <w:rPr>
                <w:lang w:val="it-IT"/>
              </w:rPr>
            </w:pPr>
            <w:r w:rsidRPr="001558DF">
              <w:rPr>
                <w:lang w:val="it-IT"/>
              </w:rPr>
              <w:t xml:space="preserve">2.793 </w:t>
            </w:r>
            <w:r w:rsidRPr="001558DF">
              <w:rPr>
                <w:lang w:val="de-DE"/>
              </w:rPr>
              <w:t>± 0.015</w:t>
            </w:r>
          </w:p>
        </w:tc>
        <w:tc>
          <w:tcPr>
            <w:tcW w:w="1147" w:type="dxa"/>
            <w:tcBorders>
              <w:top w:val="nil"/>
              <w:left w:val="nil"/>
              <w:bottom w:val="single" w:sz="4" w:space="0" w:color="auto"/>
              <w:right w:val="nil"/>
            </w:tcBorders>
            <w:vAlign w:val="center"/>
          </w:tcPr>
          <w:p w14:paraId="2919317A" w14:textId="77777777" w:rsidR="00247B61" w:rsidRPr="001558DF" w:rsidRDefault="00247B61" w:rsidP="00247B61">
            <w:pPr>
              <w:pStyle w:val="TCTableBody"/>
              <w:spacing w:after="0" w:line="276" w:lineRule="auto"/>
              <w:rPr>
                <w:lang w:val="it-IT"/>
              </w:rPr>
            </w:pPr>
            <w:r w:rsidRPr="001558DF">
              <w:rPr>
                <w:lang w:val="de-DE"/>
              </w:rPr>
              <w:t>129 ± 41</w:t>
            </w:r>
          </w:p>
        </w:tc>
        <w:tc>
          <w:tcPr>
            <w:tcW w:w="1262" w:type="dxa"/>
            <w:vMerge/>
            <w:tcBorders>
              <w:left w:val="nil"/>
              <w:bottom w:val="single" w:sz="4" w:space="0" w:color="auto"/>
              <w:right w:val="nil"/>
            </w:tcBorders>
            <w:vAlign w:val="center"/>
          </w:tcPr>
          <w:p w14:paraId="468BD443" w14:textId="77777777" w:rsidR="00247B61" w:rsidRPr="001558DF" w:rsidRDefault="00247B61" w:rsidP="00247B61">
            <w:pPr>
              <w:pStyle w:val="TCTableBody"/>
              <w:spacing w:after="0" w:line="276" w:lineRule="auto"/>
              <w:rPr>
                <w:lang w:val="it-IT"/>
              </w:rPr>
            </w:pPr>
          </w:p>
        </w:tc>
        <w:tc>
          <w:tcPr>
            <w:tcW w:w="851" w:type="dxa"/>
            <w:vMerge/>
            <w:tcBorders>
              <w:top w:val="nil"/>
              <w:left w:val="nil"/>
              <w:bottom w:val="nil"/>
              <w:right w:val="nil"/>
            </w:tcBorders>
            <w:vAlign w:val="center"/>
          </w:tcPr>
          <w:p w14:paraId="7D5AD7FE" w14:textId="77777777" w:rsidR="00247B61" w:rsidRPr="001558DF" w:rsidRDefault="00247B61" w:rsidP="00247B61">
            <w:pPr>
              <w:pStyle w:val="TCTableBody"/>
              <w:spacing w:after="0" w:line="276" w:lineRule="auto"/>
              <w:rPr>
                <w:lang w:val="it-IT"/>
              </w:rPr>
            </w:pPr>
          </w:p>
        </w:tc>
      </w:tr>
      <w:tr w:rsidR="00247B61" w:rsidRPr="001558DF" w14:paraId="3B4D1661"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vAlign w:val="center"/>
          </w:tcPr>
          <w:p w14:paraId="7487769B" w14:textId="77777777" w:rsidR="00247B61" w:rsidRPr="001558DF" w:rsidRDefault="00247B61" w:rsidP="00247B61">
            <w:pPr>
              <w:pStyle w:val="TCTableBody"/>
              <w:spacing w:after="0" w:line="276" w:lineRule="auto"/>
              <w:rPr>
                <w:lang w:val="it-IT"/>
              </w:rPr>
            </w:pPr>
          </w:p>
        </w:tc>
        <w:tc>
          <w:tcPr>
            <w:tcW w:w="1070" w:type="dxa"/>
            <w:vMerge/>
            <w:tcBorders>
              <w:top w:val="nil"/>
              <w:left w:val="nil"/>
              <w:bottom w:val="nil"/>
              <w:right w:val="nil"/>
            </w:tcBorders>
            <w:vAlign w:val="center"/>
          </w:tcPr>
          <w:p w14:paraId="0BDE08B4" w14:textId="77777777" w:rsidR="00247B61" w:rsidRPr="001558DF" w:rsidRDefault="00247B61" w:rsidP="00247B61">
            <w:pPr>
              <w:pStyle w:val="TCTableBody"/>
              <w:spacing w:after="0" w:line="276" w:lineRule="auto"/>
              <w:rPr>
                <w:lang w:val="it-IT"/>
              </w:rPr>
            </w:pPr>
          </w:p>
        </w:tc>
        <w:tc>
          <w:tcPr>
            <w:tcW w:w="773" w:type="dxa"/>
            <w:tcBorders>
              <w:top w:val="single" w:sz="4" w:space="0" w:color="auto"/>
              <w:left w:val="nil"/>
              <w:bottom w:val="nil"/>
              <w:right w:val="nil"/>
            </w:tcBorders>
            <w:vAlign w:val="center"/>
          </w:tcPr>
          <w:p w14:paraId="6000A68C" w14:textId="77777777" w:rsidR="00247B61" w:rsidRPr="001558DF" w:rsidRDefault="00247B61" w:rsidP="00247B61">
            <w:pPr>
              <w:pStyle w:val="TCTableBody"/>
              <w:spacing w:after="0" w:line="276" w:lineRule="auto"/>
              <w:rPr>
                <w:lang w:val="it-IT"/>
              </w:rPr>
            </w:pPr>
            <w:r w:rsidRPr="001558DF">
              <w:rPr>
                <w:lang w:val="it-IT"/>
              </w:rPr>
              <w:t>Sn-Pt</w:t>
            </w:r>
          </w:p>
        </w:tc>
        <w:tc>
          <w:tcPr>
            <w:tcW w:w="1417" w:type="dxa"/>
            <w:tcBorders>
              <w:top w:val="single" w:sz="4" w:space="0" w:color="auto"/>
              <w:left w:val="nil"/>
              <w:bottom w:val="nil"/>
              <w:right w:val="nil"/>
            </w:tcBorders>
            <w:vAlign w:val="center"/>
          </w:tcPr>
          <w:p w14:paraId="14023BCD" w14:textId="77777777" w:rsidR="00247B61" w:rsidRPr="001558DF" w:rsidRDefault="00247B61" w:rsidP="00247B61">
            <w:pPr>
              <w:pStyle w:val="TCTableBody"/>
              <w:spacing w:after="0" w:line="276" w:lineRule="auto"/>
              <w:rPr>
                <w:lang w:val="it-IT"/>
              </w:rPr>
            </w:pPr>
            <w:r w:rsidRPr="001558DF">
              <w:rPr>
                <w:lang w:val="it-IT"/>
              </w:rPr>
              <w:t xml:space="preserve">6.80 </w:t>
            </w:r>
            <w:r w:rsidRPr="001558DF">
              <w:rPr>
                <w:lang w:val="de-DE"/>
              </w:rPr>
              <w:t>± 2.98</w:t>
            </w:r>
          </w:p>
        </w:tc>
        <w:tc>
          <w:tcPr>
            <w:tcW w:w="1560" w:type="dxa"/>
            <w:tcBorders>
              <w:top w:val="single" w:sz="4" w:space="0" w:color="auto"/>
              <w:left w:val="nil"/>
              <w:bottom w:val="nil"/>
              <w:right w:val="nil"/>
            </w:tcBorders>
            <w:vAlign w:val="center"/>
          </w:tcPr>
          <w:p w14:paraId="34BCF360" w14:textId="77777777" w:rsidR="00247B61" w:rsidRPr="001558DF" w:rsidRDefault="00247B61" w:rsidP="00247B61">
            <w:pPr>
              <w:pStyle w:val="TCTableBody"/>
              <w:spacing w:after="0" w:line="276" w:lineRule="auto"/>
              <w:rPr>
                <w:lang w:val="it-IT"/>
              </w:rPr>
            </w:pPr>
            <w:r w:rsidRPr="001558DF">
              <w:rPr>
                <w:lang w:val="it-IT"/>
              </w:rPr>
              <w:t xml:space="preserve">2.793 </w:t>
            </w:r>
            <w:r w:rsidRPr="001558DF">
              <w:rPr>
                <w:lang w:val="de-DE"/>
              </w:rPr>
              <w:t>± 0.015</w:t>
            </w:r>
          </w:p>
        </w:tc>
        <w:tc>
          <w:tcPr>
            <w:tcW w:w="1147" w:type="dxa"/>
            <w:tcBorders>
              <w:top w:val="single" w:sz="4" w:space="0" w:color="auto"/>
              <w:left w:val="nil"/>
              <w:bottom w:val="nil"/>
              <w:right w:val="nil"/>
            </w:tcBorders>
            <w:vAlign w:val="center"/>
          </w:tcPr>
          <w:p w14:paraId="4FD183CA" w14:textId="77777777" w:rsidR="00247B61" w:rsidRPr="001558DF" w:rsidRDefault="00247B61" w:rsidP="00247B61">
            <w:pPr>
              <w:pStyle w:val="TCTableBody"/>
              <w:spacing w:after="0" w:line="276" w:lineRule="auto"/>
              <w:rPr>
                <w:lang w:val="it-IT"/>
              </w:rPr>
            </w:pPr>
            <w:r w:rsidRPr="001558DF">
              <w:rPr>
                <w:lang w:val="de-DE"/>
              </w:rPr>
              <w:t>129 ± 41</w:t>
            </w:r>
          </w:p>
        </w:tc>
        <w:tc>
          <w:tcPr>
            <w:tcW w:w="1262" w:type="dxa"/>
            <w:vMerge w:val="restart"/>
            <w:tcBorders>
              <w:top w:val="single" w:sz="4" w:space="0" w:color="auto"/>
              <w:left w:val="nil"/>
              <w:bottom w:val="nil"/>
              <w:right w:val="nil"/>
            </w:tcBorders>
            <w:vAlign w:val="center"/>
          </w:tcPr>
          <w:p w14:paraId="33B9B506" w14:textId="77777777" w:rsidR="00247B61" w:rsidRPr="001558DF" w:rsidRDefault="00247B61" w:rsidP="00247B61">
            <w:pPr>
              <w:pStyle w:val="TCTableBody"/>
              <w:spacing w:after="0" w:line="276" w:lineRule="auto"/>
              <w:rPr>
                <w:lang w:val="it-IT"/>
              </w:rPr>
            </w:pPr>
            <w:r w:rsidRPr="001558DF">
              <w:rPr>
                <w:lang w:val="de-DE"/>
              </w:rPr>
              <w:t>3.1 ± 2.4</w:t>
            </w:r>
          </w:p>
        </w:tc>
        <w:tc>
          <w:tcPr>
            <w:tcW w:w="851" w:type="dxa"/>
            <w:vMerge/>
            <w:tcBorders>
              <w:top w:val="nil"/>
              <w:left w:val="nil"/>
              <w:bottom w:val="nil"/>
              <w:right w:val="nil"/>
            </w:tcBorders>
            <w:vAlign w:val="center"/>
          </w:tcPr>
          <w:p w14:paraId="76627C72" w14:textId="77777777" w:rsidR="00247B61" w:rsidRPr="001558DF" w:rsidRDefault="00247B61" w:rsidP="00247B61">
            <w:pPr>
              <w:pStyle w:val="TCTableBody"/>
              <w:spacing w:after="0" w:line="276" w:lineRule="auto"/>
              <w:rPr>
                <w:lang w:val="it-IT"/>
              </w:rPr>
            </w:pPr>
          </w:p>
        </w:tc>
      </w:tr>
      <w:tr w:rsidR="00247B61" w:rsidRPr="001558DF" w14:paraId="5A9AA54F"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vAlign w:val="center"/>
          </w:tcPr>
          <w:p w14:paraId="17604F8C" w14:textId="77777777" w:rsidR="00247B61" w:rsidRPr="001558DF" w:rsidRDefault="00247B61" w:rsidP="00247B61">
            <w:pPr>
              <w:pStyle w:val="TCTableBody"/>
              <w:spacing w:after="0" w:line="276" w:lineRule="auto"/>
              <w:rPr>
                <w:lang w:val="it-IT"/>
              </w:rPr>
            </w:pPr>
          </w:p>
        </w:tc>
        <w:tc>
          <w:tcPr>
            <w:tcW w:w="1070" w:type="dxa"/>
            <w:vMerge/>
            <w:tcBorders>
              <w:top w:val="nil"/>
              <w:left w:val="nil"/>
              <w:bottom w:val="single" w:sz="4" w:space="0" w:color="auto"/>
              <w:right w:val="nil"/>
            </w:tcBorders>
            <w:vAlign w:val="center"/>
          </w:tcPr>
          <w:p w14:paraId="64D86C33" w14:textId="77777777" w:rsidR="00247B61" w:rsidRPr="001558DF" w:rsidRDefault="00247B61" w:rsidP="00247B61">
            <w:pPr>
              <w:pStyle w:val="TCTableBody"/>
              <w:spacing w:after="0" w:line="276" w:lineRule="auto"/>
              <w:rPr>
                <w:lang w:val="it-IT"/>
              </w:rPr>
            </w:pPr>
          </w:p>
        </w:tc>
        <w:tc>
          <w:tcPr>
            <w:tcW w:w="773" w:type="dxa"/>
            <w:tcBorders>
              <w:top w:val="nil"/>
              <w:left w:val="nil"/>
              <w:bottom w:val="single" w:sz="4" w:space="0" w:color="auto"/>
              <w:right w:val="nil"/>
            </w:tcBorders>
            <w:vAlign w:val="center"/>
          </w:tcPr>
          <w:p w14:paraId="5DBBBF29" w14:textId="77777777" w:rsidR="00247B61" w:rsidRPr="001558DF" w:rsidRDefault="00247B61" w:rsidP="00247B61">
            <w:pPr>
              <w:pStyle w:val="TCTableBody"/>
              <w:spacing w:after="0" w:line="276" w:lineRule="auto"/>
              <w:rPr>
                <w:lang w:val="it-IT"/>
              </w:rPr>
            </w:pPr>
            <w:r w:rsidRPr="001558DF">
              <w:rPr>
                <w:lang w:val="it-IT"/>
              </w:rPr>
              <w:t>Sn-O</w:t>
            </w:r>
          </w:p>
        </w:tc>
        <w:tc>
          <w:tcPr>
            <w:tcW w:w="1417" w:type="dxa"/>
            <w:tcBorders>
              <w:top w:val="nil"/>
              <w:left w:val="nil"/>
              <w:bottom w:val="single" w:sz="4" w:space="0" w:color="auto"/>
              <w:right w:val="nil"/>
            </w:tcBorders>
            <w:vAlign w:val="center"/>
          </w:tcPr>
          <w:p w14:paraId="06A1718C" w14:textId="77777777" w:rsidR="00247B61" w:rsidRPr="001558DF" w:rsidRDefault="00247B61" w:rsidP="00247B61">
            <w:pPr>
              <w:pStyle w:val="TCTableBody"/>
              <w:spacing w:after="0" w:line="276" w:lineRule="auto"/>
              <w:rPr>
                <w:lang w:val="it-IT"/>
              </w:rPr>
            </w:pPr>
            <w:r w:rsidRPr="001558DF">
              <w:rPr>
                <w:lang w:val="de-DE"/>
              </w:rPr>
              <w:t>3.67 ± 0.93</w:t>
            </w:r>
          </w:p>
        </w:tc>
        <w:tc>
          <w:tcPr>
            <w:tcW w:w="1560" w:type="dxa"/>
            <w:tcBorders>
              <w:top w:val="nil"/>
              <w:left w:val="nil"/>
              <w:bottom w:val="single" w:sz="4" w:space="0" w:color="auto"/>
              <w:right w:val="nil"/>
            </w:tcBorders>
            <w:vAlign w:val="center"/>
          </w:tcPr>
          <w:p w14:paraId="7A8DBFAD" w14:textId="77777777" w:rsidR="00247B61" w:rsidRPr="001558DF" w:rsidRDefault="00247B61" w:rsidP="00247B61">
            <w:pPr>
              <w:pStyle w:val="TCTableBody"/>
              <w:spacing w:after="0" w:line="276" w:lineRule="auto"/>
              <w:rPr>
                <w:lang w:val="it-IT"/>
              </w:rPr>
            </w:pPr>
            <w:r w:rsidRPr="001558DF">
              <w:rPr>
                <w:lang w:val="it-IT"/>
              </w:rPr>
              <w:t xml:space="preserve">2.041 </w:t>
            </w:r>
            <w:r w:rsidRPr="001558DF">
              <w:rPr>
                <w:lang w:val="de-DE"/>
              </w:rPr>
              <w:t>± 0.021</w:t>
            </w:r>
          </w:p>
        </w:tc>
        <w:tc>
          <w:tcPr>
            <w:tcW w:w="1147" w:type="dxa"/>
            <w:tcBorders>
              <w:top w:val="nil"/>
              <w:left w:val="nil"/>
              <w:bottom w:val="single" w:sz="4" w:space="0" w:color="auto"/>
              <w:right w:val="nil"/>
            </w:tcBorders>
            <w:vAlign w:val="center"/>
          </w:tcPr>
          <w:p w14:paraId="2AFF5C6A" w14:textId="77777777" w:rsidR="00247B61" w:rsidRPr="001558DF" w:rsidRDefault="00247B61" w:rsidP="00247B61">
            <w:pPr>
              <w:pStyle w:val="TCTableBody"/>
              <w:spacing w:after="0" w:line="276" w:lineRule="auto"/>
              <w:rPr>
                <w:lang w:val="it-IT"/>
              </w:rPr>
            </w:pPr>
            <w:r w:rsidRPr="001558DF">
              <w:rPr>
                <w:lang w:val="de-DE"/>
              </w:rPr>
              <w:t>49 ± 35</w:t>
            </w:r>
          </w:p>
        </w:tc>
        <w:tc>
          <w:tcPr>
            <w:tcW w:w="1262" w:type="dxa"/>
            <w:vMerge/>
            <w:tcBorders>
              <w:top w:val="nil"/>
              <w:left w:val="nil"/>
              <w:bottom w:val="single" w:sz="4" w:space="0" w:color="auto"/>
              <w:right w:val="nil"/>
            </w:tcBorders>
            <w:vAlign w:val="center"/>
          </w:tcPr>
          <w:p w14:paraId="21891F0F" w14:textId="77777777" w:rsidR="00247B61" w:rsidRPr="001558DF" w:rsidRDefault="00247B61" w:rsidP="00247B61">
            <w:pPr>
              <w:pStyle w:val="TCTableBody"/>
              <w:spacing w:after="0" w:line="276" w:lineRule="auto"/>
              <w:rPr>
                <w:lang w:val="it-IT"/>
              </w:rPr>
            </w:pPr>
          </w:p>
        </w:tc>
        <w:tc>
          <w:tcPr>
            <w:tcW w:w="851" w:type="dxa"/>
            <w:vMerge/>
            <w:tcBorders>
              <w:top w:val="nil"/>
              <w:left w:val="nil"/>
              <w:bottom w:val="single" w:sz="4" w:space="0" w:color="auto"/>
              <w:right w:val="nil"/>
            </w:tcBorders>
            <w:vAlign w:val="center"/>
          </w:tcPr>
          <w:p w14:paraId="2479400B" w14:textId="77777777" w:rsidR="00247B61" w:rsidRPr="001558DF" w:rsidRDefault="00247B61" w:rsidP="00247B61">
            <w:pPr>
              <w:pStyle w:val="TCTableBody"/>
              <w:spacing w:after="0" w:line="276" w:lineRule="auto"/>
              <w:rPr>
                <w:lang w:val="it-IT"/>
              </w:rPr>
            </w:pPr>
          </w:p>
        </w:tc>
      </w:tr>
      <w:tr w:rsidR="00247B61" w:rsidRPr="001558DF" w14:paraId="776B1006"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vAlign w:val="center"/>
          </w:tcPr>
          <w:p w14:paraId="79C4B431" w14:textId="77777777" w:rsidR="00247B61" w:rsidRPr="001558DF" w:rsidRDefault="00247B61" w:rsidP="00247B61">
            <w:pPr>
              <w:pStyle w:val="TCTableBody"/>
              <w:spacing w:after="0" w:line="276" w:lineRule="auto"/>
              <w:rPr>
                <w:lang w:val="it-IT"/>
              </w:rPr>
            </w:pPr>
          </w:p>
        </w:tc>
        <w:tc>
          <w:tcPr>
            <w:tcW w:w="1070" w:type="dxa"/>
            <w:vMerge w:val="restart"/>
            <w:tcBorders>
              <w:top w:val="single" w:sz="4" w:space="0" w:color="auto"/>
              <w:left w:val="nil"/>
              <w:bottom w:val="single" w:sz="8" w:space="0" w:color="auto"/>
              <w:right w:val="nil"/>
            </w:tcBorders>
            <w:vAlign w:val="center"/>
          </w:tcPr>
          <w:p w14:paraId="0A41BC9B" w14:textId="77777777" w:rsidR="00247B61" w:rsidRPr="001558DF" w:rsidRDefault="00247B61" w:rsidP="00247B61">
            <w:pPr>
              <w:pStyle w:val="TCTableBody"/>
              <w:spacing w:after="0" w:line="276" w:lineRule="auto"/>
              <w:rPr>
                <w:lang w:val="it-IT"/>
              </w:rPr>
            </w:pPr>
            <w:r w:rsidRPr="001558DF">
              <w:rPr>
                <w:lang w:val="it-IT"/>
              </w:rPr>
              <w:t>0.6 V</w:t>
            </w:r>
          </w:p>
        </w:tc>
        <w:tc>
          <w:tcPr>
            <w:tcW w:w="773" w:type="dxa"/>
            <w:tcBorders>
              <w:top w:val="single" w:sz="4" w:space="0" w:color="auto"/>
              <w:left w:val="nil"/>
              <w:bottom w:val="nil"/>
              <w:right w:val="nil"/>
            </w:tcBorders>
            <w:vAlign w:val="center"/>
          </w:tcPr>
          <w:p w14:paraId="16ED4314" w14:textId="77777777" w:rsidR="00247B61" w:rsidRPr="001558DF" w:rsidRDefault="00247B61" w:rsidP="00247B61">
            <w:pPr>
              <w:pStyle w:val="TCTableBody"/>
              <w:spacing w:after="0" w:line="276" w:lineRule="auto"/>
              <w:rPr>
                <w:lang w:val="it-IT"/>
              </w:rPr>
            </w:pPr>
            <w:r w:rsidRPr="001558DF">
              <w:rPr>
                <w:lang w:val="it-IT"/>
              </w:rPr>
              <w:t>Pt-Pt</w:t>
            </w:r>
          </w:p>
        </w:tc>
        <w:tc>
          <w:tcPr>
            <w:tcW w:w="1417" w:type="dxa"/>
            <w:tcBorders>
              <w:top w:val="single" w:sz="4" w:space="0" w:color="auto"/>
              <w:left w:val="nil"/>
              <w:bottom w:val="nil"/>
              <w:right w:val="nil"/>
            </w:tcBorders>
            <w:vAlign w:val="center"/>
          </w:tcPr>
          <w:p w14:paraId="273315A8" w14:textId="77777777" w:rsidR="00247B61" w:rsidRPr="001558DF" w:rsidRDefault="00247B61" w:rsidP="00247B61">
            <w:pPr>
              <w:pStyle w:val="TCTableBody"/>
              <w:spacing w:after="0" w:line="276" w:lineRule="auto"/>
            </w:pPr>
            <w:r w:rsidRPr="001558DF">
              <w:t xml:space="preserve">8.81 </w:t>
            </w:r>
            <w:r w:rsidRPr="001558DF">
              <w:rPr>
                <w:lang w:val="de-DE"/>
              </w:rPr>
              <w:t>± 0.65</w:t>
            </w:r>
          </w:p>
        </w:tc>
        <w:tc>
          <w:tcPr>
            <w:tcW w:w="1560" w:type="dxa"/>
            <w:tcBorders>
              <w:top w:val="single" w:sz="4" w:space="0" w:color="auto"/>
              <w:left w:val="nil"/>
              <w:bottom w:val="nil"/>
              <w:right w:val="nil"/>
            </w:tcBorders>
            <w:vAlign w:val="center"/>
          </w:tcPr>
          <w:p w14:paraId="6DD29B21" w14:textId="77777777" w:rsidR="00247B61" w:rsidRPr="001558DF" w:rsidRDefault="00247B61" w:rsidP="00247B61">
            <w:pPr>
              <w:pStyle w:val="TCTableBody"/>
              <w:spacing w:after="0" w:line="276" w:lineRule="auto"/>
            </w:pPr>
            <w:r w:rsidRPr="001558DF">
              <w:t xml:space="preserve">2.764 </w:t>
            </w:r>
            <w:r w:rsidRPr="001558DF">
              <w:rPr>
                <w:lang w:val="de-DE"/>
              </w:rPr>
              <w:t>± 0.005</w:t>
            </w:r>
          </w:p>
        </w:tc>
        <w:tc>
          <w:tcPr>
            <w:tcW w:w="1147" w:type="dxa"/>
            <w:tcBorders>
              <w:top w:val="single" w:sz="4" w:space="0" w:color="auto"/>
              <w:left w:val="nil"/>
              <w:bottom w:val="nil"/>
              <w:right w:val="nil"/>
            </w:tcBorders>
            <w:vAlign w:val="center"/>
          </w:tcPr>
          <w:p w14:paraId="43963DAB" w14:textId="77777777" w:rsidR="00247B61" w:rsidRPr="001558DF" w:rsidRDefault="00247B61" w:rsidP="00247B61">
            <w:pPr>
              <w:pStyle w:val="TCTableBody"/>
              <w:spacing w:after="0" w:line="276" w:lineRule="auto"/>
            </w:pPr>
            <w:r w:rsidRPr="001558DF">
              <w:rPr>
                <w:lang w:val="de-DE"/>
              </w:rPr>
              <w:t>68 ± 5</w:t>
            </w:r>
          </w:p>
        </w:tc>
        <w:tc>
          <w:tcPr>
            <w:tcW w:w="1262" w:type="dxa"/>
            <w:vMerge w:val="restart"/>
            <w:tcBorders>
              <w:top w:val="single" w:sz="4" w:space="0" w:color="auto"/>
              <w:left w:val="nil"/>
              <w:right w:val="nil"/>
            </w:tcBorders>
            <w:vAlign w:val="center"/>
          </w:tcPr>
          <w:p w14:paraId="75C8AC8C" w14:textId="77777777" w:rsidR="00247B61" w:rsidRPr="001558DF" w:rsidRDefault="00247B61" w:rsidP="00247B61">
            <w:pPr>
              <w:pStyle w:val="TCTableBody"/>
              <w:spacing w:after="0" w:line="276" w:lineRule="auto"/>
              <w:rPr>
                <w:lang w:val="it-IT"/>
              </w:rPr>
            </w:pPr>
            <w:r w:rsidRPr="001558DF">
              <w:rPr>
                <w:lang w:val="de-DE"/>
              </w:rPr>
              <w:t>6.1 ± 0.9</w:t>
            </w:r>
          </w:p>
        </w:tc>
        <w:tc>
          <w:tcPr>
            <w:tcW w:w="851" w:type="dxa"/>
            <w:vMerge w:val="restart"/>
            <w:tcBorders>
              <w:top w:val="single" w:sz="4" w:space="0" w:color="auto"/>
              <w:left w:val="nil"/>
              <w:bottom w:val="single" w:sz="8" w:space="0" w:color="auto"/>
              <w:right w:val="nil"/>
            </w:tcBorders>
            <w:vAlign w:val="center"/>
          </w:tcPr>
          <w:p w14:paraId="2E90787D" w14:textId="77777777" w:rsidR="00247B61" w:rsidRPr="001558DF" w:rsidRDefault="00247B61" w:rsidP="00247B61">
            <w:pPr>
              <w:pStyle w:val="TCTableBody"/>
              <w:spacing w:after="0" w:line="276" w:lineRule="auto"/>
              <w:rPr>
                <w:lang w:val="it-IT"/>
              </w:rPr>
            </w:pPr>
            <w:r w:rsidRPr="001558DF">
              <w:rPr>
                <w:lang w:val="it-IT"/>
              </w:rPr>
              <w:t>0.013</w:t>
            </w:r>
          </w:p>
        </w:tc>
      </w:tr>
      <w:tr w:rsidR="00247B61" w:rsidRPr="001558DF" w14:paraId="2137EB85"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vAlign w:val="center"/>
          </w:tcPr>
          <w:p w14:paraId="6152B45B" w14:textId="77777777" w:rsidR="00247B61" w:rsidRPr="001558DF" w:rsidRDefault="00247B61" w:rsidP="00247B61">
            <w:pPr>
              <w:pStyle w:val="TCTableBody"/>
              <w:spacing w:after="0" w:line="276" w:lineRule="auto"/>
              <w:rPr>
                <w:lang w:val="it-IT"/>
              </w:rPr>
            </w:pPr>
          </w:p>
        </w:tc>
        <w:tc>
          <w:tcPr>
            <w:tcW w:w="1070" w:type="dxa"/>
            <w:vMerge/>
            <w:tcBorders>
              <w:top w:val="nil"/>
              <w:left w:val="nil"/>
              <w:bottom w:val="single" w:sz="8" w:space="0" w:color="auto"/>
              <w:right w:val="nil"/>
            </w:tcBorders>
            <w:vAlign w:val="center"/>
          </w:tcPr>
          <w:p w14:paraId="3CDE02C4" w14:textId="77777777" w:rsidR="00247B61" w:rsidRPr="001558DF" w:rsidRDefault="00247B61" w:rsidP="00247B61">
            <w:pPr>
              <w:pStyle w:val="TCTableBody"/>
              <w:spacing w:after="0" w:line="276" w:lineRule="auto"/>
              <w:rPr>
                <w:lang w:val="it-IT"/>
              </w:rPr>
            </w:pPr>
          </w:p>
        </w:tc>
        <w:tc>
          <w:tcPr>
            <w:tcW w:w="773" w:type="dxa"/>
            <w:tcBorders>
              <w:top w:val="nil"/>
              <w:left w:val="nil"/>
              <w:bottom w:val="single" w:sz="4" w:space="0" w:color="auto"/>
              <w:right w:val="nil"/>
            </w:tcBorders>
            <w:vAlign w:val="center"/>
          </w:tcPr>
          <w:p w14:paraId="2C1CEEC6" w14:textId="77777777" w:rsidR="00247B61" w:rsidRPr="001558DF" w:rsidRDefault="00247B61" w:rsidP="00247B61">
            <w:pPr>
              <w:pStyle w:val="TCTableBody"/>
              <w:spacing w:after="0" w:line="276" w:lineRule="auto"/>
              <w:rPr>
                <w:lang w:val="it-IT"/>
              </w:rPr>
            </w:pPr>
            <w:r w:rsidRPr="001558DF">
              <w:rPr>
                <w:lang w:val="it-IT"/>
              </w:rPr>
              <w:t>Pt-Sn</w:t>
            </w:r>
          </w:p>
        </w:tc>
        <w:tc>
          <w:tcPr>
            <w:tcW w:w="1417" w:type="dxa"/>
            <w:tcBorders>
              <w:top w:val="nil"/>
              <w:left w:val="nil"/>
              <w:bottom w:val="single" w:sz="4" w:space="0" w:color="auto"/>
              <w:right w:val="nil"/>
            </w:tcBorders>
            <w:vAlign w:val="center"/>
          </w:tcPr>
          <w:p w14:paraId="6D00E609" w14:textId="77777777" w:rsidR="00247B61" w:rsidRPr="001558DF" w:rsidRDefault="00247B61" w:rsidP="00247B61">
            <w:pPr>
              <w:pStyle w:val="TCTableBody"/>
              <w:spacing w:after="0" w:line="276" w:lineRule="auto"/>
              <w:rPr>
                <w:lang w:val="it-IT"/>
              </w:rPr>
            </w:pPr>
            <w:r w:rsidRPr="001558DF">
              <w:rPr>
                <w:lang w:val="it-IT"/>
              </w:rPr>
              <w:t xml:space="preserve">1.35 </w:t>
            </w:r>
            <w:r w:rsidRPr="001558DF">
              <w:rPr>
                <w:lang w:val="de-DE"/>
              </w:rPr>
              <w:t>± 0.78</w:t>
            </w:r>
          </w:p>
        </w:tc>
        <w:tc>
          <w:tcPr>
            <w:tcW w:w="1560" w:type="dxa"/>
            <w:tcBorders>
              <w:top w:val="nil"/>
              <w:left w:val="nil"/>
              <w:bottom w:val="single" w:sz="4" w:space="0" w:color="auto"/>
              <w:right w:val="nil"/>
            </w:tcBorders>
            <w:vAlign w:val="center"/>
          </w:tcPr>
          <w:p w14:paraId="5685EBBE" w14:textId="77777777" w:rsidR="00247B61" w:rsidRPr="001558DF" w:rsidRDefault="00247B61" w:rsidP="00247B61">
            <w:pPr>
              <w:pStyle w:val="TCTableBody"/>
              <w:spacing w:after="0" w:line="276" w:lineRule="auto"/>
              <w:rPr>
                <w:lang w:val="it-IT"/>
              </w:rPr>
            </w:pPr>
            <w:r w:rsidRPr="001558DF">
              <w:rPr>
                <w:lang w:val="it-IT"/>
              </w:rPr>
              <w:t xml:space="preserve">2.784 </w:t>
            </w:r>
            <w:r w:rsidRPr="001558DF">
              <w:rPr>
                <w:lang w:val="de-DE"/>
              </w:rPr>
              <w:t>± 0.024</w:t>
            </w:r>
          </w:p>
        </w:tc>
        <w:tc>
          <w:tcPr>
            <w:tcW w:w="1147" w:type="dxa"/>
            <w:tcBorders>
              <w:top w:val="nil"/>
              <w:left w:val="nil"/>
              <w:bottom w:val="single" w:sz="4" w:space="0" w:color="auto"/>
              <w:right w:val="nil"/>
            </w:tcBorders>
            <w:vAlign w:val="center"/>
          </w:tcPr>
          <w:p w14:paraId="6AB1B741" w14:textId="77777777" w:rsidR="00247B61" w:rsidRPr="001558DF" w:rsidRDefault="00247B61" w:rsidP="00247B61">
            <w:pPr>
              <w:pStyle w:val="TCTableBody"/>
              <w:spacing w:after="0" w:line="276" w:lineRule="auto"/>
              <w:rPr>
                <w:lang w:val="it-IT"/>
              </w:rPr>
            </w:pPr>
            <w:r w:rsidRPr="001558DF">
              <w:rPr>
                <w:lang w:val="de-DE"/>
              </w:rPr>
              <w:t>119 ± 63</w:t>
            </w:r>
          </w:p>
        </w:tc>
        <w:tc>
          <w:tcPr>
            <w:tcW w:w="1262" w:type="dxa"/>
            <w:vMerge/>
            <w:tcBorders>
              <w:left w:val="nil"/>
              <w:bottom w:val="single" w:sz="4" w:space="0" w:color="auto"/>
              <w:right w:val="nil"/>
            </w:tcBorders>
            <w:vAlign w:val="center"/>
          </w:tcPr>
          <w:p w14:paraId="3ED033A5" w14:textId="77777777" w:rsidR="00247B61" w:rsidRPr="001558DF" w:rsidRDefault="00247B61" w:rsidP="00247B61">
            <w:pPr>
              <w:pStyle w:val="TCTableBody"/>
              <w:spacing w:after="0" w:line="276" w:lineRule="auto"/>
              <w:rPr>
                <w:lang w:val="it-IT"/>
              </w:rPr>
            </w:pPr>
          </w:p>
        </w:tc>
        <w:tc>
          <w:tcPr>
            <w:tcW w:w="851" w:type="dxa"/>
            <w:vMerge/>
            <w:tcBorders>
              <w:top w:val="nil"/>
              <w:left w:val="nil"/>
              <w:bottom w:val="single" w:sz="8" w:space="0" w:color="auto"/>
              <w:right w:val="nil"/>
            </w:tcBorders>
          </w:tcPr>
          <w:p w14:paraId="545A2485" w14:textId="77777777" w:rsidR="00247B61" w:rsidRPr="001558DF" w:rsidRDefault="00247B61" w:rsidP="00247B61">
            <w:pPr>
              <w:pStyle w:val="TCTableBody"/>
              <w:spacing w:after="0" w:line="276" w:lineRule="auto"/>
              <w:rPr>
                <w:lang w:val="it-IT"/>
              </w:rPr>
            </w:pPr>
          </w:p>
        </w:tc>
      </w:tr>
      <w:tr w:rsidR="00247B61" w:rsidRPr="001558DF" w14:paraId="7EEE9CE8"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vAlign w:val="center"/>
          </w:tcPr>
          <w:p w14:paraId="795301B0" w14:textId="77777777" w:rsidR="00247B61" w:rsidRPr="001558DF" w:rsidRDefault="00247B61" w:rsidP="00247B61">
            <w:pPr>
              <w:pStyle w:val="TCTableBody"/>
              <w:spacing w:after="0" w:line="276" w:lineRule="auto"/>
              <w:rPr>
                <w:lang w:val="it-IT"/>
              </w:rPr>
            </w:pPr>
          </w:p>
        </w:tc>
        <w:tc>
          <w:tcPr>
            <w:tcW w:w="1070" w:type="dxa"/>
            <w:vMerge/>
            <w:tcBorders>
              <w:top w:val="nil"/>
              <w:left w:val="nil"/>
              <w:bottom w:val="single" w:sz="8" w:space="0" w:color="auto"/>
              <w:right w:val="nil"/>
            </w:tcBorders>
            <w:vAlign w:val="center"/>
          </w:tcPr>
          <w:p w14:paraId="0074BBDF" w14:textId="77777777" w:rsidR="00247B61" w:rsidRPr="001558DF" w:rsidRDefault="00247B61" w:rsidP="00247B61">
            <w:pPr>
              <w:pStyle w:val="TCTableBody"/>
              <w:spacing w:after="0" w:line="276" w:lineRule="auto"/>
              <w:rPr>
                <w:lang w:val="it-IT"/>
              </w:rPr>
            </w:pPr>
          </w:p>
        </w:tc>
        <w:tc>
          <w:tcPr>
            <w:tcW w:w="773" w:type="dxa"/>
            <w:tcBorders>
              <w:top w:val="single" w:sz="4" w:space="0" w:color="auto"/>
              <w:left w:val="nil"/>
              <w:bottom w:val="nil"/>
              <w:right w:val="nil"/>
            </w:tcBorders>
            <w:vAlign w:val="center"/>
          </w:tcPr>
          <w:p w14:paraId="195801F4" w14:textId="77777777" w:rsidR="00247B61" w:rsidRPr="001558DF" w:rsidRDefault="00247B61" w:rsidP="00247B61">
            <w:pPr>
              <w:pStyle w:val="TCTableBody"/>
              <w:spacing w:after="0" w:line="276" w:lineRule="auto"/>
              <w:rPr>
                <w:lang w:val="it-IT"/>
              </w:rPr>
            </w:pPr>
            <w:r w:rsidRPr="001558DF">
              <w:rPr>
                <w:lang w:val="it-IT"/>
              </w:rPr>
              <w:t>Sn-Pt</w:t>
            </w:r>
          </w:p>
        </w:tc>
        <w:tc>
          <w:tcPr>
            <w:tcW w:w="1417" w:type="dxa"/>
            <w:tcBorders>
              <w:top w:val="single" w:sz="4" w:space="0" w:color="auto"/>
              <w:left w:val="nil"/>
              <w:bottom w:val="nil"/>
              <w:right w:val="nil"/>
            </w:tcBorders>
            <w:vAlign w:val="center"/>
          </w:tcPr>
          <w:p w14:paraId="604F99FF" w14:textId="77777777" w:rsidR="00247B61" w:rsidRPr="001558DF" w:rsidRDefault="00247B61" w:rsidP="00247B61">
            <w:pPr>
              <w:pStyle w:val="TCTableBody"/>
              <w:spacing w:after="0" w:line="276" w:lineRule="auto"/>
              <w:rPr>
                <w:lang w:val="it-IT"/>
              </w:rPr>
            </w:pPr>
            <w:r w:rsidRPr="001558DF">
              <w:rPr>
                <w:lang w:val="it-IT"/>
              </w:rPr>
              <w:t xml:space="preserve">6.98 </w:t>
            </w:r>
            <w:r w:rsidRPr="001558DF">
              <w:rPr>
                <w:lang w:val="de-DE"/>
              </w:rPr>
              <w:t>± 4.90</w:t>
            </w:r>
          </w:p>
        </w:tc>
        <w:tc>
          <w:tcPr>
            <w:tcW w:w="1560" w:type="dxa"/>
            <w:tcBorders>
              <w:top w:val="single" w:sz="4" w:space="0" w:color="auto"/>
              <w:left w:val="nil"/>
              <w:bottom w:val="nil"/>
              <w:right w:val="nil"/>
            </w:tcBorders>
            <w:vAlign w:val="center"/>
          </w:tcPr>
          <w:p w14:paraId="68D3C55B" w14:textId="77777777" w:rsidR="00247B61" w:rsidRPr="001558DF" w:rsidRDefault="00247B61" w:rsidP="00247B61">
            <w:pPr>
              <w:pStyle w:val="TCTableBody"/>
              <w:spacing w:after="0" w:line="276" w:lineRule="auto"/>
              <w:rPr>
                <w:lang w:val="it-IT"/>
              </w:rPr>
            </w:pPr>
            <w:r w:rsidRPr="001558DF">
              <w:rPr>
                <w:lang w:val="it-IT"/>
              </w:rPr>
              <w:t xml:space="preserve">2.784 </w:t>
            </w:r>
            <w:r w:rsidRPr="001558DF">
              <w:rPr>
                <w:lang w:val="de-DE"/>
              </w:rPr>
              <w:t>± 0.024</w:t>
            </w:r>
          </w:p>
        </w:tc>
        <w:tc>
          <w:tcPr>
            <w:tcW w:w="1147" w:type="dxa"/>
            <w:tcBorders>
              <w:top w:val="single" w:sz="4" w:space="0" w:color="auto"/>
              <w:left w:val="nil"/>
              <w:bottom w:val="nil"/>
              <w:right w:val="nil"/>
            </w:tcBorders>
            <w:vAlign w:val="center"/>
          </w:tcPr>
          <w:p w14:paraId="1F472401" w14:textId="77777777" w:rsidR="00247B61" w:rsidRPr="001558DF" w:rsidRDefault="00247B61" w:rsidP="00247B61">
            <w:pPr>
              <w:pStyle w:val="TCTableBody"/>
              <w:spacing w:after="0" w:line="276" w:lineRule="auto"/>
              <w:rPr>
                <w:lang w:val="it-IT"/>
              </w:rPr>
            </w:pPr>
            <w:r w:rsidRPr="001558DF">
              <w:rPr>
                <w:lang w:val="de-DE"/>
              </w:rPr>
              <w:t>119 ± 63</w:t>
            </w:r>
          </w:p>
        </w:tc>
        <w:tc>
          <w:tcPr>
            <w:tcW w:w="1262" w:type="dxa"/>
            <w:vMerge w:val="restart"/>
            <w:tcBorders>
              <w:top w:val="single" w:sz="4" w:space="0" w:color="auto"/>
              <w:left w:val="nil"/>
              <w:bottom w:val="single" w:sz="8" w:space="0" w:color="auto"/>
              <w:right w:val="nil"/>
            </w:tcBorders>
            <w:vAlign w:val="center"/>
          </w:tcPr>
          <w:p w14:paraId="073CFC14" w14:textId="77777777" w:rsidR="00247B61" w:rsidRPr="001558DF" w:rsidRDefault="00247B61" w:rsidP="00247B61">
            <w:pPr>
              <w:pStyle w:val="TCTableBody"/>
              <w:spacing w:after="0" w:line="276" w:lineRule="auto"/>
              <w:rPr>
                <w:lang w:val="it-IT"/>
              </w:rPr>
            </w:pPr>
            <w:r w:rsidRPr="001558DF">
              <w:rPr>
                <w:lang w:val="de-DE"/>
              </w:rPr>
              <w:t>3.8 ± 1.0</w:t>
            </w:r>
          </w:p>
        </w:tc>
        <w:tc>
          <w:tcPr>
            <w:tcW w:w="851" w:type="dxa"/>
            <w:vMerge/>
            <w:tcBorders>
              <w:top w:val="nil"/>
              <w:left w:val="nil"/>
              <w:bottom w:val="single" w:sz="8" w:space="0" w:color="auto"/>
              <w:right w:val="nil"/>
            </w:tcBorders>
          </w:tcPr>
          <w:p w14:paraId="499F4A35" w14:textId="77777777" w:rsidR="00247B61" w:rsidRPr="001558DF" w:rsidRDefault="00247B61" w:rsidP="00247B61">
            <w:pPr>
              <w:pStyle w:val="TCTableBody"/>
              <w:spacing w:after="0" w:line="276" w:lineRule="auto"/>
              <w:rPr>
                <w:lang w:val="it-IT"/>
              </w:rPr>
            </w:pPr>
          </w:p>
        </w:tc>
      </w:tr>
      <w:tr w:rsidR="00247B61" w:rsidRPr="001558DF" w14:paraId="380292C8" w14:textId="77777777" w:rsidTr="000B2B07">
        <w:tblPrEx>
          <w:tblBorders>
            <w:top w:val="none" w:sz="0" w:space="0" w:color="auto"/>
            <w:bottom w:val="none" w:sz="0" w:space="0" w:color="auto"/>
          </w:tblBorders>
        </w:tblPrEx>
        <w:tc>
          <w:tcPr>
            <w:tcW w:w="1276" w:type="dxa"/>
            <w:vMerge/>
            <w:tcBorders>
              <w:top w:val="nil"/>
              <w:left w:val="nil"/>
              <w:bottom w:val="single" w:sz="8" w:space="0" w:color="auto"/>
              <w:right w:val="nil"/>
            </w:tcBorders>
          </w:tcPr>
          <w:p w14:paraId="23065F54" w14:textId="77777777" w:rsidR="00247B61" w:rsidRPr="001558DF" w:rsidRDefault="00247B61" w:rsidP="00247B61">
            <w:pPr>
              <w:pStyle w:val="TCTableBody"/>
              <w:spacing w:after="0" w:line="276" w:lineRule="auto"/>
              <w:rPr>
                <w:lang w:val="it-IT"/>
              </w:rPr>
            </w:pPr>
          </w:p>
        </w:tc>
        <w:tc>
          <w:tcPr>
            <w:tcW w:w="1070" w:type="dxa"/>
            <w:vMerge/>
            <w:tcBorders>
              <w:top w:val="nil"/>
              <w:left w:val="nil"/>
              <w:bottom w:val="single" w:sz="8" w:space="0" w:color="auto"/>
              <w:right w:val="nil"/>
            </w:tcBorders>
          </w:tcPr>
          <w:p w14:paraId="4683D456" w14:textId="77777777" w:rsidR="00247B61" w:rsidRPr="001558DF" w:rsidRDefault="00247B61" w:rsidP="00247B61">
            <w:pPr>
              <w:pStyle w:val="TCTableBody"/>
              <w:spacing w:after="0" w:line="276" w:lineRule="auto"/>
              <w:rPr>
                <w:lang w:val="it-IT"/>
              </w:rPr>
            </w:pPr>
          </w:p>
        </w:tc>
        <w:tc>
          <w:tcPr>
            <w:tcW w:w="773" w:type="dxa"/>
            <w:tcBorders>
              <w:top w:val="nil"/>
              <w:left w:val="nil"/>
              <w:bottom w:val="single" w:sz="8" w:space="0" w:color="auto"/>
              <w:right w:val="nil"/>
            </w:tcBorders>
          </w:tcPr>
          <w:p w14:paraId="4A75B145" w14:textId="77777777" w:rsidR="00247B61" w:rsidRPr="001558DF" w:rsidRDefault="00247B61" w:rsidP="00247B61">
            <w:pPr>
              <w:pStyle w:val="TCTableBody"/>
              <w:spacing w:after="0" w:line="276" w:lineRule="auto"/>
              <w:rPr>
                <w:lang w:val="it-IT"/>
              </w:rPr>
            </w:pPr>
            <w:r w:rsidRPr="001558DF">
              <w:rPr>
                <w:lang w:val="it-IT"/>
              </w:rPr>
              <w:t>Sn-O</w:t>
            </w:r>
          </w:p>
        </w:tc>
        <w:tc>
          <w:tcPr>
            <w:tcW w:w="1417" w:type="dxa"/>
            <w:tcBorders>
              <w:top w:val="nil"/>
              <w:left w:val="nil"/>
              <w:bottom w:val="single" w:sz="8" w:space="0" w:color="auto"/>
              <w:right w:val="nil"/>
            </w:tcBorders>
            <w:vAlign w:val="center"/>
          </w:tcPr>
          <w:p w14:paraId="201E8F97" w14:textId="77777777" w:rsidR="00247B61" w:rsidRPr="001558DF" w:rsidRDefault="00247B61" w:rsidP="00247B61">
            <w:pPr>
              <w:pStyle w:val="TCTableBody"/>
              <w:spacing w:after="0" w:line="276" w:lineRule="auto"/>
              <w:rPr>
                <w:lang w:val="it-IT"/>
              </w:rPr>
            </w:pPr>
            <w:r w:rsidRPr="001558DF">
              <w:rPr>
                <w:lang w:val="de-DE"/>
              </w:rPr>
              <w:t>3.17 ± 1.46</w:t>
            </w:r>
          </w:p>
        </w:tc>
        <w:tc>
          <w:tcPr>
            <w:tcW w:w="1560" w:type="dxa"/>
            <w:tcBorders>
              <w:top w:val="nil"/>
              <w:left w:val="nil"/>
              <w:bottom w:val="single" w:sz="8" w:space="0" w:color="auto"/>
              <w:right w:val="nil"/>
            </w:tcBorders>
            <w:vAlign w:val="center"/>
          </w:tcPr>
          <w:p w14:paraId="4F77606E" w14:textId="77777777" w:rsidR="00247B61" w:rsidRPr="001558DF" w:rsidRDefault="00247B61" w:rsidP="00247B61">
            <w:pPr>
              <w:pStyle w:val="TCTableBody"/>
              <w:spacing w:after="0" w:line="276" w:lineRule="auto"/>
            </w:pPr>
            <w:r w:rsidRPr="001558DF">
              <w:rPr>
                <w:lang w:val="it-IT"/>
              </w:rPr>
              <w:t xml:space="preserve">2.030 </w:t>
            </w:r>
            <w:r w:rsidRPr="001558DF">
              <w:rPr>
                <w:lang w:val="de-DE"/>
              </w:rPr>
              <w:t>± 0.033</w:t>
            </w:r>
          </w:p>
        </w:tc>
        <w:tc>
          <w:tcPr>
            <w:tcW w:w="1147" w:type="dxa"/>
            <w:tcBorders>
              <w:top w:val="nil"/>
              <w:left w:val="nil"/>
              <w:bottom w:val="single" w:sz="8" w:space="0" w:color="auto"/>
              <w:right w:val="nil"/>
            </w:tcBorders>
            <w:vAlign w:val="center"/>
          </w:tcPr>
          <w:p w14:paraId="31BB4E3A" w14:textId="77777777" w:rsidR="00247B61" w:rsidRPr="001558DF" w:rsidRDefault="00247B61" w:rsidP="00247B61">
            <w:pPr>
              <w:pStyle w:val="TCTableBody"/>
              <w:spacing w:after="0" w:line="276" w:lineRule="auto"/>
            </w:pPr>
            <w:r w:rsidRPr="001558DF">
              <w:rPr>
                <w:lang w:val="de-DE"/>
              </w:rPr>
              <w:t>39 ± 6</w:t>
            </w:r>
          </w:p>
        </w:tc>
        <w:tc>
          <w:tcPr>
            <w:tcW w:w="1262" w:type="dxa"/>
            <w:vMerge/>
            <w:tcBorders>
              <w:top w:val="nil"/>
              <w:left w:val="nil"/>
              <w:bottom w:val="single" w:sz="8" w:space="0" w:color="auto"/>
              <w:right w:val="nil"/>
            </w:tcBorders>
          </w:tcPr>
          <w:p w14:paraId="79B4E0FB" w14:textId="77777777" w:rsidR="00247B61" w:rsidRPr="001558DF" w:rsidRDefault="00247B61" w:rsidP="00247B61">
            <w:pPr>
              <w:pStyle w:val="TCTableBody"/>
              <w:spacing w:after="0" w:line="276" w:lineRule="auto"/>
            </w:pPr>
          </w:p>
        </w:tc>
        <w:tc>
          <w:tcPr>
            <w:tcW w:w="851" w:type="dxa"/>
            <w:vMerge/>
            <w:tcBorders>
              <w:top w:val="nil"/>
              <w:left w:val="nil"/>
              <w:bottom w:val="single" w:sz="8" w:space="0" w:color="auto"/>
              <w:right w:val="nil"/>
            </w:tcBorders>
          </w:tcPr>
          <w:p w14:paraId="2B27FC30" w14:textId="77777777" w:rsidR="00247B61" w:rsidRPr="001558DF" w:rsidRDefault="00247B61" w:rsidP="00247B61">
            <w:pPr>
              <w:pStyle w:val="TCTableBody"/>
              <w:spacing w:after="0" w:line="276" w:lineRule="auto"/>
            </w:pPr>
          </w:p>
        </w:tc>
      </w:tr>
    </w:tbl>
    <w:p w14:paraId="55C5D839" w14:textId="77777777" w:rsidR="00247B61" w:rsidRPr="001558DF" w:rsidRDefault="00247B61" w:rsidP="00247B61">
      <w:pPr>
        <w:pStyle w:val="TAMainText"/>
        <w:spacing w:line="240" w:lineRule="auto"/>
        <w:rPr>
          <w:bCs/>
        </w:rPr>
      </w:pPr>
    </w:p>
    <w:p w14:paraId="053C8A09" w14:textId="77777777" w:rsidR="00247B61" w:rsidRPr="001558DF" w:rsidRDefault="00247B61" w:rsidP="00247B61"/>
    <w:p w14:paraId="2912F26D" w14:textId="77777777" w:rsidR="00247B61" w:rsidRPr="001558DF" w:rsidRDefault="00247B61" w:rsidP="00247B61"/>
    <w:p w14:paraId="597E122C" w14:textId="77777777" w:rsidR="00247B61" w:rsidRPr="001558DF" w:rsidRDefault="00247B61" w:rsidP="00247B61">
      <w:pPr>
        <w:pStyle w:val="VDTableTitle"/>
      </w:pPr>
      <w:proofErr w:type="gramStart"/>
      <w:r w:rsidRPr="001558DF">
        <w:rPr>
          <w:rFonts w:asciiTheme="majorBidi" w:hAnsiTheme="majorBidi" w:cstheme="majorBidi"/>
        </w:rPr>
        <w:t>Table 3.</w:t>
      </w:r>
      <w:proofErr w:type="gramEnd"/>
      <w:r w:rsidRPr="001558DF">
        <w:rPr>
          <w:rFonts w:asciiTheme="majorBidi" w:hAnsiTheme="majorBidi" w:cstheme="majorBidi"/>
        </w:rPr>
        <w:t xml:space="preserve"> </w:t>
      </w:r>
      <w:r w:rsidRPr="001558DF">
        <w:t>Structural parameters obtained for the aged Pt-Sn materials supported on carbon from fitting the Pt L</w:t>
      </w:r>
      <w:r w:rsidRPr="001558DF">
        <w:rPr>
          <w:vertAlign w:val="subscript"/>
        </w:rPr>
        <w:t>3</w:t>
      </w:r>
      <w:r w:rsidRPr="001558DF">
        <w:t xml:space="preserve"> and Sn K edge EXAFS data acquired at 0.2 V in 0.5 M H</w:t>
      </w:r>
      <w:r w:rsidRPr="001558DF">
        <w:rPr>
          <w:vertAlign w:val="subscript"/>
        </w:rPr>
        <w:t>2</w:t>
      </w:r>
      <w:r w:rsidRPr="001558DF">
        <w:t>SO</w:t>
      </w:r>
      <w:r w:rsidRPr="001558DF">
        <w:rPr>
          <w:vertAlign w:val="subscript"/>
        </w:rPr>
        <w:t>4</w:t>
      </w:r>
      <w:r w:rsidRPr="001558DF">
        <w:t>. For the Pt</w:t>
      </w:r>
      <w:r w:rsidRPr="001558DF">
        <w:rPr>
          <w:vertAlign w:val="subscript"/>
        </w:rPr>
        <w:t>3</w:t>
      </w:r>
      <w:r w:rsidRPr="001558DF">
        <w:t>Sn</w:t>
      </w:r>
      <w:r w:rsidRPr="001558DF">
        <w:rPr>
          <w:vertAlign w:val="subscript"/>
        </w:rPr>
        <w:t>1</w:t>
      </w:r>
      <w:r w:rsidRPr="001558DF">
        <w:t xml:space="preserve">/C sample, both edges were fitted simultaneously. </w:t>
      </w:r>
    </w:p>
    <w:tbl>
      <w:tblPr>
        <w:tblW w:w="0" w:type="auto"/>
        <w:tblLook w:val="04A0" w:firstRow="1" w:lastRow="0" w:firstColumn="1" w:lastColumn="0" w:noHBand="0" w:noVBand="1"/>
      </w:tblPr>
      <w:tblGrid>
        <w:gridCol w:w="1242"/>
        <w:gridCol w:w="993"/>
        <w:gridCol w:w="1498"/>
        <w:gridCol w:w="1843"/>
        <w:gridCol w:w="1417"/>
        <w:gridCol w:w="1276"/>
        <w:gridCol w:w="952"/>
      </w:tblGrid>
      <w:tr w:rsidR="00247B61" w:rsidRPr="001558DF" w14:paraId="077D9A1B" w14:textId="77777777" w:rsidTr="000B2B07">
        <w:tc>
          <w:tcPr>
            <w:tcW w:w="1242" w:type="dxa"/>
            <w:tcBorders>
              <w:top w:val="single" w:sz="4" w:space="0" w:color="auto"/>
              <w:left w:val="nil"/>
              <w:bottom w:val="single" w:sz="4" w:space="0" w:color="auto"/>
              <w:right w:val="nil"/>
            </w:tcBorders>
          </w:tcPr>
          <w:p w14:paraId="548C0437" w14:textId="77777777" w:rsidR="00247B61" w:rsidRPr="001558DF" w:rsidRDefault="00247B61" w:rsidP="000B2B07">
            <w:pPr>
              <w:pStyle w:val="TCTableBody"/>
              <w:spacing w:after="0" w:line="360" w:lineRule="auto"/>
            </w:pPr>
            <w:r w:rsidRPr="001558DF">
              <w:t>Sample</w:t>
            </w:r>
          </w:p>
        </w:tc>
        <w:tc>
          <w:tcPr>
            <w:tcW w:w="993" w:type="dxa"/>
            <w:tcBorders>
              <w:top w:val="single" w:sz="4" w:space="0" w:color="auto"/>
              <w:left w:val="nil"/>
              <w:bottom w:val="single" w:sz="4" w:space="0" w:color="auto"/>
              <w:right w:val="nil"/>
            </w:tcBorders>
          </w:tcPr>
          <w:p w14:paraId="1A8A90D8" w14:textId="77777777" w:rsidR="00247B61" w:rsidRPr="001558DF" w:rsidRDefault="00247B61" w:rsidP="000B2B07">
            <w:pPr>
              <w:pStyle w:val="TCTableBody"/>
              <w:spacing w:after="0" w:line="360" w:lineRule="auto"/>
            </w:pPr>
            <w:r w:rsidRPr="001558DF">
              <w:t>Shell</w:t>
            </w:r>
          </w:p>
        </w:tc>
        <w:tc>
          <w:tcPr>
            <w:tcW w:w="1498" w:type="dxa"/>
            <w:tcBorders>
              <w:top w:val="single" w:sz="4" w:space="0" w:color="auto"/>
              <w:left w:val="nil"/>
              <w:bottom w:val="single" w:sz="4" w:space="0" w:color="auto"/>
              <w:right w:val="nil"/>
            </w:tcBorders>
          </w:tcPr>
          <w:p w14:paraId="50E3604C" w14:textId="77777777" w:rsidR="00247B61" w:rsidRPr="001558DF" w:rsidRDefault="00247B61" w:rsidP="000B2B07">
            <w:pPr>
              <w:pStyle w:val="TCTableBody"/>
              <w:spacing w:after="0" w:line="360" w:lineRule="auto"/>
            </w:pPr>
            <w:r w:rsidRPr="001558DF">
              <w:t>N</w:t>
            </w:r>
          </w:p>
        </w:tc>
        <w:tc>
          <w:tcPr>
            <w:tcW w:w="1843" w:type="dxa"/>
            <w:tcBorders>
              <w:top w:val="single" w:sz="4" w:space="0" w:color="auto"/>
              <w:left w:val="nil"/>
              <w:bottom w:val="single" w:sz="4" w:space="0" w:color="auto"/>
              <w:right w:val="nil"/>
            </w:tcBorders>
          </w:tcPr>
          <w:p w14:paraId="3DF2156E" w14:textId="77777777" w:rsidR="00247B61" w:rsidRPr="001558DF" w:rsidRDefault="00247B61" w:rsidP="000B2B07">
            <w:pPr>
              <w:pStyle w:val="TCTableBody"/>
              <w:spacing w:after="0" w:line="360" w:lineRule="auto"/>
            </w:pPr>
            <w:r w:rsidRPr="001558DF">
              <w:t>R/Å</w:t>
            </w:r>
          </w:p>
        </w:tc>
        <w:tc>
          <w:tcPr>
            <w:tcW w:w="1417" w:type="dxa"/>
            <w:tcBorders>
              <w:top w:val="single" w:sz="4" w:space="0" w:color="auto"/>
              <w:left w:val="nil"/>
              <w:bottom w:val="single" w:sz="4" w:space="0" w:color="auto"/>
              <w:right w:val="nil"/>
            </w:tcBorders>
          </w:tcPr>
          <w:p w14:paraId="0B2D044A" w14:textId="77777777" w:rsidR="00247B61" w:rsidRPr="001558DF" w:rsidRDefault="00247B61" w:rsidP="000B2B07">
            <w:pPr>
              <w:pStyle w:val="TCTableBody"/>
              <w:spacing w:after="0" w:line="360" w:lineRule="auto"/>
            </w:pPr>
            <w:r w:rsidRPr="001558DF">
              <w:t>σ</w:t>
            </w:r>
            <w:r w:rsidRPr="001558DF">
              <w:rPr>
                <w:vertAlign w:val="superscript"/>
              </w:rPr>
              <w:t>2</w:t>
            </w:r>
            <w:r w:rsidRPr="001558DF">
              <w:t xml:space="preserve"> x 10</w:t>
            </w:r>
            <w:r w:rsidRPr="001558DF">
              <w:rPr>
                <w:vertAlign w:val="superscript"/>
              </w:rPr>
              <w:t>4</w:t>
            </w:r>
            <w:r w:rsidRPr="001558DF">
              <w:t>/ Å</w:t>
            </w:r>
            <w:r w:rsidRPr="001558DF">
              <w:rPr>
                <w:vertAlign w:val="superscript"/>
              </w:rPr>
              <w:t>2</w:t>
            </w:r>
          </w:p>
        </w:tc>
        <w:tc>
          <w:tcPr>
            <w:tcW w:w="1276" w:type="dxa"/>
            <w:tcBorders>
              <w:top w:val="single" w:sz="4" w:space="0" w:color="auto"/>
              <w:left w:val="nil"/>
              <w:bottom w:val="single" w:sz="4" w:space="0" w:color="auto"/>
              <w:right w:val="nil"/>
            </w:tcBorders>
          </w:tcPr>
          <w:p w14:paraId="590A50DD" w14:textId="77777777" w:rsidR="00247B61" w:rsidRPr="001558DF" w:rsidRDefault="00247B61" w:rsidP="000B2B07">
            <w:pPr>
              <w:pStyle w:val="TCTableBody"/>
              <w:spacing w:after="0" w:line="360" w:lineRule="auto"/>
            </w:pPr>
            <w:r w:rsidRPr="001558DF">
              <w:t>ΔE</w:t>
            </w:r>
            <w:r w:rsidRPr="001558DF">
              <w:rPr>
                <w:vertAlign w:val="subscript"/>
              </w:rPr>
              <w:t>0</w:t>
            </w:r>
            <w:r w:rsidRPr="001558DF">
              <w:t>/eV</w:t>
            </w:r>
          </w:p>
        </w:tc>
        <w:tc>
          <w:tcPr>
            <w:tcW w:w="952" w:type="dxa"/>
            <w:tcBorders>
              <w:top w:val="single" w:sz="4" w:space="0" w:color="auto"/>
              <w:left w:val="nil"/>
              <w:bottom w:val="single" w:sz="4" w:space="0" w:color="auto"/>
              <w:right w:val="nil"/>
            </w:tcBorders>
          </w:tcPr>
          <w:p w14:paraId="7BCD2126" w14:textId="77777777" w:rsidR="00247B61" w:rsidRPr="001558DF" w:rsidRDefault="00247B61" w:rsidP="000B2B07">
            <w:pPr>
              <w:pStyle w:val="TCTableBody"/>
              <w:spacing w:after="0" w:line="360" w:lineRule="auto"/>
            </w:pPr>
            <w:proofErr w:type="spellStart"/>
            <w:r w:rsidRPr="001558DF">
              <w:t>R</w:t>
            </w:r>
            <w:r w:rsidRPr="001558DF">
              <w:rPr>
                <w:vertAlign w:val="subscript"/>
              </w:rPr>
              <w:t>f</w:t>
            </w:r>
            <w:proofErr w:type="spellEnd"/>
          </w:p>
        </w:tc>
      </w:tr>
      <w:tr w:rsidR="00247B61" w:rsidRPr="001558DF" w14:paraId="42203AA9" w14:textId="77777777" w:rsidTr="000B2B07">
        <w:tc>
          <w:tcPr>
            <w:tcW w:w="1242" w:type="dxa"/>
            <w:tcBorders>
              <w:left w:val="nil"/>
              <w:bottom w:val="single" w:sz="4" w:space="0" w:color="auto"/>
              <w:right w:val="nil"/>
            </w:tcBorders>
          </w:tcPr>
          <w:p w14:paraId="788DB57A" w14:textId="77777777" w:rsidR="00247B61" w:rsidRPr="001558DF" w:rsidRDefault="00247B61" w:rsidP="000B2B07">
            <w:pPr>
              <w:pStyle w:val="TCTableBody"/>
              <w:spacing w:after="0" w:line="360" w:lineRule="auto"/>
            </w:pPr>
            <w:r w:rsidRPr="001558DF">
              <w:t>Pt/C-JM</w:t>
            </w:r>
          </w:p>
        </w:tc>
        <w:tc>
          <w:tcPr>
            <w:tcW w:w="993" w:type="dxa"/>
            <w:tcBorders>
              <w:left w:val="nil"/>
              <w:bottom w:val="nil"/>
              <w:right w:val="nil"/>
            </w:tcBorders>
          </w:tcPr>
          <w:p w14:paraId="6F7807F2" w14:textId="77777777" w:rsidR="00247B61" w:rsidRPr="001558DF" w:rsidRDefault="00247B61" w:rsidP="000B2B07">
            <w:pPr>
              <w:pStyle w:val="TCTableBody"/>
              <w:spacing w:after="0" w:line="360" w:lineRule="auto"/>
            </w:pPr>
            <w:r w:rsidRPr="001558DF">
              <w:t>Pt-Pt</w:t>
            </w:r>
          </w:p>
        </w:tc>
        <w:tc>
          <w:tcPr>
            <w:tcW w:w="1498" w:type="dxa"/>
            <w:tcBorders>
              <w:left w:val="nil"/>
              <w:bottom w:val="nil"/>
              <w:right w:val="nil"/>
            </w:tcBorders>
          </w:tcPr>
          <w:p w14:paraId="6AD5CE11" w14:textId="77777777" w:rsidR="00247B61" w:rsidRPr="001558DF" w:rsidRDefault="00247B61" w:rsidP="000B2B07">
            <w:pPr>
              <w:pStyle w:val="TCTableBody"/>
              <w:spacing w:after="0" w:line="360" w:lineRule="auto"/>
              <w:rPr>
                <w:color w:val="FF0000"/>
              </w:rPr>
            </w:pPr>
            <w:r w:rsidRPr="001558DF">
              <w:t>9.00 ± 0.86</w:t>
            </w:r>
          </w:p>
        </w:tc>
        <w:tc>
          <w:tcPr>
            <w:tcW w:w="1843" w:type="dxa"/>
            <w:tcBorders>
              <w:left w:val="nil"/>
              <w:bottom w:val="nil"/>
              <w:right w:val="nil"/>
            </w:tcBorders>
          </w:tcPr>
          <w:p w14:paraId="274F4575" w14:textId="77777777" w:rsidR="00247B61" w:rsidRPr="001558DF" w:rsidRDefault="00247B61" w:rsidP="000B2B07">
            <w:pPr>
              <w:pStyle w:val="TCTableBody"/>
              <w:spacing w:after="0" w:line="360" w:lineRule="auto"/>
              <w:rPr>
                <w:color w:val="FF0000"/>
              </w:rPr>
            </w:pPr>
            <w:r w:rsidRPr="001558DF">
              <w:t>2.753 ± 0.004</w:t>
            </w:r>
          </w:p>
        </w:tc>
        <w:tc>
          <w:tcPr>
            <w:tcW w:w="1417" w:type="dxa"/>
            <w:tcBorders>
              <w:left w:val="nil"/>
              <w:bottom w:val="nil"/>
              <w:right w:val="nil"/>
            </w:tcBorders>
          </w:tcPr>
          <w:p w14:paraId="272866E8" w14:textId="77777777" w:rsidR="00247B61" w:rsidRPr="001558DF" w:rsidRDefault="00247B61" w:rsidP="000B2B07">
            <w:pPr>
              <w:pStyle w:val="TCTableBody"/>
              <w:spacing w:after="0" w:line="360" w:lineRule="auto"/>
              <w:rPr>
                <w:color w:val="FF0000"/>
              </w:rPr>
            </w:pPr>
            <w:r w:rsidRPr="001558DF">
              <w:t>53 ± 5</w:t>
            </w:r>
          </w:p>
        </w:tc>
        <w:tc>
          <w:tcPr>
            <w:tcW w:w="1276" w:type="dxa"/>
            <w:tcBorders>
              <w:left w:val="nil"/>
              <w:bottom w:val="nil"/>
              <w:right w:val="nil"/>
            </w:tcBorders>
          </w:tcPr>
          <w:p w14:paraId="54009E1C" w14:textId="77777777" w:rsidR="00247B61" w:rsidRPr="001558DF" w:rsidRDefault="00247B61" w:rsidP="000B2B07">
            <w:pPr>
              <w:pStyle w:val="TCTableBody"/>
              <w:spacing w:after="0" w:line="360" w:lineRule="auto"/>
              <w:rPr>
                <w:color w:val="FF0000"/>
              </w:rPr>
            </w:pPr>
            <w:r w:rsidRPr="001558DF">
              <w:t>8.0 ± 0.7</w:t>
            </w:r>
          </w:p>
        </w:tc>
        <w:tc>
          <w:tcPr>
            <w:tcW w:w="952" w:type="dxa"/>
            <w:tcBorders>
              <w:left w:val="nil"/>
              <w:bottom w:val="nil"/>
              <w:right w:val="nil"/>
            </w:tcBorders>
          </w:tcPr>
          <w:p w14:paraId="36BE6B1E" w14:textId="77777777" w:rsidR="00247B61" w:rsidRPr="001558DF" w:rsidRDefault="00247B61" w:rsidP="000B2B07">
            <w:pPr>
              <w:pStyle w:val="TCTableBody"/>
              <w:spacing w:after="0" w:line="360" w:lineRule="auto"/>
              <w:rPr>
                <w:color w:val="FF0000"/>
              </w:rPr>
            </w:pPr>
            <w:r w:rsidRPr="001558DF">
              <w:t>0.020</w:t>
            </w:r>
          </w:p>
        </w:tc>
      </w:tr>
      <w:tr w:rsidR="00247B61" w:rsidRPr="001558DF" w14:paraId="2D314C68" w14:textId="77777777" w:rsidTr="000B2B07">
        <w:tc>
          <w:tcPr>
            <w:tcW w:w="1242" w:type="dxa"/>
            <w:vMerge w:val="restart"/>
            <w:tcBorders>
              <w:top w:val="single" w:sz="4" w:space="0" w:color="auto"/>
              <w:left w:val="nil"/>
              <w:right w:val="nil"/>
            </w:tcBorders>
          </w:tcPr>
          <w:p w14:paraId="69773A49" w14:textId="77777777" w:rsidR="00247B61" w:rsidRPr="001558DF" w:rsidRDefault="00247B61" w:rsidP="000B2B07">
            <w:pPr>
              <w:pStyle w:val="TCTableBody"/>
              <w:spacing w:after="0" w:line="360" w:lineRule="auto"/>
            </w:pPr>
            <w:r w:rsidRPr="001558DF">
              <w:t>Sn/Pt/C</w:t>
            </w:r>
          </w:p>
        </w:tc>
        <w:tc>
          <w:tcPr>
            <w:tcW w:w="993" w:type="dxa"/>
            <w:tcBorders>
              <w:top w:val="single" w:sz="4" w:space="0" w:color="auto"/>
              <w:left w:val="nil"/>
              <w:bottom w:val="nil"/>
              <w:right w:val="nil"/>
            </w:tcBorders>
          </w:tcPr>
          <w:p w14:paraId="1E03FB02" w14:textId="77777777" w:rsidR="00247B61" w:rsidRPr="001558DF" w:rsidRDefault="00247B61" w:rsidP="000B2B07">
            <w:pPr>
              <w:pStyle w:val="TCTableBody"/>
              <w:spacing w:after="0" w:line="360" w:lineRule="auto"/>
            </w:pPr>
            <w:r w:rsidRPr="001558DF">
              <w:t>Pt-Pt</w:t>
            </w:r>
          </w:p>
        </w:tc>
        <w:tc>
          <w:tcPr>
            <w:tcW w:w="1498" w:type="dxa"/>
            <w:tcBorders>
              <w:top w:val="single" w:sz="4" w:space="0" w:color="auto"/>
              <w:left w:val="nil"/>
              <w:bottom w:val="nil"/>
              <w:right w:val="nil"/>
            </w:tcBorders>
          </w:tcPr>
          <w:p w14:paraId="19C13234" w14:textId="77777777" w:rsidR="00247B61" w:rsidRPr="001558DF" w:rsidRDefault="00247B61" w:rsidP="000B2B07">
            <w:pPr>
              <w:pStyle w:val="TCTableBody"/>
              <w:spacing w:after="0" w:line="360" w:lineRule="auto"/>
            </w:pPr>
            <w:r w:rsidRPr="001558DF">
              <w:t>8.82 ± 0.46</w:t>
            </w:r>
          </w:p>
        </w:tc>
        <w:tc>
          <w:tcPr>
            <w:tcW w:w="1843" w:type="dxa"/>
            <w:tcBorders>
              <w:top w:val="single" w:sz="4" w:space="0" w:color="auto"/>
              <w:left w:val="nil"/>
              <w:bottom w:val="nil"/>
              <w:right w:val="nil"/>
            </w:tcBorders>
          </w:tcPr>
          <w:p w14:paraId="23AFAA64" w14:textId="77777777" w:rsidR="00247B61" w:rsidRPr="001558DF" w:rsidRDefault="00247B61" w:rsidP="000B2B07">
            <w:pPr>
              <w:pStyle w:val="TCTableBody"/>
              <w:spacing w:after="0" w:line="360" w:lineRule="auto"/>
            </w:pPr>
            <w:r w:rsidRPr="001558DF">
              <w:t>2.748 ± 0.005</w:t>
            </w:r>
          </w:p>
        </w:tc>
        <w:tc>
          <w:tcPr>
            <w:tcW w:w="1417" w:type="dxa"/>
            <w:tcBorders>
              <w:top w:val="single" w:sz="4" w:space="0" w:color="auto"/>
              <w:left w:val="nil"/>
              <w:bottom w:val="nil"/>
              <w:right w:val="nil"/>
            </w:tcBorders>
          </w:tcPr>
          <w:p w14:paraId="25288C55" w14:textId="77777777" w:rsidR="00247B61" w:rsidRPr="001558DF" w:rsidRDefault="00247B61" w:rsidP="000B2B07">
            <w:pPr>
              <w:pStyle w:val="TCTableBody"/>
              <w:spacing w:after="0" w:line="360" w:lineRule="auto"/>
            </w:pPr>
            <w:r w:rsidRPr="001558DF">
              <w:t>65 ± 5</w:t>
            </w:r>
          </w:p>
        </w:tc>
        <w:tc>
          <w:tcPr>
            <w:tcW w:w="1276" w:type="dxa"/>
            <w:tcBorders>
              <w:top w:val="single" w:sz="4" w:space="0" w:color="auto"/>
              <w:left w:val="nil"/>
              <w:bottom w:val="nil"/>
              <w:right w:val="nil"/>
            </w:tcBorders>
          </w:tcPr>
          <w:p w14:paraId="1F9C4FBB" w14:textId="77777777" w:rsidR="00247B61" w:rsidRPr="001558DF" w:rsidRDefault="00247B61" w:rsidP="000B2B07">
            <w:pPr>
              <w:pStyle w:val="TCTableBody"/>
              <w:spacing w:after="0" w:line="360" w:lineRule="auto"/>
            </w:pPr>
            <w:r w:rsidRPr="001558DF">
              <w:t>6.6 ± 0.5</w:t>
            </w:r>
          </w:p>
        </w:tc>
        <w:tc>
          <w:tcPr>
            <w:tcW w:w="952" w:type="dxa"/>
            <w:tcBorders>
              <w:top w:val="single" w:sz="4" w:space="0" w:color="auto"/>
              <w:left w:val="nil"/>
              <w:right w:val="nil"/>
            </w:tcBorders>
          </w:tcPr>
          <w:p w14:paraId="4AAB6AE9" w14:textId="77777777" w:rsidR="00247B61" w:rsidRPr="001558DF" w:rsidRDefault="00247B61" w:rsidP="000B2B07">
            <w:pPr>
              <w:pStyle w:val="TCTableBody"/>
              <w:spacing w:after="0" w:line="360" w:lineRule="auto"/>
            </w:pPr>
            <w:r w:rsidRPr="001558DF">
              <w:t>0.003</w:t>
            </w:r>
          </w:p>
        </w:tc>
      </w:tr>
      <w:tr w:rsidR="00247B61" w:rsidRPr="001558DF" w14:paraId="7747A26F" w14:textId="77777777" w:rsidTr="000B2B07">
        <w:tc>
          <w:tcPr>
            <w:tcW w:w="1242" w:type="dxa"/>
            <w:vMerge/>
            <w:tcBorders>
              <w:left w:val="nil"/>
              <w:bottom w:val="nil"/>
              <w:right w:val="nil"/>
            </w:tcBorders>
          </w:tcPr>
          <w:p w14:paraId="574CEA80" w14:textId="77777777" w:rsidR="00247B61" w:rsidRPr="001558DF" w:rsidRDefault="00247B61" w:rsidP="000B2B07">
            <w:pPr>
              <w:pStyle w:val="TCTableBody"/>
              <w:spacing w:after="0" w:line="360" w:lineRule="auto"/>
            </w:pPr>
          </w:p>
        </w:tc>
        <w:tc>
          <w:tcPr>
            <w:tcW w:w="993" w:type="dxa"/>
            <w:tcBorders>
              <w:top w:val="single" w:sz="4" w:space="0" w:color="auto"/>
              <w:left w:val="nil"/>
              <w:bottom w:val="nil"/>
              <w:right w:val="nil"/>
            </w:tcBorders>
          </w:tcPr>
          <w:p w14:paraId="3CCD1D99" w14:textId="77777777" w:rsidR="00247B61" w:rsidRPr="001558DF" w:rsidRDefault="00247B61" w:rsidP="000B2B07">
            <w:pPr>
              <w:pStyle w:val="TCTableBody"/>
              <w:spacing w:after="0" w:line="360" w:lineRule="auto"/>
              <w:rPr>
                <w:lang w:val="fr-FR"/>
              </w:rPr>
            </w:pPr>
            <w:r w:rsidRPr="001558DF">
              <w:t>Sn-Sn</w:t>
            </w:r>
          </w:p>
        </w:tc>
        <w:tc>
          <w:tcPr>
            <w:tcW w:w="1498" w:type="dxa"/>
            <w:tcBorders>
              <w:top w:val="single" w:sz="4" w:space="0" w:color="auto"/>
              <w:left w:val="nil"/>
              <w:bottom w:val="nil"/>
              <w:right w:val="nil"/>
            </w:tcBorders>
          </w:tcPr>
          <w:p w14:paraId="23F53C0B" w14:textId="77777777" w:rsidR="00247B61" w:rsidRPr="001558DF" w:rsidRDefault="00247B61" w:rsidP="000B2B07">
            <w:pPr>
              <w:pStyle w:val="TCTableBody"/>
              <w:spacing w:after="0" w:line="360" w:lineRule="auto"/>
            </w:pPr>
            <w:r w:rsidRPr="001558DF">
              <w:t>1.38 ± 0.82</w:t>
            </w:r>
          </w:p>
        </w:tc>
        <w:tc>
          <w:tcPr>
            <w:tcW w:w="1843" w:type="dxa"/>
            <w:tcBorders>
              <w:top w:val="single" w:sz="4" w:space="0" w:color="auto"/>
              <w:left w:val="nil"/>
              <w:bottom w:val="nil"/>
              <w:right w:val="nil"/>
            </w:tcBorders>
            <w:vAlign w:val="center"/>
          </w:tcPr>
          <w:p w14:paraId="120D3416" w14:textId="77777777" w:rsidR="00247B61" w:rsidRPr="001558DF" w:rsidRDefault="00247B61" w:rsidP="000B2B07">
            <w:pPr>
              <w:pStyle w:val="TCTableBody"/>
              <w:spacing w:after="0" w:line="360" w:lineRule="auto"/>
            </w:pPr>
            <w:r w:rsidRPr="001558DF">
              <w:t>3.213 ± 0.019</w:t>
            </w:r>
          </w:p>
        </w:tc>
        <w:tc>
          <w:tcPr>
            <w:tcW w:w="1417" w:type="dxa"/>
            <w:tcBorders>
              <w:top w:val="single" w:sz="4" w:space="0" w:color="auto"/>
              <w:left w:val="nil"/>
              <w:bottom w:val="nil"/>
              <w:right w:val="nil"/>
            </w:tcBorders>
            <w:vAlign w:val="center"/>
          </w:tcPr>
          <w:p w14:paraId="1F93EB6A" w14:textId="77777777" w:rsidR="00247B61" w:rsidRPr="001558DF" w:rsidRDefault="00247B61" w:rsidP="000B2B07">
            <w:pPr>
              <w:pStyle w:val="TCTableBody"/>
              <w:spacing w:after="0" w:line="360" w:lineRule="auto"/>
            </w:pPr>
            <w:r w:rsidRPr="001558DF">
              <w:t>41 ± 41</w:t>
            </w:r>
          </w:p>
        </w:tc>
        <w:tc>
          <w:tcPr>
            <w:tcW w:w="1276" w:type="dxa"/>
            <w:vMerge w:val="restart"/>
            <w:tcBorders>
              <w:top w:val="single" w:sz="4" w:space="0" w:color="auto"/>
              <w:left w:val="nil"/>
              <w:right w:val="nil"/>
            </w:tcBorders>
            <w:vAlign w:val="center"/>
          </w:tcPr>
          <w:p w14:paraId="08BAF690" w14:textId="77777777" w:rsidR="00247B61" w:rsidRPr="001558DF" w:rsidRDefault="00247B61" w:rsidP="000B2B07">
            <w:pPr>
              <w:pStyle w:val="TCTableBody"/>
              <w:spacing w:after="0" w:line="360" w:lineRule="auto"/>
            </w:pPr>
            <w:r w:rsidRPr="001558DF">
              <w:t>5.6 ± 0.9</w:t>
            </w:r>
          </w:p>
        </w:tc>
        <w:tc>
          <w:tcPr>
            <w:tcW w:w="952" w:type="dxa"/>
            <w:vMerge w:val="restart"/>
            <w:tcBorders>
              <w:top w:val="single" w:sz="4" w:space="0" w:color="auto"/>
              <w:left w:val="nil"/>
              <w:right w:val="nil"/>
            </w:tcBorders>
            <w:vAlign w:val="center"/>
          </w:tcPr>
          <w:p w14:paraId="07919682" w14:textId="77777777" w:rsidR="00247B61" w:rsidRPr="001558DF" w:rsidRDefault="00247B61" w:rsidP="000B2B07">
            <w:pPr>
              <w:pStyle w:val="TCTableBody"/>
              <w:spacing w:after="0" w:line="360" w:lineRule="auto"/>
              <w:rPr>
                <w:lang w:val="it-IT"/>
              </w:rPr>
            </w:pPr>
            <w:r w:rsidRPr="001558DF">
              <w:t>0.0</w:t>
            </w:r>
            <w:r w:rsidRPr="001558DF">
              <w:rPr>
                <w:lang w:val="it-IT"/>
              </w:rPr>
              <w:t>11</w:t>
            </w:r>
          </w:p>
        </w:tc>
      </w:tr>
      <w:tr w:rsidR="00247B61" w:rsidRPr="001558DF" w14:paraId="33C8077B" w14:textId="77777777" w:rsidTr="000B2B07">
        <w:tc>
          <w:tcPr>
            <w:tcW w:w="1242" w:type="dxa"/>
            <w:tcBorders>
              <w:top w:val="nil"/>
              <w:left w:val="nil"/>
              <w:bottom w:val="single" w:sz="4" w:space="0" w:color="auto"/>
              <w:right w:val="nil"/>
            </w:tcBorders>
          </w:tcPr>
          <w:p w14:paraId="122F78C9" w14:textId="77777777" w:rsidR="00247B61" w:rsidRPr="001558DF" w:rsidRDefault="00247B61" w:rsidP="000B2B07">
            <w:pPr>
              <w:pStyle w:val="TCTableBody"/>
              <w:spacing w:after="0" w:line="360" w:lineRule="auto"/>
            </w:pPr>
          </w:p>
        </w:tc>
        <w:tc>
          <w:tcPr>
            <w:tcW w:w="993" w:type="dxa"/>
            <w:tcBorders>
              <w:top w:val="nil"/>
              <w:left w:val="nil"/>
              <w:bottom w:val="single" w:sz="4" w:space="0" w:color="auto"/>
              <w:right w:val="nil"/>
            </w:tcBorders>
          </w:tcPr>
          <w:p w14:paraId="42395F42" w14:textId="77777777" w:rsidR="00247B61" w:rsidRPr="001558DF" w:rsidRDefault="00247B61" w:rsidP="000B2B07">
            <w:pPr>
              <w:pStyle w:val="TCTableBody"/>
              <w:spacing w:after="0" w:line="360" w:lineRule="auto"/>
            </w:pPr>
            <w:r w:rsidRPr="001558DF">
              <w:t>Sn-O</w:t>
            </w:r>
          </w:p>
        </w:tc>
        <w:tc>
          <w:tcPr>
            <w:tcW w:w="1498" w:type="dxa"/>
            <w:tcBorders>
              <w:top w:val="nil"/>
              <w:left w:val="nil"/>
              <w:bottom w:val="single" w:sz="4" w:space="0" w:color="auto"/>
              <w:right w:val="nil"/>
            </w:tcBorders>
          </w:tcPr>
          <w:p w14:paraId="2E082F35" w14:textId="77777777" w:rsidR="00247B61" w:rsidRPr="001558DF" w:rsidRDefault="00247B61" w:rsidP="000B2B07">
            <w:pPr>
              <w:pStyle w:val="TCTableBody"/>
              <w:spacing w:after="0" w:line="360" w:lineRule="auto"/>
            </w:pPr>
            <w:r w:rsidRPr="001558DF">
              <w:t>5.33 ± 0.40</w:t>
            </w:r>
          </w:p>
        </w:tc>
        <w:tc>
          <w:tcPr>
            <w:tcW w:w="1843" w:type="dxa"/>
            <w:tcBorders>
              <w:top w:val="nil"/>
              <w:left w:val="nil"/>
              <w:bottom w:val="single" w:sz="4" w:space="0" w:color="auto"/>
              <w:right w:val="nil"/>
            </w:tcBorders>
          </w:tcPr>
          <w:p w14:paraId="0B07E1FE" w14:textId="77777777" w:rsidR="00247B61" w:rsidRPr="001558DF" w:rsidRDefault="00247B61" w:rsidP="000B2B07">
            <w:pPr>
              <w:pStyle w:val="TCTableBody"/>
              <w:spacing w:after="0" w:line="360" w:lineRule="auto"/>
            </w:pPr>
            <w:r w:rsidRPr="001558DF">
              <w:t>2.048 ± 0.007</w:t>
            </w:r>
          </w:p>
        </w:tc>
        <w:tc>
          <w:tcPr>
            <w:tcW w:w="1417" w:type="dxa"/>
            <w:tcBorders>
              <w:top w:val="nil"/>
              <w:left w:val="nil"/>
              <w:bottom w:val="single" w:sz="4" w:space="0" w:color="auto"/>
              <w:right w:val="nil"/>
            </w:tcBorders>
          </w:tcPr>
          <w:p w14:paraId="487589AA" w14:textId="77777777" w:rsidR="00247B61" w:rsidRPr="001558DF" w:rsidRDefault="00247B61" w:rsidP="000B2B07">
            <w:pPr>
              <w:pStyle w:val="TCTableBody"/>
              <w:spacing w:after="0" w:line="360" w:lineRule="auto"/>
            </w:pPr>
            <w:r w:rsidRPr="001558DF">
              <w:t>37 ± 10</w:t>
            </w:r>
          </w:p>
        </w:tc>
        <w:tc>
          <w:tcPr>
            <w:tcW w:w="1276" w:type="dxa"/>
            <w:vMerge/>
            <w:tcBorders>
              <w:left w:val="nil"/>
              <w:bottom w:val="single" w:sz="4" w:space="0" w:color="auto"/>
              <w:right w:val="nil"/>
            </w:tcBorders>
          </w:tcPr>
          <w:p w14:paraId="602F2808" w14:textId="77777777" w:rsidR="00247B61" w:rsidRPr="001558DF" w:rsidRDefault="00247B61" w:rsidP="000B2B07">
            <w:pPr>
              <w:pStyle w:val="TCTableBody"/>
              <w:spacing w:after="0" w:line="360" w:lineRule="auto"/>
            </w:pPr>
          </w:p>
        </w:tc>
        <w:tc>
          <w:tcPr>
            <w:tcW w:w="952" w:type="dxa"/>
            <w:vMerge/>
            <w:tcBorders>
              <w:left w:val="nil"/>
              <w:bottom w:val="single" w:sz="4" w:space="0" w:color="auto"/>
              <w:right w:val="nil"/>
            </w:tcBorders>
          </w:tcPr>
          <w:p w14:paraId="0C1F9C9E" w14:textId="77777777" w:rsidR="00247B61" w:rsidRPr="001558DF" w:rsidRDefault="00247B61" w:rsidP="000B2B07">
            <w:pPr>
              <w:pStyle w:val="TCTableBody"/>
              <w:spacing w:after="0" w:line="360" w:lineRule="auto"/>
            </w:pPr>
          </w:p>
        </w:tc>
      </w:tr>
      <w:tr w:rsidR="00247B61" w:rsidRPr="001558DF" w14:paraId="097A1BBB" w14:textId="77777777" w:rsidTr="000B2B07">
        <w:tc>
          <w:tcPr>
            <w:tcW w:w="1242" w:type="dxa"/>
            <w:vMerge w:val="restart"/>
            <w:tcBorders>
              <w:top w:val="single" w:sz="4" w:space="0" w:color="auto"/>
              <w:left w:val="nil"/>
              <w:right w:val="nil"/>
            </w:tcBorders>
          </w:tcPr>
          <w:p w14:paraId="1BD3C85C" w14:textId="77777777" w:rsidR="00247B61" w:rsidRPr="001558DF" w:rsidRDefault="00247B61" w:rsidP="000B2B07">
            <w:pPr>
              <w:pStyle w:val="TCTableBody"/>
              <w:spacing w:after="0" w:line="360" w:lineRule="auto"/>
            </w:pPr>
            <w:r w:rsidRPr="001558DF">
              <w:t>Pt</w:t>
            </w:r>
            <w:r w:rsidRPr="001558DF">
              <w:rPr>
                <w:vertAlign w:val="subscript"/>
              </w:rPr>
              <w:t>3</w:t>
            </w:r>
            <w:r w:rsidRPr="001558DF">
              <w:t>Sn</w:t>
            </w:r>
            <w:r w:rsidRPr="001558DF">
              <w:rPr>
                <w:vertAlign w:val="subscript"/>
              </w:rPr>
              <w:t>1</w:t>
            </w:r>
            <w:r w:rsidRPr="001558DF">
              <w:t>/C</w:t>
            </w:r>
          </w:p>
        </w:tc>
        <w:tc>
          <w:tcPr>
            <w:tcW w:w="993" w:type="dxa"/>
            <w:tcBorders>
              <w:top w:val="single" w:sz="4" w:space="0" w:color="auto"/>
              <w:left w:val="nil"/>
              <w:bottom w:val="nil"/>
              <w:right w:val="nil"/>
            </w:tcBorders>
            <w:vAlign w:val="center"/>
          </w:tcPr>
          <w:p w14:paraId="26BA409F" w14:textId="77777777" w:rsidR="00247B61" w:rsidRPr="001558DF" w:rsidRDefault="00247B61" w:rsidP="000B2B07">
            <w:pPr>
              <w:pStyle w:val="TCTableBody"/>
              <w:spacing w:after="0" w:line="360" w:lineRule="auto"/>
              <w:rPr>
                <w:lang w:val="fr-FR"/>
              </w:rPr>
            </w:pPr>
            <w:r w:rsidRPr="001558DF">
              <w:t>Pt-Pt</w:t>
            </w:r>
          </w:p>
        </w:tc>
        <w:tc>
          <w:tcPr>
            <w:tcW w:w="1498" w:type="dxa"/>
            <w:tcBorders>
              <w:top w:val="single" w:sz="4" w:space="0" w:color="auto"/>
              <w:left w:val="nil"/>
              <w:bottom w:val="nil"/>
              <w:right w:val="nil"/>
            </w:tcBorders>
            <w:vAlign w:val="center"/>
          </w:tcPr>
          <w:p w14:paraId="524DED60" w14:textId="77777777" w:rsidR="00247B61" w:rsidRPr="001558DF" w:rsidRDefault="00247B61" w:rsidP="000B2B07">
            <w:pPr>
              <w:pStyle w:val="TCTableBody"/>
              <w:spacing w:after="0" w:line="360" w:lineRule="auto"/>
            </w:pPr>
            <w:r w:rsidRPr="001558DF">
              <w:t xml:space="preserve">7.97 </w:t>
            </w:r>
            <w:r w:rsidRPr="001558DF">
              <w:rPr>
                <w:lang w:val="de-DE"/>
              </w:rPr>
              <w:t>± 0.79</w:t>
            </w:r>
          </w:p>
        </w:tc>
        <w:tc>
          <w:tcPr>
            <w:tcW w:w="1843" w:type="dxa"/>
            <w:tcBorders>
              <w:top w:val="single" w:sz="4" w:space="0" w:color="auto"/>
              <w:left w:val="nil"/>
              <w:bottom w:val="nil"/>
              <w:right w:val="nil"/>
            </w:tcBorders>
            <w:vAlign w:val="center"/>
          </w:tcPr>
          <w:p w14:paraId="12985F02" w14:textId="77777777" w:rsidR="00247B61" w:rsidRPr="001558DF" w:rsidRDefault="00247B61" w:rsidP="000B2B07">
            <w:pPr>
              <w:pStyle w:val="TCTableBody"/>
              <w:spacing w:after="0" w:line="360" w:lineRule="auto"/>
            </w:pPr>
            <w:r w:rsidRPr="001558DF">
              <w:t xml:space="preserve">2.759 </w:t>
            </w:r>
            <w:r w:rsidRPr="001558DF">
              <w:rPr>
                <w:lang w:val="de-DE"/>
              </w:rPr>
              <w:t>± 0.006</w:t>
            </w:r>
          </w:p>
        </w:tc>
        <w:tc>
          <w:tcPr>
            <w:tcW w:w="1417" w:type="dxa"/>
            <w:tcBorders>
              <w:top w:val="single" w:sz="4" w:space="0" w:color="auto"/>
              <w:left w:val="nil"/>
              <w:bottom w:val="nil"/>
              <w:right w:val="nil"/>
            </w:tcBorders>
            <w:vAlign w:val="center"/>
          </w:tcPr>
          <w:p w14:paraId="7A818F1D" w14:textId="77777777" w:rsidR="00247B61" w:rsidRPr="001558DF" w:rsidRDefault="00247B61" w:rsidP="000B2B07">
            <w:pPr>
              <w:pStyle w:val="TCTableBody"/>
              <w:spacing w:after="0" w:line="360" w:lineRule="auto"/>
              <w:rPr>
                <w:lang w:val="it-IT"/>
              </w:rPr>
            </w:pPr>
            <w:r w:rsidRPr="001558DF">
              <w:t>57 ± 5</w:t>
            </w:r>
          </w:p>
        </w:tc>
        <w:tc>
          <w:tcPr>
            <w:tcW w:w="1276" w:type="dxa"/>
            <w:vMerge w:val="restart"/>
            <w:tcBorders>
              <w:top w:val="single" w:sz="4" w:space="0" w:color="auto"/>
              <w:left w:val="nil"/>
              <w:right w:val="nil"/>
            </w:tcBorders>
            <w:vAlign w:val="center"/>
          </w:tcPr>
          <w:p w14:paraId="575C3F00" w14:textId="77777777" w:rsidR="00247B61" w:rsidRPr="001558DF" w:rsidRDefault="00247B61" w:rsidP="000B2B07">
            <w:pPr>
              <w:pStyle w:val="TCTableBody"/>
              <w:spacing w:after="0" w:line="360" w:lineRule="auto"/>
              <w:rPr>
                <w:lang w:val="it-IT"/>
              </w:rPr>
            </w:pPr>
            <w:r w:rsidRPr="001558DF">
              <w:t>6.2 ± 1.1</w:t>
            </w:r>
          </w:p>
        </w:tc>
        <w:tc>
          <w:tcPr>
            <w:tcW w:w="952" w:type="dxa"/>
            <w:vMerge w:val="restart"/>
            <w:tcBorders>
              <w:top w:val="single" w:sz="4" w:space="0" w:color="auto"/>
              <w:left w:val="nil"/>
              <w:right w:val="nil"/>
            </w:tcBorders>
            <w:vAlign w:val="center"/>
          </w:tcPr>
          <w:p w14:paraId="08E9B965" w14:textId="77777777" w:rsidR="00247B61" w:rsidRPr="001558DF" w:rsidRDefault="00247B61" w:rsidP="000B2B07">
            <w:pPr>
              <w:pStyle w:val="TCTableBody"/>
              <w:spacing w:after="0" w:line="360" w:lineRule="auto"/>
            </w:pPr>
            <w:r w:rsidRPr="001558DF">
              <w:t>0.016</w:t>
            </w:r>
          </w:p>
        </w:tc>
      </w:tr>
      <w:tr w:rsidR="00247B61" w:rsidRPr="001558DF" w14:paraId="7C5D73C9" w14:textId="77777777" w:rsidTr="000B2B07">
        <w:tc>
          <w:tcPr>
            <w:tcW w:w="1242" w:type="dxa"/>
            <w:vMerge/>
            <w:tcBorders>
              <w:left w:val="nil"/>
              <w:right w:val="nil"/>
            </w:tcBorders>
          </w:tcPr>
          <w:p w14:paraId="2C8685B7" w14:textId="77777777" w:rsidR="00247B61" w:rsidRPr="001558DF" w:rsidRDefault="00247B61" w:rsidP="000B2B07">
            <w:pPr>
              <w:pStyle w:val="TCTableBody"/>
              <w:spacing w:after="0" w:line="360" w:lineRule="auto"/>
            </w:pPr>
          </w:p>
        </w:tc>
        <w:tc>
          <w:tcPr>
            <w:tcW w:w="993" w:type="dxa"/>
            <w:tcBorders>
              <w:top w:val="nil"/>
              <w:left w:val="nil"/>
              <w:bottom w:val="nil"/>
              <w:right w:val="nil"/>
            </w:tcBorders>
            <w:vAlign w:val="center"/>
          </w:tcPr>
          <w:p w14:paraId="3FC47A79" w14:textId="77777777" w:rsidR="00247B61" w:rsidRPr="001558DF" w:rsidRDefault="00247B61" w:rsidP="000B2B07">
            <w:pPr>
              <w:pStyle w:val="TCTableBody"/>
              <w:spacing w:after="0" w:line="360" w:lineRule="auto"/>
            </w:pPr>
            <w:r w:rsidRPr="001558DF">
              <w:t>Pt-Sn</w:t>
            </w:r>
          </w:p>
        </w:tc>
        <w:tc>
          <w:tcPr>
            <w:tcW w:w="1498" w:type="dxa"/>
            <w:tcBorders>
              <w:top w:val="nil"/>
              <w:left w:val="nil"/>
              <w:bottom w:val="nil"/>
              <w:right w:val="nil"/>
            </w:tcBorders>
            <w:vAlign w:val="center"/>
          </w:tcPr>
          <w:p w14:paraId="6F9B4840" w14:textId="77777777" w:rsidR="00247B61" w:rsidRPr="001558DF" w:rsidRDefault="00247B61" w:rsidP="000B2B07">
            <w:pPr>
              <w:pStyle w:val="TCTableBody"/>
              <w:spacing w:after="0" w:line="360" w:lineRule="auto"/>
            </w:pPr>
            <w:r w:rsidRPr="001558DF">
              <w:rPr>
                <w:lang w:val="it-IT"/>
              </w:rPr>
              <w:t xml:space="preserve">0.57 </w:t>
            </w:r>
            <w:r w:rsidRPr="001558DF">
              <w:t>± 0.61</w:t>
            </w:r>
          </w:p>
        </w:tc>
        <w:tc>
          <w:tcPr>
            <w:tcW w:w="1843" w:type="dxa"/>
            <w:tcBorders>
              <w:top w:val="nil"/>
              <w:left w:val="nil"/>
              <w:bottom w:val="nil"/>
              <w:right w:val="nil"/>
            </w:tcBorders>
            <w:vAlign w:val="center"/>
          </w:tcPr>
          <w:p w14:paraId="332FA65A" w14:textId="77777777" w:rsidR="00247B61" w:rsidRPr="001558DF" w:rsidRDefault="00247B61" w:rsidP="000B2B07">
            <w:pPr>
              <w:pStyle w:val="TCTableBody"/>
              <w:spacing w:after="0" w:line="360" w:lineRule="auto"/>
            </w:pPr>
            <w:r w:rsidRPr="001558DF">
              <w:rPr>
                <w:lang w:val="it-IT"/>
              </w:rPr>
              <w:t xml:space="preserve">2.808 </w:t>
            </w:r>
            <w:r w:rsidRPr="001558DF">
              <w:t>± 0.012</w:t>
            </w:r>
          </w:p>
        </w:tc>
        <w:tc>
          <w:tcPr>
            <w:tcW w:w="1417" w:type="dxa"/>
            <w:tcBorders>
              <w:top w:val="nil"/>
              <w:left w:val="nil"/>
              <w:bottom w:val="nil"/>
              <w:right w:val="nil"/>
            </w:tcBorders>
            <w:vAlign w:val="center"/>
          </w:tcPr>
          <w:p w14:paraId="460DA223" w14:textId="77777777" w:rsidR="00247B61" w:rsidRPr="001558DF" w:rsidRDefault="00247B61" w:rsidP="000B2B07">
            <w:pPr>
              <w:pStyle w:val="TCTableBody"/>
              <w:spacing w:after="0" w:line="360" w:lineRule="auto"/>
            </w:pPr>
            <w:r w:rsidRPr="001558DF">
              <w:t>103 ± 33</w:t>
            </w:r>
          </w:p>
        </w:tc>
        <w:tc>
          <w:tcPr>
            <w:tcW w:w="1276" w:type="dxa"/>
            <w:vMerge/>
            <w:tcBorders>
              <w:left w:val="nil"/>
              <w:bottom w:val="nil"/>
              <w:right w:val="nil"/>
            </w:tcBorders>
          </w:tcPr>
          <w:p w14:paraId="1411F195" w14:textId="77777777" w:rsidR="00247B61" w:rsidRPr="001558DF" w:rsidRDefault="00247B61" w:rsidP="000B2B07">
            <w:pPr>
              <w:pStyle w:val="TCTableBody"/>
              <w:spacing w:after="0" w:line="360" w:lineRule="auto"/>
            </w:pPr>
          </w:p>
        </w:tc>
        <w:tc>
          <w:tcPr>
            <w:tcW w:w="952" w:type="dxa"/>
            <w:vMerge/>
            <w:tcBorders>
              <w:left w:val="nil"/>
              <w:right w:val="nil"/>
            </w:tcBorders>
          </w:tcPr>
          <w:p w14:paraId="0F6DA4F1" w14:textId="77777777" w:rsidR="00247B61" w:rsidRPr="001558DF" w:rsidRDefault="00247B61" w:rsidP="000B2B07">
            <w:pPr>
              <w:pStyle w:val="TCTableBody"/>
              <w:spacing w:after="0" w:line="360" w:lineRule="auto"/>
            </w:pPr>
          </w:p>
        </w:tc>
      </w:tr>
      <w:tr w:rsidR="00247B61" w:rsidRPr="001558DF" w14:paraId="2505CC28" w14:textId="77777777" w:rsidTr="000B2B07">
        <w:tc>
          <w:tcPr>
            <w:tcW w:w="1242" w:type="dxa"/>
            <w:vMerge/>
            <w:tcBorders>
              <w:left w:val="nil"/>
              <w:right w:val="nil"/>
            </w:tcBorders>
          </w:tcPr>
          <w:p w14:paraId="282FD5BD" w14:textId="77777777" w:rsidR="00247B61" w:rsidRPr="001558DF" w:rsidRDefault="00247B61" w:rsidP="000B2B07">
            <w:pPr>
              <w:pStyle w:val="TCTableBody"/>
              <w:spacing w:after="0" w:line="360" w:lineRule="auto"/>
            </w:pPr>
          </w:p>
        </w:tc>
        <w:tc>
          <w:tcPr>
            <w:tcW w:w="993" w:type="dxa"/>
            <w:tcBorders>
              <w:top w:val="single" w:sz="4" w:space="0" w:color="auto"/>
              <w:left w:val="nil"/>
              <w:bottom w:val="nil"/>
              <w:right w:val="nil"/>
            </w:tcBorders>
          </w:tcPr>
          <w:p w14:paraId="4E2786E8" w14:textId="77777777" w:rsidR="00247B61" w:rsidRPr="001558DF" w:rsidRDefault="00247B61" w:rsidP="000B2B07">
            <w:pPr>
              <w:pStyle w:val="TCTableBody"/>
              <w:spacing w:after="0" w:line="360" w:lineRule="auto"/>
            </w:pPr>
            <w:r w:rsidRPr="001558DF">
              <w:t>Sn-Pt</w:t>
            </w:r>
          </w:p>
        </w:tc>
        <w:tc>
          <w:tcPr>
            <w:tcW w:w="1498" w:type="dxa"/>
            <w:tcBorders>
              <w:top w:val="single" w:sz="4" w:space="0" w:color="auto"/>
              <w:left w:val="nil"/>
              <w:bottom w:val="nil"/>
              <w:right w:val="nil"/>
            </w:tcBorders>
            <w:vAlign w:val="center"/>
          </w:tcPr>
          <w:p w14:paraId="5D6F448D" w14:textId="77777777" w:rsidR="00247B61" w:rsidRPr="001558DF" w:rsidRDefault="00247B61" w:rsidP="000B2B07">
            <w:pPr>
              <w:pStyle w:val="TCTableBody"/>
              <w:spacing w:after="0" w:line="360" w:lineRule="auto"/>
            </w:pPr>
            <w:r w:rsidRPr="001558DF">
              <w:rPr>
                <w:lang w:val="it-IT"/>
              </w:rPr>
              <w:t xml:space="preserve">4.61 </w:t>
            </w:r>
            <w:r w:rsidRPr="001558DF">
              <w:t>± 1.66</w:t>
            </w:r>
          </w:p>
        </w:tc>
        <w:tc>
          <w:tcPr>
            <w:tcW w:w="1843" w:type="dxa"/>
            <w:tcBorders>
              <w:top w:val="single" w:sz="4" w:space="0" w:color="auto"/>
              <w:left w:val="nil"/>
              <w:bottom w:val="nil"/>
              <w:right w:val="nil"/>
            </w:tcBorders>
            <w:vAlign w:val="center"/>
          </w:tcPr>
          <w:p w14:paraId="10A5C000" w14:textId="77777777" w:rsidR="00247B61" w:rsidRPr="001558DF" w:rsidRDefault="00247B61" w:rsidP="000B2B07">
            <w:pPr>
              <w:pStyle w:val="TCTableBody"/>
              <w:spacing w:after="0" w:line="360" w:lineRule="auto"/>
            </w:pPr>
            <w:r w:rsidRPr="001558DF">
              <w:rPr>
                <w:lang w:val="it-IT"/>
              </w:rPr>
              <w:t xml:space="preserve">2.808 </w:t>
            </w:r>
            <w:r w:rsidRPr="001558DF">
              <w:t>± 0.012</w:t>
            </w:r>
          </w:p>
        </w:tc>
        <w:tc>
          <w:tcPr>
            <w:tcW w:w="1417" w:type="dxa"/>
            <w:tcBorders>
              <w:top w:val="single" w:sz="4" w:space="0" w:color="auto"/>
              <w:left w:val="nil"/>
              <w:bottom w:val="nil"/>
              <w:right w:val="nil"/>
            </w:tcBorders>
            <w:vAlign w:val="center"/>
          </w:tcPr>
          <w:p w14:paraId="41C36D42" w14:textId="77777777" w:rsidR="00247B61" w:rsidRPr="001558DF" w:rsidRDefault="00247B61" w:rsidP="000B2B07">
            <w:pPr>
              <w:pStyle w:val="TCTableBody"/>
              <w:spacing w:after="0" w:line="360" w:lineRule="auto"/>
            </w:pPr>
            <w:r w:rsidRPr="001558DF">
              <w:t>103 ± 33</w:t>
            </w:r>
          </w:p>
        </w:tc>
        <w:tc>
          <w:tcPr>
            <w:tcW w:w="1276" w:type="dxa"/>
            <w:vMerge w:val="restart"/>
            <w:tcBorders>
              <w:top w:val="single" w:sz="4" w:space="0" w:color="auto"/>
              <w:left w:val="nil"/>
              <w:right w:val="nil"/>
            </w:tcBorders>
            <w:vAlign w:val="center"/>
          </w:tcPr>
          <w:p w14:paraId="01434BBB" w14:textId="77777777" w:rsidR="00247B61" w:rsidRPr="001558DF" w:rsidRDefault="00247B61" w:rsidP="000B2B07">
            <w:pPr>
              <w:pStyle w:val="TCTableBody"/>
              <w:spacing w:after="0" w:line="360" w:lineRule="auto"/>
            </w:pPr>
            <w:r w:rsidRPr="001558DF">
              <w:t>3.7 ± 1.4</w:t>
            </w:r>
          </w:p>
        </w:tc>
        <w:tc>
          <w:tcPr>
            <w:tcW w:w="952" w:type="dxa"/>
            <w:vMerge/>
            <w:tcBorders>
              <w:left w:val="nil"/>
              <w:right w:val="nil"/>
            </w:tcBorders>
          </w:tcPr>
          <w:p w14:paraId="0DBCF4BE" w14:textId="77777777" w:rsidR="00247B61" w:rsidRPr="001558DF" w:rsidRDefault="00247B61" w:rsidP="000B2B07">
            <w:pPr>
              <w:pStyle w:val="TCTableBody"/>
              <w:spacing w:after="0" w:line="360" w:lineRule="auto"/>
            </w:pPr>
          </w:p>
        </w:tc>
      </w:tr>
      <w:tr w:rsidR="00247B61" w:rsidRPr="001D2D0B" w14:paraId="7C2C25CC" w14:textId="77777777" w:rsidTr="000B2B07">
        <w:tc>
          <w:tcPr>
            <w:tcW w:w="1242" w:type="dxa"/>
            <w:vMerge/>
            <w:tcBorders>
              <w:left w:val="nil"/>
              <w:bottom w:val="single" w:sz="4" w:space="0" w:color="auto"/>
              <w:right w:val="nil"/>
            </w:tcBorders>
          </w:tcPr>
          <w:p w14:paraId="6A75E32C" w14:textId="77777777" w:rsidR="00247B61" w:rsidRPr="001558DF" w:rsidRDefault="00247B61" w:rsidP="000B2B07">
            <w:pPr>
              <w:pStyle w:val="TCTableBody"/>
              <w:spacing w:after="0" w:line="360" w:lineRule="auto"/>
            </w:pPr>
          </w:p>
        </w:tc>
        <w:tc>
          <w:tcPr>
            <w:tcW w:w="993" w:type="dxa"/>
            <w:tcBorders>
              <w:top w:val="nil"/>
              <w:left w:val="nil"/>
              <w:bottom w:val="single" w:sz="4" w:space="0" w:color="auto"/>
              <w:right w:val="nil"/>
            </w:tcBorders>
          </w:tcPr>
          <w:p w14:paraId="4798FFDD" w14:textId="77777777" w:rsidR="00247B61" w:rsidRPr="001558DF" w:rsidRDefault="00247B61" w:rsidP="000B2B07">
            <w:pPr>
              <w:pStyle w:val="TCTableBody"/>
              <w:spacing w:after="0" w:line="360" w:lineRule="auto"/>
            </w:pPr>
            <w:r w:rsidRPr="001558DF">
              <w:t>Sn-O</w:t>
            </w:r>
          </w:p>
        </w:tc>
        <w:tc>
          <w:tcPr>
            <w:tcW w:w="1498" w:type="dxa"/>
            <w:tcBorders>
              <w:top w:val="nil"/>
              <w:left w:val="nil"/>
              <w:bottom w:val="single" w:sz="4" w:space="0" w:color="auto"/>
              <w:right w:val="nil"/>
            </w:tcBorders>
            <w:vAlign w:val="center"/>
          </w:tcPr>
          <w:p w14:paraId="539CA098" w14:textId="77777777" w:rsidR="00247B61" w:rsidRPr="001558DF" w:rsidRDefault="00247B61" w:rsidP="000B2B07">
            <w:pPr>
              <w:pStyle w:val="TCTableBody"/>
              <w:spacing w:after="0" w:line="360" w:lineRule="auto"/>
            </w:pPr>
            <w:r w:rsidRPr="001558DF">
              <w:t>4.14 ± 0.36</w:t>
            </w:r>
          </w:p>
        </w:tc>
        <w:tc>
          <w:tcPr>
            <w:tcW w:w="1843" w:type="dxa"/>
            <w:tcBorders>
              <w:top w:val="nil"/>
              <w:left w:val="nil"/>
              <w:bottom w:val="single" w:sz="4" w:space="0" w:color="auto"/>
              <w:right w:val="nil"/>
            </w:tcBorders>
            <w:vAlign w:val="center"/>
          </w:tcPr>
          <w:p w14:paraId="3AC9C2DB" w14:textId="77777777" w:rsidR="00247B61" w:rsidRPr="001558DF" w:rsidRDefault="00247B61" w:rsidP="000B2B07">
            <w:pPr>
              <w:pStyle w:val="TCTableBody"/>
              <w:spacing w:after="0" w:line="360" w:lineRule="auto"/>
            </w:pPr>
            <w:r w:rsidRPr="001558DF">
              <w:t xml:space="preserve">2.049 </w:t>
            </w:r>
            <w:r w:rsidRPr="001558DF">
              <w:rPr>
                <w:lang w:val="de-DE"/>
              </w:rPr>
              <w:t>± 0.010</w:t>
            </w:r>
          </w:p>
        </w:tc>
        <w:tc>
          <w:tcPr>
            <w:tcW w:w="1417" w:type="dxa"/>
            <w:tcBorders>
              <w:top w:val="nil"/>
              <w:left w:val="nil"/>
              <w:bottom w:val="single" w:sz="4" w:space="0" w:color="auto"/>
              <w:right w:val="nil"/>
            </w:tcBorders>
            <w:vAlign w:val="center"/>
          </w:tcPr>
          <w:p w14:paraId="69452B04" w14:textId="77777777" w:rsidR="00247B61" w:rsidRPr="001D2D0B" w:rsidRDefault="00247B61" w:rsidP="000B2B07">
            <w:pPr>
              <w:pStyle w:val="TCTableBody"/>
              <w:spacing w:after="0" w:line="360" w:lineRule="auto"/>
            </w:pPr>
            <w:r w:rsidRPr="001558DF">
              <w:t>41 ± 12</w:t>
            </w:r>
          </w:p>
        </w:tc>
        <w:tc>
          <w:tcPr>
            <w:tcW w:w="1276" w:type="dxa"/>
            <w:vMerge/>
            <w:tcBorders>
              <w:left w:val="nil"/>
              <w:bottom w:val="single" w:sz="4" w:space="0" w:color="auto"/>
              <w:right w:val="nil"/>
            </w:tcBorders>
          </w:tcPr>
          <w:p w14:paraId="1D902208" w14:textId="77777777" w:rsidR="00247B61" w:rsidRPr="001D2D0B" w:rsidRDefault="00247B61" w:rsidP="000B2B07">
            <w:pPr>
              <w:pStyle w:val="TCTableBody"/>
              <w:spacing w:after="0" w:line="360" w:lineRule="auto"/>
            </w:pPr>
          </w:p>
        </w:tc>
        <w:tc>
          <w:tcPr>
            <w:tcW w:w="952" w:type="dxa"/>
            <w:vMerge/>
            <w:tcBorders>
              <w:left w:val="nil"/>
              <w:bottom w:val="single" w:sz="4" w:space="0" w:color="auto"/>
              <w:right w:val="nil"/>
            </w:tcBorders>
          </w:tcPr>
          <w:p w14:paraId="3D763DC3" w14:textId="77777777" w:rsidR="00247B61" w:rsidRPr="001D2D0B" w:rsidRDefault="00247B61" w:rsidP="000B2B07">
            <w:pPr>
              <w:pStyle w:val="TCTableBody"/>
              <w:spacing w:after="0" w:line="360" w:lineRule="auto"/>
            </w:pPr>
          </w:p>
        </w:tc>
      </w:tr>
    </w:tbl>
    <w:p w14:paraId="44B2F9A5" w14:textId="77777777" w:rsidR="00247B61" w:rsidRDefault="00247B61" w:rsidP="00247B61">
      <w:pPr>
        <w:pStyle w:val="TAMainText"/>
        <w:spacing w:line="240" w:lineRule="auto"/>
        <w:rPr>
          <w:rFonts w:asciiTheme="majorBidi" w:hAnsiTheme="majorBidi" w:cstheme="majorBidi"/>
        </w:rPr>
      </w:pPr>
    </w:p>
    <w:p w14:paraId="6CE648A7" w14:textId="77777777" w:rsidR="00247B61" w:rsidRPr="00247B61" w:rsidRDefault="00247B61" w:rsidP="00247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Light">
    <w:altName w:val="Aria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C9232" w14:textId="77777777" w:rsidR="00960EE3" w:rsidRDefault="00960E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BF13A4B" w14:textId="77777777" w:rsidR="00960EE3" w:rsidRDefault="00960EE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D029C" w14:textId="77777777" w:rsidR="00960EE3" w:rsidRDefault="00960E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58DF">
      <w:rPr>
        <w:rStyle w:val="Nmerodepgina"/>
        <w:noProof/>
      </w:rPr>
      <w:t>23</w:t>
    </w:r>
    <w:r>
      <w:rPr>
        <w:rStyle w:val="Nmerodepgina"/>
      </w:rPr>
      <w:fldChar w:fldCharType="end"/>
    </w:r>
  </w:p>
  <w:p w14:paraId="2549E228" w14:textId="77777777" w:rsidR="00960EE3" w:rsidRDefault="00960EE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A08BD" w14:textId="77777777" w:rsidR="00191687" w:rsidRDefault="00191687">
      <w:r>
        <w:separator/>
      </w:r>
    </w:p>
  </w:footnote>
  <w:footnote w:type="continuationSeparator" w:id="0">
    <w:p w14:paraId="5B334C81" w14:textId="77777777" w:rsidR="00191687" w:rsidRDefault="00191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47C"/>
    <w:multiLevelType w:val="multilevel"/>
    <w:tmpl w:val="B78A9E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9"/>
  </w:num>
  <w:num w:numId="2">
    <w:abstractNumId w:val="7"/>
  </w:num>
  <w:num w:numId="3">
    <w:abstractNumId w:val="10"/>
  </w:num>
  <w:num w:numId="4">
    <w:abstractNumId w:val="8"/>
  </w:num>
  <w:num w:numId="5">
    <w:abstractNumId w:val="6"/>
  </w:num>
  <w:num w:numId="6">
    <w:abstractNumId w:val="5"/>
  </w:num>
  <w:num w:numId="7">
    <w:abstractNumId w:val="4"/>
  </w:num>
  <w:num w:numId="8">
    <w:abstractNumId w:val="2"/>
  </w:num>
  <w:num w:numId="9">
    <w:abstractNumId w:val="1"/>
  </w:num>
  <w:num w:numId="10">
    <w:abstractNumId w:val="3"/>
  </w:num>
  <w:num w:numId="1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Russell">
    <w15:presenceInfo w15:providerId="None" w15:userId="Andrea Russ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30"/>
    <w:rsid w:val="000002F2"/>
    <w:rsid w:val="000115DE"/>
    <w:rsid w:val="0005543B"/>
    <w:rsid w:val="0005588D"/>
    <w:rsid w:val="0005660F"/>
    <w:rsid w:val="000571BB"/>
    <w:rsid w:val="000702AD"/>
    <w:rsid w:val="00084B9B"/>
    <w:rsid w:val="000A4437"/>
    <w:rsid w:val="000A6996"/>
    <w:rsid w:val="000B2EEB"/>
    <w:rsid w:val="000B5610"/>
    <w:rsid w:val="000C05CC"/>
    <w:rsid w:val="000D3121"/>
    <w:rsid w:val="000F1CA7"/>
    <w:rsid w:val="0010002C"/>
    <w:rsid w:val="00111EA1"/>
    <w:rsid w:val="00141E00"/>
    <w:rsid w:val="0014551C"/>
    <w:rsid w:val="001558DF"/>
    <w:rsid w:val="001669FF"/>
    <w:rsid w:val="0019148D"/>
    <w:rsid w:val="00191687"/>
    <w:rsid w:val="00195ACA"/>
    <w:rsid w:val="001A7A90"/>
    <w:rsid w:val="001C18FE"/>
    <w:rsid w:val="001C4D65"/>
    <w:rsid w:val="001E0B5A"/>
    <w:rsid w:val="001E6085"/>
    <w:rsid w:val="00210F52"/>
    <w:rsid w:val="00211EE2"/>
    <w:rsid w:val="00212B1D"/>
    <w:rsid w:val="002165AE"/>
    <w:rsid w:val="002173A4"/>
    <w:rsid w:val="002223E5"/>
    <w:rsid w:val="0023239C"/>
    <w:rsid w:val="00247B61"/>
    <w:rsid w:val="00266387"/>
    <w:rsid w:val="00271A02"/>
    <w:rsid w:val="002A7493"/>
    <w:rsid w:val="002B7F1C"/>
    <w:rsid w:val="002C3431"/>
    <w:rsid w:val="002D5E46"/>
    <w:rsid w:val="0031373B"/>
    <w:rsid w:val="00315D4D"/>
    <w:rsid w:val="00324128"/>
    <w:rsid w:val="00361048"/>
    <w:rsid w:val="00361E35"/>
    <w:rsid w:val="003664E9"/>
    <w:rsid w:val="003679A1"/>
    <w:rsid w:val="00372548"/>
    <w:rsid w:val="0039764E"/>
    <w:rsid w:val="003A0604"/>
    <w:rsid w:val="003A42F0"/>
    <w:rsid w:val="003B17DE"/>
    <w:rsid w:val="003B4AF3"/>
    <w:rsid w:val="003C4873"/>
    <w:rsid w:val="003E1F76"/>
    <w:rsid w:val="003E45D6"/>
    <w:rsid w:val="0041281F"/>
    <w:rsid w:val="00450591"/>
    <w:rsid w:val="00456B34"/>
    <w:rsid w:val="004570A7"/>
    <w:rsid w:val="00473FBF"/>
    <w:rsid w:val="00475FD2"/>
    <w:rsid w:val="00485290"/>
    <w:rsid w:val="004855CD"/>
    <w:rsid w:val="00495BE2"/>
    <w:rsid w:val="004D162B"/>
    <w:rsid w:val="004E231F"/>
    <w:rsid w:val="004E283C"/>
    <w:rsid w:val="004E7185"/>
    <w:rsid w:val="004E7F3A"/>
    <w:rsid w:val="005416E2"/>
    <w:rsid w:val="00550F63"/>
    <w:rsid w:val="005553EF"/>
    <w:rsid w:val="00567E81"/>
    <w:rsid w:val="0059152C"/>
    <w:rsid w:val="00591A57"/>
    <w:rsid w:val="005A4EF7"/>
    <w:rsid w:val="005A7EC0"/>
    <w:rsid w:val="005B461B"/>
    <w:rsid w:val="005D0C10"/>
    <w:rsid w:val="005E16FF"/>
    <w:rsid w:val="005E6096"/>
    <w:rsid w:val="00603F63"/>
    <w:rsid w:val="006345A7"/>
    <w:rsid w:val="00635E92"/>
    <w:rsid w:val="00636E70"/>
    <w:rsid w:val="006455A5"/>
    <w:rsid w:val="00657CA3"/>
    <w:rsid w:val="00662850"/>
    <w:rsid w:val="00664326"/>
    <w:rsid w:val="00667FB2"/>
    <w:rsid w:val="006775E5"/>
    <w:rsid w:val="00682108"/>
    <w:rsid w:val="00683131"/>
    <w:rsid w:val="0069792E"/>
    <w:rsid w:val="006A1F65"/>
    <w:rsid w:val="006A286A"/>
    <w:rsid w:val="006A3E34"/>
    <w:rsid w:val="006B2581"/>
    <w:rsid w:val="006B5E17"/>
    <w:rsid w:val="006C4159"/>
    <w:rsid w:val="006E1CDE"/>
    <w:rsid w:val="006E38B8"/>
    <w:rsid w:val="006E418B"/>
    <w:rsid w:val="006F1B2A"/>
    <w:rsid w:val="007000D9"/>
    <w:rsid w:val="0070694E"/>
    <w:rsid w:val="00736FBD"/>
    <w:rsid w:val="0074047A"/>
    <w:rsid w:val="00747701"/>
    <w:rsid w:val="007562F8"/>
    <w:rsid w:val="007629D3"/>
    <w:rsid w:val="00766BB3"/>
    <w:rsid w:val="00767002"/>
    <w:rsid w:val="00792FB0"/>
    <w:rsid w:val="00794616"/>
    <w:rsid w:val="007A11AD"/>
    <w:rsid w:val="007B3F29"/>
    <w:rsid w:val="007F4069"/>
    <w:rsid w:val="008022C1"/>
    <w:rsid w:val="008047DE"/>
    <w:rsid w:val="00842F5F"/>
    <w:rsid w:val="0084420D"/>
    <w:rsid w:val="00845175"/>
    <w:rsid w:val="008633FA"/>
    <w:rsid w:val="008655C0"/>
    <w:rsid w:val="00884DC9"/>
    <w:rsid w:val="0089586F"/>
    <w:rsid w:val="00896099"/>
    <w:rsid w:val="008B0983"/>
    <w:rsid w:val="008B6716"/>
    <w:rsid w:val="008C69C6"/>
    <w:rsid w:val="008D30F9"/>
    <w:rsid w:val="008D53B2"/>
    <w:rsid w:val="00900B2B"/>
    <w:rsid w:val="009064D5"/>
    <w:rsid w:val="00912169"/>
    <w:rsid w:val="0092037A"/>
    <w:rsid w:val="00923151"/>
    <w:rsid w:val="009246AD"/>
    <w:rsid w:val="00960EE3"/>
    <w:rsid w:val="0096751F"/>
    <w:rsid w:val="00980A3E"/>
    <w:rsid w:val="0098548F"/>
    <w:rsid w:val="00994F26"/>
    <w:rsid w:val="009E6A6C"/>
    <w:rsid w:val="009F2E7E"/>
    <w:rsid w:val="009F5796"/>
    <w:rsid w:val="00A00053"/>
    <w:rsid w:val="00A0146E"/>
    <w:rsid w:val="00A02D62"/>
    <w:rsid w:val="00A0373C"/>
    <w:rsid w:val="00A04B88"/>
    <w:rsid w:val="00A11581"/>
    <w:rsid w:val="00A17033"/>
    <w:rsid w:val="00A20EB5"/>
    <w:rsid w:val="00A2316C"/>
    <w:rsid w:val="00A764EF"/>
    <w:rsid w:val="00A77DA8"/>
    <w:rsid w:val="00A83FFE"/>
    <w:rsid w:val="00A9279D"/>
    <w:rsid w:val="00AA22A4"/>
    <w:rsid w:val="00AB34C5"/>
    <w:rsid w:val="00AC5A83"/>
    <w:rsid w:val="00AF4F6D"/>
    <w:rsid w:val="00AF7F6A"/>
    <w:rsid w:val="00B05A88"/>
    <w:rsid w:val="00B07863"/>
    <w:rsid w:val="00B11F21"/>
    <w:rsid w:val="00B272A7"/>
    <w:rsid w:val="00B44641"/>
    <w:rsid w:val="00B62BFB"/>
    <w:rsid w:val="00B63221"/>
    <w:rsid w:val="00B7618D"/>
    <w:rsid w:val="00B827F5"/>
    <w:rsid w:val="00BA032F"/>
    <w:rsid w:val="00BD2C44"/>
    <w:rsid w:val="00BF17DA"/>
    <w:rsid w:val="00BF4853"/>
    <w:rsid w:val="00C01A86"/>
    <w:rsid w:val="00C03709"/>
    <w:rsid w:val="00C10BC0"/>
    <w:rsid w:val="00C10EE0"/>
    <w:rsid w:val="00C12556"/>
    <w:rsid w:val="00C14800"/>
    <w:rsid w:val="00C22B59"/>
    <w:rsid w:val="00C32C3D"/>
    <w:rsid w:val="00C41E4C"/>
    <w:rsid w:val="00C6170A"/>
    <w:rsid w:val="00C91180"/>
    <w:rsid w:val="00D115C6"/>
    <w:rsid w:val="00D13290"/>
    <w:rsid w:val="00D24657"/>
    <w:rsid w:val="00D318E5"/>
    <w:rsid w:val="00D32472"/>
    <w:rsid w:val="00D32E24"/>
    <w:rsid w:val="00D3391B"/>
    <w:rsid w:val="00D37467"/>
    <w:rsid w:val="00DD6DBB"/>
    <w:rsid w:val="00DF08DC"/>
    <w:rsid w:val="00E074F2"/>
    <w:rsid w:val="00E16B8E"/>
    <w:rsid w:val="00E22B9D"/>
    <w:rsid w:val="00E40B12"/>
    <w:rsid w:val="00E41E8E"/>
    <w:rsid w:val="00E55CCD"/>
    <w:rsid w:val="00E711E9"/>
    <w:rsid w:val="00E73971"/>
    <w:rsid w:val="00E849C5"/>
    <w:rsid w:val="00E85FB1"/>
    <w:rsid w:val="00E91482"/>
    <w:rsid w:val="00E96302"/>
    <w:rsid w:val="00EA6A35"/>
    <w:rsid w:val="00ED07B2"/>
    <w:rsid w:val="00ED5567"/>
    <w:rsid w:val="00EF2E4C"/>
    <w:rsid w:val="00F134F5"/>
    <w:rsid w:val="00F2039D"/>
    <w:rsid w:val="00F31004"/>
    <w:rsid w:val="00F47B85"/>
    <w:rsid w:val="00F54BDD"/>
    <w:rsid w:val="00F5645C"/>
    <w:rsid w:val="00F748A9"/>
    <w:rsid w:val="00F77DC8"/>
    <w:rsid w:val="00F860DF"/>
    <w:rsid w:val="00F94030"/>
    <w:rsid w:val="00F94A25"/>
    <w:rsid w:val="00FA368D"/>
    <w:rsid w:val="00FB29D2"/>
    <w:rsid w:val="00FC05D3"/>
    <w:rsid w:val="00FE6219"/>
    <w:rsid w:val="00FF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F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w:hAnsi="Times"/>
      <w:sz w:val="24"/>
    </w:rPr>
  </w:style>
  <w:style w:type="paragraph" w:styleId="Ttulo1">
    <w:name w:val="heading 1"/>
    <w:basedOn w:val="Normal"/>
    <w:next w:val="Normal"/>
    <w:link w:val="Ttulo1Car"/>
    <w:qFormat/>
    <w:rsid w:val="00C41E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7B3F29"/>
    <w:pPr>
      <w:keepNext/>
      <w:spacing w:before="60" w:after="60"/>
      <w:outlineLvl w:val="1"/>
    </w:pPr>
    <w:rPr>
      <w:rFonts w:ascii="Myriad Pro Light" w:hAnsi="Myriad Pro Light" w:cs="Arial"/>
      <w:b/>
      <w:bCs/>
      <w:iCs/>
      <w:sz w:val="20"/>
      <w:szCs w:val="28"/>
    </w:rPr>
  </w:style>
  <w:style w:type="paragraph" w:styleId="Ttulo3">
    <w:name w:val="heading 3"/>
    <w:basedOn w:val="Normal"/>
    <w:next w:val="Normal"/>
    <w:link w:val="Ttulo3Car"/>
    <w:semiHidden/>
    <w:unhideWhenUsed/>
    <w:qFormat/>
    <w:rsid w:val="00AA22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visitado">
    <w:name w:val="FollowedHyperlink"/>
    <w:rPr>
      <w:color w:val="800080"/>
      <w:u w:val="single"/>
    </w:rPr>
  </w:style>
  <w:style w:type="paragraph" w:styleId="Textoindependiente">
    <w:name w:val="Body Text"/>
    <w:basedOn w:val="Normal"/>
    <w:pPr>
      <w:jc w:val="center"/>
    </w:pPr>
    <w:rPr>
      <w:b/>
      <w:sz w:val="40"/>
    </w:rPr>
  </w:style>
  <w:style w:type="paragraph" w:styleId="Textonotapie">
    <w:name w:val="footnote text"/>
    <w:basedOn w:val="Normal"/>
    <w:next w:val="TFReferencesSection"/>
    <w:link w:val="TextonotapieCar"/>
    <w:uiPriority w:val="99"/>
    <w:semiHidden/>
  </w:style>
  <w:style w:type="paragraph" w:customStyle="1" w:styleId="TFReferencesSection">
    <w:name w:val="TF_References_Section"/>
    <w:basedOn w:val="Normal"/>
    <w:pPr>
      <w:spacing w:line="480" w:lineRule="auto"/>
      <w:ind w:firstLine="187"/>
    </w:pPr>
  </w:style>
  <w:style w:type="character" w:customStyle="1" w:styleId="TextonotapieCar">
    <w:name w:val="Texto nota pie Car"/>
    <w:basedOn w:val="Fuentedeprrafopredeter"/>
    <w:link w:val="Textonotapie"/>
    <w:uiPriority w:val="99"/>
    <w:semiHidden/>
    <w:rsid w:val="007B3F29"/>
    <w:rPr>
      <w:rFonts w:ascii="Times" w:hAnsi="Times"/>
      <w:sz w:val="24"/>
    </w:r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link w:val="TDAcknowledgmentsChar"/>
    <w:pPr>
      <w:spacing w:before="200" w:line="480" w:lineRule="auto"/>
      <w:ind w:firstLine="202"/>
    </w:pPr>
  </w:style>
  <w:style w:type="character" w:customStyle="1" w:styleId="TDAcknowledgmentsChar">
    <w:name w:val="TD_Acknowledgments Char"/>
    <w:link w:val="TDAcknowledgments"/>
    <w:rsid w:val="007B3F29"/>
    <w:rPr>
      <w:rFonts w:ascii="Times" w:hAnsi="Times"/>
      <w:sz w:val="24"/>
    </w:r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link w:val="TCTableBodyChar"/>
  </w:style>
  <w:style w:type="character" w:customStyle="1" w:styleId="TCTableBodyChar">
    <w:name w:val="TC_Table_Body Char"/>
    <w:link w:val="TCTableBody"/>
    <w:rsid w:val="007B3F29"/>
    <w:rPr>
      <w:rFonts w:ascii="Times" w:hAnsi="Times"/>
      <w:sz w:val="24"/>
    </w:rPr>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ipervnculo">
    <w:name w:val="Hyperlink"/>
    <w:uiPriority w:val="99"/>
    <w:rPr>
      <w:color w:val="0000FF"/>
      <w:u w:val="single"/>
    </w:rPr>
  </w:style>
  <w:style w:type="paragraph" w:styleId="Piedepgina">
    <w:name w:val="footer"/>
    <w:basedOn w:val="Normal"/>
    <w:link w:val="PiedepginaCar"/>
    <w:uiPriority w:val="99"/>
    <w:pPr>
      <w:tabs>
        <w:tab w:val="center" w:pos="4320"/>
        <w:tab w:val="right" w:pos="8640"/>
      </w:tabs>
    </w:pPr>
  </w:style>
  <w:style w:type="character" w:customStyle="1" w:styleId="PiedepginaCar">
    <w:name w:val="Pie de página Car"/>
    <w:basedOn w:val="Fuentedeprrafopredeter"/>
    <w:link w:val="Piedepgina"/>
    <w:uiPriority w:val="99"/>
    <w:rsid w:val="007B3F29"/>
    <w:rPr>
      <w:rFonts w:ascii="Times" w:hAnsi="Times"/>
      <w:sz w:val="24"/>
    </w:r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Nmerodepgina">
    <w:name w:val="page number"/>
    <w:basedOn w:val="Fuentedeprrafopredeter"/>
  </w:style>
  <w:style w:type="paragraph" w:styleId="Textodeglobo">
    <w:name w:val="Balloon Text"/>
    <w:basedOn w:val="Normal"/>
    <w:link w:val="TextodegloboCar"/>
    <w:uiPriority w:val="99"/>
    <w:semiHidden/>
    <w:rsid w:val="00E96302"/>
    <w:rPr>
      <w:rFonts w:ascii="Tahoma" w:hAnsi="Tahoma" w:cs="Tahoma"/>
      <w:sz w:val="16"/>
      <w:szCs w:val="16"/>
    </w:rPr>
  </w:style>
  <w:style w:type="character" w:customStyle="1" w:styleId="TextodegloboCar">
    <w:name w:val="Texto de globo Car"/>
    <w:basedOn w:val="Fuentedeprrafopredeter"/>
    <w:link w:val="Textodeglobo"/>
    <w:uiPriority w:val="99"/>
    <w:semiHidden/>
    <w:rsid w:val="007B3F29"/>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character" w:styleId="Refdenotaalpie">
    <w:name w:val="footnote reference"/>
    <w:basedOn w:val="Fuentedeprrafopredeter"/>
    <w:uiPriority w:val="99"/>
    <w:unhideWhenUsed/>
    <w:rsid w:val="005416E2"/>
    <w:rPr>
      <w:vertAlign w:val="superscript"/>
    </w:rPr>
  </w:style>
  <w:style w:type="paragraph" w:customStyle="1" w:styleId="Affiliation">
    <w:name w:val="Affiliation"/>
    <w:basedOn w:val="Normal"/>
    <w:qFormat/>
    <w:rsid w:val="00141E00"/>
    <w:pPr>
      <w:spacing w:after="0"/>
      <w:jc w:val="center"/>
    </w:pPr>
    <w:rPr>
      <w:rFonts w:ascii="Times New Roman" w:hAnsi="Times New Roman"/>
      <w:sz w:val="20"/>
      <w:szCs w:val="24"/>
      <w:lang w:val="it-IT" w:eastAsia="it-IT"/>
    </w:rPr>
  </w:style>
  <w:style w:type="paragraph" w:styleId="Encabezado">
    <w:name w:val="header"/>
    <w:basedOn w:val="Normal"/>
    <w:link w:val="EncabezadoCar"/>
    <w:uiPriority w:val="99"/>
    <w:rsid w:val="00A77DA8"/>
    <w:pPr>
      <w:tabs>
        <w:tab w:val="center" w:pos="4252"/>
        <w:tab w:val="right" w:pos="8504"/>
      </w:tabs>
      <w:spacing w:after="0"/>
    </w:pPr>
  </w:style>
  <w:style w:type="character" w:customStyle="1" w:styleId="EncabezadoCar">
    <w:name w:val="Encabezado Car"/>
    <w:basedOn w:val="Fuentedeprrafopredeter"/>
    <w:link w:val="Encabezado"/>
    <w:uiPriority w:val="99"/>
    <w:rsid w:val="00A77DA8"/>
    <w:rPr>
      <w:rFonts w:ascii="Times" w:hAnsi="Times"/>
      <w:sz w:val="24"/>
    </w:rPr>
  </w:style>
  <w:style w:type="paragraph" w:styleId="Textonotaalfinal">
    <w:name w:val="endnote text"/>
    <w:basedOn w:val="Normal"/>
    <w:link w:val="TextonotaalfinalCar"/>
    <w:uiPriority w:val="99"/>
    <w:unhideWhenUsed/>
    <w:rsid w:val="0098548F"/>
    <w:pPr>
      <w:spacing w:after="0"/>
      <w:jc w:val="left"/>
    </w:pPr>
    <w:rPr>
      <w:rFonts w:asciiTheme="minorHAnsi" w:eastAsiaTheme="minorEastAsia" w:hAnsiTheme="minorHAnsi" w:cstheme="minorBidi"/>
      <w:sz w:val="20"/>
      <w:lang w:val="en-GB" w:eastAsia="zh-CN"/>
    </w:rPr>
  </w:style>
  <w:style w:type="character" w:customStyle="1" w:styleId="TextonotaalfinalCar">
    <w:name w:val="Texto nota al final Car"/>
    <w:basedOn w:val="Fuentedeprrafopredeter"/>
    <w:link w:val="Textonotaalfinal"/>
    <w:uiPriority w:val="99"/>
    <w:rsid w:val="0098548F"/>
    <w:rPr>
      <w:rFonts w:asciiTheme="minorHAnsi" w:eastAsiaTheme="minorEastAsia" w:hAnsiTheme="minorHAnsi" w:cstheme="minorBidi"/>
      <w:lang w:val="en-GB" w:eastAsia="zh-CN"/>
    </w:rPr>
  </w:style>
  <w:style w:type="character" w:styleId="Refdenotaalfinal">
    <w:name w:val="endnote reference"/>
    <w:basedOn w:val="Fuentedeprrafopredeter"/>
    <w:uiPriority w:val="99"/>
    <w:unhideWhenUsed/>
    <w:rsid w:val="0098548F"/>
    <w:rPr>
      <w:vertAlign w:val="superscript"/>
    </w:rPr>
  </w:style>
  <w:style w:type="character" w:customStyle="1" w:styleId="authorlink">
    <w:name w:val="author_link"/>
    <w:basedOn w:val="Fuentedeprrafopredeter"/>
    <w:rsid w:val="0098548F"/>
  </w:style>
  <w:style w:type="character" w:customStyle="1" w:styleId="apple-converted-space">
    <w:name w:val="apple-converted-space"/>
    <w:basedOn w:val="Fuentedeprrafopredeter"/>
    <w:rsid w:val="0098548F"/>
  </w:style>
  <w:style w:type="character" w:styleId="Textoennegrita">
    <w:name w:val="Strong"/>
    <w:basedOn w:val="Fuentedeprrafopredeter"/>
    <w:uiPriority w:val="22"/>
    <w:qFormat/>
    <w:rsid w:val="0098548F"/>
    <w:rPr>
      <w:b/>
      <w:bCs/>
    </w:rPr>
  </w:style>
  <w:style w:type="character" w:customStyle="1" w:styleId="Ttulo2Car">
    <w:name w:val="Título 2 Car"/>
    <w:basedOn w:val="Fuentedeprrafopredeter"/>
    <w:link w:val="Ttulo2"/>
    <w:rsid w:val="007B3F29"/>
    <w:rPr>
      <w:rFonts w:ascii="Myriad Pro Light" w:hAnsi="Myriad Pro Light" w:cs="Arial"/>
      <w:b/>
      <w:bCs/>
      <w:iCs/>
      <w:szCs w:val="28"/>
    </w:rPr>
  </w:style>
  <w:style w:type="character" w:customStyle="1" w:styleId="TextocomentarioCar">
    <w:name w:val="Texto comentario Car"/>
    <w:basedOn w:val="Fuentedeprrafopredeter"/>
    <w:link w:val="Textocomentario"/>
    <w:uiPriority w:val="99"/>
    <w:rsid w:val="007B3F29"/>
    <w:rPr>
      <w:rFonts w:asciiTheme="minorHAnsi" w:eastAsiaTheme="minorEastAsia" w:hAnsiTheme="minorHAnsi" w:cstheme="minorBidi"/>
      <w:lang w:val="en-GB" w:eastAsia="zh-CN"/>
    </w:rPr>
  </w:style>
  <w:style w:type="paragraph" w:styleId="Textocomentario">
    <w:name w:val="annotation text"/>
    <w:basedOn w:val="Normal"/>
    <w:link w:val="TextocomentarioCar"/>
    <w:uiPriority w:val="99"/>
    <w:unhideWhenUsed/>
    <w:rsid w:val="007B3F29"/>
    <w:pPr>
      <w:jc w:val="left"/>
    </w:pPr>
    <w:rPr>
      <w:rFonts w:asciiTheme="minorHAnsi" w:eastAsiaTheme="minorEastAsia" w:hAnsiTheme="minorHAnsi" w:cstheme="minorBidi"/>
      <w:sz w:val="20"/>
      <w:lang w:val="en-GB" w:eastAsia="zh-CN"/>
    </w:rPr>
  </w:style>
  <w:style w:type="character" w:customStyle="1" w:styleId="AsuntodelcomentarioCar">
    <w:name w:val="Asunto del comentario Car"/>
    <w:basedOn w:val="TextocomentarioCar"/>
    <w:link w:val="Asuntodelcomentario"/>
    <w:uiPriority w:val="99"/>
    <w:rsid w:val="007B3F29"/>
    <w:rPr>
      <w:rFonts w:asciiTheme="minorHAnsi" w:eastAsiaTheme="minorEastAsia" w:hAnsiTheme="minorHAnsi" w:cstheme="minorBidi"/>
      <w:b/>
      <w:bCs/>
      <w:lang w:val="en-GB" w:eastAsia="zh-CN"/>
    </w:rPr>
  </w:style>
  <w:style w:type="paragraph" w:styleId="Asuntodelcomentario">
    <w:name w:val="annotation subject"/>
    <w:basedOn w:val="Textocomentario"/>
    <w:next w:val="Textocomentario"/>
    <w:link w:val="AsuntodelcomentarioCar"/>
    <w:uiPriority w:val="99"/>
    <w:unhideWhenUsed/>
    <w:rsid w:val="007B3F29"/>
    <w:rPr>
      <w:b/>
      <w:bCs/>
    </w:rPr>
  </w:style>
  <w:style w:type="paragraph" w:styleId="Prrafodelista">
    <w:name w:val="List Paragraph"/>
    <w:basedOn w:val="Normal"/>
    <w:uiPriority w:val="34"/>
    <w:qFormat/>
    <w:rsid w:val="000115DE"/>
    <w:pPr>
      <w:spacing w:line="276" w:lineRule="auto"/>
      <w:ind w:left="720"/>
      <w:contextualSpacing/>
      <w:jc w:val="left"/>
    </w:pPr>
    <w:rPr>
      <w:rFonts w:asciiTheme="minorHAnsi" w:eastAsiaTheme="minorEastAsia" w:hAnsiTheme="minorHAnsi" w:cstheme="minorBidi"/>
      <w:sz w:val="22"/>
      <w:szCs w:val="22"/>
      <w:lang w:val="en-GB" w:eastAsia="zh-CN"/>
    </w:rPr>
  </w:style>
  <w:style w:type="character" w:styleId="Refdecomentario">
    <w:name w:val="annotation reference"/>
    <w:basedOn w:val="Fuentedeprrafopredeter"/>
    <w:uiPriority w:val="99"/>
    <w:unhideWhenUsed/>
    <w:rsid w:val="00315D4D"/>
    <w:rPr>
      <w:sz w:val="16"/>
      <w:szCs w:val="16"/>
    </w:rPr>
  </w:style>
  <w:style w:type="character" w:customStyle="1" w:styleId="Ttulo1Car">
    <w:name w:val="Título 1 Car"/>
    <w:basedOn w:val="Fuentedeprrafopredeter"/>
    <w:link w:val="Ttulo1"/>
    <w:rsid w:val="00C41E4C"/>
    <w:rPr>
      <w:rFonts w:asciiTheme="majorHAnsi" w:eastAsiaTheme="majorEastAsia" w:hAnsiTheme="majorHAnsi" w:cstheme="majorBidi"/>
      <w:b/>
      <w:bCs/>
      <w:color w:val="365F91" w:themeColor="accent1" w:themeShade="BF"/>
      <w:sz w:val="28"/>
      <w:szCs w:val="28"/>
    </w:rPr>
  </w:style>
  <w:style w:type="character" w:customStyle="1" w:styleId="rendering">
    <w:name w:val="rendering"/>
    <w:basedOn w:val="Fuentedeprrafopredeter"/>
    <w:rsid w:val="007562F8"/>
  </w:style>
  <w:style w:type="character" w:customStyle="1" w:styleId="hlfld-title">
    <w:name w:val="hlfld-title"/>
    <w:basedOn w:val="Fuentedeprrafopredeter"/>
    <w:rsid w:val="006E38B8"/>
  </w:style>
  <w:style w:type="character" w:customStyle="1" w:styleId="Ttulo3Car">
    <w:name w:val="Título 3 Car"/>
    <w:basedOn w:val="Fuentedeprrafopredeter"/>
    <w:link w:val="Ttulo3"/>
    <w:semiHidden/>
    <w:rsid w:val="00AA22A4"/>
    <w:rPr>
      <w:rFonts w:asciiTheme="majorHAnsi" w:eastAsiaTheme="majorEastAsia" w:hAnsiTheme="majorHAnsi" w:cstheme="majorBidi"/>
      <w:b/>
      <w:bCs/>
      <w:color w:val="4F81BD" w:themeColor="accent1"/>
      <w:sz w:val="24"/>
    </w:rPr>
  </w:style>
  <w:style w:type="character" w:customStyle="1" w:styleId="it">
    <w:name w:val="it"/>
    <w:basedOn w:val="Fuentedeprrafopredeter"/>
    <w:rsid w:val="00AA22A4"/>
  </w:style>
  <w:style w:type="character" w:styleId="nfasis">
    <w:name w:val="Emphasis"/>
    <w:basedOn w:val="Fuentedeprrafopredeter"/>
    <w:uiPriority w:val="20"/>
    <w:qFormat/>
    <w:rsid w:val="00F310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w:hAnsi="Times"/>
      <w:sz w:val="24"/>
    </w:rPr>
  </w:style>
  <w:style w:type="paragraph" w:styleId="Ttulo1">
    <w:name w:val="heading 1"/>
    <w:basedOn w:val="Normal"/>
    <w:next w:val="Normal"/>
    <w:link w:val="Ttulo1Car"/>
    <w:qFormat/>
    <w:rsid w:val="00C41E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7B3F29"/>
    <w:pPr>
      <w:keepNext/>
      <w:spacing w:before="60" w:after="60"/>
      <w:outlineLvl w:val="1"/>
    </w:pPr>
    <w:rPr>
      <w:rFonts w:ascii="Myriad Pro Light" w:hAnsi="Myriad Pro Light" w:cs="Arial"/>
      <w:b/>
      <w:bCs/>
      <w:iCs/>
      <w:sz w:val="20"/>
      <w:szCs w:val="28"/>
    </w:rPr>
  </w:style>
  <w:style w:type="paragraph" w:styleId="Ttulo3">
    <w:name w:val="heading 3"/>
    <w:basedOn w:val="Normal"/>
    <w:next w:val="Normal"/>
    <w:link w:val="Ttulo3Car"/>
    <w:semiHidden/>
    <w:unhideWhenUsed/>
    <w:qFormat/>
    <w:rsid w:val="00AA22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visitado">
    <w:name w:val="FollowedHyperlink"/>
    <w:rPr>
      <w:color w:val="800080"/>
      <w:u w:val="single"/>
    </w:rPr>
  </w:style>
  <w:style w:type="paragraph" w:styleId="Textoindependiente">
    <w:name w:val="Body Text"/>
    <w:basedOn w:val="Normal"/>
    <w:pPr>
      <w:jc w:val="center"/>
    </w:pPr>
    <w:rPr>
      <w:b/>
      <w:sz w:val="40"/>
    </w:rPr>
  </w:style>
  <w:style w:type="paragraph" w:styleId="Textonotapie">
    <w:name w:val="footnote text"/>
    <w:basedOn w:val="Normal"/>
    <w:next w:val="TFReferencesSection"/>
    <w:link w:val="TextonotapieCar"/>
    <w:uiPriority w:val="99"/>
    <w:semiHidden/>
  </w:style>
  <w:style w:type="paragraph" w:customStyle="1" w:styleId="TFReferencesSection">
    <w:name w:val="TF_References_Section"/>
    <w:basedOn w:val="Normal"/>
    <w:pPr>
      <w:spacing w:line="480" w:lineRule="auto"/>
      <w:ind w:firstLine="187"/>
    </w:pPr>
  </w:style>
  <w:style w:type="character" w:customStyle="1" w:styleId="TextonotapieCar">
    <w:name w:val="Texto nota pie Car"/>
    <w:basedOn w:val="Fuentedeprrafopredeter"/>
    <w:link w:val="Textonotapie"/>
    <w:uiPriority w:val="99"/>
    <w:semiHidden/>
    <w:rsid w:val="007B3F29"/>
    <w:rPr>
      <w:rFonts w:ascii="Times" w:hAnsi="Times"/>
      <w:sz w:val="24"/>
    </w:r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link w:val="TDAcknowledgmentsChar"/>
    <w:pPr>
      <w:spacing w:before="200" w:line="480" w:lineRule="auto"/>
      <w:ind w:firstLine="202"/>
    </w:pPr>
  </w:style>
  <w:style w:type="character" w:customStyle="1" w:styleId="TDAcknowledgmentsChar">
    <w:name w:val="TD_Acknowledgments Char"/>
    <w:link w:val="TDAcknowledgments"/>
    <w:rsid w:val="007B3F29"/>
    <w:rPr>
      <w:rFonts w:ascii="Times" w:hAnsi="Times"/>
      <w:sz w:val="24"/>
    </w:r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link w:val="TCTableBodyChar"/>
  </w:style>
  <w:style w:type="character" w:customStyle="1" w:styleId="TCTableBodyChar">
    <w:name w:val="TC_Table_Body Char"/>
    <w:link w:val="TCTableBody"/>
    <w:rsid w:val="007B3F29"/>
    <w:rPr>
      <w:rFonts w:ascii="Times" w:hAnsi="Times"/>
      <w:sz w:val="24"/>
    </w:rPr>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ipervnculo">
    <w:name w:val="Hyperlink"/>
    <w:uiPriority w:val="99"/>
    <w:rPr>
      <w:color w:val="0000FF"/>
      <w:u w:val="single"/>
    </w:rPr>
  </w:style>
  <w:style w:type="paragraph" w:styleId="Piedepgina">
    <w:name w:val="footer"/>
    <w:basedOn w:val="Normal"/>
    <w:link w:val="PiedepginaCar"/>
    <w:uiPriority w:val="99"/>
    <w:pPr>
      <w:tabs>
        <w:tab w:val="center" w:pos="4320"/>
        <w:tab w:val="right" w:pos="8640"/>
      </w:tabs>
    </w:pPr>
  </w:style>
  <w:style w:type="character" w:customStyle="1" w:styleId="PiedepginaCar">
    <w:name w:val="Pie de página Car"/>
    <w:basedOn w:val="Fuentedeprrafopredeter"/>
    <w:link w:val="Piedepgina"/>
    <w:uiPriority w:val="99"/>
    <w:rsid w:val="007B3F29"/>
    <w:rPr>
      <w:rFonts w:ascii="Times" w:hAnsi="Times"/>
      <w:sz w:val="24"/>
    </w:r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Nmerodepgina">
    <w:name w:val="page number"/>
    <w:basedOn w:val="Fuentedeprrafopredeter"/>
  </w:style>
  <w:style w:type="paragraph" w:styleId="Textodeglobo">
    <w:name w:val="Balloon Text"/>
    <w:basedOn w:val="Normal"/>
    <w:link w:val="TextodegloboCar"/>
    <w:uiPriority w:val="99"/>
    <w:semiHidden/>
    <w:rsid w:val="00E96302"/>
    <w:rPr>
      <w:rFonts w:ascii="Tahoma" w:hAnsi="Tahoma" w:cs="Tahoma"/>
      <w:sz w:val="16"/>
      <w:szCs w:val="16"/>
    </w:rPr>
  </w:style>
  <w:style w:type="character" w:customStyle="1" w:styleId="TextodegloboCar">
    <w:name w:val="Texto de globo Car"/>
    <w:basedOn w:val="Fuentedeprrafopredeter"/>
    <w:link w:val="Textodeglobo"/>
    <w:uiPriority w:val="99"/>
    <w:semiHidden/>
    <w:rsid w:val="007B3F29"/>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customStyle="1" w:styleId="Default">
    <w:name w:val="Default"/>
    <w:rsid w:val="001A7A90"/>
    <w:pPr>
      <w:autoSpaceDE w:val="0"/>
      <w:autoSpaceDN w:val="0"/>
      <w:adjustRightInd w:val="0"/>
    </w:pPr>
    <w:rPr>
      <w:rFonts w:ascii="Symbol" w:hAnsi="Symbol" w:cs="Symbol"/>
      <w:color w:val="000000"/>
      <w:sz w:val="24"/>
      <w:szCs w:val="24"/>
    </w:rPr>
  </w:style>
  <w:style w:type="character" w:styleId="Refdenotaalpie">
    <w:name w:val="footnote reference"/>
    <w:basedOn w:val="Fuentedeprrafopredeter"/>
    <w:uiPriority w:val="99"/>
    <w:unhideWhenUsed/>
    <w:rsid w:val="005416E2"/>
    <w:rPr>
      <w:vertAlign w:val="superscript"/>
    </w:rPr>
  </w:style>
  <w:style w:type="paragraph" w:customStyle="1" w:styleId="Affiliation">
    <w:name w:val="Affiliation"/>
    <w:basedOn w:val="Normal"/>
    <w:qFormat/>
    <w:rsid w:val="00141E00"/>
    <w:pPr>
      <w:spacing w:after="0"/>
      <w:jc w:val="center"/>
    </w:pPr>
    <w:rPr>
      <w:rFonts w:ascii="Times New Roman" w:hAnsi="Times New Roman"/>
      <w:sz w:val="20"/>
      <w:szCs w:val="24"/>
      <w:lang w:val="it-IT" w:eastAsia="it-IT"/>
    </w:rPr>
  </w:style>
  <w:style w:type="paragraph" w:styleId="Encabezado">
    <w:name w:val="header"/>
    <w:basedOn w:val="Normal"/>
    <w:link w:val="EncabezadoCar"/>
    <w:uiPriority w:val="99"/>
    <w:rsid w:val="00A77DA8"/>
    <w:pPr>
      <w:tabs>
        <w:tab w:val="center" w:pos="4252"/>
        <w:tab w:val="right" w:pos="8504"/>
      </w:tabs>
      <w:spacing w:after="0"/>
    </w:pPr>
  </w:style>
  <w:style w:type="character" w:customStyle="1" w:styleId="EncabezadoCar">
    <w:name w:val="Encabezado Car"/>
    <w:basedOn w:val="Fuentedeprrafopredeter"/>
    <w:link w:val="Encabezado"/>
    <w:uiPriority w:val="99"/>
    <w:rsid w:val="00A77DA8"/>
    <w:rPr>
      <w:rFonts w:ascii="Times" w:hAnsi="Times"/>
      <w:sz w:val="24"/>
    </w:rPr>
  </w:style>
  <w:style w:type="paragraph" w:styleId="Textonotaalfinal">
    <w:name w:val="endnote text"/>
    <w:basedOn w:val="Normal"/>
    <w:link w:val="TextonotaalfinalCar"/>
    <w:uiPriority w:val="99"/>
    <w:unhideWhenUsed/>
    <w:rsid w:val="0098548F"/>
    <w:pPr>
      <w:spacing w:after="0"/>
      <w:jc w:val="left"/>
    </w:pPr>
    <w:rPr>
      <w:rFonts w:asciiTheme="minorHAnsi" w:eastAsiaTheme="minorEastAsia" w:hAnsiTheme="minorHAnsi" w:cstheme="minorBidi"/>
      <w:sz w:val="20"/>
      <w:lang w:val="en-GB" w:eastAsia="zh-CN"/>
    </w:rPr>
  </w:style>
  <w:style w:type="character" w:customStyle="1" w:styleId="TextonotaalfinalCar">
    <w:name w:val="Texto nota al final Car"/>
    <w:basedOn w:val="Fuentedeprrafopredeter"/>
    <w:link w:val="Textonotaalfinal"/>
    <w:uiPriority w:val="99"/>
    <w:rsid w:val="0098548F"/>
    <w:rPr>
      <w:rFonts w:asciiTheme="minorHAnsi" w:eastAsiaTheme="minorEastAsia" w:hAnsiTheme="minorHAnsi" w:cstheme="minorBidi"/>
      <w:lang w:val="en-GB" w:eastAsia="zh-CN"/>
    </w:rPr>
  </w:style>
  <w:style w:type="character" w:styleId="Refdenotaalfinal">
    <w:name w:val="endnote reference"/>
    <w:basedOn w:val="Fuentedeprrafopredeter"/>
    <w:uiPriority w:val="99"/>
    <w:unhideWhenUsed/>
    <w:rsid w:val="0098548F"/>
    <w:rPr>
      <w:vertAlign w:val="superscript"/>
    </w:rPr>
  </w:style>
  <w:style w:type="character" w:customStyle="1" w:styleId="authorlink">
    <w:name w:val="author_link"/>
    <w:basedOn w:val="Fuentedeprrafopredeter"/>
    <w:rsid w:val="0098548F"/>
  </w:style>
  <w:style w:type="character" w:customStyle="1" w:styleId="apple-converted-space">
    <w:name w:val="apple-converted-space"/>
    <w:basedOn w:val="Fuentedeprrafopredeter"/>
    <w:rsid w:val="0098548F"/>
  </w:style>
  <w:style w:type="character" w:styleId="Textoennegrita">
    <w:name w:val="Strong"/>
    <w:basedOn w:val="Fuentedeprrafopredeter"/>
    <w:uiPriority w:val="22"/>
    <w:qFormat/>
    <w:rsid w:val="0098548F"/>
    <w:rPr>
      <w:b/>
      <w:bCs/>
    </w:rPr>
  </w:style>
  <w:style w:type="character" w:customStyle="1" w:styleId="Ttulo2Car">
    <w:name w:val="Título 2 Car"/>
    <w:basedOn w:val="Fuentedeprrafopredeter"/>
    <w:link w:val="Ttulo2"/>
    <w:rsid w:val="007B3F29"/>
    <w:rPr>
      <w:rFonts w:ascii="Myriad Pro Light" w:hAnsi="Myriad Pro Light" w:cs="Arial"/>
      <w:b/>
      <w:bCs/>
      <w:iCs/>
      <w:szCs w:val="28"/>
    </w:rPr>
  </w:style>
  <w:style w:type="character" w:customStyle="1" w:styleId="TextocomentarioCar">
    <w:name w:val="Texto comentario Car"/>
    <w:basedOn w:val="Fuentedeprrafopredeter"/>
    <w:link w:val="Textocomentario"/>
    <w:uiPriority w:val="99"/>
    <w:rsid w:val="007B3F29"/>
    <w:rPr>
      <w:rFonts w:asciiTheme="minorHAnsi" w:eastAsiaTheme="minorEastAsia" w:hAnsiTheme="minorHAnsi" w:cstheme="minorBidi"/>
      <w:lang w:val="en-GB" w:eastAsia="zh-CN"/>
    </w:rPr>
  </w:style>
  <w:style w:type="paragraph" w:styleId="Textocomentario">
    <w:name w:val="annotation text"/>
    <w:basedOn w:val="Normal"/>
    <w:link w:val="TextocomentarioCar"/>
    <w:uiPriority w:val="99"/>
    <w:unhideWhenUsed/>
    <w:rsid w:val="007B3F29"/>
    <w:pPr>
      <w:jc w:val="left"/>
    </w:pPr>
    <w:rPr>
      <w:rFonts w:asciiTheme="minorHAnsi" w:eastAsiaTheme="minorEastAsia" w:hAnsiTheme="minorHAnsi" w:cstheme="minorBidi"/>
      <w:sz w:val="20"/>
      <w:lang w:val="en-GB" w:eastAsia="zh-CN"/>
    </w:rPr>
  </w:style>
  <w:style w:type="character" w:customStyle="1" w:styleId="AsuntodelcomentarioCar">
    <w:name w:val="Asunto del comentario Car"/>
    <w:basedOn w:val="TextocomentarioCar"/>
    <w:link w:val="Asuntodelcomentario"/>
    <w:uiPriority w:val="99"/>
    <w:rsid w:val="007B3F29"/>
    <w:rPr>
      <w:rFonts w:asciiTheme="minorHAnsi" w:eastAsiaTheme="minorEastAsia" w:hAnsiTheme="minorHAnsi" w:cstheme="minorBidi"/>
      <w:b/>
      <w:bCs/>
      <w:lang w:val="en-GB" w:eastAsia="zh-CN"/>
    </w:rPr>
  </w:style>
  <w:style w:type="paragraph" w:styleId="Asuntodelcomentario">
    <w:name w:val="annotation subject"/>
    <w:basedOn w:val="Textocomentario"/>
    <w:next w:val="Textocomentario"/>
    <w:link w:val="AsuntodelcomentarioCar"/>
    <w:uiPriority w:val="99"/>
    <w:unhideWhenUsed/>
    <w:rsid w:val="007B3F29"/>
    <w:rPr>
      <w:b/>
      <w:bCs/>
    </w:rPr>
  </w:style>
  <w:style w:type="paragraph" w:styleId="Prrafodelista">
    <w:name w:val="List Paragraph"/>
    <w:basedOn w:val="Normal"/>
    <w:uiPriority w:val="34"/>
    <w:qFormat/>
    <w:rsid w:val="000115DE"/>
    <w:pPr>
      <w:spacing w:line="276" w:lineRule="auto"/>
      <w:ind w:left="720"/>
      <w:contextualSpacing/>
      <w:jc w:val="left"/>
    </w:pPr>
    <w:rPr>
      <w:rFonts w:asciiTheme="minorHAnsi" w:eastAsiaTheme="minorEastAsia" w:hAnsiTheme="minorHAnsi" w:cstheme="minorBidi"/>
      <w:sz w:val="22"/>
      <w:szCs w:val="22"/>
      <w:lang w:val="en-GB" w:eastAsia="zh-CN"/>
    </w:rPr>
  </w:style>
  <w:style w:type="character" w:styleId="Refdecomentario">
    <w:name w:val="annotation reference"/>
    <w:basedOn w:val="Fuentedeprrafopredeter"/>
    <w:uiPriority w:val="99"/>
    <w:unhideWhenUsed/>
    <w:rsid w:val="00315D4D"/>
    <w:rPr>
      <w:sz w:val="16"/>
      <w:szCs w:val="16"/>
    </w:rPr>
  </w:style>
  <w:style w:type="character" w:customStyle="1" w:styleId="Ttulo1Car">
    <w:name w:val="Título 1 Car"/>
    <w:basedOn w:val="Fuentedeprrafopredeter"/>
    <w:link w:val="Ttulo1"/>
    <w:rsid w:val="00C41E4C"/>
    <w:rPr>
      <w:rFonts w:asciiTheme="majorHAnsi" w:eastAsiaTheme="majorEastAsia" w:hAnsiTheme="majorHAnsi" w:cstheme="majorBidi"/>
      <w:b/>
      <w:bCs/>
      <w:color w:val="365F91" w:themeColor="accent1" w:themeShade="BF"/>
      <w:sz w:val="28"/>
      <w:szCs w:val="28"/>
    </w:rPr>
  </w:style>
  <w:style w:type="character" w:customStyle="1" w:styleId="rendering">
    <w:name w:val="rendering"/>
    <w:basedOn w:val="Fuentedeprrafopredeter"/>
    <w:rsid w:val="007562F8"/>
  </w:style>
  <w:style w:type="character" w:customStyle="1" w:styleId="hlfld-title">
    <w:name w:val="hlfld-title"/>
    <w:basedOn w:val="Fuentedeprrafopredeter"/>
    <w:rsid w:val="006E38B8"/>
  </w:style>
  <w:style w:type="character" w:customStyle="1" w:styleId="Ttulo3Car">
    <w:name w:val="Título 3 Car"/>
    <w:basedOn w:val="Fuentedeprrafopredeter"/>
    <w:link w:val="Ttulo3"/>
    <w:semiHidden/>
    <w:rsid w:val="00AA22A4"/>
    <w:rPr>
      <w:rFonts w:asciiTheme="majorHAnsi" w:eastAsiaTheme="majorEastAsia" w:hAnsiTheme="majorHAnsi" w:cstheme="majorBidi"/>
      <w:b/>
      <w:bCs/>
      <w:color w:val="4F81BD" w:themeColor="accent1"/>
      <w:sz w:val="24"/>
    </w:rPr>
  </w:style>
  <w:style w:type="character" w:customStyle="1" w:styleId="it">
    <w:name w:val="it"/>
    <w:basedOn w:val="Fuentedeprrafopredeter"/>
    <w:rsid w:val="00AA22A4"/>
  </w:style>
  <w:style w:type="character" w:styleId="nfasis">
    <w:name w:val="Emphasis"/>
    <w:basedOn w:val="Fuentedeprrafopredeter"/>
    <w:uiPriority w:val="20"/>
    <w:qFormat/>
    <w:rsid w:val="00F310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8668">
      <w:bodyDiv w:val="1"/>
      <w:marLeft w:val="0"/>
      <w:marRight w:val="0"/>
      <w:marTop w:val="0"/>
      <w:marBottom w:val="0"/>
      <w:divBdr>
        <w:top w:val="none" w:sz="0" w:space="0" w:color="auto"/>
        <w:left w:val="none" w:sz="0" w:space="0" w:color="auto"/>
        <w:bottom w:val="none" w:sz="0" w:space="0" w:color="auto"/>
        <w:right w:val="none" w:sz="0" w:space="0" w:color="auto"/>
      </w:divBdr>
    </w:div>
    <w:div w:id="132330876">
      <w:bodyDiv w:val="1"/>
      <w:marLeft w:val="0"/>
      <w:marRight w:val="0"/>
      <w:marTop w:val="0"/>
      <w:marBottom w:val="0"/>
      <w:divBdr>
        <w:top w:val="none" w:sz="0" w:space="0" w:color="auto"/>
        <w:left w:val="none" w:sz="0" w:space="0" w:color="auto"/>
        <w:bottom w:val="none" w:sz="0" w:space="0" w:color="auto"/>
        <w:right w:val="none" w:sz="0" w:space="0" w:color="auto"/>
      </w:divBdr>
    </w:div>
    <w:div w:id="217203402">
      <w:bodyDiv w:val="1"/>
      <w:marLeft w:val="0"/>
      <w:marRight w:val="0"/>
      <w:marTop w:val="0"/>
      <w:marBottom w:val="0"/>
      <w:divBdr>
        <w:top w:val="none" w:sz="0" w:space="0" w:color="auto"/>
        <w:left w:val="none" w:sz="0" w:space="0" w:color="auto"/>
        <w:bottom w:val="none" w:sz="0" w:space="0" w:color="auto"/>
        <w:right w:val="none" w:sz="0" w:space="0" w:color="auto"/>
      </w:divBdr>
    </w:div>
    <w:div w:id="218710395">
      <w:bodyDiv w:val="1"/>
      <w:marLeft w:val="0"/>
      <w:marRight w:val="0"/>
      <w:marTop w:val="0"/>
      <w:marBottom w:val="0"/>
      <w:divBdr>
        <w:top w:val="none" w:sz="0" w:space="0" w:color="auto"/>
        <w:left w:val="none" w:sz="0" w:space="0" w:color="auto"/>
        <w:bottom w:val="none" w:sz="0" w:space="0" w:color="auto"/>
        <w:right w:val="none" w:sz="0" w:space="0" w:color="auto"/>
      </w:divBdr>
    </w:div>
    <w:div w:id="231162996">
      <w:bodyDiv w:val="1"/>
      <w:marLeft w:val="0"/>
      <w:marRight w:val="0"/>
      <w:marTop w:val="0"/>
      <w:marBottom w:val="0"/>
      <w:divBdr>
        <w:top w:val="none" w:sz="0" w:space="0" w:color="auto"/>
        <w:left w:val="none" w:sz="0" w:space="0" w:color="auto"/>
        <w:bottom w:val="none" w:sz="0" w:space="0" w:color="auto"/>
        <w:right w:val="none" w:sz="0" w:space="0" w:color="auto"/>
      </w:divBdr>
    </w:div>
    <w:div w:id="243808789">
      <w:bodyDiv w:val="1"/>
      <w:marLeft w:val="0"/>
      <w:marRight w:val="0"/>
      <w:marTop w:val="0"/>
      <w:marBottom w:val="0"/>
      <w:divBdr>
        <w:top w:val="none" w:sz="0" w:space="0" w:color="auto"/>
        <w:left w:val="none" w:sz="0" w:space="0" w:color="auto"/>
        <w:bottom w:val="none" w:sz="0" w:space="0" w:color="auto"/>
        <w:right w:val="none" w:sz="0" w:space="0" w:color="auto"/>
      </w:divBdr>
    </w:div>
    <w:div w:id="271940876">
      <w:bodyDiv w:val="1"/>
      <w:marLeft w:val="0"/>
      <w:marRight w:val="0"/>
      <w:marTop w:val="0"/>
      <w:marBottom w:val="0"/>
      <w:divBdr>
        <w:top w:val="none" w:sz="0" w:space="0" w:color="auto"/>
        <w:left w:val="none" w:sz="0" w:space="0" w:color="auto"/>
        <w:bottom w:val="none" w:sz="0" w:space="0" w:color="auto"/>
        <w:right w:val="none" w:sz="0" w:space="0" w:color="auto"/>
      </w:divBdr>
    </w:div>
    <w:div w:id="510531201">
      <w:bodyDiv w:val="1"/>
      <w:marLeft w:val="0"/>
      <w:marRight w:val="0"/>
      <w:marTop w:val="0"/>
      <w:marBottom w:val="0"/>
      <w:divBdr>
        <w:top w:val="none" w:sz="0" w:space="0" w:color="auto"/>
        <w:left w:val="none" w:sz="0" w:space="0" w:color="auto"/>
        <w:bottom w:val="none" w:sz="0" w:space="0" w:color="auto"/>
        <w:right w:val="none" w:sz="0" w:space="0" w:color="auto"/>
      </w:divBdr>
    </w:div>
    <w:div w:id="533690711">
      <w:bodyDiv w:val="1"/>
      <w:marLeft w:val="0"/>
      <w:marRight w:val="0"/>
      <w:marTop w:val="0"/>
      <w:marBottom w:val="0"/>
      <w:divBdr>
        <w:top w:val="none" w:sz="0" w:space="0" w:color="auto"/>
        <w:left w:val="none" w:sz="0" w:space="0" w:color="auto"/>
        <w:bottom w:val="none" w:sz="0" w:space="0" w:color="auto"/>
        <w:right w:val="none" w:sz="0" w:space="0" w:color="auto"/>
      </w:divBdr>
    </w:div>
    <w:div w:id="602230049">
      <w:bodyDiv w:val="1"/>
      <w:marLeft w:val="0"/>
      <w:marRight w:val="0"/>
      <w:marTop w:val="0"/>
      <w:marBottom w:val="0"/>
      <w:divBdr>
        <w:top w:val="none" w:sz="0" w:space="0" w:color="auto"/>
        <w:left w:val="none" w:sz="0" w:space="0" w:color="auto"/>
        <w:bottom w:val="none" w:sz="0" w:space="0" w:color="auto"/>
        <w:right w:val="none" w:sz="0" w:space="0" w:color="auto"/>
      </w:divBdr>
    </w:div>
    <w:div w:id="681010129">
      <w:bodyDiv w:val="1"/>
      <w:marLeft w:val="0"/>
      <w:marRight w:val="0"/>
      <w:marTop w:val="0"/>
      <w:marBottom w:val="0"/>
      <w:divBdr>
        <w:top w:val="none" w:sz="0" w:space="0" w:color="auto"/>
        <w:left w:val="none" w:sz="0" w:space="0" w:color="auto"/>
        <w:bottom w:val="none" w:sz="0" w:space="0" w:color="auto"/>
        <w:right w:val="none" w:sz="0" w:space="0" w:color="auto"/>
      </w:divBdr>
    </w:div>
    <w:div w:id="820539122">
      <w:bodyDiv w:val="1"/>
      <w:marLeft w:val="0"/>
      <w:marRight w:val="0"/>
      <w:marTop w:val="0"/>
      <w:marBottom w:val="0"/>
      <w:divBdr>
        <w:top w:val="none" w:sz="0" w:space="0" w:color="auto"/>
        <w:left w:val="none" w:sz="0" w:space="0" w:color="auto"/>
        <w:bottom w:val="none" w:sz="0" w:space="0" w:color="auto"/>
        <w:right w:val="none" w:sz="0" w:space="0" w:color="auto"/>
      </w:divBdr>
    </w:div>
    <w:div w:id="907304481">
      <w:bodyDiv w:val="1"/>
      <w:marLeft w:val="0"/>
      <w:marRight w:val="0"/>
      <w:marTop w:val="0"/>
      <w:marBottom w:val="0"/>
      <w:divBdr>
        <w:top w:val="none" w:sz="0" w:space="0" w:color="auto"/>
        <w:left w:val="none" w:sz="0" w:space="0" w:color="auto"/>
        <w:bottom w:val="none" w:sz="0" w:space="0" w:color="auto"/>
        <w:right w:val="none" w:sz="0" w:space="0" w:color="auto"/>
      </w:divBdr>
    </w:div>
    <w:div w:id="950622397">
      <w:bodyDiv w:val="1"/>
      <w:marLeft w:val="0"/>
      <w:marRight w:val="0"/>
      <w:marTop w:val="0"/>
      <w:marBottom w:val="0"/>
      <w:divBdr>
        <w:top w:val="none" w:sz="0" w:space="0" w:color="auto"/>
        <w:left w:val="none" w:sz="0" w:space="0" w:color="auto"/>
        <w:bottom w:val="none" w:sz="0" w:space="0" w:color="auto"/>
        <w:right w:val="none" w:sz="0" w:space="0" w:color="auto"/>
      </w:divBdr>
    </w:div>
    <w:div w:id="1035078775">
      <w:bodyDiv w:val="1"/>
      <w:marLeft w:val="0"/>
      <w:marRight w:val="0"/>
      <w:marTop w:val="0"/>
      <w:marBottom w:val="0"/>
      <w:divBdr>
        <w:top w:val="none" w:sz="0" w:space="0" w:color="auto"/>
        <w:left w:val="none" w:sz="0" w:space="0" w:color="auto"/>
        <w:bottom w:val="none" w:sz="0" w:space="0" w:color="auto"/>
        <w:right w:val="none" w:sz="0" w:space="0" w:color="auto"/>
      </w:divBdr>
    </w:div>
    <w:div w:id="1141077060">
      <w:bodyDiv w:val="1"/>
      <w:marLeft w:val="0"/>
      <w:marRight w:val="0"/>
      <w:marTop w:val="0"/>
      <w:marBottom w:val="0"/>
      <w:divBdr>
        <w:top w:val="none" w:sz="0" w:space="0" w:color="auto"/>
        <w:left w:val="none" w:sz="0" w:space="0" w:color="auto"/>
        <w:bottom w:val="none" w:sz="0" w:space="0" w:color="auto"/>
        <w:right w:val="none" w:sz="0" w:space="0" w:color="auto"/>
      </w:divBdr>
    </w:div>
    <w:div w:id="1157259416">
      <w:bodyDiv w:val="1"/>
      <w:marLeft w:val="0"/>
      <w:marRight w:val="0"/>
      <w:marTop w:val="0"/>
      <w:marBottom w:val="0"/>
      <w:divBdr>
        <w:top w:val="none" w:sz="0" w:space="0" w:color="auto"/>
        <w:left w:val="none" w:sz="0" w:space="0" w:color="auto"/>
        <w:bottom w:val="none" w:sz="0" w:space="0" w:color="auto"/>
        <w:right w:val="none" w:sz="0" w:space="0" w:color="auto"/>
      </w:divBdr>
    </w:div>
    <w:div w:id="1198397985">
      <w:bodyDiv w:val="1"/>
      <w:marLeft w:val="0"/>
      <w:marRight w:val="0"/>
      <w:marTop w:val="0"/>
      <w:marBottom w:val="0"/>
      <w:divBdr>
        <w:top w:val="none" w:sz="0" w:space="0" w:color="auto"/>
        <w:left w:val="none" w:sz="0" w:space="0" w:color="auto"/>
        <w:bottom w:val="none" w:sz="0" w:space="0" w:color="auto"/>
        <w:right w:val="none" w:sz="0" w:space="0" w:color="auto"/>
      </w:divBdr>
    </w:div>
    <w:div w:id="1218056360">
      <w:bodyDiv w:val="1"/>
      <w:marLeft w:val="0"/>
      <w:marRight w:val="0"/>
      <w:marTop w:val="0"/>
      <w:marBottom w:val="0"/>
      <w:divBdr>
        <w:top w:val="none" w:sz="0" w:space="0" w:color="auto"/>
        <w:left w:val="none" w:sz="0" w:space="0" w:color="auto"/>
        <w:bottom w:val="none" w:sz="0" w:space="0" w:color="auto"/>
        <w:right w:val="none" w:sz="0" w:space="0" w:color="auto"/>
      </w:divBdr>
    </w:div>
    <w:div w:id="1239363739">
      <w:bodyDiv w:val="1"/>
      <w:marLeft w:val="0"/>
      <w:marRight w:val="0"/>
      <w:marTop w:val="0"/>
      <w:marBottom w:val="0"/>
      <w:divBdr>
        <w:top w:val="none" w:sz="0" w:space="0" w:color="auto"/>
        <w:left w:val="none" w:sz="0" w:space="0" w:color="auto"/>
        <w:bottom w:val="none" w:sz="0" w:space="0" w:color="auto"/>
        <w:right w:val="none" w:sz="0" w:space="0" w:color="auto"/>
      </w:divBdr>
    </w:div>
    <w:div w:id="1318150111">
      <w:bodyDiv w:val="1"/>
      <w:marLeft w:val="0"/>
      <w:marRight w:val="0"/>
      <w:marTop w:val="0"/>
      <w:marBottom w:val="0"/>
      <w:divBdr>
        <w:top w:val="none" w:sz="0" w:space="0" w:color="auto"/>
        <w:left w:val="none" w:sz="0" w:space="0" w:color="auto"/>
        <w:bottom w:val="none" w:sz="0" w:space="0" w:color="auto"/>
        <w:right w:val="none" w:sz="0" w:space="0" w:color="auto"/>
      </w:divBdr>
    </w:div>
    <w:div w:id="1387141023">
      <w:bodyDiv w:val="1"/>
      <w:marLeft w:val="0"/>
      <w:marRight w:val="0"/>
      <w:marTop w:val="0"/>
      <w:marBottom w:val="0"/>
      <w:divBdr>
        <w:top w:val="none" w:sz="0" w:space="0" w:color="auto"/>
        <w:left w:val="none" w:sz="0" w:space="0" w:color="auto"/>
        <w:bottom w:val="none" w:sz="0" w:space="0" w:color="auto"/>
        <w:right w:val="none" w:sz="0" w:space="0" w:color="auto"/>
      </w:divBdr>
    </w:div>
    <w:div w:id="1394694241">
      <w:bodyDiv w:val="1"/>
      <w:marLeft w:val="0"/>
      <w:marRight w:val="0"/>
      <w:marTop w:val="0"/>
      <w:marBottom w:val="0"/>
      <w:divBdr>
        <w:top w:val="none" w:sz="0" w:space="0" w:color="auto"/>
        <w:left w:val="none" w:sz="0" w:space="0" w:color="auto"/>
        <w:bottom w:val="none" w:sz="0" w:space="0" w:color="auto"/>
        <w:right w:val="none" w:sz="0" w:space="0" w:color="auto"/>
      </w:divBdr>
    </w:div>
    <w:div w:id="1544440054">
      <w:bodyDiv w:val="1"/>
      <w:marLeft w:val="0"/>
      <w:marRight w:val="0"/>
      <w:marTop w:val="0"/>
      <w:marBottom w:val="0"/>
      <w:divBdr>
        <w:top w:val="none" w:sz="0" w:space="0" w:color="auto"/>
        <w:left w:val="none" w:sz="0" w:space="0" w:color="auto"/>
        <w:bottom w:val="none" w:sz="0" w:space="0" w:color="auto"/>
        <w:right w:val="none" w:sz="0" w:space="0" w:color="auto"/>
      </w:divBdr>
    </w:div>
    <w:div w:id="1604193039">
      <w:bodyDiv w:val="1"/>
      <w:marLeft w:val="0"/>
      <w:marRight w:val="0"/>
      <w:marTop w:val="0"/>
      <w:marBottom w:val="0"/>
      <w:divBdr>
        <w:top w:val="none" w:sz="0" w:space="0" w:color="auto"/>
        <w:left w:val="none" w:sz="0" w:space="0" w:color="auto"/>
        <w:bottom w:val="none" w:sz="0" w:space="0" w:color="auto"/>
        <w:right w:val="none" w:sz="0" w:space="0" w:color="auto"/>
      </w:divBdr>
    </w:div>
    <w:div w:id="1706635471">
      <w:bodyDiv w:val="1"/>
      <w:marLeft w:val="0"/>
      <w:marRight w:val="0"/>
      <w:marTop w:val="0"/>
      <w:marBottom w:val="0"/>
      <w:divBdr>
        <w:top w:val="none" w:sz="0" w:space="0" w:color="auto"/>
        <w:left w:val="none" w:sz="0" w:space="0" w:color="auto"/>
        <w:bottom w:val="none" w:sz="0" w:space="0" w:color="auto"/>
        <w:right w:val="none" w:sz="0" w:space="0" w:color="auto"/>
      </w:divBdr>
    </w:div>
    <w:div w:id="1738085304">
      <w:bodyDiv w:val="1"/>
      <w:marLeft w:val="0"/>
      <w:marRight w:val="0"/>
      <w:marTop w:val="0"/>
      <w:marBottom w:val="0"/>
      <w:divBdr>
        <w:top w:val="none" w:sz="0" w:space="0" w:color="auto"/>
        <w:left w:val="none" w:sz="0" w:space="0" w:color="auto"/>
        <w:bottom w:val="none" w:sz="0" w:space="0" w:color="auto"/>
        <w:right w:val="none" w:sz="0" w:space="0" w:color="auto"/>
      </w:divBdr>
    </w:div>
    <w:div w:id="1743989583">
      <w:bodyDiv w:val="1"/>
      <w:marLeft w:val="0"/>
      <w:marRight w:val="0"/>
      <w:marTop w:val="0"/>
      <w:marBottom w:val="0"/>
      <w:divBdr>
        <w:top w:val="none" w:sz="0" w:space="0" w:color="auto"/>
        <w:left w:val="none" w:sz="0" w:space="0" w:color="auto"/>
        <w:bottom w:val="none" w:sz="0" w:space="0" w:color="auto"/>
        <w:right w:val="none" w:sz="0" w:space="0" w:color="auto"/>
      </w:divBdr>
    </w:div>
    <w:div w:id="1805005952">
      <w:bodyDiv w:val="1"/>
      <w:marLeft w:val="0"/>
      <w:marRight w:val="0"/>
      <w:marTop w:val="0"/>
      <w:marBottom w:val="0"/>
      <w:divBdr>
        <w:top w:val="none" w:sz="0" w:space="0" w:color="auto"/>
        <w:left w:val="none" w:sz="0" w:space="0" w:color="auto"/>
        <w:bottom w:val="none" w:sz="0" w:space="0" w:color="auto"/>
        <w:right w:val="none" w:sz="0" w:space="0" w:color="auto"/>
      </w:divBdr>
    </w:div>
    <w:div w:id="1845975765">
      <w:bodyDiv w:val="1"/>
      <w:marLeft w:val="0"/>
      <w:marRight w:val="0"/>
      <w:marTop w:val="0"/>
      <w:marBottom w:val="0"/>
      <w:divBdr>
        <w:top w:val="none" w:sz="0" w:space="0" w:color="auto"/>
        <w:left w:val="none" w:sz="0" w:space="0" w:color="auto"/>
        <w:bottom w:val="none" w:sz="0" w:space="0" w:color="auto"/>
        <w:right w:val="none" w:sz="0" w:space="0" w:color="auto"/>
      </w:divBdr>
    </w:div>
    <w:div w:id="1861239378">
      <w:bodyDiv w:val="1"/>
      <w:marLeft w:val="0"/>
      <w:marRight w:val="0"/>
      <w:marTop w:val="0"/>
      <w:marBottom w:val="0"/>
      <w:divBdr>
        <w:top w:val="none" w:sz="0" w:space="0" w:color="auto"/>
        <w:left w:val="none" w:sz="0" w:space="0" w:color="auto"/>
        <w:bottom w:val="none" w:sz="0" w:space="0" w:color="auto"/>
        <w:right w:val="none" w:sz="0" w:space="0" w:color="auto"/>
      </w:divBdr>
    </w:div>
    <w:div w:id="1881938769">
      <w:bodyDiv w:val="1"/>
      <w:marLeft w:val="0"/>
      <w:marRight w:val="0"/>
      <w:marTop w:val="0"/>
      <w:marBottom w:val="0"/>
      <w:divBdr>
        <w:top w:val="none" w:sz="0" w:space="0" w:color="auto"/>
        <w:left w:val="none" w:sz="0" w:space="0" w:color="auto"/>
        <w:bottom w:val="none" w:sz="0" w:space="0" w:color="auto"/>
        <w:right w:val="none" w:sz="0" w:space="0" w:color="auto"/>
      </w:divBdr>
    </w:div>
    <w:div w:id="1885629807">
      <w:bodyDiv w:val="1"/>
      <w:marLeft w:val="0"/>
      <w:marRight w:val="0"/>
      <w:marTop w:val="0"/>
      <w:marBottom w:val="0"/>
      <w:divBdr>
        <w:top w:val="none" w:sz="0" w:space="0" w:color="auto"/>
        <w:left w:val="none" w:sz="0" w:space="0" w:color="auto"/>
        <w:bottom w:val="none" w:sz="0" w:space="0" w:color="auto"/>
        <w:right w:val="none" w:sz="0" w:space="0" w:color="auto"/>
      </w:divBdr>
    </w:div>
    <w:div w:id="2051490527">
      <w:bodyDiv w:val="1"/>
      <w:marLeft w:val="0"/>
      <w:marRight w:val="0"/>
      <w:marTop w:val="0"/>
      <w:marBottom w:val="0"/>
      <w:divBdr>
        <w:top w:val="none" w:sz="0" w:space="0" w:color="auto"/>
        <w:left w:val="none" w:sz="0" w:space="0" w:color="auto"/>
        <w:bottom w:val="none" w:sz="0" w:space="0" w:color="auto"/>
        <w:right w:val="none" w:sz="0" w:space="0" w:color="auto"/>
      </w:divBdr>
    </w:div>
    <w:div w:id="2082016089">
      <w:bodyDiv w:val="1"/>
      <w:marLeft w:val="0"/>
      <w:marRight w:val="0"/>
      <w:marTop w:val="0"/>
      <w:marBottom w:val="0"/>
      <w:divBdr>
        <w:top w:val="none" w:sz="0" w:space="0" w:color="auto"/>
        <w:left w:val="none" w:sz="0" w:space="0" w:color="auto"/>
        <w:bottom w:val="none" w:sz="0" w:space="0" w:color="auto"/>
        <w:right w:val="none" w:sz="0" w:space="0" w:color="auto"/>
      </w:divBdr>
    </w:div>
    <w:div w:id="214192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aura.calvillolamana@unipd.it" TargetMode="External"/><Relationship Id="rId4" Type="http://schemas.microsoft.com/office/2007/relationships/stylesWithEffects" Target="stylesWithEffects.xml"/><Relationship Id="rId9" Type="http://schemas.openxmlformats.org/officeDocument/2006/relationships/hyperlink" Target="mailto:a.e.russell@soton.ac.uk"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pubs.rsc.org/en/results?searchtext=Author%3AAlex%20Martinez-Bonastre" TargetMode="External"/><Relationship Id="rId13" Type="http://schemas.openxmlformats.org/officeDocument/2006/relationships/hyperlink" Target="http://journals.iucr.org/s/issues/2001/02/00/hi5016/index.html" TargetMode="External"/><Relationship Id="rId3" Type="http://schemas.openxmlformats.org/officeDocument/2006/relationships/hyperlink" Target="http://pubs.rsc.org/en/results?searchtext=Author%3AXiao%20Lin" TargetMode="External"/><Relationship Id="rId7" Type="http://schemas.openxmlformats.org/officeDocument/2006/relationships/hyperlink" Target="http://pubs.rsc.org/en/results?searchtext=Author%3AChristopher%20Hardacre" TargetMode="External"/><Relationship Id="rId12" Type="http://schemas.openxmlformats.org/officeDocument/2006/relationships/hyperlink" Target="http://journals.iucr.org/s/issues/2005/04/00/ph5155/index.html" TargetMode="External"/><Relationship Id="rId2" Type="http://schemas.openxmlformats.org/officeDocument/2006/relationships/hyperlink" Target="http://pubs.rsc.org/en/results?searchtext=Author%3AJia-Mei%20Jin" TargetMode="External"/><Relationship Id="rId1" Type="http://schemas.openxmlformats.org/officeDocument/2006/relationships/hyperlink" Target="http://www.sciencedirect.com/science/article/pii/S0378775301009545" TargetMode="External"/><Relationship Id="rId6" Type="http://schemas.openxmlformats.org/officeDocument/2006/relationships/hyperlink" Target="http://pubs.rsc.org/en/results?searchtext=Author%3APeijun%20Hu" TargetMode="External"/><Relationship Id="rId11" Type="http://schemas.openxmlformats.org/officeDocument/2006/relationships/hyperlink" Target="http://pubs.rsc.org/en/results?searchtext=Author%3AWen-Feng%20Lin" TargetMode="External"/><Relationship Id="rId5" Type="http://schemas.openxmlformats.org/officeDocument/2006/relationships/hyperlink" Target="http://pubs.rsc.org/en/results?searchtext=Author%3APhilip%20Hamer" TargetMode="External"/><Relationship Id="rId10" Type="http://schemas.openxmlformats.org/officeDocument/2006/relationships/hyperlink" Target="http://pubs.rsc.org/en/results?searchtext=Author%3ADavid%20Thompsett" TargetMode="External"/><Relationship Id="rId4" Type="http://schemas.openxmlformats.org/officeDocument/2006/relationships/hyperlink" Target="http://pubs.rsc.org/en/results?searchtext=Author%3ARichard%20Kavanagh" TargetMode="External"/><Relationship Id="rId9" Type="http://schemas.openxmlformats.org/officeDocument/2006/relationships/hyperlink" Target="http://pubs.rsc.org/en/results?searchtext=Author%3AJonathan%20Sharman" TargetMode="External"/><Relationship Id="rId14" Type="http://schemas.openxmlformats.org/officeDocument/2006/relationships/hyperlink" Target="http://www.electrochemsci.org/papers/vol7/704315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acstemplate_ms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AC09-3EEE-427E-BFA6-71264AD4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acstemplate_msw2010</Template>
  <TotalTime>8</TotalTime>
  <Pages>32</Pages>
  <Words>6769</Words>
  <Characters>37232</Characters>
  <Application>Microsoft Office Word</Application>
  <DocSecurity>0</DocSecurity>
  <Lines>310</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43914</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Laura</dc:creator>
  <cp:lastModifiedBy>Laura</cp:lastModifiedBy>
  <cp:revision>7</cp:revision>
  <cp:lastPrinted>2017-04-29T10:08:00Z</cp:lastPrinted>
  <dcterms:created xsi:type="dcterms:W3CDTF">2017-09-20T16:04:00Z</dcterms:created>
  <dcterms:modified xsi:type="dcterms:W3CDTF">2017-09-20T16:14:00Z</dcterms:modified>
</cp:coreProperties>
</file>