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E39F8" w14:textId="610F687B" w:rsidR="00D558B9" w:rsidRPr="00041DDF" w:rsidRDefault="00E22D63" w:rsidP="00D558B9">
      <w:pPr>
        <w:pStyle w:val="Heading1"/>
      </w:pPr>
      <w:bookmarkStart w:id="0" w:name="_GoBack"/>
      <w:bookmarkEnd w:id="0"/>
      <w:r>
        <w:t xml:space="preserve">A </w:t>
      </w:r>
      <w:r w:rsidR="00BB1ABA">
        <w:t>Comparison</w:t>
      </w:r>
      <w:r>
        <w:t xml:space="preserve"> of</w:t>
      </w:r>
      <w:r w:rsidR="004249F6">
        <w:t xml:space="preserve"> EC and ABET Accreditation Criteria</w:t>
      </w:r>
    </w:p>
    <w:p w14:paraId="0912AD3F" w14:textId="77777777" w:rsidR="00D558B9" w:rsidRPr="00B429B0" w:rsidRDefault="00D558B9" w:rsidP="00D558B9">
      <w:pPr>
        <w:jc w:val="center"/>
        <w:rPr>
          <w:b/>
        </w:rPr>
      </w:pPr>
      <w:r w:rsidRPr="00B429B0">
        <w:t>Arif A. Anwar</w:t>
      </w:r>
      <w:r>
        <w:t>,</w:t>
      </w:r>
      <w:r w:rsidR="00F65E62">
        <w:t xml:space="preserve"> Ph.D.,</w:t>
      </w:r>
      <w:r>
        <w:t xml:space="preserve"> P.E., M.ASCE</w:t>
      </w:r>
      <w:r w:rsidRPr="00B429B0">
        <w:rPr>
          <w:rStyle w:val="FootnoteReference"/>
        </w:rPr>
        <w:footnoteReference w:id="1"/>
      </w:r>
      <w:proofErr w:type="gramStart"/>
      <w:r w:rsidRPr="00B429B0">
        <w:t xml:space="preserve">  and</w:t>
      </w:r>
      <w:proofErr w:type="gramEnd"/>
      <w:r w:rsidRPr="00B429B0">
        <w:t xml:space="preserve"> David J. Richards</w:t>
      </w:r>
      <w:r>
        <w:t>,</w:t>
      </w:r>
      <w:r w:rsidR="00F65E62">
        <w:t xml:space="preserve"> Ph.D.,</w:t>
      </w:r>
      <w:r>
        <w:t xml:space="preserve"> C.Eng.</w:t>
      </w:r>
      <w:r w:rsidRPr="00B429B0">
        <w:t xml:space="preserve"> </w:t>
      </w:r>
      <w:r w:rsidRPr="00B429B0">
        <w:rPr>
          <w:rStyle w:val="FootnoteReference"/>
        </w:rPr>
        <w:footnoteReference w:id="2"/>
      </w:r>
    </w:p>
    <w:p w14:paraId="2C8D0EAC" w14:textId="77777777" w:rsidR="00D558B9" w:rsidRDefault="00D558B9" w:rsidP="00D558B9">
      <w:pPr>
        <w:autoSpaceDE w:val="0"/>
        <w:autoSpaceDN w:val="0"/>
        <w:adjustRightInd w:val="0"/>
        <w:spacing w:line="240" w:lineRule="auto"/>
        <w:rPr>
          <w:rFonts w:ascii="Arial" w:hAnsi="Arial" w:cs="Arial"/>
          <w:color w:val="000000"/>
          <w:szCs w:val="24"/>
        </w:rPr>
      </w:pPr>
    </w:p>
    <w:p w14:paraId="3A78AC95" w14:textId="77777777" w:rsidR="00D558B9" w:rsidRDefault="00D558B9" w:rsidP="00D558B9">
      <w:pPr>
        <w:ind w:right="379"/>
      </w:pPr>
      <w:r>
        <w:rPr>
          <w:b/>
        </w:rPr>
        <w:t>ABSTRACT</w:t>
      </w:r>
    </w:p>
    <w:p w14:paraId="4281B0A3" w14:textId="0393A391" w:rsidR="00D558B9" w:rsidRDefault="008C65EB" w:rsidP="008C65EB">
      <w:pPr>
        <w:ind w:firstLine="720"/>
        <w:rPr>
          <w:b/>
        </w:rPr>
      </w:pPr>
      <w:r>
        <w:t xml:space="preserve">The Washington Accord is one of seven mutual recognition agreements managed by the International Engineering Alliance. Signatories to the Washington Accord recognize the substantial equivalency of programs accredited by the signatory bodies. Signatories to the Washington Accord </w:t>
      </w:r>
      <w:r w:rsidR="00B274C1">
        <w:t>agree</w:t>
      </w:r>
      <w:r>
        <w:t xml:space="preserve"> to make every reasonable effort that licensing bodies in respective countries recognize this substantial equivalency. </w:t>
      </w:r>
      <w:r w:rsidR="008E7412">
        <w:t>D</w:t>
      </w:r>
      <w:r>
        <w:t xml:space="preserve">espite 25 years of the Washington Accord, only a minority of </w:t>
      </w:r>
      <w:r w:rsidR="008E7412">
        <w:t xml:space="preserve">US </w:t>
      </w:r>
      <w:r>
        <w:t xml:space="preserve">state licensing boards acknowledge the Washington Accord in their statutes. This paper compares Engineering Council guidelines for accreditation with ABET criteria – both are signatories to the Washington Accord. This paper concludes that there are substantial similarities in the accreditation criteria of the Engineering Council and ABET. This should give confidence to US state licensing boards to acknowledge </w:t>
      </w:r>
      <w:r w:rsidR="001665D1">
        <w:t xml:space="preserve">Engineering Council accredited programmes </w:t>
      </w:r>
      <w:r>
        <w:t>in their statues</w:t>
      </w:r>
      <w:r w:rsidR="001665D1">
        <w:t xml:space="preserve"> explicitly if not through the Washington Accord</w:t>
      </w:r>
      <w:r>
        <w:t xml:space="preserve">. A number of key differences in the accreditation criteria of Engineering Council and ABET are also highlighted.  Both ABET and Engineering Council </w:t>
      </w:r>
      <w:proofErr w:type="gramStart"/>
      <w:r>
        <w:t>accredit</w:t>
      </w:r>
      <w:proofErr w:type="gramEnd"/>
      <w:r>
        <w:t xml:space="preserve"> programs at various level. This paper recommends the International Engineering Alliance </w:t>
      </w:r>
      <w:proofErr w:type="gramStart"/>
      <w:r>
        <w:t>clarifies</w:t>
      </w:r>
      <w:proofErr w:type="gramEnd"/>
      <w:r>
        <w:t xml:space="preserve"> the correspondence between the various levels of accredited programs of the signatories.</w:t>
      </w:r>
    </w:p>
    <w:p w14:paraId="04623542" w14:textId="77777777" w:rsidR="00D558B9" w:rsidRDefault="00D558B9" w:rsidP="00D558B9">
      <w:pPr>
        <w:ind w:right="379"/>
        <w:rPr>
          <w:b/>
        </w:rPr>
      </w:pPr>
    </w:p>
    <w:p w14:paraId="46A1E8DD" w14:textId="77777777" w:rsidR="008C65EB" w:rsidRDefault="008C65EB" w:rsidP="00D558B9">
      <w:pPr>
        <w:ind w:right="379"/>
        <w:rPr>
          <w:b/>
        </w:rPr>
      </w:pPr>
    </w:p>
    <w:p w14:paraId="4C6F2F7D" w14:textId="77777777" w:rsidR="00D558B9" w:rsidRDefault="00D558B9" w:rsidP="00D558B9">
      <w:pPr>
        <w:ind w:right="379"/>
      </w:pPr>
      <w:r w:rsidRPr="007D72B9">
        <w:rPr>
          <w:b/>
        </w:rPr>
        <w:t>Keywords:</w:t>
      </w:r>
      <w:r>
        <w:t xml:space="preserve"> </w:t>
      </w:r>
      <w:r w:rsidRPr="00B27548">
        <w:t>Education &amp; training</w:t>
      </w:r>
      <w:r>
        <w:t>, Accreditation, Professional Qualifications, Washington Accord</w:t>
      </w:r>
    </w:p>
    <w:p w14:paraId="607DBA01" w14:textId="77777777" w:rsidR="00D558B9" w:rsidRDefault="00D558B9" w:rsidP="00D558B9">
      <w:pPr>
        <w:pStyle w:val="Heading2"/>
        <w:sectPr w:rsidR="00D558B9" w:rsidSect="00D558B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lnNumType w:countBy="1" w:restart="continuous"/>
          <w:cols w:space="708"/>
          <w:docGrid w:linePitch="360"/>
        </w:sectPr>
      </w:pPr>
    </w:p>
    <w:p w14:paraId="5255B245" w14:textId="77777777" w:rsidR="00D558B9" w:rsidRDefault="00D558B9" w:rsidP="00D558B9">
      <w:pPr>
        <w:pStyle w:val="Heading2"/>
      </w:pPr>
      <w:r>
        <w:lastRenderedPageBreak/>
        <w:t>INTRODUCTION</w:t>
      </w:r>
    </w:p>
    <w:p w14:paraId="3CA4EF36" w14:textId="61CEFE44" w:rsidR="00D558B9" w:rsidRPr="0096217C" w:rsidRDefault="00D558B9" w:rsidP="00BD085D">
      <w:r>
        <w:tab/>
        <w:t xml:space="preserve">The </w:t>
      </w:r>
      <w:r w:rsidRPr="003A0F80">
        <w:t>Washington Accord</w:t>
      </w:r>
      <w:r>
        <w:t xml:space="preserve"> is one of seven international agreements administered by the International Engineering Alliance (IEA). The Washington Accord also referred to as an international mutual recognition agreement (MRA) has</w:t>
      </w:r>
      <w:r w:rsidR="00CF3EA5">
        <w:t>,</w:t>
      </w:r>
      <w:r>
        <w:t xml:space="preserve"> as of Dec. 2016</w:t>
      </w:r>
      <w:r w:rsidR="00CF3EA5">
        <w:t>,</w:t>
      </w:r>
      <w:r>
        <w:t xml:space="preserve"> 1</w:t>
      </w:r>
      <w:r w:rsidR="00B05A7E">
        <w:t>9</w:t>
      </w:r>
      <w:r>
        <w:t xml:space="preserve"> signatory bodies with full rights and </w:t>
      </w:r>
      <w:r w:rsidR="00B05A7E">
        <w:t>5</w:t>
      </w:r>
      <w:r>
        <w:t xml:space="preserve"> signatory bodies with provisional status. ABET and Engineering Council (EC) UK </w:t>
      </w:r>
      <w:proofErr w:type="gramStart"/>
      <w:r>
        <w:t>are</w:t>
      </w:r>
      <w:proofErr w:type="gramEnd"/>
      <w:r>
        <w:t xml:space="preserve"> amongst the six founding signatory bodies of the </w:t>
      </w:r>
      <w:r w:rsidR="00754C89">
        <w:t xml:space="preserve">Washington Accord (IEA 2014). </w:t>
      </w:r>
      <w:r>
        <w:t>“</w:t>
      </w:r>
      <w:r w:rsidR="00754C89" w:rsidRPr="00BD085D">
        <w:rPr>
          <w:i/>
        </w:rPr>
        <w:t>Through the Washington Accord, ……</w:t>
      </w:r>
      <w:r w:rsidRPr="00BD085D">
        <w:rPr>
          <w:i/>
        </w:rPr>
        <w:t>…</w:t>
      </w:r>
      <w:r w:rsidR="00754C89" w:rsidRPr="00754C89">
        <w:rPr>
          <w:i/>
        </w:rPr>
        <w:t xml:space="preserve"> the signatories recognise the substantial equivalence of such programmes in satisfying the academic requirements for the practice of engineering at the professional level</w:t>
      </w:r>
      <w:proofErr w:type="gramStart"/>
      <w:r w:rsidR="00754C89" w:rsidRPr="00754C89">
        <w:rPr>
          <w:i/>
        </w:rPr>
        <w:t>.</w:t>
      </w:r>
      <w:r w:rsidRPr="00A324E8">
        <w:rPr>
          <w:i/>
        </w:rPr>
        <w:t>.</w:t>
      </w:r>
      <w:proofErr w:type="gramEnd"/>
      <w:r>
        <w:t xml:space="preserve"> </w:t>
      </w:r>
      <w:r w:rsidR="00754C89">
        <w:t>IEA (</w:t>
      </w:r>
      <w:r w:rsidR="002A715F">
        <w:t>2017</w:t>
      </w:r>
      <w:r w:rsidR="00B06961">
        <w:t>a</w:t>
      </w:r>
      <w:r w:rsidR="002A715F">
        <w:t>)</w:t>
      </w:r>
      <w:r w:rsidR="00BD085D">
        <w:t xml:space="preserve"> </w:t>
      </w:r>
      <w:proofErr w:type="gramStart"/>
      <w:r>
        <w:t>This</w:t>
      </w:r>
      <w:proofErr w:type="gramEnd"/>
      <w:r>
        <w:t xml:space="preserve"> is further qualified by jurisdiction (ABET 2016</w:t>
      </w:r>
      <w:r w:rsidR="00465032">
        <w:t>a</w:t>
      </w:r>
      <w:r>
        <w:t>) in that “</w:t>
      </w:r>
      <w:r w:rsidRPr="00E41B89">
        <w:rPr>
          <w:i/>
        </w:rPr>
        <w:t>The Washington Accord only recognizes engineering programs accredited within the signatories’ own jurisdictions</w:t>
      </w:r>
      <w:r>
        <w:rPr>
          <w:i/>
        </w:rPr>
        <w:t>”</w:t>
      </w:r>
      <w:r w:rsidR="008A57CB">
        <w:t>.</w:t>
      </w:r>
      <w:r>
        <w:t xml:space="preserve"> ABET define jurisdiction for the purposes of the Washington Accord as the U.S. (presumably all U.S. territories) whereas EC (EC 2016a) states that their jurisdiction for the purposes of the Washington Accord </w:t>
      </w:r>
      <w:r w:rsidRPr="00E703C4">
        <w:rPr>
          <w:i/>
        </w:rPr>
        <w:t>“… applies to programmes accredited at universities in England, Scotland, Wales and Northern Ireland only”</w:t>
      </w:r>
      <w:r w:rsidR="008A57CB">
        <w:t>.</w:t>
      </w:r>
      <w:r>
        <w:t xml:space="preserve"> </w:t>
      </w:r>
      <w:r w:rsidR="00BD085D">
        <w:t>Therefore</w:t>
      </w:r>
      <w:r w:rsidR="0052610A">
        <w:t xml:space="preserve"> </w:t>
      </w:r>
      <w:r>
        <w:t xml:space="preserve">British Overseas Territories and Crown </w:t>
      </w:r>
      <w:r w:rsidR="00BD085D">
        <w:t>Dependencies</w:t>
      </w:r>
      <w:r>
        <w:t xml:space="preserve"> such as; Gibraltar, </w:t>
      </w:r>
      <w:r w:rsidRPr="00E703C4">
        <w:t>Jer</w:t>
      </w:r>
      <w:r>
        <w:t xml:space="preserve">sey, Guernsey, </w:t>
      </w:r>
      <w:r w:rsidRPr="00E703C4">
        <w:t>Isle of Man</w:t>
      </w:r>
      <w:r>
        <w:t xml:space="preserve"> etc.</w:t>
      </w:r>
      <w:r w:rsidR="00BD085D">
        <w:t xml:space="preserve"> are excluded.</w:t>
      </w:r>
      <w:r w:rsidR="00B06961">
        <w:t xml:space="preserve"> The Washington Accord is also significant in the International Professional Engineers Agreement (IPEA). This agreement supersedes the </w:t>
      </w:r>
      <w:r w:rsidR="00B06961" w:rsidRPr="00B06961">
        <w:t>Engineers M</w:t>
      </w:r>
      <w:r w:rsidR="00B06961">
        <w:t>obility Forum of</w:t>
      </w:r>
      <w:r w:rsidR="00B06961" w:rsidRPr="00B06961">
        <w:t xml:space="preserve"> 1997</w:t>
      </w:r>
      <w:r w:rsidR="00B06961">
        <w:t xml:space="preserve"> (IEA 2017b)</w:t>
      </w:r>
      <w:r w:rsidR="00B06961" w:rsidRPr="00B06961">
        <w:t>.</w:t>
      </w:r>
      <w:r w:rsidR="0096217C">
        <w:t xml:space="preserve"> IEA (2017b) lists the EC as member of the IPEA and also t</w:t>
      </w:r>
      <w:r w:rsidR="0096217C" w:rsidRPr="0096217C">
        <w:t>he United States Council for International Engineering Practice</w:t>
      </w:r>
      <w:r w:rsidR="0096217C">
        <w:t xml:space="preserve"> - but not ABET.  The IPEA (IEA 2017b) states that </w:t>
      </w:r>
      <w:proofErr w:type="gramStart"/>
      <w:r w:rsidR="0096217C">
        <w:t>“</w:t>
      </w:r>
      <w:r w:rsidR="0096217C" w:rsidRPr="0096217C">
        <w:rPr>
          <w:i/>
        </w:rPr>
        <w:t>…..</w:t>
      </w:r>
      <w:proofErr w:type="gramEnd"/>
      <w:r w:rsidR="0096217C" w:rsidRPr="0096217C">
        <w:rPr>
          <w:i/>
        </w:rPr>
        <w:t xml:space="preserve"> </w:t>
      </w:r>
      <w:proofErr w:type="gramStart"/>
      <w:r w:rsidR="0096217C" w:rsidRPr="0096217C">
        <w:rPr>
          <w:i/>
        </w:rPr>
        <w:t>if</w:t>
      </w:r>
      <w:proofErr w:type="gramEnd"/>
      <w:r w:rsidR="0096217C" w:rsidRPr="0096217C">
        <w:rPr>
          <w:i/>
        </w:rPr>
        <w:t xml:space="preserve"> the organization accrediting engineering degrees in a jurisdiction holds signatory status of the Washington Accord, the above-mentioned requirement for the academic achievement will be </w:t>
      </w:r>
      <w:r w:rsidR="0096217C">
        <w:rPr>
          <w:i/>
        </w:rPr>
        <w:t>deemed to have been met in full”</w:t>
      </w:r>
      <w:r w:rsidR="0096217C">
        <w:t>.</w:t>
      </w:r>
    </w:p>
    <w:p w14:paraId="1E79C4E8" w14:textId="77777777" w:rsidR="00D558B9" w:rsidRPr="007043F8" w:rsidRDefault="00D558B9" w:rsidP="00D558B9">
      <w:pPr>
        <w:rPr>
          <w:szCs w:val="24"/>
        </w:rPr>
      </w:pPr>
      <w:r>
        <w:tab/>
        <w:t xml:space="preserve">ABET </w:t>
      </w:r>
      <w:r w:rsidRPr="007043F8">
        <w:rPr>
          <w:szCs w:val="24"/>
        </w:rPr>
        <w:t>accredits</w:t>
      </w:r>
      <w:r w:rsidR="000F4CD0">
        <w:rPr>
          <w:szCs w:val="24"/>
        </w:rPr>
        <w:t xml:space="preserve"> four</w:t>
      </w:r>
      <w:r>
        <w:rPr>
          <w:szCs w:val="24"/>
        </w:rPr>
        <w:t xml:space="preserve"> categories of programs</w:t>
      </w:r>
    </w:p>
    <w:p w14:paraId="4083CD66" w14:textId="77777777" w:rsidR="00D558B9" w:rsidRDefault="00D558B9" w:rsidP="00D558B9">
      <w:pPr>
        <w:pStyle w:val="ListParagraph"/>
      </w:pPr>
      <w:r>
        <w:t>Associate (</w:t>
      </w:r>
      <w:r w:rsidR="00C813AA">
        <w:t xml:space="preserve">typically </w:t>
      </w:r>
      <w:r>
        <w:t>two-year degree)</w:t>
      </w:r>
    </w:p>
    <w:p w14:paraId="1B6BA915" w14:textId="77777777" w:rsidR="00D558B9" w:rsidRPr="007043F8" w:rsidRDefault="00C813AA" w:rsidP="00D558B9">
      <w:pPr>
        <w:pStyle w:val="ListParagraph"/>
      </w:pPr>
      <w:r>
        <w:t>Baccalaureate</w:t>
      </w:r>
      <w:r w:rsidRPr="007043F8">
        <w:t xml:space="preserve"> </w:t>
      </w:r>
      <w:r w:rsidR="00D558B9" w:rsidRPr="007043F8">
        <w:t>(</w:t>
      </w:r>
      <w:r>
        <w:t xml:space="preserve">typically </w:t>
      </w:r>
      <w:r w:rsidR="00D558B9" w:rsidRPr="007043F8">
        <w:t>four-year degree)</w:t>
      </w:r>
      <w:r w:rsidR="00D558B9">
        <w:t>.</w:t>
      </w:r>
      <w:r w:rsidR="00D558B9" w:rsidRPr="007043F8">
        <w:t xml:space="preserve"> </w:t>
      </w:r>
    </w:p>
    <w:p w14:paraId="0C425B1B" w14:textId="77777777" w:rsidR="000F4CD0" w:rsidRDefault="00D558B9" w:rsidP="00C813AA">
      <w:pPr>
        <w:pStyle w:val="ListParagraph"/>
      </w:pPr>
      <w:r>
        <w:t>M</w:t>
      </w:r>
      <w:r w:rsidR="000F4CD0">
        <w:t>aster</w:t>
      </w:r>
      <w:r w:rsidR="00415E7C">
        <w:t>’s</w:t>
      </w:r>
      <w:r w:rsidR="00C813AA">
        <w:t xml:space="preserve"> </w:t>
      </w:r>
      <w:r w:rsidR="00C813AA" w:rsidRPr="007043F8">
        <w:t>(</w:t>
      </w:r>
      <w:r w:rsidR="00C813AA">
        <w:t>typically two</w:t>
      </w:r>
      <w:r w:rsidR="00C813AA" w:rsidRPr="007043F8">
        <w:t>-year degree)</w:t>
      </w:r>
      <w:r w:rsidR="00C813AA">
        <w:t>.</w:t>
      </w:r>
      <w:r w:rsidR="00C813AA" w:rsidRPr="007043F8">
        <w:t xml:space="preserve"> </w:t>
      </w:r>
    </w:p>
    <w:p w14:paraId="68ADD16E" w14:textId="77777777" w:rsidR="00392308" w:rsidRDefault="00392308" w:rsidP="005B2DE0">
      <w:pPr>
        <w:pStyle w:val="ListParagraph"/>
      </w:pPr>
      <w:r>
        <w:t>Integrated Baccalaureate-Master</w:t>
      </w:r>
      <w:r w:rsidR="00415E7C">
        <w:t>’s</w:t>
      </w:r>
    </w:p>
    <w:p w14:paraId="0D82C423" w14:textId="750A8B30" w:rsidR="00B40D54" w:rsidRDefault="00422534" w:rsidP="00E6589D">
      <w:r>
        <w:t>ABET organizes itself into four commissions</w:t>
      </w:r>
      <w:proofErr w:type="gramStart"/>
      <w:r w:rsidR="00E6589D">
        <w:t>;    Applied</w:t>
      </w:r>
      <w:proofErr w:type="gramEnd"/>
      <w:r w:rsidR="00E6589D">
        <w:t xml:space="preserve"> and Natural Science Accreditation Commission (ANSAC); Computing Accreditation Commission (CAC);</w:t>
      </w:r>
      <w:r w:rsidR="00B40D54">
        <w:t xml:space="preserve"> </w:t>
      </w:r>
      <w:r w:rsidR="00E6589D">
        <w:t>Engineering Accreditation Commission (EAC); and, Engineering Technology Accreditation Commission (ETAC).</w:t>
      </w:r>
      <w:r w:rsidR="00B40D54">
        <w:t xml:space="preserve"> T</w:t>
      </w:r>
      <w:r w:rsidR="00A21638">
        <w:t>he</w:t>
      </w:r>
      <w:r w:rsidR="00B40D54">
        <w:t xml:space="preserve"> CAC and ANSAC do not accredit engineering programmes. </w:t>
      </w:r>
      <w:r w:rsidR="00A21638">
        <w:t>The</w:t>
      </w:r>
      <w:r w:rsidR="00E6589D">
        <w:t xml:space="preserve"> EAC focuses on engineering programs and </w:t>
      </w:r>
      <w:r w:rsidR="00A21638">
        <w:t xml:space="preserve">the </w:t>
      </w:r>
      <w:r w:rsidR="00E6589D">
        <w:t xml:space="preserve">ETAC on engineering technology programs. </w:t>
      </w:r>
      <w:r>
        <w:t xml:space="preserve"> </w:t>
      </w:r>
      <w:r w:rsidR="00E6589D">
        <w:t>N</w:t>
      </w:r>
      <w:r>
        <w:t>ot all ABET commissions necessarily accredit all four categories of programs</w:t>
      </w:r>
      <w:r w:rsidR="00E6589D">
        <w:t xml:space="preserve"> listed above</w:t>
      </w:r>
      <w:r>
        <w:t xml:space="preserve">. For example the </w:t>
      </w:r>
      <w:r w:rsidR="00E6589D">
        <w:t>EAC</w:t>
      </w:r>
      <w:r>
        <w:t xml:space="preserve"> does not accredit Associate programs. </w:t>
      </w:r>
      <w:r w:rsidR="00FA2907">
        <w:t xml:space="preserve"> Furthermore Associate programs are not recognized in the Washington Accord but rather are recognized in the Sydney Accord</w:t>
      </w:r>
    </w:p>
    <w:p w14:paraId="6F4852C2" w14:textId="6CAB2331" w:rsidR="00D558B9" w:rsidRDefault="00D558B9" w:rsidP="00B40D54">
      <w:pPr>
        <w:ind w:firstLine="360"/>
      </w:pPr>
      <w:r>
        <w:lastRenderedPageBreak/>
        <w:t>The EC has a larger categorization (referred to as sections in EC terminology) of programs and accredits (EC 2014)</w:t>
      </w:r>
    </w:p>
    <w:p w14:paraId="449BC899" w14:textId="77777777" w:rsidR="00D558B9" w:rsidRDefault="00D558B9" w:rsidP="00D558B9">
      <w:pPr>
        <w:pStyle w:val="ListParagraph"/>
        <w:numPr>
          <w:ilvl w:val="0"/>
          <w:numId w:val="2"/>
        </w:numPr>
      </w:pPr>
      <w:r>
        <w:t>Bachelors Degrees accredited for</w:t>
      </w:r>
      <w:r w:rsidR="008B1282">
        <w:t xml:space="preserve"> Incorporated Engineer</w:t>
      </w:r>
      <w:r>
        <w:t xml:space="preserve"> </w:t>
      </w:r>
      <w:r w:rsidR="008B1282">
        <w:t>(</w:t>
      </w:r>
      <w:r>
        <w:t>IEng</w:t>
      </w:r>
      <w:r w:rsidR="008B1282">
        <w:t>)</w:t>
      </w:r>
      <w:r>
        <w:t xml:space="preserve"> registration.</w:t>
      </w:r>
    </w:p>
    <w:p w14:paraId="276B739E" w14:textId="77777777" w:rsidR="00D558B9" w:rsidRDefault="00D558B9" w:rsidP="00D558B9">
      <w:pPr>
        <w:pStyle w:val="ListParagraph"/>
        <w:numPr>
          <w:ilvl w:val="0"/>
          <w:numId w:val="2"/>
        </w:numPr>
      </w:pPr>
      <w:r>
        <w:t>Bachelors (Honours) Degrees accredited for IEng registration.</w:t>
      </w:r>
    </w:p>
    <w:p w14:paraId="603F4CAA" w14:textId="77777777" w:rsidR="00D558B9" w:rsidRDefault="00D558B9" w:rsidP="00D558B9">
      <w:pPr>
        <w:pStyle w:val="ListParagraph"/>
        <w:numPr>
          <w:ilvl w:val="0"/>
          <w:numId w:val="2"/>
        </w:numPr>
      </w:pPr>
      <w:r>
        <w:t>Bachelors (Honours) Degrees accredited as partially meeting the educational requirement for</w:t>
      </w:r>
      <w:r w:rsidR="008B1282">
        <w:t xml:space="preserve"> Chartered Engineer (</w:t>
      </w:r>
      <w:r>
        <w:t>CEng</w:t>
      </w:r>
      <w:r w:rsidR="008B1282">
        <w:t>)</w:t>
      </w:r>
      <w:r>
        <w:t>.</w:t>
      </w:r>
    </w:p>
    <w:p w14:paraId="776CEE8B" w14:textId="77777777" w:rsidR="00D558B9" w:rsidRDefault="00D558B9" w:rsidP="00D558B9">
      <w:pPr>
        <w:pStyle w:val="ListParagraph"/>
        <w:numPr>
          <w:ilvl w:val="0"/>
          <w:numId w:val="2"/>
        </w:numPr>
      </w:pPr>
      <w:r>
        <w:t>Integrated Master</w:t>
      </w:r>
      <w:r w:rsidR="00415E7C">
        <w:t>’</w:t>
      </w:r>
      <w:r>
        <w:t>s</w:t>
      </w:r>
      <w:r w:rsidR="00C2508A">
        <w:t xml:space="preserve"> of Engineering</w:t>
      </w:r>
      <w:r>
        <w:t xml:space="preserve"> (MEng) Degrees.</w:t>
      </w:r>
    </w:p>
    <w:p w14:paraId="29085411" w14:textId="77777777" w:rsidR="00D558B9" w:rsidRDefault="00D558B9" w:rsidP="00D558B9">
      <w:pPr>
        <w:pStyle w:val="ListParagraph"/>
        <w:numPr>
          <w:ilvl w:val="0"/>
          <w:numId w:val="2"/>
        </w:numPr>
      </w:pPr>
      <w:r>
        <w:t>Master</w:t>
      </w:r>
      <w:r w:rsidR="00415E7C">
        <w:t>’</w:t>
      </w:r>
      <w:r>
        <w:t xml:space="preserve">s Degrees other than the </w:t>
      </w:r>
      <w:r w:rsidR="00C2508A">
        <w:t>MEng Degrees.</w:t>
      </w:r>
    </w:p>
    <w:p w14:paraId="3F8DD689" w14:textId="77777777" w:rsidR="00D558B9" w:rsidRDefault="00D558B9" w:rsidP="00D558B9">
      <w:pPr>
        <w:pStyle w:val="ListParagraph"/>
        <w:numPr>
          <w:ilvl w:val="0"/>
          <w:numId w:val="2"/>
        </w:numPr>
      </w:pPr>
      <w:r w:rsidRPr="00312E7F">
        <w:t>Eng</w:t>
      </w:r>
      <w:r>
        <w:t>ineering Doctorate (EngD).</w:t>
      </w:r>
    </w:p>
    <w:p w14:paraId="3F6C0EC0" w14:textId="118D50F2" w:rsidR="00F07B6E" w:rsidRDefault="00AD4C64" w:rsidP="00D558B9">
      <w:pPr>
        <w:ind w:firstLine="360"/>
      </w:pPr>
      <w:r>
        <w:t>Unlike</w:t>
      </w:r>
      <w:r w:rsidR="00D558B9">
        <w:t xml:space="preserve"> ABET, the EC does not conduct accreditation itself. Rather the EC licenses </w:t>
      </w:r>
      <w:r w:rsidR="00D558B9" w:rsidRPr="00C72A54">
        <w:t>a number of professional engineering institutions to carry out the process of accreditation</w:t>
      </w:r>
      <w:r w:rsidR="00D558B9">
        <w:t xml:space="preserve">. Four professional institutions namely; Institution of Structural Engineers, Institute of Highway Engineers; Chartered Institution of Highways and Transportation; and, Institution of Civil Engineers have formed the Joint Board of Moderators (JBM) to assess and make </w:t>
      </w:r>
      <w:r w:rsidR="00D558B9" w:rsidRPr="00EA51AD">
        <w:t>recommendations on the accreditation and approval of relevant educational programs</w:t>
      </w:r>
      <w:r w:rsidR="00D558B9">
        <w:t>. The JBM (JBM 2016</w:t>
      </w:r>
      <w:r w:rsidR="00D35546">
        <w:t>a</w:t>
      </w:r>
      <w:r w:rsidR="00D558B9">
        <w:t>) lists eight categories of accreditation.</w:t>
      </w:r>
      <w:r w:rsidR="00F247D9">
        <w:t xml:space="preserve"> </w:t>
      </w:r>
    </w:p>
    <w:p w14:paraId="2F7EB272" w14:textId="47419DBB" w:rsidR="00D558B9" w:rsidRDefault="00A44635" w:rsidP="00D558B9">
      <w:pPr>
        <w:ind w:firstLine="360"/>
      </w:pPr>
      <w:r>
        <w:t xml:space="preserve">The </w:t>
      </w:r>
      <w:r w:rsidR="00D558B9">
        <w:t>EC (EC, 2016a) further elaborates that only graduates of an EC accredited</w:t>
      </w:r>
      <w:r w:rsidR="00D609BF">
        <w:t xml:space="preserve"> Bachelor of Engineering</w:t>
      </w:r>
      <w:r w:rsidR="00D558B9">
        <w:t xml:space="preserve"> </w:t>
      </w:r>
      <w:r w:rsidR="00D609BF">
        <w:t>(</w:t>
      </w:r>
      <w:r w:rsidR="00D558B9">
        <w:t>BEng</w:t>
      </w:r>
      <w:r w:rsidR="00D609BF">
        <w:t>) degree</w:t>
      </w:r>
      <w:r w:rsidR="00D558B9">
        <w:t xml:space="preserve"> programs (accredited in the CEng section) </w:t>
      </w:r>
      <w:proofErr w:type="gramStart"/>
      <w:r w:rsidR="00D558B9">
        <w:t>who</w:t>
      </w:r>
      <w:proofErr w:type="gramEnd"/>
      <w:r w:rsidR="00D558B9">
        <w:t xml:space="preserve"> enrolled after 1989 and before 1999, or graduates of an EC accredited MEng programs who enrolled after 1989 are recognized by the Washington Accord. Furthermore, a graduate of an EC accredited BEng program (accredited in the CEng section) who enrolled on or after 1999 who has also either graduated from an EC accredited</w:t>
      </w:r>
      <w:r w:rsidR="000E1910">
        <w:t xml:space="preserve"> Master of Science in Engineering (</w:t>
      </w:r>
      <w:r w:rsidR="00D558B9">
        <w:t>MSc</w:t>
      </w:r>
      <w:r w:rsidR="000E1910">
        <w:t>)</w:t>
      </w:r>
      <w:r w:rsidR="00D558B9">
        <w:t xml:space="preserve"> program or an EC accredited EngD program, this combination is also recognized by the Washington Accord. It is therefore evident that even within the jurisdiction of England, Scotland, Wales and Northern Ireland, </w:t>
      </w:r>
      <w:proofErr w:type="gramStart"/>
      <w:r w:rsidR="00D558B9">
        <w:t>not all the programs accredited by the EC are recognized by the Washington Accord</w:t>
      </w:r>
      <w:proofErr w:type="gramEnd"/>
      <w:r w:rsidR="00D558B9">
        <w:t xml:space="preserve">. </w:t>
      </w:r>
      <w:proofErr w:type="gramStart"/>
      <w:r w:rsidR="00D558B9">
        <w:t>This is also confirmed by Lloyd-Roach (2013) and Pritchard</w:t>
      </w:r>
      <w:proofErr w:type="gramEnd"/>
      <w:r w:rsidR="00D558B9">
        <w:t xml:space="preserve"> (2013). </w:t>
      </w:r>
    </w:p>
    <w:p w14:paraId="2A9078F6" w14:textId="289A1476" w:rsidR="004448C4" w:rsidRDefault="00D558B9" w:rsidP="007B5E3C">
      <w:pPr>
        <w:ind w:firstLine="360"/>
      </w:pPr>
      <w:r>
        <w:tab/>
        <w:t>The Washington Accord recognizes “…</w:t>
      </w:r>
      <w:r>
        <w:rPr>
          <w:i/>
        </w:rPr>
        <w:t>th</w:t>
      </w:r>
      <w:r w:rsidRPr="00A324E8">
        <w:rPr>
          <w:i/>
        </w:rPr>
        <w:t>e substantial equivalency of programs</w:t>
      </w:r>
      <w:r>
        <w:rPr>
          <w:i/>
        </w:rPr>
        <w:t>…”</w:t>
      </w:r>
      <w:r>
        <w:t xml:space="preserve"> </w:t>
      </w:r>
      <w:r w:rsidR="00E22D63">
        <w:t>and</w:t>
      </w:r>
      <w:r>
        <w:t xml:space="preserve"> “…</w:t>
      </w:r>
      <w:r w:rsidRPr="00042523">
        <w:rPr>
          <w:i/>
        </w:rPr>
        <w:t>Washington Accord signatories have agreed to make every reasonable effort to ensure that the engineering licensing and registration bodies in their countries recognize the substantial equivalence of engineering programs accredited by the other signatories</w:t>
      </w:r>
      <w:r>
        <w:rPr>
          <w:i/>
        </w:rPr>
        <w:t>”</w:t>
      </w:r>
      <w:r w:rsidR="00465032">
        <w:t xml:space="preserve"> (ABET 2016, Hanrahan 2008). </w:t>
      </w:r>
      <w:r w:rsidR="007B5E3C">
        <w:t>This is also restated in IEA (2014) as “</w:t>
      </w:r>
      <w:r w:rsidR="007B5E3C" w:rsidRPr="007B5E3C">
        <w:rPr>
          <w:i/>
        </w:rPr>
        <w:t>Signatories agree to grant (or recommend to the relevant national registration body,</w:t>
      </w:r>
      <w:r w:rsidR="007B5E3C">
        <w:rPr>
          <w:i/>
        </w:rPr>
        <w:t xml:space="preserve"> </w:t>
      </w:r>
      <w:r w:rsidR="007B5E3C" w:rsidRPr="007B5E3C">
        <w:rPr>
          <w:i/>
        </w:rPr>
        <w:t>if different) graduates of each other’s accredited programmes the same recognition,</w:t>
      </w:r>
      <w:r w:rsidR="007B5E3C">
        <w:rPr>
          <w:i/>
        </w:rPr>
        <w:t xml:space="preserve"> </w:t>
      </w:r>
      <w:r w:rsidR="007B5E3C" w:rsidRPr="007B5E3C">
        <w:rPr>
          <w:i/>
        </w:rPr>
        <w:t xml:space="preserve">rights and privileges as they grant to graduates of their own accredited </w:t>
      </w:r>
      <w:proofErr w:type="gramStart"/>
      <w:r w:rsidR="007B5E3C" w:rsidRPr="007B5E3C">
        <w:rPr>
          <w:i/>
        </w:rPr>
        <w:t>programmes</w:t>
      </w:r>
      <w:r w:rsidR="007B5E3C">
        <w:rPr>
          <w:i/>
        </w:rPr>
        <w:t>…..”</w:t>
      </w:r>
      <w:proofErr w:type="gramEnd"/>
    </w:p>
    <w:p w14:paraId="507D2A6B" w14:textId="21582E8E" w:rsidR="00DF57F8" w:rsidRDefault="00DF57F8" w:rsidP="004448C4">
      <w:pPr>
        <w:ind w:firstLine="360"/>
      </w:pPr>
      <w:r>
        <w:t xml:space="preserve">The IEA does not provide any elaboration or definition of the term substantial equivalency. ABET has discontinued substantial equivalency evaluations, but provide a definition of </w:t>
      </w:r>
      <w:r>
        <w:lastRenderedPageBreak/>
        <w:t xml:space="preserve">substantial equivalency as </w:t>
      </w:r>
      <w:r w:rsidRPr="00DE096E">
        <w:rPr>
          <w:i/>
        </w:rPr>
        <w:t>“Substantial equivalency” means that a program is comparable in program content and educational experience, but may differ in format or method of delivery</w:t>
      </w:r>
      <w:proofErr w:type="gramStart"/>
      <w:r>
        <w:rPr>
          <w:i/>
        </w:rPr>
        <w:t xml:space="preserve">” </w:t>
      </w:r>
      <w:r>
        <w:t xml:space="preserve"> and</w:t>
      </w:r>
      <w:proofErr w:type="gramEnd"/>
      <w:r>
        <w:t xml:space="preserve"> further that substantial equivalency </w:t>
      </w:r>
      <w:r>
        <w:rPr>
          <w:i/>
        </w:rPr>
        <w:t>“..</w:t>
      </w:r>
      <w:r w:rsidRPr="00B4778A">
        <w:rPr>
          <w:i/>
        </w:rPr>
        <w:t>.evaluations followed policies and procedures similar to those used for accreditation</w:t>
      </w:r>
      <w:r>
        <w:rPr>
          <w:i/>
        </w:rPr>
        <w:t>.</w:t>
      </w:r>
      <w:r w:rsidRPr="00B4778A">
        <w:rPr>
          <w:i/>
        </w:rPr>
        <w:t>..</w:t>
      </w:r>
      <w:r>
        <w:t>”</w:t>
      </w:r>
      <w:r w:rsidRPr="00DE096E">
        <w:rPr>
          <w:i/>
        </w:rPr>
        <w:t xml:space="preserve"> </w:t>
      </w:r>
      <w:r>
        <w:t>(ABET 2016c). Although ABET has discontinued substantial equivalency evaluations, ABET continues to recognize substantial equivalency through the Washington Accord. The Accord refers to substantial equivalency of programs, and ABET elaborates on that identifying content and student experience as similar amongst substantially equivalent programs and that evaluations uses policies and procedures similar to those used for accreditation.</w:t>
      </w:r>
      <w:r w:rsidRPr="008622CD">
        <w:t xml:space="preserve"> </w:t>
      </w:r>
      <w:r>
        <w:t>Milligan (2011) provides an interpretation, whereby “</w:t>
      </w:r>
      <w:r w:rsidRPr="00AB2B08">
        <w:rPr>
          <w:i/>
        </w:rPr>
        <w:t>Substantial equivalency means that the accreditation systems have comparable standards, outcomes, and processes, though they may not be absolutely identical”</w:t>
      </w:r>
      <w:r>
        <w:t xml:space="preserve">.   </w:t>
      </w:r>
      <w:proofErr w:type="gramStart"/>
      <w:r>
        <w:t>which</w:t>
      </w:r>
      <w:proofErr w:type="gramEnd"/>
      <w:r>
        <w:t xml:space="preserve"> is similar to the interpretation by ABET (ABET 2016c).</w:t>
      </w:r>
    </w:p>
    <w:p w14:paraId="037D3C07" w14:textId="22D7C4D7" w:rsidR="00D558B9" w:rsidRDefault="00870879" w:rsidP="001533A9">
      <w:pPr>
        <w:ind w:firstLine="360"/>
      </w:pPr>
      <w:r>
        <w:t xml:space="preserve"> </w:t>
      </w:r>
      <w:r w:rsidR="00362321">
        <w:t xml:space="preserve">It </w:t>
      </w:r>
      <w:r w:rsidR="00B10468">
        <w:t>is</w:t>
      </w:r>
      <w:r w:rsidR="00362321">
        <w:t xml:space="preserve"> unclear wh</w:t>
      </w:r>
      <w:r w:rsidR="00B10468">
        <w:t>at</w:t>
      </w:r>
      <w:r w:rsidR="00CE5315">
        <w:t xml:space="preserve"> </w:t>
      </w:r>
      <w:r w:rsidR="00E4783B">
        <w:t>“</w:t>
      </w:r>
      <w:r w:rsidR="00B10468">
        <w:t>reasonable effort</w:t>
      </w:r>
      <w:r w:rsidR="00E4783B">
        <w:t>”</w:t>
      </w:r>
      <w:r w:rsidR="00362321">
        <w:t xml:space="preserve"> ABET as a Washington Accord signatory</w:t>
      </w:r>
      <w:r w:rsidR="00B10468">
        <w:t xml:space="preserve"> has made towards </w:t>
      </w:r>
      <w:r w:rsidR="00362321">
        <w:t>ensur</w:t>
      </w:r>
      <w:r w:rsidR="00B10468">
        <w:t>ing</w:t>
      </w:r>
      <w:r w:rsidR="00362321">
        <w:t xml:space="preserve"> </w:t>
      </w:r>
      <w:r w:rsidR="00285C72">
        <w:t>programs under the Washington Accord are</w:t>
      </w:r>
      <w:r w:rsidR="00362321">
        <w:t xml:space="preserve"> recognized by US state licensing board</w:t>
      </w:r>
      <w:r w:rsidR="00B10468">
        <w:t>s. Anwar and Richards (2015) showed that despite 25 years since the Washington Accord was founded only 3 of 54 US state licensing boards explicitly acknowledge the Accord</w:t>
      </w:r>
      <w:r w:rsidR="00E4783B">
        <w:t xml:space="preserve"> in their statutes</w:t>
      </w:r>
      <w:r w:rsidR="00B10468">
        <w:t>; Texas Board of Professional Engineers, Idaho Board of Licensure of Professional Engineers and Professional Land Surveyors, and South Carolina Department of Labor,</w:t>
      </w:r>
      <w:r w:rsidR="00415E7C">
        <w:t xml:space="preserve"> This suggests </w:t>
      </w:r>
      <w:r w:rsidR="00467A40">
        <w:t xml:space="preserve">that limited </w:t>
      </w:r>
      <w:r w:rsidR="00415E7C">
        <w:t>progress has been made in 25 years in ensuring US state licensing boards recognize program</w:t>
      </w:r>
      <w:r w:rsidR="00F70AC3">
        <w:t>s</w:t>
      </w:r>
      <w:r w:rsidR="00415E7C">
        <w:t xml:space="preserve"> under the Washington Accord.</w:t>
      </w:r>
      <w:r w:rsidR="001533A9">
        <w:t xml:space="preserve"> Anwar and Richard (2015) observed that </w:t>
      </w:r>
      <w:r w:rsidR="00F70AC3">
        <w:t xml:space="preserve">on the other hand </w:t>
      </w:r>
      <w:r w:rsidR="001533A9">
        <w:t xml:space="preserve">there are four US state licensing boards that </w:t>
      </w:r>
      <w:r w:rsidR="00F70AC3">
        <w:t xml:space="preserve">explicitly </w:t>
      </w:r>
      <w:r w:rsidR="001533A9">
        <w:t>acknowledge the Canadian Engineering Accreditation Board</w:t>
      </w:r>
      <w:r w:rsidR="00F70AC3">
        <w:t xml:space="preserve"> e</w:t>
      </w:r>
      <w:r w:rsidR="001533A9">
        <w:t xml:space="preserve">ven though the Canadian Engineering Accreditation Board </w:t>
      </w:r>
      <w:r w:rsidR="008F2A3C">
        <w:t xml:space="preserve">is </w:t>
      </w:r>
      <w:r w:rsidR="00F70AC3">
        <w:t xml:space="preserve">also </w:t>
      </w:r>
      <w:r w:rsidR="008F2A3C">
        <w:t>a signatory to the Washington Acco</w:t>
      </w:r>
      <w:r w:rsidR="009863BD">
        <w:t>rd.</w:t>
      </w:r>
    </w:p>
    <w:p w14:paraId="71D2FA7A" w14:textId="35EA3DCF" w:rsidR="00F82C5B" w:rsidRDefault="00FB3102" w:rsidP="00D558B9">
      <w:pPr>
        <w:ind w:firstLine="360"/>
      </w:pPr>
      <w:r>
        <w:t>This paper</w:t>
      </w:r>
      <w:r w:rsidR="006E0DCD">
        <w:t xml:space="preserve"> explore</w:t>
      </w:r>
      <w:r>
        <w:t>s</w:t>
      </w:r>
      <w:r w:rsidR="006E0DCD">
        <w:t xml:space="preserve"> substantial equivalency in this context of accreditation systems of two Washington Accord signatories</w:t>
      </w:r>
      <w:proofErr w:type="gramStart"/>
      <w:r>
        <w:t>;</w:t>
      </w:r>
      <w:proofErr w:type="gramEnd"/>
      <w:r w:rsidR="006E0DCD">
        <w:t xml:space="preserve"> EC</w:t>
      </w:r>
      <w:r>
        <w:t>,</w:t>
      </w:r>
      <w:r w:rsidR="006E0DCD">
        <w:t xml:space="preserve"> and ABET. Although there are 16 other full signatories and 6 provisional signatories</w:t>
      </w:r>
      <w:r w:rsidR="004767BF">
        <w:t xml:space="preserve"> to the Washington Accord</w:t>
      </w:r>
      <w:r w:rsidR="006E0DCD">
        <w:t>, this paper is limited to EC and ABET</w:t>
      </w:r>
      <w:r w:rsidR="00D02675">
        <w:t xml:space="preserve"> where the authors have direct experience</w:t>
      </w:r>
      <w:r w:rsidR="006E0DCD">
        <w:t>.</w:t>
      </w:r>
      <w:r w:rsidR="004D7022">
        <w:t xml:space="preserve"> </w:t>
      </w:r>
      <w:r w:rsidR="001C5E4A">
        <w:t xml:space="preserve">The </w:t>
      </w:r>
      <w:r w:rsidR="00F82C5B">
        <w:t xml:space="preserve">motivation </w:t>
      </w:r>
      <w:r w:rsidR="001C5E4A">
        <w:t xml:space="preserve">of this work is </w:t>
      </w:r>
    </w:p>
    <w:p w14:paraId="45DFFBCD" w14:textId="6041A821" w:rsidR="006E0DCD" w:rsidRDefault="00F82C5B" w:rsidP="005E2F97">
      <w:pPr>
        <w:pStyle w:val="ListParagraph"/>
        <w:numPr>
          <w:ilvl w:val="0"/>
          <w:numId w:val="6"/>
        </w:numPr>
        <w:spacing w:after="0" w:line="360" w:lineRule="auto"/>
        <w:ind w:left="714" w:hanging="357"/>
      </w:pPr>
      <w:r>
        <w:t>T</w:t>
      </w:r>
      <w:r w:rsidR="001C5E4A">
        <w:t xml:space="preserve">o </w:t>
      </w:r>
      <w:r w:rsidR="00ED3091">
        <w:t>demonstrate that the accreditation criteria of the EC for MEng programs is at least substantially equivalent to the ABET accreditation criteria which should</w:t>
      </w:r>
      <w:r w:rsidR="001C5E4A">
        <w:t xml:space="preserve"> give confidence to US </w:t>
      </w:r>
      <w:r>
        <w:t xml:space="preserve">state </w:t>
      </w:r>
      <w:r w:rsidR="001C5E4A">
        <w:t xml:space="preserve">licensing </w:t>
      </w:r>
      <w:r w:rsidR="00D90FC0">
        <w:t>boards to</w:t>
      </w:r>
      <w:r w:rsidR="001C5E4A">
        <w:t xml:space="preserve"> explicitly acknowledg</w:t>
      </w:r>
      <w:r w:rsidR="00CE7D02">
        <w:t>e</w:t>
      </w:r>
      <w:r w:rsidR="001C5E4A">
        <w:t xml:space="preserve"> the</w:t>
      </w:r>
      <w:r w:rsidR="00DF57F8">
        <w:t xml:space="preserve"> </w:t>
      </w:r>
      <w:r w:rsidR="00ED3091">
        <w:t>EC accredited (</w:t>
      </w:r>
      <w:r w:rsidR="00DF57F8">
        <w:t>MEng</w:t>
      </w:r>
      <w:r w:rsidR="00ED3091">
        <w:t>)</w:t>
      </w:r>
      <w:r w:rsidR="00DF57F8">
        <w:t xml:space="preserve"> programs</w:t>
      </w:r>
      <w:r w:rsidR="00ED3091">
        <w:t xml:space="preserve"> in their statutes.</w:t>
      </w:r>
    </w:p>
    <w:p w14:paraId="3CCBCD73" w14:textId="77388D56" w:rsidR="00F82C5B" w:rsidRDefault="00F82C5B" w:rsidP="005E2F97">
      <w:pPr>
        <w:pStyle w:val="ListParagraph"/>
        <w:numPr>
          <w:ilvl w:val="0"/>
          <w:numId w:val="6"/>
        </w:numPr>
        <w:spacing w:after="0" w:line="360" w:lineRule="auto"/>
        <w:ind w:left="714" w:hanging="357"/>
      </w:pPr>
      <w:r>
        <w:t>To provide insight to ABET, and the EC on some</w:t>
      </w:r>
      <w:r w:rsidR="004963DA">
        <w:t xml:space="preserve"> of the</w:t>
      </w:r>
      <w:r>
        <w:t xml:space="preserve"> differences in their accreditation systems that could be </w:t>
      </w:r>
      <w:r w:rsidR="00FB3102">
        <w:t>of concern to third parties such as US state licensing boards</w:t>
      </w:r>
      <w:r>
        <w:t>.</w:t>
      </w:r>
    </w:p>
    <w:p w14:paraId="54F5562E" w14:textId="33FB5D7E" w:rsidR="009863BD" w:rsidRDefault="00ED3091" w:rsidP="009863BD">
      <w:pPr>
        <w:ind w:firstLine="357"/>
      </w:pPr>
      <w:r>
        <w:lastRenderedPageBreak/>
        <w:t>T</w:t>
      </w:r>
      <w:r w:rsidR="003F2062">
        <w:t>he EC require</w:t>
      </w:r>
      <w:r>
        <w:t>s</w:t>
      </w:r>
      <w:r w:rsidR="003F2062">
        <w:t xml:space="preserve"> </w:t>
      </w:r>
      <w:r w:rsidR="0012232F">
        <w:t>…</w:t>
      </w:r>
      <w:r w:rsidR="003F2062">
        <w:t>“</w:t>
      </w:r>
      <w:r w:rsidR="003F2062">
        <w:rPr>
          <w:rStyle w:val="Emphasis"/>
        </w:rPr>
        <w:t xml:space="preserve">Students starting Washington Accord programmes </w:t>
      </w:r>
      <w:proofErr w:type="gramStart"/>
      <w:r w:rsidR="003F2062">
        <w:rPr>
          <w:rStyle w:val="Emphasis"/>
        </w:rPr>
        <w:t>from  July</w:t>
      </w:r>
      <w:proofErr w:type="gramEnd"/>
      <w:r w:rsidR="003F2062">
        <w:rPr>
          <w:rStyle w:val="Emphasis"/>
        </w:rPr>
        <w:t xml:space="preserve"> 2015 onwards will be required to demonstrate learning to European Master's level when applying for Chartered Engineer registration.”</w:t>
      </w:r>
      <w:r w:rsidR="003F2062">
        <w:rPr>
          <w:rStyle w:val="Emphasis"/>
          <w:i w:val="0"/>
        </w:rPr>
        <w:t xml:space="preserve">. </w:t>
      </w:r>
      <w:proofErr w:type="gramStart"/>
      <w:r w:rsidR="003F2062">
        <w:rPr>
          <w:rStyle w:val="Emphasis"/>
          <w:i w:val="0"/>
        </w:rPr>
        <w:t>(EC 2017).</w:t>
      </w:r>
      <w:proofErr w:type="gramEnd"/>
      <w:r w:rsidR="003F2062">
        <w:rPr>
          <w:rStyle w:val="Emphasis"/>
          <w:i w:val="0"/>
        </w:rPr>
        <w:t xml:space="preserve"> </w:t>
      </w:r>
      <w:r w:rsidR="00017994">
        <w:rPr>
          <w:rStyle w:val="Emphasis"/>
          <w:i w:val="0"/>
        </w:rPr>
        <w:t>To put this in the context of this paper,</w:t>
      </w:r>
      <w:r w:rsidR="003F2062">
        <w:rPr>
          <w:rStyle w:val="Emphasis"/>
          <w:i w:val="0"/>
        </w:rPr>
        <w:t xml:space="preserve"> </w:t>
      </w:r>
      <w:r w:rsidR="0068442E">
        <w:rPr>
          <w:rStyle w:val="Emphasis"/>
          <w:i w:val="0"/>
        </w:rPr>
        <w:t>this implies that although an ABET accredited baccalaureate degree is substantially equivalent to a UK MEng degree (as defined by the Washington Accord), a graduate</w:t>
      </w:r>
      <w:r w:rsidR="003F2062">
        <w:rPr>
          <w:rStyle w:val="Emphasis"/>
          <w:i w:val="0"/>
        </w:rPr>
        <w:t xml:space="preserve"> of an ABET accredited baccalaureate program </w:t>
      </w:r>
      <w:r w:rsidR="00017994">
        <w:rPr>
          <w:rStyle w:val="Emphasis"/>
          <w:i w:val="0"/>
        </w:rPr>
        <w:t xml:space="preserve">would need to demonstrate the learning at the </w:t>
      </w:r>
      <w:r>
        <w:rPr>
          <w:rStyle w:val="Emphasis"/>
          <w:i w:val="0"/>
        </w:rPr>
        <w:t xml:space="preserve">ABET accredited </w:t>
      </w:r>
      <w:r w:rsidR="00017994">
        <w:rPr>
          <w:rStyle w:val="Emphasis"/>
          <w:i w:val="0"/>
        </w:rPr>
        <w:t>baccalaureate programme is equivalent to European Master’s level to apply for Chartered Engineer (C.Eng) registration!</w:t>
      </w:r>
      <w:r w:rsidR="0068442E">
        <w:rPr>
          <w:rStyle w:val="Emphasis"/>
          <w:i w:val="0"/>
        </w:rPr>
        <w:t xml:space="preserve"> </w:t>
      </w:r>
      <w:r w:rsidR="0068442E">
        <w:t>There is a degree of inconsistency in this EC statement. Hence the analysis in this paper is asymmetric in the sense that it uses ABET criteria as a reference against which EC criteria and guidelines are compared but not vice versa.</w:t>
      </w:r>
    </w:p>
    <w:p w14:paraId="577C33E2" w14:textId="75FB53FD" w:rsidR="000322B4" w:rsidRDefault="00522A4C" w:rsidP="009863BD">
      <w:pPr>
        <w:ind w:firstLine="357"/>
      </w:pPr>
      <w:r>
        <w:t>For engineering professionals, the UK does not have licensing board</w:t>
      </w:r>
      <w:r w:rsidR="007A4BCB">
        <w:t>s</w:t>
      </w:r>
      <w:r>
        <w:t xml:space="preserve"> unlike the US.</w:t>
      </w:r>
      <w:r w:rsidR="007A4BCB">
        <w:t xml:space="preserve"> The EC itself is responsible for both accreditation and professional licensure of engieners.</w:t>
      </w:r>
      <w:r>
        <w:t xml:space="preserve"> </w:t>
      </w:r>
      <w:r w:rsidR="0012232F">
        <w:t>T</w:t>
      </w:r>
      <w:r>
        <w:t xml:space="preserve">he EC admits individuals to its register of Chartered Engineers </w:t>
      </w:r>
      <w:r w:rsidR="00F54EA5">
        <w:t xml:space="preserve">upon fulfilling specified criteria. The C.Eng professional qualification is </w:t>
      </w:r>
      <w:r>
        <w:t xml:space="preserve">broadly comparable to the Professional Engineer in the US.  The requirements for receiving a C.Eng </w:t>
      </w:r>
      <w:r w:rsidR="00664156">
        <w:t>professional qualification varies</w:t>
      </w:r>
      <w:r>
        <w:t xml:space="preserve"> between the various professional institutions, however the requirements are generally</w:t>
      </w:r>
    </w:p>
    <w:p w14:paraId="24188F08" w14:textId="149521F7" w:rsidR="00522A4C" w:rsidRDefault="00522A4C" w:rsidP="00522A4C">
      <w:pPr>
        <w:pStyle w:val="ListParagraph"/>
        <w:numPr>
          <w:ilvl w:val="0"/>
          <w:numId w:val="8"/>
        </w:numPr>
        <w:rPr>
          <w:rFonts w:eastAsia="Calibri"/>
        </w:rPr>
      </w:pPr>
      <w:r w:rsidRPr="00522A4C">
        <w:rPr>
          <w:rFonts w:eastAsia="Calibri"/>
        </w:rPr>
        <w:t xml:space="preserve">Educational requirements – typically </w:t>
      </w:r>
      <w:r w:rsidR="009863BD">
        <w:rPr>
          <w:rFonts w:eastAsia="Calibri"/>
        </w:rPr>
        <w:t>B</w:t>
      </w:r>
      <w:r w:rsidRPr="00522A4C">
        <w:rPr>
          <w:rFonts w:eastAsia="Calibri"/>
        </w:rPr>
        <w:t>accalaureate and Master’</w:t>
      </w:r>
      <w:r w:rsidR="009863BD">
        <w:rPr>
          <w:rFonts w:eastAsia="Calibri"/>
        </w:rPr>
        <w:t>s degree or an Integrated Master’s degree.</w:t>
      </w:r>
    </w:p>
    <w:p w14:paraId="7613BCAC" w14:textId="77777777" w:rsidR="00522A4C" w:rsidRPr="00522A4C" w:rsidRDefault="00522A4C" w:rsidP="00522A4C">
      <w:pPr>
        <w:pStyle w:val="ListParagraph"/>
        <w:numPr>
          <w:ilvl w:val="0"/>
          <w:numId w:val="8"/>
        </w:numPr>
        <w:rPr>
          <w:rFonts w:eastAsia="Calibri"/>
        </w:rPr>
      </w:pPr>
      <w:r>
        <w:rPr>
          <w:rFonts w:eastAsia="Calibri"/>
          <w:szCs w:val="22"/>
          <w:lang w:eastAsia="en-US"/>
        </w:rPr>
        <w:t xml:space="preserve">Qualifying </w:t>
      </w:r>
      <w:r w:rsidRPr="00522A4C">
        <w:rPr>
          <w:rFonts w:eastAsia="Calibri"/>
          <w:szCs w:val="22"/>
          <w:lang w:eastAsia="en-US"/>
        </w:rPr>
        <w:t>work experience (also called initial professional development)</w:t>
      </w:r>
    </w:p>
    <w:p w14:paraId="1DA8456E" w14:textId="1E255121" w:rsidR="00522A4C" w:rsidRPr="00522A4C" w:rsidRDefault="00522A4C" w:rsidP="00522A4C">
      <w:pPr>
        <w:pStyle w:val="ListParagraph"/>
        <w:numPr>
          <w:ilvl w:val="0"/>
          <w:numId w:val="8"/>
        </w:numPr>
        <w:rPr>
          <w:rFonts w:eastAsia="Calibri"/>
        </w:rPr>
      </w:pPr>
      <w:r w:rsidRPr="00522A4C">
        <w:rPr>
          <w:rFonts w:eastAsia="Calibri"/>
          <w:szCs w:val="22"/>
          <w:lang w:eastAsia="en-US"/>
        </w:rPr>
        <w:t>Professional Review</w:t>
      </w:r>
      <w:r>
        <w:rPr>
          <w:rFonts w:eastAsia="Calibri"/>
          <w:szCs w:val="22"/>
          <w:lang w:eastAsia="en-US"/>
        </w:rPr>
        <w:t>.</w:t>
      </w:r>
    </w:p>
    <w:p w14:paraId="0F2C92D3" w14:textId="35BE5EE0" w:rsidR="00522A4C" w:rsidRPr="0070680D" w:rsidRDefault="00875852" w:rsidP="00875852">
      <w:pPr>
        <w:ind w:firstLine="360"/>
      </w:pPr>
      <w:r>
        <w:t xml:space="preserve">Some important distinctions are that the UK requires a Master’s level qualification – this is comparable to what is suggested in Policy </w:t>
      </w:r>
      <w:r w:rsidR="003C1151">
        <w:t xml:space="preserve">Statement 465 (ASCE 2017). </w:t>
      </w:r>
      <w:r w:rsidR="003F2062">
        <w:t xml:space="preserve">Further </w:t>
      </w:r>
      <w:r w:rsidR="00522A4C">
        <w:t>distinction</w:t>
      </w:r>
      <w:r w:rsidR="003F2062">
        <w:t>s</w:t>
      </w:r>
      <w:r w:rsidR="00522A4C">
        <w:t xml:space="preserve"> </w:t>
      </w:r>
      <w:r w:rsidR="003F2062">
        <w:t xml:space="preserve">are </w:t>
      </w:r>
      <w:r w:rsidR="00522A4C">
        <w:t>that there is no UK equivalent to the Fundamental of Engineering examination for graduates of</w:t>
      </w:r>
      <w:r w:rsidR="003F2062">
        <w:t xml:space="preserve"> an EC</w:t>
      </w:r>
      <w:r w:rsidR="00522A4C">
        <w:t xml:space="preserve"> accredited programs. Furthermore the profes</w:t>
      </w:r>
      <w:r w:rsidR="000C4EF9">
        <w:t>sional review is a review of a written submission, record of continuous-professional development (CPD),</w:t>
      </w:r>
      <w:r w:rsidR="00522A4C">
        <w:t xml:space="preserve"> </w:t>
      </w:r>
      <w:r w:rsidR="000C4EF9">
        <w:t>interview and an assessment of written (sic) skills. There is no</w:t>
      </w:r>
      <w:r w:rsidR="00522A4C">
        <w:t xml:space="preserve"> formal test equivalent to the </w:t>
      </w:r>
      <w:r w:rsidR="000C4EF9" w:rsidRPr="000C4EF9">
        <w:t>Principles and Practice of Engineering (PE) exam</w:t>
      </w:r>
      <w:r w:rsidR="000C4EF9">
        <w:t xml:space="preserve">. </w:t>
      </w:r>
      <w:r w:rsidR="007A4BCB">
        <w:t xml:space="preserve">It is beyond the scope of this work to debate the merits and demerits of these two licensing approaches but </w:t>
      </w:r>
      <w:r w:rsidR="000C4EF9">
        <w:t>Llyod-Roach (</w:t>
      </w:r>
      <w:r w:rsidR="000C4EF9" w:rsidRPr="007933E3">
        <w:t>2013)</w:t>
      </w:r>
      <w:r w:rsidR="000C4EF9">
        <w:t xml:space="preserve"> provides an interesting personal perspective on the US PE licensure examinations.</w:t>
      </w:r>
      <w:r w:rsidR="00664156">
        <w:t xml:space="preserve"> </w:t>
      </w:r>
    </w:p>
    <w:p w14:paraId="719596C8" w14:textId="77777777" w:rsidR="00D558B9" w:rsidRPr="00EB6040" w:rsidRDefault="00D558B9" w:rsidP="00D558B9">
      <w:pPr>
        <w:pStyle w:val="Heading2"/>
      </w:pPr>
      <w:r>
        <w:t>MATERIALS AND METHODS</w:t>
      </w:r>
    </w:p>
    <w:p w14:paraId="12C666FA" w14:textId="77777777" w:rsidR="00F07B6E" w:rsidRDefault="00E64D9B" w:rsidP="00F07B6E">
      <w:pPr>
        <w:ind w:firstLine="360"/>
      </w:pPr>
      <w:r>
        <w:t xml:space="preserve">This research uses publicly available material including but not limited to reports, websites, newsletters issued by ABET, EC, JBM along with published research papers. </w:t>
      </w:r>
      <w:r w:rsidR="009C21AB">
        <w:t xml:space="preserve">Since the EC licenses various professional institutions to undertake accreditation on its behalf – and four such </w:t>
      </w:r>
      <w:r w:rsidR="009C21AB">
        <w:lastRenderedPageBreak/>
        <w:t>professional institutions have formed the JBM, for the purposes of this paper no distinction is made between EC and JBM</w:t>
      </w:r>
      <w:r w:rsidR="00C06192">
        <w:t>.</w:t>
      </w:r>
    </w:p>
    <w:p w14:paraId="60694316" w14:textId="77777777" w:rsidR="00D558B9" w:rsidRPr="00BE086C" w:rsidRDefault="00E64D9B" w:rsidP="00D558B9">
      <w:pPr>
        <w:ind w:firstLine="720"/>
      </w:pPr>
      <w:r>
        <w:t>The research explores the question of substantial equivalency from an ABET perspective i.e. each of the eight ABET Engineering Accreditation Commission</w:t>
      </w:r>
      <w:r w:rsidR="00007D75">
        <w:t xml:space="preserve"> (EAC)</w:t>
      </w:r>
      <w:r>
        <w:t xml:space="preserve"> </w:t>
      </w:r>
      <w:r w:rsidR="003523F6" w:rsidRPr="003523F6">
        <w:t xml:space="preserve">General Criteria for Baccalaureate Level Programs. </w:t>
      </w:r>
      <w:r w:rsidR="00AD0D20">
        <w:t>(ABET 2016</w:t>
      </w:r>
      <w:r w:rsidR="00E540F3">
        <w:t>b</w:t>
      </w:r>
      <w:r w:rsidR="00AD0D20">
        <w:t>)</w:t>
      </w:r>
      <w:r>
        <w:t xml:space="preserve"> is examined in turn against comparable EC criteria</w:t>
      </w:r>
      <w:r w:rsidR="003523F6">
        <w:t xml:space="preserve"> for MEng programs</w:t>
      </w:r>
      <w:r>
        <w:t>.</w:t>
      </w:r>
      <w:r w:rsidR="00007D75">
        <w:t xml:space="preserve"> </w:t>
      </w:r>
      <w:r w:rsidR="00F92D92">
        <w:t xml:space="preserve">The ABET EAC Program Criteria for Civil Engineering Programs are also </w:t>
      </w:r>
      <w:proofErr w:type="gramStart"/>
      <w:r w:rsidR="00F92D92">
        <w:t>considered</w:t>
      </w:r>
      <w:proofErr w:type="gramEnd"/>
      <w:r w:rsidR="00F92D92">
        <w:t xml:space="preserve"> as one of the four institutions that constitute the JBM is the Institution of Civil Engineers.</w:t>
      </w:r>
    </w:p>
    <w:p w14:paraId="413F7AA9" w14:textId="77777777" w:rsidR="00D558B9" w:rsidRDefault="00D558B9" w:rsidP="00D558B9">
      <w:pPr>
        <w:pStyle w:val="Heading2"/>
      </w:pPr>
      <w:r>
        <w:t>ANALYSIS</w:t>
      </w:r>
    </w:p>
    <w:p w14:paraId="3B516CCD" w14:textId="77777777" w:rsidR="00D558B9" w:rsidRDefault="00D558B9" w:rsidP="00D558B9">
      <w:pPr>
        <w:pStyle w:val="Heading2"/>
      </w:pPr>
      <w:r>
        <w:t>ABET Criterion 1. Students</w:t>
      </w:r>
    </w:p>
    <w:p w14:paraId="3DC7D249" w14:textId="77777777" w:rsidR="002C11FE" w:rsidRDefault="00051E92" w:rsidP="00051E92">
      <w:r>
        <w:tab/>
      </w:r>
      <w:r w:rsidR="002C11FE">
        <w:t>ABET criterion 1 requires student performance to be evaluated</w:t>
      </w:r>
      <w:r w:rsidR="005E2F97">
        <w:t xml:space="preserve"> and mentored in both academic </w:t>
      </w:r>
      <w:r w:rsidR="009A069C">
        <w:t xml:space="preserve">and professional matters, and policies and documented procedures to </w:t>
      </w:r>
      <w:r w:rsidR="00D73300">
        <w:t>ensure</w:t>
      </w:r>
      <w:r w:rsidR="009A069C">
        <w:t xml:space="preserve"> graduates meet all graduation requirements. The</w:t>
      </w:r>
      <w:r w:rsidR="005E2F97">
        <w:t xml:space="preserve"> </w:t>
      </w:r>
      <w:r w:rsidR="009A069C">
        <w:t>EC has</w:t>
      </w:r>
      <w:r w:rsidR="009C298A">
        <w:t xml:space="preserve"> guidelines</w:t>
      </w:r>
      <w:r w:rsidR="009A069C">
        <w:t xml:space="preserve"> similar</w:t>
      </w:r>
      <w:r w:rsidR="009C298A">
        <w:t xml:space="preserve"> to </w:t>
      </w:r>
      <w:proofErr w:type="gramStart"/>
      <w:r w:rsidR="009C298A">
        <w:t>this</w:t>
      </w:r>
      <w:r w:rsidR="009A069C">
        <w:t xml:space="preserve"> criteria</w:t>
      </w:r>
      <w:proofErr w:type="gramEnd"/>
      <w:r w:rsidR="009A069C">
        <w:t xml:space="preserve"> for student assessment and progression and professional mentoring.</w:t>
      </w:r>
    </w:p>
    <w:p w14:paraId="35DAFDE2" w14:textId="77777777" w:rsidR="00051E92" w:rsidRPr="00051E92" w:rsidRDefault="00051E92" w:rsidP="002C11FE">
      <w:pPr>
        <w:ind w:firstLine="720"/>
      </w:pPr>
      <w:r>
        <w:t xml:space="preserve">ABET requires that the program have and enforce policies for accepting new and transfer students. </w:t>
      </w:r>
      <w:r w:rsidR="00C3082D">
        <w:t xml:space="preserve">The </w:t>
      </w:r>
      <w:r>
        <w:t>EC provides</w:t>
      </w:r>
      <w:r w:rsidR="00FA0232">
        <w:t xml:space="preserve"> very specific</w:t>
      </w:r>
      <w:r>
        <w:t xml:space="preserve"> guidance on the policy for accepting new students and although not mandatory expects to </w:t>
      </w:r>
      <w:r w:rsidR="000C3AB1">
        <w:t xml:space="preserve">see </w:t>
      </w:r>
      <w:r>
        <w:t>evidence of special measures where a program departs from this guideline</w:t>
      </w:r>
      <w:r w:rsidR="006D12AF">
        <w:t>.</w:t>
      </w:r>
      <w:r w:rsidR="00FA0232">
        <w:t xml:space="preserve"> </w:t>
      </w:r>
      <w:r w:rsidR="00C3082D">
        <w:t xml:space="preserve">The </w:t>
      </w:r>
      <w:r w:rsidR="00FA0232">
        <w:t>EC expects student accepted on an engineering program to have UK high-school level mathematics.</w:t>
      </w:r>
      <w:r w:rsidR="006D12AF">
        <w:t xml:space="preserve"> Although</w:t>
      </w:r>
      <w:r w:rsidR="00C45FF8">
        <w:t xml:space="preserve"> the</w:t>
      </w:r>
      <w:r w:rsidR="006D12AF">
        <w:t xml:space="preserve"> EC does require Departments/Schools to report on the number of transfer students accepted,</w:t>
      </w:r>
      <w:r w:rsidR="001938A0">
        <w:t xml:space="preserve"> the</w:t>
      </w:r>
      <w:r w:rsidR="006D12AF">
        <w:t xml:space="preserve"> EC does not require an explicit policy on transfer students.</w:t>
      </w:r>
      <w:r w:rsidR="00FA0232">
        <w:t xml:space="preserve"> However this practice is probably justified</w:t>
      </w:r>
      <w:r w:rsidR="00D73300">
        <w:t xml:space="preserve"> for the UK</w:t>
      </w:r>
      <w:r w:rsidR="002A085E">
        <w:t xml:space="preserve"> context</w:t>
      </w:r>
      <w:r w:rsidR="00FA0232">
        <w:t xml:space="preserve"> given there are far fewer transfer students </w:t>
      </w:r>
      <w:r w:rsidR="009C298A">
        <w:t>between</w:t>
      </w:r>
      <w:r w:rsidR="00FA0232">
        <w:t xml:space="preserve"> UK universities as compared to US universities.</w:t>
      </w:r>
      <w:r w:rsidR="009C298A">
        <w:t xml:space="preserve"> </w:t>
      </w:r>
      <w:r w:rsidR="00C3082D">
        <w:t xml:space="preserve">The </w:t>
      </w:r>
      <w:r w:rsidR="009C298A">
        <w:t xml:space="preserve">EC provides more specific guidance on transfer students between Bachelor of Engineering (3 year undergraduate programs) and Master of </w:t>
      </w:r>
      <w:r w:rsidR="00F16514">
        <w:t>Engineering</w:t>
      </w:r>
      <w:r w:rsidR="009C298A">
        <w:t xml:space="preserve"> (4 year integrated masters programs).</w:t>
      </w:r>
    </w:p>
    <w:p w14:paraId="2D4A85E5" w14:textId="77777777" w:rsidR="00D558B9" w:rsidRDefault="00D558B9" w:rsidP="00D558B9">
      <w:pPr>
        <w:pStyle w:val="Heading2"/>
      </w:pPr>
      <w:r>
        <w:t xml:space="preserve">ABET </w:t>
      </w:r>
      <w:r w:rsidRPr="00C91135">
        <w:t>Criterion 2. Program Educational Objectives</w:t>
      </w:r>
    </w:p>
    <w:p w14:paraId="1EFF5DE9" w14:textId="77777777" w:rsidR="00DF1E95" w:rsidRDefault="000D6993" w:rsidP="00DF1E95">
      <w:pPr>
        <w:ind w:firstLine="720"/>
      </w:pPr>
      <w:r>
        <w:t xml:space="preserve">ABET, under criterion 2 requires that a </w:t>
      </w:r>
      <w:r w:rsidRPr="000D6993">
        <w:t xml:space="preserve">program </w:t>
      </w:r>
      <w:r>
        <w:t xml:space="preserve">has published </w:t>
      </w:r>
      <w:r w:rsidR="009C21AB">
        <w:t>Program E</w:t>
      </w:r>
      <w:r w:rsidRPr="000D6993">
        <w:t xml:space="preserve">ducational </w:t>
      </w:r>
      <w:r w:rsidR="009C21AB">
        <w:t>O</w:t>
      </w:r>
      <w:r w:rsidRPr="000D6993">
        <w:t>bjectives</w:t>
      </w:r>
      <w:r>
        <w:t xml:space="preserve"> </w:t>
      </w:r>
      <w:r w:rsidR="00342EEF">
        <w:t xml:space="preserve">whereas </w:t>
      </w:r>
      <w:r w:rsidR="00817CF1">
        <w:t xml:space="preserve">the </w:t>
      </w:r>
      <w:r w:rsidR="00F247D9">
        <w:t>EC</w:t>
      </w:r>
      <w:r w:rsidR="00740C1E">
        <w:t xml:space="preserve"> does not require </w:t>
      </w:r>
      <w:r w:rsidR="00DF1E95">
        <w:t xml:space="preserve">that </w:t>
      </w:r>
      <w:r w:rsidR="00740C1E">
        <w:t xml:space="preserve">a program have </w:t>
      </w:r>
      <w:r w:rsidR="00342EEF">
        <w:t xml:space="preserve">published </w:t>
      </w:r>
      <w:r w:rsidR="00740C1E">
        <w:t>educational objectives</w:t>
      </w:r>
      <w:r w:rsidR="00342EEF">
        <w:t xml:space="preserve">. </w:t>
      </w:r>
      <w:r w:rsidR="009C21AB">
        <w:t xml:space="preserve">This ABET criteria also requires that the objectives are; consistent with the mission of the institution; meet the needs of the constituents; and, are periodically and systematically reviewed. </w:t>
      </w:r>
      <w:r w:rsidR="00DF1E95">
        <w:t>Whereas</w:t>
      </w:r>
      <w:r w:rsidR="009C21AB">
        <w:t xml:space="preserve"> ABET</w:t>
      </w:r>
      <w:r w:rsidR="00DF1E95">
        <w:t xml:space="preserve"> expects programs to identify the constituents</w:t>
      </w:r>
      <w:r w:rsidR="009C21AB">
        <w:t>, the EC does not require a program to identify the constituents. The</w:t>
      </w:r>
      <w:r w:rsidR="00B97CCE">
        <w:t xml:space="preserve"> JBM</w:t>
      </w:r>
      <w:r w:rsidR="009C21AB">
        <w:t xml:space="preserve"> </w:t>
      </w:r>
      <w:r w:rsidR="004E15B3" w:rsidRPr="004E15B3">
        <w:t>Accreditation Submission Document</w:t>
      </w:r>
      <w:r w:rsidR="00F53281">
        <w:t xml:space="preserve"> (JBM 2016a)</w:t>
      </w:r>
      <w:r w:rsidR="004E15B3" w:rsidRPr="004E15B3">
        <w:t xml:space="preserve"> </w:t>
      </w:r>
      <w:r w:rsidR="004E15B3">
        <w:t xml:space="preserve">akin to the ABET Self-Study Questionnaire </w:t>
      </w:r>
      <w:r w:rsidR="009C21AB">
        <w:t>ask</w:t>
      </w:r>
      <w:r w:rsidR="00DF1E95">
        <w:t>s</w:t>
      </w:r>
      <w:r w:rsidR="009C21AB">
        <w:t xml:space="preserve"> for details of any “</w:t>
      </w:r>
      <w:r w:rsidR="009C21AB" w:rsidRPr="009C21AB">
        <w:rPr>
          <w:i/>
        </w:rPr>
        <w:t xml:space="preserve">input to the civil </w:t>
      </w:r>
      <w:r w:rsidR="009C21AB" w:rsidRPr="009C21AB">
        <w:rPr>
          <w:i/>
        </w:rPr>
        <w:lastRenderedPageBreak/>
        <w:t>engineering activity in the School/Department from the construction industry</w:t>
      </w:r>
      <w:r w:rsidR="009C21AB">
        <w:t xml:space="preserve">”. Hence in contrast to ABET, </w:t>
      </w:r>
      <w:r w:rsidR="00605AA2">
        <w:t xml:space="preserve">the </w:t>
      </w:r>
      <w:r w:rsidR="009C21AB">
        <w:t xml:space="preserve">EC </w:t>
      </w:r>
      <w:r w:rsidR="004E15B3">
        <w:t>anticipates the construction industry as a constituen</w:t>
      </w:r>
      <w:r w:rsidR="00BC2FC0">
        <w:t>t</w:t>
      </w:r>
      <w:r w:rsidR="00DF1E95">
        <w:t>, input</w:t>
      </w:r>
      <w:r w:rsidR="00BC2FC0">
        <w:t xml:space="preserve"> from this constituent</w:t>
      </w:r>
      <w:r w:rsidR="00DF1E95">
        <w:t xml:space="preserve"> is not </w:t>
      </w:r>
      <w:r w:rsidR="0031482B">
        <w:t>specific to</w:t>
      </w:r>
      <w:r w:rsidR="00DF1E95">
        <w:t xml:space="preserve"> program educational objectives but rather includes; </w:t>
      </w:r>
      <w:r w:rsidR="00DF1E95" w:rsidRPr="00DF1E95">
        <w:t>staff development and supp</w:t>
      </w:r>
      <w:r w:rsidR="00DF1E95">
        <w:t xml:space="preserve">ort; student learning; </w:t>
      </w:r>
      <w:r w:rsidR="00DF1E95" w:rsidRPr="00DF1E95">
        <w:t>research activity and consultancy; sponsorship</w:t>
      </w:r>
      <w:proofErr w:type="gramStart"/>
      <w:r w:rsidR="00DF1E95" w:rsidRPr="00DF1E95">
        <w:t>;</w:t>
      </w:r>
      <w:proofErr w:type="gramEnd"/>
      <w:r w:rsidR="00DF1E95" w:rsidRPr="00DF1E95">
        <w:t xml:space="preserve"> program development and review</w:t>
      </w:r>
      <w:r w:rsidR="00DF1E95">
        <w:t>.</w:t>
      </w:r>
      <w:r w:rsidR="0031482B">
        <w:t xml:space="preserve"> </w:t>
      </w:r>
      <w:r w:rsidR="006539E9">
        <w:t xml:space="preserve">The </w:t>
      </w:r>
      <w:r w:rsidR="0031482B">
        <w:t>EC also asks where a School/Department has an Industrial Advisory Board to report on the contribution of this Board,</w:t>
      </w:r>
      <w:r w:rsidR="00047D84">
        <w:t xml:space="preserve"> the frequency of meetings etc. </w:t>
      </w:r>
      <w:r w:rsidR="00F53281">
        <w:t>but again the role of the Industrial Advisory Board in articulating and reviewing Program Educational Objectives is not an explicit criterion or guideline.</w:t>
      </w:r>
    </w:p>
    <w:p w14:paraId="45C28491" w14:textId="77777777" w:rsidR="00D558B9" w:rsidRDefault="00D558B9" w:rsidP="00DF1E95">
      <w:pPr>
        <w:pStyle w:val="Heading2"/>
      </w:pPr>
      <w:r>
        <w:t xml:space="preserve">ABET </w:t>
      </w:r>
      <w:r w:rsidRPr="00C91135">
        <w:t>Criterion 3. Student Outcomes</w:t>
      </w:r>
    </w:p>
    <w:p w14:paraId="52648F1C" w14:textId="20A4F9F2" w:rsidR="009B0672" w:rsidRPr="009B0672" w:rsidRDefault="009B0672" w:rsidP="009B0672">
      <w:r>
        <w:tab/>
      </w:r>
      <w:r w:rsidR="00EB7991">
        <w:t>ABET 2016</w:t>
      </w:r>
      <w:r w:rsidR="00E540F3">
        <w:t>b</w:t>
      </w:r>
      <w:r w:rsidR="00EB7991">
        <w:t xml:space="preserve"> defines Student Outcomes as the </w:t>
      </w:r>
      <w:r w:rsidR="00EB7991" w:rsidRPr="00EB7991">
        <w:t>skills, knowledge, and behaviors</w:t>
      </w:r>
      <w:r w:rsidR="00EB7991">
        <w:t xml:space="preserve"> that students are expected to acquire over the course of the progr</w:t>
      </w:r>
      <w:r w:rsidR="006E4ABA">
        <w:t>a</w:t>
      </w:r>
      <w:r w:rsidR="00EB7991">
        <w:t xml:space="preserve">m. </w:t>
      </w:r>
      <w:r>
        <w:t>ABET Criterion 3 requires an accredited program to document student outcomes</w:t>
      </w:r>
      <w:r w:rsidR="009E6F6C">
        <w:t xml:space="preserve"> listed in Appendix A</w:t>
      </w:r>
      <w:r>
        <w:t xml:space="preserve"> </w:t>
      </w:r>
      <w:r w:rsidR="00F824BB">
        <w:t>alongside</w:t>
      </w:r>
      <w:r>
        <w:t xml:space="preserve"> any others as articulated by the program. </w:t>
      </w:r>
      <w:r w:rsidR="00D4385D">
        <w:t xml:space="preserve">The </w:t>
      </w:r>
      <w:r w:rsidR="00B90CFD">
        <w:t>EC (EC 2014) has</w:t>
      </w:r>
      <w:r w:rsidR="00DF471D">
        <w:t xml:space="preserve"> </w:t>
      </w:r>
      <w:r w:rsidR="00B90CFD">
        <w:t xml:space="preserve">40 </w:t>
      </w:r>
      <w:r w:rsidR="00DF471D">
        <w:t>learning outcomes</w:t>
      </w:r>
      <w:r w:rsidR="00B90CFD">
        <w:t xml:space="preserve"> listed in Appendix </w:t>
      </w:r>
      <w:r w:rsidR="009E6F6C">
        <w:t>B</w:t>
      </w:r>
      <w:r w:rsidR="00DF471D">
        <w:t xml:space="preserve"> </w:t>
      </w:r>
      <w:r w:rsidR="00B90CFD">
        <w:t>grouped into six</w:t>
      </w:r>
      <w:r>
        <w:t xml:space="preserve"> </w:t>
      </w:r>
      <w:r w:rsidR="00DF471D">
        <w:t xml:space="preserve">broad areas of </w:t>
      </w:r>
      <w:r w:rsidR="00B90CFD">
        <w:t>learning</w:t>
      </w:r>
      <w:r w:rsidR="00017D24">
        <w:t xml:space="preserve">. </w:t>
      </w:r>
      <w:r w:rsidR="00E44C07">
        <w:t xml:space="preserve">A comparison of the 11 ABET Student Ouctomes and the 40 EC learning outcomes shows a significant degree of overlap. </w:t>
      </w:r>
      <w:r w:rsidR="00017D24">
        <w:t xml:space="preserve"> Table 1 shows a mapping of each of the ABET Student Outcomes </w:t>
      </w:r>
      <w:r w:rsidR="003E5E75">
        <w:t>against the</w:t>
      </w:r>
      <w:r w:rsidR="00017D24">
        <w:t xml:space="preserve"> </w:t>
      </w:r>
      <w:r w:rsidR="00E44C07">
        <w:t>EC</w:t>
      </w:r>
      <w:r w:rsidR="00017D24">
        <w:t xml:space="preserve"> areas of </w:t>
      </w:r>
      <w:r w:rsidR="00DF471D">
        <w:t xml:space="preserve">broad </w:t>
      </w:r>
      <w:r w:rsidR="00017D24">
        <w:t>learning outcomes</w:t>
      </w:r>
      <w:r w:rsidR="00E44C07">
        <w:t xml:space="preserve"> (in the interest of brevity all 40 EC learning outcomes are not listed in Table 1). This mapping shows how the ABET Student Outcomes are covered by the EC areas of broad learning</w:t>
      </w:r>
      <w:r w:rsidR="00E72FDD">
        <w:t xml:space="preserve">. </w:t>
      </w:r>
    </w:p>
    <w:p w14:paraId="76D2F63E" w14:textId="77777777" w:rsidR="00D558B9" w:rsidRDefault="00D558B9" w:rsidP="00D558B9">
      <w:pPr>
        <w:pStyle w:val="Heading2"/>
      </w:pPr>
      <w:r>
        <w:t xml:space="preserve">ABET </w:t>
      </w:r>
      <w:r w:rsidRPr="00C91135">
        <w:t>Criterion 4. Continuous Improvement</w:t>
      </w:r>
    </w:p>
    <w:p w14:paraId="163D96E5" w14:textId="77777777" w:rsidR="006E4ABA" w:rsidRPr="00ED27AF" w:rsidRDefault="006E4ABA" w:rsidP="00ED27AF">
      <w:r>
        <w:tab/>
        <w:t xml:space="preserve">Under this criterion ABET requires that the program has documented processes for assessing and evaluating the extent to which Student Outcomes are being attained and that this evaluation is used for continuous improvement of the program. </w:t>
      </w:r>
      <w:r w:rsidR="00B26AA9">
        <w:t xml:space="preserve">The </w:t>
      </w:r>
      <w:r w:rsidR="002C11FE">
        <w:t>EC uses the terminology learning outcomes and expects “</w:t>
      </w:r>
      <w:r w:rsidR="002C11FE">
        <w:rPr>
          <w:i/>
        </w:rPr>
        <w:t>the process of accreditation will include an assessment of whether graduates are achieving these outcomes</w:t>
      </w:r>
      <w:r w:rsidR="002E0B6F">
        <w:rPr>
          <w:i/>
        </w:rPr>
        <w:t xml:space="preserve">” </w:t>
      </w:r>
      <w:r w:rsidR="002E0B6F">
        <w:t>and</w:t>
      </w:r>
      <w:r w:rsidR="00ED27AF">
        <w:t xml:space="preserve"> does not specify continuous improvement</w:t>
      </w:r>
      <w:r w:rsidR="002C11FE">
        <w:t xml:space="preserve">. </w:t>
      </w:r>
      <w:r w:rsidR="002E0B6F">
        <w:t xml:space="preserve">ABET and </w:t>
      </w:r>
      <w:r w:rsidR="001A2F98">
        <w:t xml:space="preserve">the </w:t>
      </w:r>
      <w:r w:rsidR="002E0B6F">
        <w:t>EC both ask for programs to report changes since the last visit. W</w:t>
      </w:r>
      <w:r w:rsidR="002C11FE">
        <w:t>hereas ABET expects to see explicit evaluation of each Student Outcome and how such evaluation is used for continuous improvement of the program, the EC (JBM 2016</w:t>
      </w:r>
      <w:r w:rsidR="00974EA8">
        <w:t>a</w:t>
      </w:r>
      <w:r w:rsidR="002C11FE">
        <w:t xml:space="preserve">) </w:t>
      </w:r>
      <w:r w:rsidR="00ED27AF">
        <w:t>expects programs to “….</w:t>
      </w:r>
      <w:r w:rsidR="00ED27AF" w:rsidRPr="00ED27AF">
        <w:t xml:space="preserve"> </w:t>
      </w:r>
      <w:r w:rsidR="00ED27AF" w:rsidRPr="00ED27AF">
        <w:rPr>
          <w:i/>
        </w:rPr>
        <w:t>demonstrate through their teaching and assessment methods that graduates have reached the desired threshold level of each of the Output Criteria</w:t>
      </w:r>
      <w:proofErr w:type="gramStart"/>
      <w:r w:rsidR="00ED27AF">
        <w:rPr>
          <w:i/>
        </w:rPr>
        <w:t>..</w:t>
      </w:r>
      <w:proofErr w:type="gramEnd"/>
      <w:r w:rsidR="00ED27AF">
        <w:rPr>
          <w:i/>
        </w:rPr>
        <w:t xml:space="preserve">”. </w:t>
      </w:r>
      <w:r w:rsidR="00ED27AF">
        <w:t xml:space="preserve">Hence whereas ABET has a distinct criteria (Criterion 1 for student/graduate assessment) </w:t>
      </w:r>
      <w:r w:rsidR="005F7024">
        <w:t>and Criterion</w:t>
      </w:r>
      <w:r w:rsidR="00ED27AF">
        <w:t xml:space="preserve"> 4 for Student Outcome assessment leading to continuous improvement, </w:t>
      </w:r>
      <w:r w:rsidR="005634B3">
        <w:t xml:space="preserve">the </w:t>
      </w:r>
      <w:r w:rsidR="00ED27AF">
        <w:t xml:space="preserve">EC does not make this strong </w:t>
      </w:r>
      <w:r w:rsidR="005634B3">
        <w:t>distinction</w:t>
      </w:r>
      <w:r w:rsidR="00ED27AF">
        <w:t>.</w:t>
      </w:r>
    </w:p>
    <w:p w14:paraId="53D29819" w14:textId="77777777" w:rsidR="00D558B9" w:rsidRDefault="00D558B9" w:rsidP="00D558B9">
      <w:pPr>
        <w:pStyle w:val="Heading2"/>
      </w:pPr>
      <w:r>
        <w:lastRenderedPageBreak/>
        <w:t xml:space="preserve">ABET </w:t>
      </w:r>
      <w:r w:rsidRPr="00C91135">
        <w:t>Criterion 5. Curriculum</w:t>
      </w:r>
      <w:r w:rsidR="00FC7800">
        <w:t xml:space="preserve"> (and Program Criteria</w:t>
      </w:r>
      <w:r w:rsidR="008B7DB2">
        <w:t xml:space="preserve"> for Civil Engrg. Programs</w:t>
      </w:r>
      <w:r w:rsidR="00FC7800">
        <w:t>)</w:t>
      </w:r>
    </w:p>
    <w:p w14:paraId="5121C6CE" w14:textId="77777777" w:rsidR="00E74BDF" w:rsidRDefault="00671DEE" w:rsidP="00671DEE">
      <w:r>
        <w:tab/>
        <w:t>ABET</w:t>
      </w:r>
      <w:r w:rsidR="005A0857">
        <w:t xml:space="preserve"> in the general criteria for engineering programs,</w:t>
      </w:r>
      <w:r>
        <w:t xml:space="preserve"> does not prescribe specific courses</w:t>
      </w:r>
      <w:r w:rsidR="008A57F6">
        <w:t xml:space="preserve">. </w:t>
      </w:r>
      <w:r w:rsidR="00E87FB6">
        <w:t xml:space="preserve">The </w:t>
      </w:r>
      <w:r>
        <w:t xml:space="preserve">EC in </w:t>
      </w:r>
      <w:proofErr w:type="gramStart"/>
      <w:r>
        <w:t>it</w:t>
      </w:r>
      <w:r w:rsidR="008A57F6">
        <w:t>’</w:t>
      </w:r>
      <w:r>
        <w:t>s</w:t>
      </w:r>
      <w:proofErr w:type="gramEnd"/>
      <w:r>
        <w:t xml:space="preserve"> guidelines specifies two groups of core subjects (courses) shown in Table 2. </w:t>
      </w:r>
      <w:r w:rsidR="00E87FB6">
        <w:t xml:space="preserve">The </w:t>
      </w:r>
      <w:r>
        <w:t>EC expects programs to be “constructed” around at least five of these core subjects</w:t>
      </w:r>
      <w:r w:rsidR="000D3D2C">
        <w:t xml:space="preserve"> (JBM 2016</w:t>
      </w:r>
      <w:r w:rsidR="00E540F3">
        <w:t>b</w:t>
      </w:r>
      <w:r w:rsidR="000D3D2C">
        <w:t>)</w:t>
      </w:r>
      <w:r>
        <w:t xml:space="preserve">.   </w:t>
      </w:r>
      <w:r w:rsidR="00E74BDF">
        <w:t xml:space="preserve">ABET Program Criteria for Civil Engineering does specify that the curriculum must prepare graduates to </w:t>
      </w:r>
      <w:proofErr w:type="gramStart"/>
      <w:r w:rsidR="00E74BDF">
        <w:t>“</w:t>
      </w:r>
      <w:r w:rsidR="00E74BDF" w:rsidRPr="00E74BDF">
        <w:rPr>
          <w:i/>
        </w:rPr>
        <w:t>…..analyze</w:t>
      </w:r>
      <w:proofErr w:type="gramEnd"/>
      <w:r w:rsidR="00E74BDF" w:rsidRPr="00E74BDF">
        <w:rPr>
          <w:i/>
        </w:rPr>
        <w:t xml:space="preserve"> and solve problems in at least four technical areas appropriate to civil engineering….”</w:t>
      </w:r>
      <w:r w:rsidR="00E74BDF">
        <w:t>.</w:t>
      </w:r>
      <w:r w:rsidR="00CD4010">
        <w:t xml:space="preserve"> Hence ABET is less prescriptive in the technical areas than </w:t>
      </w:r>
      <w:r w:rsidR="00580F21">
        <w:t xml:space="preserve">the </w:t>
      </w:r>
      <w:r w:rsidR="00CD4010">
        <w:t>EC.</w:t>
      </w:r>
      <w:r w:rsidR="00E74BDF">
        <w:t xml:space="preserve"> </w:t>
      </w:r>
      <w:r w:rsidR="00580F21">
        <w:t xml:space="preserve">The </w:t>
      </w:r>
      <w:r>
        <w:t>EC expect</w:t>
      </w:r>
      <w:r w:rsidR="00CD4010">
        <w:t>s</w:t>
      </w:r>
      <w:r>
        <w:t xml:space="preserve"> </w:t>
      </w:r>
      <w:r w:rsidR="005A0857">
        <w:t>33%</w:t>
      </w:r>
      <w:r>
        <w:t xml:space="preserve"> of the total curriculum to be </w:t>
      </w:r>
      <w:r w:rsidR="008A57F6">
        <w:t>devoted to</w:t>
      </w:r>
      <w:r>
        <w:t xml:space="preserve"> t</w:t>
      </w:r>
      <w:r w:rsidR="00FC7800">
        <w:t xml:space="preserve">he core subjects listed in Table 2. This is comparable to the 1-1/2 years specified by </w:t>
      </w:r>
      <w:proofErr w:type="gramStart"/>
      <w:r w:rsidR="00FC7800">
        <w:t xml:space="preserve">ABET </w:t>
      </w:r>
      <w:r w:rsidR="00CD4010">
        <w:t xml:space="preserve"> for</w:t>
      </w:r>
      <w:proofErr w:type="gramEnd"/>
      <w:r w:rsidR="00CD4010">
        <w:t xml:space="preserve"> engineering topics </w:t>
      </w:r>
      <w:r w:rsidR="00FC7800">
        <w:t xml:space="preserve">which for a typical 4 year </w:t>
      </w:r>
      <w:r w:rsidR="005A0857">
        <w:t xml:space="preserve">engineering </w:t>
      </w:r>
      <w:r w:rsidR="00FC7800">
        <w:t xml:space="preserve">degree program </w:t>
      </w:r>
      <w:r w:rsidR="005A0857">
        <w:t xml:space="preserve">in the US </w:t>
      </w:r>
      <w:r w:rsidR="00FC7800">
        <w:t xml:space="preserve">constitutes 37.5% of the total curriculum. </w:t>
      </w:r>
    </w:p>
    <w:p w14:paraId="17D4B0DE" w14:textId="77777777" w:rsidR="00671DEE" w:rsidRDefault="00A20454" w:rsidP="00E74BDF">
      <w:pPr>
        <w:ind w:firstLine="720"/>
      </w:pPr>
      <w:r>
        <w:t xml:space="preserve">The </w:t>
      </w:r>
      <w:r w:rsidR="00FC7800">
        <w:t xml:space="preserve">EC and ABET both specify </w:t>
      </w:r>
      <w:r w:rsidR="00317A56">
        <w:t xml:space="preserve">that </w:t>
      </w:r>
      <w:r w:rsidR="00FC7800">
        <w:t xml:space="preserve">mathematics </w:t>
      </w:r>
      <w:r w:rsidR="00317A56">
        <w:t xml:space="preserve">forms part of the curriculum. </w:t>
      </w:r>
      <w:r w:rsidR="00FC7800">
        <w:t xml:space="preserve">ABET specifies one year of a combination of mathematics and basic sciences, </w:t>
      </w:r>
      <w:r w:rsidR="000945E6">
        <w:t xml:space="preserve">the </w:t>
      </w:r>
      <w:r w:rsidR="00FC7800">
        <w:t xml:space="preserve">EC </w:t>
      </w:r>
      <w:r w:rsidR="00317A56">
        <w:t>guidelines require mathematics and engineering sciences (not basic sciences) constitute 50% (two years) of the program</w:t>
      </w:r>
      <w:r w:rsidR="00FC7800">
        <w:t xml:space="preserve">. </w:t>
      </w:r>
      <w:r w:rsidR="00DF6463">
        <w:t xml:space="preserve">The </w:t>
      </w:r>
      <w:r w:rsidR="00FC7800">
        <w:t>EC does not provide any specific guid</w:t>
      </w:r>
      <w:r w:rsidR="00317A56">
        <w:t>ance</w:t>
      </w:r>
      <w:r w:rsidR="00FC7800">
        <w:t xml:space="preserve"> on basic sciences. </w:t>
      </w:r>
      <w:r w:rsidR="00E74BDF">
        <w:t>ABET expects a general education component in the program which complements the technical content of the curriculum. Similarly the EC expects broadening subjects outside of core engineering to form an important part of accredited programs.</w:t>
      </w:r>
    </w:p>
    <w:p w14:paraId="5591FAEE" w14:textId="77777777" w:rsidR="00CE537C" w:rsidRPr="00671DEE" w:rsidRDefault="00CE537C" w:rsidP="00E74BDF">
      <w:pPr>
        <w:ind w:firstLine="720"/>
      </w:pPr>
      <w:r>
        <w:t>ABET expects a program to culminate in a major design experience which in practices is the capstone project.</w:t>
      </w:r>
      <w:r w:rsidR="0013691D">
        <w:t xml:space="preserve"> The</w:t>
      </w:r>
      <w:r>
        <w:t xml:space="preserve"> EC </w:t>
      </w:r>
      <w:r w:rsidR="00CF10EA">
        <w:t xml:space="preserve">have </w:t>
      </w:r>
      <w:r>
        <w:t xml:space="preserve">a slightly different take and describe design as a “thread” that is </w:t>
      </w:r>
      <w:r w:rsidR="003E5E75">
        <w:t xml:space="preserve">to be </w:t>
      </w:r>
      <w:r>
        <w:t xml:space="preserve">weaved throughout the curriculum and also provide explicit guidelines for design. </w:t>
      </w:r>
      <w:r w:rsidR="0081450E">
        <w:t xml:space="preserve">The </w:t>
      </w:r>
      <w:r>
        <w:t>EC expect student</w:t>
      </w:r>
      <w:r w:rsidR="000D16CD">
        <w:t>s</w:t>
      </w:r>
      <w:r>
        <w:t xml:space="preserve"> to undertake a major investigative project </w:t>
      </w:r>
      <w:r w:rsidR="00741C06">
        <w:t xml:space="preserve">within the penultimate or ultimate year of a program </w:t>
      </w:r>
      <w:r>
        <w:t>that is not of routine nature such that there is scope for individual creativity and innovation.</w:t>
      </w:r>
    </w:p>
    <w:p w14:paraId="5C5464D6" w14:textId="77777777" w:rsidR="00D558B9" w:rsidRDefault="00D558B9" w:rsidP="00D558B9">
      <w:pPr>
        <w:pStyle w:val="Heading2"/>
      </w:pPr>
      <w:r>
        <w:t xml:space="preserve">ABET </w:t>
      </w:r>
      <w:r w:rsidRPr="00C91135">
        <w:t>Criterion 6. Faculty</w:t>
      </w:r>
    </w:p>
    <w:p w14:paraId="2CAD408F" w14:textId="77777777" w:rsidR="00AE3CE7" w:rsidRPr="00411F73" w:rsidRDefault="00AE3CE7" w:rsidP="00DA7114">
      <w:pPr>
        <w:ind w:firstLine="720"/>
      </w:pPr>
      <w:r>
        <w:t xml:space="preserve">Both ABET and </w:t>
      </w:r>
      <w:r w:rsidR="00F122BD">
        <w:t xml:space="preserve">the </w:t>
      </w:r>
      <w:r>
        <w:t xml:space="preserve">EC expect Faculty to be of sufficient number and hold qualifications both academic and professional such that they have the competence to cover all curricular areas of the </w:t>
      </w:r>
      <w:r w:rsidR="00411F73">
        <w:t>program</w:t>
      </w:r>
      <w:r>
        <w:t xml:space="preserve"> </w:t>
      </w:r>
      <w:r w:rsidR="00411F73">
        <w:t>and</w:t>
      </w:r>
      <w:r>
        <w:t xml:space="preserve"> also </w:t>
      </w:r>
      <w:r w:rsidR="00411F73">
        <w:t xml:space="preserve">to provide counselling and mentoring. Again both ABET and </w:t>
      </w:r>
      <w:r w:rsidR="00321969">
        <w:t xml:space="preserve">the </w:t>
      </w:r>
      <w:r w:rsidR="00411F73">
        <w:t xml:space="preserve">EC expect programs to report on the number of faculty, their qualifications, professional licensure, and experience in order to judge faculty competence. ABET and </w:t>
      </w:r>
      <w:r w:rsidR="00A167AB">
        <w:t xml:space="preserve">the </w:t>
      </w:r>
      <w:r w:rsidR="00411F73">
        <w:t>EC also expect reporting on some indicator of the workload e.g. courses taught, student</w:t>
      </w:r>
      <w:proofErr w:type="gramStart"/>
      <w:r w:rsidR="00411F73">
        <w:t>:faculty</w:t>
      </w:r>
      <w:proofErr w:type="gramEnd"/>
      <w:r w:rsidR="00411F73">
        <w:t xml:space="preserve"> ratio. Whereas ABET ha</w:t>
      </w:r>
      <w:r w:rsidR="00CD4010">
        <w:t>s</w:t>
      </w:r>
      <w:r w:rsidR="00411F73">
        <w:t xml:space="preserve"> abandoned the requirement that a proportion of faculty or faculty teaching design must be licensed professional engineers,</w:t>
      </w:r>
      <w:r w:rsidR="0078584E">
        <w:t xml:space="preserve"> </w:t>
      </w:r>
      <w:r w:rsidR="00302C7C">
        <w:t xml:space="preserve">the </w:t>
      </w:r>
      <w:r w:rsidR="00411F73">
        <w:t>EC have moved in the opposite direction requiring as of 2015 “…</w:t>
      </w:r>
      <w:r w:rsidR="00411F73" w:rsidRPr="00411F73">
        <w:rPr>
          <w:i/>
        </w:rPr>
        <w:t>50% of all academic staff designated as delivering the accredited degree programmes must be professionally qualified “</w:t>
      </w:r>
      <w:r w:rsidR="00411F73">
        <w:t xml:space="preserve"> JBM (2016b)</w:t>
      </w:r>
      <w:r w:rsidR="007A3768">
        <w:t>.</w:t>
      </w:r>
      <w:r w:rsidR="00CB3CB0">
        <w:t xml:space="preserve"> The</w:t>
      </w:r>
      <w:r w:rsidR="007A3768">
        <w:t xml:space="preserve"> EC reporting requirements also expect </w:t>
      </w:r>
      <w:r w:rsidR="007A3768">
        <w:lastRenderedPageBreak/>
        <w:t>Department/Schools to report on their research activity</w:t>
      </w:r>
      <w:r w:rsidR="00457CA4">
        <w:t>, any evaluation of their research,</w:t>
      </w:r>
      <w:r w:rsidR="007A3768">
        <w:t xml:space="preserve"> and provide a list of up to four published research papers per faculty member – although the EC does not have any specific research related criteria for accreditation of undergraduate degree programs.</w:t>
      </w:r>
    </w:p>
    <w:p w14:paraId="0D92671F" w14:textId="77777777" w:rsidR="00D558B9" w:rsidRDefault="00D558B9" w:rsidP="00D558B9">
      <w:pPr>
        <w:pStyle w:val="Heading2"/>
      </w:pPr>
      <w:r>
        <w:t xml:space="preserve">ABET </w:t>
      </w:r>
      <w:r w:rsidRPr="00C91135">
        <w:t>Criterion 7. Facilities</w:t>
      </w:r>
    </w:p>
    <w:p w14:paraId="448ADA71" w14:textId="77777777" w:rsidR="006E61A8" w:rsidRPr="006E61A8" w:rsidRDefault="00DA7114" w:rsidP="006E61A8">
      <w:r>
        <w:tab/>
        <w:t>ABET Criterion 7 requires facilities to be adequate “</w:t>
      </w:r>
      <w:r w:rsidRPr="00DA7114">
        <w:rPr>
          <w:i/>
        </w:rPr>
        <w:t>to support attainment of student outcomes</w:t>
      </w:r>
      <w:r>
        <w:t>” and include; classrooms; laboratories; computing; library facilities with particular emphasis on the latter two. This criterion also requires that guidance on the use of tools and facilities is available. The EC does not have an explicitly stated criterion or guideline on facilities.</w:t>
      </w:r>
      <w:r w:rsidR="008A6B87">
        <w:t xml:space="preserve"> EC like ABET does expect Departments/Schools </w:t>
      </w:r>
      <w:r>
        <w:t xml:space="preserve">to </w:t>
      </w:r>
      <w:r w:rsidR="00AB0801">
        <w:t>provide details</w:t>
      </w:r>
      <w:r>
        <w:t xml:space="preserve"> </w:t>
      </w:r>
      <w:r w:rsidR="00AB0801">
        <w:t xml:space="preserve">on </w:t>
      </w:r>
      <w:r>
        <w:t>the facilities</w:t>
      </w:r>
      <w:r w:rsidR="00AB0801">
        <w:t xml:space="preserve"> available for delivery of the program.</w:t>
      </w:r>
      <w:r>
        <w:t xml:space="preserve">  </w:t>
      </w:r>
    </w:p>
    <w:p w14:paraId="1DEAF426" w14:textId="77777777" w:rsidR="00D558B9" w:rsidRDefault="00D558B9" w:rsidP="00D558B9">
      <w:pPr>
        <w:pStyle w:val="Heading2"/>
      </w:pPr>
      <w:r>
        <w:t xml:space="preserve">ABET </w:t>
      </w:r>
      <w:r w:rsidRPr="00C91135">
        <w:t>Criterion 8. Institutional Support</w:t>
      </w:r>
    </w:p>
    <w:p w14:paraId="59A51A23" w14:textId="77777777" w:rsidR="0056561C" w:rsidRPr="00CD4010" w:rsidRDefault="006E61A8" w:rsidP="00D558B9">
      <w:r>
        <w:tab/>
        <w:t>This ABET criterion requires “</w:t>
      </w:r>
      <w:r w:rsidRPr="006E61A8">
        <w:rPr>
          <w:i/>
        </w:rPr>
        <w:t>Institutional support and leadership must be adequate to ensure the quality and continuity of the program.</w:t>
      </w:r>
      <w:r>
        <w:t xml:space="preserve">”  This includes institutional support and leadership; budget and financial support; staff (as opposed to faculty); faculty hiring and retention and faculty development. </w:t>
      </w:r>
      <w:r w:rsidR="00DA7114">
        <w:t xml:space="preserve">The EC does not have a </w:t>
      </w:r>
      <w:r>
        <w:t xml:space="preserve">comparable guideline or criteria. However both ABET and </w:t>
      </w:r>
      <w:r w:rsidR="00822CE1">
        <w:t xml:space="preserve">the </w:t>
      </w:r>
      <w:r>
        <w:t>EC expect</w:t>
      </w:r>
      <w:r w:rsidR="008A6B87">
        <w:t xml:space="preserve"> Department/Schools to</w:t>
      </w:r>
      <w:r>
        <w:t xml:space="preserve"> provide details on staff (support staff in </w:t>
      </w:r>
      <w:r w:rsidR="00822CE1">
        <w:t xml:space="preserve">the </w:t>
      </w:r>
      <w:r>
        <w:t>EC terminology) and faculty training and development.</w:t>
      </w:r>
    </w:p>
    <w:p w14:paraId="2DE8A3BB" w14:textId="77777777" w:rsidR="00D558B9" w:rsidRPr="00974EA8" w:rsidRDefault="00D558B9" w:rsidP="00974EA8">
      <w:pPr>
        <w:pStyle w:val="Heading2"/>
      </w:pPr>
      <w:r>
        <w:t>CONCLUSIONS AND RECOMMENDATIONS</w:t>
      </w:r>
    </w:p>
    <w:p w14:paraId="50DE0FCE" w14:textId="31B8BAB5" w:rsidR="00EE55D9" w:rsidRDefault="00974EA8" w:rsidP="00D558B9">
      <w:r>
        <w:rPr>
          <w:b/>
        </w:rPr>
        <w:tab/>
      </w:r>
      <w:r>
        <w:t xml:space="preserve">This evaluation shows that there is similarity between ABET criteria for accreditation of engineering programs and </w:t>
      </w:r>
      <w:r w:rsidR="00F61794">
        <w:t xml:space="preserve">the </w:t>
      </w:r>
      <w:r>
        <w:t>EC guidelines. However there are a few notable differences.</w:t>
      </w:r>
      <w:r w:rsidR="00EF2D67">
        <w:t xml:space="preserve"> The </w:t>
      </w:r>
      <w:r>
        <w:t xml:space="preserve">EC does not require explicit Program Educational Objectives nor does </w:t>
      </w:r>
      <w:r w:rsidR="00EF2D67">
        <w:t xml:space="preserve">the </w:t>
      </w:r>
      <w:r>
        <w:t xml:space="preserve">EC express how these should be developed, reviewed etc. </w:t>
      </w:r>
      <w:r w:rsidR="003D58F0">
        <w:t xml:space="preserve">The </w:t>
      </w:r>
      <w:r>
        <w:t xml:space="preserve">EC unlike ABET does not make a strong distinction between evaluating the program against achieving Student Outcomes and evaluating </w:t>
      </w:r>
      <w:r w:rsidR="00EE55D9">
        <w:t>individual performance</w:t>
      </w:r>
      <w:r>
        <w:t>.</w:t>
      </w:r>
      <w:r w:rsidR="00EE55D9">
        <w:t xml:space="preserve"> On the criterion of curriculum, </w:t>
      </w:r>
      <w:r w:rsidR="00CA6E16">
        <w:t xml:space="preserve">the </w:t>
      </w:r>
      <w:r w:rsidR="00EE55D9">
        <w:t xml:space="preserve">EC is considerably more prescriptive than ABET even taking into account ABET Program Criteria for Civil Engineering Programs. </w:t>
      </w:r>
      <w:r w:rsidR="00792C2A">
        <w:t xml:space="preserve">The EC have a </w:t>
      </w:r>
      <w:r w:rsidR="00D76F4D">
        <w:t>very</w:t>
      </w:r>
      <w:r w:rsidR="00792C2A">
        <w:t xml:space="preserve"> comprehensive list of learning outcomes (comparable to ABET Student outcomes). </w:t>
      </w:r>
      <w:r w:rsidR="00EE55D9">
        <w:t>Similarly</w:t>
      </w:r>
      <w:r w:rsidR="004D03EB">
        <w:t xml:space="preserve"> the</w:t>
      </w:r>
      <w:r w:rsidR="00EE55D9">
        <w:t xml:space="preserve"> EC is more stringent on professional qualifications/licensure amongst faculty than ABET.</w:t>
      </w:r>
      <w:r w:rsidR="003C4579">
        <w:t xml:space="preserve"> The</w:t>
      </w:r>
      <w:r w:rsidR="00EE55D9">
        <w:t xml:space="preserve"> EC have less explicit guidelines for facilities and institutional support although EC does expect considerable reporting on these. Overall the evidence supports the view expressed by Mulligan (2011) that  “…</w:t>
      </w:r>
      <w:r w:rsidR="00EE55D9" w:rsidRPr="00AB2B08">
        <w:rPr>
          <w:i/>
        </w:rPr>
        <w:t xml:space="preserve"> the accreditation systems have comparable sta</w:t>
      </w:r>
      <w:r w:rsidR="00EE55D9">
        <w:rPr>
          <w:i/>
        </w:rPr>
        <w:t>ndards, outcomes, and processes…”</w:t>
      </w:r>
      <w:r w:rsidR="00EE55D9">
        <w:t>. This should give confidence to US licensing boards to acknowledge</w:t>
      </w:r>
      <w:r w:rsidR="00A518CC">
        <w:t xml:space="preserve"> EC accredited MEng programmes</w:t>
      </w:r>
      <w:r w:rsidR="00EE55D9">
        <w:t xml:space="preserve"> in their statutes.</w:t>
      </w:r>
    </w:p>
    <w:p w14:paraId="5A44DCF6" w14:textId="77777777" w:rsidR="009A2D1C" w:rsidRDefault="00EE55D9" w:rsidP="00D558B9">
      <w:r>
        <w:lastRenderedPageBreak/>
        <w:tab/>
      </w:r>
      <w:r w:rsidR="00370786">
        <w:t>T</w:t>
      </w:r>
      <w:r>
        <w:t>he global engineering community look to the Washington Accord as an exemplar of an international mutual recognition agreement</w:t>
      </w:r>
      <w:r w:rsidR="00370786">
        <w:t xml:space="preserve"> as evidenced by the increasing number of signatories. </w:t>
      </w:r>
      <w:r w:rsidR="00A518CC">
        <w:t xml:space="preserve">However there is considerable scope and need to improve the clarity of the Washington Accord. </w:t>
      </w:r>
      <w:r w:rsidR="00370786">
        <w:t>T</w:t>
      </w:r>
      <w:r>
        <w:t xml:space="preserve">he </w:t>
      </w:r>
      <w:r w:rsidR="00370786">
        <w:t xml:space="preserve">current </w:t>
      </w:r>
      <w:r>
        <w:t xml:space="preserve">signatories </w:t>
      </w:r>
      <w:r w:rsidR="00370786">
        <w:t>sh</w:t>
      </w:r>
      <w:r>
        <w:t xml:space="preserve">ould clarify “substantial equivalency”. There is </w:t>
      </w:r>
      <w:r w:rsidR="00040A07">
        <w:t xml:space="preserve">a </w:t>
      </w:r>
      <w:r>
        <w:t xml:space="preserve">clearly stated spatial scope - US territories for ABET, England, Scotland, Wales and Northern Island for the EC. </w:t>
      </w:r>
      <w:r w:rsidR="00AE50AA">
        <w:t xml:space="preserve">The </w:t>
      </w:r>
      <w:r>
        <w:t>E</w:t>
      </w:r>
      <w:r w:rsidR="00370786">
        <w:t xml:space="preserve">C also provide a program and temporal scope </w:t>
      </w:r>
      <w:r>
        <w:t xml:space="preserve">– </w:t>
      </w:r>
      <w:proofErr w:type="gramStart"/>
      <w:r>
        <w:t xml:space="preserve">only certain degrees </w:t>
      </w:r>
      <w:r w:rsidR="00370786">
        <w:t xml:space="preserve">over certain periods are recognized by </w:t>
      </w:r>
      <w:r w:rsidR="009A2D1C">
        <w:t>the Washington</w:t>
      </w:r>
      <w:r w:rsidR="004767BF">
        <w:t xml:space="preserve"> </w:t>
      </w:r>
      <w:r w:rsidR="00370786">
        <w:t>Accord</w:t>
      </w:r>
      <w:proofErr w:type="gramEnd"/>
      <w:r w:rsidR="00370786">
        <w:t>. However which program accredited by one signatory is substantially equivalent to which program of another signatory remains undefined.</w:t>
      </w:r>
      <w:r w:rsidR="009A2D1C">
        <w:t xml:space="preserve"> The relatively recent requirement of the EC (as of July 2015) for graduates to demonstrate learning to European Master’s level sits uncomfortably with the term substantially equivalent.</w:t>
      </w:r>
    </w:p>
    <w:p w14:paraId="46C73A9C" w14:textId="77777777" w:rsidR="00591D61" w:rsidRDefault="00591D61">
      <w:pPr>
        <w:spacing w:after="160" w:line="259" w:lineRule="auto"/>
        <w:rPr>
          <w:rFonts w:eastAsia="Times New Roman"/>
          <w:b/>
          <w:bCs/>
          <w:szCs w:val="24"/>
        </w:rPr>
      </w:pPr>
      <w:r>
        <w:br w:type="page"/>
      </w:r>
    </w:p>
    <w:p w14:paraId="64205307" w14:textId="77777777" w:rsidR="00D558B9" w:rsidRDefault="00D558B9" w:rsidP="00D558B9">
      <w:pPr>
        <w:pStyle w:val="Heading2"/>
      </w:pPr>
      <w:r>
        <w:lastRenderedPageBreak/>
        <w:t>REFERENCES</w:t>
      </w:r>
    </w:p>
    <w:p w14:paraId="471E2403" w14:textId="77777777" w:rsidR="00D558B9" w:rsidRDefault="00D558B9" w:rsidP="00D558B9">
      <w:pPr>
        <w:ind w:left="720" w:hanging="720"/>
      </w:pPr>
      <w:r>
        <w:t>ABET (2016</w:t>
      </w:r>
      <w:r w:rsidR="00465032">
        <w:t>a</w:t>
      </w:r>
      <w:r>
        <w:t xml:space="preserve">) ABET </w:t>
      </w:r>
      <w:proofErr w:type="gramStart"/>
      <w:r>
        <w:t xml:space="preserve">website </w:t>
      </w:r>
      <w:r w:rsidR="00465032">
        <w:t xml:space="preserve"> </w:t>
      </w:r>
      <w:proofErr w:type="gramEnd"/>
      <w:r w:rsidR="006035E1">
        <w:fldChar w:fldCharType="begin"/>
      </w:r>
      <w:r w:rsidR="006035E1">
        <w:instrText xml:space="preserve"> HYPERLINK "http://www.abet.org/global-presence/mutual-recognition-agreements/engineering-washington-accord/" \l "inside" </w:instrText>
      </w:r>
      <w:r w:rsidR="006035E1">
        <w:fldChar w:fldCharType="separate"/>
      </w:r>
      <w:r w:rsidR="00465032" w:rsidRPr="002D62E2">
        <w:rPr>
          <w:rStyle w:val="Hyperlink"/>
        </w:rPr>
        <w:t>http://www.abet.org/global-presence/mutual-recognition-agreements/engineering-washington-accord/#inside</w:t>
      </w:r>
      <w:r w:rsidR="006035E1">
        <w:rPr>
          <w:rStyle w:val="Hyperlink"/>
        </w:rPr>
        <w:fldChar w:fldCharType="end"/>
      </w:r>
      <w:r w:rsidR="00465032">
        <w:t xml:space="preserve"> accessed Dec. 29, 2016</w:t>
      </w:r>
    </w:p>
    <w:p w14:paraId="6A585337" w14:textId="77777777" w:rsidR="00E64D9B" w:rsidRDefault="00E64D9B" w:rsidP="00D558B9">
      <w:pPr>
        <w:ind w:left="720" w:hanging="720"/>
      </w:pPr>
      <w:r>
        <w:t>ABET (2016</w:t>
      </w:r>
      <w:r w:rsidR="00E540F3">
        <w:t>b</w:t>
      </w:r>
      <w:r>
        <w:t>) “</w:t>
      </w:r>
      <w:r w:rsidRPr="00E64D9B">
        <w:t>Criteria for Accrediting Engineering Programs</w:t>
      </w:r>
      <w:r>
        <w:t xml:space="preserve">” available at </w:t>
      </w:r>
      <w:hyperlink r:id="rId14" w:history="1">
        <w:r w:rsidRPr="002D62E2">
          <w:rPr>
            <w:rStyle w:val="Hyperlink"/>
          </w:rPr>
          <w:t>http://www.abet.org/accreditation/accreditation-criteria/criteria-for-accrediting-engineering-programs-2017-2018/</w:t>
        </w:r>
      </w:hyperlink>
      <w:r>
        <w:t xml:space="preserve"> accessed Dec. 29, 2016.</w:t>
      </w:r>
    </w:p>
    <w:p w14:paraId="597D53CC" w14:textId="77777777" w:rsidR="00DE096E" w:rsidRDefault="00E540F3" w:rsidP="00D558B9">
      <w:pPr>
        <w:ind w:left="720" w:hanging="720"/>
      </w:pPr>
      <w:r>
        <w:t>ABET (2016c</w:t>
      </w:r>
      <w:r w:rsidR="00DE096E">
        <w:t xml:space="preserve">) ABET website </w:t>
      </w:r>
      <w:hyperlink r:id="rId15" w:history="1">
        <w:r w:rsidR="00DE096E" w:rsidRPr="0024717C">
          <w:rPr>
            <w:rStyle w:val="Hyperlink"/>
          </w:rPr>
          <w:t>http://www.abet.org/global-presence/substantial-equivalency-2/</w:t>
        </w:r>
      </w:hyperlink>
      <w:r w:rsidR="00DE096E">
        <w:t xml:space="preserve"> accessed Jan. 05, 2017.</w:t>
      </w:r>
    </w:p>
    <w:p w14:paraId="0F9F7431" w14:textId="3D978BB1" w:rsidR="003C1151" w:rsidRDefault="003C1151" w:rsidP="00D558B9">
      <w:pPr>
        <w:ind w:left="720" w:hanging="720"/>
      </w:pPr>
      <w:r>
        <w:t xml:space="preserve">ASCE (2017) </w:t>
      </w:r>
      <w:hyperlink r:id="rId16" w:history="1">
        <w:r w:rsidRPr="003C1151">
          <w:rPr>
            <w:rStyle w:val="Hyperlink"/>
          </w:rPr>
          <w:t>http://www.asce.org/issues-and-advocacy/public-policy/policy-statement-465---academic-prerequisites-for-licensure-and-professional-practice</w:t>
        </w:r>
      </w:hyperlink>
      <w:r>
        <w:t xml:space="preserve"> accessed Sep. 9, 2017.</w:t>
      </w:r>
    </w:p>
    <w:p w14:paraId="3804ABC0" w14:textId="77777777" w:rsidR="00ED4B10" w:rsidRDefault="00ED4B10" w:rsidP="00D558B9">
      <w:pPr>
        <w:ind w:left="720" w:hanging="720"/>
      </w:pPr>
      <w:r w:rsidRPr="00ED4B10">
        <w:t xml:space="preserve">Anwar, A., &amp; Richards, D. (2013). Is the USA set to dominate accreditation of engineering education and professional qualifications? </w:t>
      </w:r>
      <w:proofErr w:type="gramStart"/>
      <w:r w:rsidRPr="00ED4B10">
        <w:t>Proceedings of the Institution of Civil Engineers - Civil Engineering, 166(1), 42-48.</w:t>
      </w:r>
      <w:proofErr w:type="gramEnd"/>
      <w:r w:rsidRPr="00ED4B10">
        <w:t xml:space="preserve"> </w:t>
      </w:r>
      <w:proofErr w:type="gramStart"/>
      <w:r w:rsidRPr="00ED4B10">
        <w:t>doi:10.1680</w:t>
      </w:r>
      <w:proofErr w:type="gramEnd"/>
      <w:r w:rsidRPr="00ED4B10">
        <w:t>/cien.12.00012</w:t>
      </w:r>
    </w:p>
    <w:p w14:paraId="263DBB25" w14:textId="77777777" w:rsidR="00323192" w:rsidRDefault="00323192" w:rsidP="00D558B9">
      <w:pPr>
        <w:ind w:left="720" w:hanging="720"/>
      </w:pPr>
      <w:r w:rsidRPr="00323192">
        <w:t xml:space="preserve">Anwar, A. A., &amp; Richards, D. J. (2015). The Washington Accord and U.S. Licensing Boards. </w:t>
      </w:r>
      <w:proofErr w:type="gramStart"/>
      <w:r w:rsidRPr="00323192">
        <w:t xml:space="preserve">Journal of Professional Issues in Engineering </w:t>
      </w:r>
      <w:r w:rsidR="00BF1B1D">
        <w:t>Education and Practice, 141(4).</w:t>
      </w:r>
      <w:proofErr w:type="gramEnd"/>
      <w:r w:rsidR="00BF1B1D">
        <w:t xml:space="preserve"> </w:t>
      </w:r>
      <w:proofErr w:type="gramStart"/>
      <w:r w:rsidRPr="00323192">
        <w:t>doi:10.1061</w:t>
      </w:r>
      <w:proofErr w:type="gramEnd"/>
      <w:r w:rsidRPr="00323192">
        <w:t>/(asce)ei.1943-5541.0000246</w:t>
      </w:r>
    </w:p>
    <w:p w14:paraId="29413E7A" w14:textId="623F2CD2" w:rsidR="00D558B9" w:rsidRDefault="00D558B9" w:rsidP="00D558B9">
      <w:pPr>
        <w:ind w:left="720" w:hanging="720"/>
      </w:pPr>
      <w:r>
        <w:t xml:space="preserve">EC (2014) “"The Accreditation of Higher Education Programmes, UK Standard for Professional Engineering Competence" available at </w:t>
      </w:r>
      <w:hyperlink r:id="rId17" w:history="1">
        <w:r w:rsidR="00CD3D5D" w:rsidRPr="00B6312E">
          <w:rPr>
            <w:rStyle w:val="Hyperlink"/>
          </w:rPr>
          <w:t>http://www.engc.org.uk/EngCDocuments/Internet/Website/Accreditation%20of%20Higher%20Education%20Programmes%20third%20edition%20(1).pdf</w:t>
        </w:r>
      </w:hyperlink>
      <w:r w:rsidR="00CD3D5D">
        <w:t xml:space="preserve"> accessed Sep 27, 2017</w:t>
      </w:r>
    </w:p>
    <w:p w14:paraId="4706A576" w14:textId="77777777" w:rsidR="00D558B9" w:rsidRDefault="00D558B9" w:rsidP="00D558B9">
      <w:pPr>
        <w:ind w:left="720" w:hanging="720"/>
      </w:pPr>
      <w:r>
        <w:t xml:space="preserve">EC (2016a) </w:t>
      </w:r>
      <w:hyperlink r:id="rId18" w:history="1">
        <w:r w:rsidRPr="00AE629E">
          <w:rPr>
            <w:rStyle w:val="Hyperlink"/>
          </w:rPr>
          <w:t>http://www.engc.org.uk/international-activity/international-engineering-education-accords/washington-accord/</w:t>
        </w:r>
      </w:hyperlink>
      <w:r>
        <w:t xml:space="preserve"> accessed Dec. 28, 2016</w:t>
      </w:r>
    </w:p>
    <w:p w14:paraId="1BEB0060" w14:textId="7AE17D52" w:rsidR="00B7115A" w:rsidRDefault="00B7115A" w:rsidP="00D558B9">
      <w:pPr>
        <w:ind w:left="720" w:hanging="720"/>
      </w:pPr>
      <w:proofErr w:type="gramStart"/>
      <w:r>
        <w:t>EC(</w:t>
      </w:r>
      <w:proofErr w:type="gramEnd"/>
      <w:r>
        <w:t xml:space="preserve">2017) </w:t>
      </w:r>
      <w:hyperlink r:id="rId19" w:history="1">
        <w:r w:rsidRPr="00CE5315">
          <w:rPr>
            <w:rStyle w:val="Hyperlink"/>
          </w:rPr>
          <w:t>https://www.engc.org.uk/international-activity/international-engineering-education-accords/</w:t>
        </w:r>
      </w:hyperlink>
      <w:r>
        <w:t xml:space="preserve"> accessed Sep. 27, 2017</w:t>
      </w:r>
    </w:p>
    <w:p w14:paraId="0A0EAEC0" w14:textId="259FEE93" w:rsidR="00754C89" w:rsidRDefault="00754C89" w:rsidP="00D558B9">
      <w:pPr>
        <w:ind w:left="720" w:hanging="720"/>
      </w:pPr>
      <w:r>
        <w:t>IEA (2017) “International Engineering Alliance: Educational Accords</w:t>
      </w:r>
      <w:proofErr w:type="gramStart"/>
      <w:r>
        <w:t xml:space="preserve">”  </w:t>
      </w:r>
      <w:proofErr w:type="gramEnd"/>
      <w:r w:rsidR="006035E1">
        <w:fldChar w:fldCharType="begin"/>
      </w:r>
      <w:r w:rsidR="006035E1">
        <w:instrText xml:space="preserve"> HYPERLINK "http://www.ieagreements.org/assets/Uploads/Documents/Policy/IEA%20Rules%20and%20Procedures%20(3%20June%20206).pdf" </w:instrText>
      </w:r>
      <w:r w:rsidR="006035E1">
        <w:fldChar w:fldCharType="separate"/>
      </w:r>
      <w:r w:rsidRPr="004E7022">
        <w:rPr>
          <w:rStyle w:val="Hyperlink"/>
        </w:rPr>
        <w:t>http://www.ieagreements.org/assets/Uploads/Documents/Policy/IEA%20Rules%20and%20Procedures%20(3%20June%20206).pdf</w:t>
      </w:r>
      <w:r w:rsidR="006035E1">
        <w:rPr>
          <w:rStyle w:val="Hyperlink"/>
        </w:rPr>
        <w:fldChar w:fldCharType="end"/>
      </w:r>
      <w:r>
        <w:t xml:space="preserve"> accessed Sep. 28, 2017.</w:t>
      </w:r>
    </w:p>
    <w:p w14:paraId="65D74403" w14:textId="308DCE7F" w:rsidR="00B06961" w:rsidRDefault="00B06961" w:rsidP="00D558B9">
      <w:pPr>
        <w:ind w:left="720" w:hanging="720"/>
      </w:pPr>
      <w:r>
        <w:t xml:space="preserve">IEA (2017b) “Competence Agreements” </w:t>
      </w:r>
      <w:hyperlink r:id="rId20" w:history="1">
        <w:r w:rsidRPr="004E7022">
          <w:rPr>
            <w:rStyle w:val="Hyperlink"/>
          </w:rPr>
          <w:t>http://www.ieagreements.org/assets/Uploads/Documents/Policy/Competence-Agreements-July2017-v1.4.pdf</w:t>
        </w:r>
      </w:hyperlink>
      <w:r>
        <w:t xml:space="preserve"> accessed Sep. 28, 2017.</w:t>
      </w:r>
    </w:p>
    <w:p w14:paraId="65068338" w14:textId="4BCCE83A" w:rsidR="00FD0CA3" w:rsidRDefault="00FD0CA3" w:rsidP="00FD0CA3">
      <w:pPr>
        <w:ind w:left="720" w:hanging="720"/>
      </w:pPr>
      <w:r>
        <w:t xml:space="preserve">IEA (2014) “25 years Washington Accord” </w:t>
      </w:r>
      <w:hyperlink r:id="rId21" w:history="1">
        <w:r w:rsidR="00241212" w:rsidRPr="004E7022">
          <w:rPr>
            <w:rStyle w:val="Hyperlink"/>
          </w:rPr>
          <w:t>http://www.ieagreements.org/assets/Uploads/Documents/History/25YearsWashingtonAccord-A5booklet-FINAL.pdf</w:t>
        </w:r>
      </w:hyperlink>
      <w:proofErr w:type="gramStart"/>
      <w:r w:rsidR="00241212">
        <w:t xml:space="preserve"> </w:t>
      </w:r>
      <w:r>
        <w:t>,</w:t>
      </w:r>
      <w:proofErr w:type="gramEnd"/>
      <w:r>
        <w:t xml:space="preserve"> accessed </w:t>
      </w:r>
      <w:r w:rsidR="00241212">
        <w:t>Sep</w:t>
      </w:r>
      <w:r>
        <w:t>. 28, 201</w:t>
      </w:r>
      <w:r w:rsidR="00241212">
        <w:t>7</w:t>
      </w:r>
      <w:r>
        <w:t>.</w:t>
      </w:r>
    </w:p>
    <w:p w14:paraId="45E4F600" w14:textId="77777777" w:rsidR="00D558B9" w:rsidRDefault="00D558B9" w:rsidP="00D558B9">
      <w:pPr>
        <w:ind w:left="720" w:hanging="720"/>
      </w:pPr>
      <w:proofErr w:type="gramStart"/>
      <w:r>
        <w:lastRenderedPageBreak/>
        <w:t>JBM (2016</w:t>
      </w:r>
      <w:r w:rsidR="002C11FE">
        <w:t>a</w:t>
      </w:r>
      <w:r>
        <w:t>) “</w:t>
      </w:r>
      <w:r w:rsidR="002C11FE">
        <w:t xml:space="preserve">Submission for Accreditation for Academic Courses leading to Engineering Council Registration” available at </w:t>
      </w:r>
      <w:hyperlink r:id="rId22" w:history="1">
        <w:proofErr w:type="gramEnd"/>
        <w:r w:rsidR="002C11FE" w:rsidRPr="0024717C">
          <w:rPr>
            <w:rStyle w:val="Hyperlink"/>
          </w:rPr>
          <w:t>http://jbm.org.uk/downloads.aspx</w:t>
        </w:r>
        <w:proofErr w:type="gramStart"/>
      </w:hyperlink>
      <w:r w:rsidR="002C11FE">
        <w:t xml:space="preserve"> accessed Jan. 06, 2017.</w:t>
      </w:r>
      <w:proofErr w:type="gramEnd"/>
    </w:p>
    <w:p w14:paraId="7BBE4519" w14:textId="77777777" w:rsidR="00671DF8" w:rsidRDefault="00671DF8" w:rsidP="00671DF8">
      <w:pPr>
        <w:ind w:left="720" w:hanging="720"/>
      </w:pPr>
      <w:proofErr w:type="gramStart"/>
      <w:r>
        <w:t>JBM (2016b) “</w:t>
      </w:r>
      <w:r w:rsidRPr="00671DF8">
        <w:t>Guidance on the JBM Professional Qualifications Policy for Academic Staff</w:t>
      </w:r>
      <w:r>
        <w:t xml:space="preserve">” available at </w:t>
      </w:r>
      <w:hyperlink r:id="rId23" w:history="1">
        <w:proofErr w:type="gramEnd"/>
        <w:r w:rsidRPr="0024717C">
          <w:rPr>
            <w:rStyle w:val="Hyperlink"/>
          </w:rPr>
          <w:t>http://jbm.org.uk/downloads.aspx</w:t>
        </w:r>
        <w:proofErr w:type="gramStart"/>
      </w:hyperlink>
      <w:r>
        <w:t xml:space="preserve"> accessed Jan. 08, 2017.</w:t>
      </w:r>
      <w:proofErr w:type="gramEnd"/>
    </w:p>
    <w:p w14:paraId="4D6DCDE3" w14:textId="77777777" w:rsidR="007933E3" w:rsidRDefault="007933E3" w:rsidP="007933E3">
      <w:pPr>
        <w:ind w:left="720" w:hanging="720"/>
      </w:pPr>
      <w:r w:rsidRPr="007933E3">
        <w:t xml:space="preserve">Lloyd-Roach D. (2013) Discussion “Is the USA set to dominate accreditation of engineering education and professional qualifications?” </w:t>
      </w:r>
      <w:proofErr w:type="gramStart"/>
      <w:r w:rsidRPr="007933E3">
        <w:t>Proceedings of the Institution of Civil Engineers.</w:t>
      </w:r>
      <w:proofErr w:type="gramEnd"/>
      <w:r w:rsidRPr="007933E3">
        <w:t xml:space="preserve"> </w:t>
      </w:r>
      <w:proofErr w:type="gramStart"/>
      <w:r w:rsidRPr="007933E3">
        <w:t>Civil Engineering 166(2), 55-57.</w:t>
      </w:r>
      <w:proofErr w:type="gramEnd"/>
      <w:r w:rsidRPr="007933E3">
        <w:t xml:space="preserve"> </w:t>
      </w:r>
      <w:proofErr w:type="gramStart"/>
      <w:r w:rsidRPr="007933E3">
        <w:t>doi</w:t>
      </w:r>
      <w:proofErr w:type="gramEnd"/>
      <w:r w:rsidRPr="007933E3">
        <w:t>.:10.1680/cien.2013.166.2.55</w:t>
      </w:r>
    </w:p>
    <w:p w14:paraId="08805669" w14:textId="77777777" w:rsidR="00D558B9" w:rsidRDefault="00D558B9" w:rsidP="00D558B9">
      <w:pPr>
        <w:ind w:left="720" w:hanging="720"/>
      </w:pPr>
      <w:r>
        <w:t>Milligan M (2011) “Global Economy Requires a Global View on Accreditation” Licensure Exchange, NCEES (15)</w:t>
      </w:r>
      <w:proofErr w:type="gramStart"/>
      <w:r>
        <w:t>:1</w:t>
      </w:r>
      <w:proofErr w:type="gramEnd"/>
      <w:r>
        <w:t>;1,10.</w:t>
      </w:r>
    </w:p>
    <w:p w14:paraId="3E7F9E8F" w14:textId="77777777" w:rsidR="00D558B9" w:rsidRDefault="00D558B9" w:rsidP="00D558B9">
      <w:pPr>
        <w:ind w:left="709" w:hanging="709"/>
      </w:pPr>
      <w:r>
        <w:t>Prichard J. (2013) “Discussion to ‘</w:t>
      </w:r>
      <w:proofErr w:type="gramStart"/>
      <w:r>
        <w:t>Is</w:t>
      </w:r>
      <w:proofErr w:type="gramEnd"/>
      <w:r>
        <w:t xml:space="preserve"> the USA set to dominate accreditation of engineering education and professional qualifications?” </w:t>
      </w:r>
      <w:proofErr w:type="gramStart"/>
      <w:r>
        <w:t>Proceedings of the Institution of Civil Engineers, Civil Engineering, 166</w:t>
      </w:r>
      <w:r w:rsidR="00D84372">
        <w:t>(</w:t>
      </w:r>
      <w:r>
        <w:t>2</w:t>
      </w:r>
      <w:r w:rsidR="00D84372">
        <w:t>)</w:t>
      </w:r>
      <w:r>
        <w:t>: 56.</w:t>
      </w:r>
      <w:proofErr w:type="gramEnd"/>
      <w:r w:rsidR="00D84372">
        <w:t xml:space="preserve"> </w:t>
      </w:r>
      <w:proofErr w:type="gramStart"/>
      <w:r w:rsidR="00D84372">
        <w:t>doi</w:t>
      </w:r>
      <w:proofErr w:type="gramEnd"/>
      <w:r w:rsidR="00D84372">
        <w:t>.:10.1680/cien.2013.166.2.55</w:t>
      </w:r>
    </w:p>
    <w:p w14:paraId="3815F902" w14:textId="77777777" w:rsidR="004E690D" w:rsidRDefault="004E690D">
      <w:pPr>
        <w:spacing w:after="160" w:line="259" w:lineRule="auto"/>
        <w:sectPr w:rsidR="004E690D" w:rsidSect="00D558B9">
          <w:pgSz w:w="11906" w:h="16838"/>
          <w:pgMar w:top="1440" w:right="1440" w:bottom="1440" w:left="1440" w:header="708" w:footer="708" w:gutter="0"/>
          <w:lnNumType w:countBy="1" w:restart="continuous"/>
          <w:cols w:space="708"/>
          <w:docGrid w:linePitch="360"/>
        </w:sectPr>
      </w:pPr>
    </w:p>
    <w:p w14:paraId="0D4A9BCC" w14:textId="68E35F2C" w:rsidR="004E690D" w:rsidRDefault="004E690D" w:rsidP="004E690D">
      <w:pPr>
        <w:pStyle w:val="Heading2"/>
      </w:pPr>
      <w:r>
        <w:lastRenderedPageBreak/>
        <w:t>APPENDIX A: ABET Student Outcomes</w:t>
      </w:r>
    </w:p>
    <w:p w14:paraId="02478754" w14:textId="77777777" w:rsidR="004E690D" w:rsidRDefault="004E690D" w:rsidP="004E690D">
      <w:pPr>
        <w:autoSpaceDE w:val="0"/>
        <w:autoSpaceDN w:val="0"/>
        <w:adjustRightInd w:val="0"/>
        <w:spacing w:line="240" w:lineRule="auto"/>
        <w:rPr>
          <w:rFonts w:ascii="Calisto MT" w:eastAsiaTheme="minorHAnsi" w:hAnsi="Calisto MT" w:cs="Calisto MT"/>
          <w:color w:val="000000"/>
          <w:sz w:val="23"/>
          <w:szCs w:val="23"/>
        </w:rPr>
      </w:pPr>
      <w:r w:rsidRPr="000A1FA2">
        <w:rPr>
          <w:rFonts w:ascii="Calisto MT" w:eastAsiaTheme="minorHAnsi" w:hAnsi="Calisto MT" w:cs="Calisto MT"/>
          <w:color w:val="000000"/>
          <w:sz w:val="23"/>
          <w:szCs w:val="23"/>
        </w:rPr>
        <w:t xml:space="preserve">The program must have documented student outcomes that prepare graduates to attain the program educational objectives. </w:t>
      </w:r>
    </w:p>
    <w:p w14:paraId="0D1F470F" w14:textId="77777777" w:rsidR="004E690D" w:rsidRDefault="004E690D" w:rsidP="004E690D">
      <w:pPr>
        <w:autoSpaceDE w:val="0"/>
        <w:autoSpaceDN w:val="0"/>
        <w:adjustRightInd w:val="0"/>
        <w:spacing w:line="240" w:lineRule="auto"/>
        <w:rPr>
          <w:rFonts w:ascii="Calisto MT" w:eastAsiaTheme="minorHAnsi" w:hAnsi="Calisto MT" w:cs="Calisto MT"/>
          <w:color w:val="000000"/>
          <w:sz w:val="23"/>
          <w:szCs w:val="23"/>
        </w:rPr>
      </w:pPr>
    </w:p>
    <w:p w14:paraId="03F5BE02" w14:textId="77777777" w:rsidR="004E690D" w:rsidRPr="000A1FA2" w:rsidRDefault="004E690D" w:rsidP="004E690D">
      <w:pPr>
        <w:autoSpaceDE w:val="0"/>
        <w:autoSpaceDN w:val="0"/>
        <w:adjustRightInd w:val="0"/>
        <w:spacing w:line="240" w:lineRule="auto"/>
        <w:rPr>
          <w:rFonts w:ascii="Calisto MT" w:eastAsiaTheme="minorHAnsi" w:hAnsi="Calisto MT" w:cs="Calisto MT"/>
          <w:color w:val="000000"/>
          <w:sz w:val="23"/>
          <w:szCs w:val="23"/>
        </w:rPr>
      </w:pPr>
      <w:r w:rsidRPr="000A1FA2">
        <w:rPr>
          <w:rFonts w:ascii="Calisto MT" w:eastAsiaTheme="minorHAnsi" w:hAnsi="Calisto MT" w:cs="Calisto MT"/>
          <w:color w:val="000000"/>
          <w:sz w:val="23"/>
          <w:szCs w:val="23"/>
        </w:rPr>
        <w:t xml:space="preserve">Student outcomes are outcomes (a) through (k) plus any additional outcomes that may be articulated by the program. </w:t>
      </w:r>
    </w:p>
    <w:p w14:paraId="0586F5A3" w14:textId="77777777" w:rsidR="004E690D" w:rsidRDefault="004E690D" w:rsidP="004E690D">
      <w:pPr>
        <w:pStyle w:val="ListParagraph"/>
        <w:numPr>
          <w:ilvl w:val="0"/>
          <w:numId w:val="11"/>
        </w:numPr>
        <w:autoSpaceDE w:val="0"/>
        <w:autoSpaceDN w:val="0"/>
        <w:adjustRightInd w:val="0"/>
        <w:spacing w:line="240" w:lineRule="auto"/>
        <w:rPr>
          <w:rFonts w:ascii="Calisto MT" w:eastAsiaTheme="minorHAnsi" w:hAnsi="Calisto MT" w:cs="Calisto MT"/>
          <w:color w:val="000000"/>
          <w:sz w:val="23"/>
          <w:szCs w:val="23"/>
        </w:rPr>
      </w:pPr>
      <w:proofErr w:type="gramStart"/>
      <w:r w:rsidRPr="000A1FA2">
        <w:rPr>
          <w:rFonts w:ascii="Calisto MT" w:eastAsiaTheme="minorHAnsi" w:hAnsi="Calisto MT" w:cs="Calisto MT"/>
          <w:color w:val="000000"/>
          <w:sz w:val="23"/>
          <w:szCs w:val="23"/>
        </w:rPr>
        <w:t>an</w:t>
      </w:r>
      <w:proofErr w:type="gramEnd"/>
      <w:r w:rsidRPr="000A1FA2">
        <w:rPr>
          <w:rFonts w:ascii="Calisto MT" w:eastAsiaTheme="minorHAnsi" w:hAnsi="Calisto MT" w:cs="Calisto MT"/>
          <w:color w:val="000000"/>
          <w:sz w:val="23"/>
          <w:szCs w:val="23"/>
        </w:rPr>
        <w:t xml:space="preserve"> ability to apply knowledge of mathematics, science, and engineering </w:t>
      </w:r>
    </w:p>
    <w:p w14:paraId="258A2B29" w14:textId="77777777" w:rsidR="004E690D" w:rsidRDefault="004E690D" w:rsidP="004E690D">
      <w:pPr>
        <w:pStyle w:val="ListParagraph"/>
        <w:numPr>
          <w:ilvl w:val="0"/>
          <w:numId w:val="11"/>
        </w:numPr>
        <w:autoSpaceDE w:val="0"/>
        <w:autoSpaceDN w:val="0"/>
        <w:adjustRightInd w:val="0"/>
        <w:spacing w:line="240" w:lineRule="auto"/>
        <w:rPr>
          <w:rFonts w:ascii="Calisto MT" w:eastAsiaTheme="minorHAnsi" w:hAnsi="Calisto MT" w:cs="Calisto MT"/>
          <w:color w:val="000000"/>
          <w:sz w:val="23"/>
          <w:szCs w:val="23"/>
        </w:rPr>
      </w:pPr>
      <w:proofErr w:type="gramStart"/>
      <w:r w:rsidRPr="000A1FA2">
        <w:rPr>
          <w:rFonts w:ascii="Calisto MT" w:eastAsiaTheme="minorHAnsi" w:hAnsi="Calisto MT" w:cs="Calisto MT"/>
          <w:color w:val="000000"/>
          <w:sz w:val="23"/>
          <w:szCs w:val="23"/>
        </w:rPr>
        <w:t>an</w:t>
      </w:r>
      <w:proofErr w:type="gramEnd"/>
      <w:r w:rsidRPr="000A1FA2">
        <w:rPr>
          <w:rFonts w:ascii="Calisto MT" w:eastAsiaTheme="minorHAnsi" w:hAnsi="Calisto MT" w:cs="Calisto MT"/>
          <w:color w:val="000000"/>
          <w:sz w:val="23"/>
          <w:szCs w:val="23"/>
        </w:rPr>
        <w:t xml:space="preserve"> ability to design and conduct experiments, as well a</w:t>
      </w:r>
      <w:r>
        <w:rPr>
          <w:rFonts w:ascii="Calisto MT" w:eastAsiaTheme="minorHAnsi" w:hAnsi="Calisto MT" w:cs="Calisto MT"/>
          <w:color w:val="000000"/>
          <w:sz w:val="23"/>
          <w:szCs w:val="23"/>
        </w:rPr>
        <w:t>s to analyze and interpret data</w:t>
      </w:r>
    </w:p>
    <w:p w14:paraId="40A698A1" w14:textId="77777777" w:rsidR="004E690D" w:rsidRDefault="004E690D" w:rsidP="004E690D">
      <w:pPr>
        <w:pStyle w:val="ListParagraph"/>
        <w:numPr>
          <w:ilvl w:val="0"/>
          <w:numId w:val="11"/>
        </w:numPr>
        <w:autoSpaceDE w:val="0"/>
        <w:autoSpaceDN w:val="0"/>
        <w:adjustRightInd w:val="0"/>
        <w:spacing w:line="240" w:lineRule="auto"/>
        <w:rPr>
          <w:rFonts w:ascii="Calisto MT" w:eastAsiaTheme="minorHAnsi" w:hAnsi="Calisto MT" w:cs="Calisto MT"/>
          <w:color w:val="000000"/>
          <w:sz w:val="23"/>
          <w:szCs w:val="23"/>
        </w:rPr>
      </w:pPr>
      <w:proofErr w:type="gramStart"/>
      <w:r w:rsidRPr="000A1FA2">
        <w:rPr>
          <w:rFonts w:ascii="Calisto MT" w:eastAsiaTheme="minorHAnsi" w:hAnsi="Calisto MT" w:cs="Calisto MT"/>
          <w:color w:val="000000"/>
          <w:sz w:val="23"/>
          <w:szCs w:val="23"/>
        </w:rPr>
        <w:t>an</w:t>
      </w:r>
      <w:proofErr w:type="gramEnd"/>
      <w:r w:rsidRPr="000A1FA2">
        <w:rPr>
          <w:rFonts w:ascii="Calisto MT" w:eastAsiaTheme="minorHAnsi" w:hAnsi="Calisto MT" w:cs="Calisto MT"/>
          <w:color w:val="000000"/>
          <w:sz w:val="23"/>
          <w:szCs w:val="23"/>
        </w:rPr>
        <w:t xml:space="preserve"> ability to design a system, component, or process to meet desired needs within realistic constraints such as economic, environmental, social, political, ethical, health and safety, manufacturability, and sustainability </w:t>
      </w:r>
    </w:p>
    <w:p w14:paraId="523A33CA" w14:textId="77777777" w:rsidR="004E690D" w:rsidRDefault="004E690D" w:rsidP="004E690D">
      <w:pPr>
        <w:pStyle w:val="ListParagraph"/>
        <w:numPr>
          <w:ilvl w:val="0"/>
          <w:numId w:val="11"/>
        </w:numPr>
        <w:autoSpaceDE w:val="0"/>
        <w:autoSpaceDN w:val="0"/>
        <w:adjustRightInd w:val="0"/>
        <w:spacing w:line="240" w:lineRule="auto"/>
        <w:rPr>
          <w:rFonts w:ascii="Calisto MT" w:eastAsiaTheme="minorHAnsi" w:hAnsi="Calisto MT" w:cs="Calisto MT"/>
          <w:color w:val="000000"/>
          <w:sz w:val="23"/>
          <w:szCs w:val="23"/>
        </w:rPr>
      </w:pPr>
      <w:proofErr w:type="gramStart"/>
      <w:r w:rsidRPr="000A1FA2">
        <w:rPr>
          <w:rFonts w:ascii="Calisto MT" w:eastAsiaTheme="minorHAnsi" w:hAnsi="Calisto MT" w:cs="Calisto MT"/>
          <w:color w:val="000000"/>
          <w:sz w:val="23"/>
          <w:szCs w:val="23"/>
        </w:rPr>
        <w:t>an</w:t>
      </w:r>
      <w:proofErr w:type="gramEnd"/>
      <w:r w:rsidRPr="000A1FA2">
        <w:rPr>
          <w:rFonts w:ascii="Calisto MT" w:eastAsiaTheme="minorHAnsi" w:hAnsi="Calisto MT" w:cs="Calisto MT"/>
          <w:color w:val="000000"/>
          <w:sz w:val="23"/>
          <w:szCs w:val="23"/>
        </w:rPr>
        <w:t xml:space="preserve"> ability to function on multidisciplinary teams </w:t>
      </w:r>
    </w:p>
    <w:p w14:paraId="1DE19FB5" w14:textId="77777777" w:rsidR="004E690D" w:rsidRDefault="004E690D" w:rsidP="004E690D">
      <w:pPr>
        <w:pStyle w:val="ListParagraph"/>
        <w:numPr>
          <w:ilvl w:val="0"/>
          <w:numId w:val="11"/>
        </w:numPr>
        <w:autoSpaceDE w:val="0"/>
        <w:autoSpaceDN w:val="0"/>
        <w:adjustRightInd w:val="0"/>
        <w:spacing w:line="240" w:lineRule="auto"/>
        <w:rPr>
          <w:rFonts w:ascii="Calisto MT" w:eastAsiaTheme="minorHAnsi" w:hAnsi="Calisto MT" w:cs="Calisto MT"/>
          <w:color w:val="000000"/>
          <w:sz w:val="23"/>
          <w:szCs w:val="23"/>
        </w:rPr>
      </w:pPr>
      <w:proofErr w:type="gramStart"/>
      <w:r w:rsidRPr="000A1FA2">
        <w:rPr>
          <w:rFonts w:ascii="Calisto MT" w:eastAsiaTheme="minorHAnsi" w:hAnsi="Calisto MT" w:cs="Calisto MT"/>
          <w:color w:val="000000"/>
          <w:sz w:val="23"/>
          <w:szCs w:val="23"/>
        </w:rPr>
        <w:t>an</w:t>
      </w:r>
      <w:proofErr w:type="gramEnd"/>
      <w:r w:rsidRPr="000A1FA2">
        <w:rPr>
          <w:rFonts w:ascii="Calisto MT" w:eastAsiaTheme="minorHAnsi" w:hAnsi="Calisto MT" w:cs="Calisto MT"/>
          <w:color w:val="000000"/>
          <w:sz w:val="23"/>
          <w:szCs w:val="23"/>
        </w:rPr>
        <w:t xml:space="preserve"> ability to identify, formulate, and solve engineering problems </w:t>
      </w:r>
    </w:p>
    <w:p w14:paraId="73B895A1" w14:textId="77777777" w:rsidR="004E690D" w:rsidRDefault="004E690D" w:rsidP="004E690D">
      <w:pPr>
        <w:pStyle w:val="ListParagraph"/>
        <w:numPr>
          <w:ilvl w:val="0"/>
          <w:numId w:val="11"/>
        </w:numPr>
        <w:autoSpaceDE w:val="0"/>
        <w:autoSpaceDN w:val="0"/>
        <w:adjustRightInd w:val="0"/>
        <w:spacing w:line="240" w:lineRule="auto"/>
        <w:rPr>
          <w:rFonts w:ascii="Calisto MT" w:eastAsiaTheme="minorHAnsi" w:hAnsi="Calisto MT" w:cs="Calisto MT"/>
          <w:color w:val="000000"/>
          <w:sz w:val="23"/>
          <w:szCs w:val="23"/>
        </w:rPr>
      </w:pPr>
      <w:proofErr w:type="gramStart"/>
      <w:r w:rsidRPr="000A1FA2">
        <w:rPr>
          <w:rFonts w:ascii="Calisto MT" w:eastAsiaTheme="minorHAnsi" w:hAnsi="Calisto MT" w:cs="Calisto MT"/>
          <w:color w:val="000000"/>
          <w:sz w:val="23"/>
          <w:szCs w:val="23"/>
        </w:rPr>
        <w:t>an</w:t>
      </w:r>
      <w:proofErr w:type="gramEnd"/>
      <w:r w:rsidRPr="000A1FA2">
        <w:rPr>
          <w:rFonts w:ascii="Calisto MT" w:eastAsiaTheme="minorHAnsi" w:hAnsi="Calisto MT" w:cs="Calisto MT"/>
          <w:color w:val="000000"/>
          <w:sz w:val="23"/>
          <w:szCs w:val="23"/>
        </w:rPr>
        <w:t xml:space="preserve"> understanding of professional and ethical responsibility </w:t>
      </w:r>
    </w:p>
    <w:p w14:paraId="0B512825" w14:textId="77777777" w:rsidR="004E690D" w:rsidRDefault="004E690D" w:rsidP="004E690D">
      <w:pPr>
        <w:pStyle w:val="ListParagraph"/>
        <w:numPr>
          <w:ilvl w:val="0"/>
          <w:numId w:val="11"/>
        </w:numPr>
        <w:autoSpaceDE w:val="0"/>
        <w:autoSpaceDN w:val="0"/>
        <w:adjustRightInd w:val="0"/>
        <w:spacing w:line="240" w:lineRule="auto"/>
        <w:rPr>
          <w:rFonts w:ascii="Calisto MT" w:eastAsiaTheme="minorHAnsi" w:hAnsi="Calisto MT" w:cs="Calisto MT"/>
          <w:color w:val="000000"/>
          <w:sz w:val="23"/>
          <w:szCs w:val="23"/>
        </w:rPr>
      </w:pPr>
      <w:proofErr w:type="gramStart"/>
      <w:r w:rsidRPr="000A1FA2">
        <w:rPr>
          <w:rFonts w:ascii="Calisto MT" w:eastAsiaTheme="minorHAnsi" w:hAnsi="Calisto MT" w:cs="Calisto MT"/>
          <w:color w:val="000000"/>
          <w:sz w:val="23"/>
          <w:szCs w:val="23"/>
        </w:rPr>
        <w:t>an</w:t>
      </w:r>
      <w:proofErr w:type="gramEnd"/>
      <w:r w:rsidRPr="000A1FA2">
        <w:rPr>
          <w:rFonts w:ascii="Calisto MT" w:eastAsiaTheme="minorHAnsi" w:hAnsi="Calisto MT" w:cs="Calisto MT"/>
          <w:color w:val="000000"/>
          <w:sz w:val="23"/>
          <w:szCs w:val="23"/>
        </w:rPr>
        <w:t xml:space="preserve"> ability to communicate effectively </w:t>
      </w:r>
    </w:p>
    <w:p w14:paraId="437DC139" w14:textId="77777777" w:rsidR="004E690D" w:rsidRPr="000A1FA2" w:rsidRDefault="004E690D" w:rsidP="004E690D">
      <w:pPr>
        <w:pStyle w:val="ListParagraph"/>
        <w:numPr>
          <w:ilvl w:val="0"/>
          <w:numId w:val="11"/>
        </w:numPr>
        <w:autoSpaceDE w:val="0"/>
        <w:autoSpaceDN w:val="0"/>
        <w:adjustRightInd w:val="0"/>
        <w:spacing w:after="160" w:line="259" w:lineRule="auto"/>
      </w:pPr>
      <w:proofErr w:type="gramStart"/>
      <w:r w:rsidRPr="000A1FA2">
        <w:rPr>
          <w:rFonts w:ascii="Calisto MT" w:eastAsiaTheme="minorHAnsi" w:hAnsi="Calisto MT" w:cs="Calisto MT"/>
          <w:color w:val="000000"/>
          <w:sz w:val="23"/>
          <w:szCs w:val="23"/>
        </w:rPr>
        <w:t>the</w:t>
      </w:r>
      <w:proofErr w:type="gramEnd"/>
      <w:r w:rsidRPr="000A1FA2">
        <w:rPr>
          <w:rFonts w:ascii="Calisto MT" w:eastAsiaTheme="minorHAnsi" w:hAnsi="Calisto MT" w:cs="Calisto MT"/>
          <w:color w:val="000000"/>
          <w:sz w:val="23"/>
          <w:szCs w:val="23"/>
        </w:rPr>
        <w:t xml:space="preserve"> broad education necessary to understand the impact of engineering solutions in a global, economic, environmental, and societal context </w:t>
      </w:r>
    </w:p>
    <w:p w14:paraId="4A6A80DF" w14:textId="77777777" w:rsidR="004E690D" w:rsidRDefault="004E690D" w:rsidP="004E690D">
      <w:pPr>
        <w:pStyle w:val="ListParagraph"/>
        <w:numPr>
          <w:ilvl w:val="0"/>
          <w:numId w:val="11"/>
        </w:numPr>
        <w:autoSpaceDE w:val="0"/>
        <w:autoSpaceDN w:val="0"/>
        <w:adjustRightInd w:val="0"/>
        <w:spacing w:after="160" w:line="240" w:lineRule="auto"/>
        <w:rPr>
          <w:rFonts w:ascii="Calisto MT" w:eastAsiaTheme="minorHAnsi" w:hAnsi="Calisto MT" w:cs="Calisto MT"/>
          <w:color w:val="000000"/>
          <w:sz w:val="23"/>
          <w:szCs w:val="23"/>
        </w:rPr>
      </w:pPr>
      <w:proofErr w:type="gramStart"/>
      <w:r w:rsidRPr="000A1FA2">
        <w:rPr>
          <w:rFonts w:ascii="Calisto MT" w:eastAsiaTheme="minorHAnsi" w:hAnsi="Calisto MT" w:cs="Calisto MT"/>
          <w:color w:val="000000"/>
          <w:sz w:val="23"/>
          <w:szCs w:val="23"/>
        </w:rPr>
        <w:t>a</w:t>
      </w:r>
      <w:proofErr w:type="gramEnd"/>
      <w:r w:rsidRPr="000A1FA2">
        <w:rPr>
          <w:rFonts w:ascii="Calisto MT" w:eastAsiaTheme="minorHAnsi" w:hAnsi="Calisto MT" w:cs="Calisto MT"/>
          <w:color w:val="000000"/>
          <w:sz w:val="23"/>
          <w:szCs w:val="23"/>
        </w:rPr>
        <w:t xml:space="preserve"> recognition of the need for, and an ability to engage in life-long learning</w:t>
      </w:r>
    </w:p>
    <w:p w14:paraId="72DECAB1" w14:textId="77777777" w:rsidR="004E690D" w:rsidRPr="000A1FA2" w:rsidRDefault="004E690D" w:rsidP="00E44C07">
      <w:pPr>
        <w:pStyle w:val="ListParagraph"/>
        <w:numPr>
          <w:ilvl w:val="0"/>
          <w:numId w:val="11"/>
        </w:numPr>
        <w:autoSpaceDE w:val="0"/>
        <w:autoSpaceDN w:val="0"/>
        <w:adjustRightInd w:val="0"/>
        <w:spacing w:after="160" w:line="259" w:lineRule="auto"/>
      </w:pPr>
      <w:proofErr w:type="gramStart"/>
      <w:r w:rsidRPr="000A1FA2">
        <w:rPr>
          <w:rFonts w:ascii="Calisto MT" w:eastAsiaTheme="minorHAnsi" w:hAnsi="Calisto MT" w:cs="Calisto MT"/>
          <w:color w:val="000000"/>
          <w:sz w:val="23"/>
          <w:szCs w:val="23"/>
        </w:rPr>
        <w:t>a</w:t>
      </w:r>
      <w:proofErr w:type="gramEnd"/>
      <w:r w:rsidRPr="000A1FA2">
        <w:rPr>
          <w:rFonts w:ascii="Calisto MT" w:eastAsiaTheme="minorHAnsi" w:hAnsi="Calisto MT" w:cs="Calisto MT"/>
          <w:color w:val="000000"/>
          <w:sz w:val="23"/>
          <w:szCs w:val="23"/>
        </w:rPr>
        <w:t xml:space="preserve"> knowledge of contemporary issues </w:t>
      </w:r>
    </w:p>
    <w:p w14:paraId="6812E6C7" w14:textId="77777777" w:rsidR="004E690D" w:rsidRDefault="004E690D" w:rsidP="00E44C07">
      <w:pPr>
        <w:pStyle w:val="ListParagraph"/>
        <w:numPr>
          <w:ilvl w:val="0"/>
          <w:numId w:val="11"/>
        </w:numPr>
        <w:autoSpaceDE w:val="0"/>
        <w:autoSpaceDN w:val="0"/>
        <w:adjustRightInd w:val="0"/>
        <w:spacing w:after="160" w:line="259" w:lineRule="auto"/>
        <w:sectPr w:rsidR="004E690D" w:rsidSect="00D558B9">
          <w:pgSz w:w="11906" w:h="16838"/>
          <w:pgMar w:top="1440" w:right="1440" w:bottom="1440" w:left="1440" w:header="708" w:footer="708" w:gutter="0"/>
          <w:lnNumType w:countBy="1" w:restart="continuous"/>
          <w:cols w:space="708"/>
          <w:docGrid w:linePitch="360"/>
        </w:sectPr>
      </w:pPr>
      <w:proofErr w:type="gramStart"/>
      <w:r w:rsidRPr="000A1FA2">
        <w:rPr>
          <w:rFonts w:ascii="Calisto MT" w:eastAsiaTheme="minorHAnsi" w:hAnsi="Calisto MT" w:cs="Calisto MT"/>
          <w:color w:val="000000"/>
          <w:sz w:val="23"/>
          <w:szCs w:val="23"/>
          <w:lang w:eastAsia="en-US"/>
        </w:rPr>
        <w:t>an</w:t>
      </w:r>
      <w:proofErr w:type="gramEnd"/>
      <w:r w:rsidRPr="000A1FA2">
        <w:rPr>
          <w:rFonts w:ascii="Calisto MT" w:eastAsiaTheme="minorHAnsi" w:hAnsi="Calisto MT" w:cs="Calisto MT"/>
          <w:color w:val="000000"/>
          <w:sz w:val="23"/>
          <w:szCs w:val="23"/>
          <w:lang w:eastAsia="en-US"/>
        </w:rPr>
        <w:t xml:space="preserve"> ability to use the techniques, skills, and modern engineering tools necessary for engineering practice.</w:t>
      </w:r>
    </w:p>
    <w:p w14:paraId="0D0662B2" w14:textId="4652891B" w:rsidR="003818F8" w:rsidRDefault="003818F8" w:rsidP="003818F8">
      <w:pPr>
        <w:pStyle w:val="Heading2"/>
      </w:pPr>
      <w:r>
        <w:lastRenderedPageBreak/>
        <w:t xml:space="preserve">APPENDIX </w:t>
      </w:r>
      <w:r w:rsidR="004E690D">
        <w:t>B</w:t>
      </w:r>
      <w:r>
        <w:t>: EC Broad learning areas and learning outcomes</w:t>
      </w:r>
    </w:p>
    <w:p w14:paraId="4904F0EC" w14:textId="77777777" w:rsidR="003818F8" w:rsidRPr="00074597" w:rsidRDefault="003818F8" w:rsidP="003818F8">
      <w:pPr>
        <w:pStyle w:val="ListParagraph"/>
        <w:numPr>
          <w:ilvl w:val="0"/>
          <w:numId w:val="9"/>
        </w:numPr>
        <w:spacing w:after="160" w:line="259" w:lineRule="auto"/>
        <w:rPr>
          <w:b/>
        </w:rPr>
      </w:pPr>
      <w:r w:rsidRPr="00074597">
        <w:rPr>
          <w:b/>
        </w:rPr>
        <w:t>Science and mathematics</w:t>
      </w:r>
    </w:p>
    <w:p w14:paraId="5D9B78A8" w14:textId="77777777" w:rsidR="003818F8" w:rsidRPr="00074597" w:rsidRDefault="003818F8" w:rsidP="003818F8">
      <w:pPr>
        <w:rPr>
          <w:rFonts w:cs="Avenir-Light"/>
          <w:szCs w:val="24"/>
        </w:rPr>
      </w:pPr>
      <w:r w:rsidRPr="00074597">
        <w:rPr>
          <w:rFonts w:cs="Avenir-Light"/>
          <w:szCs w:val="24"/>
        </w:rPr>
        <w:t>Engineering is underpinned by science and mathematics, and other associated disciplines, as defined by the relevant professional engineering institution(s). Graduates will need the following knowledge, understanding and abilities:</w:t>
      </w:r>
    </w:p>
    <w:p w14:paraId="3070A697" w14:textId="77777777" w:rsidR="003818F8" w:rsidRPr="00074597" w:rsidRDefault="003818F8" w:rsidP="003818F8">
      <w:pPr>
        <w:pStyle w:val="ListParagraph"/>
        <w:numPr>
          <w:ilvl w:val="1"/>
          <w:numId w:val="9"/>
        </w:numPr>
        <w:spacing w:after="160" w:line="259" w:lineRule="auto"/>
        <w:ind w:left="1134" w:hanging="774"/>
      </w:pPr>
      <w:r w:rsidRPr="00074597">
        <w:t>A comprehensive knowledge and understanding of scientific principles and methodology necessary to underpin their education in their engineering discipline, and an understanding and know-how of the scientific principles of related disciplines, to enable appreciation of the scientific and engineering context, and to support their understanding of relevant historical, current and future developments and technologies</w:t>
      </w:r>
    </w:p>
    <w:p w14:paraId="6CB3B55C" w14:textId="77777777" w:rsidR="003818F8" w:rsidRPr="00074597" w:rsidRDefault="003818F8" w:rsidP="003818F8">
      <w:pPr>
        <w:pStyle w:val="ListParagraph"/>
        <w:numPr>
          <w:ilvl w:val="1"/>
          <w:numId w:val="9"/>
        </w:numPr>
        <w:spacing w:after="160" w:line="259" w:lineRule="auto"/>
        <w:ind w:left="1134" w:hanging="774"/>
      </w:pPr>
      <w:r w:rsidRPr="00074597">
        <w:t>Knowledge and understanding of mathematical and statistical methods necessary to underpin their education in their engineering discipline and to enable them to apply a range of mathematical and statistical methods, tools and notations proficiently and critically in the analysis and solution of engineering problems</w:t>
      </w:r>
    </w:p>
    <w:p w14:paraId="454187B4" w14:textId="77777777" w:rsidR="003818F8" w:rsidRPr="00074597" w:rsidRDefault="003818F8" w:rsidP="003818F8">
      <w:pPr>
        <w:pStyle w:val="ListParagraph"/>
        <w:numPr>
          <w:ilvl w:val="1"/>
          <w:numId w:val="9"/>
        </w:numPr>
        <w:spacing w:after="160" w:line="259" w:lineRule="auto"/>
        <w:ind w:left="1134" w:hanging="774"/>
      </w:pPr>
      <w:r w:rsidRPr="00074597">
        <w:t xml:space="preserve">Ability to apply and integrate knowledge and understanding of other engineering disciplines to support study of their own engineering discipline and the ability to evaluate them critically and to apply them effectively </w:t>
      </w:r>
    </w:p>
    <w:p w14:paraId="7DFFD2D6" w14:textId="77777777" w:rsidR="003818F8" w:rsidRPr="00074597" w:rsidRDefault="003818F8" w:rsidP="003818F8">
      <w:pPr>
        <w:pStyle w:val="ListParagraph"/>
        <w:numPr>
          <w:ilvl w:val="1"/>
          <w:numId w:val="9"/>
        </w:numPr>
        <w:spacing w:after="160" w:line="259" w:lineRule="auto"/>
        <w:ind w:left="1134" w:hanging="774"/>
      </w:pPr>
      <w:r w:rsidRPr="00074597">
        <w:t xml:space="preserve">Awareness of developing technologies related to own specialisation </w:t>
      </w:r>
    </w:p>
    <w:p w14:paraId="5A4862C3" w14:textId="77777777" w:rsidR="003818F8" w:rsidRPr="00074597" w:rsidRDefault="003818F8" w:rsidP="003818F8">
      <w:pPr>
        <w:pStyle w:val="ListParagraph"/>
        <w:numPr>
          <w:ilvl w:val="1"/>
          <w:numId w:val="9"/>
        </w:numPr>
        <w:spacing w:after="160" w:line="259" w:lineRule="auto"/>
        <w:ind w:left="1134" w:hanging="774"/>
      </w:pPr>
      <w:r w:rsidRPr="00074597">
        <w:t xml:space="preserve">A comprehensive knowledge and understanding of mathematical and computational models relevant to the engineering discipline, and an appreciation of their limitations </w:t>
      </w:r>
    </w:p>
    <w:p w14:paraId="2601B8F8" w14:textId="77777777" w:rsidR="003818F8" w:rsidRPr="00074597" w:rsidRDefault="003818F8" w:rsidP="003818F8">
      <w:pPr>
        <w:pStyle w:val="ListParagraph"/>
        <w:numPr>
          <w:ilvl w:val="1"/>
          <w:numId w:val="9"/>
        </w:numPr>
        <w:spacing w:after="160" w:line="259" w:lineRule="auto"/>
        <w:ind w:left="1134" w:hanging="774"/>
      </w:pPr>
      <w:r w:rsidRPr="00074597">
        <w:t>Understanding of concepts from a range of areas, including some outside engineering, and the ability to evaluate them critically and to apply them effectively in engineering projects.</w:t>
      </w:r>
    </w:p>
    <w:p w14:paraId="2B21CBAD" w14:textId="77777777" w:rsidR="003818F8" w:rsidRPr="00074597" w:rsidRDefault="003818F8" w:rsidP="003818F8">
      <w:pPr>
        <w:pStyle w:val="ListParagraph"/>
        <w:numPr>
          <w:ilvl w:val="0"/>
          <w:numId w:val="9"/>
        </w:numPr>
        <w:spacing w:after="160" w:line="259" w:lineRule="auto"/>
        <w:rPr>
          <w:b/>
        </w:rPr>
      </w:pPr>
      <w:r w:rsidRPr="00074597">
        <w:rPr>
          <w:b/>
        </w:rPr>
        <w:t>Engineering analysis</w:t>
      </w:r>
    </w:p>
    <w:p w14:paraId="4A8F6D8F" w14:textId="77777777" w:rsidR="003818F8" w:rsidRPr="00074597" w:rsidRDefault="003818F8" w:rsidP="003818F8">
      <w:pPr>
        <w:rPr>
          <w:rFonts w:cs="Avenir-Light"/>
          <w:szCs w:val="24"/>
        </w:rPr>
      </w:pPr>
      <w:r w:rsidRPr="00074597">
        <w:rPr>
          <w:rFonts w:cs="Avenir-Light"/>
          <w:szCs w:val="24"/>
        </w:rPr>
        <w:t xml:space="preserve">Engineering analysis involves the application of engineering concepts and tools to the solution of engineering problems. Graduates will need: </w:t>
      </w:r>
    </w:p>
    <w:p w14:paraId="7B6AEC40" w14:textId="77777777" w:rsidR="003818F8" w:rsidRPr="00074597" w:rsidRDefault="003818F8" w:rsidP="003818F8">
      <w:pPr>
        <w:pStyle w:val="ListParagraph"/>
        <w:numPr>
          <w:ilvl w:val="1"/>
          <w:numId w:val="9"/>
        </w:numPr>
        <w:spacing w:after="160" w:line="259" w:lineRule="auto"/>
        <w:ind w:left="1134" w:hanging="774"/>
      </w:pPr>
      <w:r w:rsidRPr="00074597">
        <w:t>Understanding of engineering principles and the ability to apply them to undertake critical analysis of key engineering processes</w:t>
      </w:r>
    </w:p>
    <w:p w14:paraId="4FF64344" w14:textId="77777777" w:rsidR="003818F8" w:rsidRPr="00074597" w:rsidRDefault="003818F8" w:rsidP="003818F8">
      <w:pPr>
        <w:pStyle w:val="ListParagraph"/>
        <w:numPr>
          <w:ilvl w:val="1"/>
          <w:numId w:val="9"/>
        </w:numPr>
        <w:spacing w:after="160" w:line="259" w:lineRule="auto"/>
        <w:ind w:left="1134" w:hanging="774"/>
      </w:pPr>
      <w:r w:rsidRPr="00074597">
        <w:t>Ability to identify, classify and describe the performance of systems andc omponents through the use of analytical methods and modelling techniques</w:t>
      </w:r>
    </w:p>
    <w:p w14:paraId="357F76D3" w14:textId="77777777" w:rsidR="003818F8" w:rsidRPr="00074597" w:rsidRDefault="003818F8" w:rsidP="003818F8">
      <w:pPr>
        <w:pStyle w:val="ListParagraph"/>
        <w:numPr>
          <w:ilvl w:val="1"/>
          <w:numId w:val="9"/>
        </w:numPr>
        <w:spacing w:after="160" w:line="259" w:lineRule="auto"/>
        <w:ind w:left="1134" w:hanging="774"/>
      </w:pPr>
      <w:r w:rsidRPr="00074597">
        <w:t>Ability to apply quantitative and computational methods, using alternative approaches and understanding their limitations, in order to solve engineering problems and to implement appropriate action</w:t>
      </w:r>
    </w:p>
    <w:p w14:paraId="75FE3E70" w14:textId="77777777" w:rsidR="003818F8" w:rsidRPr="00074597" w:rsidRDefault="003818F8" w:rsidP="003818F8">
      <w:pPr>
        <w:pStyle w:val="ListParagraph"/>
        <w:numPr>
          <w:ilvl w:val="1"/>
          <w:numId w:val="9"/>
        </w:numPr>
        <w:spacing w:after="160" w:line="259" w:lineRule="auto"/>
        <w:ind w:left="1134" w:hanging="774"/>
      </w:pPr>
      <w:r w:rsidRPr="00074597">
        <w:t>Understanding of, and the ability to apply, an integrated or systems approach tosolving complex engineering problems</w:t>
      </w:r>
    </w:p>
    <w:p w14:paraId="35AE3AF6" w14:textId="77777777" w:rsidR="003818F8" w:rsidRPr="00074597" w:rsidRDefault="003818F8" w:rsidP="003818F8">
      <w:pPr>
        <w:pStyle w:val="ListParagraph"/>
        <w:numPr>
          <w:ilvl w:val="1"/>
          <w:numId w:val="9"/>
        </w:numPr>
        <w:spacing w:after="160" w:line="259" w:lineRule="auto"/>
        <w:ind w:left="1134" w:hanging="774"/>
      </w:pPr>
      <w:r w:rsidRPr="00074597">
        <w:t>Ability to use fundamental knowledge to investigate new and emerging technologies</w:t>
      </w:r>
    </w:p>
    <w:p w14:paraId="7818B4F9" w14:textId="77777777" w:rsidR="003818F8" w:rsidRPr="00074597" w:rsidRDefault="003818F8" w:rsidP="003818F8">
      <w:pPr>
        <w:pStyle w:val="ListParagraph"/>
        <w:numPr>
          <w:ilvl w:val="1"/>
          <w:numId w:val="9"/>
        </w:numPr>
        <w:spacing w:after="160" w:line="259" w:lineRule="auto"/>
        <w:ind w:left="1134" w:hanging="774"/>
      </w:pPr>
      <w:r w:rsidRPr="00074597">
        <w:t>Ability to extract and evaluate pertinent data and to apply engineering analysis techniques in the solution of unfamiliar problems.</w:t>
      </w:r>
    </w:p>
    <w:p w14:paraId="66E3AAD7" w14:textId="77777777" w:rsidR="003818F8" w:rsidRPr="00074597" w:rsidRDefault="003818F8" w:rsidP="003818F8">
      <w:pPr>
        <w:pStyle w:val="ListParagraph"/>
        <w:numPr>
          <w:ilvl w:val="0"/>
          <w:numId w:val="9"/>
        </w:numPr>
        <w:spacing w:before="240" w:after="160" w:line="240" w:lineRule="auto"/>
        <w:ind w:left="357" w:hanging="357"/>
        <w:rPr>
          <w:b/>
        </w:rPr>
      </w:pPr>
      <w:r w:rsidRPr="00074597">
        <w:rPr>
          <w:b/>
        </w:rPr>
        <w:t>Design</w:t>
      </w:r>
    </w:p>
    <w:p w14:paraId="471DFA02" w14:textId="77777777" w:rsidR="003818F8" w:rsidRPr="00074597" w:rsidRDefault="003818F8" w:rsidP="003818F8">
      <w:pPr>
        <w:rPr>
          <w:rFonts w:cs="Avenir-Light"/>
          <w:szCs w:val="24"/>
        </w:rPr>
      </w:pPr>
      <w:r w:rsidRPr="00074597">
        <w:rPr>
          <w:rFonts w:cs="Avenir-Light"/>
          <w:szCs w:val="24"/>
        </w:rPr>
        <w:t xml:space="preserve">Design at this level is the creation and development of an economically viable product, process or system to meet a defined need. It involves significant technical and intellectual challenges and can be used to integrate all engineering understanding, knowledge and skills to the solution of </w:t>
      </w:r>
      <w:r w:rsidRPr="00074597">
        <w:rPr>
          <w:rFonts w:cs="Avenir-Light"/>
          <w:szCs w:val="24"/>
        </w:rPr>
        <w:lastRenderedPageBreak/>
        <w:t>real and complex problems. Graduates will therefore need the knowledge, understanding and skills to:</w:t>
      </w:r>
    </w:p>
    <w:p w14:paraId="640CFAE3"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Understand and evaluate business, customer and user needs, including</w:t>
      </w:r>
      <w:r w:rsidRPr="00074597">
        <w:t xml:space="preserve"> </w:t>
      </w:r>
      <w:r w:rsidRPr="00074597">
        <w:rPr>
          <w:rFonts w:cstheme="minorBidi"/>
        </w:rPr>
        <w:t>considerations such as the wider engineering context, public perception and</w:t>
      </w:r>
      <w:r w:rsidRPr="00074597">
        <w:t xml:space="preserve"> </w:t>
      </w:r>
      <w:r w:rsidRPr="00074597">
        <w:rPr>
          <w:rFonts w:cstheme="minorBidi"/>
        </w:rPr>
        <w:t>aesthetics</w:t>
      </w:r>
    </w:p>
    <w:p w14:paraId="6101C056"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Investigate and define the problem, identifying any constraints including</w:t>
      </w:r>
      <w:r w:rsidRPr="00074597">
        <w:t xml:space="preserve"> </w:t>
      </w:r>
      <w:r w:rsidRPr="00074597">
        <w:rPr>
          <w:rFonts w:cstheme="minorBidi"/>
        </w:rPr>
        <w:t>environmental and sustainability limitations; ethical, health, safety, security andrisk issues; intellectual property; codes of practice and standards</w:t>
      </w:r>
    </w:p>
    <w:p w14:paraId="1B3C9656"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Work with information that may be incomplete or uncertain, quantify the effect of</w:t>
      </w:r>
      <w:r w:rsidRPr="00074597">
        <w:t xml:space="preserve"> </w:t>
      </w:r>
      <w:r w:rsidRPr="00074597">
        <w:rPr>
          <w:rFonts w:cstheme="minorBidi"/>
        </w:rPr>
        <w:t>this on the design and, where appropriate, use theory or experimental research</w:t>
      </w:r>
      <w:r w:rsidRPr="00074597">
        <w:t xml:space="preserve"> </w:t>
      </w:r>
      <w:r w:rsidRPr="00074597">
        <w:rPr>
          <w:rFonts w:cstheme="minorBidi"/>
        </w:rPr>
        <w:t>to mitigate deficiencies</w:t>
      </w:r>
    </w:p>
    <w:p w14:paraId="7E6014B7"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Apply advanced problem-solving skills, technical knowledge and understanding</w:t>
      </w:r>
      <w:r w:rsidRPr="00074597">
        <w:t xml:space="preserve"> </w:t>
      </w:r>
      <w:proofErr w:type="gramStart"/>
      <w:r w:rsidRPr="00074597">
        <w:rPr>
          <w:rFonts w:cstheme="minorBidi"/>
        </w:rPr>
        <w:t xml:space="preserve">to </w:t>
      </w:r>
      <w:r w:rsidRPr="00074597">
        <w:t xml:space="preserve"> e</w:t>
      </w:r>
      <w:r w:rsidRPr="00074597">
        <w:rPr>
          <w:rFonts w:cstheme="minorBidi"/>
        </w:rPr>
        <w:t>stablish</w:t>
      </w:r>
      <w:proofErr w:type="gramEnd"/>
      <w:r w:rsidRPr="00074597">
        <w:rPr>
          <w:rFonts w:cstheme="minorBidi"/>
        </w:rPr>
        <w:t xml:space="preserve"> rigorous and creative solutions that are fit for purpose for all aspects</w:t>
      </w:r>
      <w:r w:rsidRPr="00074597">
        <w:t xml:space="preserve"> </w:t>
      </w:r>
      <w:r w:rsidRPr="00074597">
        <w:rPr>
          <w:rFonts w:cstheme="minorBidi"/>
        </w:rPr>
        <w:t>of the problem including production, operation, maintenance and disposal</w:t>
      </w:r>
    </w:p>
    <w:p w14:paraId="4707A884"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Plan and manage the design process, including cost drivers, and evaluate</w:t>
      </w:r>
      <w:r w:rsidRPr="00074597">
        <w:t xml:space="preserve"> </w:t>
      </w:r>
      <w:r w:rsidRPr="00074597">
        <w:rPr>
          <w:rFonts w:cstheme="minorBidi"/>
        </w:rPr>
        <w:t>outcomes</w:t>
      </w:r>
    </w:p>
    <w:p w14:paraId="0BD8A97F"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Communicate their work to technical and non-technical audiences</w:t>
      </w:r>
    </w:p>
    <w:p w14:paraId="11EB22F0"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Demonstrate wide knowledge and comprehensive understanding of design</w:t>
      </w:r>
      <w:r w:rsidRPr="00074597">
        <w:t xml:space="preserve"> </w:t>
      </w:r>
      <w:r w:rsidRPr="00074597">
        <w:rPr>
          <w:rFonts w:cstheme="minorBidi"/>
        </w:rPr>
        <w:t>processes and methodologies and the ability to apply and adapt them in</w:t>
      </w:r>
      <w:r w:rsidRPr="00074597">
        <w:t xml:space="preserve"> </w:t>
      </w:r>
      <w:r w:rsidRPr="00074597">
        <w:rPr>
          <w:rFonts w:cstheme="minorBidi"/>
        </w:rPr>
        <w:t>unfamiliar situations</w:t>
      </w:r>
    </w:p>
    <w:p w14:paraId="04A814B4"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Demonstrate the ability to generate an innovative</w:t>
      </w:r>
    </w:p>
    <w:p w14:paraId="3F2EE3C1" w14:textId="77777777" w:rsidR="003818F8" w:rsidRPr="00074597" w:rsidRDefault="003818F8" w:rsidP="003818F8">
      <w:pPr>
        <w:pStyle w:val="ListParagraph"/>
        <w:numPr>
          <w:ilvl w:val="0"/>
          <w:numId w:val="0"/>
        </w:numPr>
        <w:ind w:left="360"/>
        <w:rPr>
          <w:rFonts w:cstheme="minorBidi"/>
          <w:b/>
        </w:rPr>
      </w:pPr>
    </w:p>
    <w:p w14:paraId="04E43CF5" w14:textId="77777777" w:rsidR="003818F8" w:rsidRPr="00074597" w:rsidRDefault="003818F8" w:rsidP="003818F8">
      <w:pPr>
        <w:pStyle w:val="ListParagraph"/>
        <w:numPr>
          <w:ilvl w:val="0"/>
          <w:numId w:val="9"/>
        </w:numPr>
        <w:spacing w:after="160" w:line="259" w:lineRule="auto"/>
        <w:rPr>
          <w:b/>
        </w:rPr>
      </w:pPr>
      <w:r w:rsidRPr="00074597">
        <w:rPr>
          <w:b/>
        </w:rPr>
        <w:t>Economic, legal, social, ethical and environmental context</w:t>
      </w:r>
    </w:p>
    <w:p w14:paraId="43032E50" w14:textId="77777777" w:rsidR="003818F8" w:rsidRPr="00074597" w:rsidRDefault="003818F8" w:rsidP="003818F8">
      <w:pPr>
        <w:rPr>
          <w:rFonts w:cs="Avenir-Light"/>
          <w:szCs w:val="24"/>
        </w:rPr>
      </w:pPr>
      <w:r w:rsidRPr="00074597">
        <w:rPr>
          <w:rFonts w:cs="Avenir-Light"/>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14:paraId="6C148C73" w14:textId="77777777" w:rsidR="003818F8" w:rsidRPr="00074597" w:rsidRDefault="003818F8" w:rsidP="003818F8">
      <w:pPr>
        <w:pStyle w:val="ListParagraph"/>
        <w:numPr>
          <w:ilvl w:val="1"/>
          <w:numId w:val="9"/>
        </w:numPr>
        <w:spacing w:after="160" w:line="259" w:lineRule="auto"/>
        <w:ind w:left="1134" w:hanging="774"/>
      </w:pPr>
      <w:r w:rsidRPr="00074597">
        <w:t>Awareness of the need for a high level of professional and ethical conduct in engineering</w:t>
      </w:r>
    </w:p>
    <w:p w14:paraId="6B5D0C5D" w14:textId="77777777" w:rsidR="003818F8" w:rsidRPr="00074597" w:rsidRDefault="003818F8" w:rsidP="003818F8">
      <w:pPr>
        <w:pStyle w:val="ListParagraph"/>
        <w:numPr>
          <w:ilvl w:val="1"/>
          <w:numId w:val="9"/>
        </w:numPr>
        <w:spacing w:after="160" w:line="259" w:lineRule="auto"/>
        <w:ind w:left="1134" w:hanging="774"/>
      </w:pPr>
      <w:r w:rsidRPr="00074597">
        <w:t xml:space="preserve">Awareness that engineers need to take account of the commercial and social contexts in which they operate </w:t>
      </w:r>
    </w:p>
    <w:p w14:paraId="6BB03DE6" w14:textId="77777777" w:rsidR="003818F8" w:rsidRPr="00074597" w:rsidRDefault="003818F8" w:rsidP="003818F8">
      <w:pPr>
        <w:pStyle w:val="ListParagraph"/>
        <w:numPr>
          <w:ilvl w:val="1"/>
          <w:numId w:val="9"/>
        </w:numPr>
        <w:spacing w:after="160" w:line="259" w:lineRule="auto"/>
        <w:ind w:left="1134" w:hanging="774"/>
      </w:pPr>
      <w:r w:rsidRPr="00074597">
        <w:t>Knowledge and understanding of management and business practices, their limitations, and how these may be applied in the context of the particular specialisation</w:t>
      </w:r>
    </w:p>
    <w:p w14:paraId="634392F8" w14:textId="77777777" w:rsidR="003818F8" w:rsidRPr="00074597" w:rsidRDefault="003818F8" w:rsidP="003818F8">
      <w:pPr>
        <w:pStyle w:val="ListParagraph"/>
        <w:numPr>
          <w:ilvl w:val="1"/>
          <w:numId w:val="9"/>
        </w:numPr>
        <w:spacing w:after="160" w:line="259" w:lineRule="auto"/>
        <w:ind w:left="1134" w:hanging="774"/>
      </w:pPr>
      <w:r w:rsidRPr="00074597">
        <w:t xml:space="preserve">Awareness that engineering activities should promote sustainable development and ability to apply quantitative techniques where appropriate </w:t>
      </w:r>
    </w:p>
    <w:p w14:paraId="326A1C05" w14:textId="77777777" w:rsidR="003818F8" w:rsidRPr="00074597" w:rsidRDefault="003818F8" w:rsidP="003818F8">
      <w:pPr>
        <w:pStyle w:val="ListParagraph"/>
        <w:numPr>
          <w:ilvl w:val="1"/>
          <w:numId w:val="9"/>
        </w:numPr>
        <w:spacing w:after="160" w:line="259" w:lineRule="auto"/>
        <w:ind w:left="1134" w:hanging="774"/>
      </w:pPr>
      <w:r w:rsidRPr="00074597">
        <w:t>Awareness of relevant regulatory requirements governing engineering activities in the context of the particular specialisation</w:t>
      </w:r>
    </w:p>
    <w:p w14:paraId="2BC1C32F" w14:textId="77777777" w:rsidR="003818F8" w:rsidRPr="00074597" w:rsidRDefault="003818F8" w:rsidP="003818F8">
      <w:pPr>
        <w:pStyle w:val="ListParagraph"/>
        <w:numPr>
          <w:ilvl w:val="1"/>
          <w:numId w:val="9"/>
        </w:numPr>
        <w:spacing w:after="160" w:line="259" w:lineRule="auto"/>
        <w:ind w:left="1134" w:hanging="774"/>
      </w:pPr>
      <w:r w:rsidRPr="00074597">
        <w:t>Awareness of and ability to make general evaluations of risk issues in the context of the particular specialisation, including health &amp; safety, environmental and commercial risk.</w:t>
      </w:r>
    </w:p>
    <w:p w14:paraId="4369B3F9" w14:textId="77777777" w:rsidR="003818F8" w:rsidRPr="00074597" w:rsidRDefault="003818F8" w:rsidP="003818F8">
      <w:pPr>
        <w:pStyle w:val="ListParagraph"/>
        <w:numPr>
          <w:ilvl w:val="0"/>
          <w:numId w:val="9"/>
        </w:numPr>
        <w:spacing w:after="160" w:line="259" w:lineRule="auto"/>
        <w:rPr>
          <w:b/>
        </w:rPr>
      </w:pPr>
      <w:r w:rsidRPr="00074597">
        <w:rPr>
          <w:b/>
        </w:rPr>
        <w:t>Engineering practice</w:t>
      </w:r>
    </w:p>
    <w:p w14:paraId="492A1F63" w14:textId="77777777" w:rsidR="003818F8" w:rsidRPr="00074597" w:rsidRDefault="003818F8" w:rsidP="003818F8">
      <w:pPr>
        <w:rPr>
          <w:rFonts w:cs="Avenir-Light"/>
          <w:szCs w:val="24"/>
        </w:rPr>
      </w:pPr>
      <w:r w:rsidRPr="00074597">
        <w:rPr>
          <w:rFonts w:cs="Avenir-Light"/>
          <w:szCs w:val="24"/>
        </w:rPr>
        <w:t>This is the practical application of engineering skills, combining theory and experience, and use of other relevant knowledge and skills. This can include:</w:t>
      </w:r>
    </w:p>
    <w:p w14:paraId="70030130"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Understanding of contexts in which engineering knowledge can be applied (egoperations and management, application and development of technology, etc)</w:t>
      </w:r>
    </w:p>
    <w:p w14:paraId="3E5181AD"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lastRenderedPageBreak/>
        <w:t>Knowledge of characteristics of particular equipment, processes, or products</w:t>
      </w:r>
      <w:proofErr w:type="gramStart"/>
      <w:r w:rsidRPr="00074597">
        <w:rPr>
          <w:rFonts w:cstheme="minorBidi"/>
        </w:rPr>
        <w:t>,with</w:t>
      </w:r>
      <w:proofErr w:type="gramEnd"/>
      <w:r w:rsidRPr="00074597">
        <w:rPr>
          <w:rFonts w:cstheme="minorBidi"/>
        </w:rPr>
        <w:t xml:space="preserve"> extensive knowledge and understanding of a wide range of engineering</w:t>
      </w:r>
      <w:r w:rsidRPr="00074597">
        <w:t xml:space="preserve"> </w:t>
      </w:r>
      <w:r w:rsidRPr="00074597">
        <w:rPr>
          <w:rFonts w:cstheme="minorBidi"/>
        </w:rPr>
        <w:t>materials and components;</w:t>
      </w:r>
    </w:p>
    <w:p w14:paraId="57E8B1C6"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Ability to apply relevant practical and laboratory skills</w:t>
      </w:r>
      <w:r w:rsidRPr="00074597">
        <w:t xml:space="preserve"> </w:t>
      </w:r>
      <w:r w:rsidRPr="00074597">
        <w:rPr>
          <w:rFonts w:cstheme="minorBidi"/>
        </w:rPr>
        <w:t>Understanding of the use of technical literature and other information sources</w:t>
      </w:r>
    </w:p>
    <w:p w14:paraId="14F8D04D"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Knowledge of relevant legal and contractual issues</w:t>
      </w:r>
    </w:p>
    <w:p w14:paraId="285BC582"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Understanding of appropriate codes of practice and industry standards</w:t>
      </w:r>
    </w:p>
    <w:p w14:paraId="63B4D428"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Awareness of quality issues and their application to continuous improvement</w:t>
      </w:r>
    </w:p>
    <w:p w14:paraId="2B3BEAC2"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Ability to work with technical uncertainty</w:t>
      </w:r>
    </w:p>
    <w:p w14:paraId="34A9E15B"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rPr>
          <w:rFonts w:cstheme="minorBidi"/>
        </w:rPr>
        <w:t>A thorough understanding of current practice and its limitations, and some</w:t>
      </w:r>
      <w:r w:rsidRPr="00074597">
        <w:t xml:space="preserve"> </w:t>
      </w:r>
      <w:r w:rsidRPr="00074597">
        <w:rPr>
          <w:rFonts w:cstheme="minorBidi"/>
        </w:rPr>
        <w:t>appreciation of likely new developments</w:t>
      </w:r>
    </w:p>
    <w:p w14:paraId="74372178" w14:textId="77777777" w:rsidR="003818F8" w:rsidRPr="00074597" w:rsidRDefault="003818F8" w:rsidP="003818F8">
      <w:pPr>
        <w:pStyle w:val="ListParagraph"/>
        <w:numPr>
          <w:ilvl w:val="1"/>
          <w:numId w:val="9"/>
        </w:numPr>
        <w:spacing w:after="160" w:line="259" w:lineRule="auto"/>
        <w:ind w:left="1134" w:hanging="774"/>
      </w:pPr>
      <w:r w:rsidRPr="00074597">
        <w:rPr>
          <w:rFonts w:cstheme="minorBidi"/>
        </w:rPr>
        <w:t>Ability to apply engineering techniques taking account of a range of commercial</w:t>
      </w:r>
      <w:r w:rsidRPr="00074597">
        <w:t xml:space="preserve"> </w:t>
      </w:r>
      <w:r w:rsidRPr="00074597">
        <w:rPr>
          <w:rFonts w:cstheme="minorBidi"/>
        </w:rPr>
        <w:t>and industrial constraints</w:t>
      </w:r>
    </w:p>
    <w:p w14:paraId="020BE864" w14:textId="77777777" w:rsidR="003818F8" w:rsidRPr="00074597" w:rsidRDefault="003818F8" w:rsidP="003818F8">
      <w:pPr>
        <w:pStyle w:val="ListParagraph"/>
        <w:numPr>
          <w:ilvl w:val="1"/>
          <w:numId w:val="9"/>
        </w:numPr>
        <w:spacing w:after="160" w:line="259" w:lineRule="auto"/>
        <w:ind w:left="1134" w:hanging="774"/>
        <w:rPr>
          <w:rFonts w:cstheme="minorBidi"/>
        </w:rPr>
      </w:pPr>
      <w:r w:rsidRPr="00074597">
        <w:t xml:space="preserve"> Understanding of different roles within an engineering team and the ability to </w:t>
      </w:r>
      <w:r w:rsidRPr="00074597">
        <w:rPr>
          <w:rFonts w:cstheme="minorBidi"/>
        </w:rPr>
        <w:t>exercise initiative and personal responsibility, which may be as a team member</w:t>
      </w:r>
      <w:r w:rsidRPr="00074597">
        <w:t xml:space="preserve"> </w:t>
      </w:r>
      <w:r w:rsidRPr="00074597">
        <w:rPr>
          <w:rFonts w:cstheme="minorBidi"/>
        </w:rPr>
        <w:t>or leader.</w:t>
      </w:r>
    </w:p>
    <w:p w14:paraId="1DDEF81B" w14:textId="77777777" w:rsidR="003818F8" w:rsidRPr="00074597" w:rsidRDefault="003818F8" w:rsidP="003818F8">
      <w:pPr>
        <w:pStyle w:val="ListParagraph"/>
        <w:numPr>
          <w:ilvl w:val="0"/>
          <w:numId w:val="9"/>
        </w:numPr>
        <w:spacing w:after="160" w:line="259" w:lineRule="auto"/>
        <w:rPr>
          <w:b/>
        </w:rPr>
      </w:pPr>
      <w:r w:rsidRPr="00074597">
        <w:rPr>
          <w:b/>
        </w:rPr>
        <w:t>Additional general skills</w:t>
      </w:r>
    </w:p>
    <w:p w14:paraId="0DE0EAFF" w14:textId="77777777" w:rsidR="003818F8" w:rsidRPr="00074597" w:rsidRDefault="003818F8" w:rsidP="003818F8">
      <w:pPr>
        <w:rPr>
          <w:szCs w:val="24"/>
        </w:rPr>
      </w:pPr>
      <w:r w:rsidRPr="00074597">
        <w:rPr>
          <w:szCs w:val="24"/>
        </w:rPr>
        <w:t xml:space="preserve">Graduates must have developed transferable skills, additional to those set out in the other learning </w:t>
      </w:r>
      <w:proofErr w:type="gramStart"/>
      <w:r w:rsidRPr="00074597">
        <w:rPr>
          <w:szCs w:val="24"/>
        </w:rPr>
        <w:t>outcomes, that will be of value in a wide range of situations,</w:t>
      </w:r>
      <w:proofErr w:type="gramEnd"/>
      <w:r w:rsidRPr="00074597">
        <w:rPr>
          <w:szCs w:val="24"/>
        </w:rPr>
        <w:t xml:space="preserve"> including the ability to:</w:t>
      </w:r>
    </w:p>
    <w:p w14:paraId="08A3F22F" w14:textId="77777777" w:rsidR="003818F8" w:rsidRPr="00074597" w:rsidRDefault="003818F8" w:rsidP="003818F8">
      <w:pPr>
        <w:pStyle w:val="ListParagraph"/>
        <w:numPr>
          <w:ilvl w:val="1"/>
          <w:numId w:val="9"/>
        </w:numPr>
        <w:spacing w:after="160" w:line="259" w:lineRule="auto"/>
        <w:ind w:left="1134" w:hanging="774"/>
      </w:pPr>
      <w:r w:rsidRPr="00074597">
        <w:t>Apply their skills in problem solving, communication, information retrieval, working with others, and the effective use of general IT facilities</w:t>
      </w:r>
    </w:p>
    <w:p w14:paraId="148EBBBC" w14:textId="77777777" w:rsidR="003818F8" w:rsidRPr="00074597" w:rsidRDefault="003818F8" w:rsidP="003818F8">
      <w:pPr>
        <w:pStyle w:val="ListParagraph"/>
        <w:numPr>
          <w:ilvl w:val="1"/>
          <w:numId w:val="9"/>
        </w:numPr>
        <w:spacing w:after="160" w:line="259" w:lineRule="auto"/>
        <w:ind w:left="1134" w:hanging="774"/>
      </w:pPr>
      <w:r w:rsidRPr="00074597">
        <w:t>Plan self-learning and improve performance, as the foundation for lifelong learning/CPD</w:t>
      </w:r>
    </w:p>
    <w:p w14:paraId="42C4D9CA" w14:textId="77777777" w:rsidR="003818F8" w:rsidRPr="00074597" w:rsidRDefault="003818F8" w:rsidP="003818F8">
      <w:pPr>
        <w:pStyle w:val="ListParagraph"/>
        <w:numPr>
          <w:ilvl w:val="1"/>
          <w:numId w:val="9"/>
        </w:numPr>
        <w:spacing w:after="160" w:line="259" w:lineRule="auto"/>
        <w:ind w:left="1134" w:hanging="774"/>
      </w:pPr>
      <w:r w:rsidRPr="00074597">
        <w:t>Monitor and adjust a personal programme of work on an on-going basis</w:t>
      </w:r>
    </w:p>
    <w:p w14:paraId="14E3E098" w14:textId="77777777" w:rsidR="003818F8" w:rsidRPr="00074597" w:rsidRDefault="003818F8" w:rsidP="003818F8">
      <w:pPr>
        <w:pStyle w:val="ListParagraph"/>
        <w:numPr>
          <w:ilvl w:val="1"/>
          <w:numId w:val="9"/>
        </w:numPr>
        <w:spacing w:after="160" w:line="259" w:lineRule="auto"/>
        <w:ind w:left="1134" w:hanging="774"/>
      </w:pPr>
      <w:r w:rsidRPr="00074597">
        <w:t>Exercise initiative and personal responsibility, which may be as a team memberor leader.</w:t>
      </w:r>
    </w:p>
    <w:p w14:paraId="351E9401" w14:textId="77777777" w:rsidR="003818F8" w:rsidRDefault="003818F8">
      <w:pPr>
        <w:spacing w:after="160" w:line="259" w:lineRule="auto"/>
      </w:pPr>
    </w:p>
    <w:p w14:paraId="78BEF62E" w14:textId="77777777" w:rsidR="000A1FA2" w:rsidRDefault="000A1FA2">
      <w:pPr>
        <w:spacing w:after="160" w:line="259" w:lineRule="auto"/>
        <w:sectPr w:rsidR="000A1FA2" w:rsidSect="00D558B9">
          <w:pgSz w:w="11906" w:h="16838"/>
          <w:pgMar w:top="1440" w:right="1440" w:bottom="1440" w:left="1440" w:header="708" w:footer="708" w:gutter="0"/>
          <w:lnNumType w:countBy="1" w:restart="continuous"/>
          <w:cols w:space="708"/>
          <w:docGrid w:linePitch="360"/>
        </w:sectPr>
      </w:pPr>
    </w:p>
    <w:p w14:paraId="3A9A1DB1" w14:textId="77777777" w:rsidR="00BF0835" w:rsidRDefault="00CA4FD8" w:rsidP="00CA4FD8">
      <w:pPr>
        <w:pStyle w:val="Heading2"/>
      </w:pPr>
      <w:r>
        <w:lastRenderedPageBreak/>
        <w:t>TABLES</w:t>
      </w:r>
    </w:p>
    <w:p w14:paraId="4571DEF3" w14:textId="77777777" w:rsidR="00CA4FD8" w:rsidRDefault="00CA4FD8" w:rsidP="00CA4FD8">
      <w:r>
        <w:t>Table 1: Student Outcomes, ABET and EC</w:t>
      </w:r>
    </w:p>
    <w:p w14:paraId="3C82ED57" w14:textId="77777777" w:rsidR="00CA4FD8" w:rsidRDefault="00FD0CA3" w:rsidP="00FD0CA3">
      <w:r>
        <w:t>TABLE 2: EC Core Subjects</w:t>
      </w:r>
      <w:r w:rsidR="00CA4FD8">
        <w:br w:type="page"/>
      </w:r>
    </w:p>
    <w:tbl>
      <w:tblPr>
        <w:tblStyle w:val="TableGrid"/>
        <w:tblW w:w="9185" w:type="dxa"/>
        <w:jc w:val="center"/>
        <w:tblLayout w:type="fixed"/>
        <w:tblLook w:val="04A0" w:firstRow="1" w:lastRow="0" w:firstColumn="1" w:lastColumn="0" w:noHBand="0" w:noVBand="1"/>
      </w:tblPr>
      <w:tblGrid>
        <w:gridCol w:w="5387"/>
        <w:gridCol w:w="633"/>
        <w:gridCol w:w="633"/>
        <w:gridCol w:w="633"/>
        <w:gridCol w:w="633"/>
        <w:gridCol w:w="633"/>
        <w:gridCol w:w="633"/>
      </w:tblGrid>
      <w:tr w:rsidR="004B1A98" w14:paraId="47AC4DBA" w14:textId="77777777" w:rsidTr="000F27E0">
        <w:trPr>
          <w:cantSplit/>
          <w:trHeight w:val="416"/>
          <w:jc w:val="center"/>
        </w:trPr>
        <w:tc>
          <w:tcPr>
            <w:tcW w:w="9185" w:type="dxa"/>
            <w:gridSpan w:val="7"/>
            <w:tcBorders>
              <w:top w:val="nil"/>
              <w:left w:val="nil"/>
              <w:bottom w:val="single" w:sz="4" w:space="0" w:color="auto"/>
              <w:right w:val="nil"/>
              <w:tl2br w:val="nil"/>
            </w:tcBorders>
            <w:vAlign w:val="center"/>
          </w:tcPr>
          <w:p w14:paraId="05D7ED03" w14:textId="4719334D" w:rsidR="004B1A98" w:rsidRPr="004B1A98" w:rsidRDefault="004B1A98" w:rsidP="00B2027D">
            <w:r>
              <w:lastRenderedPageBreak/>
              <w:t xml:space="preserve">TABLE 1: </w:t>
            </w:r>
            <w:r w:rsidR="00B2027D">
              <w:t xml:space="preserve"> ABET </w:t>
            </w:r>
            <w:r>
              <w:t>Student Outcomes</w:t>
            </w:r>
            <w:r w:rsidR="00B2027D">
              <w:t xml:space="preserve"> a</w:t>
            </w:r>
            <w:r>
              <w:t>nd EC</w:t>
            </w:r>
            <w:r w:rsidR="00B2027D">
              <w:t xml:space="preserve"> Broad Areas of Learning</w:t>
            </w:r>
          </w:p>
        </w:tc>
      </w:tr>
      <w:tr w:rsidR="00CA4FD8" w14:paraId="5B1C5BD2" w14:textId="77777777" w:rsidTr="004B1A98">
        <w:trPr>
          <w:cantSplit/>
          <w:trHeight w:val="3109"/>
          <w:jc w:val="center"/>
        </w:trPr>
        <w:tc>
          <w:tcPr>
            <w:tcW w:w="5387" w:type="dxa"/>
            <w:tcBorders>
              <w:top w:val="single" w:sz="4" w:space="0" w:color="auto"/>
              <w:tl2br w:val="single" w:sz="4" w:space="0" w:color="auto"/>
            </w:tcBorders>
          </w:tcPr>
          <w:p w14:paraId="382EB6E8" w14:textId="77777777" w:rsidR="004B1A98" w:rsidRDefault="004B1A98" w:rsidP="00CA4FD8">
            <w:pPr>
              <w:spacing w:line="240" w:lineRule="auto"/>
            </w:pPr>
          </w:p>
          <w:p w14:paraId="732BB00E" w14:textId="77777777" w:rsidR="000F27E0" w:rsidRDefault="004B1A98" w:rsidP="004B1A98">
            <w:pPr>
              <w:tabs>
                <w:tab w:val="left" w:pos="1995"/>
              </w:tabs>
            </w:pPr>
            <w:r>
              <w:t xml:space="preserve">                    </w:t>
            </w:r>
            <w:r w:rsidR="000F27E0">
              <w:t xml:space="preserve">                             </w:t>
            </w:r>
          </w:p>
          <w:p w14:paraId="6E0DF7C1" w14:textId="14AEC466" w:rsidR="00CA4FD8" w:rsidRDefault="000F27E0" w:rsidP="004B1A98">
            <w:pPr>
              <w:tabs>
                <w:tab w:val="left" w:pos="1995"/>
              </w:tabs>
            </w:pPr>
            <w:r>
              <w:t xml:space="preserve">         </w:t>
            </w:r>
            <w:r w:rsidR="00F824BB">
              <w:t xml:space="preserve">                          </w:t>
            </w:r>
            <w:r w:rsidR="004B1A98">
              <w:t xml:space="preserve">EC </w:t>
            </w:r>
            <w:r w:rsidR="000628AB">
              <w:t>Broad A</w:t>
            </w:r>
            <w:r w:rsidR="00F824BB">
              <w:t xml:space="preserve">reas of </w:t>
            </w:r>
            <w:r w:rsidR="000628AB">
              <w:t>L</w:t>
            </w:r>
            <w:r w:rsidR="00F824BB">
              <w:t>earning</w:t>
            </w:r>
          </w:p>
          <w:p w14:paraId="28E68BE5" w14:textId="77777777" w:rsidR="004B1A98" w:rsidRDefault="004B1A98" w:rsidP="004B1A98">
            <w:pPr>
              <w:tabs>
                <w:tab w:val="left" w:pos="1995"/>
              </w:tabs>
            </w:pPr>
          </w:p>
          <w:p w14:paraId="2F918F82" w14:textId="77777777" w:rsidR="000D3D2C" w:rsidRDefault="000D3D2C" w:rsidP="004B1A98">
            <w:pPr>
              <w:tabs>
                <w:tab w:val="left" w:pos="1995"/>
              </w:tabs>
            </w:pPr>
          </w:p>
          <w:p w14:paraId="7E3B345B" w14:textId="77777777" w:rsidR="004B1A98" w:rsidRPr="004B1A98" w:rsidRDefault="004B1A98" w:rsidP="004B1A98">
            <w:pPr>
              <w:tabs>
                <w:tab w:val="left" w:pos="1995"/>
              </w:tabs>
            </w:pPr>
            <w:r>
              <w:t>ABET Student Outcomes</w:t>
            </w:r>
          </w:p>
        </w:tc>
        <w:tc>
          <w:tcPr>
            <w:tcW w:w="633" w:type="dxa"/>
            <w:tcBorders>
              <w:top w:val="single" w:sz="4" w:space="0" w:color="auto"/>
            </w:tcBorders>
            <w:textDirection w:val="btLr"/>
            <w:vAlign w:val="center"/>
          </w:tcPr>
          <w:p w14:paraId="405487DC" w14:textId="77777777" w:rsidR="00CA4FD8" w:rsidRPr="00CA4FD8" w:rsidRDefault="00CA4FD8" w:rsidP="00CA4FD8">
            <w:pPr>
              <w:spacing w:line="240" w:lineRule="auto"/>
              <w:ind w:left="113" w:right="113"/>
            </w:pPr>
            <w:r>
              <w:t>Science and Mathematics</w:t>
            </w:r>
          </w:p>
        </w:tc>
        <w:tc>
          <w:tcPr>
            <w:tcW w:w="633" w:type="dxa"/>
            <w:tcBorders>
              <w:top w:val="single" w:sz="4" w:space="0" w:color="auto"/>
            </w:tcBorders>
            <w:textDirection w:val="btLr"/>
            <w:vAlign w:val="center"/>
          </w:tcPr>
          <w:p w14:paraId="05ECE60E" w14:textId="77777777" w:rsidR="00CA4FD8" w:rsidRDefault="00CA4FD8" w:rsidP="00CA4FD8">
            <w:pPr>
              <w:spacing w:line="240" w:lineRule="auto"/>
              <w:ind w:left="113" w:right="113"/>
            </w:pPr>
            <w:r>
              <w:t>Engineering Analysis</w:t>
            </w:r>
          </w:p>
        </w:tc>
        <w:tc>
          <w:tcPr>
            <w:tcW w:w="633" w:type="dxa"/>
            <w:tcBorders>
              <w:top w:val="single" w:sz="4" w:space="0" w:color="auto"/>
            </w:tcBorders>
            <w:textDirection w:val="btLr"/>
          </w:tcPr>
          <w:p w14:paraId="6C426679" w14:textId="77777777" w:rsidR="00CA4FD8" w:rsidRDefault="00CA4FD8" w:rsidP="00CA4FD8">
            <w:pPr>
              <w:spacing w:line="240" w:lineRule="auto"/>
              <w:ind w:left="113" w:right="113"/>
            </w:pPr>
            <w:r>
              <w:t>Design</w:t>
            </w:r>
          </w:p>
        </w:tc>
        <w:tc>
          <w:tcPr>
            <w:tcW w:w="633" w:type="dxa"/>
            <w:tcBorders>
              <w:top w:val="single" w:sz="4" w:space="0" w:color="auto"/>
            </w:tcBorders>
            <w:textDirection w:val="btLr"/>
          </w:tcPr>
          <w:p w14:paraId="4A62236C" w14:textId="77777777" w:rsidR="00CA4FD8" w:rsidRDefault="00F824BB" w:rsidP="00CA4FD8">
            <w:pPr>
              <w:spacing w:line="240" w:lineRule="auto"/>
              <w:ind w:left="113" w:right="113"/>
            </w:pPr>
            <w:r>
              <w:t xml:space="preserve">Economic, legal, social, </w:t>
            </w:r>
            <w:r w:rsidRPr="00F824BB">
              <w:t>ethical and environmental context</w:t>
            </w:r>
          </w:p>
        </w:tc>
        <w:tc>
          <w:tcPr>
            <w:tcW w:w="633" w:type="dxa"/>
            <w:tcBorders>
              <w:top w:val="single" w:sz="4" w:space="0" w:color="auto"/>
            </w:tcBorders>
            <w:textDirection w:val="btLr"/>
          </w:tcPr>
          <w:p w14:paraId="31F5BCA1" w14:textId="77777777" w:rsidR="00CA4FD8" w:rsidRDefault="00CA4FD8" w:rsidP="00CA4FD8">
            <w:pPr>
              <w:spacing w:line="240" w:lineRule="auto"/>
              <w:ind w:left="113" w:right="113"/>
            </w:pPr>
            <w:r>
              <w:t>Engineering practice</w:t>
            </w:r>
          </w:p>
        </w:tc>
        <w:tc>
          <w:tcPr>
            <w:tcW w:w="633" w:type="dxa"/>
            <w:tcBorders>
              <w:top w:val="single" w:sz="4" w:space="0" w:color="auto"/>
            </w:tcBorders>
            <w:textDirection w:val="btLr"/>
          </w:tcPr>
          <w:p w14:paraId="3B523086" w14:textId="77777777" w:rsidR="00CA4FD8" w:rsidRDefault="00CA4FD8" w:rsidP="00CA4FD8">
            <w:pPr>
              <w:spacing w:line="240" w:lineRule="auto"/>
              <w:ind w:left="113" w:right="113"/>
            </w:pPr>
            <w:r>
              <w:t>Additional general skills</w:t>
            </w:r>
          </w:p>
        </w:tc>
      </w:tr>
      <w:tr w:rsidR="00CA4FD8" w14:paraId="381B6D8D" w14:textId="77777777" w:rsidTr="004B1A98">
        <w:trPr>
          <w:jc w:val="center"/>
        </w:trPr>
        <w:tc>
          <w:tcPr>
            <w:tcW w:w="5387" w:type="dxa"/>
          </w:tcPr>
          <w:p w14:paraId="69FB6AA4" w14:textId="77777777" w:rsidR="00CA4FD8" w:rsidRDefault="0025043A" w:rsidP="00CA4FD8">
            <w:pPr>
              <w:pStyle w:val="ListParagraph"/>
              <w:numPr>
                <w:ilvl w:val="0"/>
                <w:numId w:val="3"/>
              </w:numPr>
              <w:tabs>
                <w:tab w:val="left" w:pos="313"/>
              </w:tabs>
              <w:spacing w:after="0" w:line="240" w:lineRule="auto"/>
              <w:ind w:left="312" w:hanging="312"/>
            </w:pPr>
            <w:r>
              <w:t>A</w:t>
            </w:r>
            <w:r w:rsidR="00CA4FD8">
              <w:t>n ability to apply knowledge of mathematics, science and engineering</w:t>
            </w:r>
            <w:r>
              <w:t>.</w:t>
            </w:r>
          </w:p>
        </w:tc>
        <w:tc>
          <w:tcPr>
            <w:tcW w:w="633" w:type="dxa"/>
            <w:vAlign w:val="center"/>
          </w:tcPr>
          <w:p w14:paraId="6D37103C" w14:textId="77777777" w:rsidR="00CA4FD8" w:rsidRPr="00717210" w:rsidRDefault="004B1A98" w:rsidP="00717210">
            <w:pPr>
              <w:spacing w:line="240" w:lineRule="auto"/>
              <w:jc w:val="center"/>
              <w:rPr>
                <w:sz w:val="28"/>
                <w:szCs w:val="28"/>
              </w:rPr>
            </w:pPr>
            <w:r w:rsidRPr="00717210">
              <w:rPr>
                <w:sz w:val="28"/>
                <w:szCs w:val="28"/>
              </w:rPr>
              <w:sym w:font="Wingdings" w:char="F0FC"/>
            </w:r>
          </w:p>
        </w:tc>
        <w:tc>
          <w:tcPr>
            <w:tcW w:w="633" w:type="dxa"/>
            <w:vAlign w:val="center"/>
          </w:tcPr>
          <w:p w14:paraId="7476B4E5" w14:textId="77777777" w:rsidR="00CA4FD8" w:rsidRPr="00717210" w:rsidRDefault="0025043A" w:rsidP="00717210">
            <w:pPr>
              <w:spacing w:line="240" w:lineRule="auto"/>
              <w:jc w:val="center"/>
              <w:rPr>
                <w:sz w:val="28"/>
                <w:szCs w:val="28"/>
              </w:rPr>
            </w:pPr>
            <w:r w:rsidRPr="00717210">
              <w:rPr>
                <w:sz w:val="28"/>
                <w:szCs w:val="28"/>
              </w:rPr>
              <w:sym w:font="Wingdings" w:char="F0FC"/>
            </w:r>
          </w:p>
        </w:tc>
        <w:tc>
          <w:tcPr>
            <w:tcW w:w="633" w:type="dxa"/>
            <w:vAlign w:val="center"/>
          </w:tcPr>
          <w:p w14:paraId="0906B300" w14:textId="77777777" w:rsidR="00CA4FD8" w:rsidRPr="00717210" w:rsidRDefault="00CA4FD8" w:rsidP="00717210">
            <w:pPr>
              <w:spacing w:line="240" w:lineRule="auto"/>
              <w:jc w:val="center"/>
              <w:rPr>
                <w:sz w:val="28"/>
                <w:szCs w:val="28"/>
              </w:rPr>
            </w:pPr>
          </w:p>
        </w:tc>
        <w:tc>
          <w:tcPr>
            <w:tcW w:w="633" w:type="dxa"/>
            <w:vAlign w:val="center"/>
          </w:tcPr>
          <w:p w14:paraId="610DB993" w14:textId="77777777" w:rsidR="00CA4FD8" w:rsidRPr="00717210" w:rsidRDefault="00CA4FD8" w:rsidP="00717210">
            <w:pPr>
              <w:spacing w:line="240" w:lineRule="auto"/>
              <w:jc w:val="center"/>
              <w:rPr>
                <w:sz w:val="28"/>
                <w:szCs w:val="28"/>
              </w:rPr>
            </w:pPr>
          </w:p>
        </w:tc>
        <w:tc>
          <w:tcPr>
            <w:tcW w:w="633" w:type="dxa"/>
            <w:vAlign w:val="center"/>
          </w:tcPr>
          <w:p w14:paraId="66952D8B" w14:textId="77777777" w:rsidR="00CA4FD8" w:rsidRPr="00717210" w:rsidRDefault="00CA4FD8" w:rsidP="00717210">
            <w:pPr>
              <w:spacing w:line="240" w:lineRule="auto"/>
              <w:jc w:val="center"/>
              <w:rPr>
                <w:sz w:val="28"/>
                <w:szCs w:val="28"/>
              </w:rPr>
            </w:pPr>
          </w:p>
        </w:tc>
        <w:tc>
          <w:tcPr>
            <w:tcW w:w="633" w:type="dxa"/>
            <w:vAlign w:val="center"/>
          </w:tcPr>
          <w:p w14:paraId="040111FB" w14:textId="77777777" w:rsidR="00CA4FD8" w:rsidRPr="00717210" w:rsidRDefault="00CA4FD8" w:rsidP="00717210">
            <w:pPr>
              <w:spacing w:line="240" w:lineRule="auto"/>
              <w:jc w:val="center"/>
              <w:rPr>
                <w:sz w:val="28"/>
                <w:szCs w:val="28"/>
              </w:rPr>
            </w:pPr>
          </w:p>
        </w:tc>
      </w:tr>
      <w:tr w:rsidR="00CA4FD8" w14:paraId="1A177C2F" w14:textId="77777777" w:rsidTr="004B1A98">
        <w:trPr>
          <w:jc w:val="center"/>
        </w:trPr>
        <w:tc>
          <w:tcPr>
            <w:tcW w:w="5387" w:type="dxa"/>
          </w:tcPr>
          <w:p w14:paraId="0F4689E0" w14:textId="77777777" w:rsidR="00CA4FD8" w:rsidRPr="00CA4FD8" w:rsidRDefault="0025043A" w:rsidP="00CA4FD8">
            <w:pPr>
              <w:pStyle w:val="ListParagraph"/>
              <w:numPr>
                <w:ilvl w:val="0"/>
                <w:numId w:val="3"/>
              </w:numPr>
              <w:tabs>
                <w:tab w:val="left" w:pos="313"/>
              </w:tabs>
              <w:spacing w:after="0" w:line="240" w:lineRule="auto"/>
              <w:ind w:left="312" w:hanging="312"/>
            </w:pPr>
            <w:r>
              <w:t>A</w:t>
            </w:r>
            <w:r w:rsidR="00CA4FD8">
              <w:t>n ability to design and conduct experiments, as well as to analyse and interpret data</w:t>
            </w:r>
            <w:r>
              <w:t>.</w:t>
            </w:r>
          </w:p>
        </w:tc>
        <w:tc>
          <w:tcPr>
            <w:tcW w:w="633" w:type="dxa"/>
            <w:vAlign w:val="center"/>
          </w:tcPr>
          <w:p w14:paraId="20240D13" w14:textId="77777777" w:rsidR="00CA4FD8" w:rsidRPr="00717210" w:rsidRDefault="00CA4FD8" w:rsidP="00717210">
            <w:pPr>
              <w:spacing w:line="240" w:lineRule="auto"/>
              <w:jc w:val="center"/>
              <w:rPr>
                <w:sz w:val="28"/>
                <w:szCs w:val="28"/>
              </w:rPr>
            </w:pPr>
          </w:p>
        </w:tc>
        <w:tc>
          <w:tcPr>
            <w:tcW w:w="633" w:type="dxa"/>
            <w:vAlign w:val="center"/>
          </w:tcPr>
          <w:p w14:paraId="22165C4F" w14:textId="77777777" w:rsidR="00CA4FD8" w:rsidRPr="00717210" w:rsidRDefault="0025043A" w:rsidP="00717210">
            <w:pPr>
              <w:spacing w:line="240" w:lineRule="auto"/>
              <w:jc w:val="center"/>
              <w:rPr>
                <w:sz w:val="28"/>
                <w:szCs w:val="28"/>
              </w:rPr>
            </w:pPr>
            <w:r w:rsidRPr="00717210">
              <w:rPr>
                <w:sz w:val="28"/>
                <w:szCs w:val="28"/>
              </w:rPr>
              <w:sym w:font="Wingdings" w:char="F0FC"/>
            </w:r>
          </w:p>
        </w:tc>
        <w:tc>
          <w:tcPr>
            <w:tcW w:w="633" w:type="dxa"/>
            <w:vAlign w:val="center"/>
          </w:tcPr>
          <w:p w14:paraId="4EE00456" w14:textId="77777777" w:rsidR="00CA4FD8" w:rsidRPr="00717210" w:rsidRDefault="00CA4FD8" w:rsidP="00717210">
            <w:pPr>
              <w:spacing w:line="240" w:lineRule="auto"/>
              <w:jc w:val="center"/>
              <w:rPr>
                <w:sz w:val="28"/>
                <w:szCs w:val="28"/>
              </w:rPr>
            </w:pPr>
          </w:p>
        </w:tc>
        <w:tc>
          <w:tcPr>
            <w:tcW w:w="633" w:type="dxa"/>
            <w:vAlign w:val="center"/>
          </w:tcPr>
          <w:p w14:paraId="03133595" w14:textId="77777777" w:rsidR="00CA4FD8" w:rsidRPr="00717210" w:rsidRDefault="00CA4FD8" w:rsidP="00717210">
            <w:pPr>
              <w:spacing w:line="240" w:lineRule="auto"/>
              <w:jc w:val="center"/>
              <w:rPr>
                <w:sz w:val="28"/>
                <w:szCs w:val="28"/>
              </w:rPr>
            </w:pPr>
          </w:p>
        </w:tc>
        <w:tc>
          <w:tcPr>
            <w:tcW w:w="633" w:type="dxa"/>
            <w:vAlign w:val="center"/>
          </w:tcPr>
          <w:p w14:paraId="12FB3C8B" w14:textId="77777777" w:rsidR="00CA4FD8" w:rsidRPr="00717210" w:rsidRDefault="0025043A" w:rsidP="00717210">
            <w:pPr>
              <w:spacing w:line="240" w:lineRule="auto"/>
              <w:jc w:val="center"/>
              <w:rPr>
                <w:sz w:val="28"/>
                <w:szCs w:val="28"/>
              </w:rPr>
            </w:pPr>
            <w:r w:rsidRPr="00717210">
              <w:rPr>
                <w:sz w:val="28"/>
                <w:szCs w:val="28"/>
              </w:rPr>
              <w:sym w:font="Wingdings" w:char="F0FC"/>
            </w:r>
          </w:p>
        </w:tc>
        <w:tc>
          <w:tcPr>
            <w:tcW w:w="633" w:type="dxa"/>
            <w:vAlign w:val="center"/>
          </w:tcPr>
          <w:p w14:paraId="4B4E68CE" w14:textId="77777777" w:rsidR="00CA4FD8" w:rsidRPr="00717210" w:rsidRDefault="00CA4FD8" w:rsidP="00717210">
            <w:pPr>
              <w:spacing w:line="240" w:lineRule="auto"/>
              <w:jc w:val="center"/>
              <w:rPr>
                <w:sz w:val="28"/>
                <w:szCs w:val="28"/>
              </w:rPr>
            </w:pPr>
          </w:p>
        </w:tc>
      </w:tr>
      <w:tr w:rsidR="00CA4FD8" w14:paraId="0150A124" w14:textId="77777777" w:rsidTr="004B1A98">
        <w:trPr>
          <w:jc w:val="center"/>
        </w:trPr>
        <w:tc>
          <w:tcPr>
            <w:tcW w:w="5387" w:type="dxa"/>
          </w:tcPr>
          <w:p w14:paraId="1203C648" w14:textId="77777777" w:rsidR="00CA4FD8" w:rsidRPr="00CA4FD8" w:rsidRDefault="0025043A" w:rsidP="00CA4FD8">
            <w:pPr>
              <w:pStyle w:val="ListParagraph"/>
              <w:numPr>
                <w:ilvl w:val="0"/>
                <w:numId w:val="3"/>
              </w:numPr>
              <w:tabs>
                <w:tab w:val="left" w:pos="313"/>
              </w:tabs>
              <w:spacing w:after="0" w:line="240" w:lineRule="auto"/>
              <w:ind w:left="312" w:hanging="312"/>
            </w:pPr>
            <w:r>
              <w:t>A</w:t>
            </w:r>
            <w:r w:rsidR="00CA4FD8">
              <w:t>n ability to design a system, component, or process to meet desired needs within realistic constraints….</w:t>
            </w:r>
          </w:p>
        </w:tc>
        <w:tc>
          <w:tcPr>
            <w:tcW w:w="633" w:type="dxa"/>
            <w:vAlign w:val="center"/>
          </w:tcPr>
          <w:p w14:paraId="35DA7C44" w14:textId="77777777" w:rsidR="00CA4FD8" w:rsidRPr="00717210" w:rsidRDefault="00CA4FD8" w:rsidP="00717210">
            <w:pPr>
              <w:spacing w:line="240" w:lineRule="auto"/>
              <w:jc w:val="center"/>
              <w:rPr>
                <w:sz w:val="28"/>
                <w:szCs w:val="28"/>
              </w:rPr>
            </w:pPr>
          </w:p>
        </w:tc>
        <w:tc>
          <w:tcPr>
            <w:tcW w:w="633" w:type="dxa"/>
            <w:vAlign w:val="center"/>
          </w:tcPr>
          <w:p w14:paraId="19DE1AD1" w14:textId="77777777" w:rsidR="00CA4FD8" w:rsidRPr="00717210" w:rsidRDefault="00CA4FD8" w:rsidP="00717210">
            <w:pPr>
              <w:spacing w:line="240" w:lineRule="auto"/>
              <w:jc w:val="center"/>
              <w:rPr>
                <w:sz w:val="28"/>
                <w:szCs w:val="28"/>
              </w:rPr>
            </w:pPr>
          </w:p>
        </w:tc>
        <w:tc>
          <w:tcPr>
            <w:tcW w:w="633" w:type="dxa"/>
            <w:vAlign w:val="center"/>
          </w:tcPr>
          <w:p w14:paraId="78B77CCB" w14:textId="77777777" w:rsidR="00CA4FD8" w:rsidRPr="00717210" w:rsidRDefault="00717210" w:rsidP="00717210">
            <w:pPr>
              <w:spacing w:line="240" w:lineRule="auto"/>
              <w:jc w:val="center"/>
              <w:rPr>
                <w:sz w:val="28"/>
                <w:szCs w:val="28"/>
              </w:rPr>
            </w:pPr>
            <w:r w:rsidRPr="00717210">
              <w:rPr>
                <w:sz w:val="28"/>
                <w:szCs w:val="28"/>
              </w:rPr>
              <w:sym w:font="Wingdings" w:char="F0FC"/>
            </w:r>
          </w:p>
        </w:tc>
        <w:tc>
          <w:tcPr>
            <w:tcW w:w="633" w:type="dxa"/>
            <w:vAlign w:val="center"/>
          </w:tcPr>
          <w:p w14:paraId="323B72C8" w14:textId="77777777" w:rsidR="00CA4FD8" w:rsidRPr="00717210" w:rsidRDefault="00CA4FD8" w:rsidP="00717210">
            <w:pPr>
              <w:spacing w:line="240" w:lineRule="auto"/>
              <w:jc w:val="center"/>
              <w:rPr>
                <w:sz w:val="28"/>
                <w:szCs w:val="28"/>
              </w:rPr>
            </w:pPr>
          </w:p>
        </w:tc>
        <w:tc>
          <w:tcPr>
            <w:tcW w:w="633" w:type="dxa"/>
            <w:vAlign w:val="center"/>
          </w:tcPr>
          <w:p w14:paraId="2DAF2006" w14:textId="77777777" w:rsidR="00CA4FD8" w:rsidRPr="00717210" w:rsidRDefault="0025043A" w:rsidP="00717210">
            <w:pPr>
              <w:spacing w:line="240" w:lineRule="auto"/>
              <w:jc w:val="center"/>
              <w:rPr>
                <w:sz w:val="28"/>
                <w:szCs w:val="28"/>
              </w:rPr>
            </w:pPr>
            <w:r w:rsidRPr="00717210">
              <w:rPr>
                <w:sz w:val="28"/>
                <w:szCs w:val="28"/>
              </w:rPr>
              <w:sym w:font="Wingdings" w:char="F0FC"/>
            </w:r>
          </w:p>
        </w:tc>
        <w:tc>
          <w:tcPr>
            <w:tcW w:w="633" w:type="dxa"/>
            <w:vAlign w:val="center"/>
          </w:tcPr>
          <w:p w14:paraId="326C56F4" w14:textId="77777777" w:rsidR="00CA4FD8" w:rsidRPr="00717210" w:rsidRDefault="00CA4FD8" w:rsidP="00717210">
            <w:pPr>
              <w:spacing w:line="240" w:lineRule="auto"/>
              <w:jc w:val="center"/>
              <w:rPr>
                <w:sz w:val="28"/>
                <w:szCs w:val="28"/>
              </w:rPr>
            </w:pPr>
          </w:p>
        </w:tc>
      </w:tr>
      <w:tr w:rsidR="00CA4FD8" w14:paraId="133F2A7F" w14:textId="77777777" w:rsidTr="004B1A98">
        <w:trPr>
          <w:jc w:val="center"/>
        </w:trPr>
        <w:tc>
          <w:tcPr>
            <w:tcW w:w="5387" w:type="dxa"/>
          </w:tcPr>
          <w:p w14:paraId="0D429508" w14:textId="77777777" w:rsidR="00CA4FD8" w:rsidRDefault="0025043A" w:rsidP="00CA4FD8">
            <w:pPr>
              <w:pStyle w:val="ListParagraph"/>
              <w:numPr>
                <w:ilvl w:val="0"/>
                <w:numId w:val="3"/>
              </w:numPr>
              <w:tabs>
                <w:tab w:val="left" w:pos="313"/>
              </w:tabs>
              <w:spacing w:after="0" w:line="240" w:lineRule="auto"/>
              <w:ind w:left="312" w:hanging="312"/>
            </w:pPr>
            <w:r>
              <w:t>A</w:t>
            </w:r>
            <w:r w:rsidR="00CA4FD8">
              <w:t>n ability to function on multidisciplinary teams</w:t>
            </w:r>
            <w:r>
              <w:t>.</w:t>
            </w:r>
          </w:p>
          <w:p w14:paraId="4E5C1B2A" w14:textId="77777777" w:rsidR="00CA4FD8" w:rsidRPr="00CA4FD8" w:rsidRDefault="00CA4FD8" w:rsidP="00CA4FD8">
            <w:pPr>
              <w:pStyle w:val="ListParagraph"/>
              <w:numPr>
                <w:ilvl w:val="0"/>
                <w:numId w:val="0"/>
              </w:numPr>
              <w:tabs>
                <w:tab w:val="left" w:pos="313"/>
              </w:tabs>
              <w:spacing w:after="0" w:line="240" w:lineRule="auto"/>
              <w:ind w:left="312"/>
            </w:pPr>
          </w:p>
        </w:tc>
        <w:tc>
          <w:tcPr>
            <w:tcW w:w="633" w:type="dxa"/>
            <w:vAlign w:val="center"/>
          </w:tcPr>
          <w:p w14:paraId="3E8AF5A2" w14:textId="77777777" w:rsidR="00CA4FD8" w:rsidRPr="00717210" w:rsidRDefault="00CA4FD8" w:rsidP="00717210">
            <w:pPr>
              <w:spacing w:line="240" w:lineRule="auto"/>
              <w:jc w:val="center"/>
              <w:rPr>
                <w:sz w:val="28"/>
                <w:szCs w:val="28"/>
              </w:rPr>
            </w:pPr>
          </w:p>
        </w:tc>
        <w:tc>
          <w:tcPr>
            <w:tcW w:w="633" w:type="dxa"/>
            <w:vAlign w:val="center"/>
          </w:tcPr>
          <w:p w14:paraId="73FE2210" w14:textId="77777777" w:rsidR="00CA4FD8" w:rsidRPr="00717210" w:rsidRDefault="00CA4FD8" w:rsidP="00717210">
            <w:pPr>
              <w:spacing w:line="240" w:lineRule="auto"/>
              <w:jc w:val="center"/>
              <w:rPr>
                <w:sz w:val="28"/>
                <w:szCs w:val="28"/>
              </w:rPr>
            </w:pPr>
          </w:p>
        </w:tc>
        <w:tc>
          <w:tcPr>
            <w:tcW w:w="633" w:type="dxa"/>
            <w:vAlign w:val="center"/>
          </w:tcPr>
          <w:p w14:paraId="776DB453" w14:textId="77777777" w:rsidR="00CA4FD8" w:rsidRPr="00717210" w:rsidRDefault="00CA4FD8" w:rsidP="00717210">
            <w:pPr>
              <w:spacing w:line="240" w:lineRule="auto"/>
              <w:jc w:val="center"/>
              <w:rPr>
                <w:sz w:val="28"/>
                <w:szCs w:val="28"/>
              </w:rPr>
            </w:pPr>
          </w:p>
        </w:tc>
        <w:tc>
          <w:tcPr>
            <w:tcW w:w="633" w:type="dxa"/>
            <w:vAlign w:val="center"/>
          </w:tcPr>
          <w:p w14:paraId="46ABBF60" w14:textId="77777777" w:rsidR="00CA4FD8" w:rsidRPr="00717210" w:rsidRDefault="00CA4FD8" w:rsidP="00717210">
            <w:pPr>
              <w:spacing w:line="240" w:lineRule="auto"/>
              <w:jc w:val="center"/>
              <w:rPr>
                <w:sz w:val="28"/>
                <w:szCs w:val="28"/>
              </w:rPr>
            </w:pPr>
          </w:p>
        </w:tc>
        <w:tc>
          <w:tcPr>
            <w:tcW w:w="633" w:type="dxa"/>
            <w:vAlign w:val="center"/>
          </w:tcPr>
          <w:p w14:paraId="45D99D04" w14:textId="77777777" w:rsidR="00CA4FD8" w:rsidRPr="00717210" w:rsidRDefault="0025043A" w:rsidP="00717210">
            <w:pPr>
              <w:spacing w:line="240" w:lineRule="auto"/>
              <w:jc w:val="center"/>
              <w:rPr>
                <w:sz w:val="28"/>
                <w:szCs w:val="28"/>
              </w:rPr>
            </w:pPr>
            <w:r w:rsidRPr="00717210">
              <w:rPr>
                <w:sz w:val="28"/>
                <w:szCs w:val="28"/>
              </w:rPr>
              <w:sym w:font="Wingdings" w:char="F0FC"/>
            </w:r>
          </w:p>
        </w:tc>
        <w:tc>
          <w:tcPr>
            <w:tcW w:w="633" w:type="dxa"/>
            <w:vAlign w:val="center"/>
          </w:tcPr>
          <w:p w14:paraId="486985CF" w14:textId="77777777" w:rsidR="00CA4FD8" w:rsidRPr="00717210" w:rsidRDefault="00717210" w:rsidP="00717210">
            <w:pPr>
              <w:spacing w:line="240" w:lineRule="auto"/>
              <w:jc w:val="center"/>
              <w:rPr>
                <w:sz w:val="28"/>
                <w:szCs w:val="28"/>
              </w:rPr>
            </w:pPr>
            <w:r w:rsidRPr="00717210">
              <w:rPr>
                <w:sz w:val="28"/>
                <w:szCs w:val="28"/>
              </w:rPr>
              <w:sym w:font="Wingdings" w:char="F0FC"/>
            </w:r>
          </w:p>
        </w:tc>
      </w:tr>
      <w:tr w:rsidR="00717210" w14:paraId="00564096" w14:textId="77777777" w:rsidTr="004B1A98">
        <w:trPr>
          <w:jc w:val="center"/>
        </w:trPr>
        <w:tc>
          <w:tcPr>
            <w:tcW w:w="5387" w:type="dxa"/>
          </w:tcPr>
          <w:p w14:paraId="794E0ADF" w14:textId="77777777" w:rsidR="00717210" w:rsidRPr="00CA4FD8" w:rsidRDefault="0025043A" w:rsidP="00717210">
            <w:pPr>
              <w:pStyle w:val="ListParagraph"/>
              <w:numPr>
                <w:ilvl w:val="0"/>
                <w:numId w:val="3"/>
              </w:numPr>
              <w:tabs>
                <w:tab w:val="left" w:pos="313"/>
              </w:tabs>
              <w:spacing w:after="0" w:line="240" w:lineRule="auto"/>
              <w:ind w:left="312" w:hanging="312"/>
            </w:pPr>
            <w:r>
              <w:t>A</w:t>
            </w:r>
            <w:r w:rsidR="00717210">
              <w:t>n ability to identify, formulate and solve engineering problems</w:t>
            </w:r>
            <w:r>
              <w:t>.</w:t>
            </w:r>
          </w:p>
        </w:tc>
        <w:tc>
          <w:tcPr>
            <w:tcW w:w="633" w:type="dxa"/>
            <w:vAlign w:val="center"/>
          </w:tcPr>
          <w:p w14:paraId="42040AD1" w14:textId="77777777" w:rsidR="00717210" w:rsidRPr="00717210" w:rsidRDefault="00717210" w:rsidP="00717210">
            <w:pPr>
              <w:spacing w:line="240" w:lineRule="auto"/>
              <w:jc w:val="center"/>
              <w:rPr>
                <w:sz w:val="28"/>
                <w:szCs w:val="28"/>
              </w:rPr>
            </w:pPr>
          </w:p>
        </w:tc>
        <w:tc>
          <w:tcPr>
            <w:tcW w:w="633" w:type="dxa"/>
            <w:vAlign w:val="center"/>
          </w:tcPr>
          <w:p w14:paraId="301FCCDE" w14:textId="77777777" w:rsidR="00717210" w:rsidRPr="00717210" w:rsidRDefault="0025043A" w:rsidP="00717210">
            <w:pPr>
              <w:spacing w:line="240" w:lineRule="auto"/>
              <w:jc w:val="center"/>
              <w:rPr>
                <w:sz w:val="28"/>
                <w:szCs w:val="28"/>
              </w:rPr>
            </w:pPr>
            <w:r w:rsidRPr="00717210">
              <w:rPr>
                <w:sz w:val="28"/>
                <w:szCs w:val="28"/>
              </w:rPr>
              <w:sym w:font="Wingdings" w:char="F0FC"/>
            </w:r>
          </w:p>
        </w:tc>
        <w:tc>
          <w:tcPr>
            <w:tcW w:w="633" w:type="dxa"/>
            <w:vAlign w:val="center"/>
          </w:tcPr>
          <w:p w14:paraId="4F032B6D" w14:textId="77777777" w:rsidR="00717210" w:rsidRPr="00717210" w:rsidRDefault="0025043A" w:rsidP="00717210">
            <w:pPr>
              <w:spacing w:line="240" w:lineRule="auto"/>
              <w:jc w:val="center"/>
              <w:rPr>
                <w:sz w:val="28"/>
                <w:szCs w:val="28"/>
              </w:rPr>
            </w:pPr>
            <w:r w:rsidRPr="00717210">
              <w:rPr>
                <w:sz w:val="28"/>
                <w:szCs w:val="28"/>
              </w:rPr>
              <w:sym w:font="Wingdings" w:char="F0FC"/>
            </w:r>
          </w:p>
        </w:tc>
        <w:tc>
          <w:tcPr>
            <w:tcW w:w="633" w:type="dxa"/>
            <w:vAlign w:val="center"/>
          </w:tcPr>
          <w:p w14:paraId="47A5D914" w14:textId="77777777" w:rsidR="00717210" w:rsidRPr="00717210" w:rsidRDefault="00717210" w:rsidP="00717210">
            <w:pPr>
              <w:spacing w:line="240" w:lineRule="auto"/>
              <w:jc w:val="center"/>
              <w:rPr>
                <w:sz w:val="28"/>
                <w:szCs w:val="28"/>
              </w:rPr>
            </w:pPr>
          </w:p>
        </w:tc>
        <w:tc>
          <w:tcPr>
            <w:tcW w:w="633" w:type="dxa"/>
            <w:vAlign w:val="center"/>
          </w:tcPr>
          <w:p w14:paraId="40859DFF" w14:textId="77777777" w:rsidR="00717210" w:rsidRPr="00717210" w:rsidRDefault="00717210" w:rsidP="00717210">
            <w:pPr>
              <w:spacing w:line="240" w:lineRule="auto"/>
              <w:jc w:val="center"/>
              <w:rPr>
                <w:sz w:val="28"/>
                <w:szCs w:val="28"/>
              </w:rPr>
            </w:pPr>
          </w:p>
        </w:tc>
        <w:tc>
          <w:tcPr>
            <w:tcW w:w="633" w:type="dxa"/>
            <w:vAlign w:val="center"/>
          </w:tcPr>
          <w:p w14:paraId="610B0F49" w14:textId="77777777" w:rsidR="00717210" w:rsidRPr="00717210" w:rsidRDefault="00717210" w:rsidP="00717210">
            <w:pPr>
              <w:spacing w:line="240" w:lineRule="auto"/>
              <w:jc w:val="center"/>
              <w:rPr>
                <w:sz w:val="28"/>
                <w:szCs w:val="28"/>
              </w:rPr>
            </w:pPr>
          </w:p>
        </w:tc>
      </w:tr>
      <w:tr w:rsidR="00717210" w14:paraId="79CCA97F" w14:textId="77777777" w:rsidTr="004B1A98">
        <w:trPr>
          <w:jc w:val="center"/>
        </w:trPr>
        <w:tc>
          <w:tcPr>
            <w:tcW w:w="5387" w:type="dxa"/>
          </w:tcPr>
          <w:p w14:paraId="07F85E89" w14:textId="77777777" w:rsidR="00717210" w:rsidRPr="00CA4FD8" w:rsidRDefault="0025043A" w:rsidP="00717210">
            <w:pPr>
              <w:pStyle w:val="ListParagraph"/>
              <w:numPr>
                <w:ilvl w:val="0"/>
                <w:numId w:val="3"/>
              </w:numPr>
              <w:tabs>
                <w:tab w:val="left" w:pos="313"/>
              </w:tabs>
              <w:spacing w:after="0" w:line="240" w:lineRule="auto"/>
              <w:ind w:left="312" w:hanging="312"/>
            </w:pPr>
            <w:r>
              <w:t>A</w:t>
            </w:r>
            <w:r w:rsidR="00717210">
              <w:t>n understanding of professional and ethical responsibility</w:t>
            </w:r>
            <w:r>
              <w:t>.</w:t>
            </w:r>
          </w:p>
        </w:tc>
        <w:tc>
          <w:tcPr>
            <w:tcW w:w="633" w:type="dxa"/>
            <w:vAlign w:val="center"/>
          </w:tcPr>
          <w:p w14:paraId="5E4F6F68" w14:textId="77777777" w:rsidR="00717210" w:rsidRPr="00717210" w:rsidRDefault="00717210" w:rsidP="00717210">
            <w:pPr>
              <w:spacing w:line="240" w:lineRule="auto"/>
              <w:jc w:val="center"/>
              <w:rPr>
                <w:sz w:val="28"/>
                <w:szCs w:val="28"/>
              </w:rPr>
            </w:pPr>
          </w:p>
        </w:tc>
        <w:tc>
          <w:tcPr>
            <w:tcW w:w="633" w:type="dxa"/>
            <w:vAlign w:val="center"/>
          </w:tcPr>
          <w:p w14:paraId="2871D57F" w14:textId="77777777" w:rsidR="00717210" w:rsidRPr="00717210" w:rsidRDefault="00717210" w:rsidP="00717210">
            <w:pPr>
              <w:spacing w:line="240" w:lineRule="auto"/>
              <w:jc w:val="center"/>
              <w:rPr>
                <w:sz w:val="28"/>
                <w:szCs w:val="28"/>
              </w:rPr>
            </w:pPr>
          </w:p>
        </w:tc>
        <w:tc>
          <w:tcPr>
            <w:tcW w:w="633" w:type="dxa"/>
            <w:vAlign w:val="center"/>
          </w:tcPr>
          <w:p w14:paraId="321822D5" w14:textId="77777777" w:rsidR="00717210" w:rsidRPr="00717210" w:rsidRDefault="00717210" w:rsidP="00717210">
            <w:pPr>
              <w:spacing w:line="240" w:lineRule="auto"/>
              <w:jc w:val="center"/>
              <w:rPr>
                <w:sz w:val="28"/>
                <w:szCs w:val="28"/>
              </w:rPr>
            </w:pPr>
          </w:p>
        </w:tc>
        <w:tc>
          <w:tcPr>
            <w:tcW w:w="633" w:type="dxa"/>
            <w:vAlign w:val="center"/>
          </w:tcPr>
          <w:p w14:paraId="62FD19F9" w14:textId="77777777" w:rsidR="00717210" w:rsidRPr="00717210" w:rsidRDefault="00717210" w:rsidP="00717210">
            <w:pPr>
              <w:spacing w:line="240" w:lineRule="auto"/>
              <w:jc w:val="center"/>
              <w:rPr>
                <w:sz w:val="28"/>
                <w:szCs w:val="28"/>
              </w:rPr>
            </w:pPr>
            <w:r w:rsidRPr="00717210">
              <w:rPr>
                <w:sz w:val="28"/>
                <w:szCs w:val="28"/>
              </w:rPr>
              <w:sym w:font="Wingdings" w:char="F0FC"/>
            </w:r>
          </w:p>
        </w:tc>
        <w:tc>
          <w:tcPr>
            <w:tcW w:w="633" w:type="dxa"/>
            <w:vAlign w:val="center"/>
          </w:tcPr>
          <w:p w14:paraId="22DA4212" w14:textId="77777777" w:rsidR="00717210" w:rsidRPr="00717210" w:rsidRDefault="00717210" w:rsidP="00717210">
            <w:pPr>
              <w:spacing w:line="240" w:lineRule="auto"/>
              <w:jc w:val="center"/>
              <w:rPr>
                <w:sz w:val="28"/>
                <w:szCs w:val="28"/>
              </w:rPr>
            </w:pPr>
          </w:p>
        </w:tc>
        <w:tc>
          <w:tcPr>
            <w:tcW w:w="633" w:type="dxa"/>
            <w:vAlign w:val="center"/>
          </w:tcPr>
          <w:p w14:paraId="2A25737F" w14:textId="77777777" w:rsidR="00717210" w:rsidRPr="00717210" w:rsidRDefault="00717210" w:rsidP="00717210">
            <w:pPr>
              <w:spacing w:line="240" w:lineRule="auto"/>
              <w:jc w:val="center"/>
              <w:rPr>
                <w:sz w:val="28"/>
                <w:szCs w:val="28"/>
              </w:rPr>
            </w:pPr>
            <w:r w:rsidRPr="00717210">
              <w:rPr>
                <w:sz w:val="28"/>
                <w:szCs w:val="28"/>
              </w:rPr>
              <w:sym w:font="Wingdings" w:char="F0FC"/>
            </w:r>
          </w:p>
        </w:tc>
      </w:tr>
      <w:tr w:rsidR="00717210" w14:paraId="19B18B00" w14:textId="77777777" w:rsidTr="004B1A98">
        <w:trPr>
          <w:jc w:val="center"/>
        </w:trPr>
        <w:tc>
          <w:tcPr>
            <w:tcW w:w="5387" w:type="dxa"/>
          </w:tcPr>
          <w:p w14:paraId="3B8F6F96" w14:textId="77777777" w:rsidR="00717210" w:rsidRDefault="0025043A" w:rsidP="00717210">
            <w:pPr>
              <w:pStyle w:val="ListParagraph"/>
              <w:numPr>
                <w:ilvl w:val="0"/>
                <w:numId w:val="3"/>
              </w:numPr>
              <w:tabs>
                <w:tab w:val="left" w:pos="313"/>
              </w:tabs>
              <w:spacing w:after="0" w:line="240" w:lineRule="auto"/>
              <w:ind w:left="312" w:hanging="312"/>
            </w:pPr>
            <w:r>
              <w:t>A</w:t>
            </w:r>
            <w:r w:rsidR="00717210">
              <w:t>n ability to communicate effectively</w:t>
            </w:r>
            <w:r>
              <w:t>.</w:t>
            </w:r>
          </w:p>
          <w:p w14:paraId="08B8B07A" w14:textId="77777777" w:rsidR="00717210" w:rsidRPr="00CA4FD8" w:rsidRDefault="00717210" w:rsidP="00717210">
            <w:pPr>
              <w:pStyle w:val="ListParagraph"/>
              <w:numPr>
                <w:ilvl w:val="0"/>
                <w:numId w:val="0"/>
              </w:numPr>
              <w:tabs>
                <w:tab w:val="left" w:pos="313"/>
              </w:tabs>
              <w:spacing w:after="0" w:line="240" w:lineRule="auto"/>
              <w:ind w:left="312"/>
            </w:pPr>
          </w:p>
        </w:tc>
        <w:tc>
          <w:tcPr>
            <w:tcW w:w="633" w:type="dxa"/>
            <w:vAlign w:val="center"/>
          </w:tcPr>
          <w:p w14:paraId="3056E9C6" w14:textId="77777777" w:rsidR="00717210" w:rsidRPr="00717210" w:rsidRDefault="00717210" w:rsidP="00717210">
            <w:pPr>
              <w:spacing w:line="240" w:lineRule="auto"/>
              <w:jc w:val="center"/>
              <w:rPr>
                <w:sz w:val="28"/>
                <w:szCs w:val="28"/>
              </w:rPr>
            </w:pPr>
          </w:p>
        </w:tc>
        <w:tc>
          <w:tcPr>
            <w:tcW w:w="633" w:type="dxa"/>
            <w:vAlign w:val="center"/>
          </w:tcPr>
          <w:p w14:paraId="11532647" w14:textId="77777777" w:rsidR="00717210" w:rsidRPr="00717210" w:rsidRDefault="00717210" w:rsidP="00717210">
            <w:pPr>
              <w:spacing w:line="240" w:lineRule="auto"/>
              <w:jc w:val="center"/>
              <w:rPr>
                <w:sz w:val="28"/>
                <w:szCs w:val="28"/>
              </w:rPr>
            </w:pPr>
          </w:p>
        </w:tc>
        <w:tc>
          <w:tcPr>
            <w:tcW w:w="633" w:type="dxa"/>
            <w:vAlign w:val="center"/>
          </w:tcPr>
          <w:p w14:paraId="3DF02100" w14:textId="77777777" w:rsidR="00717210" w:rsidRPr="00717210" w:rsidRDefault="0025043A" w:rsidP="00717210">
            <w:pPr>
              <w:spacing w:line="240" w:lineRule="auto"/>
              <w:jc w:val="center"/>
              <w:rPr>
                <w:sz w:val="28"/>
                <w:szCs w:val="28"/>
              </w:rPr>
            </w:pPr>
            <w:r w:rsidRPr="00717210">
              <w:rPr>
                <w:sz w:val="28"/>
                <w:szCs w:val="28"/>
              </w:rPr>
              <w:sym w:font="Wingdings" w:char="F0FC"/>
            </w:r>
          </w:p>
        </w:tc>
        <w:tc>
          <w:tcPr>
            <w:tcW w:w="633" w:type="dxa"/>
            <w:vAlign w:val="center"/>
          </w:tcPr>
          <w:p w14:paraId="402EC11C" w14:textId="77777777" w:rsidR="00717210" w:rsidRPr="00717210" w:rsidRDefault="00717210" w:rsidP="00717210">
            <w:pPr>
              <w:spacing w:line="240" w:lineRule="auto"/>
              <w:jc w:val="center"/>
              <w:rPr>
                <w:sz w:val="28"/>
                <w:szCs w:val="28"/>
              </w:rPr>
            </w:pPr>
          </w:p>
        </w:tc>
        <w:tc>
          <w:tcPr>
            <w:tcW w:w="633" w:type="dxa"/>
            <w:vAlign w:val="center"/>
          </w:tcPr>
          <w:p w14:paraId="5CB32D48" w14:textId="77777777" w:rsidR="00717210" w:rsidRPr="00717210" w:rsidRDefault="00717210" w:rsidP="00717210">
            <w:pPr>
              <w:spacing w:line="240" w:lineRule="auto"/>
              <w:jc w:val="center"/>
              <w:rPr>
                <w:sz w:val="28"/>
                <w:szCs w:val="28"/>
              </w:rPr>
            </w:pPr>
          </w:p>
        </w:tc>
        <w:tc>
          <w:tcPr>
            <w:tcW w:w="633" w:type="dxa"/>
            <w:vAlign w:val="center"/>
          </w:tcPr>
          <w:p w14:paraId="60DD0263" w14:textId="77777777" w:rsidR="00717210" w:rsidRPr="00717210" w:rsidRDefault="00717210" w:rsidP="00717210">
            <w:pPr>
              <w:spacing w:line="240" w:lineRule="auto"/>
              <w:jc w:val="center"/>
              <w:rPr>
                <w:sz w:val="28"/>
                <w:szCs w:val="28"/>
              </w:rPr>
            </w:pPr>
          </w:p>
        </w:tc>
      </w:tr>
      <w:tr w:rsidR="00717210" w14:paraId="69B7A3CB" w14:textId="77777777" w:rsidTr="004B1A98">
        <w:trPr>
          <w:jc w:val="center"/>
        </w:trPr>
        <w:tc>
          <w:tcPr>
            <w:tcW w:w="5387" w:type="dxa"/>
          </w:tcPr>
          <w:p w14:paraId="4B2E3C37" w14:textId="77777777" w:rsidR="00717210" w:rsidRPr="00CA4FD8" w:rsidRDefault="0025043A" w:rsidP="00717210">
            <w:pPr>
              <w:pStyle w:val="ListParagraph"/>
              <w:numPr>
                <w:ilvl w:val="0"/>
                <w:numId w:val="3"/>
              </w:numPr>
              <w:tabs>
                <w:tab w:val="left" w:pos="313"/>
              </w:tabs>
              <w:spacing w:after="0" w:line="240" w:lineRule="auto"/>
              <w:ind w:left="312" w:hanging="312"/>
            </w:pPr>
            <w:r>
              <w:t>T</w:t>
            </w:r>
            <w:r w:rsidR="00717210">
              <w:t xml:space="preserve">he broad education necessary to understand the impact of engineering solutions in a </w:t>
            </w:r>
            <w:proofErr w:type="gramStart"/>
            <w:r w:rsidR="00717210">
              <w:t>global……</w:t>
            </w:r>
            <w:proofErr w:type="gramEnd"/>
          </w:p>
        </w:tc>
        <w:tc>
          <w:tcPr>
            <w:tcW w:w="633" w:type="dxa"/>
            <w:vAlign w:val="center"/>
          </w:tcPr>
          <w:p w14:paraId="47C8F32E" w14:textId="77777777" w:rsidR="00717210" w:rsidRPr="00717210" w:rsidRDefault="00717210" w:rsidP="00717210">
            <w:pPr>
              <w:spacing w:line="240" w:lineRule="auto"/>
              <w:jc w:val="center"/>
              <w:rPr>
                <w:sz w:val="28"/>
                <w:szCs w:val="28"/>
              </w:rPr>
            </w:pPr>
          </w:p>
        </w:tc>
        <w:tc>
          <w:tcPr>
            <w:tcW w:w="633" w:type="dxa"/>
            <w:vAlign w:val="center"/>
          </w:tcPr>
          <w:p w14:paraId="03260674" w14:textId="77777777" w:rsidR="00717210" w:rsidRPr="00717210" w:rsidRDefault="00717210" w:rsidP="00717210">
            <w:pPr>
              <w:spacing w:line="240" w:lineRule="auto"/>
              <w:jc w:val="center"/>
              <w:rPr>
                <w:sz w:val="28"/>
                <w:szCs w:val="28"/>
              </w:rPr>
            </w:pPr>
          </w:p>
        </w:tc>
        <w:tc>
          <w:tcPr>
            <w:tcW w:w="633" w:type="dxa"/>
            <w:vAlign w:val="center"/>
          </w:tcPr>
          <w:p w14:paraId="64D24257" w14:textId="77777777" w:rsidR="00717210" w:rsidRPr="00717210" w:rsidRDefault="00717210" w:rsidP="00717210">
            <w:pPr>
              <w:spacing w:line="240" w:lineRule="auto"/>
              <w:jc w:val="center"/>
              <w:rPr>
                <w:sz w:val="28"/>
                <w:szCs w:val="28"/>
              </w:rPr>
            </w:pPr>
          </w:p>
        </w:tc>
        <w:tc>
          <w:tcPr>
            <w:tcW w:w="633" w:type="dxa"/>
            <w:vAlign w:val="center"/>
          </w:tcPr>
          <w:p w14:paraId="7147F845" w14:textId="77777777" w:rsidR="00717210" w:rsidRPr="00717210" w:rsidRDefault="00717210" w:rsidP="00717210">
            <w:pPr>
              <w:spacing w:line="240" w:lineRule="auto"/>
              <w:jc w:val="center"/>
              <w:rPr>
                <w:sz w:val="28"/>
                <w:szCs w:val="28"/>
              </w:rPr>
            </w:pPr>
          </w:p>
        </w:tc>
        <w:tc>
          <w:tcPr>
            <w:tcW w:w="633" w:type="dxa"/>
            <w:vAlign w:val="center"/>
          </w:tcPr>
          <w:p w14:paraId="710C58CA" w14:textId="77777777" w:rsidR="00717210" w:rsidRPr="00717210" w:rsidRDefault="0025043A" w:rsidP="00717210">
            <w:pPr>
              <w:spacing w:line="240" w:lineRule="auto"/>
              <w:jc w:val="center"/>
              <w:rPr>
                <w:sz w:val="28"/>
                <w:szCs w:val="28"/>
              </w:rPr>
            </w:pPr>
            <w:r w:rsidRPr="00717210">
              <w:rPr>
                <w:sz w:val="28"/>
                <w:szCs w:val="28"/>
              </w:rPr>
              <w:sym w:font="Wingdings" w:char="F0FC"/>
            </w:r>
          </w:p>
        </w:tc>
        <w:tc>
          <w:tcPr>
            <w:tcW w:w="633" w:type="dxa"/>
            <w:vAlign w:val="center"/>
          </w:tcPr>
          <w:p w14:paraId="01B7229D" w14:textId="77777777" w:rsidR="00717210" w:rsidRPr="00717210" w:rsidRDefault="00717210" w:rsidP="00717210">
            <w:pPr>
              <w:spacing w:line="240" w:lineRule="auto"/>
              <w:jc w:val="center"/>
              <w:rPr>
                <w:sz w:val="28"/>
                <w:szCs w:val="28"/>
              </w:rPr>
            </w:pPr>
          </w:p>
        </w:tc>
      </w:tr>
      <w:tr w:rsidR="00717210" w14:paraId="10B33D6C" w14:textId="77777777" w:rsidTr="004B1A98">
        <w:trPr>
          <w:jc w:val="center"/>
        </w:trPr>
        <w:tc>
          <w:tcPr>
            <w:tcW w:w="5387" w:type="dxa"/>
          </w:tcPr>
          <w:p w14:paraId="45139CE2" w14:textId="77777777" w:rsidR="00717210" w:rsidRPr="00CA4FD8" w:rsidRDefault="0025043A" w:rsidP="00717210">
            <w:pPr>
              <w:pStyle w:val="ListParagraph"/>
              <w:numPr>
                <w:ilvl w:val="0"/>
                <w:numId w:val="3"/>
              </w:numPr>
              <w:tabs>
                <w:tab w:val="left" w:pos="313"/>
              </w:tabs>
              <w:spacing w:after="0" w:line="240" w:lineRule="auto"/>
              <w:ind w:left="312" w:hanging="312"/>
            </w:pPr>
            <w:proofErr w:type="gramStart"/>
            <w:r>
              <w:t>A</w:t>
            </w:r>
            <w:r w:rsidR="00717210">
              <w:t xml:space="preserve"> recognition</w:t>
            </w:r>
            <w:proofErr w:type="gramEnd"/>
            <w:r w:rsidR="00717210">
              <w:t xml:space="preserve"> of the need for, and an ability to engage in life-long learning</w:t>
            </w:r>
            <w:r>
              <w:t>.</w:t>
            </w:r>
          </w:p>
        </w:tc>
        <w:tc>
          <w:tcPr>
            <w:tcW w:w="633" w:type="dxa"/>
            <w:vAlign w:val="center"/>
          </w:tcPr>
          <w:p w14:paraId="1C76576E" w14:textId="77777777" w:rsidR="00717210" w:rsidRPr="00717210" w:rsidRDefault="00717210" w:rsidP="00717210">
            <w:pPr>
              <w:spacing w:line="240" w:lineRule="auto"/>
              <w:jc w:val="center"/>
              <w:rPr>
                <w:sz w:val="28"/>
                <w:szCs w:val="28"/>
              </w:rPr>
            </w:pPr>
          </w:p>
        </w:tc>
        <w:tc>
          <w:tcPr>
            <w:tcW w:w="633" w:type="dxa"/>
            <w:vAlign w:val="center"/>
          </w:tcPr>
          <w:p w14:paraId="0304DBD3" w14:textId="77777777" w:rsidR="00717210" w:rsidRPr="00717210" w:rsidRDefault="00717210" w:rsidP="00717210">
            <w:pPr>
              <w:spacing w:line="240" w:lineRule="auto"/>
              <w:jc w:val="center"/>
              <w:rPr>
                <w:sz w:val="28"/>
                <w:szCs w:val="28"/>
              </w:rPr>
            </w:pPr>
          </w:p>
        </w:tc>
        <w:tc>
          <w:tcPr>
            <w:tcW w:w="633" w:type="dxa"/>
            <w:vAlign w:val="center"/>
          </w:tcPr>
          <w:p w14:paraId="6C71DE5A" w14:textId="77777777" w:rsidR="00717210" w:rsidRPr="00717210" w:rsidRDefault="00717210" w:rsidP="00717210">
            <w:pPr>
              <w:spacing w:line="240" w:lineRule="auto"/>
              <w:jc w:val="center"/>
              <w:rPr>
                <w:sz w:val="28"/>
                <w:szCs w:val="28"/>
              </w:rPr>
            </w:pPr>
          </w:p>
        </w:tc>
        <w:tc>
          <w:tcPr>
            <w:tcW w:w="633" w:type="dxa"/>
            <w:vAlign w:val="center"/>
          </w:tcPr>
          <w:p w14:paraId="676C2572" w14:textId="77777777" w:rsidR="00717210" w:rsidRPr="00717210" w:rsidRDefault="00717210" w:rsidP="00717210">
            <w:pPr>
              <w:spacing w:line="240" w:lineRule="auto"/>
              <w:jc w:val="center"/>
              <w:rPr>
                <w:sz w:val="28"/>
                <w:szCs w:val="28"/>
              </w:rPr>
            </w:pPr>
          </w:p>
        </w:tc>
        <w:tc>
          <w:tcPr>
            <w:tcW w:w="633" w:type="dxa"/>
            <w:vAlign w:val="center"/>
          </w:tcPr>
          <w:p w14:paraId="3AE575D5" w14:textId="77777777" w:rsidR="00717210" w:rsidRPr="00717210" w:rsidRDefault="00717210" w:rsidP="00717210">
            <w:pPr>
              <w:spacing w:line="240" w:lineRule="auto"/>
              <w:jc w:val="center"/>
              <w:rPr>
                <w:sz w:val="28"/>
                <w:szCs w:val="28"/>
              </w:rPr>
            </w:pPr>
          </w:p>
        </w:tc>
        <w:tc>
          <w:tcPr>
            <w:tcW w:w="633" w:type="dxa"/>
            <w:vAlign w:val="center"/>
          </w:tcPr>
          <w:p w14:paraId="0FE64A0B" w14:textId="77777777" w:rsidR="00717210" w:rsidRPr="00717210" w:rsidRDefault="00717210" w:rsidP="00717210">
            <w:pPr>
              <w:spacing w:line="240" w:lineRule="auto"/>
              <w:jc w:val="center"/>
              <w:rPr>
                <w:sz w:val="28"/>
                <w:szCs w:val="28"/>
              </w:rPr>
            </w:pPr>
            <w:r w:rsidRPr="00717210">
              <w:rPr>
                <w:sz w:val="28"/>
                <w:szCs w:val="28"/>
              </w:rPr>
              <w:sym w:font="Wingdings" w:char="F0FC"/>
            </w:r>
          </w:p>
        </w:tc>
      </w:tr>
      <w:tr w:rsidR="00717210" w14:paraId="6D7E6502" w14:textId="77777777" w:rsidTr="004B1A98">
        <w:trPr>
          <w:jc w:val="center"/>
        </w:trPr>
        <w:tc>
          <w:tcPr>
            <w:tcW w:w="5387" w:type="dxa"/>
          </w:tcPr>
          <w:p w14:paraId="47481F44" w14:textId="77777777" w:rsidR="00717210" w:rsidRDefault="0025043A" w:rsidP="00717210">
            <w:pPr>
              <w:pStyle w:val="ListParagraph"/>
              <w:numPr>
                <w:ilvl w:val="0"/>
                <w:numId w:val="3"/>
              </w:numPr>
              <w:tabs>
                <w:tab w:val="left" w:pos="313"/>
              </w:tabs>
              <w:spacing w:after="0" w:line="240" w:lineRule="auto"/>
              <w:ind w:left="312" w:hanging="312"/>
            </w:pPr>
            <w:proofErr w:type="gramStart"/>
            <w:r>
              <w:t>A</w:t>
            </w:r>
            <w:r w:rsidR="00717210">
              <w:t xml:space="preserve"> knowledge</w:t>
            </w:r>
            <w:proofErr w:type="gramEnd"/>
            <w:r w:rsidR="00717210">
              <w:t xml:space="preserve"> of contemporary issues</w:t>
            </w:r>
            <w:r>
              <w:t>.</w:t>
            </w:r>
          </w:p>
          <w:p w14:paraId="34E45509" w14:textId="77777777" w:rsidR="00717210" w:rsidRPr="00CA4FD8" w:rsidRDefault="00717210" w:rsidP="00717210">
            <w:pPr>
              <w:pStyle w:val="ListParagraph"/>
              <w:numPr>
                <w:ilvl w:val="0"/>
                <w:numId w:val="0"/>
              </w:numPr>
              <w:tabs>
                <w:tab w:val="left" w:pos="313"/>
              </w:tabs>
              <w:spacing w:after="0" w:line="240" w:lineRule="auto"/>
              <w:ind w:left="312"/>
            </w:pPr>
          </w:p>
        </w:tc>
        <w:tc>
          <w:tcPr>
            <w:tcW w:w="633" w:type="dxa"/>
            <w:vAlign w:val="center"/>
          </w:tcPr>
          <w:p w14:paraId="369F123C" w14:textId="77777777" w:rsidR="00717210" w:rsidRPr="00717210" w:rsidRDefault="00717210" w:rsidP="00717210">
            <w:pPr>
              <w:spacing w:line="240" w:lineRule="auto"/>
              <w:jc w:val="center"/>
              <w:rPr>
                <w:sz w:val="28"/>
                <w:szCs w:val="28"/>
              </w:rPr>
            </w:pPr>
          </w:p>
        </w:tc>
        <w:tc>
          <w:tcPr>
            <w:tcW w:w="633" w:type="dxa"/>
            <w:vAlign w:val="center"/>
          </w:tcPr>
          <w:p w14:paraId="0F8B6B15" w14:textId="77777777" w:rsidR="00717210" w:rsidRPr="00717210" w:rsidRDefault="00717210" w:rsidP="00717210">
            <w:pPr>
              <w:spacing w:line="240" w:lineRule="auto"/>
              <w:jc w:val="center"/>
              <w:rPr>
                <w:sz w:val="28"/>
                <w:szCs w:val="28"/>
              </w:rPr>
            </w:pPr>
          </w:p>
        </w:tc>
        <w:tc>
          <w:tcPr>
            <w:tcW w:w="633" w:type="dxa"/>
            <w:vAlign w:val="center"/>
          </w:tcPr>
          <w:p w14:paraId="7297AB97" w14:textId="77777777" w:rsidR="00717210" w:rsidRPr="00717210" w:rsidRDefault="00717210" w:rsidP="00717210">
            <w:pPr>
              <w:spacing w:line="240" w:lineRule="auto"/>
              <w:jc w:val="center"/>
              <w:rPr>
                <w:sz w:val="28"/>
                <w:szCs w:val="28"/>
              </w:rPr>
            </w:pPr>
          </w:p>
        </w:tc>
        <w:tc>
          <w:tcPr>
            <w:tcW w:w="633" w:type="dxa"/>
            <w:vAlign w:val="center"/>
          </w:tcPr>
          <w:p w14:paraId="3F9EAB14" w14:textId="77777777" w:rsidR="00717210" w:rsidRPr="00717210" w:rsidRDefault="00717210" w:rsidP="00717210">
            <w:pPr>
              <w:spacing w:line="240" w:lineRule="auto"/>
              <w:jc w:val="center"/>
              <w:rPr>
                <w:sz w:val="28"/>
                <w:szCs w:val="28"/>
              </w:rPr>
            </w:pPr>
            <w:r w:rsidRPr="00717210">
              <w:rPr>
                <w:sz w:val="28"/>
                <w:szCs w:val="28"/>
              </w:rPr>
              <w:sym w:font="Wingdings" w:char="F0FC"/>
            </w:r>
          </w:p>
        </w:tc>
        <w:tc>
          <w:tcPr>
            <w:tcW w:w="633" w:type="dxa"/>
            <w:vAlign w:val="center"/>
          </w:tcPr>
          <w:p w14:paraId="4515F568" w14:textId="77777777" w:rsidR="00717210" w:rsidRPr="00717210" w:rsidRDefault="00717210" w:rsidP="00717210">
            <w:pPr>
              <w:spacing w:line="240" w:lineRule="auto"/>
              <w:jc w:val="center"/>
              <w:rPr>
                <w:sz w:val="28"/>
                <w:szCs w:val="28"/>
              </w:rPr>
            </w:pPr>
          </w:p>
        </w:tc>
        <w:tc>
          <w:tcPr>
            <w:tcW w:w="633" w:type="dxa"/>
            <w:vAlign w:val="center"/>
          </w:tcPr>
          <w:p w14:paraId="76747A22" w14:textId="77777777" w:rsidR="00717210" w:rsidRPr="00717210" w:rsidRDefault="00717210" w:rsidP="00717210">
            <w:pPr>
              <w:spacing w:line="240" w:lineRule="auto"/>
              <w:jc w:val="center"/>
              <w:rPr>
                <w:sz w:val="28"/>
                <w:szCs w:val="28"/>
              </w:rPr>
            </w:pPr>
          </w:p>
        </w:tc>
      </w:tr>
      <w:tr w:rsidR="00CA4FD8" w14:paraId="6D1B97C4" w14:textId="77777777" w:rsidTr="004B1A98">
        <w:trPr>
          <w:jc w:val="center"/>
        </w:trPr>
        <w:tc>
          <w:tcPr>
            <w:tcW w:w="5387" w:type="dxa"/>
          </w:tcPr>
          <w:p w14:paraId="24F5E4E8" w14:textId="77777777" w:rsidR="00CA4FD8" w:rsidRDefault="0025043A" w:rsidP="00CA4FD8">
            <w:pPr>
              <w:pStyle w:val="ListParagraph"/>
              <w:numPr>
                <w:ilvl w:val="0"/>
                <w:numId w:val="3"/>
              </w:numPr>
              <w:tabs>
                <w:tab w:val="left" w:pos="313"/>
              </w:tabs>
              <w:spacing w:after="0" w:line="240" w:lineRule="auto"/>
              <w:ind w:left="312" w:hanging="312"/>
            </w:pPr>
            <w:r>
              <w:t>A</w:t>
            </w:r>
            <w:r w:rsidR="00CA4FD8">
              <w:t>n ability to use the techniques, skills, and modern engineering tools necessary for engineering practice.</w:t>
            </w:r>
          </w:p>
        </w:tc>
        <w:tc>
          <w:tcPr>
            <w:tcW w:w="633" w:type="dxa"/>
            <w:vAlign w:val="center"/>
          </w:tcPr>
          <w:p w14:paraId="085B5068" w14:textId="77777777" w:rsidR="00CA4FD8" w:rsidRPr="00717210" w:rsidRDefault="004B1A98" w:rsidP="00717210">
            <w:pPr>
              <w:spacing w:line="240" w:lineRule="auto"/>
              <w:jc w:val="center"/>
              <w:rPr>
                <w:sz w:val="28"/>
                <w:szCs w:val="28"/>
              </w:rPr>
            </w:pPr>
            <w:r w:rsidRPr="00717210">
              <w:rPr>
                <w:sz w:val="28"/>
                <w:szCs w:val="28"/>
              </w:rPr>
              <w:sym w:font="Wingdings" w:char="F0FC"/>
            </w:r>
          </w:p>
        </w:tc>
        <w:tc>
          <w:tcPr>
            <w:tcW w:w="633" w:type="dxa"/>
            <w:vAlign w:val="center"/>
          </w:tcPr>
          <w:p w14:paraId="32285B22" w14:textId="77777777" w:rsidR="00CA4FD8" w:rsidRPr="00717210" w:rsidRDefault="00CA4FD8" w:rsidP="00717210">
            <w:pPr>
              <w:spacing w:line="240" w:lineRule="auto"/>
              <w:jc w:val="center"/>
              <w:rPr>
                <w:sz w:val="28"/>
                <w:szCs w:val="28"/>
              </w:rPr>
            </w:pPr>
          </w:p>
        </w:tc>
        <w:tc>
          <w:tcPr>
            <w:tcW w:w="633" w:type="dxa"/>
            <w:vAlign w:val="center"/>
          </w:tcPr>
          <w:p w14:paraId="513CE76A" w14:textId="77777777" w:rsidR="00CA4FD8" w:rsidRPr="00717210" w:rsidRDefault="00CA4FD8" w:rsidP="00717210">
            <w:pPr>
              <w:spacing w:line="240" w:lineRule="auto"/>
              <w:jc w:val="center"/>
              <w:rPr>
                <w:sz w:val="28"/>
                <w:szCs w:val="28"/>
              </w:rPr>
            </w:pPr>
          </w:p>
        </w:tc>
        <w:tc>
          <w:tcPr>
            <w:tcW w:w="633" w:type="dxa"/>
            <w:vAlign w:val="center"/>
          </w:tcPr>
          <w:p w14:paraId="2886B2F6" w14:textId="77777777" w:rsidR="00CA4FD8" w:rsidRPr="00717210" w:rsidRDefault="00CA4FD8" w:rsidP="00717210">
            <w:pPr>
              <w:spacing w:line="240" w:lineRule="auto"/>
              <w:jc w:val="center"/>
              <w:rPr>
                <w:sz w:val="28"/>
                <w:szCs w:val="28"/>
              </w:rPr>
            </w:pPr>
          </w:p>
        </w:tc>
        <w:tc>
          <w:tcPr>
            <w:tcW w:w="633" w:type="dxa"/>
            <w:vAlign w:val="center"/>
          </w:tcPr>
          <w:p w14:paraId="528C5EF5" w14:textId="77777777" w:rsidR="00CA4FD8" w:rsidRPr="00717210" w:rsidRDefault="00CA4FD8" w:rsidP="00717210">
            <w:pPr>
              <w:spacing w:line="240" w:lineRule="auto"/>
              <w:jc w:val="center"/>
              <w:rPr>
                <w:sz w:val="28"/>
                <w:szCs w:val="28"/>
              </w:rPr>
            </w:pPr>
          </w:p>
        </w:tc>
        <w:tc>
          <w:tcPr>
            <w:tcW w:w="633" w:type="dxa"/>
            <w:vAlign w:val="center"/>
          </w:tcPr>
          <w:p w14:paraId="6E23C3CE" w14:textId="77777777" w:rsidR="00CA4FD8" w:rsidRPr="00717210" w:rsidRDefault="00717210" w:rsidP="00717210">
            <w:pPr>
              <w:spacing w:line="240" w:lineRule="auto"/>
              <w:jc w:val="center"/>
              <w:rPr>
                <w:sz w:val="28"/>
                <w:szCs w:val="28"/>
              </w:rPr>
            </w:pPr>
            <w:r w:rsidRPr="00717210">
              <w:rPr>
                <w:sz w:val="28"/>
                <w:szCs w:val="28"/>
              </w:rPr>
              <w:sym w:font="Wingdings" w:char="F0FC"/>
            </w:r>
          </w:p>
        </w:tc>
      </w:tr>
    </w:tbl>
    <w:p w14:paraId="569A23A0" w14:textId="77777777" w:rsidR="00CA4FD8" w:rsidRDefault="00CA4FD8" w:rsidP="00CA4FD8"/>
    <w:p w14:paraId="7255A0D7" w14:textId="77777777" w:rsidR="0097741A" w:rsidRDefault="0097741A">
      <w:pPr>
        <w:spacing w:after="160" w:line="259" w:lineRule="auto"/>
      </w:pPr>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4253"/>
      </w:tblGrid>
      <w:tr w:rsidR="0097741A" w14:paraId="0C30CC09" w14:textId="77777777" w:rsidTr="002E2683">
        <w:trPr>
          <w:jc w:val="center"/>
        </w:trPr>
        <w:tc>
          <w:tcPr>
            <w:tcW w:w="5245" w:type="dxa"/>
            <w:gridSpan w:val="2"/>
            <w:tcBorders>
              <w:bottom w:val="single" w:sz="4" w:space="0" w:color="auto"/>
            </w:tcBorders>
            <w:vAlign w:val="center"/>
          </w:tcPr>
          <w:p w14:paraId="5A0851A3" w14:textId="77777777" w:rsidR="0097741A" w:rsidRDefault="0097741A" w:rsidP="00016FE9">
            <w:pPr>
              <w:spacing w:line="240" w:lineRule="auto"/>
            </w:pPr>
            <w:r>
              <w:lastRenderedPageBreak/>
              <w:t xml:space="preserve">TABLE 2: </w:t>
            </w:r>
            <w:r w:rsidR="00016FE9">
              <w:t>EC</w:t>
            </w:r>
            <w:r>
              <w:t xml:space="preserve"> Core Subjects</w:t>
            </w:r>
          </w:p>
        </w:tc>
      </w:tr>
      <w:tr w:rsidR="0097741A" w14:paraId="4EB9F0C2" w14:textId="77777777" w:rsidTr="00B06961">
        <w:trPr>
          <w:trHeight w:val="292"/>
          <w:jc w:val="center"/>
        </w:trPr>
        <w:tc>
          <w:tcPr>
            <w:tcW w:w="992" w:type="dxa"/>
            <w:tcBorders>
              <w:top w:val="single" w:sz="4" w:space="0" w:color="auto"/>
              <w:bottom w:val="single" w:sz="4" w:space="0" w:color="auto"/>
              <w:right w:val="single" w:sz="4" w:space="0" w:color="auto"/>
            </w:tcBorders>
          </w:tcPr>
          <w:p w14:paraId="47102560" w14:textId="77777777" w:rsidR="0097741A" w:rsidRDefault="0097741A" w:rsidP="00CA4FD8">
            <w:r>
              <w:t>List</w:t>
            </w:r>
          </w:p>
        </w:tc>
        <w:tc>
          <w:tcPr>
            <w:tcW w:w="4253" w:type="dxa"/>
            <w:tcBorders>
              <w:top w:val="single" w:sz="4" w:space="0" w:color="auto"/>
              <w:left w:val="single" w:sz="4" w:space="0" w:color="auto"/>
              <w:bottom w:val="single" w:sz="4" w:space="0" w:color="auto"/>
            </w:tcBorders>
            <w:vAlign w:val="center"/>
          </w:tcPr>
          <w:p w14:paraId="51769EE1" w14:textId="77777777" w:rsidR="0097741A" w:rsidRDefault="0097741A" w:rsidP="00016FE9">
            <w:pPr>
              <w:spacing w:line="240" w:lineRule="auto"/>
            </w:pPr>
            <w:r>
              <w:t>Core subject</w:t>
            </w:r>
          </w:p>
        </w:tc>
      </w:tr>
      <w:tr w:rsidR="00016FE9" w14:paraId="7C162F09" w14:textId="77777777" w:rsidTr="002E2683">
        <w:trPr>
          <w:jc w:val="center"/>
        </w:trPr>
        <w:tc>
          <w:tcPr>
            <w:tcW w:w="992" w:type="dxa"/>
            <w:vMerge w:val="restart"/>
            <w:tcBorders>
              <w:top w:val="single" w:sz="4" w:space="0" w:color="auto"/>
              <w:right w:val="single" w:sz="4" w:space="0" w:color="auto"/>
            </w:tcBorders>
          </w:tcPr>
          <w:p w14:paraId="4E562635" w14:textId="77777777" w:rsidR="00016FE9" w:rsidRDefault="00016FE9" w:rsidP="00CA4FD8">
            <w:r>
              <w:t>A</w:t>
            </w:r>
          </w:p>
        </w:tc>
        <w:tc>
          <w:tcPr>
            <w:tcW w:w="4253" w:type="dxa"/>
            <w:tcBorders>
              <w:top w:val="single" w:sz="4" w:space="0" w:color="auto"/>
              <w:left w:val="single" w:sz="4" w:space="0" w:color="auto"/>
              <w:bottom w:val="single" w:sz="4" w:space="0" w:color="auto"/>
            </w:tcBorders>
            <w:vAlign w:val="center"/>
          </w:tcPr>
          <w:p w14:paraId="5A049006" w14:textId="77777777" w:rsidR="00016FE9" w:rsidRDefault="00016FE9" w:rsidP="00016FE9">
            <w:pPr>
              <w:spacing w:line="240" w:lineRule="auto"/>
            </w:pPr>
            <w:r>
              <w:t>Structures</w:t>
            </w:r>
          </w:p>
        </w:tc>
      </w:tr>
      <w:tr w:rsidR="00016FE9" w14:paraId="44A827B8" w14:textId="77777777" w:rsidTr="002E2683">
        <w:trPr>
          <w:jc w:val="center"/>
        </w:trPr>
        <w:tc>
          <w:tcPr>
            <w:tcW w:w="992" w:type="dxa"/>
            <w:vMerge/>
            <w:tcBorders>
              <w:right w:val="single" w:sz="4" w:space="0" w:color="auto"/>
            </w:tcBorders>
          </w:tcPr>
          <w:p w14:paraId="7A176BF2" w14:textId="77777777" w:rsidR="00016FE9" w:rsidRDefault="00016FE9" w:rsidP="00CA4FD8"/>
        </w:tc>
        <w:tc>
          <w:tcPr>
            <w:tcW w:w="4253" w:type="dxa"/>
            <w:tcBorders>
              <w:top w:val="single" w:sz="4" w:space="0" w:color="auto"/>
              <w:left w:val="single" w:sz="4" w:space="0" w:color="auto"/>
              <w:bottom w:val="single" w:sz="4" w:space="0" w:color="auto"/>
            </w:tcBorders>
            <w:vAlign w:val="center"/>
          </w:tcPr>
          <w:p w14:paraId="6F951088" w14:textId="77777777" w:rsidR="00016FE9" w:rsidRDefault="00016FE9" w:rsidP="00016FE9">
            <w:pPr>
              <w:spacing w:line="240" w:lineRule="auto"/>
            </w:pPr>
            <w:r>
              <w:t>Materials</w:t>
            </w:r>
          </w:p>
        </w:tc>
      </w:tr>
      <w:tr w:rsidR="00016FE9" w14:paraId="02B922C7" w14:textId="77777777" w:rsidTr="002E2683">
        <w:trPr>
          <w:jc w:val="center"/>
        </w:trPr>
        <w:tc>
          <w:tcPr>
            <w:tcW w:w="992" w:type="dxa"/>
            <w:vMerge/>
            <w:tcBorders>
              <w:bottom w:val="single" w:sz="4" w:space="0" w:color="auto"/>
              <w:right w:val="single" w:sz="4" w:space="0" w:color="auto"/>
            </w:tcBorders>
          </w:tcPr>
          <w:p w14:paraId="0208907E" w14:textId="77777777" w:rsidR="00016FE9" w:rsidRDefault="00016FE9" w:rsidP="00CA4FD8"/>
        </w:tc>
        <w:tc>
          <w:tcPr>
            <w:tcW w:w="4253" w:type="dxa"/>
            <w:tcBorders>
              <w:top w:val="single" w:sz="4" w:space="0" w:color="auto"/>
              <w:left w:val="single" w:sz="4" w:space="0" w:color="auto"/>
              <w:bottom w:val="single" w:sz="4" w:space="0" w:color="auto"/>
            </w:tcBorders>
            <w:vAlign w:val="center"/>
          </w:tcPr>
          <w:p w14:paraId="1D9BF2AA" w14:textId="77777777" w:rsidR="00016FE9" w:rsidRDefault="00016FE9" w:rsidP="00016FE9">
            <w:pPr>
              <w:spacing w:line="240" w:lineRule="auto"/>
            </w:pPr>
            <w:r>
              <w:t>Geotechnics</w:t>
            </w:r>
          </w:p>
        </w:tc>
      </w:tr>
      <w:tr w:rsidR="00016FE9" w14:paraId="2EBEE270" w14:textId="77777777" w:rsidTr="002E2683">
        <w:trPr>
          <w:jc w:val="center"/>
        </w:trPr>
        <w:tc>
          <w:tcPr>
            <w:tcW w:w="992" w:type="dxa"/>
            <w:vMerge w:val="restart"/>
            <w:tcBorders>
              <w:top w:val="single" w:sz="4" w:space="0" w:color="auto"/>
              <w:right w:val="single" w:sz="4" w:space="0" w:color="auto"/>
            </w:tcBorders>
          </w:tcPr>
          <w:p w14:paraId="1377ED8F" w14:textId="77777777" w:rsidR="00016FE9" w:rsidRDefault="00016FE9" w:rsidP="00CA4FD8">
            <w:r>
              <w:t>B</w:t>
            </w:r>
          </w:p>
        </w:tc>
        <w:tc>
          <w:tcPr>
            <w:tcW w:w="4253" w:type="dxa"/>
            <w:tcBorders>
              <w:top w:val="single" w:sz="4" w:space="0" w:color="auto"/>
              <w:left w:val="single" w:sz="4" w:space="0" w:color="auto"/>
              <w:bottom w:val="single" w:sz="4" w:space="0" w:color="auto"/>
            </w:tcBorders>
            <w:vAlign w:val="center"/>
          </w:tcPr>
          <w:p w14:paraId="7AE14271" w14:textId="77777777" w:rsidR="00016FE9" w:rsidRDefault="00016FE9" w:rsidP="00016FE9">
            <w:pPr>
              <w:spacing w:line="240" w:lineRule="auto"/>
            </w:pPr>
            <w:r>
              <w:t>Fluid Mechanics (Hydraulics)</w:t>
            </w:r>
          </w:p>
        </w:tc>
      </w:tr>
      <w:tr w:rsidR="00016FE9" w14:paraId="06950F92" w14:textId="77777777" w:rsidTr="002E2683">
        <w:trPr>
          <w:jc w:val="center"/>
        </w:trPr>
        <w:tc>
          <w:tcPr>
            <w:tcW w:w="992" w:type="dxa"/>
            <w:vMerge/>
            <w:tcBorders>
              <w:right w:val="single" w:sz="4" w:space="0" w:color="auto"/>
            </w:tcBorders>
          </w:tcPr>
          <w:p w14:paraId="6C01A00D" w14:textId="77777777" w:rsidR="00016FE9" w:rsidRDefault="00016FE9" w:rsidP="00CA4FD8"/>
        </w:tc>
        <w:tc>
          <w:tcPr>
            <w:tcW w:w="4253" w:type="dxa"/>
            <w:tcBorders>
              <w:top w:val="single" w:sz="4" w:space="0" w:color="auto"/>
              <w:left w:val="single" w:sz="4" w:space="0" w:color="auto"/>
              <w:bottom w:val="single" w:sz="4" w:space="0" w:color="auto"/>
            </w:tcBorders>
            <w:vAlign w:val="center"/>
          </w:tcPr>
          <w:p w14:paraId="156609DD" w14:textId="77777777" w:rsidR="00016FE9" w:rsidRDefault="00016FE9" w:rsidP="00016FE9">
            <w:pPr>
              <w:spacing w:line="240" w:lineRule="auto"/>
            </w:pPr>
            <w:r>
              <w:t>Surveying (Geomatics and measurement)</w:t>
            </w:r>
          </w:p>
        </w:tc>
      </w:tr>
      <w:tr w:rsidR="00016FE9" w14:paraId="1AF9F1F2" w14:textId="77777777" w:rsidTr="002E2683">
        <w:trPr>
          <w:jc w:val="center"/>
        </w:trPr>
        <w:tc>
          <w:tcPr>
            <w:tcW w:w="992" w:type="dxa"/>
            <w:vMerge/>
            <w:tcBorders>
              <w:right w:val="single" w:sz="4" w:space="0" w:color="auto"/>
            </w:tcBorders>
          </w:tcPr>
          <w:p w14:paraId="1F8314EE" w14:textId="77777777" w:rsidR="00016FE9" w:rsidRDefault="00016FE9" w:rsidP="00CA4FD8"/>
        </w:tc>
        <w:tc>
          <w:tcPr>
            <w:tcW w:w="4253" w:type="dxa"/>
            <w:tcBorders>
              <w:top w:val="single" w:sz="4" w:space="0" w:color="auto"/>
              <w:left w:val="single" w:sz="4" w:space="0" w:color="auto"/>
              <w:bottom w:val="single" w:sz="4" w:space="0" w:color="auto"/>
            </w:tcBorders>
            <w:vAlign w:val="center"/>
          </w:tcPr>
          <w:p w14:paraId="02C6AD7B" w14:textId="77777777" w:rsidR="00016FE9" w:rsidRDefault="00016FE9" w:rsidP="00016FE9">
            <w:pPr>
              <w:spacing w:line="240" w:lineRule="auto"/>
            </w:pPr>
            <w:proofErr w:type="gramStart"/>
            <w:r>
              <w:t>Transport  infrastructure</w:t>
            </w:r>
            <w:proofErr w:type="gramEnd"/>
            <w:r>
              <w:t xml:space="preserve"> engineering</w:t>
            </w:r>
          </w:p>
        </w:tc>
      </w:tr>
      <w:tr w:rsidR="00016FE9" w14:paraId="05DA1AC4" w14:textId="77777777" w:rsidTr="002E2683">
        <w:trPr>
          <w:jc w:val="center"/>
        </w:trPr>
        <w:tc>
          <w:tcPr>
            <w:tcW w:w="992" w:type="dxa"/>
            <w:vMerge/>
            <w:tcBorders>
              <w:right w:val="single" w:sz="4" w:space="0" w:color="auto"/>
            </w:tcBorders>
          </w:tcPr>
          <w:p w14:paraId="01C3957B" w14:textId="77777777" w:rsidR="00016FE9" w:rsidRDefault="00016FE9" w:rsidP="00CA4FD8"/>
        </w:tc>
        <w:tc>
          <w:tcPr>
            <w:tcW w:w="4253" w:type="dxa"/>
            <w:tcBorders>
              <w:top w:val="single" w:sz="4" w:space="0" w:color="auto"/>
              <w:left w:val="single" w:sz="4" w:space="0" w:color="auto"/>
              <w:bottom w:val="single" w:sz="4" w:space="0" w:color="auto"/>
            </w:tcBorders>
            <w:vAlign w:val="center"/>
          </w:tcPr>
          <w:p w14:paraId="474A3B84" w14:textId="77777777" w:rsidR="00016FE9" w:rsidRDefault="00016FE9" w:rsidP="00016FE9">
            <w:pPr>
              <w:spacing w:line="240" w:lineRule="auto"/>
            </w:pPr>
            <w:r>
              <w:t>Public Health</w:t>
            </w:r>
          </w:p>
        </w:tc>
      </w:tr>
      <w:tr w:rsidR="00016FE9" w14:paraId="20F5CEF8" w14:textId="77777777" w:rsidTr="002E2683">
        <w:trPr>
          <w:jc w:val="center"/>
        </w:trPr>
        <w:tc>
          <w:tcPr>
            <w:tcW w:w="992" w:type="dxa"/>
            <w:vMerge/>
            <w:tcBorders>
              <w:right w:val="single" w:sz="4" w:space="0" w:color="auto"/>
            </w:tcBorders>
          </w:tcPr>
          <w:p w14:paraId="1B417339" w14:textId="77777777" w:rsidR="00016FE9" w:rsidRDefault="00016FE9" w:rsidP="00CA4FD8"/>
        </w:tc>
        <w:tc>
          <w:tcPr>
            <w:tcW w:w="4253" w:type="dxa"/>
            <w:tcBorders>
              <w:top w:val="single" w:sz="4" w:space="0" w:color="auto"/>
              <w:left w:val="single" w:sz="4" w:space="0" w:color="auto"/>
              <w:bottom w:val="single" w:sz="4" w:space="0" w:color="auto"/>
            </w:tcBorders>
            <w:vAlign w:val="center"/>
          </w:tcPr>
          <w:p w14:paraId="38EE1704" w14:textId="77777777" w:rsidR="00016FE9" w:rsidRDefault="00016FE9" w:rsidP="00016FE9">
            <w:pPr>
              <w:spacing w:line="240" w:lineRule="auto"/>
            </w:pPr>
            <w:r>
              <w:t>Construction Management</w:t>
            </w:r>
          </w:p>
        </w:tc>
      </w:tr>
      <w:tr w:rsidR="00016FE9" w14:paraId="2DA4ACE4" w14:textId="77777777" w:rsidTr="002E2683">
        <w:trPr>
          <w:jc w:val="center"/>
        </w:trPr>
        <w:tc>
          <w:tcPr>
            <w:tcW w:w="992" w:type="dxa"/>
            <w:vMerge/>
            <w:tcBorders>
              <w:right w:val="single" w:sz="4" w:space="0" w:color="auto"/>
            </w:tcBorders>
          </w:tcPr>
          <w:p w14:paraId="1111C3C2" w14:textId="77777777" w:rsidR="00016FE9" w:rsidRDefault="00016FE9" w:rsidP="00CA4FD8"/>
        </w:tc>
        <w:tc>
          <w:tcPr>
            <w:tcW w:w="4253" w:type="dxa"/>
            <w:tcBorders>
              <w:top w:val="single" w:sz="4" w:space="0" w:color="auto"/>
              <w:left w:val="single" w:sz="4" w:space="0" w:color="auto"/>
              <w:bottom w:val="single" w:sz="4" w:space="0" w:color="auto"/>
            </w:tcBorders>
            <w:vAlign w:val="center"/>
          </w:tcPr>
          <w:p w14:paraId="718F9DC6" w14:textId="77777777" w:rsidR="00016FE9" w:rsidRDefault="00016FE9" w:rsidP="00016FE9">
            <w:pPr>
              <w:spacing w:line="240" w:lineRule="auto"/>
            </w:pPr>
            <w:r>
              <w:t>Environmental Engineering</w:t>
            </w:r>
          </w:p>
        </w:tc>
      </w:tr>
      <w:tr w:rsidR="00016FE9" w14:paraId="4E6948DA" w14:textId="77777777" w:rsidTr="002E2683">
        <w:trPr>
          <w:jc w:val="center"/>
        </w:trPr>
        <w:tc>
          <w:tcPr>
            <w:tcW w:w="992" w:type="dxa"/>
            <w:vMerge/>
            <w:tcBorders>
              <w:bottom w:val="single" w:sz="4" w:space="0" w:color="auto"/>
              <w:right w:val="single" w:sz="4" w:space="0" w:color="auto"/>
            </w:tcBorders>
          </w:tcPr>
          <w:p w14:paraId="21897954" w14:textId="77777777" w:rsidR="00016FE9" w:rsidRDefault="00016FE9" w:rsidP="00CA4FD8"/>
        </w:tc>
        <w:tc>
          <w:tcPr>
            <w:tcW w:w="4253" w:type="dxa"/>
            <w:tcBorders>
              <w:top w:val="single" w:sz="4" w:space="0" w:color="auto"/>
              <w:left w:val="single" w:sz="4" w:space="0" w:color="auto"/>
              <w:bottom w:val="single" w:sz="4" w:space="0" w:color="auto"/>
            </w:tcBorders>
            <w:vAlign w:val="center"/>
          </w:tcPr>
          <w:p w14:paraId="32003E78" w14:textId="77777777" w:rsidR="00016FE9" w:rsidRDefault="00016FE9" w:rsidP="00016FE9">
            <w:pPr>
              <w:spacing w:line="240" w:lineRule="auto"/>
            </w:pPr>
            <w:r>
              <w:t>Architectural Technology</w:t>
            </w:r>
          </w:p>
        </w:tc>
      </w:tr>
    </w:tbl>
    <w:p w14:paraId="1D6504CE" w14:textId="77777777" w:rsidR="00074597" w:rsidRDefault="00074597" w:rsidP="00CA4FD8">
      <w:pPr>
        <w:sectPr w:rsidR="00074597" w:rsidSect="00D558B9">
          <w:pgSz w:w="11906" w:h="16838"/>
          <w:pgMar w:top="1440" w:right="1440" w:bottom="1440" w:left="1440" w:header="708" w:footer="708" w:gutter="0"/>
          <w:lnNumType w:countBy="1" w:restart="continuous"/>
          <w:cols w:space="708"/>
          <w:docGrid w:linePitch="360"/>
        </w:sectPr>
      </w:pPr>
    </w:p>
    <w:p w14:paraId="1F0C8D33" w14:textId="18C39633" w:rsidR="00074597" w:rsidRPr="00074597" w:rsidRDefault="00074597" w:rsidP="00D35546">
      <w:pPr>
        <w:pStyle w:val="Heading2"/>
      </w:pPr>
    </w:p>
    <w:sectPr w:rsidR="00074597" w:rsidRPr="00074597" w:rsidSect="00D558B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DE913" w14:textId="77777777" w:rsidR="00C11381" w:rsidRDefault="00C11381" w:rsidP="00D558B9">
      <w:pPr>
        <w:spacing w:line="240" w:lineRule="auto"/>
      </w:pPr>
      <w:r>
        <w:separator/>
      </w:r>
    </w:p>
  </w:endnote>
  <w:endnote w:type="continuationSeparator" w:id="0">
    <w:p w14:paraId="620B653C" w14:textId="77777777" w:rsidR="00C11381" w:rsidRDefault="00C11381" w:rsidP="00D55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egoe UI">
    <w:altName w:val="Arial Bold"/>
    <w:charset w:val="00"/>
    <w:family w:val="swiss"/>
    <w:pitch w:val="variable"/>
    <w:sig w:usb0="E4002EFF" w:usb1="C000E47F" w:usb2="00000009" w:usb3="00000000" w:csb0="000001FF" w:csb1="00000000"/>
  </w:font>
  <w:font w:name="Calisto MT">
    <w:panose1 w:val="02040603050505030304"/>
    <w:charset w:val="00"/>
    <w:family w:val="auto"/>
    <w:pitch w:val="variable"/>
    <w:sig w:usb0="00000003" w:usb1="00000000" w:usb2="00000000" w:usb3="00000000" w:csb0="00000001" w:csb1="00000000"/>
  </w:font>
  <w:font w:name="Avenir-Ligh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1C1A4" w14:textId="77777777" w:rsidR="008B1282" w:rsidRDefault="008B12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7707A" w14:textId="77777777" w:rsidR="00660933" w:rsidRDefault="006035E1" w:rsidP="008A39CD">
    <w:pPr>
      <w:pStyle w:val="Footer"/>
      <w:rPr>
        <w:noProof/>
      </w:rPr>
    </w:pPr>
    <w:r>
      <w:fldChar w:fldCharType="begin"/>
    </w:r>
    <w:r>
      <w:instrText xml:space="preserve"> FILENAME   \* MERGEFORMAT </w:instrText>
    </w:r>
    <w:r>
      <w:fldChar w:fldCharType="separate"/>
    </w:r>
    <w:r w:rsidR="000628AB" w:rsidRPr="000628AB">
      <w:rPr>
        <w:noProof/>
        <w:sz w:val="16"/>
        <w:szCs w:val="16"/>
      </w:rPr>
      <w:t>ComparingECAndABETAccreditationCriteria ManuscriptFull 20170927 0927</w:t>
    </w:r>
    <w:r w:rsidR="000628AB">
      <w:rPr>
        <w:noProof/>
      </w:rPr>
      <w:t xml:space="preserve"> AA.docx</w:t>
    </w:r>
    <w:r>
      <w:rPr>
        <w:noProof/>
      </w:rPr>
      <w:fldChar w:fldCharType="end"/>
    </w:r>
    <w:r w:rsidR="00DC2E4A">
      <w:tab/>
    </w:r>
    <w:r w:rsidR="00DC2E4A">
      <w:tab/>
    </w:r>
    <w:r w:rsidR="00DC2E4A">
      <w:fldChar w:fldCharType="begin"/>
    </w:r>
    <w:r w:rsidR="00DC2E4A">
      <w:instrText xml:space="preserve"> PAGE   \* MERGEFORMAT </w:instrText>
    </w:r>
    <w:r w:rsidR="00DC2E4A">
      <w:fldChar w:fldCharType="separate"/>
    </w:r>
    <w:r>
      <w:rPr>
        <w:noProof/>
      </w:rPr>
      <w:t>1</w:t>
    </w:r>
    <w:r w:rsidR="00DC2E4A">
      <w:rPr>
        <w:noProof/>
      </w:rPr>
      <w:fldChar w:fldCharType="end"/>
    </w:r>
  </w:p>
  <w:p w14:paraId="35F2C6D9" w14:textId="77777777" w:rsidR="00660933" w:rsidRPr="001A79EB" w:rsidRDefault="00DC2E4A" w:rsidP="008A39CD">
    <w:pPr>
      <w:pStyle w:val="Footer"/>
      <w:rPr>
        <w:sz w:val="16"/>
        <w:szCs w:val="16"/>
      </w:rPr>
    </w:pPr>
    <w:r w:rsidRPr="001A79EB">
      <w:rPr>
        <w:noProof/>
        <w:sz w:val="16"/>
        <w:szCs w:val="16"/>
      </w:rPr>
      <w:fldChar w:fldCharType="begin"/>
    </w:r>
    <w:r w:rsidRPr="001A79EB">
      <w:rPr>
        <w:noProof/>
        <w:sz w:val="16"/>
        <w:szCs w:val="16"/>
      </w:rPr>
      <w:instrText xml:space="preserve"> DATE \@ "dd/MM/yyyy HH:mm:ss" </w:instrText>
    </w:r>
    <w:r w:rsidRPr="001A79EB">
      <w:rPr>
        <w:noProof/>
        <w:sz w:val="16"/>
        <w:szCs w:val="16"/>
      </w:rPr>
      <w:fldChar w:fldCharType="separate"/>
    </w:r>
    <w:r w:rsidR="006035E1">
      <w:rPr>
        <w:noProof/>
        <w:sz w:val="16"/>
        <w:szCs w:val="16"/>
      </w:rPr>
      <w:t>08/11/2017 10:47:38</w:t>
    </w:r>
    <w:r w:rsidRPr="001A79EB">
      <w:rPr>
        <w:noProof/>
        <w:sz w:val="16"/>
        <w:szCs w:val="16"/>
      </w:rPr>
      <w:fldChar w:fldCharType="end"/>
    </w:r>
  </w:p>
  <w:p w14:paraId="3DC33418" w14:textId="77777777" w:rsidR="00660933" w:rsidRDefault="006035E1" w:rsidP="008A39C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B2A17" w14:textId="77777777" w:rsidR="008B1282" w:rsidRDefault="008B12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1CE94" w14:textId="77777777" w:rsidR="00C11381" w:rsidRDefault="00C11381" w:rsidP="00D558B9">
      <w:pPr>
        <w:spacing w:line="240" w:lineRule="auto"/>
      </w:pPr>
      <w:r>
        <w:separator/>
      </w:r>
    </w:p>
  </w:footnote>
  <w:footnote w:type="continuationSeparator" w:id="0">
    <w:p w14:paraId="3A2BF19F" w14:textId="77777777" w:rsidR="00C11381" w:rsidRDefault="00C11381" w:rsidP="00D558B9">
      <w:pPr>
        <w:spacing w:line="240" w:lineRule="auto"/>
      </w:pPr>
      <w:r>
        <w:continuationSeparator/>
      </w:r>
    </w:p>
  </w:footnote>
  <w:footnote w:id="1">
    <w:p w14:paraId="6588FCCF" w14:textId="09D45F12" w:rsidR="00D558B9" w:rsidRDefault="00D558B9" w:rsidP="00D558B9">
      <w:pPr>
        <w:spacing w:line="240" w:lineRule="auto"/>
      </w:pPr>
      <w:r>
        <w:rPr>
          <w:rStyle w:val="FootnoteReference"/>
        </w:rPr>
        <w:footnoteRef/>
      </w:r>
      <w:r>
        <w:t xml:space="preserve">  (</w:t>
      </w:r>
      <w:proofErr w:type="gramStart"/>
      <w:r>
        <w:t>c</w:t>
      </w:r>
      <w:r w:rsidRPr="00AC2203">
        <w:t>orresponding</w:t>
      </w:r>
      <w:proofErr w:type="gramEnd"/>
      <w:r w:rsidRPr="00AC2203">
        <w:t xml:space="preserve"> author</w:t>
      </w:r>
      <w:r>
        <w:t>)</w:t>
      </w:r>
      <w:r w:rsidRPr="00AC2203">
        <w:t xml:space="preserve"> </w:t>
      </w:r>
      <w:r>
        <w:t xml:space="preserve">Principal Researcher – Irrigation and Head IWMI Pakistan, International Water Management Institute (Pakistan Office) 12km Multan Road Thokar Niaz Baig, Lahore, Pakistan 53700 a.anwar@cgiar.org </w:t>
      </w:r>
    </w:p>
    <w:p w14:paraId="53578EC7" w14:textId="77777777" w:rsidR="00D558B9" w:rsidRPr="00B429B0" w:rsidRDefault="00D558B9" w:rsidP="00D558B9">
      <w:pPr>
        <w:pStyle w:val="FootnoteText"/>
        <w:rPr>
          <w:lang w:val="en-US"/>
        </w:rPr>
      </w:pPr>
    </w:p>
  </w:footnote>
  <w:footnote w:id="2">
    <w:p w14:paraId="610D529D" w14:textId="77777777" w:rsidR="00D558B9" w:rsidRDefault="00D558B9" w:rsidP="00D558B9">
      <w:pPr>
        <w:spacing w:line="240" w:lineRule="auto"/>
      </w:pPr>
      <w:r>
        <w:rPr>
          <w:rStyle w:val="FootnoteReference"/>
        </w:rPr>
        <w:footnoteRef/>
      </w:r>
      <w:r>
        <w:t xml:space="preserve"> Professor of Ground Engineering, Faculty of Engineering and the Environment, University of Southampton, Highfield Southampton SO17 1BJ, UK. D.J.Richards@soton.ac.uk</w:t>
      </w:r>
    </w:p>
    <w:p w14:paraId="57274792" w14:textId="77777777" w:rsidR="00D558B9" w:rsidRPr="00B429B0" w:rsidRDefault="00D558B9" w:rsidP="00D558B9">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F4E9D" w14:textId="77777777" w:rsidR="008B1282" w:rsidRDefault="008B128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FA67B" w14:textId="77777777" w:rsidR="008B1282" w:rsidRDefault="008B128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30FC8" w14:textId="77777777" w:rsidR="008B1282" w:rsidRDefault="008B128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1466"/>
    <w:multiLevelType w:val="hybridMultilevel"/>
    <w:tmpl w:val="395615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D411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5850E1"/>
    <w:multiLevelType w:val="hybridMultilevel"/>
    <w:tmpl w:val="B9AEC6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3118F4"/>
    <w:multiLevelType w:val="hybridMultilevel"/>
    <w:tmpl w:val="B10461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5008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292445"/>
    <w:multiLevelType w:val="hybridMultilevel"/>
    <w:tmpl w:val="042E9F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752910"/>
    <w:multiLevelType w:val="hybridMultilevel"/>
    <w:tmpl w:val="2DC68158"/>
    <w:lvl w:ilvl="0" w:tplc="0809000F">
      <w:start w:val="1"/>
      <w:numFmt w:val="decimal"/>
      <w:lvlText w:val="%1."/>
      <w:lvlJc w:val="left"/>
      <w:pPr>
        <w:ind w:left="-708" w:hanging="360"/>
      </w:p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7">
    <w:nsid w:val="51EB5C10"/>
    <w:multiLevelType w:val="multilevel"/>
    <w:tmpl w:val="28409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932164"/>
    <w:multiLevelType w:val="hybridMultilevel"/>
    <w:tmpl w:val="7F2A04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EF0637A"/>
    <w:multiLevelType w:val="hybridMultilevel"/>
    <w:tmpl w:val="39561578"/>
    <w:lvl w:ilvl="0" w:tplc="0809000F">
      <w:start w:val="1"/>
      <w:numFmt w:val="decimal"/>
      <w:pStyle w:val="ListParagraph"/>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9"/>
  </w:num>
  <w:num w:numId="5">
    <w:abstractNumId w:val="9"/>
  </w:num>
  <w:num w:numId="6">
    <w:abstractNumId w:val="6"/>
  </w:num>
  <w:num w:numId="7">
    <w:abstractNumId w:val="7"/>
  </w:num>
  <w:num w:numId="8">
    <w:abstractNumId w:val="8"/>
  </w:num>
  <w:num w:numId="9">
    <w:abstractNumId w:val="4"/>
  </w:num>
  <w:num w:numId="10">
    <w:abstractNumId w:val="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8B9"/>
    <w:rsid w:val="00000527"/>
    <w:rsid w:val="00007D75"/>
    <w:rsid w:val="00016FE9"/>
    <w:rsid w:val="00017994"/>
    <w:rsid w:val="00017D24"/>
    <w:rsid w:val="00025573"/>
    <w:rsid w:val="000322B4"/>
    <w:rsid w:val="0003431D"/>
    <w:rsid w:val="00034F4B"/>
    <w:rsid w:val="00040A07"/>
    <w:rsid w:val="00047D84"/>
    <w:rsid w:val="00051E92"/>
    <w:rsid w:val="000628AB"/>
    <w:rsid w:val="00074597"/>
    <w:rsid w:val="000945E6"/>
    <w:rsid w:val="000A1FA2"/>
    <w:rsid w:val="000C3AB1"/>
    <w:rsid w:val="000C4EF9"/>
    <w:rsid w:val="000C74A9"/>
    <w:rsid w:val="000D16CD"/>
    <w:rsid w:val="000D3D2C"/>
    <w:rsid w:val="000D6993"/>
    <w:rsid w:val="000E1910"/>
    <w:rsid w:val="000F27E0"/>
    <w:rsid w:val="000F4CD0"/>
    <w:rsid w:val="00103F7C"/>
    <w:rsid w:val="0012232F"/>
    <w:rsid w:val="00123F49"/>
    <w:rsid w:val="0013691D"/>
    <w:rsid w:val="001533A9"/>
    <w:rsid w:val="001665D1"/>
    <w:rsid w:val="00177FF6"/>
    <w:rsid w:val="001938A0"/>
    <w:rsid w:val="00193D75"/>
    <w:rsid w:val="001A2F98"/>
    <w:rsid w:val="001C5E4A"/>
    <w:rsid w:val="001D0EF7"/>
    <w:rsid w:val="00241212"/>
    <w:rsid w:val="0025043A"/>
    <w:rsid w:val="002758E7"/>
    <w:rsid w:val="002778B6"/>
    <w:rsid w:val="00285C72"/>
    <w:rsid w:val="002A085E"/>
    <w:rsid w:val="002A715F"/>
    <w:rsid w:val="002C11FE"/>
    <w:rsid w:val="002E0B6F"/>
    <w:rsid w:val="002E2683"/>
    <w:rsid w:val="002E7462"/>
    <w:rsid w:val="00302C7C"/>
    <w:rsid w:val="0031482B"/>
    <w:rsid w:val="00317A56"/>
    <w:rsid w:val="00321969"/>
    <w:rsid w:val="00323192"/>
    <w:rsid w:val="00342EEF"/>
    <w:rsid w:val="003523F6"/>
    <w:rsid w:val="00362321"/>
    <w:rsid w:val="00370786"/>
    <w:rsid w:val="003818F8"/>
    <w:rsid w:val="003844F2"/>
    <w:rsid w:val="00392308"/>
    <w:rsid w:val="003C1151"/>
    <w:rsid w:val="003C4579"/>
    <w:rsid w:val="003D1D69"/>
    <w:rsid w:val="003D58F0"/>
    <w:rsid w:val="003E5E75"/>
    <w:rsid w:val="003F2062"/>
    <w:rsid w:val="00411F73"/>
    <w:rsid w:val="00415E7C"/>
    <w:rsid w:val="00420E1E"/>
    <w:rsid w:val="00422534"/>
    <w:rsid w:val="004249F6"/>
    <w:rsid w:val="004448C4"/>
    <w:rsid w:val="00457CA4"/>
    <w:rsid w:val="00465032"/>
    <w:rsid w:val="00467A40"/>
    <w:rsid w:val="00471B2A"/>
    <w:rsid w:val="004767BF"/>
    <w:rsid w:val="00495FBC"/>
    <w:rsid w:val="004963DA"/>
    <w:rsid w:val="004A424F"/>
    <w:rsid w:val="004B1A98"/>
    <w:rsid w:val="004B298C"/>
    <w:rsid w:val="004D03EB"/>
    <w:rsid w:val="004D7022"/>
    <w:rsid w:val="004E15B3"/>
    <w:rsid w:val="004E690D"/>
    <w:rsid w:val="005141A4"/>
    <w:rsid w:val="005172B1"/>
    <w:rsid w:val="00522A4C"/>
    <w:rsid w:val="0052610A"/>
    <w:rsid w:val="00527F33"/>
    <w:rsid w:val="00537E69"/>
    <w:rsid w:val="005634B3"/>
    <w:rsid w:val="0056561C"/>
    <w:rsid w:val="00575C5D"/>
    <w:rsid w:val="00580F21"/>
    <w:rsid w:val="00584F5A"/>
    <w:rsid w:val="00591D61"/>
    <w:rsid w:val="005A0857"/>
    <w:rsid w:val="005B16BD"/>
    <w:rsid w:val="005E08D7"/>
    <w:rsid w:val="005E2F97"/>
    <w:rsid w:val="005F7024"/>
    <w:rsid w:val="006035E1"/>
    <w:rsid w:val="00605AA2"/>
    <w:rsid w:val="006120E3"/>
    <w:rsid w:val="006376F8"/>
    <w:rsid w:val="006539E9"/>
    <w:rsid w:val="00664156"/>
    <w:rsid w:val="00671DEE"/>
    <w:rsid w:val="00671DF8"/>
    <w:rsid w:val="0068442E"/>
    <w:rsid w:val="0069414A"/>
    <w:rsid w:val="006D12AF"/>
    <w:rsid w:val="006E0DCD"/>
    <w:rsid w:val="006E4ABA"/>
    <w:rsid w:val="006E61A8"/>
    <w:rsid w:val="0070680D"/>
    <w:rsid w:val="00717210"/>
    <w:rsid w:val="00740C1E"/>
    <w:rsid w:val="00741C06"/>
    <w:rsid w:val="00754C89"/>
    <w:rsid w:val="0078584E"/>
    <w:rsid w:val="00792C2A"/>
    <w:rsid w:val="007933E3"/>
    <w:rsid w:val="007A3768"/>
    <w:rsid w:val="007A4BCB"/>
    <w:rsid w:val="007B5E3C"/>
    <w:rsid w:val="007B7272"/>
    <w:rsid w:val="007F7194"/>
    <w:rsid w:val="0081450E"/>
    <w:rsid w:val="00817CF1"/>
    <w:rsid w:val="00822CE1"/>
    <w:rsid w:val="00823B74"/>
    <w:rsid w:val="008369C2"/>
    <w:rsid w:val="008622CD"/>
    <w:rsid w:val="00870879"/>
    <w:rsid w:val="00875852"/>
    <w:rsid w:val="008A57CB"/>
    <w:rsid w:val="008A57F6"/>
    <w:rsid w:val="008A6B87"/>
    <w:rsid w:val="008B1282"/>
    <w:rsid w:val="008B7DB2"/>
    <w:rsid w:val="008C65EB"/>
    <w:rsid w:val="008E7412"/>
    <w:rsid w:val="008F2A3C"/>
    <w:rsid w:val="0092199C"/>
    <w:rsid w:val="0092446B"/>
    <w:rsid w:val="0095442E"/>
    <w:rsid w:val="0096217C"/>
    <w:rsid w:val="00974EA8"/>
    <w:rsid w:val="00974F9B"/>
    <w:rsid w:val="0097741A"/>
    <w:rsid w:val="00980410"/>
    <w:rsid w:val="009863BD"/>
    <w:rsid w:val="009A069C"/>
    <w:rsid w:val="009A2D1C"/>
    <w:rsid w:val="009B0672"/>
    <w:rsid w:val="009B0EF7"/>
    <w:rsid w:val="009C21AB"/>
    <w:rsid w:val="009C298A"/>
    <w:rsid w:val="009E6F6C"/>
    <w:rsid w:val="00A038F6"/>
    <w:rsid w:val="00A167AB"/>
    <w:rsid w:val="00A20454"/>
    <w:rsid w:val="00A21638"/>
    <w:rsid w:val="00A44635"/>
    <w:rsid w:val="00A518CC"/>
    <w:rsid w:val="00A75A27"/>
    <w:rsid w:val="00A858E3"/>
    <w:rsid w:val="00AB0801"/>
    <w:rsid w:val="00AD0D20"/>
    <w:rsid w:val="00AD4C64"/>
    <w:rsid w:val="00AE3CE7"/>
    <w:rsid w:val="00AE50AA"/>
    <w:rsid w:val="00B05A7E"/>
    <w:rsid w:val="00B06961"/>
    <w:rsid w:val="00B10468"/>
    <w:rsid w:val="00B2027D"/>
    <w:rsid w:val="00B23081"/>
    <w:rsid w:val="00B26AA9"/>
    <w:rsid w:val="00B274C1"/>
    <w:rsid w:val="00B40D54"/>
    <w:rsid w:val="00B4778A"/>
    <w:rsid w:val="00B7115A"/>
    <w:rsid w:val="00B87BAD"/>
    <w:rsid w:val="00B90CFD"/>
    <w:rsid w:val="00B91969"/>
    <w:rsid w:val="00B97CCE"/>
    <w:rsid w:val="00BB1ABA"/>
    <w:rsid w:val="00BC2FC0"/>
    <w:rsid w:val="00BD085D"/>
    <w:rsid w:val="00BF0835"/>
    <w:rsid w:val="00BF1B1D"/>
    <w:rsid w:val="00C00E4D"/>
    <w:rsid w:val="00C01F7A"/>
    <w:rsid w:val="00C06192"/>
    <w:rsid w:val="00C11381"/>
    <w:rsid w:val="00C2508A"/>
    <w:rsid w:val="00C3082D"/>
    <w:rsid w:val="00C45FF8"/>
    <w:rsid w:val="00C813AA"/>
    <w:rsid w:val="00C87980"/>
    <w:rsid w:val="00CA4FD8"/>
    <w:rsid w:val="00CA6E16"/>
    <w:rsid w:val="00CB3CB0"/>
    <w:rsid w:val="00CD1EF1"/>
    <w:rsid w:val="00CD3D5D"/>
    <w:rsid w:val="00CD4010"/>
    <w:rsid w:val="00CE5315"/>
    <w:rsid w:val="00CE537C"/>
    <w:rsid w:val="00CE7D02"/>
    <w:rsid w:val="00CE7E90"/>
    <w:rsid w:val="00CF10EA"/>
    <w:rsid w:val="00CF3EA5"/>
    <w:rsid w:val="00D02675"/>
    <w:rsid w:val="00D35546"/>
    <w:rsid w:val="00D4385D"/>
    <w:rsid w:val="00D55400"/>
    <w:rsid w:val="00D558B9"/>
    <w:rsid w:val="00D572C1"/>
    <w:rsid w:val="00D609BF"/>
    <w:rsid w:val="00D73300"/>
    <w:rsid w:val="00D76F4D"/>
    <w:rsid w:val="00D84372"/>
    <w:rsid w:val="00D84BBC"/>
    <w:rsid w:val="00D90FC0"/>
    <w:rsid w:val="00DA7114"/>
    <w:rsid w:val="00DC2E4A"/>
    <w:rsid w:val="00DC2E6F"/>
    <w:rsid w:val="00DE096E"/>
    <w:rsid w:val="00DF1E95"/>
    <w:rsid w:val="00DF471D"/>
    <w:rsid w:val="00DF57F8"/>
    <w:rsid w:val="00DF6463"/>
    <w:rsid w:val="00E14E2B"/>
    <w:rsid w:val="00E22D63"/>
    <w:rsid w:val="00E26E29"/>
    <w:rsid w:val="00E44C07"/>
    <w:rsid w:val="00E4783B"/>
    <w:rsid w:val="00E540F3"/>
    <w:rsid w:val="00E55A42"/>
    <w:rsid w:val="00E64D9B"/>
    <w:rsid w:val="00E6589D"/>
    <w:rsid w:val="00E72FDD"/>
    <w:rsid w:val="00E74BDF"/>
    <w:rsid w:val="00E87FB6"/>
    <w:rsid w:val="00EA0786"/>
    <w:rsid w:val="00EB042F"/>
    <w:rsid w:val="00EB5215"/>
    <w:rsid w:val="00EB5CA6"/>
    <w:rsid w:val="00EB7991"/>
    <w:rsid w:val="00ED27AF"/>
    <w:rsid w:val="00ED3091"/>
    <w:rsid w:val="00ED4B10"/>
    <w:rsid w:val="00EE55D9"/>
    <w:rsid w:val="00EF26B9"/>
    <w:rsid w:val="00EF2D67"/>
    <w:rsid w:val="00F00021"/>
    <w:rsid w:val="00F07B6E"/>
    <w:rsid w:val="00F122BD"/>
    <w:rsid w:val="00F12553"/>
    <w:rsid w:val="00F16514"/>
    <w:rsid w:val="00F247D9"/>
    <w:rsid w:val="00F53281"/>
    <w:rsid w:val="00F54EA5"/>
    <w:rsid w:val="00F61794"/>
    <w:rsid w:val="00F65E62"/>
    <w:rsid w:val="00F70AC3"/>
    <w:rsid w:val="00F824BB"/>
    <w:rsid w:val="00F82C5B"/>
    <w:rsid w:val="00F92D92"/>
    <w:rsid w:val="00FA0232"/>
    <w:rsid w:val="00FA2907"/>
    <w:rsid w:val="00FB26D9"/>
    <w:rsid w:val="00FB3102"/>
    <w:rsid w:val="00FC7800"/>
    <w:rsid w:val="00FD0C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3C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8B9"/>
    <w:pPr>
      <w:spacing w:after="0" w:line="360" w:lineRule="auto"/>
    </w:pPr>
    <w:rPr>
      <w:rFonts w:ascii="Garamond" w:eastAsia="Calibri" w:hAnsi="Garamond" w:cs="Times New Roman"/>
      <w:sz w:val="24"/>
    </w:rPr>
  </w:style>
  <w:style w:type="paragraph" w:styleId="Heading1">
    <w:name w:val="heading 1"/>
    <w:basedOn w:val="Normal"/>
    <w:next w:val="Normal"/>
    <w:link w:val="Heading1Char"/>
    <w:uiPriority w:val="99"/>
    <w:qFormat/>
    <w:rsid w:val="00D558B9"/>
    <w:pPr>
      <w:jc w:val="center"/>
      <w:outlineLvl w:val="0"/>
    </w:pPr>
    <w:rPr>
      <w:b/>
      <w:sz w:val="36"/>
      <w:szCs w:val="36"/>
    </w:rPr>
  </w:style>
  <w:style w:type="paragraph" w:styleId="Heading2">
    <w:name w:val="heading 2"/>
    <w:basedOn w:val="Normal"/>
    <w:next w:val="Normal"/>
    <w:link w:val="Heading2Char"/>
    <w:uiPriority w:val="99"/>
    <w:qFormat/>
    <w:rsid w:val="00D558B9"/>
    <w:pPr>
      <w:keepNext/>
      <w:keepLines/>
      <w:spacing w:before="200"/>
      <w:outlineLvl w:val="1"/>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58B9"/>
    <w:rPr>
      <w:rFonts w:ascii="Garamond" w:eastAsia="Calibri" w:hAnsi="Garamond" w:cs="Times New Roman"/>
      <w:b/>
      <w:sz w:val="36"/>
      <w:szCs w:val="36"/>
    </w:rPr>
  </w:style>
  <w:style w:type="character" w:customStyle="1" w:styleId="Heading2Char">
    <w:name w:val="Heading 2 Char"/>
    <w:basedOn w:val="DefaultParagraphFont"/>
    <w:link w:val="Heading2"/>
    <w:uiPriority w:val="99"/>
    <w:rsid w:val="00D558B9"/>
    <w:rPr>
      <w:rFonts w:ascii="Garamond" w:eastAsia="Times New Roman" w:hAnsi="Garamond" w:cs="Times New Roman"/>
      <w:b/>
      <w:bCs/>
      <w:sz w:val="24"/>
      <w:szCs w:val="24"/>
    </w:rPr>
  </w:style>
  <w:style w:type="paragraph" w:styleId="FootnoteText">
    <w:name w:val="footnote text"/>
    <w:basedOn w:val="Normal"/>
    <w:link w:val="FootnoteTextChar"/>
    <w:uiPriority w:val="99"/>
    <w:rsid w:val="00D558B9"/>
    <w:pPr>
      <w:spacing w:line="240" w:lineRule="auto"/>
    </w:pPr>
    <w:rPr>
      <w:sz w:val="20"/>
      <w:szCs w:val="20"/>
    </w:rPr>
  </w:style>
  <w:style w:type="character" w:customStyle="1" w:styleId="FootnoteTextChar">
    <w:name w:val="Footnote Text Char"/>
    <w:basedOn w:val="DefaultParagraphFont"/>
    <w:link w:val="FootnoteText"/>
    <w:uiPriority w:val="99"/>
    <w:rsid w:val="00D558B9"/>
    <w:rPr>
      <w:rFonts w:ascii="Garamond" w:eastAsia="Calibri" w:hAnsi="Garamond" w:cs="Times New Roman"/>
      <w:sz w:val="20"/>
      <w:szCs w:val="20"/>
    </w:rPr>
  </w:style>
  <w:style w:type="character" w:styleId="FootnoteReference">
    <w:name w:val="footnote reference"/>
    <w:uiPriority w:val="99"/>
    <w:semiHidden/>
    <w:rsid w:val="00D558B9"/>
    <w:rPr>
      <w:rFonts w:cs="Times New Roman"/>
      <w:vertAlign w:val="superscript"/>
    </w:rPr>
  </w:style>
  <w:style w:type="character" w:styleId="Hyperlink">
    <w:name w:val="Hyperlink"/>
    <w:uiPriority w:val="99"/>
    <w:rsid w:val="00D558B9"/>
    <w:rPr>
      <w:rFonts w:cs="Times New Roman"/>
      <w:color w:val="0000FF"/>
      <w:u w:val="single"/>
    </w:rPr>
  </w:style>
  <w:style w:type="paragraph" w:styleId="Footer">
    <w:name w:val="footer"/>
    <w:basedOn w:val="Normal"/>
    <w:link w:val="FooterChar"/>
    <w:uiPriority w:val="99"/>
    <w:rsid w:val="00D558B9"/>
    <w:pPr>
      <w:tabs>
        <w:tab w:val="center" w:pos="4513"/>
        <w:tab w:val="right" w:pos="9026"/>
      </w:tabs>
      <w:spacing w:line="240" w:lineRule="auto"/>
    </w:pPr>
  </w:style>
  <w:style w:type="character" w:customStyle="1" w:styleId="FooterChar">
    <w:name w:val="Footer Char"/>
    <w:basedOn w:val="DefaultParagraphFont"/>
    <w:link w:val="Footer"/>
    <w:uiPriority w:val="99"/>
    <w:rsid w:val="00D558B9"/>
    <w:rPr>
      <w:rFonts w:ascii="Garamond" w:eastAsia="Calibri" w:hAnsi="Garamond" w:cs="Times New Roman"/>
      <w:sz w:val="24"/>
    </w:rPr>
  </w:style>
  <w:style w:type="paragraph" w:styleId="ListParagraph">
    <w:name w:val="List Paragraph"/>
    <w:basedOn w:val="Normal"/>
    <w:uiPriority w:val="34"/>
    <w:qFormat/>
    <w:rsid w:val="00D558B9"/>
    <w:pPr>
      <w:numPr>
        <w:numId w:val="1"/>
      </w:numPr>
      <w:spacing w:after="90" w:line="288" w:lineRule="auto"/>
      <w:contextualSpacing/>
    </w:pPr>
    <w:rPr>
      <w:rFonts w:eastAsia="Times New Roman"/>
      <w:szCs w:val="24"/>
      <w:lang w:eastAsia="en-GB"/>
    </w:rPr>
  </w:style>
  <w:style w:type="character" w:styleId="LineNumber">
    <w:name w:val="line number"/>
    <w:basedOn w:val="DefaultParagraphFont"/>
    <w:uiPriority w:val="99"/>
    <w:semiHidden/>
    <w:unhideWhenUsed/>
    <w:rsid w:val="00D558B9"/>
  </w:style>
  <w:style w:type="character" w:styleId="FollowedHyperlink">
    <w:name w:val="FollowedHyperlink"/>
    <w:basedOn w:val="DefaultParagraphFont"/>
    <w:uiPriority w:val="99"/>
    <w:semiHidden/>
    <w:unhideWhenUsed/>
    <w:rsid w:val="00465032"/>
    <w:rPr>
      <w:color w:val="954F72" w:themeColor="followedHyperlink"/>
      <w:u w:val="single"/>
    </w:rPr>
  </w:style>
  <w:style w:type="table" w:styleId="TableGrid">
    <w:name w:val="Table Grid"/>
    <w:basedOn w:val="TableNormal"/>
    <w:uiPriority w:val="39"/>
    <w:rsid w:val="00CA4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1F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879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980"/>
    <w:rPr>
      <w:rFonts w:ascii="Segoe UI" w:eastAsia="Calibri" w:hAnsi="Segoe UI" w:cs="Segoe UI"/>
      <w:sz w:val="18"/>
      <w:szCs w:val="18"/>
    </w:rPr>
  </w:style>
  <w:style w:type="paragraph" w:styleId="Header">
    <w:name w:val="header"/>
    <w:basedOn w:val="Normal"/>
    <w:link w:val="HeaderChar"/>
    <w:uiPriority w:val="99"/>
    <w:unhideWhenUsed/>
    <w:rsid w:val="00E14E2B"/>
    <w:pPr>
      <w:tabs>
        <w:tab w:val="center" w:pos="4513"/>
        <w:tab w:val="right" w:pos="9026"/>
      </w:tabs>
      <w:spacing w:line="240" w:lineRule="auto"/>
    </w:pPr>
  </w:style>
  <w:style w:type="character" w:customStyle="1" w:styleId="HeaderChar">
    <w:name w:val="Header Char"/>
    <w:basedOn w:val="DefaultParagraphFont"/>
    <w:link w:val="Header"/>
    <w:uiPriority w:val="99"/>
    <w:rsid w:val="00E14E2B"/>
    <w:rPr>
      <w:rFonts w:ascii="Garamond" w:eastAsia="Calibri" w:hAnsi="Garamond" w:cs="Times New Roman"/>
      <w:sz w:val="24"/>
    </w:rPr>
  </w:style>
  <w:style w:type="character" w:styleId="CommentReference">
    <w:name w:val="annotation reference"/>
    <w:basedOn w:val="DefaultParagraphFont"/>
    <w:uiPriority w:val="99"/>
    <w:semiHidden/>
    <w:unhideWhenUsed/>
    <w:rsid w:val="00415E7C"/>
    <w:rPr>
      <w:sz w:val="16"/>
      <w:szCs w:val="16"/>
    </w:rPr>
  </w:style>
  <w:style w:type="paragraph" w:styleId="CommentText">
    <w:name w:val="annotation text"/>
    <w:basedOn w:val="Normal"/>
    <w:link w:val="CommentTextChar"/>
    <w:uiPriority w:val="99"/>
    <w:semiHidden/>
    <w:unhideWhenUsed/>
    <w:rsid w:val="00415E7C"/>
    <w:pPr>
      <w:spacing w:line="240" w:lineRule="auto"/>
    </w:pPr>
    <w:rPr>
      <w:sz w:val="20"/>
      <w:szCs w:val="20"/>
    </w:rPr>
  </w:style>
  <w:style w:type="character" w:customStyle="1" w:styleId="CommentTextChar">
    <w:name w:val="Comment Text Char"/>
    <w:basedOn w:val="DefaultParagraphFont"/>
    <w:link w:val="CommentText"/>
    <w:uiPriority w:val="99"/>
    <w:semiHidden/>
    <w:rsid w:val="00415E7C"/>
    <w:rPr>
      <w:rFonts w:ascii="Garamond" w:eastAsia="Calibri"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15E7C"/>
    <w:rPr>
      <w:b/>
      <w:bCs/>
    </w:rPr>
  </w:style>
  <w:style w:type="character" w:customStyle="1" w:styleId="CommentSubjectChar">
    <w:name w:val="Comment Subject Char"/>
    <w:basedOn w:val="CommentTextChar"/>
    <w:link w:val="CommentSubject"/>
    <w:uiPriority w:val="99"/>
    <w:semiHidden/>
    <w:rsid w:val="00415E7C"/>
    <w:rPr>
      <w:rFonts w:ascii="Garamond" w:eastAsia="Calibri" w:hAnsi="Garamond" w:cs="Times New Roman"/>
      <w:b/>
      <w:bCs/>
      <w:sz w:val="20"/>
      <w:szCs w:val="20"/>
    </w:rPr>
  </w:style>
  <w:style w:type="character" w:styleId="Emphasis">
    <w:name w:val="Emphasis"/>
    <w:basedOn w:val="DefaultParagraphFont"/>
    <w:uiPriority w:val="20"/>
    <w:qFormat/>
    <w:rsid w:val="0000052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8B9"/>
    <w:pPr>
      <w:spacing w:after="0" w:line="360" w:lineRule="auto"/>
    </w:pPr>
    <w:rPr>
      <w:rFonts w:ascii="Garamond" w:eastAsia="Calibri" w:hAnsi="Garamond" w:cs="Times New Roman"/>
      <w:sz w:val="24"/>
    </w:rPr>
  </w:style>
  <w:style w:type="paragraph" w:styleId="Heading1">
    <w:name w:val="heading 1"/>
    <w:basedOn w:val="Normal"/>
    <w:next w:val="Normal"/>
    <w:link w:val="Heading1Char"/>
    <w:uiPriority w:val="99"/>
    <w:qFormat/>
    <w:rsid w:val="00D558B9"/>
    <w:pPr>
      <w:jc w:val="center"/>
      <w:outlineLvl w:val="0"/>
    </w:pPr>
    <w:rPr>
      <w:b/>
      <w:sz w:val="36"/>
      <w:szCs w:val="36"/>
    </w:rPr>
  </w:style>
  <w:style w:type="paragraph" w:styleId="Heading2">
    <w:name w:val="heading 2"/>
    <w:basedOn w:val="Normal"/>
    <w:next w:val="Normal"/>
    <w:link w:val="Heading2Char"/>
    <w:uiPriority w:val="99"/>
    <w:qFormat/>
    <w:rsid w:val="00D558B9"/>
    <w:pPr>
      <w:keepNext/>
      <w:keepLines/>
      <w:spacing w:before="200"/>
      <w:outlineLvl w:val="1"/>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58B9"/>
    <w:rPr>
      <w:rFonts w:ascii="Garamond" w:eastAsia="Calibri" w:hAnsi="Garamond" w:cs="Times New Roman"/>
      <w:b/>
      <w:sz w:val="36"/>
      <w:szCs w:val="36"/>
    </w:rPr>
  </w:style>
  <w:style w:type="character" w:customStyle="1" w:styleId="Heading2Char">
    <w:name w:val="Heading 2 Char"/>
    <w:basedOn w:val="DefaultParagraphFont"/>
    <w:link w:val="Heading2"/>
    <w:uiPriority w:val="99"/>
    <w:rsid w:val="00D558B9"/>
    <w:rPr>
      <w:rFonts w:ascii="Garamond" w:eastAsia="Times New Roman" w:hAnsi="Garamond" w:cs="Times New Roman"/>
      <w:b/>
      <w:bCs/>
      <w:sz w:val="24"/>
      <w:szCs w:val="24"/>
    </w:rPr>
  </w:style>
  <w:style w:type="paragraph" w:styleId="FootnoteText">
    <w:name w:val="footnote text"/>
    <w:basedOn w:val="Normal"/>
    <w:link w:val="FootnoteTextChar"/>
    <w:uiPriority w:val="99"/>
    <w:rsid w:val="00D558B9"/>
    <w:pPr>
      <w:spacing w:line="240" w:lineRule="auto"/>
    </w:pPr>
    <w:rPr>
      <w:sz w:val="20"/>
      <w:szCs w:val="20"/>
    </w:rPr>
  </w:style>
  <w:style w:type="character" w:customStyle="1" w:styleId="FootnoteTextChar">
    <w:name w:val="Footnote Text Char"/>
    <w:basedOn w:val="DefaultParagraphFont"/>
    <w:link w:val="FootnoteText"/>
    <w:uiPriority w:val="99"/>
    <w:rsid w:val="00D558B9"/>
    <w:rPr>
      <w:rFonts w:ascii="Garamond" w:eastAsia="Calibri" w:hAnsi="Garamond" w:cs="Times New Roman"/>
      <w:sz w:val="20"/>
      <w:szCs w:val="20"/>
    </w:rPr>
  </w:style>
  <w:style w:type="character" w:styleId="FootnoteReference">
    <w:name w:val="footnote reference"/>
    <w:uiPriority w:val="99"/>
    <w:semiHidden/>
    <w:rsid w:val="00D558B9"/>
    <w:rPr>
      <w:rFonts w:cs="Times New Roman"/>
      <w:vertAlign w:val="superscript"/>
    </w:rPr>
  </w:style>
  <w:style w:type="character" w:styleId="Hyperlink">
    <w:name w:val="Hyperlink"/>
    <w:uiPriority w:val="99"/>
    <w:rsid w:val="00D558B9"/>
    <w:rPr>
      <w:rFonts w:cs="Times New Roman"/>
      <w:color w:val="0000FF"/>
      <w:u w:val="single"/>
    </w:rPr>
  </w:style>
  <w:style w:type="paragraph" w:styleId="Footer">
    <w:name w:val="footer"/>
    <w:basedOn w:val="Normal"/>
    <w:link w:val="FooterChar"/>
    <w:uiPriority w:val="99"/>
    <w:rsid w:val="00D558B9"/>
    <w:pPr>
      <w:tabs>
        <w:tab w:val="center" w:pos="4513"/>
        <w:tab w:val="right" w:pos="9026"/>
      </w:tabs>
      <w:spacing w:line="240" w:lineRule="auto"/>
    </w:pPr>
  </w:style>
  <w:style w:type="character" w:customStyle="1" w:styleId="FooterChar">
    <w:name w:val="Footer Char"/>
    <w:basedOn w:val="DefaultParagraphFont"/>
    <w:link w:val="Footer"/>
    <w:uiPriority w:val="99"/>
    <w:rsid w:val="00D558B9"/>
    <w:rPr>
      <w:rFonts w:ascii="Garamond" w:eastAsia="Calibri" w:hAnsi="Garamond" w:cs="Times New Roman"/>
      <w:sz w:val="24"/>
    </w:rPr>
  </w:style>
  <w:style w:type="paragraph" w:styleId="ListParagraph">
    <w:name w:val="List Paragraph"/>
    <w:basedOn w:val="Normal"/>
    <w:uiPriority w:val="34"/>
    <w:qFormat/>
    <w:rsid w:val="00D558B9"/>
    <w:pPr>
      <w:numPr>
        <w:numId w:val="1"/>
      </w:numPr>
      <w:spacing w:after="90" w:line="288" w:lineRule="auto"/>
      <w:contextualSpacing/>
    </w:pPr>
    <w:rPr>
      <w:rFonts w:eastAsia="Times New Roman"/>
      <w:szCs w:val="24"/>
      <w:lang w:eastAsia="en-GB"/>
    </w:rPr>
  </w:style>
  <w:style w:type="character" w:styleId="LineNumber">
    <w:name w:val="line number"/>
    <w:basedOn w:val="DefaultParagraphFont"/>
    <w:uiPriority w:val="99"/>
    <w:semiHidden/>
    <w:unhideWhenUsed/>
    <w:rsid w:val="00D558B9"/>
  </w:style>
  <w:style w:type="character" w:styleId="FollowedHyperlink">
    <w:name w:val="FollowedHyperlink"/>
    <w:basedOn w:val="DefaultParagraphFont"/>
    <w:uiPriority w:val="99"/>
    <w:semiHidden/>
    <w:unhideWhenUsed/>
    <w:rsid w:val="00465032"/>
    <w:rPr>
      <w:color w:val="954F72" w:themeColor="followedHyperlink"/>
      <w:u w:val="single"/>
    </w:rPr>
  </w:style>
  <w:style w:type="table" w:styleId="TableGrid">
    <w:name w:val="Table Grid"/>
    <w:basedOn w:val="TableNormal"/>
    <w:uiPriority w:val="39"/>
    <w:rsid w:val="00CA4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1F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879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980"/>
    <w:rPr>
      <w:rFonts w:ascii="Segoe UI" w:eastAsia="Calibri" w:hAnsi="Segoe UI" w:cs="Segoe UI"/>
      <w:sz w:val="18"/>
      <w:szCs w:val="18"/>
    </w:rPr>
  </w:style>
  <w:style w:type="paragraph" w:styleId="Header">
    <w:name w:val="header"/>
    <w:basedOn w:val="Normal"/>
    <w:link w:val="HeaderChar"/>
    <w:uiPriority w:val="99"/>
    <w:unhideWhenUsed/>
    <w:rsid w:val="00E14E2B"/>
    <w:pPr>
      <w:tabs>
        <w:tab w:val="center" w:pos="4513"/>
        <w:tab w:val="right" w:pos="9026"/>
      </w:tabs>
      <w:spacing w:line="240" w:lineRule="auto"/>
    </w:pPr>
  </w:style>
  <w:style w:type="character" w:customStyle="1" w:styleId="HeaderChar">
    <w:name w:val="Header Char"/>
    <w:basedOn w:val="DefaultParagraphFont"/>
    <w:link w:val="Header"/>
    <w:uiPriority w:val="99"/>
    <w:rsid w:val="00E14E2B"/>
    <w:rPr>
      <w:rFonts w:ascii="Garamond" w:eastAsia="Calibri" w:hAnsi="Garamond" w:cs="Times New Roman"/>
      <w:sz w:val="24"/>
    </w:rPr>
  </w:style>
  <w:style w:type="character" w:styleId="CommentReference">
    <w:name w:val="annotation reference"/>
    <w:basedOn w:val="DefaultParagraphFont"/>
    <w:uiPriority w:val="99"/>
    <w:semiHidden/>
    <w:unhideWhenUsed/>
    <w:rsid w:val="00415E7C"/>
    <w:rPr>
      <w:sz w:val="16"/>
      <w:szCs w:val="16"/>
    </w:rPr>
  </w:style>
  <w:style w:type="paragraph" w:styleId="CommentText">
    <w:name w:val="annotation text"/>
    <w:basedOn w:val="Normal"/>
    <w:link w:val="CommentTextChar"/>
    <w:uiPriority w:val="99"/>
    <w:semiHidden/>
    <w:unhideWhenUsed/>
    <w:rsid w:val="00415E7C"/>
    <w:pPr>
      <w:spacing w:line="240" w:lineRule="auto"/>
    </w:pPr>
    <w:rPr>
      <w:sz w:val="20"/>
      <w:szCs w:val="20"/>
    </w:rPr>
  </w:style>
  <w:style w:type="character" w:customStyle="1" w:styleId="CommentTextChar">
    <w:name w:val="Comment Text Char"/>
    <w:basedOn w:val="DefaultParagraphFont"/>
    <w:link w:val="CommentText"/>
    <w:uiPriority w:val="99"/>
    <w:semiHidden/>
    <w:rsid w:val="00415E7C"/>
    <w:rPr>
      <w:rFonts w:ascii="Garamond" w:eastAsia="Calibri"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15E7C"/>
    <w:rPr>
      <w:b/>
      <w:bCs/>
    </w:rPr>
  </w:style>
  <w:style w:type="character" w:customStyle="1" w:styleId="CommentSubjectChar">
    <w:name w:val="Comment Subject Char"/>
    <w:basedOn w:val="CommentTextChar"/>
    <w:link w:val="CommentSubject"/>
    <w:uiPriority w:val="99"/>
    <w:semiHidden/>
    <w:rsid w:val="00415E7C"/>
    <w:rPr>
      <w:rFonts w:ascii="Garamond" w:eastAsia="Calibri" w:hAnsi="Garamond" w:cs="Times New Roman"/>
      <w:b/>
      <w:bCs/>
      <w:sz w:val="20"/>
      <w:szCs w:val="20"/>
    </w:rPr>
  </w:style>
  <w:style w:type="character" w:styleId="Emphasis">
    <w:name w:val="Emphasis"/>
    <w:basedOn w:val="DefaultParagraphFont"/>
    <w:uiPriority w:val="20"/>
    <w:qFormat/>
    <w:rsid w:val="000005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40393">
      <w:bodyDiv w:val="1"/>
      <w:marLeft w:val="0"/>
      <w:marRight w:val="0"/>
      <w:marTop w:val="0"/>
      <w:marBottom w:val="0"/>
      <w:divBdr>
        <w:top w:val="none" w:sz="0" w:space="0" w:color="auto"/>
        <w:left w:val="none" w:sz="0" w:space="0" w:color="auto"/>
        <w:bottom w:val="none" w:sz="0" w:space="0" w:color="auto"/>
        <w:right w:val="none" w:sz="0" w:space="0" w:color="auto"/>
      </w:divBdr>
      <w:divsChild>
        <w:div w:id="1516991236">
          <w:marLeft w:val="0"/>
          <w:marRight w:val="0"/>
          <w:marTop w:val="0"/>
          <w:marBottom w:val="0"/>
          <w:divBdr>
            <w:top w:val="none" w:sz="0" w:space="0" w:color="auto"/>
            <w:left w:val="none" w:sz="0" w:space="0" w:color="auto"/>
            <w:bottom w:val="none" w:sz="0" w:space="0" w:color="auto"/>
            <w:right w:val="none" w:sz="0" w:space="0" w:color="auto"/>
          </w:divBdr>
        </w:div>
      </w:divsChild>
    </w:div>
    <w:div w:id="1341279570">
      <w:bodyDiv w:val="1"/>
      <w:marLeft w:val="0"/>
      <w:marRight w:val="0"/>
      <w:marTop w:val="0"/>
      <w:marBottom w:val="0"/>
      <w:divBdr>
        <w:top w:val="none" w:sz="0" w:space="0" w:color="auto"/>
        <w:left w:val="none" w:sz="0" w:space="0" w:color="auto"/>
        <w:bottom w:val="none" w:sz="0" w:space="0" w:color="auto"/>
        <w:right w:val="none" w:sz="0" w:space="0" w:color="auto"/>
      </w:divBdr>
    </w:div>
    <w:div w:id="1787121936">
      <w:bodyDiv w:val="1"/>
      <w:marLeft w:val="0"/>
      <w:marRight w:val="0"/>
      <w:marTop w:val="0"/>
      <w:marBottom w:val="0"/>
      <w:divBdr>
        <w:top w:val="none" w:sz="0" w:space="0" w:color="auto"/>
        <w:left w:val="none" w:sz="0" w:space="0" w:color="auto"/>
        <w:bottom w:val="none" w:sz="0" w:space="0" w:color="auto"/>
        <w:right w:val="none" w:sz="0" w:space="0" w:color="auto"/>
      </w:divBdr>
      <w:divsChild>
        <w:div w:id="1808236038">
          <w:marLeft w:val="0"/>
          <w:marRight w:val="0"/>
          <w:marTop w:val="0"/>
          <w:marBottom w:val="0"/>
          <w:divBdr>
            <w:top w:val="none" w:sz="0" w:space="0" w:color="auto"/>
            <w:left w:val="none" w:sz="0" w:space="0" w:color="auto"/>
            <w:bottom w:val="none" w:sz="0" w:space="0" w:color="auto"/>
            <w:right w:val="none" w:sz="0" w:space="0" w:color="auto"/>
          </w:divBdr>
          <w:divsChild>
            <w:div w:id="14979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hyperlink" Target="http://www.ieagreements.org/assets/Uploads/Documents/Policy/Competence-Agreements-July2017-v1.4.pdf" TargetMode="External"/><Relationship Id="rId21" Type="http://schemas.openxmlformats.org/officeDocument/2006/relationships/hyperlink" Target="http://www.ieagreements.org/assets/Uploads/Documents/History/25YearsWashingtonAccord-A5booklet-FINAL.pdf" TargetMode="External"/><Relationship Id="rId22" Type="http://schemas.openxmlformats.org/officeDocument/2006/relationships/hyperlink" Target="http://jbm.org.uk/downloads.aspx" TargetMode="External"/><Relationship Id="rId23" Type="http://schemas.openxmlformats.org/officeDocument/2006/relationships/hyperlink" Target="http://jbm.org.uk/downloads.aspx"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www.abet.org/accreditation/accreditation-criteria/criteria-for-accrediting-engineering-programs-2017-2018/" TargetMode="External"/><Relationship Id="rId15" Type="http://schemas.openxmlformats.org/officeDocument/2006/relationships/hyperlink" Target="http://www.abet.org/global-presence/substantial-equivalency-2/" TargetMode="External"/><Relationship Id="rId16" Type="http://schemas.openxmlformats.org/officeDocument/2006/relationships/hyperlink" Target="http://www.asce.org/issues-and-advocacy/public-policy/policy-statement-465---academic-prerequisites-for-licensure-and-professional-practice" TargetMode="External"/><Relationship Id="rId17" Type="http://schemas.openxmlformats.org/officeDocument/2006/relationships/hyperlink" Target="http://www.engc.org.uk/EngCDocuments/Internet/Website/Accreditation%20of%20Higher%20Education%20Programmes%20third%20edition%20(1).pdf" TargetMode="External"/><Relationship Id="rId18" Type="http://schemas.openxmlformats.org/officeDocument/2006/relationships/hyperlink" Target="http://www.engc.org.uk/international-activity/international-engineering-education-accords/washington-accord/" TargetMode="External"/><Relationship Id="rId19" Type="http://schemas.openxmlformats.org/officeDocument/2006/relationships/hyperlink" Target="https://www.engc.org.uk/international-activity/international-engineering-education-accords/%20"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5823</Words>
  <Characters>33194</Characters>
  <Application>Microsoft Macintosh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A.A.</dc:creator>
  <cp:keywords/>
  <dc:description/>
  <cp:lastModifiedBy>David Richards</cp:lastModifiedBy>
  <cp:revision>2</cp:revision>
  <cp:lastPrinted>2017-09-28T06:54:00Z</cp:lastPrinted>
  <dcterms:created xsi:type="dcterms:W3CDTF">2017-11-08T10:48:00Z</dcterms:created>
  <dcterms:modified xsi:type="dcterms:W3CDTF">2017-11-08T10:48:00Z</dcterms:modified>
</cp:coreProperties>
</file>