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18" w:rsidRPr="00F90861" w:rsidRDefault="00545764" w:rsidP="000A4B72">
      <w:pPr>
        <w:pStyle w:val="Heading1"/>
        <w:spacing w:line="480" w:lineRule="auto"/>
        <w:rPr>
          <w:rFonts w:asciiTheme="minorHAnsi" w:hAnsiTheme="minorHAnsi"/>
          <w:sz w:val="32"/>
          <w:szCs w:val="32"/>
        </w:rPr>
      </w:pPr>
      <w:r w:rsidRPr="00F90861">
        <w:rPr>
          <w:rFonts w:asciiTheme="minorHAnsi" w:hAnsiTheme="minorHAnsi"/>
          <w:sz w:val="32"/>
          <w:szCs w:val="32"/>
        </w:rPr>
        <w:t>Antiviral treatment of s</w:t>
      </w:r>
      <w:r w:rsidR="007E69A9" w:rsidRPr="00F90861">
        <w:rPr>
          <w:rFonts w:asciiTheme="minorHAnsi" w:hAnsiTheme="minorHAnsi"/>
          <w:sz w:val="32"/>
          <w:szCs w:val="32"/>
        </w:rPr>
        <w:t>evere non-influe</w:t>
      </w:r>
      <w:r w:rsidR="00B857F9" w:rsidRPr="00F90861">
        <w:rPr>
          <w:rFonts w:asciiTheme="minorHAnsi" w:hAnsiTheme="minorHAnsi"/>
          <w:sz w:val="32"/>
          <w:szCs w:val="32"/>
        </w:rPr>
        <w:t>nza respiratory virus infection</w:t>
      </w:r>
    </w:p>
    <w:p w:rsidR="00BF6C2B" w:rsidRPr="00F90861" w:rsidRDefault="00A550B4" w:rsidP="000A4B72">
      <w:pPr>
        <w:pStyle w:val="Heading2"/>
        <w:spacing w:line="480" w:lineRule="auto"/>
        <w:rPr>
          <w:rFonts w:asciiTheme="minorHAnsi" w:hAnsiTheme="minorHAnsi"/>
          <w:b w:val="0"/>
          <w:bCs w:val="0"/>
          <w:sz w:val="28"/>
          <w:szCs w:val="28"/>
        </w:rPr>
      </w:pPr>
      <w:r w:rsidRPr="00F90861">
        <w:rPr>
          <w:rFonts w:asciiTheme="minorHAnsi" w:hAnsiTheme="minorHAnsi"/>
          <w:b w:val="0"/>
          <w:bCs w:val="0"/>
          <w:sz w:val="28"/>
          <w:szCs w:val="28"/>
        </w:rPr>
        <w:t>Nathan J Brendish</w:t>
      </w:r>
      <w:r w:rsidR="00B857F9" w:rsidRPr="00F90861">
        <w:rPr>
          <w:rFonts w:asciiTheme="minorHAnsi" w:hAnsiTheme="minorHAnsi"/>
          <w:b w:val="0"/>
          <w:bCs w:val="0"/>
          <w:sz w:val="28"/>
          <w:szCs w:val="28"/>
          <w:vertAlign w:val="superscript"/>
        </w:rPr>
        <w:t>1</w:t>
      </w:r>
      <w:r w:rsidR="00D859A1" w:rsidRPr="00F90861">
        <w:rPr>
          <w:rFonts w:asciiTheme="minorHAnsi" w:hAnsiTheme="minorHAnsi"/>
          <w:b w:val="0"/>
          <w:bCs w:val="0"/>
          <w:sz w:val="28"/>
          <w:szCs w:val="28"/>
          <w:vertAlign w:val="superscript"/>
        </w:rPr>
        <w:t xml:space="preserve"> </w:t>
      </w:r>
      <w:r w:rsidR="00B857F9" w:rsidRPr="00F90861">
        <w:rPr>
          <w:rFonts w:asciiTheme="minorHAnsi" w:hAnsiTheme="minorHAnsi"/>
          <w:b w:val="0"/>
          <w:bCs w:val="0"/>
          <w:sz w:val="28"/>
          <w:szCs w:val="28"/>
        </w:rPr>
        <w:t>and Tristan</w:t>
      </w:r>
      <w:r w:rsidRPr="00F90861">
        <w:rPr>
          <w:rFonts w:asciiTheme="minorHAnsi" w:hAnsiTheme="minorHAnsi"/>
          <w:b w:val="0"/>
          <w:bCs w:val="0"/>
          <w:sz w:val="28"/>
          <w:szCs w:val="28"/>
        </w:rPr>
        <w:t xml:space="preserve"> W Clark</w:t>
      </w:r>
      <w:r w:rsidR="00B857F9" w:rsidRPr="00F90861">
        <w:rPr>
          <w:rFonts w:asciiTheme="minorHAnsi" w:hAnsiTheme="minorHAnsi"/>
          <w:b w:val="0"/>
          <w:bCs w:val="0"/>
          <w:sz w:val="28"/>
          <w:szCs w:val="28"/>
          <w:vertAlign w:val="superscript"/>
        </w:rPr>
        <w:t>2</w:t>
      </w:r>
    </w:p>
    <w:p w:rsidR="00B857F9" w:rsidRPr="00B857F9" w:rsidRDefault="00B857F9" w:rsidP="00B857F9"/>
    <w:p w:rsidR="00B857F9" w:rsidRDefault="00B857F9" w:rsidP="00B857F9">
      <w:pPr>
        <w:spacing w:after="0" w:line="480" w:lineRule="auto"/>
      </w:pPr>
      <w:r>
        <w:t xml:space="preserve">1. </w:t>
      </w:r>
      <w:r w:rsidR="00A550B4">
        <w:t>Dr Nathan J</w:t>
      </w:r>
      <w:r w:rsidR="003B61AC">
        <w:t>ames</w:t>
      </w:r>
      <w:r w:rsidR="00A550B4">
        <w:t xml:space="preserve"> Brendish MRCP</w:t>
      </w:r>
      <w:r>
        <w:t xml:space="preserve">, </w:t>
      </w:r>
      <w:r w:rsidR="00D859A1">
        <w:t xml:space="preserve">Clinical Research Fellow. </w:t>
      </w:r>
    </w:p>
    <w:p w:rsidR="00A550B4" w:rsidRDefault="00A550B4" w:rsidP="00B857F9">
      <w:pPr>
        <w:spacing w:after="0" w:line="480" w:lineRule="auto"/>
      </w:pPr>
      <w:r>
        <w:t>Clinical and Experimental Sciences, Faculty of Medicine, University of South</w:t>
      </w:r>
      <w:r w:rsidR="00065E3E">
        <w:t>ampton, Southampton, U</w:t>
      </w:r>
      <w:r w:rsidR="00B857F9">
        <w:t xml:space="preserve">nited </w:t>
      </w:r>
      <w:r w:rsidR="00065E3E">
        <w:t>K</w:t>
      </w:r>
      <w:r w:rsidR="00B857F9">
        <w:t>ingdom</w:t>
      </w:r>
    </w:p>
    <w:p w:rsidR="00B857F9" w:rsidRDefault="00B857F9" w:rsidP="00B857F9">
      <w:pPr>
        <w:spacing w:after="0" w:line="480" w:lineRule="auto"/>
      </w:pPr>
      <w:r>
        <w:t xml:space="preserve">2. </w:t>
      </w:r>
      <w:r w:rsidR="003B61AC">
        <w:t>Dr Tristan William Clark</w:t>
      </w:r>
      <w:r w:rsidR="00065E3E">
        <w:t xml:space="preserve"> BM MRCP DTM&amp;H MD</w:t>
      </w:r>
      <w:r w:rsidR="003B61AC">
        <w:t xml:space="preserve">, Associate Professor and Honorary Consultant in Infectious Diseases. </w:t>
      </w:r>
    </w:p>
    <w:p w:rsidR="003B61AC" w:rsidRDefault="003B61AC" w:rsidP="00B857F9">
      <w:pPr>
        <w:spacing w:after="0" w:line="480" w:lineRule="auto"/>
      </w:pPr>
      <w:r>
        <w:t>Clinical and Experimental Sciences, Faculty of Medicine, University of Southampton</w:t>
      </w:r>
      <w:r w:rsidR="00065E3E">
        <w:t>, Southampton, U</w:t>
      </w:r>
      <w:r w:rsidR="004D6507">
        <w:t xml:space="preserve">nited </w:t>
      </w:r>
      <w:r w:rsidR="00065E3E">
        <w:t>K</w:t>
      </w:r>
      <w:r w:rsidR="004D6507">
        <w:t>ingdom</w:t>
      </w:r>
      <w:r w:rsidR="00065E3E">
        <w:t xml:space="preserve">; </w:t>
      </w:r>
      <w:r>
        <w:t xml:space="preserve">NIHR Southampton Biomedical Research Centre, </w:t>
      </w:r>
      <w:r w:rsidR="00065E3E">
        <w:t>S</w:t>
      </w:r>
      <w:r>
        <w:t>outhampton</w:t>
      </w:r>
      <w:r w:rsidR="00065E3E">
        <w:t>, U</w:t>
      </w:r>
      <w:r w:rsidR="004D6507">
        <w:t xml:space="preserve">nited </w:t>
      </w:r>
      <w:r w:rsidR="00065E3E">
        <w:t>K</w:t>
      </w:r>
      <w:r w:rsidR="004D6507">
        <w:t>ingdom</w:t>
      </w:r>
      <w:r w:rsidR="00065E3E">
        <w:t>;</w:t>
      </w:r>
      <w:r>
        <w:t xml:space="preserve"> Department of Infection, University Hospital Southampton NHS Foundation Trust,</w:t>
      </w:r>
      <w:r w:rsidR="00065E3E">
        <w:t xml:space="preserve"> </w:t>
      </w:r>
      <w:r>
        <w:t xml:space="preserve">Southampton </w:t>
      </w:r>
      <w:r w:rsidR="00065E3E">
        <w:t>U</w:t>
      </w:r>
      <w:r w:rsidR="00B857F9">
        <w:t xml:space="preserve">nited </w:t>
      </w:r>
      <w:r w:rsidR="00065E3E">
        <w:t>K</w:t>
      </w:r>
      <w:r w:rsidR="00B857F9">
        <w:t>ingdom</w:t>
      </w:r>
      <w:r w:rsidR="004D6507">
        <w:t>; NIHR Post-Doctoral Fellowship Programme.</w:t>
      </w:r>
    </w:p>
    <w:p w:rsidR="00B857F9" w:rsidRDefault="00B857F9" w:rsidP="00B857F9">
      <w:pPr>
        <w:spacing w:after="0" w:line="480" w:lineRule="auto"/>
      </w:pPr>
    </w:p>
    <w:p w:rsidR="0006575C" w:rsidRPr="00F90861" w:rsidRDefault="00B857F9" w:rsidP="000A4B72">
      <w:pPr>
        <w:pStyle w:val="Heading2"/>
        <w:spacing w:line="480" w:lineRule="auto"/>
        <w:rPr>
          <w:rFonts w:asciiTheme="minorHAnsi" w:hAnsiTheme="minorHAnsi"/>
        </w:rPr>
      </w:pPr>
      <w:r w:rsidRPr="00F90861">
        <w:rPr>
          <w:rFonts w:asciiTheme="minorHAnsi" w:hAnsiTheme="minorHAnsi"/>
        </w:rPr>
        <w:t>C</w:t>
      </w:r>
      <w:r w:rsidR="0006575C" w:rsidRPr="00F90861">
        <w:rPr>
          <w:rFonts w:asciiTheme="minorHAnsi" w:hAnsiTheme="minorHAnsi"/>
        </w:rPr>
        <w:t>orrespondence</w:t>
      </w:r>
    </w:p>
    <w:p w:rsidR="0006575C" w:rsidRDefault="0006575C" w:rsidP="00B857F9">
      <w:pPr>
        <w:spacing w:after="0" w:line="480" w:lineRule="auto"/>
      </w:pPr>
      <w:r>
        <w:t>Dr Tristan W Clark</w:t>
      </w:r>
      <w:r w:rsidR="00065E3E">
        <w:t xml:space="preserve"> </w:t>
      </w:r>
    </w:p>
    <w:p w:rsidR="00B60F6B" w:rsidRDefault="00065E3E" w:rsidP="00B60F6B">
      <w:pPr>
        <w:spacing w:after="0" w:line="480" w:lineRule="auto"/>
      </w:pPr>
      <w:r>
        <w:t>LF101, Clinical and Experimental Sciences, Faculty of Medic</w:t>
      </w:r>
      <w:r w:rsidR="00B60F6B">
        <w:t xml:space="preserve">ine, University of Southampton, </w:t>
      </w:r>
      <w:r>
        <w:t xml:space="preserve">Southampton General Hospital, </w:t>
      </w:r>
      <w:proofErr w:type="spellStart"/>
      <w:r>
        <w:t>Tremona</w:t>
      </w:r>
      <w:proofErr w:type="spellEnd"/>
      <w:r>
        <w:t xml:space="preserve"> Road, Southampton, SO16 6YD, UK</w:t>
      </w:r>
      <w:r w:rsidR="00B60F6B">
        <w:t xml:space="preserve">. </w:t>
      </w:r>
    </w:p>
    <w:p w:rsidR="00B60F6B" w:rsidRDefault="00B60F6B" w:rsidP="00B60F6B">
      <w:pPr>
        <w:spacing w:after="0" w:line="480" w:lineRule="auto"/>
      </w:pPr>
      <w:r>
        <w:t xml:space="preserve">Tel: </w:t>
      </w:r>
      <w:r w:rsidR="004B50C1">
        <w:t>(00 44) 0</w:t>
      </w:r>
      <w:r w:rsidR="004B50C1" w:rsidRPr="004B50C1">
        <w:t>2381208410</w:t>
      </w:r>
    </w:p>
    <w:p w:rsidR="00B857F9" w:rsidRDefault="00B60F6B" w:rsidP="00B60F6B">
      <w:pPr>
        <w:spacing w:after="0" w:line="480" w:lineRule="auto"/>
      </w:pPr>
      <w:r w:rsidRPr="00B60F6B">
        <w:t>T.W.Clark@soton.ac.uk</w:t>
      </w:r>
    </w:p>
    <w:p w:rsidR="00B857F9" w:rsidRDefault="00B857F9" w:rsidP="00B857F9">
      <w:pPr>
        <w:spacing w:after="0" w:line="480" w:lineRule="auto"/>
      </w:pPr>
    </w:p>
    <w:p w:rsidR="00B60F6B" w:rsidRDefault="00B60F6B" w:rsidP="00B857F9">
      <w:pPr>
        <w:spacing w:after="0" w:line="480" w:lineRule="auto"/>
      </w:pPr>
    </w:p>
    <w:p w:rsidR="00B60F6B" w:rsidRDefault="00B60F6B" w:rsidP="00B857F9">
      <w:pPr>
        <w:spacing w:after="0" w:line="480" w:lineRule="auto"/>
      </w:pPr>
    </w:p>
    <w:p w:rsidR="006263B3" w:rsidRPr="00B857F9" w:rsidRDefault="007E69A9" w:rsidP="00B857F9">
      <w:pPr>
        <w:spacing w:after="0" w:line="480" w:lineRule="auto"/>
        <w:rPr>
          <w:b/>
          <w:bCs/>
          <w:sz w:val="28"/>
          <w:szCs w:val="28"/>
        </w:rPr>
      </w:pPr>
      <w:r w:rsidRPr="00B857F9">
        <w:rPr>
          <w:b/>
          <w:bCs/>
          <w:sz w:val="28"/>
          <w:szCs w:val="28"/>
        </w:rPr>
        <w:lastRenderedPageBreak/>
        <w:t>Abstract</w:t>
      </w:r>
      <w:r w:rsidR="00F67FC2" w:rsidRPr="00B857F9">
        <w:rPr>
          <w:b/>
          <w:bCs/>
          <w:sz w:val="28"/>
          <w:szCs w:val="28"/>
        </w:rPr>
        <w:t xml:space="preserve"> </w:t>
      </w:r>
    </w:p>
    <w:p w:rsidR="00AD532C" w:rsidRPr="00AD532C" w:rsidRDefault="00AD532C" w:rsidP="00A5284C">
      <w:pPr>
        <w:spacing w:line="480" w:lineRule="auto"/>
        <w:jc w:val="both"/>
      </w:pPr>
      <w:r>
        <w:rPr>
          <w:i/>
        </w:rPr>
        <w:t>Purpose of review:</w:t>
      </w:r>
      <w:r w:rsidR="008973FE">
        <w:rPr>
          <w:i/>
        </w:rPr>
        <w:t xml:space="preserve"> </w:t>
      </w:r>
      <w:r w:rsidR="008973FE" w:rsidRPr="004826FD">
        <w:t>Non-influenza respiratory vir</w:t>
      </w:r>
      <w:r w:rsidR="00676C51">
        <w:t xml:space="preserve">us infections are </w:t>
      </w:r>
      <w:r w:rsidR="008973FE" w:rsidRPr="004826FD">
        <w:t>a frequ</w:t>
      </w:r>
      <w:r w:rsidR="00676C51">
        <w:t>ent cause of severe acute respiratory infections, especially in infa</w:t>
      </w:r>
      <w:r w:rsidR="00A5284C">
        <w:t>nts, the elderly and the immuno</w:t>
      </w:r>
      <w:r w:rsidR="00676C51">
        <w:t>compromised</w:t>
      </w:r>
      <w:r w:rsidR="008151BE">
        <w:t xml:space="preserve">. </w:t>
      </w:r>
      <w:r w:rsidR="00676C51">
        <w:t xml:space="preserve">We review here the current treatment options for non-influenza respiratory viruses and promising </w:t>
      </w:r>
      <w:r w:rsidR="00733854">
        <w:t xml:space="preserve">candidate antiviral </w:t>
      </w:r>
      <w:r w:rsidR="00676C51">
        <w:t xml:space="preserve">agents </w:t>
      </w:r>
      <w:r w:rsidR="00B60F6B">
        <w:t xml:space="preserve">currently </w:t>
      </w:r>
      <w:r w:rsidR="00676C51">
        <w:t>in development</w:t>
      </w:r>
      <w:r w:rsidR="00B60F6B">
        <w:t>.</w:t>
      </w:r>
    </w:p>
    <w:p w:rsidR="00AD532C" w:rsidRPr="007407FB" w:rsidRDefault="00AD532C" w:rsidP="00A5284C">
      <w:pPr>
        <w:spacing w:line="480" w:lineRule="auto"/>
        <w:jc w:val="both"/>
      </w:pPr>
      <w:r>
        <w:rPr>
          <w:i/>
        </w:rPr>
        <w:t>Recent findings:</w:t>
      </w:r>
      <w:r w:rsidR="008973FE">
        <w:rPr>
          <w:i/>
        </w:rPr>
        <w:t xml:space="preserve"> </w:t>
      </w:r>
      <w:r w:rsidR="00B857F9">
        <w:t>Small molecule</w:t>
      </w:r>
      <w:r w:rsidR="00587C2B">
        <w:t xml:space="preserve"> </w:t>
      </w:r>
      <w:r w:rsidR="0008774D">
        <w:t xml:space="preserve">antiviral agents active against </w:t>
      </w:r>
      <w:r w:rsidR="004826FD" w:rsidRPr="004826FD">
        <w:t>RSV</w:t>
      </w:r>
      <w:r w:rsidR="00BA040E">
        <w:t xml:space="preserve"> such as</w:t>
      </w:r>
      <w:r w:rsidR="0008774D">
        <w:t xml:space="preserve"> ALS-</w:t>
      </w:r>
      <w:r w:rsidR="00587C2B">
        <w:t>8176 and GS-5806</w:t>
      </w:r>
      <w:r w:rsidR="004826FD" w:rsidRPr="004826FD">
        <w:t xml:space="preserve"> show considerable promise in challenge studies</w:t>
      </w:r>
      <w:r w:rsidR="00D859A1">
        <w:t xml:space="preserve"> and are undergoing late phase clinical trials in </w:t>
      </w:r>
      <w:r w:rsidR="009028F6">
        <w:t xml:space="preserve">hospitalised </w:t>
      </w:r>
      <w:r w:rsidR="00D859A1">
        <w:t>adults and children</w:t>
      </w:r>
      <w:r w:rsidR="004826FD" w:rsidRPr="004826FD">
        <w:t>.</w:t>
      </w:r>
      <w:r w:rsidR="004826FD">
        <w:rPr>
          <w:i/>
        </w:rPr>
        <w:t xml:space="preserve"> </w:t>
      </w:r>
      <w:r w:rsidR="007407FB">
        <w:t xml:space="preserve">Monoclonal </w:t>
      </w:r>
      <w:r w:rsidR="00587C2B">
        <w:t xml:space="preserve">antibodies </w:t>
      </w:r>
      <w:r w:rsidR="00D859A1">
        <w:t xml:space="preserve">active </w:t>
      </w:r>
      <w:r w:rsidR="00587C2B">
        <w:t xml:space="preserve">against non-influenza respiratory viruses are broadly at a pre-clinical stage. </w:t>
      </w:r>
      <w:r w:rsidR="00D859A1">
        <w:t>B</w:t>
      </w:r>
      <w:r w:rsidR="00587C2B">
        <w:t>road spectrum antivirals such as favipiravir and nitrazoxanide</w:t>
      </w:r>
      <w:r w:rsidR="00D859A1">
        <w:t xml:space="preserve"> have potential utility in treating illness caused by non-influenza respiratory viruses but </w:t>
      </w:r>
      <w:r w:rsidR="00B60F6B">
        <w:t xml:space="preserve">further </w:t>
      </w:r>
      <w:r w:rsidR="00B857F9">
        <w:t xml:space="preserve">definitive </w:t>
      </w:r>
      <w:r w:rsidR="00D859A1">
        <w:t xml:space="preserve">clinical trials </w:t>
      </w:r>
      <w:r w:rsidR="00CC07A0">
        <w:t xml:space="preserve">are </w:t>
      </w:r>
      <w:r w:rsidR="00B857F9">
        <w:t xml:space="preserve">needed. </w:t>
      </w:r>
    </w:p>
    <w:p w:rsidR="00D859A1" w:rsidRDefault="00AD532C" w:rsidP="00A5284C">
      <w:pPr>
        <w:spacing w:line="480" w:lineRule="auto"/>
        <w:jc w:val="both"/>
      </w:pPr>
      <w:r>
        <w:rPr>
          <w:i/>
        </w:rPr>
        <w:t>Summary:</w:t>
      </w:r>
      <w:r w:rsidR="00BA040E">
        <w:t xml:space="preserve"> Severe non-influenza respiratory virus infection is common and current treatment is </w:t>
      </w:r>
      <w:r w:rsidR="00CC07A0">
        <w:t xml:space="preserve">largely </w:t>
      </w:r>
      <w:r w:rsidR="00BA040E">
        <w:t>supportive</w:t>
      </w:r>
      <w:r w:rsidR="0008774D">
        <w:t>. Ribavirin is used in immunocompromised patients but its use is limited by toxicity and the evidence for its efficacy is weak</w:t>
      </w:r>
      <w:r w:rsidR="00BA040E">
        <w:t xml:space="preserve">. </w:t>
      </w:r>
      <w:r w:rsidR="00D859A1">
        <w:t>Effective</w:t>
      </w:r>
      <w:r w:rsidR="00B857F9">
        <w:t xml:space="preserve"> antiviral</w:t>
      </w:r>
      <w:r w:rsidR="00D859A1">
        <w:t xml:space="preserve"> </w:t>
      </w:r>
      <w:r w:rsidR="00B857F9">
        <w:t>treatment</w:t>
      </w:r>
      <w:r w:rsidR="00D859A1">
        <w:t xml:space="preserve"> for RSV may shortly become available</w:t>
      </w:r>
      <w:r w:rsidR="00CC07A0">
        <w:t>,</w:t>
      </w:r>
      <w:r w:rsidR="00D859A1">
        <w:t xml:space="preserve"> pending the results of </w:t>
      </w:r>
      <w:r w:rsidR="006A2ABB">
        <w:t>ongoing</w:t>
      </w:r>
      <w:r w:rsidR="00CC07A0">
        <w:t xml:space="preserve"> </w:t>
      </w:r>
      <w:r w:rsidR="00D859A1">
        <w:t xml:space="preserve">clinical trials. For other non-influenza viruses </w:t>
      </w:r>
      <w:r w:rsidR="006A2ABB">
        <w:t>effective treatments</w:t>
      </w:r>
      <w:r w:rsidR="003A4189">
        <w:t xml:space="preserve"> may become available in the medium term</w:t>
      </w:r>
      <w:r w:rsidR="006A2ABB">
        <w:t xml:space="preserve">. </w:t>
      </w:r>
      <w:r w:rsidR="00733854">
        <w:t xml:space="preserve">Early </w:t>
      </w:r>
      <w:r w:rsidR="00BA040E">
        <w:t xml:space="preserve">detection of </w:t>
      </w:r>
      <w:r w:rsidR="006A2ABB">
        <w:t xml:space="preserve">respiratory </w:t>
      </w:r>
      <w:r w:rsidR="00BA040E">
        <w:t xml:space="preserve">viruses </w:t>
      </w:r>
      <w:r w:rsidR="00733854">
        <w:t xml:space="preserve">with rapid molecular test platforms </w:t>
      </w:r>
      <w:r w:rsidR="00BA040E">
        <w:t xml:space="preserve">will be crucial in </w:t>
      </w:r>
      <w:r w:rsidR="006A2ABB">
        <w:t xml:space="preserve">differentiating virus types and directing the </w:t>
      </w:r>
      <w:r w:rsidR="00AB1DA0">
        <w:t>prompt initiation of</w:t>
      </w:r>
      <w:r w:rsidR="00B60F6B">
        <w:t xml:space="preserve"> </w:t>
      </w:r>
      <w:r w:rsidR="00BA040E">
        <w:t>no</w:t>
      </w:r>
      <w:r w:rsidR="00AB1DA0">
        <w:t>vel treatments</w:t>
      </w:r>
      <w:r w:rsidR="00733854">
        <w:t xml:space="preserve"> when available</w:t>
      </w:r>
      <w:r w:rsidR="006A2ABB">
        <w:t>.</w:t>
      </w:r>
      <w:r w:rsidR="00AB1DA0">
        <w:t xml:space="preserve"> </w:t>
      </w:r>
    </w:p>
    <w:p w:rsidR="00B60F6B" w:rsidRPr="00BA040E" w:rsidRDefault="00B60F6B" w:rsidP="00B60F6B">
      <w:pPr>
        <w:spacing w:line="480" w:lineRule="auto"/>
        <w:jc w:val="both"/>
      </w:pPr>
    </w:p>
    <w:p w:rsidR="00AD532C" w:rsidRPr="00F90861" w:rsidRDefault="00AD532C" w:rsidP="000A4B72">
      <w:pPr>
        <w:pStyle w:val="Heading2"/>
        <w:spacing w:line="480" w:lineRule="auto"/>
        <w:rPr>
          <w:rFonts w:asciiTheme="minorHAnsi" w:hAnsiTheme="minorHAnsi"/>
          <w:sz w:val="28"/>
          <w:szCs w:val="28"/>
        </w:rPr>
      </w:pPr>
      <w:r w:rsidRPr="00F90861">
        <w:rPr>
          <w:rFonts w:asciiTheme="minorHAnsi" w:hAnsiTheme="minorHAnsi"/>
          <w:sz w:val="28"/>
          <w:szCs w:val="28"/>
        </w:rPr>
        <w:t>Keywords</w:t>
      </w:r>
    </w:p>
    <w:p w:rsidR="00B60F6B" w:rsidRDefault="00AD532C" w:rsidP="00B60F6B">
      <w:pPr>
        <w:spacing w:line="480" w:lineRule="auto"/>
      </w:pPr>
      <w:r>
        <w:t>Respiratory virus</w:t>
      </w:r>
      <w:r w:rsidR="009F3731">
        <w:t>; antiviral</w:t>
      </w:r>
      <w:r w:rsidR="00B857F9">
        <w:t>s</w:t>
      </w:r>
      <w:r w:rsidR="009F3731">
        <w:t>; non-influenza respiratory virus</w:t>
      </w:r>
      <w:r w:rsidR="00B857F9">
        <w:t>; acute respiratory illness</w:t>
      </w:r>
    </w:p>
    <w:p w:rsidR="00B60F6B" w:rsidRDefault="00B60F6B" w:rsidP="00B60F6B">
      <w:pPr>
        <w:spacing w:line="480" w:lineRule="auto"/>
      </w:pPr>
    </w:p>
    <w:p w:rsidR="00B60F6B" w:rsidRDefault="00B60F6B" w:rsidP="00B60F6B">
      <w:pPr>
        <w:spacing w:line="480" w:lineRule="auto"/>
      </w:pPr>
    </w:p>
    <w:p w:rsidR="003A4189" w:rsidRPr="00B60F6B" w:rsidRDefault="007E69A9" w:rsidP="00B60F6B">
      <w:pPr>
        <w:spacing w:after="0" w:line="480" w:lineRule="auto"/>
        <w:rPr>
          <w:b/>
          <w:bCs/>
        </w:rPr>
      </w:pPr>
      <w:r w:rsidRPr="00B60F6B">
        <w:rPr>
          <w:b/>
          <w:bCs/>
          <w:sz w:val="28"/>
          <w:szCs w:val="28"/>
        </w:rPr>
        <w:lastRenderedPageBreak/>
        <w:t>Introduction</w:t>
      </w:r>
    </w:p>
    <w:p w:rsidR="003A4189" w:rsidRDefault="006A2ABB" w:rsidP="00733854">
      <w:pPr>
        <w:pStyle w:val="Heading2"/>
        <w:snapToGrid w:val="0"/>
        <w:spacing w:before="0" w:line="480" w:lineRule="auto"/>
        <w:jc w:val="both"/>
        <w:rPr>
          <w:rFonts w:asciiTheme="minorHAnsi" w:hAnsiTheme="minorHAnsi"/>
          <w:sz w:val="28"/>
          <w:szCs w:val="28"/>
        </w:rPr>
      </w:pPr>
      <w:r w:rsidRPr="003A4189">
        <w:rPr>
          <w:rFonts w:asciiTheme="minorHAnsi" w:hAnsiTheme="minorHAnsi"/>
          <w:b w:val="0"/>
          <w:bCs w:val="0"/>
          <w:sz w:val="22"/>
          <w:szCs w:val="22"/>
        </w:rPr>
        <w:t xml:space="preserve">Non-influenza respiratory viruses </w:t>
      </w:r>
      <w:r w:rsidR="00F67A87" w:rsidRPr="00F67A87">
        <w:rPr>
          <w:rFonts w:asciiTheme="minorHAnsi" w:hAnsiTheme="minorHAnsi"/>
          <w:b w:val="0"/>
          <w:bCs w:val="0"/>
          <w:sz w:val="22"/>
          <w:szCs w:val="22"/>
        </w:rPr>
        <w:t>including respiratory syncytial virus (RSV), coronavirus, parainfluenza viruses, human metapneumovirus, rhinovirus a</w:t>
      </w:r>
      <w:r w:rsidR="00733854">
        <w:rPr>
          <w:rFonts w:asciiTheme="minorHAnsi" w:hAnsiTheme="minorHAnsi"/>
          <w:b w:val="0"/>
          <w:bCs w:val="0"/>
          <w:sz w:val="22"/>
          <w:szCs w:val="22"/>
        </w:rPr>
        <w:t xml:space="preserve">nd adenovirus </w:t>
      </w:r>
      <w:r w:rsidR="00B60F6B">
        <w:rPr>
          <w:rFonts w:asciiTheme="minorHAnsi" w:hAnsiTheme="minorHAnsi"/>
          <w:b w:val="0"/>
          <w:bCs w:val="0"/>
          <w:sz w:val="22"/>
          <w:szCs w:val="22"/>
        </w:rPr>
        <w:t xml:space="preserve">cause severe disease in infants and the immunocompromised and </w:t>
      </w:r>
      <w:r w:rsidRPr="003A4189">
        <w:rPr>
          <w:rFonts w:asciiTheme="minorHAnsi" w:hAnsiTheme="minorHAnsi"/>
          <w:b w:val="0"/>
          <w:bCs w:val="0"/>
          <w:sz w:val="22"/>
          <w:szCs w:val="22"/>
        </w:rPr>
        <w:t>are increasingly recognised as a common cause of severe acute respiratory illness</w:t>
      </w:r>
      <w:r w:rsidR="00B60F6B">
        <w:rPr>
          <w:rFonts w:asciiTheme="minorHAnsi" w:hAnsiTheme="minorHAnsi"/>
          <w:b w:val="0"/>
          <w:bCs w:val="0"/>
          <w:sz w:val="22"/>
          <w:szCs w:val="22"/>
        </w:rPr>
        <w:t xml:space="preserve"> among </w:t>
      </w:r>
      <w:r w:rsidR="00A5284C">
        <w:rPr>
          <w:rFonts w:asciiTheme="minorHAnsi" w:hAnsiTheme="minorHAnsi"/>
          <w:b w:val="0"/>
          <w:bCs w:val="0"/>
          <w:sz w:val="22"/>
          <w:szCs w:val="22"/>
        </w:rPr>
        <w:t xml:space="preserve">non-immunocompromised </w:t>
      </w:r>
      <w:r w:rsidR="004D6507">
        <w:rPr>
          <w:rFonts w:asciiTheme="minorHAnsi" w:hAnsiTheme="minorHAnsi"/>
          <w:b w:val="0"/>
          <w:bCs w:val="0"/>
          <w:sz w:val="22"/>
          <w:szCs w:val="22"/>
        </w:rPr>
        <w:t>hospitalised adults [1,2</w:t>
      </w:r>
      <w:r w:rsidR="00B60F6B">
        <w:rPr>
          <w:rFonts w:asciiTheme="minorHAnsi" w:hAnsiTheme="minorHAnsi"/>
          <w:b w:val="0"/>
          <w:bCs w:val="0"/>
          <w:sz w:val="22"/>
          <w:szCs w:val="22"/>
        </w:rPr>
        <w:t>]</w:t>
      </w:r>
      <w:r w:rsidRPr="003A4189">
        <w:rPr>
          <w:rFonts w:asciiTheme="minorHAnsi" w:hAnsiTheme="minorHAnsi"/>
          <w:b w:val="0"/>
          <w:bCs w:val="0"/>
          <w:sz w:val="22"/>
          <w:szCs w:val="22"/>
        </w:rPr>
        <w:t xml:space="preserve">. </w:t>
      </w:r>
      <w:r w:rsidR="000376FE" w:rsidRPr="003A4189">
        <w:rPr>
          <w:rFonts w:asciiTheme="minorHAnsi" w:hAnsiTheme="minorHAnsi"/>
          <w:b w:val="0"/>
          <w:bCs w:val="0"/>
          <w:sz w:val="22"/>
          <w:szCs w:val="22"/>
        </w:rPr>
        <w:t xml:space="preserve">There are </w:t>
      </w:r>
      <w:r w:rsidR="00060170">
        <w:rPr>
          <w:rFonts w:asciiTheme="minorHAnsi" w:hAnsiTheme="minorHAnsi"/>
          <w:b w:val="0"/>
          <w:bCs w:val="0"/>
          <w:sz w:val="22"/>
          <w:szCs w:val="22"/>
        </w:rPr>
        <w:t xml:space="preserve">currently </w:t>
      </w:r>
      <w:r w:rsidR="004D6507">
        <w:rPr>
          <w:rFonts w:asciiTheme="minorHAnsi" w:hAnsiTheme="minorHAnsi"/>
          <w:b w:val="0"/>
          <w:bCs w:val="0"/>
          <w:sz w:val="22"/>
          <w:szCs w:val="22"/>
        </w:rPr>
        <w:t xml:space="preserve">very few therapeutic </w:t>
      </w:r>
      <w:r w:rsidR="00CC07A0" w:rsidRPr="003A4189">
        <w:rPr>
          <w:rFonts w:asciiTheme="minorHAnsi" w:hAnsiTheme="minorHAnsi"/>
          <w:b w:val="0"/>
          <w:bCs w:val="0"/>
          <w:sz w:val="22"/>
          <w:szCs w:val="22"/>
        </w:rPr>
        <w:t xml:space="preserve">options </w:t>
      </w:r>
      <w:r w:rsidR="003A4189" w:rsidRPr="003A4189">
        <w:rPr>
          <w:rFonts w:asciiTheme="minorHAnsi" w:hAnsiTheme="minorHAnsi"/>
          <w:b w:val="0"/>
          <w:bCs w:val="0"/>
          <w:sz w:val="22"/>
          <w:szCs w:val="22"/>
        </w:rPr>
        <w:t xml:space="preserve">available </w:t>
      </w:r>
      <w:r w:rsidR="00CC07A0" w:rsidRPr="003A4189">
        <w:rPr>
          <w:rFonts w:asciiTheme="minorHAnsi" w:hAnsiTheme="minorHAnsi"/>
          <w:b w:val="0"/>
          <w:bCs w:val="0"/>
          <w:sz w:val="22"/>
          <w:szCs w:val="22"/>
        </w:rPr>
        <w:t xml:space="preserve">for </w:t>
      </w:r>
      <w:r w:rsidR="008151BE" w:rsidRPr="003A4189">
        <w:rPr>
          <w:rFonts w:asciiTheme="minorHAnsi" w:hAnsiTheme="minorHAnsi"/>
          <w:b w:val="0"/>
          <w:bCs w:val="0"/>
          <w:sz w:val="22"/>
          <w:szCs w:val="22"/>
        </w:rPr>
        <w:t>non-influenza respiratory virus infections</w:t>
      </w:r>
      <w:r w:rsidR="003A4189" w:rsidRPr="003A4189">
        <w:rPr>
          <w:rFonts w:asciiTheme="minorHAnsi" w:hAnsiTheme="minorHAnsi"/>
          <w:b w:val="0"/>
          <w:bCs w:val="0"/>
          <w:sz w:val="22"/>
          <w:szCs w:val="22"/>
        </w:rPr>
        <w:t xml:space="preserve"> and management is largely supportive</w:t>
      </w:r>
      <w:r w:rsidR="008151BE" w:rsidRPr="003A4189">
        <w:rPr>
          <w:rFonts w:asciiTheme="minorHAnsi" w:hAnsiTheme="minorHAnsi"/>
          <w:b w:val="0"/>
          <w:bCs w:val="0"/>
          <w:sz w:val="22"/>
          <w:szCs w:val="22"/>
        </w:rPr>
        <w:t xml:space="preserve">. </w:t>
      </w:r>
      <w:r w:rsidR="001D6523" w:rsidRPr="003A4189">
        <w:rPr>
          <w:rFonts w:asciiTheme="minorHAnsi" w:hAnsiTheme="minorHAnsi"/>
          <w:b w:val="0"/>
          <w:bCs w:val="0"/>
          <w:sz w:val="22"/>
          <w:szCs w:val="22"/>
        </w:rPr>
        <w:t xml:space="preserve">This review examines </w:t>
      </w:r>
      <w:r w:rsidR="001B6944" w:rsidRPr="003A4189">
        <w:rPr>
          <w:rFonts w:asciiTheme="minorHAnsi" w:hAnsiTheme="minorHAnsi"/>
          <w:b w:val="0"/>
          <w:bCs w:val="0"/>
          <w:sz w:val="22"/>
          <w:szCs w:val="22"/>
        </w:rPr>
        <w:t>the currently</w:t>
      </w:r>
      <w:r w:rsidR="00060170">
        <w:rPr>
          <w:rFonts w:asciiTheme="minorHAnsi" w:hAnsiTheme="minorHAnsi"/>
          <w:b w:val="0"/>
          <w:bCs w:val="0"/>
          <w:sz w:val="22"/>
          <w:szCs w:val="22"/>
        </w:rPr>
        <w:t xml:space="preserve"> used antiviral agents</w:t>
      </w:r>
      <w:r w:rsidR="001E7120" w:rsidRPr="003A4189">
        <w:rPr>
          <w:rFonts w:asciiTheme="minorHAnsi" w:hAnsiTheme="minorHAnsi"/>
          <w:b w:val="0"/>
          <w:bCs w:val="0"/>
          <w:sz w:val="22"/>
          <w:szCs w:val="22"/>
        </w:rPr>
        <w:t xml:space="preserve"> for severe non-influenza respiratory </w:t>
      </w:r>
      <w:r w:rsidR="00060170">
        <w:rPr>
          <w:rFonts w:asciiTheme="minorHAnsi" w:hAnsiTheme="minorHAnsi"/>
          <w:b w:val="0"/>
          <w:bCs w:val="0"/>
          <w:sz w:val="22"/>
          <w:szCs w:val="22"/>
        </w:rPr>
        <w:t xml:space="preserve">virus infections, and </w:t>
      </w:r>
      <w:r w:rsidR="001B6944">
        <w:rPr>
          <w:rFonts w:asciiTheme="minorHAnsi" w:hAnsiTheme="minorHAnsi"/>
          <w:b w:val="0"/>
          <w:bCs w:val="0"/>
          <w:sz w:val="22"/>
          <w:szCs w:val="22"/>
        </w:rPr>
        <w:t xml:space="preserve">promising </w:t>
      </w:r>
      <w:r w:rsidR="001B6944" w:rsidRPr="003A4189">
        <w:rPr>
          <w:rFonts w:asciiTheme="minorHAnsi" w:hAnsiTheme="minorHAnsi"/>
          <w:b w:val="0"/>
          <w:bCs w:val="0"/>
          <w:sz w:val="22"/>
          <w:szCs w:val="22"/>
        </w:rPr>
        <w:t>antiviral</w:t>
      </w:r>
      <w:r w:rsidR="004510D9" w:rsidRPr="003A4189">
        <w:rPr>
          <w:rFonts w:asciiTheme="minorHAnsi" w:hAnsiTheme="minorHAnsi"/>
          <w:b w:val="0"/>
          <w:bCs w:val="0"/>
          <w:sz w:val="22"/>
          <w:szCs w:val="22"/>
        </w:rPr>
        <w:t xml:space="preserve"> </w:t>
      </w:r>
      <w:r w:rsidR="00733854">
        <w:rPr>
          <w:rFonts w:asciiTheme="minorHAnsi" w:hAnsiTheme="minorHAnsi"/>
          <w:b w:val="0"/>
          <w:bCs w:val="0"/>
          <w:sz w:val="22"/>
          <w:szCs w:val="22"/>
        </w:rPr>
        <w:t>agent</w:t>
      </w:r>
      <w:r w:rsidR="00CC07A0" w:rsidRPr="003A4189">
        <w:rPr>
          <w:rFonts w:asciiTheme="minorHAnsi" w:hAnsiTheme="minorHAnsi"/>
          <w:b w:val="0"/>
          <w:bCs w:val="0"/>
          <w:sz w:val="22"/>
          <w:szCs w:val="22"/>
        </w:rPr>
        <w:t xml:space="preserve"> </w:t>
      </w:r>
      <w:r w:rsidR="00B60F6B">
        <w:rPr>
          <w:rFonts w:asciiTheme="minorHAnsi" w:hAnsiTheme="minorHAnsi"/>
          <w:b w:val="0"/>
          <w:bCs w:val="0"/>
          <w:sz w:val="22"/>
          <w:szCs w:val="22"/>
        </w:rPr>
        <w:t xml:space="preserve">currently in </w:t>
      </w:r>
      <w:r w:rsidR="001E7120" w:rsidRPr="003A4189">
        <w:rPr>
          <w:rFonts w:asciiTheme="minorHAnsi" w:hAnsiTheme="minorHAnsi"/>
          <w:b w:val="0"/>
          <w:bCs w:val="0"/>
          <w:sz w:val="22"/>
          <w:szCs w:val="22"/>
        </w:rPr>
        <w:t>development.</w:t>
      </w:r>
      <w:r w:rsidR="000A4B72" w:rsidRPr="003A4189">
        <w:rPr>
          <w:rFonts w:asciiTheme="minorHAnsi" w:hAnsiTheme="minorHAnsi"/>
          <w:b w:val="0"/>
          <w:bCs w:val="0"/>
          <w:sz w:val="22"/>
          <w:szCs w:val="22"/>
        </w:rPr>
        <w:t xml:space="preserve"> Table 1 lists the range of clinically important non-influenza respiratory virus</w:t>
      </w:r>
      <w:r w:rsidR="00060170">
        <w:rPr>
          <w:rFonts w:asciiTheme="minorHAnsi" w:hAnsiTheme="minorHAnsi"/>
          <w:b w:val="0"/>
          <w:bCs w:val="0"/>
          <w:sz w:val="22"/>
          <w:szCs w:val="22"/>
        </w:rPr>
        <w:t>es and s</w:t>
      </w:r>
      <w:r w:rsidR="00B60F6B">
        <w:rPr>
          <w:rFonts w:asciiTheme="minorHAnsi" w:hAnsiTheme="minorHAnsi"/>
          <w:b w:val="0"/>
          <w:bCs w:val="0"/>
          <w:sz w:val="22"/>
          <w:szCs w:val="22"/>
        </w:rPr>
        <w:t xml:space="preserve">ummarises </w:t>
      </w:r>
      <w:r w:rsidR="00733854">
        <w:rPr>
          <w:rFonts w:asciiTheme="minorHAnsi" w:hAnsiTheme="minorHAnsi"/>
          <w:b w:val="0"/>
          <w:bCs w:val="0"/>
          <w:sz w:val="22"/>
          <w:szCs w:val="22"/>
        </w:rPr>
        <w:t xml:space="preserve">antiviral </w:t>
      </w:r>
      <w:r w:rsidR="00060170">
        <w:rPr>
          <w:rFonts w:asciiTheme="minorHAnsi" w:hAnsiTheme="minorHAnsi"/>
          <w:b w:val="0"/>
          <w:bCs w:val="0"/>
          <w:sz w:val="22"/>
          <w:szCs w:val="22"/>
        </w:rPr>
        <w:t>agents in development</w:t>
      </w:r>
      <w:r w:rsidR="000A4B72" w:rsidRPr="003A4189">
        <w:rPr>
          <w:rFonts w:asciiTheme="minorHAnsi" w:hAnsiTheme="minorHAnsi"/>
          <w:b w:val="0"/>
          <w:bCs w:val="0"/>
          <w:sz w:val="22"/>
          <w:szCs w:val="22"/>
        </w:rPr>
        <w:t>.</w:t>
      </w:r>
    </w:p>
    <w:p w:rsidR="003A4189" w:rsidRPr="003A4189" w:rsidRDefault="003A4189" w:rsidP="003A4189">
      <w:pPr>
        <w:pStyle w:val="Heading2"/>
        <w:snapToGrid w:val="0"/>
        <w:spacing w:before="0" w:line="480" w:lineRule="auto"/>
        <w:rPr>
          <w:rFonts w:asciiTheme="minorHAnsi" w:hAnsiTheme="minorHAnsi"/>
          <w:sz w:val="22"/>
          <w:szCs w:val="22"/>
        </w:rPr>
      </w:pPr>
    </w:p>
    <w:p w:rsidR="003A4189" w:rsidRPr="00064141" w:rsidRDefault="00545764" w:rsidP="00064141">
      <w:pPr>
        <w:spacing w:after="0" w:line="480" w:lineRule="auto"/>
        <w:jc w:val="both"/>
        <w:rPr>
          <w:b/>
          <w:bCs/>
          <w:sz w:val="28"/>
          <w:szCs w:val="28"/>
        </w:rPr>
      </w:pPr>
      <w:r w:rsidRPr="00064141">
        <w:rPr>
          <w:b/>
          <w:bCs/>
          <w:sz w:val="28"/>
          <w:szCs w:val="28"/>
        </w:rPr>
        <w:t>Broad-spectrum antiviral agents</w:t>
      </w:r>
    </w:p>
    <w:p w:rsidR="007215BA" w:rsidRDefault="00C24956" w:rsidP="00733854">
      <w:pPr>
        <w:spacing w:after="0" w:line="480" w:lineRule="auto"/>
        <w:jc w:val="both"/>
      </w:pPr>
      <w:r>
        <w:t xml:space="preserve">The </w:t>
      </w:r>
      <w:r w:rsidR="002F4460">
        <w:t xml:space="preserve">oral </w:t>
      </w:r>
      <w:r w:rsidRPr="003A4189">
        <w:t>antiprot</w:t>
      </w:r>
      <w:r>
        <w:t xml:space="preserve">ozoal drug Nitazoxanide has </w:t>
      </w:r>
      <w:r w:rsidRPr="00C24956">
        <w:rPr>
          <w:i/>
          <w:iCs/>
        </w:rPr>
        <w:t>in vitro</w:t>
      </w:r>
      <w:r>
        <w:t xml:space="preserve"> antiviral activity </w:t>
      </w:r>
      <w:r w:rsidRPr="00C24956">
        <w:t xml:space="preserve">against </w:t>
      </w:r>
      <w:r w:rsidR="002F4460">
        <w:t xml:space="preserve">a </w:t>
      </w:r>
      <w:r w:rsidRPr="00C24956">
        <w:t xml:space="preserve">range of </w:t>
      </w:r>
      <w:r>
        <w:t xml:space="preserve">respiratory viruses including </w:t>
      </w:r>
      <w:r w:rsidR="002F4460">
        <w:t xml:space="preserve">influenza, </w:t>
      </w:r>
      <w:r>
        <w:t xml:space="preserve">RSV and </w:t>
      </w:r>
      <w:r w:rsidR="00733854">
        <w:t>Middle East respiratory syndrome-coronavirus (</w:t>
      </w:r>
      <w:r>
        <w:t>MERS-CoV</w:t>
      </w:r>
      <w:r w:rsidR="00733854">
        <w:t>)</w:t>
      </w:r>
      <w:r w:rsidR="002F4460">
        <w:t xml:space="preserve"> </w:t>
      </w:r>
      <w:r w:rsidR="003C1E42">
        <w:t>[3</w:t>
      </w:r>
      <w:proofErr w:type="gramStart"/>
      <w:r w:rsidR="003C1E42">
        <w:t>,</w:t>
      </w:r>
      <w:r w:rsidR="00C203BB">
        <w:t>4</w:t>
      </w:r>
      <w:proofErr w:type="gramEnd"/>
      <w:r>
        <w:t>]</w:t>
      </w:r>
      <w:r w:rsidR="002F4460">
        <w:t xml:space="preserve"> and also </w:t>
      </w:r>
      <w:r w:rsidR="00733854">
        <w:t xml:space="preserve">against non-respiratory viruses </w:t>
      </w:r>
      <w:r w:rsidR="002F4460">
        <w:t>including hepatitis C, dengue virus, rotavirus and norovirus</w:t>
      </w:r>
      <w:r>
        <w:t xml:space="preserve">. </w:t>
      </w:r>
      <w:r w:rsidR="002F4460">
        <w:t xml:space="preserve">Nitazoxanide is a small molecule drug that targets host-regulated processes involved in viral replication. </w:t>
      </w:r>
      <w:r>
        <w:t xml:space="preserve">It has </w:t>
      </w:r>
      <w:r w:rsidR="00D044F0" w:rsidRPr="003A4189">
        <w:t>been investigated as a</w:t>
      </w:r>
      <w:r w:rsidR="00AD40D9" w:rsidRPr="003A4189">
        <w:t>n oral</w:t>
      </w:r>
      <w:r w:rsidR="00D044F0" w:rsidRPr="003A4189">
        <w:t xml:space="preserve"> treatment for</w:t>
      </w:r>
      <w:r>
        <w:t xml:space="preserve"> a several</w:t>
      </w:r>
      <w:r w:rsidR="00D044F0" w:rsidRPr="003A4189">
        <w:t xml:space="preserve"> viral infections, including </w:t>
      </w:r>
      <w:r>
        <w:t xml:space="preserve">influenza, </w:t>
      </w:r>
      <w:r w:rsidR="007215BA">
        <w:t xml:space="preserve">viral gastroenteritis </w:t>
      </w:r>
      <w:r>
        <w:t>and</w:t>
      </w:r>
      <w:r w:rsidR="007215BA">
        <w:t xml:space="preserve"> chronic</w:t>
      </w:r>
      <w:r>
        <w:t xml:space="preserve"> hepatitis C</w:t>
      </w:r>
      <w:r w:rsidR="00C203BB">
        <w:t xml:space="preserve"> [3]</w:t>
      </w:r>
      <w:r w:rsidR="004D6653" w:rsidRPr="003A4189">
        <w:t>.</w:t>
      </w:r>
      <w:r w:rsidR="00C203BB">
        <w:rPr>
          <w:rFonts w:cs="Times New Roman"/>
          <w:noProof/>
          <w:szCs w:val="24"/>
          <w:lang w:bidi="ar-SA"/>
        </w:rPr>
        <w:t xml:space="preserve"> </w:t>
      </w:r>
      <w:r w:rsidR="002F4460">
        <w:t>A</w:t>
      </w:r>
      <w:r w:rsidR="00BB3A7A">
        <w:t xml:space="preserve"> large phase 2b/3</w:t>
      </w:r>
      <w:r w:rsidR="009D5677" w:rsidRPr="003A4189">
        <w:t xml:space="preserve"> </w:t>
      </w:r>
      <w:r w:rsidR="007215BA">
        <w:t xml:space="preserve">placebo </w:t>
      </w:r>
      <w:r w:rsidR="009D5677" w:rsidRPr="003A4189">
        <w:t xml:space="preserve">controlled trial </w:t>
      </w:r>
      <w:r w:rsidR="00BC4488" w:rsidRPr="003A4189">
        <w:t xml:space="preserve">of nitazoxanide treatment in </w:t>
      </w:r>
      <w:r w:rsidR="007215BA">
        <w:t xml:space="preserve">adolescents and </w:t>
      </w:r>
      <w:r w:rsidR="00BC4488" w:rsidRPr="003A4189">
        <w:t>adults with influenza-like illness</w:t>
      </w:r>
      <w:r w:rsidR="009D5677" w:rsidRPr="003A4189">
        <w:t xml:space="preserve"> </w:t>
      </w:r>
      <w:r w:rsidR="002F4460" w:rsidRPr="002F4460">
        <w:t xml:space="preserve">in primary care </w:t>
      </w:r>
      <w:r w:rsidR="009D5677" w:rsidRPr="003A4189">
        <w:t xml:space="preserve">showed a </w:t>
      </w:r>
      <w:r>
        <w:t>reduction in</w:t>
      </w:r>
      <w:r w:rsidR="009D5677" w:rsidRPr="003A4189">
        <w:t xml:space="preserve"> </w:t>
      </w:r>
      <w:r w:rsidR="007215BA">
        <w:t xml:space="preserve">the duration of </w:t>
      </w:r>
      <w:r w:rsidR="009D5677" w:rsidRPr="003A4189">
        <w:t>sym</w:t>
      </w:r>
      <w:r w:rsidR="00BC4488" w:rsidRPr="003A4189">
        <w:t xml:space="preserve">ptoms in adults with influenza and </w:t>
      </w:r>
      <w:r w:rsidR="00D044F0" w:rsidRPr="003A4189">
        <w:t xml:space="preserve">also </w:t>
      </w:r>
      <w:r w:rsidRPr="00C24956">
        <w:t>in those with non-influenza respiratory virus infection</w:t>
      </w:r>
      <w:r w:rsidR="00C203BB">
        <w:t xml:space="preserve"> [5]</w:t>
      </w:r>
      <w:r w:rsidR="00BC4488" w:rsidRPr="00C24956">
        <w:t>.</w:t>
      </w:r>
      <w:r>
        <w:t xml:space="preserve"> </w:t>
      </w:r>
      <w:r w:rsidR="000E32F6" w:rsidRPr="003A4189">
        <w:rPr>
          <w:rFonts w:cs="Times New Roman"/>
          <w:noProof/>
          <w:szCs w:val="24"/>
          <w:lang w:bidi="ar-SA"/>
        </w:rPr>
        <w:t xml:space="preserve"> </w:t>
      </w:r>
    </w:p>
    <w:p w:rsidR="007215BA" w:rsidRDefault="007215BA" w:rsidP="007215BA">
      <w:pPr>
        <w:spacing w:after="0" w:line="480" w:lineRule="auto"/>
        <w:jc w:val="both"/>
      </w:pPr>
    </w:p>
    <w:p w:rsidR="00416266" w:rsidRDefault="00416266" w:rsidP="00C203BB">
      <w:pPr>
        <w:spacing w:after="0" w:line="480" w:lineRule="auto"/>
        <w:jc w:val="both"/>
      </w:pPr>
      <w:r w:rsidRPr="003A4189">
        <w:t>Favipiravir</w:t>
      </w:r>
      <w:r w:rsidR="00381335" w:rsidRPr="003A4189">
        <w:t xml:space="preserve"> (T-705) is an </w:t>
      </w:r>
      <w:r w:rsidR="00AD40D9" w:rsidRPr="003A4189">
        <w:t xml:space="preserve">oral </w:t>
      </w:r>
      <w:r w:rsidR="007215BA">
        <w:t xml:space="preserve">agent that </w:t>
      </w:r>
      <w:r w:rsidR="007215BA" w:rsidRPr="007215BA">
        <w:t xml:space="preserve">inhibits the RNA-dependent RNA polymerase of </w:t>
      </w:r>
      <w:r w:rsidR="005B3477" w:rsidRPr="003A4189">
        <w:t>wide range of RNA viru</w:t>
      </w:r>
      <w:r w:rsidR="007215BA">
        <w:t>ses including influenza,</w:t>
      </w:r>
      <w:r w:rsidR="00553534">
        <w:t xml:space="preserve"> RSV and rhinoviruses as </w:t>
      </w:r>
      <w:r w:rsidR="005B3477" w:rsidRPr="003A4189">
        <w:t>w</w:t>
      </w:r>
      <w:r w:rsidR="00553534">
        <w:t xml:space="preserve">ell as many non-respiratory RNA viruses </w:t>
      </w:r>
      <w:r w:rsidR="00C203BB">
        <w:rPr>
          <w:rFonts w:cs="Times New Roman"/>
          <w:noProof/>
          <w:szCs w:val="24"/>
          <w:lang w:bidi="ar-SA"/>
        </w:rPr>
        <w:t>[6</w:t>
      </w:r>
      <w:r w:rsidR="000E32F6" w:rsidRPr="003A4189">
        <w:rPr>
          <w:rFonts w:cs="Times New Roman"/>
          <w:noProof/>
          <w:szCs w:val="24"/>
          <w:lang w:bidi="ar-SA"/>
        </w:rPr>
        <w:t>]</w:t>
      </w:r>
      <w:r w:rsidR="000E32F6" w:rsidRPr="003A4189">
        <w:rPr>
          <w:noProof/>
        </w:rPr>
        <w:t xml:space="preserve"> </w:t>
      </w:r>
      <w:r w:rsidR="007215BA">
        <w:t xml:space="preserve">and was </w:t>
      </w:r>
      <w:r w:rsidR="001B7B02" w:rsidRPr="003A4189">
        <w:t>used as an experimental treatment for Ebola virus infection</w:t>
      </w:r>
      <w:r w:rsidR="00553534">
        <w:t xml:space="preserve"> during the recent epidemic</w:t>
      </w:r>
      <w:r w:rsidR="00C203BB">
        <w:t xml:space="preserve"> </w:t>
      </w:r>
      <w:r w:rsidR="00C203BB">
        <w:lastRenderedPageBreak/>
        <w:t>[7]</w:t>
      </w:r>
      <w:r w:rsidR="001B7B02" w:rsidRPr="003A4189">
        <w:t>.</w:t>
      </w:r>
      <w:r w:rsidR="00C203BB">
        <w:rPr>
          <w:rFonts w:cs="Times New Roman"/>
          <w:noProof/>
          <w:szCs w:val="24"/>
          <w:lang w:bidi="ar-SA"/>
        </w:rPr>
        <w:t xml:space="preserve"> </w:t>
      </w:r>
      <w:r w:rsidR="00553534">
        <w:t>C</w:t>
      </w:r>
      <w:r w:rsidR="001B7B02" w:rsidRPr="003A4189">
        <w:t xml:space="preserve">linical trials of favipiravir </w:t>
      </w:r>
      <w:r w:rsidR="00553534">
        <w:t>have been conducted in patients with uncomplicated influenza and</w:t>
      </w:r>
      <w:r w:rsidR="00A01A1F">
        <w:t xml:space="preserve"> it is approved for the treatment of influenza in Japan</w:t>
      </w:r>
      <w:r w:rsidR="00C203BB">
        <w:t xml:space="preserve"> [8</w:t>
      </w:r>
      <w:r w:rsidR="000E32F6" w:rsidRPr="003A4189">
        <w:rPr>
          <w:rFonts w:cs="Times New Roman"/>
          <w:noProof/>
          <w:szCs w:val="24"/>
          <w:lang w:bidi="ar-SA"/>
        </w:rPr>
        <w:t>]</w:t>
      </w:r>
      <w:r w:rsidR="00C203BB">
        <w:rPr>
          <w:rFonts w:cs="Times New Roman"/>
          <w:noProof/>
          <w:szCs w:val="24"/>
          <w:lang w:bidi="ar-SA"/>
        </w:rPr>
        <w:t>.</w:t>
      </w:r>
      <w:r w:rsidR="000E32F6" w:rsidRPr="003A4189">
        <w:rPr>
          <w:noProof/>
        </w:rPr>
        <w:t xml:space="preserve"> </w:t>
      </w:r>
      <w:r w:rsidR="00272205" w:rsidRPr="003A4189">
        <w:rPr>
          <w:noProof/>
        </w:rPr>
        <w:t xml:space="preserve"> </w:t>
      </w:r>
    </w:p>
    <w:p w:rsidR="003A4189" w:rsidRPr="003A4189" w:rsidRDefault="003A4189" w:rsidP="003A4189">
      <w:pPr>
        <w:spacing w:after="0" w:line="480" w:lineRule="auto"/>
        <w:jc w:val="both"/>
      </w:pPr>
    </w:p>
    <w:p w:rsidR="007E69A9" w:rsidRDefault="003A4189" w:rsidP="000A4B72">
      <w:pPr>
        <w:pStyle w:val="Heading2"/>
        <w:spacing w:line="480" w:lineRule="auto"/>
        <w:rPr>
          <w:rFonts w:asciiTheme="minorHAnsi" w:hAnsiTheme="minorHAnsi"/>
          <w:sz w:val="28"/>
          <w:szCs w:val="28"/>
        </w:rPr>
      </w:pPr>
      <w:r w:rsidRPr="00F90861">
        <w:rPr>
          <w:rFonts w:asciiTheme="minorHAnsi" w:hAnsiTheme="minorHAnsi"/>
          <w:sz w:val="28"/>
          <w:szCs w:val="28"/>
        </w:rPr>
        <w:t>Respiratory syncytial virus (RSV)</w:t>
      </w:r>
    </w:p>
    <w:p w:rsidR="0036438E" w:rsidRDefault="0036438E" w:rsidP="00733854">
      <w:pPr>
        <w:spacing w:after="0" w:line="480" w:lineRule="auto"/>
        <w:jc w:val="both"/>
      </w:pPr>
      <w:r w:rsidRPr="0036438E">
        <w:t>Ribavirin is a nucleoside analogue which interferes with RNA metabolism required for viral replication and has a broad-spectrum of activity ag</w:t>
      </w:r>
      <w:r w:rsidR="00C203BB">
        <w:t xml:space="preserve">ainst many RNA and DNA viruses [9]. </w:t>
      </w:r>
      <w:r w:rsidRPr="0036438E">
        <w:t>It is mainly used in the aerosolised form for RSV infection but oral and intravenous for</w:t>
      </w:r>
      <w:r>
        <w:t xml:space="preserve">mulations have also been used. </w:t>
      </w:r>
      <w:r w:rsidRPr="0036438E">
        <w:t>Ribavir</w:t>
      </w:r>
      <w:r w:rsidR="009F725C">
        <w:t>i</w:t>
      </w:r>
      <w:r w:rsidRPr="0036438E">
        <w:t xml:space="preserve">n has been used in infants with severe RSV induced bronchiolitis </w:t>
      </w:r>
      <w:r w:rsidR="00F37662">
        <w:t xml:space="preserve">although trials have not shown consistent benefits </w:t>
      </w:r>
      <w:r w:rsidRPr="0036438E">
        <w:t xml:space="preserve">and </w:t>
      </w:r>
      <w:r w:rsidR="00F37662">
        <w:t xml:space="preserve">there are </w:t>
      </w:r>
      <w:r w:rsidR="008A3323">
        <w:t xml:space="preserve">concerns over </w:t>
      </w:r>
      <w:r w:rsidRPr="0036438E">
        <w:t>toxicity</w:t>
      </w:r>
      <w:r w:rsidR="00F37662" w:rsidRPr="00F37662">
        <w:t xml:space="preserve"> in this group</w:t>
      </w:r>
      <w:r w:rsidR="00F37662">
        <w:t xml:space="preserve"> [10]</w:t>
      </w:r>
      <w:r w:rsidRPr="0036438E">
        <w:t>. In sever</w:t>
      </w:r>
      <w:r w:rsidR="00733854">
        <w:t>ely immunocompromised patients (</w:t>
      </w:r>
      <w:r w:rsidRPr="0036438E">
        <w:t xml:space="preserve">principally haematopoietic stem cell transplant </w:t>
      </w:r>
      <w:r w:rsidR="00733854">
        <w:t xml:space="preserve">recipients) </w:t>
      </w:r>
      <w:r w:rsidRPr="0036438E">
        <w:t>ae</w:t>
      </w:r>
      <w:r w:rsidR="00F37662">
        <w:t xml:space="preserve">rosolised ribavirin treatment </w:t>
      </w:r>
      <w:r w:rsidR="00210D15">
        <w:t xml:space="preserve">is </w:t>
      </w:r>
      <w:r w:rsidRPr="0036438E">
        <w:t xml:space="preserve">used </w:t>
      </w:r>
      <w:r w:rsidR="00F37662">
        <w:t>to prevent</w:t>
      </w:r>
      <w:r w:rsidRPr="0036438E">
        <w:t xml:space="preserve"> RSV upper respiratory tract infection (URTI) progressing to a lower respirator</w:t>
      </w:r>
      <w:r w:rsidR="00F37662">
        <w:t>y tract infection (LRTI) and to reduce</w:t>
      </w:r>
      <w:r w:rsidRPr="0036438E">
        <w:t xml:space="preserve"> mortality in RSV lowe</w:t>
      </w:r>
      <w:r w:rsidR="008A3323">
        <w:t xml:space="preserve">r respiratory tract infection. </w:t>
      </w:r>
      <w:r w:rsidRPr="0036438E">
        <w:t>Observational studies suggest that ribavirin reduces the risk of progression from URTI to LRTI and mortality, especially when co</w:t>
      </w:r>
      <w:r w:rsidR="00F37662">
        <w:t>mmenced early in infection [11-13</w:t>
      </w:r>
      <w:r w:rsidRPr="0036438E">
        <w:t>]</w:t>
      </w:r>
      <w:r w:rsidR="00210D15">
        <w:t>,</w:t>
      </w:r>
      <w:r w:rsidRPr="0036438E">
        <w:t xml:space="preserve"> however definitive proof of efficacy from </w:t>
      </w:r>
      <w:r>
        <w:t xml:space="preserve">high quality </w:t>
      </w:r>
      <w:r w:rsidRPr="0036438E">
        <w:t xml:space="preserve">randomised controlled trials is lacking. The use of ribavirin is </w:t>
      </w:r>
      <w:r w:rsidR="008A3323">
        <w:t xml:space="preserve">further </w:t>
      </w:r>
      <w:r w:rsidR="00F37662">
        <w:t xml:space="preserve">limited by its toxicity and </w:t>
      </w:r>
      <w:r w:rsidRPr="0036438E">
        <w:t>difficulties in safe administration of the aerosolised form</w:t>
      </w:r>
      <w:r w:rsidR="00F37662">
        <w:t xml:space="preserve">. </w:t>
      </w:r>
      <w:r w:rsidR="00733854">
        <w:t>Ribavirin is</w:t>
      </w:r>
      <w:r w:rsidRPr="0036438E">
        <w:t xml:space="preserve"> teratogenic and </w:t>
      </w:r>
      <w:r w:rsidR="008A3323">
        <w:t>occupational exposure of staff can occur, and it</w:t>
      </w:r>
      <w:r w:rsidR="00F37662">
        <w:t xml:space="preserve">s use </w:t>
      </w:r>
      <w:r w:rsidRPr="0036438E">
        <w:t xml:space="preserve">has </w:t>
      </w:r>
      <w:r w:rsidR="00F37662">
        <w:t xml:space="preserve">also </w:t>
      </w:r>
      <w:r w:rsidRPr="0036438E">
        <w:t>been associated with respiratory deterioration.</w:t>
      </w:r>
      <w:r>
        <w:t xml:space="preserve"> The oral and intravenous formulations are also associated with haematological toxicity</w:t>
      </w:r>
      <w:r w:rsidR="00F37662">
        <w:t xml:space="preserve"> and are contraindicated in renal impairment</w:t>
      </w:r>
      <w:r>
        <w:t>.</w:t>
      </w:r>
    </w:p>
    <w:p w:rsidR="0036438E" w:rsidRPr="0036438E" w:rsidRDefault="0036438E" w:rsidP="0036438E">
      <w:pPr>
        <w:spacing w:after="0" w:line="480" w:lineRule="auto"/>
        <w:jc w:val="both"/>
      </w:pPr>
    </w:p>
    <w:p w:rsidR="00F90861" w:rsidRDefault="001B7B02" w:rsidP="00917B0F">
      <w:pPr>
        <w:spacing w:after="0" w:line="480" w:lineRule="auto"/>
        <w:jc w:val="both"/>
      </w:pPr>
      <w:r>
        <w:t>There ha</w:t>
      </w:r>
      <w:r w:rsidR="00AD40D9">
        <w:t xml:space="preserve">ve been two </w:t>
      </w:r>
      <w:r w:rsidR="00C30C31">
        <w:t xml:space="preserve">recent </w:t>
      </w:r>
      <w:r w:rsidR="00AD40D9">
        <w:t>landmark human challenge stud</w:t>
      </w:r>
      <w:r w:rsidR="00092829">
        <w:t>ies of</w:t>
      </w:r>
      <w:r w:rsidR="00AD40D9">
        <w:t xml:space="preserve"> </w:t>
      </w:r>
      <w:r w:rsidR="00256BC9">
        <w:t xml:space="preserve">small molecule </w:t>
      </w:r>
      <w:r w:rsidR="00AD40D9">
        <w:t>anti-RSV</w:t>
      </w:r>
      <w:r w:rsidR="00256BC9">
        <w:t xml:space="preserve"> agents</w:t>
      </w:r>
      <w:r w:rsidR="00B60F6B">
        <w:t xml:space="preserve">. </w:t>
      </w:r>
      <w:r w:rsidR="00AD40D9">
        <w:t>GS-5806</w:t>
      </w:r>
      <w:r w:rsidR="00BA5788">
        <w:t xml:space="preserve"> </w:t>
      </w:r>
      <w:r w:rsidR="00C30C31">
        <w:t xml:space="preserve">(Presatovir) </w:t>
      </w:r>
      <w:r w:rsidR="00256BC9">
        <w:t>is a</w:t>
      </w:r>
      <w:r w:rsidR="00BE17B4">
        <w:t>n F-protein (</w:t>
      </w:r>
      <w:r w:rsidR="00256BC9">
        <w:t>fusion</w:t>
      </w:r>
      <w:r w:rsidR="00BE17B4">
        <w:t>)</w:t>
      </w:r>
      <w:r w:rsidR="00256BC9">
        <w:t xml:space="preserve"> inhibitor that </w:t>
      </w:r>
      <w:r w:rsidR="00BA5788">
        <w:t>inhibits RSV entry into cells by blocking viral-envelope fusion with the host-cell membrane. GS-5806</w:t>
      </w:r>
      <w:r w:rsidR="00AD40D9">
        <w:t xml:space="preserve"> reduced </w:t>
      </w:r>
      <w:r w:rsidR="00256BC9">
        <w:t xml:space="preserve">RSV </w:t>
      </w:r>
      <w:r w:rsidR="00AD40D9">
        <w:t xml:space="preserve">viral </w:t>
      </w:r>
      <w:r w:rsidR="00256BC9">
        <w:t xml:space="preserve">load by </w:t>
      </w:r>
      <w:r w:rsidR="00917B0F">
        <w:t xml:space="preserve">around </w:t>
      </w:r>
      <w:r w:rsidR="00256BC9">
        <w:t xml:space="preserve">4-logs </w:t>
      </w:r>
      <w:r w:rsidR="003A4189">
        <w:t>and</w:t>
      </w:r>
      <w:r w:rsidR="00AD40D9">
        <w:t xml:space="preserve"> </w:t>
      </w:r>
      <w:r w:rsidR="00256BC9">
        <w:t xml:space="preserve">reduced the </w:t>
      </w:r>
      <w:r w:rsidR="00AD40D9">
        <w:t xml:space="preserve">severity of clinical </w:t>
      </w:r>
      <w:r w:rsidR="00C30C31">
        <w:t>symptoms</w:t>
      </w:r>
      <w:r w:rsidR="009763A0">
        <w:t xml:space="preserve"> compared to placebo</w:t>
      </w:r>
      <w:r w:rsidR="00AD40D9">
        <w:t xml:space="preserve"> in healthy adults infected with RSV</w:t>
      </w:r>
      <w:r w:rsidR="00256BC9">
        <w:t xml:space="preserve"> in a human challenge study</w:t>
      </w:r>
      <w:r w:rsidR="00AD40D9">
        <w:t xml:space="preserve">. Adverse events associated with GS-5806 included </w:t>
      </w:r>
      <w:r w:rsidR="003A4189">
        <w:t>leukopenia</w:t>
      </w:r>
      <w:r w:rsidR="00C30C31">
        <w:t xml:space="preserve"> </w:t>
      </w:r>
      <w:r w:rsidR="00AD40D9">
        <w:t xml:space="preserve">and </w:t>
      </w:r>
      <w:r w:rsidR="00AD40D9">
        <w:lastRenderedPageBreak/>
        <w:t>raised levels of alanine aminotransferase</w:t>
      </w:r>
      <w:r w:rsidR="00792F07">
        <w:t xml:space="preserve"> although t</w:t>
      </w:r>
      <w:r w:rsidR="00256BC9">
        <w:t>hese events were generally mild and the drug was well tolerated</w:t>
      </w:r>
      <w:r w:rsidR="00184683">
        <w:t xml:space="preserve"> [13]</w:t>
      </w:r>
      <w:r w:rsidR="00792F07">
        <w:t xml:space="preserve">. </w:t>
      </w:r>
      <w:r w:rsidR="000E32F6" w:rsidRPr="000E32F6">
        <w:rPr>
          <w:rFonts w:ascii="Calibri" w:hAnsi="Calibri"/>
          <w:noProof/>
        </w:rPr>
        <w:t xml:space="preserve"> </w:t>
      </w:r>
      <w:r w:rsidR="00092829">
        <w:t>ALS-8176</w:t>
      </w:r>
      <w:r w:rsidR="00BA5788">
        <w:t xml:space="preserve"> (</w:t>
      </w:r>
      <w:r w:rsidR="00C30C31">
        <w:t>Lumicitabine</w:t>
      </w:r>
      <w:r w:rsidR="00BA5788">
        <w:t>)</w:t>
      </w:r>
      <w:r w:rsidR="009763A0">
        <w:t xml:space="preserve"> is a nucleoside </w:t>
      </w:r>
      <w:r w:rsidR="004661B1">
        <w:t>analogue</w:t>
      </w:r>
      <w:r w:rsidR="009763A0">
        <w:t xml:space="preserve"> </w:t>
      </w:r>
      <w:r w:rsidR="00256BC9">
        <w:t xml:space="preserve">and inhibits of the L-protein, the RNA-dependent RNA-polymerase of RSV. </w:t>
      </w:r>
      <w:r w:rsidR="00BA5788">
        <w:t>It inhibits RSV replication within cells already infected and protects uninfected cells from infection. ALS-8176</w:t>
      </w:r>
      <w:r w:rsidR="00092829">
        <w:t xml:space="preserve"> </w:t>
      </w:r>
      <w:r w:rsidR="00C30C31">
        <w:t>was associate</w:t>
      </w:r>
      <w:r w:rsidR="003A4189">
        <w:t>d</w:t>
      </w:r>
      <w:r w:rsidR="00BE17B4">
        <w:t xml:space="preserve"> with a </w:t>
      </w:r>
      <w:r w:rsidR="009763A0">
        <w:t xml:space="preserve">reduction in viral load </w:t>
      </w:r>
      <w:r w:rsidR="00BE17B4">
        <w:t xml:space="preserve">to undetectable levels </w:t>
      </w:r>
      <w:r w:rsidR="00C30C31">
        <w:t xml:space="preserve">and </w:t>
      </w:r>
      <w:r w:rsidR="00256BC9">
        <w:t xml:space="preserve">reduced </w:t>
      </w:r>
      <w:r w:rsidR="00C30C31">
        <w:t xml:space="preserve">severity of </w:t>
      </w:r>
      <w:r w:rsidR="009763A0">
        <w:t>clinical s</w:t>
      </w:r>
      <w:r w:rsidR="00C30C31">
        <w:t>ymptoms</w:t>
      </w:r>
      <w:r w:rsidR="009763A0">
        <w:t xml:space="preserve"> compared to placebo in a</w:t>
      </w:r>
      <w:r w:rsidR="00256BC9">
        <w:t>n</w:t>
      </w:r>
      <w:r w:rsidR="009763A0">
        <w:t xml:space="preserve"> RSV human challenge study.</w:t>
      </w:r>
      <w:r w:rsidR="00256BC9">
        <w:t xml:space="preserve"> </w:t>
      </w:r>
      <w:r w:rsidR="005A0661">
        <w:t xml:space="preserve"> </w:t>
      </w:r>
      <w:r w:rsidR="000809B4">
        <w:t>Elevated levels of alanine aminotransferase were the most common adverse event</w:t>
      </w:r>
      <w:r w:rsidR="00BE17B4">
        <w:t xml:space="preserve"> and the drug was well tolerated</w:t>
      </w:r>
      <w:r w:rsidR="00184683">
        <w:t xml:space="preserve"> [14].</w:t>
      </w:r>
      <w:r w:rsidR="000E32F6" w:rsidRPr="000E32F6">
        <w:rPr>
          <w:rFonts w:ascii="Calibri" w:hAnsi="Calibri"/>
          <w:noProof/>
        </w:rPr>
        <w:t xml:space="preserve"> </w:t>
      </w:r>
      <w:r w:rsidR="00BE35EF">
        <w:t xml:space="preserve">Results of a completed </w:t>
      </w:r>
      <w:r w:rsidR="00C30C31">
        <w:t xml:space="preserve">phase 2b </w:t>
      </w:r>
      <w:r w:rsidR="00BE35EF">
        <w:t xml:space="preserve">randomised controlled trial of </w:t>
      </w:r>
      <w:r w:rsidR="00F9680B" w:rsidRPr="00F9680B">
        <w:t xml:space="preserve">GS-5806 </w:t>
      </w:r>
      <w:r w:rsidR="00C30C31">
        <w:t xml:space="preserve">in </w:t>
      </w:r>
      <w:r w:rsidR="00BE35EF">
        <w:t xml:space="preserve">hospitalised adults </w:t>
      </w:r>
      <w:r w:rsidR="002E535A">
        <w:t>with RSV infection are awaited</w:t>
      </w:r>
      <w:r w:rsidR="00184683">
        <w:t xml:space="preserve"> [15] and a phase 2b trial in </w:t>
      </w:r>
      <w:r w:rsidR="00917B0F" w:rsidRPr="00917B0F">
        <w:t xml:space="preserve">haematopoietic stem cell transplant </w:t>
      </w:r>
      <w:r w:rsidR="00184683">
        <w:t>r</w:t>
      </w:r>
      <w:r w:rsidR="00184683" w:rsidRPr="00184683">
        <w:t>ecipients</w:t>
      </w:r>
      <w:r w:rsidR="00184683">
        <w:t xml:space="preserve"> is underway [16]</w:t>
      </w:r>
      <w:r w:rsidR="00FA3BEE">
        <w:t xml:space="preserve">. </w:t>
      </w:r>
      <w:r w:rsidR="00184683">
        <w:t>A phase 2a</w:t>
      </w:r>
      <w:r w:rsidR="00F9680B">
        <w:t xml:space="preserve"> trial of</w:t>
      </w:r>
      <w:r w:rsidR="000E32F6" w:rsidRPr="000E32F6">
        <w:rPr>
          <w:rFonts w:ascii="Calibri" w:hAnsi="Calibri" w:cs="Times New Roman"/>
          <w:noProof/>
          <w:szCs w:val="24"/>
          <w:lang w:bidi="ar-SA"/>
        </w:rPr>
        <w:t xml:space="preserve"> </w:t>
      </w:r>
      <w:r w:rsidR="00F9680B">
        <w:rPr>
          <w:rFonts w:ascii="Calibri" w:hAnsi="Calibri" w:cs="Times New Roman"/>
          <w:noProof/>
          <w:szCs w:val="24"/>
          <w:lang w:bidi="ar-SA"/>
        </w:rPr>
        <w:t>ALS 8176 in hospitalsied adults with RSV is currently underway</w:t>
      </w:r>
      <w:r w:rsidR="00184683">
        <w:rPr>
          <w:rFonts w:ascii="Calibri" w:hAnsi="Calibri" w:cs="Times New Roman"/>
          <w:noProof/>
          <w:szCs w:val="24"/>
          <w:lang w:bidi="ar-SA"/>
        </w:rPr>
        <w:t xml:space="preserve"> [17] as is a trial in hospitalised infants [18]</w:t>
      </w:r>
      <w:r w:rsidR="00F9680B">
        <w:rPr>
          <w:rFonts w:ascii="Calibri" w:hAnsi="Calibri" w:cs="Times New Roman"/>
          <w:noProof/>
          <w:szCs w:val="24"/>
          <w:lang w:bidi="ar-SA"/>
        </w:rPr>
        <w:t xml:space="preserve">. </w:t>
      </w:r>
      <w:r w:rsidR="00184683">
        <w:rPr>
          <w:rFonts w:ascii="Calibri" w:hAnsi="Calibri" w:cs="Times New Roman"/>
          <w:noProof/>
          <w:szCs w:val="24"/>
          <w:lang w:bidi="ar-SA"/>
        </w:rPr>
        <w:t xml:space="preserve">It should be noted that </w:t>
      </w:r>
      <w:r w:rsidR="00184683">
        <w:t>a</w:t>
      </w:r>
      <w:r w:rsidR="008E5250">
        <w:t xml:space="preserve"> key</w:t>
      </w:r>
      <w:r w:rsidR="00792F07">
        <w:t xml:space="preserve"> limitation of the human challenge treatment model is that treatment is initiated very soon after the start of experimental </w:t>
      </w:r>
      <w:r w:rsidR="00BE17B4">
        <w:t>infection and so t</w:t>
      </w:r>
      <w:r w:rsidR="00792F07">
        <w:t>h</w:t>
      </w:r>
      <w:r w:rsidR="00F9680B">
        <w:t xml:space="preserve">e effects </w:t>
      </w:r>
      <w:r w:rsidR="00F90861">
        <w:t>of prompt</w:t>
      </w:r>
      <w:r w:rsidR="00792F07">
        <w:t xml:space="preserve"> treatment may not </w:t>
      </w:r>
      <w:r w:rsidR="00F9680B">
        <w:t xml:space="preserve">be </w:t>
      </w:r>
      <w:r w:rsidR="001B6944">
        <w:t>reproduced in</w:t>
      </w:r>
      <w:r w:rsidR="00BE17B4">
        <w:t xml:space="preserve"> </w:t>
      </w:r>
      <w:r w:rsidR="00792F07">
        <w:t xml:space="preserve">clinical practice as </w:t>
      </w:r>
      <w:r w:rsidR="00F9680B">
        <w:t>patients hospitalised</w:t>
      </w:r>
      <w:r w:rsidR="00792F07">
        <w:t xml:space="preserve"> with respiratory virus infection </w:t>
      </w:r>
      <w:r w:rsidR="00F9680B">
        <w:t xml:space="preserve">generally </w:t>
      </w:r>
      <w:r w:rsidR="00792F07">
        <w:t>present several days afte</w:t>
      </w:r>
      <w:r w:rsidR="00272205">
        <w:t>r symptom onset</w:t>
      </w:r>
      <w:r w:rsidR="00184683">
        <w:t xml:space="preserve"> [1]</w:t>
      </w:r>
      <w:r w:rsidR="00792F07">
        <w:t>.</w:t>
      </w:r>
      <w:r w:rsidR="00184683">
        <w:rPr>
          <w:rFonts w:ascii="Calibri" w:hAnsi="Calibri" w:cs="Times New Roman"/>
          <w:noProof/>
          <w:szCs w:val="24"/>
          <w:lang w:bidi="ar-SA"/>
        </w:rPr>
        <w:t xml:space="preserve"> </w:t>
      </w:r>
    </w:p>
    <w:p w:rsidR="00BE17B4" w:rsidRDefault="00BE17B4" w:rsidP="00BE17B4">
      <w:pPr>
        <w:spacing w:after="0" w:line="480" w:lineRule="auto"/>
        <w:jc w:val="both"/>
      </w:pPr>
    </w:p>
    <w:p w:rsidR="006E228E" w:rsidRDefault="004119EB" w:rsidP="00256BC9">
      <w:pPr>
        <w:spacing w:after="0" w:line="480" w:lineRule="auto"/>
        <w:jc w:val="both"/>
        <w:rPr>
          <w:rFonts w:ascii="Calibri" w:hAnsi="Calibri"/>
          <w:noProof/>
        </w:rPr>
      </w:pPr>
      <w:r>
        <w:t xml:space="preserve">ALN-RSV01 </w:t>
      </w:r>
      <w:r w:rsidR="009F725C">
        <w:t>(</w:t>
      </w:r>
      <w:proofErr w:type="spellStart"/>
      <w:r w:rsidR="009F725C">
        <w:t>Asvasiran</w:t>
      </w:r>
      <w:proofErr w:type="spellEnd"/>
      <w:r w:rsidR="009F725C">
        <w:t xml:space="preserve">) </w:t>
      </w:r>
      <w:r>
        <w:t xml:space="preserve">is a small interfering RNA </w:t>
      </w:r>
      <w:r w:rsidR="009F725C">
        <w:t>(si</w:t>
      </w:r>
      <w:r w:rsidR="00BE17B4">
        <w:t xml:space="preserve">RNA) </w:t>
      </w:r>
      <w:r>
        <w:t xml:space="preserve">targeted against the mRNA of the RSV nucleocapsid. A human challenge study of intranasal ALN-RSV01 demonstrated that it prevented RSV infection, and at higher doses had a treatment effect. This trial </w:t>
      </w:r>
      <w:r w:rsidR="00993796">
        <w:t>established</w:t>
      </w:r>
      <w:r>
        <w:t xml:space="preserve"> proof-of-concept for RNA inte</w:t>
      </w:r>
      <w:r w:rsidR="00993796">
        <w:t>rference as a therapeutic option</w:t>
      </w:r>
      <w:r>
        <w:t xml:space="preserve"> for</w:t>
      </w:r>
      <w:r w:rsidR="00256BC9">
        <w:t xml:space="preserve"> viral infection and warranting further study</w:t>
      </w:r>
      <w:r w:rsidR="0009642F">
        <w:rPr>
          <w:rFonts w:ascii="Calibri" w:hAnsi="Calibri" w:cs="Times New Roman"/>
          <w:noProof/>
          <w:szCs w:val="24"/>
          <w:lang w:bidi="ar-SA"/>
        </w:rPr>
        <w:t xml:space="preserve"> [19</w:t>
      </w:r>
      <w:r w:rsidR="00C4346D" w:rsidRPr="00C4346D">
        <w:rPr>
          <w:rFonts w:ascii="Calibri" w:hAnsi="Calibri" w:cs="Times New Roman"/>
          <w:noProof/>
          <w:szCs w:val="24"/>
          <w:lang w:bidi="ar-SA"/>
        </w:rPr>
        <w:t>]</w:t>
      </w:r>
      <w:r w:rsidR="0009642F">
        <w:rPr>
          <w:rFonts w:ascii="Calibri" w:hAnsi="Calibri" w:cs="Times New Roman"/>
          <w:noProof/>
          <w:szCs w:val="24"/>
          <w:lang w:bidi="ar-SA"/>
        </w:rPr>
        <w:t>.</w:t>
      </w:r>
      <w:r w:rsidR="00C4346D" w:rsidRPr="00C4346D">
        <w:rPr>
          <w:rFonts w:ascii="Calibri" w:hAnsi="Calibri"/>
          <w:noProof/>
        </w:rPr>
        <w:t xml:space="preserve"> </w:t>
      </w:r>
      <w:r w:rsidR="00993796">
        <w:t xml:space="preserve">ALN-RSV01 has </w:t>
      </w:r>
      <w:r w:rsidR="00256BC9">
        <w:t xml:space="preserve">subsequently </w:t>
      </w:r>
      <w:r w:rsidR="00993796">
        <w:t>been shown to reduce the risk of bronchiolitis obilterans syndrome after RSV infectio</w:t>
      </w:r>
      <w:r w:rsidR="0009642F">
        <w:t xml:space="preserve">n in lung transplant recipients </w:t>
      </w:r>
      <w:r w:rsidR="0009642F">
        <w:rPr>
          <w:rFonts w:ascii="Calibri" w:hAnsi="Calibri" w:cs="Times New Roman"/>
          <w:noProof/>
          <w:szCs w:val="24"/>
          <w:lang w:bidi="ar-SA"/>
        </w:rPr>
        <w:t>[20, 21</w:t>
      </w:r>
      <w:r w:rsidR="00C4346D" w:rsidRPr="00C4346D">
        <w:rPr>
          <w:rFonts w:ascii="Calibri" w:hAnsi="Calibri" w:cs="Times New Roman"/>
          <w:noProof/>
          <w:szCs w:val="24"/>
          <w:lang w:bidi="ar-SA"/>
        </w:rPr>
        <w:t>]</w:t>
      </w:r>
      <w:r w:rsidR="0009642F">
        <w:rPr>
          <w:rFonts w:ascii="Calibri" w:hAnsi="Calibri"/>
          <w:noProof/>
        </w:rPr>
        <w:t>.</w:t>
      </w:r>
    </w:p>
    <w:p w:rsidR="00F90861" w:rsidRDefault="00F90861" w:rsidP="00F90861">
      <w:pPr>
        <w:spacing w:after="0" w:line="480" w:lineRule="auto"/>
        <w:jc w:val="both"/>
      </w:pPr>
    </w:p>
    <w:p w:rsidR="00A57427" w:rsidRDefault="002510C5" w:rsidP="0009642F">
      <w:pPr>
        <w:spacing w:after="0" w:line="480" w:lineRule="auto"/>
        <w:jc w:val="both"/>
        <w:rPr>
          <w:rFonts w:ascii="Calibri" w:hAnsi="Calibri"/>
          <w:noProof/>
        </w:rPr>
      </w:pPr>
      <w:r>
        <w:t xml:space="preserve">ALX-0171 is a trivalent </w:t>
      </w:r>
      <w:r w:rsidR="00BE17B4">
        <w:t>inhaled ‘</w:t>
      </w:r>
      <w:r>
        <w:t>nanobody</w:t>
      </w:r>
      <w:r w:rsidR="00BE17B4">
        <w:t>’</w:t>
      </w:r>
      <w:r>
        <w:t xml:space="preserve"> that binds to </w:t>
      </w:r>
      <w:r w:rsidR="00BE17B4">
        <w:t xml:space="preserve">a conserved epitope of the </w:t>
      </w:r>
      <w:r>
        <w:t xml:space="preserve">RSV </w:t>
      </w:r>
      <w:r w:rsidR="00BE17B4">
        <w:t xml:space="preserve">F-protein </w:t>
      </w:r>
      <w:r w:rsidR="00A54764">
        <w:t>with high RSV neutralising potency and decreased capability to select escape mutants</w:t>
      </w:r>
      <w:r w:rsidR="0009642F">
        <w:t xml:space="preserve"> </w:t>
      </w:r>
      <w:r w:rsidR="0009642F">
        <w:rPr>
          <w:rFonts w:ascii="Calibri" w:hAnsi="Calibri" w:cs="Times New Roman"/>
          <w:noProof/>
          <w:szCs w:val="24"/>
          <w:lang w:bidi="ar-SA"/>
        </w:rPr>
        <w:t>[22</w:t>
      </w:r>
      <w:r w:rsidR="00C4346D" w:rsidRPr="00C4346D">
        <w:rPr>
          <w:rFonts w:ascii="Calibri" w:hAnsi="Calibri" w:cs="Times New Roman"/>
          <w:noProof/>
          <w:szCs w:val="24"/>
          <w:lang w:bidi="ar-SA"/>
        </w:rPr>
        <w:t>]</w:t>
      </w:r>
      <w:r w:rsidR="0009642F">
        <w:rPr>
          <w:rFonts w:ascii="Calibri" w:hAnsi="Calibri" w:cs="Times New Roman"/>
          <w:noProof/>
          <w:szCs w:val="24"/>
          <w:lang w:bidi="ar-SA"/>
        </w:rPr>
        <w:t>.</w:t>
      </w:r>
      <w:r w:rsidR="00C4346D" w:rsidRPr="00C4346D">
        <w:rPr>
          <w:rFonts w:ascii="Calibri" w:hAnsi="Calibri"/>
          <w:noProof/>
        </w:rPr>
        <w:t xml:space="preserve"> </w:t>
      </w:r>
      <w:r w:rsidR="00A54764">
        <w:t xml:space="preserve">Results of clinical trials in hospitalised infants and </w:t>
      </w:r>
      <w:r w:rsidR="00F90861">
        <w:t>children are</w:t>
      </w:r>
      <w:r w:rsidR="00A54764">
        <w:t xml:space="preserve"> awaited</w:t>
      </w:r>
      <w:r w:rsidR="003C1E42">
        <w:rPr>
          <w:rFonts w:ascii="Calibri" w:hAnsi="Calibri" w:cs="Times New Roman"/>
          <w:noProof/>
          <w:szCs w:val="24"/>
          <w:lang w:bidi="ar-SA"/>
        </w:rPr>
        <w:t xml:space="preserve"> [23,</w:t>
      </w:r>
      <w:r w:rsidR="0009642F">
        <w:rPr>
          <w:rFonts w:ascii="Calibri" w:hAnsi="Calibri" w:cs="Times New Roman"/>
          <w:noProof/>
          <w:szCs w:val="24"/>
          <w:lang w:bidi="ar-SA"/>
        </w:rPr>
        <w:t>24</w:t>
      </w:r>
      <w:r w:rsidR="00C4346D" w:rsidRPr="00C4346D">
        <w:rPr>
          <w:rFonts w:ascii="Calibri" w:hAnsi="Calibri" w:cs="Times New Roman"/>
          <w:noProof/>
          <w:szCs w:val="24"/>
          <w:lang w:bidi="ar-SA"/>
        </w:rPr>
        <w:t>]</w:t>
      </w:r>
      <w:r w:rsidR="0009642F">
        <w:rPr>
          <w:rFonts w:ascii="Calibri" w:hAnsi="Calibri" w:cs="Times New Roman"/>
          <w:noProof/>
          <w:szCs w:val="24"/>
          <w:lang w:bidi="ar-SA"/>
        </w:rPr>
        <w:t>.</w:t>
      </w:r>
      <w:r w:rsidR="00C4346D" w:rsidRPr="00C4346D">
        <w:rPr>
          <w:rFonts w:ascii="Calibri" w:hAnsi="Calibri"/>
          <w:noProof/>
        </w:rPr>
        <w:t xml:space="preserve"> </w:t>
      </w:r>
      <w:r w:rsidR="00A57427">
        <w:t>Another Fusion inhibit</w:t>
      </w:r>
      <w:r w:rsidR="003F2763">
        <w:t xml:space="preserve">or </w:t>
      </w:r>
      <w:proofErr w:type="gramStart"/>
      <w:r w:rsidR="003F2763">
        <w:t>AK0529,</w:t>
      </w:r>
      <w:proofErr w:type="gramEnd"/>
      <w:r w:rsidR="003F2763">
        <w:t xml:space="preserve"> has completed phase I</w:t>
      </w:r>
      <w:r w:rsidR="00A57427">
        <w:t xml:space="preserve"> trials</w:t>
      </w:r>
      <w:r w:rsidR="00BE17B4">
        <w:t xml:space="preserve"> and is undergoing a phase 2 trial in hospitalised infants</w:t>
      </w:r>
      <w:r w:rsidR="0009642F">
        <w:t xml:space="preserve"> </w:t>
      </w:r>
      <w:r w:rsidR="0009642F">
        <w:rPr>
          <w:rFonts w:ascii="Calibri" w:hAnsi="Calibri" w:cs="Times New Roman"/>
          <w:noProof/>
          <w:szCs w:val="24"/>
          <w:lang w:bidi="ar-SA"/>
        </w:rPr>
        <w:t>[25</w:t>
      </w:r>
      <w:r w:rsidR="00C4346D" w:rsidRPr="00C4346D">
        <w:rPr>
          <w:rFonts w:ascii="Calibri" w:hAnsi="Calibri" w:cs="Times New Roman"/>
          <w:noProof/>
          <w:szCs w:val="24"/>
          <w:lang w:bidi="ar-SA"/>
        </w:rPr>
        <w:t>]</w:t>
      </w:r>
      <w:r w:rsidR="0009642F">
        <w:rPr>
          <w:rFonts w:ascii="Calibri" w:hAnsi="Calibri"/>
          <w:noProof/>
        </w:rPr>
        <w:t xml:space="preserve">. </w:t>
      </w:r>
      <w:r w:rsidR="00FA3BEE">
        <w:lastRenderedPageBreak/>
        <w:t>Other anti-RSV agents such as MEDI8897, a recombinant human RSV monoclonal antibody with a modified Fc region leading to a prolonge</w:t>
      </w:r>
      <w:r w:rsidR="00A57427">
        <w:t>d half-life have undergone early phase</w:t>
      </w:r>
      <w:r>
        <w:t xml:space="preserve"> trials but are directed at p</w:t>
      </w:r>
      <w:r w:rsidR="0009642F">
        <w:t xml:space="preserve">revention rather than treatment </w:t>
      </w:r>
      <w:r w:rsidR="0009642F">
        <w:rPr>
          <w:rFonts w:ascii="Calibri" w:hAnsi="Calibri" w:cs="Times New Roman"/>
          <w:noProof/>
          <w:szCs w:val="24"/>
          <w:lang w:bidi="ar-SA"/>
        </w:rPr>
        <w:t>[26</w:t>
      </w:r>
      <w:r w:rsidR="00C4346D" w:rsidRPr="00C4346D">
        <w:rPr>
          <w:rFonts w:ascii="Calibri" w:hAnsi="Calibri" w:cs="Times New Roman"/>
          <w:noProof/>
          <w:szCs w:val="24"/>
          <w:lang w:bidi="ar-SA"/>
        </w:rPr>
        <w:t>]</w:t>
      </w:r>
      <w:r w:rsidR="0009642F">
        <w:rPr>
          <w:rFonts w:ascii="Calibri" w:hAnsi="Calibri"/>
          <w:noProof/>
        </w:rPr>
        <w:t xml:space="preserve">. </w:t>
      </w:r>
      <w:r w:rsidR="006C360C">
        <w:t>Another monoclonal antibody</w:t>
      </w:r>
      <w:r w:rsidR="00C4346D">
        <w:t>, motavizumab,</w:t>
      </w:r>
      <w:r w:rsidR="00970F4B">
        <w:t xml:space="preserve"> </w:t>
      </w:r>
      <w:r w:rsidR="0009642F">
        <w:t xml:space="preserve">evaluated </w:t>
      </w:r>
      <w:r w:rsidR="00970F4B">
        <w:t>as treatment</w:t>
      </w:r>
      <w:r w:rsidR="006C360C">
        <w:t xml:space="preserve"> </w:t>
      </w:r>
      <w:r w:rsidR="00BE17B4">
        <w:t xml:space="preserve">in a clinical trial, </w:t>
      </w:r>
      <w:r w:rsidR="006C360C">
        <w:t xml:space="preserve">failed to show any </w:t>
      </w:r>
      <w:r w:rsidR="00BE17B4">
        <w:t xml:space="preserve">reduction in viral load, </w:t>
      </w:r>
      <w:r w:rsidR="006C360C">
        <w:t xml:space="preserve">severity of illness or duration of hospitalisation in infants </w:t>
      </w:r>
      <w:r w:rsidR="0009642F">
        <w:t xml:space="preserve">hospitalised with RSV infection </w:t>
      </w:r>
      <w:r w:rsidR="0009642F">
        <w:rPr>
          <w:rFonts w:ascii="Calibri" w:hAnsi="Calibri" w:cs="Times New Roman"/>
          <w:noProof/>
          <w:szCs w:val="24"/>
          <w:lang w:bidi="ar-SA"/>
        </w:rPr>
        <w:t>[27</w:t>
      </w:r>
      <w:r w:rsidR="00C4346D" w:rsidRPr="00C4346D">
        <w:rPr>
          <w:rFonts w:ascii="Calibri" w:hAnsi="Calibri" w:cs="Times New Roman"/>
          <w:noProof/>
          <w:szCs w:val="24"/>
          <w:lang w:bidi="ar-SA"/>
        </w:rPr>
        <w:t>]</w:t>
      </w:r>
      <w:r w:rsidR="0009642F">
        <w:rPr>
          <w:rFonts w:ascii="Calibri" w:hAnsi="Calibri" w:cs="Times New Roman"/>
          <w:noProof/>
          <w:szCs w:val="24"/>
          <w:lang w:bidi="ar-SA"/>
        </w:rPr>
        <w:t>.</w:t>
      </w:r>
      <w:r w:rsidR="00C4346D" w:rsidRPr="00C4346D">
        <w:rPr>
          <w:rFonts w:ascii="Calibri" w:hAnsi="Calibri"/>
          <w:noProof/>
        </w:rPr>
        <w:t xml:space="preserve"> </w:t>
      </w:r>
      <w:r w:rsidR="00A57427">
        <w:t>Compassionate use of high-titre</w:t>
      </w:r>
      <w:r w:rsidR="00296D36">
        <w:t xml:space="preserve"> anti-RSV</w:t>
      </w:r>
      <w:r w:rsidR="00A57427">
        <w:t xml:space="preserve"> i</w:t>
      </w:r>
      <w:r w:rsidR="00917B0F">
        <w:t xml:space="preserve">ntravenous immunoglobulin </w:t>
      </w:r>
      <w:r w:rsidR="00296D36">
        <w:t xml:space="preserve">in high-mortality-risk haematopoietic stem cell transplant recipients </w:t>
      </w:r>
      <w:r w:rsidR="00601D12">
        <w:t xml:space="preserve">with RSV infection </w:t>
      </w:r>
      <w:r w:rsidR="00296D36">
        <w:t>appe</w:t>
      </w:r>
      <w:r w:rsidR="00BE17B4">
        <w:t>ars well tolerated and increased</w:t>
      </w:r>
      <w:r w:rsidR="00296D36">
        <w:t xml:space="preserve"> serum neutralising antibody titres to RSV in on</w:t>
      </w:r>
      <w:r w:rsidR="00BE17B4">
        <w:t>e retrospective study, however definitive evidence of efficacy from placebo controlled studies is lacking</w:t>
      </w:r>
      <w:r w:rsidR="0009642F">
        <w:t xml:space="preserve"> </w:t>
      </w:r>
      <w:r w:rsidR="00C4346D" w:rsidRPr="00C4346D">
        <w:rPr>
          <w:rFonts w:ascii="Calibri" w:hAnsi="Calibri" w:cs="Times New Roman"/>
          <w:noProof/>
          <w:szCs w:val="24"/>
          <w:lang w:bidi="ar-SA"/>
        </w:rPr>
        <w:t>[</w:t>
      </w:r>
      <w:r w:rsidR="0009642F">
        <w:rPr>
          <w:rFonts w:ascii="Calibri" w:hAnsi="Calibri" w:cs="Times New Roman"/>
          <w:noProof/>
          <w:szCs w:val="24"/>
          <w:lang w:bidi="ar-SA"/>
        </w:rPr>
        <w:t>28</w:t>
      </w:r>
      <w:r w:rsidR="00C4346D" w:rsidRPr="00C4346D">
        <w:rPr>
          <w:rFonts w:ascii="Calibri" w:hAnsi="Calibri" w:cs="Times New Roman"/>
          <w:noProof/>
          <w:szCs w:val="24"/>
          <w:lang w:bidi="ar-SA"/>
        </w:rPr>
        <w:t>]</w:t>
      </w:r>
      <w:r w:rsidR="0009642F">
        <w:rPr>
          <w:rFonts w:ascii="Calibri" w:hAnsi="Calibri"/>
          <w:noProof/>
        </w:rPr>
        <w:t xml:space="preserve">. </w:t>
      </w:r>
    </w:p>
    <w:p w:rsidR="00F90861" w:rsidRDefault="00F90861" w:rsidP="00F90861">
      <w:pPr>
        <w:spacing w:after="0" w:line="480" w:lineRule="auto"/>
        <w:jc w:val="both"/>
      </w:pPr>
    </w:p>
    <w:p w:rsidR="006263B3" w:rsidRPr="00F90861" w:rsidRDefault="00F90861" w:rsidP="00F90861">
      <w:pPr>
        <w:pStyle w:val="Heading2"/>
        <w:spacing w:before="0" w:line="480" w:lineRule="auto"/>
        <w:jc w:val="both"/>
        <w:rPr>
          <w:rFonts w:asciiTheme="minorHAnsi" w:hAnsiTheme="minorHAnsi"/>
          <w:sz w:val="28"/>
          <w:szCs w:val="28"/>
        </w:rPr>
      </w:pPr>
      <w:r w:rsidRPr="00F90861">
        <w:rPr>
          <w:rFonts w:asciiTheme="minorHAnsi" w:hAnsiTheme="minorHAnsi"/>
          <w:sz w:val="28"/>
          <w:szCs w:val="28"/>
        </w:rPr>
        <w:t>M</w:t>
      </w:r>
      <w:r>
        <w:rPr>
          <w:rFonts w:asciiTheme="minorHAnsi" w:hAnsiTheme="minorHAnsi"/>
          <w:sz w:val="28"/>
          <w:szCs w:val="28"/>
        </w:rPr>
        <w:t xml:space="preserve">iddle Eastern Respiratory Syndrome Coronavirus (MERS-CoV) </w:t>
      </w:r>
    </w:p>
    <w:p w:rsidR="008062FB" w:rsidRDefault="005C4021" w:rsidP="00917B0F">
      <w:pPr>
        <w:spacing w:after="0" w:line="480" w:lineRule="auto"/>
        <w:jc w:val="both"/>
      </w:pPr>
      <w:r>
        <w:t>Despite a promising pre-clinical study, t</w:t>
      </w:r>
      <w:r w:rsidR="00970F4B">
        <w:t>reatment</w:t>
      </w:r>
      <w:r w:rsidR="008062FB">
        <w:t xml:space="preserve"> of MERS</w:t>
      </w:r>
      <w:r w:rsidR="00C70AF6">
        <w:t>-CoV</w:t>
      </w:r>
      <w:r w:rsidR="00970F4B">
        <w:t xml:space="preserve"> with ribavirin and interferon in observational studies</w:t>
      </w:r>
      <w:r w:rsidR="00F66AC5">
        <w:t xml:space="preserve"> has not been as</w:t>
      </w:r>
      <w:r w:rsidR="00F55835">
        <w:t>sociated with reduced mortality</w:t>
      </w:r>
      <w:r w:rsidR="003C1E42">
        <w:rPr>
          <w:rFonts w:ascii="Calibri" w:hAnsi="Calibri" w:cs="Times New Roman"/>
          <w:noProof/>
          <w:szCs w:val="24"/>
          <w:lang w:bidi="ar-SA"/>
        </w:rPr>
        <w:t xml:space="preserve"> [29,</w:t>
      </w:r>
      <w:r w:rsidR="00F55835">
        <w:rPr>
          <w:rFonts w:ascii="Calibri" w:hAnsi="Calibri" w:cs="Times New Roman"/>
          <w:noProof/>
          <w:szCs w:val="24"/>
          <w:lang w:bidi="ar-SA"/>
        </w:rPr>
        <w:t>30</w:t>
      </w:r>
      <w:r w:rsidR="00C4346D" w:rsidRPr="00C4346D">
        <w:rPr>
          <w:rFonts w:ascii="Calibri" w:hAnsi="Calibri" w:cs="Times New Roman"/>
          <w:noProof/>
          <w:szCs w:val="24"/>
          <w:lang w:bidi="ar-SA"/>
        </w:rPr>
        <w:t>]</w:t>
      </w:r>
      <w:r w:rsidR="00F55835">
        <w:rPr>
          <w:rFonts w:ascii="Calibri" w:hAnsi="Calibri"/>
          <w:noProof/>
        </w:rPr>
        <w:t xml:space="preserve">. </w:t>
      </w:r>
      <w:r w:rsidR="00917B0F">
        <w:t>A</w:t>
      </w:r>
      <w:r w:rsidR="00F66AC5">
        <w:t xml:space="preserve"> meta-analysis of </w:t>
      </w:r>
      <w:r w:rsidR="00917B0F">
        <w:t xml:space="preserve">patients with </w:t>
      </w:r>
      <w:r w:rsidR="00F66AC5">
        <w:t>SARS and influenza</w:t>
      </w:r>
      <w:r w:rsidR="00917B0F">
        <w:t xml:space="preserve"> has</w:t>
      </w:r>
      <w:r w:rsidR="00F66AC5">
        <w:t xml:space="preserve"> suggested that </w:t>
      </w:r>
      <w:r w:rsidR="00C70AF6">
        <w:t xml:space="preserve">treatment with </w:t>
      </w:r>
      <w:r w:rsidR="00F66AC5">
        <w:t>blood produc</w:t>
      </w:r>
      <w:r w:rsidR="00C70AF6">
        <w:t>ts from convalescent patients may be</w:t>
      </w:r>
      <w:r w:rsidR="00F66AC5">
        <w:t xml:space="preserve"> associat</w:t>
      </w:r>
      <w:r w:rsidR="00C70AF6">
        <w:t>ed with decreased mortality</w:t>
      </w:r>
      <w:r w:rsidR="00917B0F">
        <w:t xml:space="preserve"> and so hyper-immune</w:t>
      </w:r>
      <w:r w:rsidR="00F66AC5">
        <w:t xml:space="preserve"> </w:t>
      </w:r>
      <w:r w:rsidR="00C70AF6">
        <w:t xml:space="preserve">and </w:t>
      </w:r>
      <w:r w:rsidR="00C30C31">
        <w:t xml:space="preserve">convalescent </w:t>
      </w:r>
      <w:r w:rsidR="00E138A2">
        <w:t xml:space="preserve">plasma </w:t>
      </w:r>
      <w:r w:rsidR="00F66AC5">
        <w:t>from patients who survived MERS-CoV infection could be a p</w:t>
      </w:r>
      <w:r w:rsidR="00C70AF6">
        <w:t>otential future</w:t>
      </w:r>
      <w:r w:rsidR="00F66AC5">
        <w:t xml:space="preserve"> therap</w:t>
      </w:r>
      <w:r w:rsidR="003C1E42">
        <w:t>y [31</w:t>
      </w:r>
      <w:r w:rsidR="00C4346D" w:rsidRPr="00C4346D">
        <w:rPr>
          <w:rFonts w:ascii="Calibri" w:hAnsi="Calibri" w:cs="Times New Roman"/>
          <w:noProof/>
          <w:szCs w:val="24"/>
          <w:lang w:bidi="ar-SA"/>
        </w:rPr>
        <w:t>]</w:t>
      </w:r>
      <w:r w:rsidR="003C1E42">
        <w:rPr>
          <w:rFonts w:ascii="Calibri" w:hAnsi="Calibri" w:cs="Times New Roman"/>
          <w:noProof/>
          <w:szCs w:val="24"/>
          <w:lang w:bidi="ar-SA"/>
        </w:rPr>
        <w:t>.</w:t>
      </w:r>
      <w:r w:rsidR="00C4346D" w:rsidRPr="00C4346D">
        <w:rPr>
          <w:rFonts w:ascii="Calibri" w:hAnsi="Calibri"/>
          <w:noProof/>
        </w:rPr>
        <w:t xml:space="preserve"> </w:t>
      </w:r>
      <w:r w:rsidR="009B7E97">
        <w:t>However, c</w:t>
      </w:r>
      <w:r w:rsidR="00F66AC5">
        <w:t xml:space="preserve">ollection of sufficient quantity of such blood products may be an insurmountable barrier to </w:t>
      </w:r>
      <w:r w:rsidR="00340246">
        <w:t>developing</w:t>
      </w:r>
      <w:r w:rsidR="00917B0F">
        <w:t xml:space="preserve"> a treatment</w:t>
      </w:r>
      <w:r w:rsidR="00F55835">
        <w:t xml:space="preserve"> </w:t>
      </w:r>
      <w:r w:rsidR="00F55835">
        <w:rPr>
          <w:rFonts w:ascii="Calibri" w:hAnsi="Calibri" w:cs="Times New Roman"/>
          <w:noProof/>
          <w:szCs w:val="24"/>
          <w:lang w:bidi="ar-SA"/>
        </w:rPr>
        <w:t>[32</w:t>
      </w:r>
      <w:r w:rsidR="00C4346D" w:rsidRPr="00C4346D">
        <w:rPr>
          <w:rFonts w:ascii="Calibri" w:hAnsi="Calibri" w:cs="Times New Roman"/>
          <w:noProof/>
          <w:szCs w:val="24"/>
          <w:lang w:bidi="ar-SA"/>
        </w:rPr>
        <w:t>]</w:t>
      </w:r>
      <w:r w:rsidR="00F55835">
        <w:rPr>
          <w:rFonts w:ascii="Calibri" w:hAnsi="Calibri"/>
          <w:noProof/>
        </w:rPr>
        <w:t xml:space="preserve">. </w:t>
      </w:r>
      <w:r w:rsidR="008062FB">
        <w:t xml:space="preserve">Several neutralising </w:t>
      </w:r>
      <w:r w:rsidR="00617E87">
        <w:t xml:space="preserve">monoclonal </w:t>
      </w:r>
      <w:r w:rsidR="008062FB">
        <w:t xml:space="preserve">antibodies </w:t>
      </w:r>
      <w:r w:rsidR="00617E87">
        <w:t>(</w:t>
      </w:r>
      <w:proofErr w:type="spellStart"/>
      <w:r w:rsidR="00617E87">
        <w:t>mAbs</w:t>
      </w:r>
      <w:proofErr w:type="spellEnd"/>
      <w:r w:rsidR="00617E87">
        <w:t xml:space="preserve">) </w:t>
      </w:r>
      <w:r w:rsidR="008062FB">
        <w:t xml:space="preserve">have been </w:t>
      </w:r>
      <w:r w:rsidR="00617E87">
        <w:t xml:space="preserve">developed </w:t>
      </w:r>
      <w:r w:rsidR="00EA2F62">
        <w:t>which bind to the viral surface s</w:t>
      </w:r>
      <w:r w:rsidR="008062FB">
        <w:t>pike</w:t>
      </w:r>
      <w:r w:rsidR="00EA2F62">
        <w:t xml:space="preserve"> (S) protein</w:t>
      </w:r>
      <w:r w:rsidR="00617E87">
        <w:t xml:space="preserve"> of MERS-CoV therefore </w:t>
      </w:r>
      <w:r w:rsidR="00EA2F62">
        <w:t>preventing viral entry and membrane fusion</w:t>
      </w:r>
      <w:r w:rsidR="008062FB">
        <w:t>.</w:t>
      </w:r>
      <w:r w:rsidR="009B7E97">
        <w:t xml:space="preserve"> </w:t>
      </w:r>
      <w:r w:rsidR="00617E87">
        <w:t xml:space="preserve"> These </w:t>
      </w:r>
      <w:proofErr w:type="spellStart"/>
      <w:r w:rsidR="00617E87">
        <w:t>mAbs</w:t>
      </w:r>
      <w:proofErr w:type="spellEnd"/>
      <w:r w:rsidR="00617E87">
        <w:t xml:space="preserve"> have demonstrated potent </w:t>
      </w:r>
      <w:r w:rsidR="00617E87">
        <w:rPr>
          <w:rFonts w:ascii="Calibri" w:hAnsi="Calibri" w:cs="Times New Roman"/>
          <w:noProof/>
          <w:szCs w:val="24"/>
          <w:lang w:bidi="ar-SA"/>
        </w:rPr>
        <w:t xml:space="preserve">inhibition of the virus in vitro and protection from lethal challange in </w:t>
      </w:r>
      <w:r w:rsidR="008D295F">
        <w:rPr>
          <w:rFonts w:ascii="Calibri" w:hAnsi="Calibri" w:cs="Times New Roman"/>
          <w:noProof/>
          <w:szCs w:val="24"/>
          <w:lang w:bidi="ar-SA"/>
        </w:rPr>
        <w:t>animal models and are now in the stage of being taken forward into clincal stuidies in humans</w:t>
      </w:r>
      <w:r w:rsidR="00617E87">
        <w:rPr>
          <w:rFonts w:ascii="Calibri" w:hAnsi="Calibri" w:cs="Times New Roman"/>
          <w:noProof/>
          <w:szCs w:val="24"/>
          <w:lang w:bidi="ar-SA"/>
        </w:rPr>
        <w:t xml:space="preserve"> </w:t>
      </w:r>
      <w:r w:rsidR="003C1E42">
        <w:rPr>
          <w:rFonts w:ascii="Calibri" w:hAnsi="Calibri" w:cs="Times New Roman"/>
          <w:noProof/>
          <w:szCs w:val="24"/>
          <w:lang w:bidi="ar-SA"/>
        </w:rPr>
        <w:t>[33,</w:t>
      </w:r>
      <w:r w:rsidR="00F55835">
        <w:rPr>
          <w:rFonts w:ascii="Calibri" w:hAnsi="Calibri" w:cs="Times New Roman"/>
          <w:noProof/>
          <w:szCs w:val="24"/>
          <w:lang w:bidi="ar-SA"/>
        </w:rPr>
        <w:t>34].</w:t>
      </w:r>
    </w:p>
    <w:p w:rsidR="008A0BE5" w:rsidRDefault="008A0BE5" w:rsidP="008A0BE5">
      <w:pPr>
        <w:spacing w:after="0" w:line="480" w:lineRule="auto"/>
        <w:jc w:val="both"/>
        <w:rPr>
          <w:rFonts w:cs="Times New Roman"/>
          <w:noProof/>
          <w:szCs w:val="24"/>
          <w:lang w:bidi="ar-SA"/>
        </w:rPr>
      </w:pPr>
    </w:p>
    <w:p w:rsidR="00545764" w:rsidRPr="008A0BE5" w:rsidRDefault="00545764" w:rsidP="008A0BE5">
      <w:pPr>
        <w:spacing w:after="0" w:line="480" w:lineRule="auto"/>
        <w:jc w:val="both"/>
        <w:rPr>
          <w:b/>
          <w:bCs/>
          <w:sz w:val="28"/>
          <w:szCs w:val="28"/>
        </w:rPr>
      </w:pPr>
      <w:r w:rsidRPr="008A0BE5">
        <w:rPr>
          <w:b/>
          <w:bCs/>
          <w:sz w:val="28"/>
          <w:szCs w:val="28"/>
        </w:rPr>
        <w:t>Parainfluenza</w:t>
      </w:r>
      <w:r w:rsidR="008A0BE5" w:rsidRPr="008A0BE5">
        <w:rPr>
          <w:b/>
          <w:bCs/>
          <w:sz w:val="28"/>
          <w:szCs w:val="28"/>
        </w:rPr>
        <w:t xml:space="preserve"> virus</w:t>
      </w:r>
      <w:r w:rsidR="00AB040D">
        <w:rPr>
          <w:b/>
          <w:bCs/>
          <w:sz w:val="28"/>
          <w:szCs w:val="28"/>
        </w:rPr>
        <w:t xml:space="preserve"> and Human metapneumovirus </w:t>
      </w:r>
    </w:p>
    <w:p w:rsidR="00AB040D" w:rsidRDefault="0036438E" w:rsidP="00917B0F">
      <w:pPr>
        <w:spacing w:after="0" w:line="480" w:lineRule="auto"/>
        <w:jc w:val="both"/>
        <w:rPr>
          <w:rFonts w:ascii="Calibri" w:hAnsi="Calibri"/>
          <w:noProof/>
        </w:rPr>
      </w:pPr>
      <w:r>
        <w:lastRenderedPageBreak/>
        <w:t>Ribavirin has</w:t>
      </w:r>
      <w:r w:rsidRPr="0036438E">
        <w:t xml:space="preserve"> been used in heavily immunocompromised patients with parainfluenza and human metapneumovirus infections but the evidence base for efficacy is weak </w:t>
      </w:r>
      <w:r>
        <w:t xml:space="preserve">and as detailed above its uses is limited by difficulties in administering the aerosolised form and </w:t>
      </w:r>
      <w:r w:rsidR="00F55835">
        <w:t xml:space="preserve">by its </w:t>
      </w:r>
      <w:r>
        <w:t xml:space="preserve">toxicity. </w:t>
      </w:r>
      <w:r w:rsidR="007407FB">
        <w:t>DAS181</w:t>
      </w:r>
      <w:r w:rsidR="009F725C">
        <w:t xml:space="preserve"> (</w:t>
      </w:r>
      <w:r w:rsidR="00A01A1F">
        <w:t xml:space="preserve">Fludase) </w:t>
      </w:r>
      <w:r w:rsidR="0085002A">
        <w:t xml:space="preserve">is </w:t>
      </w:r>
      <w:r w:rsidR="00A01A1F">
        <w:t xml:space="preserve">an inhaled </w:t>
      </w:r>
      <w:r w:rsidR="0085002A">
        <w:t xml:space="preserve">sialidase </w:t>
      </w:r>
      <w:r w:rsidR="003B58B8">
        <w:t xml:space="preserve">that </w:t>
      </w:r>
      <w:r w:rsidR="0085002A">
        <w:t>cleaves sialic acid</w:t>
      </w:r>
      <w:r w:rsidR="003B58B8">
        <w:t xml:space="preserve"> from host respiratory epithelial cells, which is required for</w:t>
      </w:r>
      <w:r w:rsidR="0085002A">
        <w:t xml:space="preserve"> </w:t>
      </w:r>
      <w:r w:rsidR="00A01A1F">
        <w:t xml:space="preserve">both </w:t>
      </w:r>
      <w:r w:rsidR="0085002A">
        <w:t>infl</w:t>
      </w:r>
      <w:r w:rsidR="003B58B8">
        <w:t>uenza an</w:t>
      </w:r>
      <w:r w:rsidR="003F2763">
        <w:t xml:space="preserve">d parainfluenza virus to bind </w:t>
      </w:r>
      <w:r w:rsidR="00A01A1F">
        <w:t>and</w:t>
      </w:r>
      <w:r w:rsidR="00700572">
        <w:t xml:space="preserve"> therefore</w:t>
      </w:r>
      <w:r w:rsidR="003B58B8">
        <w:t xml:space="preserve"> has </w:t>
      </w:r>
      <w:r w:rsidR="00A01A1F">
        <w:t>antiviral activity against these viruses.</w:t>
      </w:r>
      <w:r w:rsidR="00644A24">
        <w:t xml:space="preserve"> </w:t>
      </w:r>
      <w:r w:rsidR="0085002A">
        <w:t>DAS</w:t>
      </w:r>
      <w:r w:rsidR="003F2763">
        <w:t xml:space="preserve">181 </w:t>
      </w:r>
      <w:r w:rsidR="00A01A1F">
        <w:t>has undergone</w:t>
      </w:r>
      <w:r w:rsidR="003F2763">
        <w:t xml:space="preserve"> phase I</w:t>
      </w:r>
      <w:r w:rsidR="00C7215B">
        <w:t xml:space="preserve"> trials </w:t>
      </w:r>
      <w:r w:rsidR="00A01A1F">
        <w:t xml:space="preserve">and </w:t>
      </w:r>
      <w:r w:rsidR="00C7215B">
        <w:t xml:space="preserve">was </w:t>
      </w:r>
      <w:r w:rsidR="00A01A1F">
        <w:t xml:space="preserve">found to be safe and </w:t>
      </w:r>
      <w:r w:rsidR="00C7215B">
        <w:t xml:space="preserve">generally </w:t>
      </w:r>
      <w:r w:rsidR="003F2763">
        <w:t xml:space="preserve">well </w:t>
      </w:r>
      <w:r w:rsidR="00C7215B">
        <w:t>tolerated</w:t>
      </w:r>
      <w:r w:rsidR="00A01A1F">
        <w:t xml:space="preserve"> and is currently being evaluated for the treatment of parainfluenza infections in</w:t>
      </w:r>
      <w:r w:rsidR="00700572">
        <w:t xml:space="preserve"> adults in a </w:t>
      </w:r>
      <w:r w:rsidR="00A01A1F">
        <w:t xml:space="preserve">phase 2 </w:t>
      </w:r>
      <w:r w:rsidR="00700572">
        <w:t>placebo controlled trial</w:t>
      </w:r>
      <w:r w:rsidR="00A01A1F">
        <w:t xml:space="preserve"> in the USA</w:t>
      </w:r>
      <w:r w:rsidR="00F55835">
        <w:t xml:space="preserve"> [</w:t>
      </w:r>
      <w:r w:rsidR="00F55835">
        <w:rPr>
          <w:rFonts w:ascii="Calibri" w:hAnsi="Calibri" w:cs="Times New Roman"/>
          <w:noProof/>
          <w:szCs w:val="24"/>
          <w:lang w:bidi="ar-SA"/>
        </w:rPr>
        <w:t>35</w:t>
      </w:r>
      <w:r w:rsidR="00CD3412" w:rsidRPr="00CD3412">
        <w:rPr>
          <w:rFonts w:ascii="Calibri" w:hAnsi="Calibri" w:cs="Times New Roman"/>
          <w:noProof/>
          <w:szCs w:val="24"/>
          <w:lang w:bidi="ar-SA"/>
        </w:rPr>
        <w:t>]</w:t>
      </w:r>
      <w:r w:rsidR="00917B0F">
        <w:rPr>
          <w:rFonts w:ascii="Calibri" w:hAnsi="Calibri"/>
          <w:noProof/>
        </w:rPr>
        <w:t>. DAS181 may also have activi</w:t>
      </w:r>
      <w:r w:rsidR="00F55835">
        <w:rPr>
          <w:rFonts w:ascii="Calibri" w:hAnsi="Calibri"/>
          <w:noProof/>
        </w:rPr>
        <w:t xml:space="preserve">ty against human metapneumovirus [36]. </w:t>
      </w:r>
      <w:r w:rsidR="001B6944">
        <w:rPr>
          <w:rFonts w:ascii="Calibri" w:hAnsi="Calibri"/>
          <w:noProof/>
        </w:rPr>
        <w:t>A</w:t>
      </w:r>
      <w:r w:rsidR="00700572" w:rsidRPr="00700572">
        <w:rPr>
          <w:rFonts w:ascii="Calibri" w:hAnsi="Calibri"/>
          <w:noProof/>
        </w:rPr>
        <w:t>ccording to</w:t>
      </w:r>
      <w:r w:rsidR="001B6944">
        <w:rPr>
          <w:rFonts w:ascii="Calibri" w:hAnsi="Calibri"/>
          <w:noProof/>
        </w:rPr>
        <w:t xml:space="preserve"> </w:t>
      </w:r>
      <w:r w:rsidR="00700572" w:rsidRPr="00700572">
        <w:rPr>
          <w:rFonts w:ascii="Calibri" w:hAnsi="Calibri"/>
          <w:noProof/>
        </w:rPr>
        <w:t>pipeline reports, AL-8176</w:t>
      </w:r>
      <w:r w:rsidR="001B6944">
        <w:rPr>
          <w:rFonts w:ascii="Calibri" w:hAnsi="Calibri"/>
          <w:noProof/>
        </w:rPr>
        <w:t xml:space="preserve"> (Lumicitabine) </w:t>
      </w:r>
      <w:r w:rsidR="00917B0F">
        <w:rPr>
          <w:rFonts w:ascii="Calibri" w:hAnsi="Calibri"/>
          <w:noProof/>
        </w:rPr>
        <w:t xml:space="preserve">has been found to have </w:t>
      </w:r>
      <w:r w:rsidR="001B6944">
        <w:rPr>
          <w:rFonts w:ascii="Calibri" w:hAnsi="Calibri"/>
          <w:noProof/>
        </w:rPr>
        <w:t xml:space="preserve">activity against other </w:t>
      </w:r>
      <w:r w:rsidR="00700572" w:rsidRPr="00700572">
        <w:rPr>
          <w:rFonts w:ascii="Calibri" w:hAnsi="Calibri"/>
          <w:noProof/>
        </w:rPr>
        <w:t>paramyxoviru</w:t>
      </w:r>
      <w:r w:rsidR="001B6944">
        <w:rPr>
          <w:rFonts w:ascii="Calibri" w:hAnsi="Calibri"/>
          <w:noProof/>
        </w:rPr>
        <w:t>s</w:t>
      </w:r>
      <w:r w:rsidR="008D295F">
        <w:rPr>
          <w:rFonts w:ascii="Calibri" w:hAnsi="Calibri"/>
          <w:noProof/>
        </w:rPr>
        <w:t xml:space="preserve">es </w:t>
      </w:r>
      <w:r w:rsidR="001B6944">
        <w:rPr>
          <w:rFonts w:ascii="Calibri" w:hAnsi="Calibri"/>
          <w:noProof/>
        </w:rPr>
        <w:t>including</w:t>
      </w:r>
      <w:r w:rsidR="00700572" w:rsidRPr="00700572">
        <w:rPr>
          <w:rFonts w:ascii="Calibri" w:hAnsi="Calibri"/>
          <w:noProof/>
        </w:rPr>
        <w:t xml:space="preserve"> parainfluenza virus</w:t>
      </w:r>
      <w:r w:rsidR="001B6944">
        <w:rPr>
          <w:rFonts w:ascii="Calibri" w:hAnsi="Calibri"/>
          <w:noProof/>
        </w:rPr>
        <w:t xml:space="preserve"> </w:t>
      </w:r>
      <w:r w:rsidR="00700572" w:rsidRPr="00700572">
        <w:rPr>
          <w:rFonts w:ascii="Calibri" w:hAnsi="Calibri"/>
          <w:noProof/>
        </w:rPr>
        <w:t>and human metapneumovirus</w:t>
      </w:r>
      <w:r w:rsidR="001B6944">
        <w:rPr>
          <w:rFonts w:ascii="Calibri" w:hAnsi="Calibri"/>
          <w:noProof/>
        </w:rPr>
        <w:t xml:space="preserve"> and studies</w:t>
      </w:r>
      <w:r w:rsidR="008D295F">
        <w:rPr>
          <w:rFonts w:ascii="Calibri" w:hAnsi="Calibri"/>
          <w:noProof/>
        </w:rPr>
        <w:t xml:space="preserve"> are </w:t>
      </w:r>
      <w:r w:rsidR="00917B0F">
        <w:rPr>
          <w:rFonts w:ascii="Calibri" w:hAnsi="Calibri"/>
          <w:noProof/>
        </w:rPr>
        <w:t xml:space="preserve">undeway </w:t>
      </w:r>
      <w:r w:rsidR="008D295F">
        <w:rPr>
          <w:rFonts w:ascii="Calibri" w:hAnsi="Calibri"/>
          <w:noProof/>
        </w:rPr>
        <w:t xml:space="preserve">but are currenly </w:t>
      </w:r>
      <w:r w:rsidR="001B6944">
        <w:rPr>
          <w:rFonts w:ascii="Calibri" w:hAnsi="Calibri"/>
          <w:noProof/>
        </w:rPr>
        <w:t xml:space="preserve"> at the pre-clincal stage</w:t>
      </w:r>
      <w:r w:rsidR="0055536A">
        <w:rPr>
          <w:rFonts w:ascii="Calibri" w:hAnsi="Calibri"/>
          <w:noProof/>
        </w:rPr>
        <w:t xml:space="preserve"> [37]</w:t>
      </w:r>
      <w:r w:rsidR="00700572" w:rsidRPr="00700572">
        <w:rPr>
          <w:rFonts w:ascii="Calibri" w:hAnsi="Calibri"/>
          <w:noProof/>
        </w:rPr>
        <w:t>. An agent with broad</w:t>
      </w:r>
      <w:r w:rsidR="008D295F">
        <w:rPr>
          <w:rFonts w:ascii="Calibri" w:hAnsi="Calibri"/>
          <w:noProof/>
        </w:rPr>
        <w:t xml:space="preserve"> </w:t>
      </w:r>
      <w:r w:rsidR="00700572" w:rsidRPr="00700572">
        <w:rPr>
          <w:rFonts w:ascii="Calibri" w:hAnsi="Calibri"/>
          <w:noProof/>
        </w:rPr>
        <w:t>spectrum</w:t>
      </w:r>
      <w:r w:rsidR="001B6944">
        <w:rPr>
          <w:rFonts w:ascii="Calibri" w:hAnsi="Calibri"/>
          <w:noProof/>
        </w:rPr>
        <w:t xml:space="preserve"> </w:t>
      </w:r>
      <w:r w:rsidR="00700572" w:rsidRPr="00700572">
        <w:rPr>
          <w:rFonts w:ascii="Calibri" w:hAnsi="Calibri"/>
          <w:noProof/>
        </w:rPr>
        <w:t xml:space="preserve">antiviral activity </w:t>
      </w:r>
      <w:r w:rsidR="001B6944">
        <w:rPr>
          <w:rFonts w:ascii="Calibri" w:hAnsi="Calibri"/>
          <w:noProof/>
        </w:rPr>
        <w:t xml:space="preserve">agaist these viruses </w:t>
      </w:r>
      <w:r w:rsidR="00700572" w:rsidRPr="00700572">
        <w:rPr>
          <w:rFonts w:ascii="Calibri" w:hAnsi="Calibri"/>
          <w:noProof/>
        </w:rPr>
        <w:t xml:space="preserve">could </w:t>
      </w:r>
      <w:r w:rsidR="001B6944">
        <w:rPr>
          <w:rFonts w:ascii="Calibri" w:hAnsi="Calibri"/>
          <w:noProof/>
        </w:rPr>
        <w:t xml:space="preserve">represent a major advancement </w:t>
      </w:r>
      <w:r w:rsidR="00700572" w:rsidRPr="00700572">
        <w:rPr>
          <w:rFonts w:ascii="Calibri" w:hAnsi="Calibri"/>
          <w:noProof/>
        </w:rPr>
        <w:t>in the treatment</w:t>
      </w:r>
      <w:r w:rsidR="001B6944">
        <w:rPr>
          <w:rFonts w:ascii="Calibri" w:hAnsi="Calibri"/>
          <w:noProof/>
        </w:rPr>
        <w:t xml:space="preserve"> </w:t>
      </w:r>
      <w:r w:rsidR="00700572" w:rsidRPr="00700572">
        <w:rPr>
          <w:rFonts w:ascii="Calibri" w:hAnsi="Calibri"/>
          <w:noProof/>
        </w:rPr>
        <w:t>of respiratory virus infections in high-risk populations.</w:t>
      </w:r>
    </w:p>
    <w:p w:rsidR="001B6944" w:rsidRDefault="001B6944" w:rsidP="001B6944">
      <w:pPr>
        <w:spacing w:after="0" w:line="480" w:lineRule="auto"/>
        <w:rPr>
          <w:rFonts w:ascii="Calibri" w:hAnsi="Calibri"/>
          <w:noProof/>
        </w:rPr>
      </w:pPr>
    </w:p>
    <w:p w:rsidR="00AB040D" w:rsidRDefault="00166D54" w:rsidP="00AB040D">
      <w:pPr>
        <w:spacing w:after="0" w:line="480" w:lineRule="auto"/>
        <w:jc w:val="both"/>
        <w:rPr>
          <w:rFonts w:ascii="Calibri" w:hAnsi="Calibri"/>
          <w:b/>
          <w:bCs/>
          <w:noProof/>
          <w:sz w:val="28"/>
          <w:szCs w:val="28"/>
        </w:rPr>
      </w:pPr>
      <w:r w:rsidRPr="008A0BE5">
        <w:rPr>
          <w:b/>
          <w:bCs/>
          <w:sz w:val="28"/>
          <w:szCs w:val="28"/>
        </w:rPr>
        <w:t>Picornaviruses</w:t>
      </w:r>
    </w:p>
    <w:p w:rsidR="00416266" w:rsidRPr="00AB040D" w:rsidRDefault="00416266" w:rsidP="00917B0F">
      <w:pPr>
        <w:spacing w:after="0" w:line="480" w:lineRule="auto"/>
        <w:jc w:val="both"/>
        <w:rPr>
          <w:rFonts w:ascii="Calibri" w:hAnsi="Calibri"/>
          <w:b/>
          <w:bCs/>
          <w:noProof/>
          <w:sz w:val="28"/>
          <w:szCs w:val="28"/>
        </w:rPr>
      </w:pPr>
      <w:r>
        <w:t>Pleconaril</w:t>
      </w:r>
      <w:r w:rsidR="000A3170">
        <w:t xml:space="preserve"> is a</w:t>
      </w:r>
      <w:r w:rsidR="00162997">
        <w:t>n oral</w:t>
      </w:r>
      <w:r w:rsidR="000A3170">
        <w:t xml:space="preserve"> viral capsid inhibitor with broad antiviral activity against</w:t>
      </w:r>
      <w:r w:rsidR="00162997">
        <w:t xml:space="preserve"> picornaviruses, which includes </w:t>
      </w:r>
      <w:r w:rsidR="000A3170">
        <w:t xml:space="preserve">rhinoviruses and enteroviruses. </w:t>
      </w:r>
      <w:r w:rsidR="00361126">
        <w:t>It was effective in</w:t>
      </w:r>
      <w:r w:rsidR="00162997">
        <w:t xml:space="preserve"> reducing the duration and severity of common colds in adults caused by picornaviruses in two</w:t>
      </w:r>
      <w:r w:rsidR="00361126">
        <w:t xml:space="preserve"> </w:t>
      </w:r>
      <w:r w:rsidR="0055536A">
        <w:t>randomised controlled trials</w:t>
      </w:r>
      <w:r w:rsidR="0055536A">
        <w:rPr>
          <w:rFonts w:ascii="Calibri" w:hAnsi="Calibri" w:cs="Times New Roman"/>
          <w:noProof/>
          <w:szCs w:val="24"/>
          <w:lang w:bidi="ar-SA"/>
        </w:rPr>
        <w:t xml:space="preserve"> [38</w:t>
      </w:r>
      <w:r w:rsidR="00BC250F" w:rsidRPr="00BC250F">
        <w:rPr>
          <w:rFonts w:ascii="Calibri" w:hAnsi="Calibri" w:cs="Times New Roman"/>
          <w:noProof/>
          <w:szCs w:val="24"/>
          <w:lang w:bidi="ar-SA"/>
        </w:rPr>
        <w:t>]</w:t>
      </w:r>
      <w:r w:rsidR="0055536A">
        <w:rPr>
          <w:rFonts w:ascii="Calibri" w:hAnsi="Calibri"/>
          <w:noProof/>
        </w:rPr>
        <w:t xml:space="preserve">. </w:t>
      </w:r>
      <w:r w:rsidR="00162997">
        <w:t xml:space="preserve">However, concerns over the potential for the emergence of antiviral resistance, </w:t>
      </w:r>
      <w:r w:rsidR="00D45F5C">
        <w:t xml:space="preserve">drug </w:t>
      </w:r>
      <w:r w:rsidR="00162997">
        <w:t>interactions</w:t>
      </w:r>
      <w:r w:rsidR="00D45F5C">
        <w:t xml:space="preserve"> with the oral contraceptive pill </w:t>
      </w:r>
      <w:r w:rsidR="00162997">
        <w:t>and study populations being limited to healthy participants meant that pleconaril wa</w:t>
      </w:r>
      <w:r w:rsidR="0055536A">
        <w:t>s not approved for clinical use</w:t>
      </w:r>
      <w:r w:rsidR="0055536A">
        <w:rPr>
          <w:rFonts w:ascii="Calibri" w:hAnsi="Calibri" w:cs="Times New Roman"/>
          <w:noProof/>
          <w:szCs w:val="24"/>
          <w:lang w:bidi="ar-SA"/>
        </w:rPr>
        <w:t xml:space="preserve"> [39</w:t>
      </w:r>
      <w:r w:rsidR="00BC250F" w:rsidRPr="00BC250F">
        <w:rPr>
          <w:rFonts w:ascii="Calibri" w:hAnsi="Calibri" w:cs="Times New Roman"/>
          <w:noProof/>
          <w:szCs w:val="24"/>
          <w:lang w:bidi="ar-SA"/>
        </w:rPr>
        <w:t>]</w:t>
      </w:r>
      <w:r w:rsidR="00917B0F">
        <w:rPr>
          <w:rFonts w:ascii="Calibri" w:hAnsi="Calibri" w:cs="Times New Roman"/>
          <w:noProof/>
          <w:szCs w:val="24"/>
          <w:lang w:bidi="ar-SA"/>
        </w:rPr>
        <w:t xml:space="preserve"> and it is not being devlopmed further</w:t>
      </w:r>
      <w:r w:rsidR="0055536A">
        <w:rPr>
          <w:rFonts w:ascii="Calibri" w:hAnsi="Calibri" w:cs="Times New Roman"/>
          <w:noProof/>
          <w:szCs w:val="24"/>
          <w:lang w:bidi="ar-SA"/>
        </w:rPr>
        <w:t>.</w:t>
      </w:r>
      <w:r w:rsidR="00BC250F" w:rsidRPr="00BC250F">
        <w:rPr>
          <w:rFonts w:ascii="Calibri" w:hAnsi="Calibri"/>
          <w:noProof/>
        </w:rPr>
        <w:t xml:space="preserve"> </w:t>
      </w:r>
      <w:r w:rsidR="009F725C">
        <w:t>BTA798 (</w:t>
      </w:r>
      <w:proofErr w:type="spellStart"/>
      <w:r w:rsidR="009F725C">
        <w:t>Vapendavir</w:t>
      </w:r>
      <w:proofErr w:type="spellEnd"/>
      <w:r w:rsidR="009F725C">
        <w:t>)</w:t>
      </w:r>
      <w:r w:rsidR="00917B0F">
        <w:t xml:space="preserve"> is</w:t>
      </w:r>
      <w:r w:rsidR="008D295F">
        <w:t xml:space="preserve"> another small molecule capsid binding agent </w:t>
      </w:r>
      <w:r w:rsidR="00917B0F">
        <w:t xml:space="preserve">which </w:t>
      </w:r>
      <w:r w:rsidR="003B6946">
        <w:t xml:space="preserve">was recently evaluated in a phase 2b trial in </w:t>
      </w:r>
      <w:r w:rsidR="00917B0F">
        <w:t>adults patients with rhinovirus-</w:t>
      </w:r>
      <w:r w:rsidR="003B6946">
        <w:t>induced asthma exacerbations but failed to demonstrate efficacy [</w:t>
      </w:r>
      <w:r w:rsidR="0055536A">
        <w:t>40</w:t>
      </w:r>
      <w:r w:rsidR="003B6946">
        <w:t xml:space="preserve">]. </w:t>
      </w:r>
    </w:p>
    <w:p w:rsidR="008A0BE5" w:rsidRDefault="008A0BE5" w:rsidP="008A0BE5">
      <w:pPr>
        <w:spacing w:after="0" w:line="480" w:lineRule="auto"/>
        <w:jc w:val="both"/>
      </w:pPr>
    </w:p>
    <w:p w:rsidR="00644A24" w:rsidRDefault="00644A24" w:rsidP="003B6946">
      <w:pPr>
        <w:tabs>
          <w:tab w:val="left" w:pos="1766"/>
        </w:tabs>
        <w:spacing w:after="0" w:line="480" w:lineRule="auto"/>
        <w:jc w:val="both"/>
      </w:pPr>
      <w:r>
        <w:lastRenderedPageBreak/>
        <w:t xml:space="preserve">The </w:t>
      </w:r>
      <w:r w:rsidR="003B6946" w:rsidRPr="003B6946">
        <w:rPr>
          <w:i/>
          <w:iCs/>
        </w:rPr>
        <w:t>ex-vivo</w:t>
      </w:r>
      <w:r w:rsidR="003B6946">
        <w:t xml:space="preserve"> </w:t>
      </w:r>
      <w:r>
        <w:t>bronchial epithelium of asthma</w:t>
      </w:r>
      <w:r w:rsidR="00D45F5C">
        <w:t>tic patients</w:t>
      </w:r>
      <w:r>
        <w:t xml:space="preserve"> </w:t>
      </w:r>
      <w:r w:rsidR="00D45F5C">
        <w:t>is associated with a defective innate immune response to rhinovirus infection which is restored by adding</w:t>
      </w:r>
      <w:r w:rsidR="000F37FC">
        <w:t xml:space="preserve"> exogenous</w:t>
      </w:r>
      <w:r w:rsidR="00D45F5C" w:rsidRPr="00D45F5C">
        <w:t xml:space="preserve"> IFN-β</w:t>
      </w:r>
      <w:r w:rsidR="00D45F5C">
        <w:t xml:space="preserve"> </w:t>
      </w:r>
      <w:r w:rsidR="0055536A">
        <w:rPr>
          <w:rFonts w:ascii="Calibri" w:hAnsi="Calibri" w:cs="Times New Roman"/>
          <w:noProof/>
          <w:szCs w:val="24"/>
          <w:lang w:bidi="ar-SA"/>
        </w:rPr>
        <w:t>[41</w:t>
      </w:r>
      <w:r w:rsidR="00BC250F" w:rsidRPr="00BC250F">
        <w:rPr>
          <w:rFonts w:ascii="Calibri" w:hAnsi="Calibri" w:cs="Times New Roman"/>
          <w:noProof/>
          <w:szCs w:val="24"/>
          <w:lang w:bidi="ar-SA"/>
        </w:rPr>
        <w:t>]</w:t>
      </w:r>
      <w:r w:rsidR="00D45F5C">
        <w:rPr>
          <w:rFonts w:ascii="Calibri" w:hAnsi="Calibri"/>
          <w:noProof/>
        </w:rPr>
        <w:t xml:space="preserve">. A </w:t>
      </w:r>
      <w:r w:rsidR="00D45F5C">
        <w:t xml:space="preserve">placebo controlled </w:t>
      </w:r>
      <w:r w:rsidR="007B104F">
        <w:t xml:space="preserve">trial </w:t>
      </w:r>
      <w:r w:rsidR="00254ED6">
        <w:t>of inhaled IFN-β in asthma</w:t>
      </w:r>
      <w:r w:rsidR="00D45F5C">
        <w:t>tic</w:t>
      </w:r>
      <w:r w:rsidR="00254ED6">
        <w:t xml:space="preserve"> pat</w:t>
      </w:r>
      <w:r w:rsidR="000F37FC">
        <w:t>ients with</w:t>
      </w:r>
      <w:r w:rsidR="00254ED6">
        <w:t xml:space="preserve"> cold </w:t>
      </w:r>
      <w:r w:rsidR="0055536A">
        <w:t>symptoms</w:t>
      </w:r>
      <w:r w:rsidR="00BC250F" w:rsidRPr="00BC250F">
        <w:rPr>
          <w:rFonts w:ascii="Calibri" w:hAnsi="Calibri"/>
          <w:noProof/>
        </w:rPr>
        <w:t xml:space="preserve"> </w:t>
      </w:r>
      <w:r w:rsidR="007B104F">
        <w:t>did not me</w:t>
      </w:r>
      <w:r w:rsidR="00D45F5C">
        <w:t xml:space="preserve">et its primary outcome measure but suggested that inhaled IFN-β was effective at attenuating exacerbations in a subset of patients </w:t>
      </w:r>
      <w:r w:rsidR="0055536A">
        <w:t>with severe asthma [42</w:t>
      </w:r>
      <w:r w:rsidR="00D45F5C">
        <w:t>]</w:t>
      </w:r>
      <w:r w:rsidR="007B104F">
        <w:t>.</w:t>
      </w:r>
      <w:r w:rsidR="00FD7721">
        <w:t xml:space="preserve"> </w:t>
      </w:r>
      <w:r w:rsidR="003F2763">
        <w:t xml:space="preserve">A </w:t>
      </w:r>
      <w:r w:rsidR="00D45F5C">
        <w:t xml:space="preserve">subsequent multicentre </w:t>
      </w:r>
      <w:r w:rsidR="003F2763">
        <w:t>phase II</w:t>
      </w:r>
      <w:r w:rsidR="00B21243">
        <w:t xml:space="preserve"> trial of inhaled IFN-β in </w:t>
      </w:r>
      <w:r w:rsidR="00D45F5C">
        <w:t xml:space="preserve">severe </w:t>
      </w:r>
      <w:r w:rsidR="00B21243">
        <w:t>asthma</w:t>
      </w:r>
      <w:r w:rsidR="00D45F5C">
        <w:t>tics</w:t>
      </w:r>
      <w:r w:rsidR="00B21243">
        <w:t xml:space="preserve"> patients </w:t>
      </w:r>
      <w:r w:rsidR="00D45F5C">
        <w:t xml:space="preserve">administered </w:t>
      </w:r>
      <w:r w:rsidR="000F37FC">
        <w:t>at the onset of</w:t>
      </w:r>
      <w:r w:rsidR="00B21243">
        <w:t xml:space="preserve"> cold </w:t>
      </w:r>
      <w:r w:rsidR="000F37FC">
        <w:t xml:space="preserve">symptoms </w:t>
      </w:r>
      <w:r w:rsidR="00B21243">
        <w:t xml:space="preserve">was </w:t>
      </w:r>
      <w:r w:rsidR="00917B0F">
        <w:t xml:space="preserve">recently </w:t>
      </w:r>
      <w:r w:rsidR="00B21243">
        <w:t xml:space="preserve">ceased </w:t>
      </w:r>
      <w:r w:rsidR="00D45F5C">
        <w:t xml:space="preserve">due to a very low number of reported </w:t>
      </w:r>
      <w:r w:rsidR="00B21243">
        <w:t>exacerba</w:t>
      </w:r>
      <w:r w:rsidR="00D45F5C">
        <w:t>t</w:t>
      </w:r>
      <w:r w:rsidR="000F37FC">
        <w:t xml:space="preserve">ions occurring during the trial, </w:t>
      </w:r>
      <w:r w:rsidR="00D45F5C">
        <w:t>meaning that the primary outcome measure could not be reached</w:t>
      </w:r>
      <w:r w:rsidR="00B21243">
        <w:t>.</w:t>
      </w:r>
      <w:r w:rsidR="003C1E42">
        <w:rPr>
          <w:rFonts w:ascii="Calibri" w:hAnsi="Calibri" w:cs="Times New Roman"/>
          <w:noProof/>
          <w:szCs w:val="24"/>
          <w:lang w:bidi="ar-SA"/>
        </w:rPr>
        <w:t xml:space="preserve"> [43,</w:t>
      </w:r>
      <w:r w:rsidR="0055536A">
        <w:rPr>
          <w:rFonts w:ascii="Calibri" w:hAnsi="Calibri" w:cs="Times New Roman"/>
          <w:noProof/>
          <w:szCs w:val="24"/>
          <w:lang w:bidi="ar-SA"/>
        </w:rPr>
        <w:t>44</w:t>
      </w:r>
      <w:r w:rsidR="00BC250F" w:rsidRPr="00BC250F">
        <w:rPr>
          <w:rFonts w:ascii="Calibri" w:hAnsi="Calibri" w:cs="Times New Roman"/>
          <w:noProof/>
          <w:szCs w:val="24"/>
          <w:lang w:bidi="ar-SA"/>
        </w:rPr>
        <w:t>]</w:t>
      </w:r>
      <w:r w:rsidR="00D45F5C">
        <w:t xml:space="preserve">. Inhaled beta interferon still remains a potential, therapeutic </w:t>
      </w:r>
      <w:r w:rsidR="003C7688">
        <w:t xml:space="preserve">agent </w:t>
      </w:r>
      <w:r w:rsidR="00D45F5C">
        <w:t xml:space="preserve">for </w:t>
      </w:r>
      <w:r w:rsidR="003C7688">
        <w:t>respiratory virus infection and further clinical</w:t>
      </w:r>
      <w:r w:rsidR="000F37FC">
        <w:t xml:space="preserve"> studies may be warranted</w:t>
      </w:r>
      <w:r w:rsidR="003C7688">
        <w:t xml:space="preserve">. </w:t>
      </w:r>
    </w:p>
    <w:p w:rsidR="00AB040D" w:rsidRDefault="00AB040D" w:rsidP="008A0BE5">
      <w:pPr>
        <w:tabs>
          <w:tab w:val="left" w:pos="1766"/>
        </w:tabs>
        <w:spacing w:after="0" w:line="480" w:lineRule="auto"/>
        <w:jc w:val="both"/>
      </w:pPr>
    </w:p>
    <w:p w:rsidR="00AB040D" w:rsidRPr="00AB040D" w:rsidRDefault="00AB040D" w:rsidP="00AB040D">
      <w:pPr>
        <w:tabs>
          <w:tab w:val="left" w:pos="1766"/>
        </w:tabs>
        <w:spacing w:after="0" w:line="480" w:lineRule="auto"/>
        <w:rPr>
          <w:b/>
          <w:bCs/>
          <w:sz w:val="28"/>
          <w:szCs w:val="28"/>
        </w:rPr>
      </w:pPr>
      <w:r w:rsidRPr="00AB040D">
        <w:rPr>
          <w:b/>
          <w:bCs/>
          <w:sz w:val="28"/>
          <w:szCs w:val="28"/>
        </w:rPr>
        <w:t>Adenovirus</w:t>
      </w:r>
    </w:p>
    <w:p w:rsidR="00AB040D" w:rsidRDefault="000F37FC" w:rsidP="003E3D79">
      <w:pPr>
        <w:tabs>
          <w:tab w:val="left" w:pos="1766"/>
        </w:tabs>
        <w:spacing w:after="0" w:line="480" w:lineRule="auto"/>
        <w:jc w:val="both"/>
      </w:pPr>
      <w:r>
        <w:t xml:space="preserve">Adenovirus can occasionally cause severe acute respiratory illness </w:t>
      </w:r>
      <w:r w:rsidR="00917B0F">
        <w:t>in immunocompetent adults [45</w:t>
      </w:r>
      <w:r>
        <w:t xml:space="preserve">] but more commonly causes severe infection in heavily immunocompromised patients. </w:t>
      </w:r>
      <w:proofErr w:type="spellStart"/>
      <w:r>
        <w:t>Cidofovir</w:t>
      </w:r>
      <w:proofErr w:type="spellEnd"/>
      <w:r>
        <w:t xml:space="preserve"> is an intravenous </w:t>
      </w:r>
      <w:r w:rsidR="00F35FE7">
        <w:t>nucleoside analogue that inhibits viral DNA polymerase</w:t>
      </w:r>
      <w:r w:rsidR="00AB040D">
        <w:t xml:space="preserve"> </w:t>
      </w:r>
      <w:r w:rsidR="00F35FE7">
        <w:t>and is used in</w:t>
      </w:r>
      <w:r>
        <w:t xml:space="preserve"> </w:t>
      </w:r>
      <w:r w:rsidR="00AB040D">
        <w:t xml:space="preserve">immunocompromised patients with disseminated </w:t>
      </w:r>
      <w:r w:rsidR="00DE16DC">
        <w:t>and</w:t>
      </w:r>
      <w:r>
        <w:t xml:space="preserve"> progressive </w:t>
      </w:r>
      <w:r w:rsidR="00AB040D">
        <w:t>adenovirus infection or pre-emptively in patien</w:t>
      </w:r>
      <w:r w:rsidR="003E3D79">
        <w:t>ts w</w:t>
      </w:r>
      <w:r w:rsidR="00DE16DC">
        <w:t>ith persistent replication [46</w:t>
      </w:r>
      <w:r w:rsidR="003C1E42">
        <w:t>,</w:t>
      </w:r>
      <w:r w:rsidR="00DE16DC">
        <w:t xml:space="preserve"> 47</w:t>
      </w:r>
      <w:r w:rsidR="003E3D79">
        <w:t xml:space="preserve">]. </w:t>
      </w:r>
      <w:r w:rsidR="00F35FE7">
        <w:t xml:space="preserve">Its use is limited by toxicity, most </w:t>
      </w:r>
      <w:r w:rsidR="00AB040D">
        <w:t xml:space="preserve">notably nephrotoxicity. </w:t>
      </w:r>
      <w:proofErr w:type="spellStart"/>
      <w:r w:rsidR="00AB040D">
        <w:t>Brincidofovir</w:t>
      </w:r>
      <w:proofErr w:type="spellEnd"/>
      <w:r w:rsidR="00AB040D">
        <w:t xml:space="preserve"> is an oral lipid conjugate of </w:t>
      </w:r>
      <w:proofErr w:type="spellStart"/>
      <w:r w:rsidR="00AB040D">
        <w:t>cidofovir</w:t>
      </w:r>
      <w:proofErr w:type="spellEnd"/>
      <w:r w:rsidR="00AB040D">
        <w:t xml:space="preserve"> that </w:t>
      </w:r>
      <w:r w:rsidR="00F35FE7">
        <w:t xml:space="preserve">increases it cellular uptake and </w:t>
      </w:r>
      <w:r w:rsidR="00AB040D">
        <w:t>is potentially more potent and less toxic. It has been used experimentally in a small number of immunocompromised patients with severe adenovirus disease and a larger number with asymptomatic adenovirus infec</w:t>
      </w:r>
      <w:r w:rsidR="00F35FE7">
        <w:t>tion as a pre-emptive treatment</w:t>
      </w:r>
      <w:r w:rsidR="00DE16DC">
        <w:t>,</w:t>
      </w:r>
      <w:r w:rsidR="00AB040D">
        <w:t xml:space="preserve"> but larger-scale randomised</w:t>
      </w:r>
      <w:r w:rsidR="00F35FE7">
        <w:t xml:space="preserve"> controlled trials are needed</w:t>
      </w:r>
      <w:r w:rsidR="00DE16DC">
        <w:t xml:space="preserve"> [48</w:t>
      </w:r>
      <w:r w:rsidR="003C1E42">
        <w:t>,</w:t>
      </w:r>
      <w:r w:rsidR="00DE16DC">
        <w:t>49</w:t>
      </w:r>
      <w:r w:rsidR="00F35FE7">
        <w:t>]</w:t>
      </w:r>
      <w:r w:rsidR="003E3D79">
        <w:t>.</w:t>
      </w:r>
    </w:p>
    <w:p w:rsidR="008A0BE5" w:rsidRDefault="008A0BE5" w:rsidP="008A0BE5">
      <w:pPr>
        <w:spacing w:after="0" w:line="480" w:lineRule="auto"/>
        <w:jc w:val="both"/>
      </w:pPr>
    </w:p>
    <w:p w:rsidR="006263B3" w:rsidRPr="0036438E" w:rsidRDefault="006263B3" w:rsidP="008A0BE5">
      <w:pPr>
        <w:pStyle w:val="Heading2"/>
        <w:spacing w:before="0" w:line="480" w:lineRule="auto"/>
        <w:jc w:val="both"/>
        <w:rPr>
          <w:rFonts w:asciiTheme="minorHAnsi" w:hAnsiTheme="minorHAnsi"/>
          <w:sz w:val="28"/>
          <w:szCs w:val="28"/>
        </w:rPr>
      </w:pPr>
      <w:r w:rsidRPr="0036438E">
        <w:rPr>
          <w:rFonts w:asciiTheme="minorHAnsi" w:hAnsiTheme="minorHAnsi"/>
          <w:sz w:val="28"/>
          <w:szCs w:val="28"/>
        </w:rPr>
        <w:t>Conclusions</w:t>
      </w:r>
    </w:p>
    <w:p w:rsidR="009E6AC3" w:rsidRDefault="008924EE" w:rsidP="00F67A87">
      <w:pPr>
        <w:spacing w:after="0" w:line="480" w:lineRule="auto"/>
        <w:jc w:val="both"/>
      </w:pPr>
      <w:r>
        <w:t xml:space="preserve">Non-influenza respiratory viruses </w:t>
      </w:r>
      <w:r w:rsidR="008A0BE5">
        <w:t xml:space="preserve">are responsible for a large burden of </w:t>
      </w:r>
      <w:r>
        <w:t xml:space="preserve">severe disease. Respiratory virus testing in hospitalised </w:t>
      </w:r>
      <w:r w:rsidR="00F67A87">
        <w:t xml:space="preserve">patients </w:t>
      </w:r>
      <w:r>
        <w:t xml:space="preserve">with acute respiratory illness is </w:t>
      </w:r>
      <w:r w:rsidR="00F9680B">
        <w:t xml:space="preserve">currently </w:t>
      </w:r>
      <w:r>
        <w:t>underutilised but</w:t>
      </w:r>
      <w:r w:rsidR="008A0BE5">
        <w:t xml:space="preserve"> a </w:t>
      </w:r>
      <w:r w:rsidR="008A0BE5">
        <w:lastRenderedPageBreak/>
        <w:t>routine</w:t>
      </w:r>
      <w:r>
        <w:t xml:space="preserve"> testing strategy </w:t>
      </w:r>
      <w:r w:rsidR="003C7688">
        <w:t xml:space="preserve">with rapid molecular diagnostic platforms </w:t>
      </w:r>
      <w:r>
        <w:t xml:space="preserve">has the potential to </w:t>
      </w:r>
      <w:r w:rsidR="008A0BE5">
        <w:t xml:space="preserve">detect </w:t>
      </w:r>
      <w:r w:rsidR="003C7688">
        <w:t xml:space="preserve">respiratory </w:t>
      </w:r>
      <w:r w:rsidR="008A0BE5">
        <w:t xml:space="preserve">virus infection at </w:t>
      </w:r>
      <w:r w:rsidR="003C7688">
        <w:t xml:space="preserve">presentation </w:t>
      </w:r>
      <w:r w:rsidR="008A0BE5">
        <w:t xml:space="preserve">and </w:t>
      </w:r>
      <w:r>
        <w:t xml:space="preserve">direct </w:t>
      </w:r>
      <w:r w:rsidR="008A0BE5">
        <w:t xml:space="preserve">the use of </w:t>
      </w:r>
      <w:r>
        <w:t>novel antiviral</w:t>
      </w:r>
      <w:r w:rsidR="008A0BE5">
        <w:t xml:space="preserve"> agents when available</w:t>
      </w:r>
      <w:r w:rsidR="00F67A87">
        <w:t xml:space="preserve"> [</w:t>
      </w:r>
      <w:r w:rsidR="00DE16DC">
        <w:t>50</w:t>
      </w:r>
      <w:r w:rsidR="001E6E72">
        <w:t>, 51</w:t>
      </w:r>
      <w:r w:rsidR="00F67A87">
        <w:t>]</w:t>
      </w:r>
      <w:r>
        <w:t xml:space="preserve">. </w:t>
      </w:r>
      <w:r w:rsidR="003C7688">
        <w:t>Current therapeutic options for severe disease caused by non-influenza respiratory viruses are</w:t>
      </w:r>
      <w:r w:rsidR="009E6AC3">
        <w:t xml:space="preserve"> extremely limited</w:t>
      </w:r>
      <w:r w:rsidR="008A0BE5">
        <w:t>.</w:t>
      </w:r>
      <w:r w:rsidR="000A4B72">
        <w:t xml:space="preserve"> </w:t>
      </w:r>
      <w:r w:rsidR="00DE16DC">
        <w:t>Aerosolised</w:t>
      </w:r>
      <w:r w:rsidR="00340246">
        <w:t xml:space="preserve"> ribavirin is </w:t>
      </w:r>
      <w:r w:rsidR="003C7688">
        <w:t xml:space="preserve">sometimes </w:t>
      </w:r>
      <w:r w:rsidR="00340246">
        <w:t xml:space="preserve">used in severe RSV infection in </w:t>
      </w:r>
      <w:r w:rsidR="003C7688">
        <w:t xml:space="preserve">infants </w:t>
      </w:r>
      <w:r w:rsidR="00340246">
        <w:t xml:space="preserve">and in </w:t>
      </w:r>
      <w:r w:rsidR="008A0BE5">
        <w:t xml:space="preserve">heavily </w:t>
      </w:r>
      <w:r w:rsidR="00340246">
        <w:t xml:space="preserve">immunocompromised adults </w:t>
      </w:r>
      <w:r w:rsidR="0013200F">
        <w:t>but it use is limited by toxic</w:t>
      </w:r>
      <w:r w:rsidR="008A0BE5">
        <w:t xml:space="preserve">ity and </w:t>
      </w:r>
      <w:r w:rsidR="003C7688">
        <w:t>by a lack of high quality evidence for its efficacy</w:t>
      </w:r>
      <w:r w:rsidR="00340246">
        <w:t xml:space="preserve">. </w:t>
      </w:r>
      <w:r w:rsidR="009E6AC3">
        <w:t xml:space="preserve">Multiple </w:t>
      </w:r>
      <w:r w:rsidR="0013200F">
        <w:t xml:space="preserve">novel candidate </w:t>
      </w:r>
      <w:r w:rsidR="008A0BE5" w:rsidRPr="0013200F">
        <w:t>antiviral</w:t>
      </w:r>
      <w:r w:rsidR="008A0BE5">
        <w:t>s are undergoing</w:t>
      </w:r>
      <w:r w:rsidR="009E6AC3">
        <w:t xml:space="preserve"> </w:t>
      </w:r>
      <w:r w:rsidR="008A0BE5">
        <w:t xml:space="preserve">clinical trials </w:t>
      </w:r>
      <w:r w:rsidR="0013200F">
        <w:t xml:space="preserve">including some </w:t>
      </w:r>
      <w:r w:rsidR="009E6AC3">
        <w:t>with</w:t>
      </w:r>
      <w:r w:rsidR="000A4B72">
        <w:t xml:space="preserve"> some</w:t>
      </w:r>
      <w:r w:rsidR="009E6AC3">
        <w:t xml:space="preserve"> broad antiviral </w:t>
      </w:r>
      <w:r w:rsidR="0013200F">
        <w:t xml:space="preserve">activity </w:t>
      </w:r>
      <w:r w:rsidR="000A4B72">
        <w:t xml:space="preserve">such as </w:t>
      </w:r>
      <w:r w:rsidR="009E6AC3">
        <w:t xml:space="preserve">nitazoxanide and favipiravir. </w:t>
      </w:r>
      <w:r w:rsidR="0013200F">
        <w:t>Severa</w:t>
      </w:r>
      <w:r w:rsidR="00DE16DC">
        <w:t>l promising small molecule drugs</w:t>
      </w:r>
      <w:r w:rsidR="0013200F">
        <w:t xml:space="preserve"> active against RSV are in the late stages of development. </w:t>
      </w:r>
      <w:r w:rsidR="000A4B72">
        <w:t>Convalescent</w:t>
      </w:r>
      <w:r w:rsidR="0013200F">
        <w:t xml:space="preserve"> plasma </w:t>
      </w:r>
      <w:r w:rsidR="000A4B72">
        <w:t xml:space="preserve">and </w:t>
      </w:r>
      <w:r w:rsidR="003C7688">
        <w:t>monoclonal antibodies</w:t>
      </w:r>
      <w:r w:rsidR="0013200F">
        <w:t xml:space="preserve"> </w:t>
      </w:r>
      <w:r w:rsidR="000A4B72">
        <w:t>may be future treatments for MERS</w:t>
      </w:r>
      <w:r w:rsidR="008A0BE5">
        <w:t>-CoV</w:t>
      </w:r>
      <w:r w:rsidR="003C7688">
        <w:t xml:space="preserve"> infection</w:t>
      </w:r>
      <w:r w:rsidR="000A4B72">
        <w:t xml:space="preserve">. </w:t>
      </w:r>
    </w:p>
    <w:p w:rsidR="003E3D79" w:rsidRDefault="003E3D79" w:rsidP="00F67A87">
      <w:pPr>
        <w:spacing w:after="0" w:line="480" w:lineRule="auto"/>
        <w:jc w:val="both"/>
      </w:pPr>
    </w:p>
    <w:p w:rsidR="008A0BE5" w:rsidRDefault="008A0BE5" w:rsidP="008A0BE5">
      <w:pPr>
        <w:spacing w:after="0" w:line="480" w:lineRule="auto"/>
        <w:jc w:val="both"/>
      </w:pPr>
    </w:p>
    <w:p w:rsidR="000A4B72" w:rsidRDefault="000A4B72" w:rsidP="008A0BE5">
      <w:pPr>
        <w:pStyle w:val="Heading2"/>
        <w:spacing w:before="0" w:line="480" w:lineRule="auto"/>
      </w:pPr>
      <w:r>
        <w:t>Key points</w:t>
      </w:r>
    </w:p>
    <w:p w:rsidR="003E3D79" w:rsidRPr="003E3D79" w:rsidRDefault="003E3D79" w:rsidP="003E3D79"/>
    <w:p w:rsidR="000A4B72" w:rsidRDefault="000A4B72" w:rsidP="003C7688">
      <w:pPr>
        <w:pStyle w:val="ListParagraph"/>
        <w:numPr>
          <w:ilvl w:val="0"/>
          <w:numId w:val="4"/>
        </w:numPr>
        <w:spacing w:after="0" w:line="480" w:lineRule="auto"/>
        <w:jc w:val="both"/>
      </w:pPr>
      <w:r>
        <w:t xml:space="preserve">Current antiviral treatment </w:t>
      </w:r>
      <w:r w:rsidR="00C97D08">
        <w:t xml:space="preserve">options </w:t>
      </w:r>
      <w:r w:rsidR="001B6944">
        <w:t>for severe</w:t>
      </w:r>
      <w:r>
        <w:t xml:space="preserve"> non-influenza respiratory virus infection </w:t>
      </w:r>
      <w:r w:rsidR="00C97D08">
        <w:t>are</w:t>
      </w:r>
      <w:r>
        <w:t xml:space="preserve"> extremely limited.</w:t>
      </w:r>
    </w:p>
    <w:p w:rsidR="000A4B72" w:rsidRDefault="000A4B72" w:rsidP="003C7688">
      <w:pPr>
        <w:pStyle w:val="ListParagraph"/>
        <w:numPr>
          <w:ilvl w:val="0"/>
          <w:numId w:val="4"/>
        </w:numPr>
        <w:spacing w:after="0" w:line="480" w:lineRule="auto"/>
        <w:jc w:val="both"/>
      </w:pPr>
      <w:r>
        <w:t xml:space="preserve">Ribavirin is used in severe RSV infection in young children and in severely immunocompromised adults but </w:t>
      </w:r>
      <w:r w:rsidR="0013200F">
        <w:t>use is limited by toxicity and the evidence base for its efficacy is poor.</w:t>
      </w:r>
    </w:p>
    <w:p w:rsidR="00CC07A0" w:rsidRDefault="000A4B72" w:rsidP="003C7688">
      <w:pPr>
        <w:pStyle w:val="ListParagraph"/>
        <w:numPr>
          <w:ilvl w:val="0"/>
          <w:numId w:val="4"/>
        </w:numPr>
        <w:spacing w:after="0" w:line="480" w:lineRule="auto"/>
        <w:jc w:val="both"/>
      </w:pPr>
      <w:r>
        <w:t>GS-5806 and ALS-8176 appear to reduce clinical severity of RSV infection in human challenge studies</w:t>
      </w:r>
      <w:r w:rsidR="00C97D08">
        <w:t xml:space="preserve"> and are promising candidate antiviral</w:t>
      </w:r>
      <w:r w:rsidR="00CC07A0">
        <w:t>s</w:t>
      </w:r>
      <w:r w:rsidR="0013200F">
        <w:t xml:space="preserve"> </w:t>
      </w:r>
      <w:r w:rsidR="003C7688">
        <w:t xml:space="preserve">undergoing </w:t>
      </w:r>
      <w:r w:rsidR="0013200F">
        <w:t>lat</w:t>
      </w:r>
      <w:r w:rsidR="003C7688">
        <w:t>e stage clinical trials.</w:t>
      </w:r>
    </w:p>
    <w:p w:rsidR="000A4B72" w:rsidRDefault="00C97D08" w:rsidP="003C7688">
      <w:pPr>
        <w:pStyle w:val="ListParagraph"/>
        <w:numPr>
          <w:ilvl w:val="0"/>
          <w:numId w:val="4"/>
        </w:numPr>
        <w:spacing w:after="0" w:line="480" w:lineRule="auto"/>
      </w:pPr>
      <w:r>
        <w:t xml:space="preserve"> </w:t>
      </w:r>
      <w:r w:rsidR="0013200F">
        <w:t xml:space="preserve">Convalescent plasma and </w:t>
      </w:r>
      <w:r w:rsidR="00CC07A0">
        <w:t xml:space="preserve">Monoclonal antibodies </w:t>
      </w:r>
      <w:r w:rsidR="0013200F">
        <w:t xml:space="preserve">may be future therapeutic options </w:t>
      </w:r>
      <w:r w:rsidR="003C7688" w:rsidRPr="003C7688">
        <w:t>for MERS-CoV</w:t>
      </w:r>
      <w:r w:rsidR="003C7688">
        <w:t xml:space="preserve"> infection.</w:t>
      </w:r>
    </w:p>
    <w:p w:rsidR="00C97D08" w:rsidRDefault="00C97D08" w:rsidP="003C7688">
      <w:pPr>
        <w:pStyle w:val="ListParagraph"/>
        <w:numPr>
          <w:ilvl w:val="0"/>
          <w:numId w:val="4"/>
        </w:numPr>
        <w:spacing w:after="0" w:line="480" w:lineRule="auto"/>
        <w:ind w:left="714" w:hanging="357"/>
      </w:pPr>
      <w:r w:rsidRPr="00C97D08">
        <w:t xml:space="preserve">Broad spectrum antivirals </w:t>
      </w:r>
      <w:r w:rsidR="003C7688">
        <w:t xml:space="preserve">such as </w:t>
      </w:r>
      <w:r w:rsidRPr="00C97D08">
        <w:t xml:space="preserve">nitazoxanide and favipiravir show promise in </w:t>
      </w:r>
      <w:r>
        <w:t xml:space="preserve">early </w:t>
      </w:r>
      <w:r w:rsidRPr="00C97D08">
        <w:t>studies</w:t>
      </w:r>
      <w:r w:rsidR="00CC07A0">
        <w:t xml:space="preserve"> across a range of respiratory viruses </w:t>
      </w:r>
    </w:p>
    <w:p w:rsidR="008A0BE5" w:rsidRDefault="008A0BE5" w:rsidP="008A0BE5">
      <w:pPr>
        <w:pStyle w:val="ListParagraph"/>
        <w:spacing w:after="0"/>
      </w:pPr>
    </w:p>
    <w:p w:rsidR="008A0BE5" w:rsidRPr="00C97D08" w:rsidRDefault="008A0BE5" w:rsidP="008A0BE5">
      <w:pPr>
        <w:pStyle w:val="ListParagraph"/>
        <w:spacing w:after="0"/>
      </w:pPr>
    </w:p>
    <w:p w:rsidR="00AB040D" w:rsidRDefault="00AB040D" w:rsidP="00AB040D">
      <w:pPr>
        <w:pStyle w:val="Heading2"/>
        <w:spacing w:before="0" w:line="480" w:lineRule="auto"/>
      </w:pPr>
    </w:p>
    <w:p w:rsidR="00CB27CF" w:rsidRPr="003C7688" w:rsidRDefault="00CB27CF" w:rsidP="00AB040D">
      <w:pPr>
        <w:pStyle w:val="Heading2"/>
        <w:spacing w:before="0" w:line="480" w:lineRule="auto"/>
        <w:rPr>
          <w:rFonts w:asciiTheme="minorHAnsi" w:hAnsiTheme="minorHAnsi"/>
          <w:sz w:val="28"/>
          <w:szCs w:val="28"/>
        </w:rPr>
      </w:pPr>
      <w:r w:rsidRPr="003C7688">
        <w:rPr>
          <w:rFonts w:asciiTheme="minorHAnsi" w:hAnsiTheme="minorHAnsi"/>
          <w:sz w:val="28"/>
          <w:szCs w:val="28"/>
        </w:rPr>
        <w:lastRenderedPageBreak/>
        <w:t>Financial support and sponsorship</w:t>
      </w:r>
    </w:p>
    <w:p w:rsidR="00CB27CF" w:rsidRDefault="00542EB1" w:rsidP="00AB040D">
      <w:pPr>
        <w:spacing w:after="0" w:line="480" w:lineRule="auto"/>
      </w:pPr>
      <w:r>
        <w:t>None</w:t>
      </w:r>
    </w:p>
    <w:p w:rsidR="00C7501A" w:rsidRDefault="00C7501A" w:rsidP="00AB040D">
      <w:pPr>
        <w:spacing w:after="0" w:line="480" w:lineRule="auto"/>
      </w:pPr>
    </w:p>
    <w:p w:rsidR="00C7501A" w:rsidRPr="00C7501A" w:rsidRDefault="00C7501A" w:rsidP="00C7501A">
      <w:pPr>
        <w:spacing w:after="0" w:line="480" w:lineRule="auto"/>
        <w:rPr>
          <w:b/>
          <w:bCs/>
          <w:sz w:val="28"/>
          <w:szCs w:val="28"/>
        </w:rPr>
      </w:pPr>
      <w:r w:rsidRPr="00C7501A">
        <w:rPr>
          <w:b/>
          <w:bCs/>
          <w:sz w:val="28"/>
          <w:szCs w:val="28"/>
        </w:rPr>
        <w:t>Acknowledgments</w:t>
      </w:r>
    </w:p>
    <w:p w:rsidR="00C7501A" w:rsidRDefault="00C7501A" w:rsidP="00C7501A">
      <w:pPr>
        <w:spacing w:after="0" w:line="480" w:lineRule="auto"/>
      </w:pPr>
      <w:r>
        <w:t>None</w:t>
      </w:r>
    </w:p>
    <w:p w:rsidR="00AB040D" w:rsidRPr="00CB27CF" w:rsidRDefault="00AB040D" w:rsidP="00AB040D">
      <w:pPr>
        <w:spacing w:after="0" w:line="480" w:lineRule="auto"/>
      </w:pPr>
    </w:p>
    <w:p w:rsidR="00CB27CF" w:rsidRPr="003C7688" w:rsidRDefault="00CB27CF" w:rsidP="00AB040D">
      <w:pPr>
        <w:pStyle w:val="Heading2"/>
        <w:spacing w:before="0" w:line="480" w:lineRule="auto"/>
        <w:rPr>
          <w:rFonts w:asciiTheme="minorHAnsi" w:hAnsiTheme="minorHAnsi"/>
          <w:sz w:val="28"/>
          <w:szCs w:val="28"/>
        </w:rPr>
      </w:pPr>
      <w:r w:rsidRPr="003C7688">
        <w:rPr>
          <w:rFonts w:asciiTheme="minorHAnsi" w:hAnsiTheme="minorHAnsi"/>
          <w:sz w:val="28"/>
          <w:szCs w:val="28"/>
        </w:rPr>
        <w:t>Conflicts of interest</w:t>
      </w:r>
    </w:p>
    <w:p w:rsidR="00B6458A" w:rsidRDefault="00B6458A" w:rsidP="003C1E42">
      <w:pPr>
        <w:spacing w:after="0" w:line="480" w:lineRule="auto"/>
        <w:jc w:val="both"/>
      </w:pPr>
      <w:r>
        <w:t xml:space="preserve">TWC has performed paid consultancy work for Roche and </w:t>
      </w:r>
      <w:r w:rsidR="00AB040D">
        <w:t xml:space="preserve">has received speaker fees from </w:t>
      </w:r>
      <w:proofErr w:type="spellStart"/>
      <w:r w:rsidR="003C1E42">
        <w:t>BioF</w:t>
      </w:r>
      <w:r w:rsidR="00C7501A">
        <w:t>ire</w:t>
      </w:r>
      <w:proofErr w:type="spellEnd"/>
      <w:r w:rsidR="00C7501A">
        <w:t xml:space="preserve"> diagnostics</w:t>
      </w:r>
      <w:r w:rsidR="003C1E42">
        <w:t>,</w:t>
      </w:r>
      <w:r w:rsidR="00C7501A">
        <w:t xml:space="preserve"> LLC</w:t>
      </w:r>
      <w:r w:rsidR="003C1E42">
        <w:t xml:space="preserve">. </w:t>
      </w:r>
      <w:r w:rsidR="00AB040D">
        <w:t xml:space="preserve">He has received discounted equipment </w:t>
      </w:r>
      <w:r w:rsidR="001E6E72">
        <w:t>and consumables for the purposes</w:t>
      </w:r>
      <w:r w:rsidR="00AB040D">
        <w:t xml:space="preserve"> of </w:t>
      </w:r>
      <w:r w:rsidR="001B6944">
        <w:t>research from</w:t>
      </w:r>
      <w:r w:rsidR="003C1E42" w:rsidRPr="003C1E42">
        <w:t xml:space="preserve"> </w:t>
      </w:r>
      <w:proofErr w:type="spellStart"/>
      <w:r w:rsidR="003C1E42">
        <w:t>BioFire</w:t>
      </w:r>
      <w:proofErr w:type="spellEnd"/>
      <w:r w:rsidR="003C1E42">
        <w:t xml:space="preserve"> diagnostics, LLC</w:t>
      </w:r>
      <w:r w:rsidR="00AB040D">
        <w:t xml:space="preserve">. He </w:t>
      </w:r>
      <w:r>
        <w:t xml:space="preserve">has acted as chief or principal investigator in clinical trials of antivirals sponsored by Gilead Sciences and </w:t>
      </w:r>
      <w:r w:rsidR="00AB040D">
        <w:t xml:space="preserve">Janssen. He has </w:t>
      </w:r>
      <w:r>
        <w:t xml:space="preserve">enrolled patients into clinical trials sponsored by Novartis, GlaxoSmithKline and Baxter Pharmaceuticals. </w:t>
      </w:r>
    </w:p>
    <w:p w:rsidR="00AB040D" w:rsidRDefault="00AB040D" w:rsidP="00AB040D">
      <w:pPr>
        <w:spacing w:after="0" w:line="480" w:lineRule="auto"/>
        <w:jc w:val="both"/>
      </w:pPr>
    </w:p>
    <w:p w:rsidR="00B6458A" w:rsidRDefault="00B6458A" w:rsidP="00AB040D">
      <w:pPr>
        <w:spacing w:after="0" w:line="480" w:lineRule="auto"/>
        <w:jc w:val="both"/>
      </w:pPr>
      <w:r>
        <w:t xml:space="preserve">NJB has recruited patients into clinical trials sponsored by Gilead Sciences </w:t>
      </w:r>
    </w:p>
    <w:p w:rsidR="00B6458A" w:rsidRDefault="00B6458A" w:rsidP="00AB040D">
      <w:pPr>
        <w:spacing w:after="0" w:line="480" w:lineRule="auto"/>
      </w:pPr>
    </w:p>
    <w:p w:rsidR="003C7688" w:rsidRDefault="008973FE" w:rsidP="003C7688">
      <w:pPr>
        <w:spacing w:after="0" w:line="480" w:lineRule="auto"/>
      </w:pPr>
      <w:r>
        <w:t xml:space="preserve">TWC is </w:t>
      </w:r>
      <w:r w:rsidR="00B6458A">
        <w:t>the holder of an</w:t>
      </w:r>
      <w:r>
        <w:t xml:space="preserve"> NIHR </w:t>
      </w:r>
      <w:r w:rsidR="00B6458A">
        <w:t>P</w:t>
      </w:r>
      <w:r>
        <w:t>ost-</w:t>
      </w:r>
      <w:r w:rsidR="00B6458A">
        <w:t>D</w:t>
      </w:r>
      <w:r>
        <w:t xml:space="preserve">octoral </w:t>
      </w:r>
      <w:r w:rsidR="00B6458A">
        <w:t>F</w:t>
      </w:r>
      <w:r>
        <w:t>ellow</w:t>
      </w:r>
      <w:r w:rsidR="00B6458A">
        <w:t>ship</w:t>
      </w:r>
      <w:r>
        <w:t>. The views expressed in this publication are those of the authors and not necessarily those of the NHS, the National Institute of Health Research, or the Department of Health.</w:t>
      </w:r>
    </w:p>
    <w:p w:rsidR="003C7688" w:rsidRDefault="003C7688" w:rsidP="003C7688">
      <w:pPr>
        <w:spacing w:after="0" w:line="480" w:lineRule="auto"/>
      </w:pPr>
    </w:p>
    <w:p w:rsidR="00C7501A" w:rsidRDefault="00C7501A" w:rsidP="003C7688">
      <w:pPr>
        <w:spacing w:after="0" w:line="480" w:lineRule="auto"/>
      </w:pPr>
    </w:p>
    <w:p w:rsidR="003C7688" w:rsidRDefault="003C7688" w:rsidP="003C7688">
      <w:pPr>
        <w:spacing w:after="0" w:line="480" w:lineRule="auto"/>
      </w:pPr>
    </w:p>
    <w:p w:rsidR="001E6E72" w:rsidRDefault="001E6E72" w:rsidP="003C7688">
      <w:pPr>
        <w:spacing w:after="0" w:line="480" w:lineRule="auto"/>
      </w:pPr>
    </w:p>
    <w:p w:rsidR="003C7688" w:rsidRDefault="003C7688" w:rsidP="003C7688">
      <w:pPr>
        <w:spacing w:after="0" w:line="480" w:lineRule="auto"/>
      </w:pPr>
    </w:p>
    <w:p w:rsidR="003C7688" w:rsidRDefault="003C7688" w:rsidP="003C7688">
      <w:pPr>
        <w:spacing w:after="0" w:line="480" w:lineRule="auto"/>
      </w:pPr>
    </w:p>
    <w:p w:rsidR="00F31E5D" w:rsidRDefault="00F31E5D" w:rsidP="001E6E72">
      <w:pPr>
        <w:spacing w:after="0" w:line="480" w:lineRule="auto"/>
      </w:pPr>
      <w:proofErr w:type="gramStart"/>
      <w:r w:rsidRPr="00AB040D">
        <w:rPr>
          <w:b/>
          <w:bCs/>
        </w:rPr>
        <w:lastRenderedPageBreak/>
        <w:t>Table 1</w:t>
      </w:r>
      <w:r w:rsidR="00AB040D">
        <w:t>.</w:t>
      </w:r>
      <w:proofErr w:type="gramEnd"/>
      <w:r w:rsidR="00AB040D">
        <w:t xml:space="preserve"> </w:t>
      </w:r>
      <w:r w:rsidR="001A7B89">
        <w:t>Clinically important non-influenza respiratory viruses and</w:t>
      </w:r>
      <w:r w:rsidR="0015569B">
        <w:t xml:space="preserve"> key</w:t>
      </w:r>
      <w:r w:rsidR="001A7B89">
        <w:t xml:space="preserve"> antiviral </w:t>
      </w:r>
      <w:r w:rsidR="001E6E72">
        <w:t xml:space="preserve">agents currently used or </w:t>
      </w:r>
      <w:r w:rsidR="001A7B89">
        <w:t>in development</w:t>
      </w:r>
    </w:p>
    <w:p w:rsidR="00AB040D" w:rsidRDefault="00AB040D" w:rsidP="00F31E5D"/>
    <w:tbl>
      <w:tblPr>
        <w:tblStyle w:val="TableGrid"/>
        <w:tblW w:w="0" w:type="auto"/>
        <w:tblLook w:val="04A0" w:firstRow="1" w:lastRow="0" w:firstColumn="1" w:lastColumn="0" w:noHBand="0" w:noVBand="1"/>
      </w:tblPr>
      <w:tblGrid>
        <w:gridCol w:w="2335"/>
        <w:gridCol w:w="2439"/>
        <w:gridCol w:w="2137"/>
        <w:gridCol w:w="1419"/>
        <w:gridCol w:w="912"/>
      </w:tblGrid>
      <w:tr w:rsidR="00A6796A" w:rsidRPr="00A6796A" w:rsidTr="00A6796A">
        <w:trPr>
          <w:trHeight w:val="288"/>
        </w:trPr>
        <w:tc>
          <w:tcPr>
            <w:tcW w:w="2335" w:type="dxa"/>
            <w:noWrap/>
            <w:hideMark/>
          </w:tcPr>
          <w:p w:rsidR="00A6796A" w:rsidRPr="00A6796A" w:rsidRDefault="00A6796A" w:rsidP="00A6796A">
            <w:pPr>
              <w:rPr>
                <w:b/>
                <w:bCs/>
              </w:rPr>
            </w:pPr>
            <w:r w:rsidRPr="00A6796A">
              <w:rPr>
                <w:b/>
                <w:bCs/>
              </w:rPr>
              <w:t>Antiviral</w:t>
            </w:r>
          </w:p>
        </w:tc>
        <w:tc>
          <w:tcPr>
            <w:tcW w:w="2439" w:type="dxa"/>
            <w:noWrap/>
            <w:hideMark/>
          </w:tcPr>
          <w:p w:rsidR="00A6796A" w:rsidRPr="00A6796A" w:rsidRDefault="00A6796A" w:rsidP="00A6796A">
            <w:pPr>
              <w:rPr>
                <w:b/>
                <w:bCs/>
              </w:rPr>
            </w:pPr>
            <w:r w:rsidRPr="00A6796A">
              <w:rPr>
                <w:b/>
                <w:bCs/>
              </w:rPr>
              <w:t>Mechanism</w:t>
            </w:r>
          </w:p>
        </w:tc>
        <w:tc>
          <w:tcPr>
            <w:tcW w:w="2137" w:type="dxa"/>
            <w:noWrap/>
            <w:hideMark/>
          </w:tcPr>
          <w:p w:rsidR="00A6796A" w:rsidRPr="00A6796A" w:rsidRDefault="00A6796A" w:rsidP="00A6796A">
            <w:pPr>
              <w:rPr>
                <w:b/>
                <w:bCs/>
              </w:rPr>
            </w:pPr>
            <w:r w:rsidRPr="00A6796A">
              <w:rPr>
                <w:b/>
                <w:bCs/>
              </w:rPr>
              <w:t>Target</w:t>
            </w:r>
          </w:p>
        </w:tc>
        <w:tc>
          <w:tcPr>
            <w:tcW w:w="1419" w:type="dxa"/>
            <w:noWrap/>
            <w:hideMark/>
          </w:tcPr>
          <w:p w:rsidR="00A6796A" w:rsidRPr="00A6796A" w:rsidRDefault="00A6796A" w:rsidP="00A6796A">
            <w:pPr>
              <w:rPr>
                <w:b/>
                <w:bCs/>
              </w:rPr>
            </w:pPr>
            <w:r w:rsidRPr="00A6796A">
              <w:rPr>
                <w:b/>
                <w:bCs/>
              </w:rPr>
              <w:t>Route</w:t>
            </w:r>
          </w:p>
        </w:tc>
        <w:tc>
          <w:tcPr>
            <w:tcW w:w="912" w:type="dxa"/>
            <w:noWrap/>
            <w:hideMark/>
          </w:tcPr>
          <w:p w:rsidR="00A6796A" w:rsidRPr="00A6796A" w:rsidRDefault="00A6796A" w:rsidP="00A6796A">
            <w:pPr>
              <w:rPr>
                <w:b/>
                <w:bCs/>
              </w:rPr>
            </w:pPr>
            <w:r w:rsidRPr="00A6796A">
              <w:rPr>
                <w:b/>
                <w:bCs/>
              </w:rPr>
              <w:t>Phase</w:t>
            </w:r>
          </w:p>
        </w:tc>
      </w:tr>
      <w:tr w:rsidR="00A6796A" w:rsidRPr="00A6796A" w:rsidTr="00A6796A">
        <w:trPr>
          <w:trHeight w:val="288"/>
        </w:trPr>
        <w:tc>
          <w:tcPr>
            <w:tcW w:w="2335" w:type="dxa"/>
            <w:noWrap/>
            <w:hideMark/>
          </w:tcPr>
          <w:p w:rsidR="00A6796A" w:rsidRPr="00A6796A" w:rsidRDefault="00A6796A" w:rsidP="00A6796A">
            <w:r>
              <w:t>Ribavirin</w:t>
            </w:r>
          </w:p>
        </w:tc>
        <w:tc>
          <w:tcPr>
            <w:tcW w:w="2439" w:type="dxa"/>
            <w:noWrap/>
            <w:hideMark/>
          </w:tcPr>
          <w:p w:rsidR="00A6796A" w:rsidRPr="00A6796A" w:rsidRDefault="00A6796A" w:rsidP="00A6796A">
            <w:r w:rsidRPr="00A6796A">
              <w:t>Multiple</w:t>
            </w:r>
          </w:p>
        </w:tc>
        <w:tc>
          <w:tcPr>
            <w:tcW w:w="2137" w:type="dxa"/>
            <w:noWrap/>
            <w:hideMark/>
          </w:tcPr>
          <w:p w:rsidR="00A6796A" w:rsidRPr="00A6796A" w:rsidRDefault="00A6796A" w:rsidP="00A6796A">
            <w:r w:rsidRPr="00A6796A">
              <w:t>Broad</w:t>
            </w:r>
          </w:p>
        </w:tc>
        <w:tc>
          <w:tcPr>
            <w:tcW w:w="1419" w:type="dxa"/>
            <w:noWrap/>
            <w:hideMark/>
          </w:tcPr>
          <w:p w:rsidR="00A6796A" w:rsidRPr="00A6796A" w:rsidRDefault="00A6796A" w:rsidP="00A6796A">
            <w:r w:rsidRPr="00A6796A">
              <w:t>Inhaled</w:t>
            </w:r>
            <w:r>
              <w:t>, oral, parenteral</w:t>
            </w:r>
          </w:p>
        </w:tc>
        <w:tc>
          <w:tcPr>
            <w:tcW w:w="912" w:type="dxa"/>
            <w:noWrap/>
            <w:hideMark/>
          </w:tcPr>
          <w:p w:rsidR="00A6796A" w:rsidRPr="00A6796A" w:rsidRDefault="00A6796A" w:rsidP="00A6796A">
            <w:r w:rsidRPr="00A6796A">
              <w:t>N/A</w:t>
            </w:r>
          </w:p>
        </w:tc>
      </w:tr>
      <w:tr w:rsidR="00A6796A" w:rsidRPr="00A6796A" w:rsidTr="00A6796A">
        <w:trPr>
          <w:trHeight w:val="288"/>
        </w:trPr>
        <w:tc>
          <w:tcPr>
            <w:tcW w:w="2335" w:type="dxa"/>
            <w:noWrap/>
            <w:hideMark/>
          </w:tcPr>
          <w:p w:rsidR="00A6796A" w:rsidRDefault="00A6796A" w:rsidP="00A6796A">
            <w:r w:rsidRPr="00A6796A">
              <w:t xml:space="preserve">GS-5806 </w:t>
            </w:r>
          </w:p>
          <w:p w:rsidR="00A6796A" w:rsidRPr="00A6796A" w:rsidRDefault="00A6796A" w:rsidP="00A6796A">
            <w:r w:rsidRPr="00A6796A">
              <w:t>(Presatovir)</w:t>
            </w:r>
          </w:p>
        </w:tc>
        <w:tc>
          <w:tcPr>
            <w:tcW w:w="2439" w:type="dxa"/>
            <w:noWrap/>
            <w:hideMark/>
          </w:tcPr>
          <w:p w:rsidR="00A6796A" w:rsidRPr="00A6796A" w:rsidRDefault="00A6796A" w:rsidP="00A6796A">
            <w:r w:rsidRPr="00A6796A">
              <w:t>F-protein inhibitor</w:t>
            </w:r>
          </w:p>
        </w:tc>
        <w:tc>
          <w:tcPr>
            <w:tcW w:w="2137" w:type="dxa"/>
            <w:noWrap/>
            <w:hideMark/>
          </w:tcPr>
          <w:p w:rsidR="00A6796A" w:rsidRPr="00A6796A" w:rsidRDefault="00A6796A" w:rsidP="00A6796A">
            <w:r w:rsidRPr="00A6796A">
              <w:t>RSV</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2b</w:t>
            </w:r>
          </w:p>
        </w:tc>
      </w:tr>
      <w:tr w:rsidR="00A6796A" w:rsidRPr="00A6796A" w:rsidTr="00A6796A">
        <w:trPr>
          <w:trHeight w:val="288"/>
        </w:trPr>
        <w:tc>
          <w:tcPr>
            <w:tcW w:w="2335" w:type="dxa"/>
            <w:noWrap/>
            <w:hideMark/>
          </w:tcPr>
          <w:p w:rsidR="00A6796A" w:rsidRPr="00A6796A" w:rsidRDefault="00A6796A" w:rsidP="00A6796A">
            <w:r w:rsidRPr="00A6796A">
              <w:t>ALS-8176 (Lumicitabine)</w:t>
            </w:r>
          </w:p>
        </w:tc>
        <w:tc>
          <w:tcPr>
            <w:tcW w:w="2439" w:type="dxa"/>
            <w:noWrap/>
            <w:hideMark/>
          </w:tcPr>
          <w:p w:rsidR="00A6796A" w:rsidRPr="00A6796A" w:rsidRDefault="00A6796A" w:rsidP="00A6796A">
            <w:r w:rsidRPr="00A6796A">
              <w:t>RNA polymerase inhibitor</w:t>
            </w:r>
          </w:p>
        </w:tc>
        <w:tc>
          <w:tcPr>
            <w:tcW w:w="2137" w:type="dxa"/>
            <w:noWrap/>
            <w:hideMark/>
          </w:tcPr>
          <w:p w:rsidR="00A6796A" w:rsidRPr="00A6796A" w:rsidRDefault="00A6796A" w:rsidP="00A6796A">
            <w:r w:rsidRPr="00A6796A">
              <w:t>RSV</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2a</w:t>
            </w:r>
          </w:p>
        </w:tc>
      </w:tr>
      <w:tr w:rsidR="00A6796A" w:rsidRPr="00A6796A" w:rsidTr="00A6796A">
        <w:trPr>
          <w:trHeight w:val="288"/>
        </w:trPr>
        <w:tc>
          <w:tcPr>
            <w:tcW w:w="2335" w:type="dxa"/>
            <w:noWrap/>
            <w:hideMark/>
          </w:tcPr>
          <w:p w:rsidR="00A6796A" w:rsidRDefault="00A6796A" w:rsidP="00A6796A">
            <w:r w:rsidRPr="00A6796A">
              <w:t>AK0529</w:t>
            </w:r>
          </w:p>
          <w:p w:rsidR="00A6796A" w:rsidRPr="00A6796A" w:rsidRDefault="00A6796A" w:rsidP="00A6796A"/>
        </w:tc>
        <w:tc>
          <w:tcPr>
            <w:tcW w:w="2439" w:type="dxa"/>
            <w:noWrap/>
            <w:hideMark/>
          </w:tcPr>
          <w:p w:rsidR="00A6796A" w:rsidRPr="00A6796A" w:rsidRDefault="00A6796A" w:rsidP="00A6796A">
            <w:r w:rsidRPr="00A6796A">
              <w:t>F-protein inhibitor</w:t>
            </w:r>
          </w:p>
        </w:tc>
        <w:tc>
          <w:tcPr>
            <w:tcW w:w="2137" w:type="dxa"/>
            <w:noWrap/>
            <w:hideMark/>
          </w:tcPr>
          <w:p w:rsidR="00A6796A" w:rsidRPr="00A6796A" w:rsidRDefault="00A6796A" w:rsidP="00A6796A">
            <w:r w:rsidRPr="00A6796A">
              <w:t>RSV</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2</w:t>
            </w:r>
          </w:p>
        </w:tc>
      </w:tr>
      <w:tr w:rsidR="00A6796A" w:rsidRPr="00A6796A" w:rsidTr="00A6796A">
        <w:trPr>
          <w:trHeight w:val="288"/>
        </w:trPr>
        <w:tc>
          <w:tcPr>
            <w:tcW w:w="2335" w:type="dxa"/>
            <w:noWrap/>
            <w:hideMark/>
          </w:tcPr>
          <w:p w:rsidR="00A6796A" w:rsidRDefault="00A6796A" w:rsidP="00A6796A">
            <w:r w:rsidRPr="00A6796A">
              <w:t>ALN-RSV01</w:t>
            </w:r>
          </w:p>
          <w:p w:rsidR="00A6796A" w:rsidRPr="00A6796A" w:rsidRDefault="009F725C" w:rsidP="00A6796A">
            <w:r>
              <w:t>(</w:t>
            </w:r>
            <w:proofErr w:type="spellStart"/>
            <w:r>
              <w:t>Asvasiran</w:t>
            </w:r>
            <w:proofErr w:type="spellEnd"/>
            <w:r>
              <w:t>)</w:t>
            </w:r>
          </w:p>
        </w:tc>
        <w:tc>
          <w:tcPr>
            <w:tcW w:w="2439" w:type="dxa"/>
            <w:noWrap/>
            <w:hideMark/>
          </w:tcPr>
          <w:p w:rsidR="00A6796A" w:rsidRPr="00A6796A" w:rsidRDefault="00A6796A" w:rsidP="00A6796A">
            <w:r w:rsidRPr="00A6796A">
              <w:t>Small interfering RNA</w:t>
            </w:r>
          </w:p>
        </w:tc>
        <w:tc>
          <w:tcPr>
            <w:tcW w:w="2137" w:type="dxa"/>
            <w:noWrap/>
            <w:hideMark/>
          </w:tcPr>
          <w:p w:rsidR="00A6796A" w:rsidRPr="00A6796A" w:rsidRDefault="00A6796A" w:rsidP="00A6796A">
            <w:r w:rsidRPr="00A6796A">
              <w:t>RSV</w:t>
            </w:r>
          </w:p>
        </w:tc>
        <w:tc>
          <w:tcPr>
            <w:tcW w:w="1419" w:type="dxa"/>
            <w:noWrap/>
            <w:hideMark/>
          </w:tcPr>
          <w:p w:rsidR="00A6796A" w:rsidRPr="00A6796A" w:rsidRDefault="00A6796A" w:rsidP="00A6796A">
            <w:r w:rsidRPr="00A6796A">
              <w:t>Inhaled</w:t>
            </w:r>
          </w:p>
        </w:tc>
        <w:tc>
          <w:tcPr>
            <w:tcW w:w="912" w:type="dxa"/>
            <w:noWrap/>
            <w:hideMark/>
          </w:tcPr>
          <w:p w:rsidR="00A6796A" w:rsidRPr="00A6796A" w:rsidRDefault="00A6796A" w:rsidP="00A6796A">
            <w:r w:rsidRPr="00A6796A">
              <w:t>2b</w:t>
            </w:r>
          </w:p>
        </w:tc>
      </w:tr>
      <w:tr w:rsidR="00A6796A" w:rsidRPr="00A6796A" w:rsidTr="00A6796A">
        <w:trPr>
          <w:trHeight w:val="288"/>
        </w:trPr>
        <w:tc>
          <w:tcPr>
            <w:tcW w:w="2335" w:type="dxa"/>
            <w:noWrap/>
            <w:hideMark/>
          </w:tcPr>
          <w:p w:rsidR="00A6796A" w:rsidRPr="00A6796A" w:rsidRDefault="00A6796A" w:rsidP="00A6796A">
            <w:r w:rsidRPr="00A6796A">
              <w:t>ALX-0171</w:t>
            </w:r>
          </w:p>
        </w:tc>
        <w:tc>
          <w:tcPr>
            <w:tcW w:w="2439" w:type="dxa"/>
            <w:noWrap/>
            <w:hideMark/>
          </w:tcPr>
          <w:p w:rsidR="00A6796A" w:rsidRPr="00A6796A" w:rsidRDefault="00A6796A" w:rsidP="00A6796A">
            <w:r w:rsidRPr="00A6796A">
              <w:t>F-protein binding 'nanobody'</w:t>
            </w:r>
          </w:p>
        </w:tc>
        <w:tc>
          <w:tcPr>
            <w:tcW w:w="2137" w:type="dxa"/>
            <w:noWrap/>
            <w:hideMark/>
          </w:tcPr>
          <w:p w:rsidR="00A6796A" w:rsidRPr="00A6796A" w:rsidRDefault="00A6796A" w:rsidP="00A6796A">
            <w:r w:rsidRPr="00A6796A">
              <w:t>RSV</w:t>
            </w:r>
          </w:p>
        </w:tc>
        <w:tc>
          <w:tcPr>
            <w:tcW w:w="1419" w:type="dxa"/>
            <w:noWrap/>
            <w:hideMark/>
          </w:tcPr>
          <w:p w:rsidR="00A6796A" w:rsidRPr="00A6796A" w:rsidRDefault="00A6796A" w:rsidP="00A6796A">
            <w:r w:rsidRPr="00A6796A">
              <w:t>inhaled</w:t>
            </w:r>
          </w:p>
        </w:tc>
        <w:tc>
          <w:tcPr>
            <w:tcW w:w="912" w:type="dxa"/>
            <w:noWrap/>
            <w:hideMark/>
          </w:tcPr>
          <w:p w:rsidR="00A6796A" w:rsidRPr="00A6796A" w:rsidRDefault="00A6796A" w:rsidP="00A6796A">
            <w:r w:rsidRPr="00A6796A">
              <w:t>1/2a</w:t>
            </w:r>
          </w:p>
        </w:tc>
      </w:tr>
      <w:tr w:rsidR="00A6796A" w:rsidRPr="00A6796A" w:rsidTr="00A6796A">
        <w:trPr>
          <w:trHeight w:val="288"/>
        </w:trPr>
        <w:tc>
          <w:tcPr>
            <w:tcW w:w="2335" w:type="dxa"/>
            <w:noWrap/>
            <w:hideMark/>
          </w:tcPr>
          <w:p w:rsidR="00A6796A" w:rsidRPr="00A6796A" w:rsidRDefault="00A6796A" w:rsidP="00A6796A">
            <w:r w:rsidRPr="00A6796A">
              <w:t>Hyper</w:t>
            </w:r>
            <w:r>
              <w:t>-</w:t>
            </w:r>
            <w:r w:rsidRPr="00A6796A">
              <w:t>immune /convalescent plasma</w:t>
            </w:r>
          </w:p>
        </w:tc>
        <w:tc>
          <w:tcPr>
            <w:tcW w:w="2439" w:type="dxa"/>
            <w:noWrap/>
            <w:hideMark/>
          </w:tcPr>
          <w:p w:rsidR="00A6796A" w:rsidRPr="00A6796A" w:rsidRDefault="00A6796A" w:rsidP="00A6796A">
            <w:r w:rsidRPr="00A6796A">
              <w:t xml:space="preserve">Neutralising antibodies </w:t>
            </w:r>
          </w:p>
        </w:tc>
        <w:tc>
          <w:tcPr>
            <w:tcW w:w="2137" w:type="dxa"/>
            <w:noWrap/>
            <w:hideMark/>
          </w:tcPr>
          <w:p w:rsidR="00A6796A" w:rsidRPr="00A6796A" w:rsidRDefault="00A6796A" w:rsidP="00A6796A">
            <w:r w:rsidRPr="00A6796A">
              <w:t>MERS-CoV</w:t>
            </w:r>
          </w:p>
        </w:tc>
        <w:tc>
          <w:tcPr>
            <w:tcW w:w="1419" w:type="dxa"/>
            <w:noWrap/>
            <w:hideMark/>
          </w:tcPr>
          <w:p w:rsidR="00A6796A" w:rsidRPr="00A6796A" w:rsidRDefault="00A6796A" w:rsidP="00A6796A">
            <w:r w:rsidRPr="00A6796A">
              <w:t>Parenteral</w:t>
            </w:r>
          </w:p>
        </w:tc>
        <w:tc>
          <w:tcPr>
            <w:tcW w:w="912" w:type="dxa"/>
            <w:noWrap/>
            <w:hideMark/>
          </w:tcPr>
          <w:p w:rsidR="00A6796A" w:rsidRPr="00A6796A" w:rsidRDefault="00A6796A" w:rsidP="00A6796A">
            <w:r w:rsidRPr="00A6796A">
              <w:t>2</w:t>
            </w:r>
          </w:p>
        </w:tc>
      </w:tr>
      <w:tr w:rsidR="00A6796A" w:rsidRPr="00A6796A" w:rsidTr="00A6796A">
        <w:trPr>
          <w:trHeight w:val="288"/>
        </w:trPr>
        <w:tc>
          <w:tcPr>
            <w:tcW w:w="2335" w:type="dxa"/>
            <w:noWrap/>
            <w:hideMark/>
          </w:tcPr>
          <w:p w:rsidR="00A6796A" w:rsidRPr="00A6796A" w:rsidRDefault="00A6796A" w:rsidP="00A6796A">
            <w:r w:rsidRPr="00A6796A">
              <w:t>Monoclonal antibodies</w:t>
            </w:r>
          </w:p>
        </w:tc>
        <w:tc>
          <w:tcPr>
            <w:tcW w:w="2439" w:type="dxa"/>
            <w:noWrap/>
            <w:hideMark/>
          </w:tcPr>
          <w:p w:rsidR="00A6796A" w:rsidRPr="00A6796A" w:rsidRDefault="00A6796A" w:rsidP="00A6796A">
            <w:r w:rsidRPr="00A6796A">
              <w:t>Spike protein binding antibody</w:t>
            </w:r>
          </w:p>
        </w:tc>
        <w:tc>
          <w:tcPr>
            <w:tcW w:w="2137" w:type="dxa"/>
            <w:noWrap/>
            <w:hideMark/>
          </w:tcPr>
          <w:p w:rsidR="00A6796A" w:rsidRPr="00A6796A" w:rsidRDefault="00A6796A" w:rsidP="00A6796A">
            <w:r w:rsidRPr="00A6796A">
              <w:t>MERS-CoV</w:t>
            </w:r>
          </w:p>
        </w:tc>
        <w:tc>
          <w:tcPr>
            <w:tcW w:w="1419" w:type="dxa"/>
            <w:noWrap/>
            <w:hideMark/>
          </w:tcPr>
          <w:p w:rsidR="00A6796A" w:rsidRPr="00A6796A" w:rsidRDefault="00A6796A" w:rsidP="00A6796A">
            <w:r w:rsidRPr="00A6796A">
              <w:t>Parenteral</w:t>
            </w:r>
          </w:p>
        </w:tc>
        <w:tc>
          <w:tcPr>
            <w:tcW w:w="912" w:type="dxa"/>
            <w:noWrap/>
            <w:hideMark/>
          </w:tcPr>
          <w:p w:rsidR="00A6796A" w:rsidRPr="00A6796A" w:rsidRDefault="00A6796A" w:rsidP="00A6796A">
            <w:r w:rsidRPr="00A6796A">
              <w:t>1</w:t>
            </w:r>
          </w:p>
        </w:tc>
      </w:tr>
      <w:tr w:rsidR="00A6796A" w:rsidRPr="00A6796A" w:rsidTr="00A6796A">
        <w:trPr>
          <w:trHeight w:val="288"/>
        </w:trPr>
        <w:tc>
          <w:tcPr>
            <w:tcW w:w="2335" w:type="dxa"/>
            <w:noWrap/>
            <w:hideMark/>
          </w:tcPr>
          <w:p w:rsidR="00A6796A" w:rsidRDefault="00A6796A" w:rsidP="00A6796A">
            <w:r w:rsidRPr="00A6796A">
              <w:t xml:space="preserve">T-705 </w:t>
            </w:r>
          </w:p>
          <w:p w:rsidR="00A6796A" w:rsidRPr="00A6796A" w:rsidRDefault="00A6796A" w:rsidP="00A6796A">
            <w:r w:rsidRPr="00A6796A">
              <w:t>(Favipiravir)</w:t>
            </w:r>
          </w:p>
        </w:tc>
        <w:tc>
          <w:tcPr>
            <w:tcW w:w="2439" w:type="dxa"/>
            <w:noWrap/>
            <w:hideMark/>
          </w:tcPr>
          <w:p w:rsidR="00A6796A" w:rsidRPr="00A6796A" w:rsidRDefault="00A6796A" w:rsidP="00A6796A">
            <w:r w:rsidRPr="00A6796A">
              <w:t>RNA polymerase inhibitor</w:t>
            </w:r>
          </w:p>
        </w:tc>
        <w:tc>
          <w:tcPr>
            <w:tcW w:w="2137" w:type="dxa"/>
            <w:noWrap/>
            <w:hideMark/>
          </w:tcPr>
          <w:p w:rsidR="00A6796A" w:rsidRPr="00A6796A" w:rsidRDefault="00A6796A" w:rsidP="00A6796A">
            <w:r w:rsidRPr="00A6796A">
              <w:t xml:space="preserve">Broad (influenza, RSV, rhino) </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N/A</w:t>
            </w:r>
          </w:p>
        </w:tc>
      </w:tr>
      <w:tr w:rsidR="00A6796A" w:rsidRPr="00A6796A" w:rsidTr="00A6796A">
        <w:trPr>
          <w:trHeight w:val="288"/>
        </w:trPr>
        <w:tc>
          <w:tcPr>
            <w:tcW w:w="2335" w:type="dxa"/>
            <w:noWrap/>
            <w:hideMark/>
          </w:tcPr>
          <w:p w:rsidR="00A6796A" w:rsidRDefault="00A6796A" w:rsidP="00A6796A">
            <w:r w:rsidRPr="00A6796A">
              <w:t xml:space="preserve">DAS181 </w:t>
            </w:r>
          </w:p>
          <w:p w:rsidR="00A6796A" w:rsidRPr="00A6796A" w:rsidRDefault="00A6796A" w:rsidP="00A6796A">
            <w:r w:rsidRPr="00A6796A">
              <w:t xml:space="preserve">(Fludase) </w:t>
            </w:r>
          </w:p>
        </w:tc>
        <w:tc>
          <w:tcPr>
            <w:tcW w:w="2439" w:type="dxa"/>
            <w:noWrap/>
            <w:hideMark/>
          </w:tcPr>
          <w:p w:rsidR="00A6796A" w:rsidRPr="00A6796A" w:rsidRDefault="00A6796A" w:rsidP="00A6796A">
            <w:r w:rsidRPr="00A6796A">
              <w:t>Sialidase</w:t>
            </w:r>
          </w:p>
        </w:tc>
        <w:tc>
          <w:tcPr>
            <w:tcW w:w="2137" w:type="dxa"/>
            <w:noWrap/>
            <w:hideMark/>
          </w:tcPr>
          <w:p w:rsidR="00A6796A" w:rsidRPr="00A6796A" w:rsidRDefault="00A6796A" w:rsidP="00A6796A">
            <w:r w:rsidRPr="00A6796A">
              <w:t>Broad (influenza, PIV</w:t>
            </w:r>
            <w:r w:rsidR="00C7501A">
              <w:t>, hMPV</w:t>
            </w:r>
            <w:r w:rsidRPr="00A6796A">
              <w:t>)</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2</w:t>
            </w:r>
          </w:p>
        </w:tc>
      </w:tr>
      <w:tr w:rsidR="00A6796A" w:rsidRPr="00A6796A" w:rsidTr="00A6796A">
        <w:trPr>
          <w:trHeight w:val="288"/>
        </w:trPr>
        <w:tc>
          <w:tcPr>
            <w:tcW w:w="2335" w:type="dxa"/>
            <w:noWrap/>
            <w:hideMark/>
          </w:tcPr>
          <w:p w:rsidR="00A6796A" w:rsidRDefault="00A6796A" w:rsidP="00A6796A">
            <w:r w:rsidRPr="00A6796A">
              <w:t xml:space="preserve">Nitazoxanide </w:t>
            </w:r>
          </w:p>
          <w:p w:rsidR="00A6796A" w:rsidRPr="00A6796A" w:rsidRDefault="00A6796A" w:rsidP="00A6796A"/>
        </w:tc>
        <w:tc>
          <w:tcPr>
            <w:tcW w:w="2439" w:type="dxa"/>
            <w:noWrap/>
            <w:hideMark/>
          </w:tcPr>
          <w:p w:rsidR="00A6796A" w:rsidRPr="00A6796A" w:rsidRDefault="00A6796A" w:rsidP="00A6796A">
            <w:r w:rsidRPr="00A6796A">
              <w:t>Multiple</w:t>
            </w:r>
          </w:p>
        </w:tc>
        <w:tc>
          <w:tcPr>
            <w:tcW w:w="2137" w:type="dxa"/>
            <w:noWrap/>
            <w:hideMark/>
          </w:tcPr>
          <w:p w:rsidR="00A6796A" w:rsidRPr="00A6796A" w:rsidRDefault="00A6796A" w:rsidP="00A6796A">
            <w:r w:rsidRPr="00A6796A">
              <w:t>Broad</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3</w:t>
            </w:r>
          </w:p>
        </w:tc>
      </w:tr>
      <w:tr w:rsidR="00A6796A" w:rsidRPr="00A6796A" w:rsidTr="00A6796A">
        <w:trPr>
          <w:trHeight w:val="288"/>
        </w:trPr>
        <w:tc>
          <w:tcPr>
            <w:tcW w:w="2335" w:type="dxa"/>
            <w:noWrap/>
            <w:hideMark/>
          </w:tcPr>
          <w:p w:rsidR="00A6796A" w:rsidRPr="00A6796A" w:rsidRDefault="00A6796A" w:rsidP="00A6796A">
            <w:r w:rsidRPr="00A6796A">
              <w:t>Interferon-Beta</w:t>
            </w:r>
          </w:p>
        </w:tc>
        <w:tc>
          <w:tcPr>
            <w:tcW w:w="2439" w:type="dxa"/>
            <w:noWrap/>
            <w:hideMark/>
          </w:tcPr>
          <w:p w:rsidR="00A6796A" w:rsidRPr="00A6796A" w:rsidRDefault="00A6796A" w:rsidP="00A6796A">
            <w:r w:rsidRPr="00A6796A">
              <w:t>Enhanced innate antiviral response</w:t>
            </w:r>
          </w:p>
        </w:tc>
        <w:tc>
          <w:tcPr>
            <w:tcW w:w="2137" w:type="dxa"/>
            <w:noWrap/>
            <w:hideMark/>
          </w:tcPr>
          <w:p w:rsidR="00A6796A" w:rsidRPr="00A6796A" w:rsidRDefault="00A6796A" w:rsidP="00A6796A">
            <w:r w:rsidRPr="00A6796A">
              <w:t>Broad</w:t>
            </w:r>
          </w:p>
        </w:tc>
        <w:tc>
          <w:tcPr>
            <w:tcW w:w="1419" w:type="dxa"/>
            <w:noWrap/>
            <w:hideMark/>
          </w:tcPr>
          <w:p w:rsidR="00A6796A" w:rsidRPr="00A6796A" w:rsidRDefault="00A6796A" w:rsidP="00A6796A">
            <w:r w:rsidRPr="00A6796A">
              <w:t>Inhaled</w:t>
            </w:r>
          </w:p>
        </w:tc>
        <w:tc>
          <w:tcPr>
            <w:tcW w:w="912" w:type="dxa"/>
            <w:noWrap/>
            <w:hideMark/>
          </w:tcPr>
          <w:p w:rsidR="00A6796A" w:rsidRPr="00A6796A" w:rsidRDefault="00A6796A" w:rsidP="00A6796A">
            <w:r w:rsidRPr="00A6796A">
              <w:t>2b</w:t>
            </w:r>
          </w:p>
        </w:tc>
      </w:tr>
      <w:tr w:rsidR="00A6796A" w:rsidRPr="00A6796A" w:rsidTr="00A6796A">
        <w:trPr>
          <w:trHeight w:val="288"/>
        </w:trPr>
        <w:tc>
          <w:tcPr>
            <w:tcW w:w="2335" w:type="dxa"/>
            <w:noWrap/>
            <w:hideMark/>
          </w:tcPr>
          <w:p w:rsidR="00A6796A" w:rsidRDefault="00A6796A" w:rsidP="00A6796A">
            <w:proofErr w:type="spellStart"/>
            <w:r w:rsidRPr="00A6796A">
              <w:t>Pleconaril</w:t>
            </w:r>
            <w:proofErr w:type="spellEnd"/>
          </w:p>
          <w:p w:rsidR="00A6796A" w:rsidRPr="00A6796A" w:rsidRDefault="00A6796A" w:rsidP="00A6796A"/>
        </w:tc>
        <w:tc>
          <w:tcPr>
            <w:tcW w:w="2439" w:type="dxa"/>
            <w:noWrap/>
            <w:hideMark/>
          </w:tcPr>
          <w:p w:rsidR="00A6796A" w:rsidRPr="00A6796A" w:rsidRDefault="00A6796A" w:rsidP="00A6796A">
            <w:r w:rsidRPr="00A6796A">
              <w:t xml:space="preserve">Capsid binder </w:t>
            </w:r>
          </w:p>
        </w:tc>
        <w:tc>
          <w:tcPr>
            <w:tcW w:w="2137" w:type="dxa"/>
            <w:noWrap/>
            <w:hideMark/>
          </w:tcPr>
          <w:p w:rsidR="00A6796A" w:rsidRPr="00A6796A" w:rsidRDefault="00A6796A" w:rsidP="00A6796A">
            <w:r w:rsidRPr="00A6796A">
              <w:t>Rhinovirus</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N/A</w:t>
            </w:r>
          </w:p>
        </w:tc>
      </w:tr>
      <w:tr w:rsidR="00A6796A" w:rsidRPr="00A6796A" w:rsidTr="00A6796A">
        <w:trPr>
          <w:trHeight w:val="288"/>
        </w:trPr>
        <w:tc>
          <w:tcPr>
            <w:tcW w:w="2335" w:type="dxa"/>
            <w:noWrap/>
            <w:hideMark/>
          </w:tcPr>
          <w:p w:rsidR="00A6796A" w:rsidRDefault="00A6796A" w:rsidP="00A6796A">
            <w:r>
              <w:t>BTA798</w:t>
            </w:r>
          </w:p>
          <w:p w:rsidR="00A6796A" w:rsidRPr="00A6796A" w:rsidRDefault="00A6796A" w:rsidP="00A6796A">
            <w:r>
              <w:t>(</w:t>
            </w:r>
            <w:proofErr w:type="spellStart"/>
            <w:r w:rsidRPr="00A6796A">
              <w:t>Vapendavir</w:t>
            </w:r>
            <w:proofErr w:type="spellEnd"/>
            <w:r>
              <w:t>)</w:t>
            </w:r>
          </w:p>
        </w:tc>
        <w:tc>
          <w:tcPr>
            <w:tcW w:w="2439" w:type="dxa"/>
            <w:noWrap/>
            <w:hideMark/>
          </w:tcPr>
          <w:p w:rsidR="00A6796A" w:rsidRPr="00A6796A" w:rsidRDefault="00A6796A" w:rsidP="00A6796A">
            <w:r w:rsidRPr="00A6796A">
              <w:t xml:space="preserve">Capsid binder </w:t>
            </w:r>
          </w:p>
        </w:tc>
        <w:tc>
          <w:tcPr>
            <w:tcW w:w="2137" w:type="dxa"/>
            <w:noWrap/>
            <w:hideMark/>
          </w:tcPr>
          <w:p w:rsidR="00A6796A" w:rsidRPr="00A6796A" w:rsidRDefault="00A6796A" w:rsidP="00A6796A">
            <w:r w:rsidRPr="00A6796A">
              <w:t>Rhinovirus</w:t>
            </w:r>
          </w:p>
        </w:tc>
        <w:tc>
          <w:tcPr>
            <w:tcW w:w="1419" w:type="dxa"/>
            <w:noWrap/>
            <w:hideMark/>
          </w:tcPr>
          <w:p w:rsidR="00A6796A" w:rsidRPr="00A6796A" w:rsidRDefault="00A6796A" w:rsidP="00A6796A">
            <w:r w:rsidRPr="00A6796A">
              <w:t>Oral</w:t>
            </w:r>
          </w:p>
        </w:tc>
        <w:tc>
          <w:tcPr>
            <w:tcW w:w="912" w:type="dxa"/>
            <w:noWrap/>
            <w:hideMark/>
          </w:tcPr>
          <w:p w:rsidR="00A6796A" w:rsidRPr="00A6796A" w:rsidRDefault="00A6796A" w:rsidP="00A6796A">
            <w:r w:rsidRPr="00A6796A">
              <w:t>2b</w:t>
            </w:r>
          </w:p>
        </w:tc>
      </w:tr>
      <w:tr w:rsidR="00A6796A" w:rsidRPr="00A6796A" w:rsidTr="00A6796A">
        <w:trPr>
          <w:trHeight w:val="288"/>
        </w:trPr>
        <w:tc>
          <w:tcPr>
            <w:tcW w:w="2335" w:type="dxa"/>
            <w:noWrap/>
            <w:hideMark/>
          </w:tcPr>
          <w:p w:rsidR="00A6796A" w:rsidRPr="00A6796A" w:rsidRDefault="00A6796A" w:rsidP="00A6796A">
            <w:proofErr w:type="spellStart"/>
            <w:r w:rsidRPr="00A6796A">
              <w:t>Cidofovir</w:t>
            </w:r>
            <w:proofErr w:type="spellEnd"/>
          </w:p>
        </w:tc>
        <w:tc>
          <w:tcPr>
            <w:tcW w:w="2439" w:type="dxa"/>
            <w:noWrap/>
            <w:hideMark/>
          </w:tcPr>
          <w:p w:rsidR="00A6796A" w:rsidRPr="00A6796A" w:rsidRDefault="00A6796A" w:rsidP="00A6796A">
            <w:r w:rsidRPr="00A6796A">
              <w:t>DNA polymerase inhibitor</w:t>
            </w:r>
          </w:p>
        </w:tc>
        <w:tc>
          <w:tcPr>
            <w:tcW w:w="2137" w:type="dxa"/>
            <w:noWrap/>
            <w:hideMark/>
          </w:tcPr>
          <w:p w:rsidR="00A6796A" w:rsidRPr="00A6796A" w:rsidRDefault="00A6796A" w:rsidP="00A6796A">
            <w:r w:rsidRPr="00A6796A">
              <w:t>Adenovirus</w:t>
            </w:r>
          </w:p>
        </w:tc>
        <w:tc>
          <w:tcPr>
            <w:tcW w:w="1419" w:type="dxa"/>
            <w:noWrap/>
            <w:hideMark/>
          </w:tcPr>
          <w:p w:rsidR="00A6796A" w:rsidRPr="00A6796A" w:rsidRDefault="00A6796A" w:rsidP="00A6796A">
            <w:r w:rsidRPr="00A6796A">
              <w:t xml:space="preserve">Parenteral </w:t>
            </w:r>
          </w:p>
        </w:tc>
        <w:tc>
          <w:tcPr>
            <w:tcW w:w="912" w:type="dxa"/>
            <w:noWrap/>
            <w:hideMark/>
          </w:tcPr>
          <w:p w:rsidR="00A6796A" w:rsidRPr="00A6796A" w:rsidRDefault="00A6796A" w:rsidP="00A6796A">
            <w:r w:rsidRPr="00A6796A">
              <w:t>N/A</w:t>
            </w:r>
          </w:p>
        </w:tc>
      </w:tr>
      <w:tr w:rsidR="00A6796A" w:rsidRPr="00A6796A" w:rsidTr="00A6796A">
        <w:trPr>
          <w:trHeight w:val="288"/>
        </w:trPr>
        <w:tc>
          <w:tcPr>
            <w:tcW w:w="2335" w:type="dxa"/>
            <w:noWrap/>
            <w:hideMark/>
          </w:tcPr>
          <w:p w:rsidR="00A6796A" w:rsidRDefault="00A6796A" w:rsidP="00A6796A">
            <w:proofErr w:type="spellStart"/>
            <w:r w:rsidRPr="00A6796A">
              <w:t>Brincidofovir</w:t>
            </w:r>
            <w:proofErr w:type="spellEnd"/>
          </w:p>
          <w:p w:rsidR="00A6796A" w:rsidRPr="00A6796A" w:rsidRDefault="00A6796A" w:rsidP="00A6796A"/>
        </w:tc>
        <w:tc>
          <w:tcPr>
            <w:tcW w:w="2439" w:type="dxa"/>
            <w:noWrap/>
            <w:hideMark/>
          </w:tcPr>
          <w:p w:rsidR="00A6796A" w:rsidRPr="00A6796A" w:rsidRDefault="00A6796A" w:rsidP="00A6796A">
            <w:r w:rsidRPr="00A6796A">
              <w:t xml:space="preserve">Prodrug of </w:t>
            </w:r>
            <w:proofErr w:type="spellStart"/>
            <w:r w:rsidRPr="00A6796A">
              <w:t>cidofovir</w:t>
            </w:r>
            <w:proofErr w:type="spellEnd"/>
          </w:p>
        </w:tc>
        <w:tc>
          <w:tcPr>
            <w:tcW w:w="2137" w:type="dxa"/>
            <w:noWrap/>
            <w:hideMark/>
          </w:tcPr>
          <w:p w:rsidR="00A6796A" w:rsidRPr="00A6796A" w:rsidRDefault="00A6796A" w:rsidP="00A6796A">
            <w:r w:rsidRPr="00A6796A">
              <w:t>Adenovirus</w:t>
            </w:r>
          </w:p>
        </w:tc>
        <w:tc>
          <w:tcPr>
            <w:tcW w:w="1419" w:type="dxa"/>
            <w:noWrap/>
            <w:hideMark/>
          </w:tcPr>
          <w:p w:rsidR="00A6796A" w:rsidRPr="00A6796A" w:rsidRDefault="00A6796A" w:rsidP="00A6796A">
            <w:r w:rsidRPr="00A6796A">
              <w:t xml:space="preserve">Oral </w:t>
            </w:r>
          </w:p>
        </w:tc>
        <w:tc>
          <w:tcPr>
            <w:tcW w:w="912" w:type="dxa"/>
            <w:noWrap/>
            <w:hideMark/>
          </w:tcPr>
          <w:p w:rsidR="00A6796A" w:rsidRPr="00A6796A" w:rsidRDefault="00A6796A" w:rsidP="00A6796A">
            <w:r w:rsidRPr="00A6796A">
              <w:t>3</w:t>
            </w:r>
          </w:p>
        </w:tc>
      </w:tr>
    </w:tbl>
    <w:p w:rsidR="00AB040D" w:rsidRDefault="00AB040D" w:rsidP="00F31E5D"/>
    <w:p w:rsidR="003C7688" w:rsidRDefault="003C7688" w:rsidP="00F31E5D"/>
    <w:p w:rsidR="003C7688" w:rsidRDefault="003C7688" w:rsidP="00F31E5D"/>
    <w:p w:rsidR="003C7688" w:rsidRDefault="003C7688" w:rsidP="00F31E5D"/>
    <w:p w:rsidR="003C7688" w:rsidRDefault="003C7688" w:rsidP="00F31E5D"/>
    <w:p w:rsidR="003C7688" w:rsidRDefault="003C7688" w:rsidP="00F31E5D"/>
    <w:p w:rsidR="00CB27CF" w:rsidRDefault="00CB27CF" w:rsidP="000A4B72">
      <w:pPr>
        <w:pStyle w:val="Heading2"/>
        <w:spacing w:line="480" w:lineRule="auto"/>
        <w:rPr>
          <w:rFonts w:asciiTheme="minorHAnsi" w:hAnsiTheme="minorHAnsi"/>
          <w:sz w:val="28"/>
          <w:szCs w:val="28"/>
        </w:rPr>
      </w:pPr>
      <w:r w:rsidRPr="000055AD">
        <w:rPr>
          <w:rFonts w:asciiTheme="minorHAnsi" w:hAnsiTheme="minorHAnsi"/>
          <w:sz w:val="28"/>
          <w:szCs w:val="28"/>
        </w:rPr>
        <w:lastRenderedPageBreak/>
        <w:t>References and recommended reading</w:t>
      </w:r>
    </w:p>
    <w:p w:rsidR="00C7501A" w:rsidRPr="00C7501A" w:rsidRDefault="00C7501A" w:rsidP="00C7501A">
      <w:r>
        <w:t>References of special interest are marked with a *</w:t>
      </w:r>
    </w:p>
    <w:p w:rsidR="003E3D79" w:rsidRDefault="003E3D79" w:rsidP="003E3D79">
      <w:pPr>
        <w:autoSpaceDE w:val="0"/>
        <w:autoSpaceDN w:val="0"/>
        <w:adjustRightInd w:val="0"/>
        <w:spacing w:after="0" w:line="240" w:lineRule="auto"/>
        <w:jc w:val="both"/>
      </w:pPr>
      <w:proofErr w:type="gramStart"/>
      <w:r>
        <w:t xml:space="preserve">1. Clark TW, Medina MJ, </w:t>
      </w:r>
      <w:proofErr w:type="spellStart"/>
      <w:r>
        <w:t>Batham</w:t>
      </w:r>
      <w:proofErr w:type="spellEnd"/>
      <w:r>
        <w:t xml:space="preserve"> S, Curran MD, </w:t>
      </w:r>
      <w:proofErr w:type="spellStart"/>
      <w:r>
        <w:t>Parmar</w:t>
      </w:r>
      <w:proofErr w:type="spellEnd"/>
      <w:r>
        <w:t xml:space="preserve"> S, Nicholson KG.</w:t>
      </w:r>
      <w:proofErr w:type="gramEnd"/>
      <w:r>
        <w:t xml:space="preserve"> Adults hospitalised with acute respiratory illness rarely have detectable bacteria in the absence of COPD or pneumonia; viral infection predominates in a large prospective UK sample. J Infect 2014; 69: 507–15.</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2. Jain S, Self WH, </w:t>
      </w:r>
      <w:proofErr w:type="spellStart"/>
      <w:r>
        <w:t>Wunderink</w:t>
      </w:r>
      <w:proofErr w:type="spellEnd"/>
      <w:r>
        <w:t xml:space="preserve"> RG, et al. Community-acquired pneumonia requiring hospitalization among U.S. adults. N </w:t>
      </w:r>
      <w:proofErr w:type="spellStart"/>
      <w:r>
        <w:t>Engl</w:t>
      </w:r>
      <w:proofErr w:type="spellEnd"/>
      <w:r>
        <w:t xml:space="preserve"> J Med 2015; 373: 415–27.</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 Rossignol J-F. Nitazoxanide: A first-in-class broad-spectrum antiviral agent. </w:t>
      </w:r>
      <w:proofErr w:type="spellStart"/>
      <w:r>
        <w:t>Antivir</w:t>
      </w:r>
      <w:proofErr w:type="spellEnd"/>
      <w:r>
        <w:t xml:space="preserve"> Res 2014</w:t>
      </w:r>
      <w:proofErr w:type="gramStart"/>
      <w:r>
        <w:t>;110:94</w:t>
      </w:r>
      <w:proofErr w:type="gramEnd"/>
      <w:r>
        <w:t xml:space="preserve">–103.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4. Rossignol J-F. </w:t>
      </w:r>
      <w:proofErr w:type="gramStart"/>
      <w:r>
        <w:t>Nitazoxanide, a new drug candidate for the treatment of Middle East respiratory syndrome coronavirus.</w:t>
      </w:r>
      <w:proofErr w:type="gramEnd"/>
      <w:r>
        <w:t xml:space="preserve"> J Infect Public Heal 2016</w:t>
      </w:r>
      <w:proofErr w:type="gramStart"/>
      <w:r>
        <w:t>;9:227</w:t>
      </w:r>
      <w:proofErr w:type="gramEnd"/>
      <w:r>
        <w:t xml:space="preserve">–30.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5. </w:t>
      </w:r>
      <w:proofErr w:type="spellStart"/>
      <w:r>
        <w:t>Haffizulla</w:t>
      </w:r>
      <w:proofErr w:type="spellEnd"/>
      <w:r>
        <w:t xml:space="preserve"> J, Hartman A, Hoppers M, et al. Effect of nitazoxanide in adults and adolescents with acute uncomplicated influenza: a double-blind, randomised, placebo-controlled, phase 2b/3 trial. The Lancet Infectious diseases 2014</w:t>
      </w:r>
      <w:proofErr w:type="gramStart"/>
      <w:r>
        <w:t>;14:609</w:t>
      </w:r>
      <w:proofErr w:type="gramEnd"/>
      <w:r>
        <w:t xml:space="preserve">–18.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6. </w:t>
      </w:r>
      <w:proofErr w:type="spellStart"/>
      <w:r>
        <w:t>Furuta</w:t>
      </w:r>
      <w:proofErr w:type="spellEnd"/>
      <w:r>
        <w:t xml:space="preserve"> Y, </w:t>
      </w:r>
      <w:proofErr w:type="spellStart"/>
      <w:r>
        <w:t>Gowen</w:t>
      </w:r>
      <w:proofErr w:type="spellEnd"/>
      <w:r>
        <w:t xml:space="preserve"> B, Takahashi K, et al. Favipiravir (T-705), a novel viral RNA polymerase inhibitor. Antiviral Research 2013</w:t>
      </w:r>
      <w:proofErr w:type="gramStart"/>
      <w:r>
        <w:t>;100:446</w:t>
      </w:r>
      <w:proofErr w:type="gramEnd"/>
      <w:r>
        <w:t xml:space="preserve">–54.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7. Bai C-Q, Mu J-S, </w:t>
      </w:r>
      <w:proofErr w:type="spellStart"/>
      <w:r>
        <w:t>Kargbo</w:t>
      </w:r>
      <w:proofErr w:type="spellEnd"/>
      <w:r>
        <w:t xml:space="preserve"> D, et al. Clinical and Virological Characteristics of Ebola Virus Disease Patients Treated With Favipiravir (T-705)-Sierra Leone, 2014. Clinical infectious diseases : an official publication of the Infectious Diseases Society of America 2016</w:t>
      </w:r>
      <w:proofErr w:type="gramStart"/>
      <w:r>
        <w:t>;63:1288</w:t>
      </w:r>
      <w:proofErr w:type="gramEnd"/>
      <w:r>
        <w:t xml:space="preserve">–94.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8. </w:t>
      </w:r>
      <w:proofErr w:type="spellStart"/>
      <w:r>
        <w:t>McKimm-Breschkin</w:t>
      </w:r>
      <w:proofErr w:type="spellEnd"/>
      <w:r>
        <w:t xml:space="preserve"> J, Fry A. Meeting report: 4th ISIRV antiviral group conference: Novel antiviral therapies for influenza and other respiratory viruses. </w:t>
      </w:r>
      <w:proofErr w:type="spellStart"/>
      <w:r>
        <w:t>Antivir</w:t>
      </w:r>
      <w:proofErr w:type="spellEnd"/>
      <w:r>
        <w:t xml:space="preserve"> Res 2016</w:t>
      </w:r>
      <w:proofErr w:type="gramStart"/>
      <w:r>
        <w:t>;129:21</w:t>
      </w:r>
      <w:proofErr w:type="gramEnd"/>
      <w:r>
        <w:t xml:space="preserve">–38.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9. </w:t>
      </w:r>
      <w:proofErr w:type="spellStart"/>
      <w:r>
        <w:t>Beaucourt</w:t>
      </w:r>
      <w:proofErr w:type="spellEnd"/>
      <w:r>
        <w:t xml:space="preserve"> S, </w:t>
      </w:r>
      <w:proofErr w:type="spellStart"/>
      <w:r>
        <w:t>Vignuzzi</w:t>
      </w:r>
      <w:proofErr w:type="spellEnd"/>
      <w:r>
        <w:t xml:space="preserve"> M. Ribavirin: a drug active against many viruses with multiple effects on virus replication and propagation. </w:t>
      </w:r>
      <w:proofErr w:type="gramStart"/>
      <w:r>
        <w:t>Molecular basis of ribavirin resistance.</w:t>
      </w:r>
      <w:proofErr w:type="gramEnd"/>
      <w:r>
        <w:t xml:space="preserve"> Current opinion in virology 2014</w:t>
      </w:r>
      <w:proofErr w:type="gramStart"/>
      <w:r>
        <w:t>;8:10</w:t>
      </w:r>
      <w:proofErr w:type="gramEnd"/>
      <w:r>
        <w:t>–5.</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10. </w:t>
      </w:r>
      <w:proofErr w:type="spellStart"/>
      <w:r>
        <w:t>Ventre</w:t>
      </w:r>
      <w:proofErr w:type="spellEnd"/>
      <w:r>
        <w:t xml:space="preserve">, Randolph. </w:t>
      </w:r>
      <w:proofErr w:type="gramStart"/>
      <w:r>
        <w:t>Ribavirin for respiratory syncytial virus infection of the lower respiratory tract in infants and young children.</w:t>
      </w:r>
      <w:proofErr w:type="gramEnd"/>
      <w:r>
        <w:t xml:space="preserve"> The Cochrane database of systematic reviews </w:t>
      </w:r>
      <w:proofErr w:type="gramStart"/>
      <w:r>
        <w:t>2007;</w:t>
      </w:r>
      <w:proofErr w:type="gramEnd"/>
      <w:r>
        <w:t xml:space="preserve">(1):CD000181.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11. </w:t>
      </w:r>
      <w:proofErr w:type="spellStart"/>
      <w:r>
        <w:t>Waghmare</w:t>
      </w:r>
      <w:proofErr w:type="spellEnd"/>
      <w:r>
        <w:t xml:space="preserve"> A, Campbell </w:t>
      </w:r>
      <w:proofErr w:type="gramStart"/>
      <w:r>
        <w:t>A</w:t>
      </w:r>
      <w:proofErr w:type="gramEnd"/>
      <w:r>
        <w:t xml:space="preserve">, </w:t>
      </w:r>
      <w:proofErr w:type="spellStart"/>
      <w:r>
        <w:t>Xie</w:t>
      </w:r>
      <w:proofErr w:type="spellEnd"/>
      <w:r>
        <w:t xml:space="preserve"> H, et al. Respiratory syncytial virus lower respiratory disease in hematopoietic cell transplant recipients: viral RNA detection in blood, antiviral treatment, and clinical outcomes. Clinical infectious diseases : an official publication of the Infectious Diseases Society of America 2013</w:t>
      </w:r>
      <w:proofErr w:type="gramStart"/>
      <w:r>
        <w:t>;57:1731</w:t>
      </w:r>
      <w:proofErr w:type="gramEnd"/>
      <w:r>
        <w:t xml:space="preserve">–41.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12. Shah D, </w:t>
      </w:r>
      <w:proofErr w:type="spellStart"/>
      <w:r>
        <w:t>Ghantoji</w:t>
      </w:r>
      <w:proofErr w:type="spellEnd"/>
      <w:r>
        <w:t xml:space="preserve"> S, Shah J, et al. Impact of aerosolized ribavirin on mortality in 280 allogeneic haematopoietic stem cell transplant recipients with respiratory syncytial virus infections. The Journal of antimicrobial chemotherapy 2013</w:t>
      </w:r>
      <w:proofErr w:type="gramStart"/>
      <w:r>
        <w:t>;68:1872</w:t>
      </w:r>
      <w:proofErr w:type="gramEnd"/>
      <w:r>
        <w:t xml:space="preserve">–80.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13. </w:t>
      </w:r>
      <w:proofErr w:type="spellStart"/>
      <w:r>
        <w:t>Gueller</w:t>
      </w:r>
      <w:proofErr w:type="spellEnd"/>
      <w:r>
        <w:t xml:space="preserve">, </w:t>
      </w:r>
      <w:proofErr w:type="spellStart"/>
      <w:r>
        <w:t>Duenzinger</w:t>
      </w:r>
      <w:proofErr w:type="spellEnd"/>
      <w:r>
        <w:t xml:space="preserve">, Wolf, et al. Successful systemic </w:t>
      </w:r>
      <w:proofErr w:type="spellStart"/>
      <w:r>
        <w:t>hig</w:t>
      </w:r>
      <w:proofErr w:type="spellEnd"/>
      <w:r>
        <w:t>-dose ribavirin treatment of respiratory syncytial virus-induced infections occurring pre-engraftment in allogeneic hematopoietic stem cell transplant recipients. Transplant Infectious Disease 2013</w:t>
      </w:r>
      <w:proofErr w:type="gramStart"/>
      <w:r>
        <w:t>;15:435</w:t>
      </w:r>
      <w:proofErr w:type="gramEnd"/>
      <w:r>
        <w:t xml:space="preserve">–40. </w:t>
      </w:r>
    </w:p>
    <w:p w:rsidR="003E3D79" w:rsidRDefault="003E3D79" w:rsidP="003E3D79">
      <w:pPr>
        <w:autoSpaceDE w:val="0"/>
        <w:autoSpaceDN w:val="0"/>
        <w:adjustRightInd w:val="0"/>
        <w:spacing w:after="0" w:line="240" w:lineRule="auto"/>
        <w:jc w:val="both"/>
      </w:pPr>
    </w:p>
    <w:p w:rsidR="00C7501A" w:rsidRDefault="003E3D79" w:rsidP="003E3D79">
      <w:pPr>
        <w:autoSpaceDE w:val="0"/>
        <w:autoSpaceDN w:val="0"/>
        <w:adjustRightInd w:val="0"/>
        <w:spacing w:after="0" w:line="240" w:lineRule="auto"/>
        <w:jc w:val="both"/>
      </w:pPr>
      <w:r>
        <w:lastRenderedPageBreak/>
        <w:t xml:space="preserve">13. </w:t>
      </w:r>
      <w:proofErr w:type="spellStart"/>
      <w:r>
        <w:t>DeVincenzo</w:t>
      </w:r>
      <w:proofErr w:type="spellEnd"/>
      <w:r>
        <w:t xml:space="preserve"> JP, Whitley RJ, </w:t>
      </w:r>
      <w:proofErr w:type="spellStart"/>
      <w:r>
        <w:t>Mackman</w:t>
      </w:r>
      <w:proofErr w:type="spellEnd"/>
      <w:r>
        <w:t xml:space="preserve"> RL, et al. Oral GS-5806 activity in a respiratory syncytial virus challenge study. N </w:t>
      </w:r>
      <w:proofErr w:type="spellStart"/>
      <w:r>
        <w:t>Engl</w:t>
      </w:r>
      <w:proofErr w:type="spellEnd"/>
      <w:r>
        <w:t xml:space="preserve"> J Med 2014</w:t>
      </w:r>
      <w:proofErr w:type="gramStart"/>
      <w:r>
        <w:t>;371:711</w:t>
      </w:r>
      <w:proofErr w:type="gramEnd"/>
      <w:r>
        <w:t>–22.</w:t>
      </w:r>
    </w:p>
    <w:p w:rsidR="003E3D79" w:rsidRDefault="00C7501A" w:rsidP="003E3D79">
      <w:pPr>
        <w:autoSpaceDE w:val="0"/>
        <w:autoSpaceDN w:val="0"/>
        <w:adjustRightInd w:val="0"/>
        <w:spacing w:after="0" w:line="240" w:lineRule="auto"/>
        <w:jc w:val="both"/>
      </w:pPr>
      <w:r>
        <w:t xml:space="preserve">*Landmark proof of concept study for </w:t>
      </w:r>
      <w:r w:rsidRPr="00C7501A">
        <w:t>GS-5806</w:t>
      </w:r>
    </w:p>
    <w:p w:rsidR="00C7501A" w:rsidRDefault="00C7501A" w:rsidP="003E3D79">
      <w:pPr>
        <w:autoSpaceDE w:val="0"/>
        <w:autoSpaceDN w:val="0"/>
        <w:adjustRightInd w:val="0"/>
        <w:spacing w:after="0" w:line="240" w:lineRule="auto"/>
        <w:jc w:val="both"/>
      </w:pPr>
    </w:p>
    <w:p w:rsidR="00C7501A" w:rsidRDefault="003E3D79" w:rsidP="00C7501A">
      <w:pPr>
        <w:autoSpaceDE w:val="0"/>
        <w:autoSpaceDN w:val="0"/>
        <w:adjustRightInd w:val="0"/>
        <w:spacing w:after="0" w:line="240" w:lineRule="auto"/>
        <w:jc w:val="both"/>
      </w:pPr>
      <w:r>
        <w:t xml:space="preserve">14. </w:t>
      </w:r>
      <w:proofErr w:type="spellStart"/>
      <w:r>
        <w:t>DeVincenzo</w:t>
      </w:r>
      <w:proofErr w:type="spellEnd"/>
      <w:r>
        <w:t xml:space="preserve"> J, McClure M, Symons J, et al. Activity of Oral ALS-008176 in a Respiratory Syncytial Virus Challenge Study. New </w:t>
      </w:r>
      <w:proofErr w:type="spellStart"/>
      <w:r>
        <w:t>Engl</w:t>
      </w:r>
      <w:proofErr w:type="spellEnd"/>
      <w:r>
        <w:t xml:space="preserve"> J Medicine 2015</w:t>
      </w:r>
      <w:proofErr w:type="gramStart"/>
      <w:r>
        <w:t>;373:2048</w:t>
      </w:r>
      <w:proofErr w:type="gramEnd"/>
      <w:r>
        <w:t>–58.</w:t>
      </w:r>
      <w:r w:rsidR="00C7501A">
        <w:t xml:space="preserve"> </w:t>
      </w:r>
    </w:p>
    <w:p w:rsidR="003E3D79" w:rsidRDefault="00C7501A" w:rsidP="00C7501A">
      <w:pPr>
        <w:autoSpaceDE w:val="0"/>
        <w:autoSpaceDN w:val="0"/>
        <w:adjustRightInd w:val="0"/>
        <w:spacing w:after="0" w:line="240" w:lineRule="auto"/>
        <w:jc w:val="both"/>
      </w:pPr>
      <w:r>
        <w:t xml:space="preserve">*Landmark proof of concept study for ALS-008176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15. ClinicalTrials.gov. A Phase 2a Study to Evaluate Orally Administered ALS-008176 in Adults Hospitalized With a Respiratory Syncytial Virus.</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16. ClinicalTrials.gov. Presatovir in Hematopoietic Cell Transplant Recipients </w:t>
      </w:r>
      <w:proofErr w:type="gramStart"/>
      <w:r>
        <w:t>With</w:t>
      </w:r>
      <w:proofErr w:type="gramEnd"/>
      <w:r>
        <w:t xml:space="preserve"> Respiratory Syncytial Virus Infection of the Upper Respiratory Tract.</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17. ClinicalTrials.gov. A Phase 2a Study to Evaluate Orally Administered ALS-008176 in Adults Hospitalized With a Respiratory Syncytial Virus.</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18. ClinicalTrials.gov. A Study of ALS-008176 in Infants Hospitalized With RSV.</w:t>
      </w:r>
    </w:p>
    <w:p w:rsidR="003E3D79" w:rsidRDefault="003E3D79" w:rsidP="003E3D79">
      <w:pPr>
        <w:autoSpaceDE w:val="0"/>
        <w:autoSpaceDN w:val="0"/>
        <w:adjustRightInd w:val="0"/>
        <w:spacing w:after="0" w:line="240" w:lineRule="auto"/>
        <w:jc w:val="both"/>
      </w:pPr>
    </w:p>
    <w:p w:rsidR="00C7501A" w:rsidRDefault="003E3D79" w:rsidP="00C7501A">
      <w:pPr>
        <w:autoSpaceDE w:val="0"/>
        <w:autoSpaceDN w:val="0"/>
        <w:adjustRightInd w:val="0"/>
        <w:spacing w:after="0" w:line="240" w:lineRule="auto"/>
        <w:jc w:val="both"/>
      </w:pPr>
      <w:r>
        <w:t xml:space="preserve">19. </w:t>
      </w:r>
      <w:proofErr w:type="spellStart"/>
      <w:r>
        <w:t>DeVincenzo</w:t>
      </w:r>
      <w:proofErr w:type="spellEnd"/>
      <w:r>
        <w:t xml:space="preserve"> J, Lambkin-Williams R, Wilkinson T, et al. </w:t>
      </w:r>
      <w:proofErr w:type="gramStart"/>
      <w:r>
        <w:t>A randomized, double-blind, placebo-controlled study of an RNAi-based therapy directed against respiratory syncytial virus.</w:t>
      </w:r>
      <w:proofErr w:type="gramEnd"/>
      <w:r>
        <w:t xml:space="preserve"> Proc National </w:t>
      </w:r>
      <w:proofErr w:type="spellStart"/>
      <w:r>
        <w:t>Acad</w:t>
      </w:r>
      <w:proofErr w:type="spellEnd"/>
      <w:r>
        <w:t xml:space="preserve"> </w:t>
      </w:r>
      <w:proofErr w:type="spellStart"/>
      <w:r>
        <w:t>Sci</w:t>
      </w:r>
      <w:proofErr w:type="spellEnd"/>
      <w:r>
        <w:t xml:space="preserve"> 2010</w:t>
      </w:r>
      <w:proofErr w:type="gramStart"/>
      <w:r>
        <w:t>;107:8800</w:t>
      </w:r>
      <w:proofErr w:type="gramEnd"/>
      <w:r>
        <w:t xml:space="preserve">–5. </w:t>
      </w:r>
    </w:p>
    <w:p w:rsidR="003E3D79" w:rsidRDefault="00C7501A" w:rsidP="00C7501A">
      <w:pPr>
        <w:autoSpaceDE w:val="0"/>
        <w:autoSpaceDN w:val="0"/>
        <w:adjustRightInd w:val="0"/>
        <w:spacing w:after="0" w:line="240" w:lineRule="auto"/>
        <w:jc w:val="both"/>
      </w:pPr>
      <w:r w:rsidRPr="00C7501A">
        <w:t>*Landmark proof of concept study for RNAi-based therapy</w:t>
      </w:r>
      <w:r>
        <w:t xml:space="preserve">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20. Gottlieb J, Zamora M, Hodges T, et al. ALN-RSV01 for prevention of bronchiolitis obliterans syndrome after respiratory syncytial virus infection in lung transplant recipients. The Journal of heart and lung transplantation : the official publication of the International Society for Heart Transplantation 2016</w:t>
      </w:r>
      <w:proofErr w:type="gramStart"/>
      <w:r>
        <w:t>;35:213</w:t>
      </w:r>
      <w:proofErr w:type="gramEnd"/>
      <w:r>
        <w:t xml:space="preserve">–21.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21. Zamora M, </w:t>
      </w:r>
      <w:proofErr w:type="spellStart"/>
      <w:r>
        <w:t>Budev</w:t>
      </w:r>
      <w:proofErr w:type="spellEnd"/>
      <w:r>
        <w:t xml:space="preserve"> M, Rolfe M, et al. RNA interference therapy in lung transplant patients infected with respiratory syncytial virus. American journal of respiratory and critical care medicine 2011</w:t>
      </w:r>
      <w:proofErr w:type="gramStart"/>
      <w:r>
        <w:t>;183:531</w:t>
      </w:r>
      <w:proofErr w:type="gramEnd"/>
      <w:r>
        <w:t xml:space="preserve">–8.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22. </w:t>
      </w:r>
      <w:proofErr w:type="spellStart"/>
      <w:r>
        <w:t>Palomo</w:t>
      </w:r>
      <w:proofErr w:type="spellEnd"/>
      <w:r>
        <w:t xml:space="preserve"> C, Mas V, </w:t>
      </w:r>
      <w:proofErr w:type="spellStart"/>
      <w:r>
        <w:t>Detalle</w:t>
      </w:r>
      <w:proofErr w:type="spellEnd"/>
      <w:r>
        <w:t xml:space="preserve"> L, et al. </w:t>
      </w:r>
      <w:proofErr w:type="spellStart"/>
      <w:r>
        <w:t>Trivalency</w:t>
      </w:r>
      <w:proofErr w:type="spellEnd"/>
      <w:r>
        <w:t xml:space="preserve"> of a Nanobody Specific for the Human Respiratory Syncytial Virus Fusion Glycoprotein Drastically Enhances Virus Neutralization and Impacts Escape Mutant Selection. Antimicrobial agents and chemotherapy 2016</w:t>
      </w:r>
      <w:proofErr w:type="gramStart"/>
      <w:r>
        <w:t>;60:6498</w:t>
      </w:r>
      <w:proofErr w:type="gramEnd"/>
      <w:r>
        <w:t xml:space="preserve">–509.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23. ClinicalTrials.gov. A Multicentre Study in Otherwise Healthy Infants and Toddlers Hospitalised For and Diagnosed With RSV Lower Respiratory Tract Infection to Evaluate the Safety, Tolerability, and Clinical Activity of ALX-</w:t>
      </w:r>
      <w:proofErr w:type="gramStart"/>
      <w:r>
        <w:t>0171 .</w:t>
      </w:r>
      <w:proofErr w:type="gramEnd"/>
      <w:r>
        <w:t xml:space="preserve">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24. ClinicalTrials.gov. Dose Ranging Study of ALX-0171 in Infants Hospitalized for Respiratory Syncytial Virus Lower Respiratory Tract Infection (Respire).</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25. ClinicalTrials.gov. A Study of AK0529 in Infants Hospitalized With RSV.</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26. Griffin P, Khan A, </w:t>
      </w:r>
      <w:proofErr w:type="spellStart"/>
      <w:r>
        <w:t>Esser</w:t>
      </w:r>
      <w:proofErr w:type="spellEnd"/>
      <w:r>
        <w:t xml:space="preserve"> M, et al. Safety, Tolerability, and Pharmacokinetics of MEDI8897, the Respiratory Syncytial Virus </w:t>
      </w:r>
      <w:proofErr w:type="spellStart"/>
      <w:r>
        <w:t>Prefusion</w:t>
      </w:r>
      <w:proofErr w:type="spellEnd"/>
      <w:r>
        <w:t xml:space="preserve"> F-Targeting Monoclonal Antibody with an Extended Half-Life, in Healthy Adults. Antimicrobial Agents and Chemotherapy 2016</w:t>
      </w:r>
      <w:proofErr w:type="gramStart"/>
      <w:r>
        <w:t>;61:e01714</w:t>
      </w:r>
      <w:proofErr w:type="gramEnd"/>
      <w:r>
        <w:t xml:space="preserve">–16.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lastRenderedPageBreak/>
        <w:t xml:space="preserve">27. </w:t>
      </w:r>
      <w:proofErr w:type="spellStart"/>
      <w:r>
        <w:t>Ramilo</w:t>
      </w:r>
      <w:proofErr w:type="spellEnd"/>
      <w:r>
        <w:t xml:space="preserve"> O, Lagos R, </w:t>
      </w:r>
      <w:proofErr w:type="spellStart"/>
      <w:r>
        <w:t>Sáez-Llorens</w:t>
      </w:r>
      <w:proofErr w:type="spellEnd"/>
      <w:r>
        <w:t xml:space="preserve"> X, et al. Motavizumab Treatment of Infants Hospitalized With Respiratory Syncytial Virus Infection Does Not Decrease Viral Load or Severity of Illness. </w:t>
      </w:r>
      <w:proofErr w:type="spellStart"/>
      <w:r>
        <w:t>Pediatric</w:t>
      </w:r>
      <w:proofErr w:type="spellEnd"/>
      <w:r>
        <w:t xml:space="preserve"> Infect Dis J 2014</w:t>
      </w:r>
      <w:proofErr w:type="gramStart"/>
      <w:r>
        <w:t>;33:703</w:t>
      </w:r>
      <w:proofErr w:type="gramEnd"/>
      <w:r>
        <w:t xml:space="preserve">.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28. </w:t>
      </w:r>
      <w:proofErr w:type="spellStart"/>
      <w:r>
        <w:t>Falsey</w:t>
      </w:r>
      <w:proofErr w:type="spellEnd"/>
      <w:r>
        <w:t xml:space="preserve"> A, </w:t>
      </w:r>
      <w:proofErr w:type="spellStart"/>
      <w:r>
        <w:t>Koval</w:t>
      </w:r>
      <w:proofErr w:type="spellEnd"/>
      <w:r>
        <w:t xml:space="preserve"> C, </w:t>
      </w:r>
      <w:proofErr w:type="spellStart"/>
      <w:r>
        <w:t>DeVincenzo</w:t>
      </w:r>
      <w:proofErr w:type="spellEnd"/>
      <w:r>
        <w:t xml:space="preserve"> J, et al. Compassionate use experience with high-titre respiratory </w:t>
      </w:r>
      <w:proofErr w:type="spellStart"/>
      <w:r>
        <w:t>syncytical</w:t>
      </w:r>
      <w:proofErr w:type="spellEnd"/>
      <w:r>
        <w:t xml:space="preserve"> virus (RSV) immunoglobulin in RSV‐infected immunocompromised persons. Transplant Infectious Disease 2017</w:t>
      </w:r>
      <w:proofErr w:type="gramStart"/>
      <w:r>
        <w:t>;19:e12657</w:t>
      </w:r>
      <w:proofErr w:type="gramEnd"/>
      <w:r>
        <w:t xml:space="preserve">. </w:t>
      </w:r>
    </w:p>
    <w:p w:rsidR="001E6E72" w:rsidRDefault="001E6E72"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29. </w:t>
      </w:r>
      <w:proofErr w:type="spellStart"/>
      <w:r>
        <w:t>Falzarano</w:t>
      </w:r>
      <w:proofErr w:type="spellEnd"/>
      <w:r>
        <w:t xml:space="preserve"> D, de Wit E, Rasmussen A, et al. Treatment with interferon-α2b and ribavirin improves outcome in MERS-CoV-infected rhesus macaques. Nature medicine 2013</w:t>
      </w:r>
      <w:proofErr w:type="gramStart"/>
      <w:r>
        <w:t>;19:1313</w:t>
      </w:r>
      <w:proofErr w:type="gramEnd"/>
      <w:r>
        <w:t xml:space="preserve">–7.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30. </w:t>
      </w:r>
      <w:proofErr w:type="spellStart"/>
      <w:r>
        <w:t>Omrani</w:t>
      </w:r>
      <w:proofErr w:type="spellEnd"/>
      <w:r>
        <w:t xml:space="preserve"> A, </w:t>
      </w:r>
      <w:proofErr w:type="spellStart"/>
      <w:r>
        <w:t>Saad</w:t>
      </w:r>
      <w:proofErr w:type="spellEnd"/>
      <w:r>
        <w:t xml:space="preserve"> M, </w:t>
      </w:r>
      <w:proofErr w:type="spellStart"/>
      <w:r>
        <w:t>Baig</w:t>
      </w:r>
      <w:proofErr w:type="spellEnd"/>
      <w:r>
        <w:t xml:space="preserve"> K, et al. Ribavirin and interferon alfa-2a for severe Middle East respiratory syndrome coronavirus infection: a retrospective cohort study. The Lancet Infectious diseases 2014</w:t>
      </w:r>
      <w:proofErr w:type="gramStart"/>
      <w:r>
        <w:t>;14:1090</w:t>
      </w:r>
      <w:proofErr w:type="gramEnd"/>
      <w:r>
        <w:t xml:space="preserve">–5.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31. </w:t>
      </w:r>
      <w:proofErr w:type="spellStart"/>
      <w:r>
        <w:t>Mair</w:t>
      </w:r>
      <w:proofErr w:type="spellEnd"/>
      <w:r>
        <w:t xml:space="preserve">-Jenkins J, Saavedra-Campos M, Baillie, et al. The effectiveness of convalescent plasma and </w:t>
      </w:r>
      <w:proofErr w:type="spellStart"/>
      <w:r>
        <w:t>hyperimmune</w:t>
      </w:r>
      <w:proofErr w:type="spellEnd"/>
      <w:r>
        <w:t xml:space="preserve"> immunoglobulin for the treatment of severe acute respiratory infections of viral </w:t>
      </w:r>
      <w:proofErr w:type="spellStart"/>
      <w:r>
        <w:t>etiology</w:t>
      </w:r>
      <w:proofErr w:type="spellEnd"/>
      <w:r>
        <w:t>: a systematic review and exploratory meta-analysis. The Journal of infectious diseases 2015</w:t>
      </w:r>
      <w:proofErr w:type="gramStart"/>
      <w:r>
        <w:t>;211:80</w:t>
      </w:r>
      <w:proofErr w:type="gramEnd"/>
      <w:r>
        <w:t xml:space="preserve">–90.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32. </w:t>
      </w:r>
      <w:proofErr w:type="spellStart"/>
      <w:r>
        <w:t>Arabi</w:t>
      </w:r>
      <w:proofErr w:type="spellEnd"/>
      <w:r>
        <w:t xml:space="preserve"> Y, </w:t>
      </w:r>
      <w:proofErr w:type="spellStart"/>
      <w:r>
        <w:t>Hajeer</w:t>
      </w:r>
      <w:proofErr w:type="spellEnd"/>
      <w:r>
        <w:t xml:space="preserve"> A, Luke T, et al. Feasibility of Using Convalescent Plasma Immunotherapy for MERS-CoV Infection, Saudi Arabia. Emerging infectious diseases 2016</w:t>
      </w:r>
      <w:proofErr w:type="gramStart"/>
      <w:r>
        <w:t>;22:1554</w:t>
      </w:r>
      <w:proofErr w:type="gramEnd"/>
      <w:r>
        <w:t xml:space="preserve">–61.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33. Tang X-C, </w:t>
      </w:r>
      <w:proofErr w:type="spellStart"/>
      <w:r>
        <w:t>Agnihothram</w:t>
      </w:r>
      <w:proofErr w:type="spellEnd"/>
      <w:r>
        <w:t xml:space="preserve"> S, Jiao Y, et al. Identification of human neutralizing antibodies against MERS-CoV and their role in virus adaptive evolution. Proceedings of the National Academy of Sciences 2014</w:t>
      </w:r>
      <w:proofErr w:type="gramStart"/>
      <w:r>
        <w:t>;111:E2018</w:t>
      </w:r>
      <w:proofErr w:type="gramEnd"/>
      <w:r>
        <w:t xml:space="preserve">–E2026.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34. ClinicalTrials.gov. Safety, Tolerability, and Pharmacokinetics of SAB-301 in Healthy Adults</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35. ClinicalTrials.gov. A Phase II, Randomized, Double-blind, Placebo-controlled Study to Examine the Effects of DAS181 in Immunocompromised Subjects </w:t>
      </w:r>
      <w:proofErr w:type="gramStart"/>
      <w:r>
        <w:t>With</w:t>
      </w:r>
      <w:proofErr w:type="gramEnd"/>
      <w:r>
        <w:t xml:space="preserve"> Lower Respiratory Tract Parainfluenza Infection on Supplemental Oxygen (DAS181-2-05).</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36. </w:t>
      </w:r>
      <w:proofErr w:type="spellStart"/>
      <w:r>
        <w:t>Thammawat</w:t>
      </w:r>
      <w:proofErr w:type="spellEnd"/>
      <w:r>
        <w:t xml:space="preserve"> S, </w:t>
      </w:r>
      <w:proofErr w:type="spellStart"/>
      <w:r>
        <w:t>Sadlon</w:t>
      </w:r>
      <w:proofErr w:type="spellEnd"/>
      <w:r>
        <w:t xml:space="preserve"> TA, Adamson P, Gordon DL. </w:t>
      </w:r>
      <w:proofErr w:type="gramStart"/>
      <w:r>
        <w:t>Effect of sialidase fusion protein (DAS 181) on human metapneumovirus infection of Hep-2 cells.</w:t>
      </w:r>
      <w:proofErr w:type="gramEnd"/>
      <w:r>
        <w:t xml:space="preserve"> </w:t>
      </w:r>
      <w:proofErr w:type="spellStart"/>
      <w:r>
        <w:t>Antivir</w:t>
      </w:r>
      <w:proofErr w:type="spellEnd"/>
      <w:r>
        <w:t xml:space="preserve"> </w:t>
      </w:r>
      <w:proofErr w:type="spellStart"/>
      <w:r>
        <w:t>Chem</w:t>
      </w:r>
      <w:proofErr w:type="spellEnd"/>
      <w:r>
        <w:t xml:space="preserve"> </w:t>
      </w:r>
      <w:proofErr w:type="spellStart"/>
      <w:r>
        <w:t>Chemother</w:t>
      </w:r>
      <w:proofErr w:type="spellEnd"/>
      <w:r>
        <w:t xml:space="preserve">. 2016; </w:t>
      </w:r>
      <w:proofErr w:type="spellStart"/>
      <w:r>
        <w:t>pii</w:t>
      </w:r>
      <w:proofErr w:type="spellEnd"/>
      <w:r>
        <w:t>: 2040206616665971.</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proofErr w:type="gramStart"/>
      <w:r>
        <w:t xml:space="preserve">37. </w:t>
      </w:r>
      <w:hyperlink r:id="rId9" w:history="1">
        <w:r w:rsidRPr="00EA4CBB">
          <w:rPr>
            <w:rStyle w:val="Hyperlink"/>
          </w:rPr>
          <w:t>http://www.aliosbiopharma.com/pipeline/overview/</w:t>
        </w:r>
      </w:hyperlink>
      <w:r>
        <w:t>.</w:t>
      </w:r>
      <w:proofErr w:type="gramEnd"/>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38. Hayden F, Herrington D, Coats T, et al. Efficacy and Safety of Oral </w:t>
      </w:r>
      <w:proofErr w:type="spellStart"/>
      <w:r>
        <w:t>Pleconaril</w:t>
      </w:r>
      <w:proofErr w:type="spellEnd"/>
      <w:r>
        <w:t xml:space="preserve"> for Treatment of Colds Due to Picornaviruses in Adults: Results of 2 Double-Blind, Randomized, Placebo-Controlled Trials. Clinical Infectious Diseases 2003</w:t>
      </w:r>
      <w:proofErr w:type="gramStart"/>
      <w:r>
        <w:t>;36:1523</w:t>
      </w:r>
      <w:proofErr w:type="gramEnd"/>
      <w:r>
        <w:t xml:space="preserve">–32.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39. Senior K. FDA panel rejects common cold treatment. The Lancet infectious diseases 2002</w:t>
      </w:r>
      <w:proofErr w:type="gramStart"/>
      <w:r>
        <w:t>;2:264</w:t>
      </w:r>
      <w:proofErr w:type="gramEnd"/>
      <w:r>
        <w:t>.</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40. ClinicalTrials.gov. A Phase 2 Study of </w:t>
      </w:r>
      <w:proofErr w:type="spellStart"/>
      <w:r>
        <w:t>Vapendavir</w:t>
      </w:r>
      <w:proofErr w:type="spellEnd"/>
      <w:r>
        <w:t xml:space="preserve"> in Asthmatic Adults </w:t>
      </w:r>
      <w:proofErr w:type="gramStart"/>
      <w:r>
        <w:t>With</w:t>
      </w:r>
      <w:proofErr w:type="gramEnd"/>
      <w:r>
        <w:t xml:space="preserve"> Symptomatic Human Rhinovirus Infection (SPIRITUS).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41. </w:t>
      </w:r>
      <w:proofErr w:type="spellStart"/>
      <w:r>
        <w:t>Wark</w:t>
      </w:r>
      <w:proofErr w:type="spellEnd"/>
      <w:r>
        <w:t xml:space="preserve"> P, Johnston S, </w:t>
      </w:r>
      <w:proofErr w:type="spellStart"/>
      <w:r>
        <w:t>Bucchieri</w:t>
      </w:r>
      <w:proofErr w:type="spellEnd"/>
      <w:r>
        <w:t xml:space="preserve"> F, et al. Asthmatic bronchial epithelial cells have a deficient innate immune response to infection with rhinovirus. The Journal of experimental medicine 2005</w:t>
      </w:r>
      <w:proofErr w:type="gramStart"/>
      <w:r>
        <w:t>;201:937</w:t>
      </w:r>
      <w:proofErr w:type="gramEnd"/>
      <w:r>
        <w:t xml:space="preserve">–47.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42. </w:t>
      </w:r>
      <w:proofErr w:type="spellStart"/>
      <w:r>
        <w:t>Djukanović</w:t>
      </w:r>
      <w:proofErr w:type="spellEnd"/>
      <w:r>
        <w:t xml:space="preserve"> R, Harrison T, Johnston SL, et al. </w:t>
      </w:r>
      <w:proofErr w:type="gramStart"/>
      <w:r>
        <w:t>The effect of inhaled IFN-β on worsening of asthma symptoms caused by viral infections.</w:t>
      </w:r>
      <w:proofErr w:type="gramEnd"/>
      <w:r>
        <w:t xml:space="preserve"> </w:t>
      </w:r>
      <w:proofErr w:type="gramStart"/>
      <w:r>
        <w:t>A randomized trial.</w:t>
      </w:r>
      <w:proofErr w:type="gramEnd"/>
      <w:r>
        <w:t xml:space="preserve"> Am J </w:t>
      </w:r>
      <w:proofErr w:type="spellStart"/>
      <w:r>
        <w:t>Respir</w:t>
      </w:r>
      <w:proofErr w:type="spellEnd"/>
      <w:r>
        <w:t xml:space="preserve"> </w:t>
      </w:r>
      <w:proofErr w:type="spellStart"/>
      <w:r>
        <w:t>Crit</w:t>
      </w:r>
      <w:proofErr w:type="spellEnd"/>
      <w:r>
        <w:t xml:space="preserve"> Care Med 2014</w:t>
      </w:r>
      <w:proofErr w:type="gramStart"/>
      <w:r>
        <w:t>;190:145</w:t>
      </w:r>
      <w:proofErr w:type="gramEnd"/>
      <w:r>
        <w:t xml:space="preserve">–54. </w:t>
      </w:r>
    </w:p>
    <w:p w:rsidR="003E3D79" w:rsidRDefault="003E3D79"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43. ClinicalTrials.gov. A Study in Asthma Patients to Evaluate Efficacy, Safety and Tolerability of 14 Days Once Daily Inhaled Interferon Beta-1a After the Onset of Symptoms of an Upper Respiratory Tract Infection (INEXAS). </w:t>
      </w:r>
    </w:p>
    <w:p w:rsidR="00917B0F" w:rsidRDefault="00917B0F" w:rsidP="003E3D79">
      <w:pPr>
        <w:autoSpaceDE w:val="0"/>
        <w:autoSpaceDN w:val="0"/>
        <w:adjustRightInd w:val="0"/>
        <w:spacing w:after="0" w:line="240" w:lineRule="auto"/>
        <w:jc w:val="both"/>
      </w:pPr>
    </w:p>
    <w:p w:rsidR="003E3D79" w:rsidRDefault="003E3D79" w:rsidP="003E3D79">
      <w:pPr>
        <w:autoSpaceDE w:val="0"/>
        <w:autoSpaceDN w:val="0"/>
        <w:adjustRightInd w:val="0"/>
        <w:spacing w:after="0" w:line="240" w:lineRule="auto"/>
        <w:jc w:val="both"/>
      </w:pPr>
      <w:r>
        <w:t xml:space="preserve">44. </w:t>
      </w:r>
      <w:proofErr w:type="spellStart"/>
      <w:r>
        <w:t>Synairgen</w:t>
      </w:r>
      <w:proofErr w:type="spellEnd"/>
      <w:r>
        <w:t xml:space="preserve">. </w:t>
      </w:r>
      <w:proofErr w:type="gramStart"/>
      <w:r>
        <w:t>AZD9412 Clinical Trial Update.</w:t>
      </w:r>
      <w:proofErr w:type="gramEnd"/>
      <w:r>
        <w:t xml:space="preserve"> 2016.</w:t>
      </w:r>
    </w:p>
    <w:p w:rsidR="00917B0F" w:rsidRDefault="00917B0F" w:rsidP="003E3D79">
      <w:pPr>
        <w:autoSpaceDE w:val="0"/>
        <w:autoSpaceDN w:val="0"/>
        <w:adjustRightInd w:val="0"/>
        <w:spacing w:after="0" w:line="240" w:lineRule="auto"/>
        <w:jc w:val="both"/>
      </w:pPr>
    </w:p>
    <w:p w:rsidR="00917B0F" w:rsidRDefault="00917B0F" w:rsidP="00917B0F">
      <w:pPr>
        <w:autoSpaceDE w:val="0"/>
        <w:autoSpaceDN w:val="0"/>
        <w:adjustRightInd w:val="0"/>
        <w:spacing w:after="0" w:line="240" w:lineRule="auto"/>
        <w:jc w:val="both"/>
      </w:pPr>
      <w:proofErr w:type="gramStart"/>
      <w:r>
        <w:t xml:space="preserve">45. </w:t>
      </w:r>
      <w:r w:rsidRPr="00917B0F">
        <w:t xml:space="preserve">Clark TW, Fleet DH, </w:t>
      </w:r>
      <w:proofErr w:type="spellStart"/>
      <w:r w:rsidRPr="00917B0F">
        <w:t>Wiselka</w:t>
      </w:r>
      <w:proofErr w:type="spellEnd"/>
      <w:r w:rsidRPr="00917B0F">
        <w:t xml:space="preserve"> MJ</w:t>
      </w:r>
      <w:r>
        <w:t>.</w:t>
      </w:r>
      <w:proofErr w:type="gramEnd"/>
      <w:r>
        <w:t xml:space="preserve"> </w:t>
      </w:r>
      <w:r w:rsidRPr="00917B0F">
        <w:t xml:space="preserve">Severe community-acquired adenovirus pneumonia in an immunocompetent 44-year-old woman: a case report and review of the literature. </w:t>
      </w:r>
      <w:r>
        <w:t>J Med Case Rep 2011</w:t>
      </w:r>
      <w:proofErr w:type="gramStart"/>
      <w:r w:rsidRPr="00917B0F">
        <w:t>;5:259</w:t>
      </w:r>
      <w:proofErr w:type="gramEnd"/>
      <w:r w:rsidRPr="00917B0F">
        <w:t>.</w:t>
      </w:r>
    </w:p>
    <w:p w:rsidR="003E3D79" w:rsidRDefault="003E3D79" w:rsidP="003E3D79">
      <w:pPr>
        <w:autoSpaceDE w:val="0"/>
        <w:autoSpaceDN w:val="0"/>
        <w:adjustRightInd w:val="0"/>
        <w:spacing w:after="0" w:line="240" w:lineRule="auto"/>
        <w:jc w:val="both"/>
      </w:pPr>
    </w:p>
    <w:p w:rsidR="003E3D79" w:rsidRDefault="00917B0F" w:rsidP="003E3D79">
      <w:pPr>
        <w:autoSpaceDE w:val="0"/>
        <w:autoSpaceDN w:val="0"/>
        <w:adjustRightInd w:val="0"/>
        <w:spacing w:after="0" w:line="240" w:lineRule="auto"/>
        <w:jc w:val="both"/>
      </w:pPr>
      <w:r>
        <w:t>46</w:t>
      </w:r>
      <w:r w:rsidR="003E3D79">
        <w:t xml:space="preserve">. Lee Y, </w:t>
      </w:r>
      <w:proofErr w:type="spellStart"/>
      <w:r w:rsidR="003E3D79">
        <w:t>Prockop</w:t>
      </w:r>
      <w:proofErr w:type="spellEnd"/>
      <w:r w:rsidR="003E3D79">
        <w:t xml:space="preserve"> S, </w:t>
      </w:r>
      <w:proofErr w:type="spellStart"/>
      <w:r w:rsidR="003E3D79">
        <w:t>Papanicolaou</w:t>
      </w:r>
      <w:proofErr w:type="spellEnd"/>
      <w:r w:rsidR="003E3D79">
        <w:t xml:space="preserve"> G. Approach to adenovirus infections in the setting of hematopoietic cell transplantation. Current Opinion in Infectious Diseases </w:t>
      </w:r>
      <w:proofErr w:type="gramStart"/>
      <w:r w:rsidR="003E3D79">
        <w:t>2017;</w:t>
      </w:r>
      <w:proofErr w:type="gramEnd"/>
      <w:r w:rsidR="003E3D79" w:rsidRPr="003E3D79">
        <w:t>(4):377-387.</w:t>
      </w:r>
    </w:p>
    <w:p w:rsidR="003E3D79" w:rsidRDefault="003E3D79" w:rsidP="003E3D79">
      <w:pPr>
        <w:autoSpaceDE w:val="0"/>
        <w:autoSpaceDN w:val="0"/>
        <w:adjustRightInd w:val="0"/>
        <w:spacing w:after="0" w:line="240" w:lineRule="auto"/>
        <w:jc w:val="both"/>
      </w:pPr>
    </w:p>
    <w:p w:rsidR="003E3D79" w:rsidRDefault="00917B0F" w:rsidP="003E3D79">
      <w:pPr>
        <w:autoSpaceDE w:val="0"/>
        <w:autoSpaceDN w:val="0"/>
        <w:adjustRightInd w:val="0"/>
        <w:spacing w:after="0" w:line="240" w:lineRule="auto"/>
        <w:jc w:val="both"/>
      </w:pPr>
      <w:r>
        <w:t>47</w:t>
      </w:r>
      <w:r w:rsidR="003E3D79">
        <w:t xml:space="preserve">. Von </w:t>
      </w:r>
      <w:proofErr w:type="spellStart"/>
      <w:r w:rsidR="003E3D79">
        <w:t>Lilienfeld-Toal</w:t>
      </w:r>
      <w:proofErr w:type="spellEnd"/>
      <w:r w:rsidR="003E3D79">
        <w:t xml:space="preserve"> M, Berger A, </w:t>
      </w:r>
      <w:proofErr w:type="spellStart"/>
      <w:r w:rsidR="003E3D79">
        <w:t>Christopeit</w:t>
      </w:r>
      <w:proofErr w:type="spellEnd"/>
      <w:r w:rsidR="003E3D79">
        <w:t xml:space="preserve"> M, et al. Community acquired respiratory virus infections in cancer patients—Guideline on diagnosis and management by the Infectious Diseases Working Party of the German Society for haematology and Medical Oncology. European Journal of Cancer 2016</w:t>
      </w:r>
      <w:proofErr w:type="gramStart"/>
      <w:r w:rsidR="003E3D79">
        <w:t>;67:200</w:t>
      </w:r>
      <w:proofErr w:type="gramEnd"/>
      <w:r w:rsidR="003E3D79">
        <w:t xml:space="preserve">–12. </w:t>
      </w:r>
    </w:p>
    <w:p w:rsidR="003E3D79" w:rsidRDefault="003E3D79" w:rsidP="003E3D79">
      <w:pPr>
        <w:autoSpaceDE w:val="0"/>
        <w:autoSpaceDN w:val="0"/>
        <w:adjustRightInd w:val="0"/>
        <w:spacing w:after="0" w:line="240" w:lineRule="auto"/>
        <w:jc w:val="both"/>
      </w:pPr>
    </w:p>
    <w:p w:rsidR="003E3D79" w:rsidRDefault="00917B0F" w:rsidP="003E3D79">
      <w:pPr>
        <w:autoSpaceDE w:val="0"/>
        <w:autoSpaceDN w:val="0"/>
        <w:adjustRightInd w:val="0"/>
        <w:spacing w:after="0" w:line="240" w:lineRule="auto"/>
        <w:jc w:val="both"/>
      </w:pPr>
      <w:r>
        <w:t>48</w:t>
      </w:r>
      <w:r w:rsidR="003E3D79">
        <w:t xml:space="preserve">. </w:t>
      </w:r>
      <w:proofErr w:type="spellStart"/>
      <w:r w:rsidR="003E3D79">
        <w:t>Grimley</w:t>
      </w:r>
      <w:proofErr w:type="spellEnd"/>
      <w:r w:rsidR="003E3D79">
        <w:t xml:space="preserve"> M, </w:t>
      </w:r>
      <w:proofErr w:type="spellStart"/>
      <w:r w:rsidR="003E3D79">
        <w:t>Chemaly</w:t>
      </w:r>
      <w:proofErr w:type="spellEnd"/>
      <w:r w:rsidR="003E3D79">
        <w:t xml:space="preserve"> R, </w:t>
      </w:r>
      <w:proofErr w:type="spellStart"/>
      <w:r w:rsidR="003E3D79">
        <w:t>Englund</w:t>
      </w:r>
      <w:proofErr w:type="spellEnd"/>
      <w:r w:rsidR="003E3D79">
        <w:t xml:space="preserve"> J, et al. </w:t>
      </w:r>
      <w:proofErr w:type="spellStart"/>
      <w:r w:rsidR="003E3D79">
        <w:t>Brincidofovir</w:t>
      </w:r>
      <w:proofErr w:type="spellEnd"/>
      <w:r w:rsidR="003E3D79">
        <w:t xml:space="preserve"> for Asymptomatic Adenovirus Viremia in </w:t>
      </w:r>
      <w:proofErr w:type="spellStart"/>
      <w:r w:rsidR="003E3D79">
        <w:t>Pediatric</w:t>
      </w:r>
      <w:proofErr w:type="spellEnd"/>
      <w:r w:rsidR="003E3D79">
        <w:t xml:space="preserve"> and Adult Allogeneic Hematopoietic Cell Transplant Recipients: A Randomized Placebo-Controlled Phase II Trial. Biology of blood and marrow transplantation : journal of the American Society for Blood and Marrow Transplantation 2017</w:t>
      </w:r>
      <w:proofErr w:type="gramStart"/>
      <w:r w:rsidR="003E3D79">
        <w:t>;23:512</w:t>
      </w:r>
      <w:proofErr w:type="gramEnd"/>
      <w:r w:rsidR="003E3D79">
        <w:t>–21.</w:t>
      </w:r>
    </w:p>
    <w:p w:rsidR="003E3D79" w:rsidRDefault="003E3D79" w:rsidP="003E3D79">
      <w:pPr>
        <w:autoSpaceDE w:val="0"/>
        <w:autoSpaceDN w:val="0"/>
        <w:adjustRightInd w:val="0"/>
        <w:spacing w:after="0" w:line="240" w:lineRule="auto"/>
        <w:jc w:val="both"/>
      </w:pPr>
    </w:p>
    <w:p w:rsidR="003E3D79" w:rsidRDefault="00917B0F" w:rsidP="003E3D79">
      <w:pPr>
        <w:autoSpaceDE w:val="0"/>
        <w:autoSpaceDN w:val="0"/>
        <w:adjustRightInd w:val="0"/>
        <w:spacing w:after="0" w:line="240" w:lineRule="auto"/>
        <w:jc w:val="both"/>
      </w:pPr>
      <w:r>
        <w:t>49</w:t>
      </w:r>
      <w:r w:rsidR="003E3D79">
        <w:t xml:space="preserve">. </w:t>
      </w:r>
      <w:proofErr w:type="spellStart"/>
      <w:r w:rsidR="003E3D79">
        <w:t>Florescu</w:t>
      </w:r>
      <w:proofErr w:type="spellEnd"/>
      <w:r w:rsidR="003E3D79">
        <w:t xml:space="preserve"> D, </w:t>
      </w:r>
      <w:proofErr w:type="spellStart"/>
      <w:r w:rsidR="003E3D79">
        <w:t>Pergam</w:t>
      </w:r>
      <w:proofErr w:type="spellEnd"/>
      <w:r w:rsidR="003E3D79">
        <w:t xml:space="preserve"> S, Neely M, et al. Safety and Efficacy of CMX001 as Salvage Therapy for Severe Adenovirus Infections in Immunocompromised Patients. Biology of Blood and Marrow Transplantation 2012</w:t>
      </w:r>
      <w:proofErr w:type="gramStart"/>
      <w:r w:rsidR="003E3D79">
        <w:t>;18:731</w:t>
      </w:r>
      <w:proofErr w:type="gramEnd"/>
      <w:r w:rsidR="003E3D79">
        <w:t xml:space="preserve">–8. </w:t>
      </w:r>
    </w:p>
    <w:p w:rsidR="003E3D79" w:rsidRDefault="003E3D79" w:rsidP="003E3D79">
      <w:pPr>
        <w:autoSpaceDE w:val="0"/>
        <w:autoSpaceDN w:val="0"/>
        <w:adjustRightInd w:val="0"/>
        <w:spacing w:after="0" w:line="240" w:lineRule="auto"/>
        <w:jc w:val="both"/>
      </w:pPr>
    </w:p>
    <w:p w:rsidR="001E6E72" w:rsidRDefault="00917B0F" w:rsidP="003E3D79">
      <w:pPr>
        <w:autoSpaceDE w:val="0"/>
        <w:autoSpaceDN w:val="0"/>
        <w:adjustRightInd w:val="0"/>
        <w:spacing w:after="0" w:line="240" w:lineRule="auto"/>
        <w:jc w:val="both"/>
      </w:pPr>
      <w:r>
        <w:t>50</w:t>
      </w:r>
      <w:r w:rsidR="003E3D79">
        <w:t>. Brendish NJ, Malachira AK, Armstrong L, et al. Routine molecular point-of-care testing for respiratory viruses in adults presenting to hospital with acute respiratory illness (</w:t>
      </w:r>
      <w:proofErr w:type="spellStart"/>
      <w:r w:rsidR="003E3D79">
        <w:t>ResPOC</w:t>
      </w:r>
      <w:proofErr w:type="spellEnd"/>
      <w:r w:rsidR="003E3D79">
        <w:t xml:space="preserve">): a pragmatic, open-label, randomised controlled trial. Lancet </w:t>
      </w:r>
      <w:proofErr w:type="spellStart"/>
      <w:r w:rsidR="003E3D79">
        <w:t>Respir</w:t>
      </w:r>
      <w:proofErr w:type="spellEnd"/>
      <w:r w:rsidR="003E3D79">
        <w:t xml:space="preserve"> Med </w:t>
      </w:r>
      <w:proofErr w:type="gramStart"/>
      <w:r w:rsidR="003E3D79">
        <w:t>2017;</w:t>
      </w:r>
      <w:proofErr w:type="gramEnd"/>
      <w:r w:rsidR="003E3D79">
        <w:t>(5):401-411.</w:t>
      </w:r>
    </w:p>
    <w:p w:rsidR="001E6E72" w:rsidRDefault="001E6E72" w:rsidP="001E6E72">
      <w:pPr>
        <w:autoSpaceDE w:val="0"/>
        <w:autoSpaceDN w:val="0"/>
        <w:adjustRightInd w:val="0"/>
        <w:spacing w:after="0" w:line="240" w:lineRule="auto"/>
        <w:jc w:val="both"/>
      </w:pPr>
      <w:r>
        <w:t xml:space="preserve">*Landmark study demonstrating the ability of point-of-care testing for respiratory viruses to direct antiviral therapy in hospitalised </w:t>
      </w:r>
      <w:bookmarkStart w:id="0" w:name="_GoBack"/>
      <w:bookmarkEnd w:id="0"/>
      <w:r>
        <w:t>patients.</w:t>
      </w:r>
    </w:p>
    <w:p w:rsidR="001E6E72" w:rsidRDefault="001E6E72" w:rsidP="003E3D79">
      <w:pPr>
        <w:autoSpaceDE w:val="0"/>
        <w:autoSpaceDN w:val="0"/>
        <w:adjustRightInd w:val="0"/>
        <w:spacing w:after="0" w:line="240" w:lineRule="auto"/>
        <w:jc w:val="both"/>
      </w:pPr>
    </w:p>
    <w:p w:rsidR="00A233B7" w:rsidRPr="001E6E72" w:rsidRDefault="001E6E72" w:rsidP="001E6E72">
      <w:pPr>
        <w:autoSpaceDE w:val="0"/>
        <w:autoSpaceDN w:val="0"/>
        <w:adjustRightInd w:val="0"/>
        <w:spacing w:after="0" w:line="240" w:lineRule="auto"/>
      </w:pPr>
      <w:r>
        <w:t xml:space="preserve">51. </w:t>
      </w:r>
      <w:r w:rsidRPr="001E6E72">
        <w:t xml:space="preserve">Brendish NJ, Schiff HF, Clark TW. </w:t>
      </w:r>
      <w:r>
        <w:t>Point-of-care testing for respiratory viruses in adults: The current landscape and future potential.</w:t>
      </w:r>
      <w:r>
        <w:t xml:space="preserve"> </w:t>
      </w:r>
      <w:r>
        <w:t>J Infect. 2015 Nov</w:t>
      </w:r>
      <w:proofErr w:type="gramStart"/>
      <w:r>
        <w:t>;71</w:t>
      </w:r>
      <w:proofErr w:type="gramEnd"/>
      <w:r>
        <w:t>(5):501-10.</w:t>
      </w:r>
      <w:r w:rsidR="00A233B7">
        <w:br/>
      </w:r>
    </w:p>
    <w:p w:rsidR="00A233B7" w:rsidRPr="00A233B7" w:rsidRDefault="00A233B7" w:rsidP="00A233B7">
      <w:pPr>
        <w:autoSpaceDE w:val="0"/>
        <w:autoSpaceDN w:val="0"/>
        <w:adjustRightInd w:val="0"/>
        <w:spacing w:after="0" w:line="240" w:lineRule="auto"/>
        <w:rPr>
          <w:rFonts w:ascii="Calibri" w:hAnsi="Calibri" w:cs="Times New Roman"/>
          <w:noProof/>
          <w:szCs w:val="24"/>
          <w:lang w:bidi="ar-SA"/>
        </w:rPr>
      </w:pPr>
    </w:p>
    <w:p w:rsidR="00F67A87" w:rsidRDefault="00F67A87" w:rsidP="00F67A87">
      <w:pPr>
        <w:autoSpaceDE w:val="0"/>
        <w:autoSpaceDN w:val="0"/>
        <w:adjustRightInd w:val="0"/>
        <w:spacing w:after="0" w:line="240" w:lineRule="auto"/>
      </w:pPr>
    </w:p>
    <w:sectPr w:rsidR="00F67A87" w:rsidSect="0015569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62" w:rsidRDefault="00EA2F62" w:rsidP="00700572">
      <w:pPr>
        <w:spacing w:after="0" w:line="240" w:lineRule="auto"/>
      </w:pPr>
      <w:r>
        <w:separator/>
      </w:r>
    </w:p>
  </w:endnote>
  <w:endnote w:type="continuationSeparator" w:id="0">
    <w:p w:rsidR="00EA2F62" w:rsidRDefault="00EA2F62" w:rsidP="0070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62" w:rsidRDefault="00EA2F62" w:rsidP="00700572">
      <w:pPr>
        <w:spacing w:after="0" w:line="240" w:lineRule="auto"/>
      </w:pPr>
      <w:r>
        <w:separator/>
      </w:r>
    </w:p>
  </w:footnote>
  <w:footnote w:type="continuationSeparator" w:id="0">
    <w:p w:rsidR="00EA2F62" w:rsidRDefault="00EA2F62" w:rsidP="00700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5831"/>
    <w:multiLevelType w:val="singleLevel"/>
    <w:tmpl w:val="0809000F"/>
    <w:lvl w:ilvl="0">
      <w:start w:val="1"/>
      <w:numFmt w:val="decimal"/>
      <w:lvlText w:val="%1."/>
      <w:lvlJc w:val="left"/>
      <w:pPr>
        <w:tabs>
          <w:tab w:val="num" w:pos="360"/>
        </w:tabs>
        <w:ind w:left="360" w:hanging="360"/>
      </w:pPr>
    </w:lvl>
  </w:abstractNum>
  <w:abstractNum w:abstractNumId="1">
    <w:nsid w:val="2C8655FB"/>
    <w:multiLevelType w:val="singleLevel"/>
    <w:tmpl w:val="0809000F"/>
    <w:lvl w:ilvl="0">
      <w:start w:val="1"/>
      <w:numFmt w:val="decimal"/>
      <w:lvlText w:val="%1."/>
      <w:lvlJc w:val="left"/>
      <w:pPr>
        <w:tabs>
          <w:tab w:val="num" w:pos="360"/>
        </w:tabs>
        <w:ind w:left="360" w:hanging="360"/>
      </w:pPr>
    </w:lvl>
  </w:abstractNum>
  <w:abstractNum w:abstractNumId="2">
    <w:nsid w:val="51503B82"/>
    <w:multiLevelType w:val="multilevel"/>
    <w:tmpl w:val="533EEB70"/>
    <w:lvl w:ilvl="0">
      <w:start w:val="1"/>
      <w:numFmt w:val="decimal"/>
      <w:lvlText w:val="%1"/>
      <w:lvlJc w:val="left"/>
      <w:pPr>
        <w:tabs>
          <w:tab w:val="num" w:pos="2016"/>
        </w:tabs>
        <w:ind w:left="2016" w:hanging="2016"/>
      </w:pPr>
    </w:lvl>
    <w:lvl w:ilvl="1">
      <w:start w:val="1"/>
      <w:numFmt w:val="decimal"/>
      <w:lvlText w:val="%1.%2"/>
      <w:lvlJc w:val="left"/>
      <w:pPr>
        <w:tabs>
          <w:tab w:val="num" w:pos="2016"/>
        </w:tabs>
        <w:ind w:left="2016" w:hanging="2016"/>
      </w:pPr>
    </w:lvl>
    <w:lvl w:ilvl="2">
      <w:start w:val="1"/>
      <w:numFmt w:val="decimal"/>
      <w:lvlRestart w:val="0"/>
      <w:lvlText w:val="%1.%2.%3"/>
      <w:lvlJc w:val="left"/>
      <w:pPr>
        <w:tabs>
          <w:tab w:val="num" w:pos="2016"/>
        </w:tabs>
        <w:ind w:left="2016" w:hanging="2016"/>
      </w:pPr>
    </w:lvl>
    <w:lvl w:ilvl="3">
      <w:start w:val="1"/>
      <w:numFmt w:val="decimal"/>
      <w:lvlText w:val="%1.%2.%3.%4"/>
      <w:lvlJc w:val="left"/>
      <w:pPr>
        <w:tabs>
          <w:tab w:val="num" w:pos="1021"/>
        </w:tabs>
        <w:ind w:left="1021" w:hanging="1021"/>
      </w:pPr>
    </w:lvl>
    <w:lvl w:ilvl="4">
      <w:start w:val="1"/>
      <w:numFmt w:val="decimal"/>
      <w:lvlText w:val="%1.%2.%3.%4.%5"/>
      <w:lvlJc w:val="left"/>
      <w:pPr>
        <w:tabs>
          <w:tab w:val="num" w:pos="1440"/>
        </w:tabs>
        <w:ind w:left="1021" w:hanging="1021"/>
      </w:pPr>
    </w:lvl>
    <w:lvl w:ilvl="5">
      <w:start w:val="1"/>
      <w:numFmt w:val="decimal"/>
      <w:lvlText w:val="%1.%2.%3.%4.%5.%6"/>
      <w:lvlJc w:val="left"/>
      <w:pPr>
        <w:tabs>
          <w:tab w:val="num" w:pos="1440"/>
        </w:tabs>
        <w:ind w:left="1021" w:hanging="1021"/>
      </w:pPr>
    </w:lvl>
    <w:lvl w:ilvl="6">
      <w:start w:val="1"/>
      <w:numFmt w:val="decimal"/>
      <w:lvlText w:val="%1.%2.%3.%4.%5.%6.%7"/>
      <w:lvlJc w:val="left"/>
      <w:pPr>
        <w:tabs>
          <w:tab w:val="num" w:pos="1800"/>
        </w:tabs>
        <w:ind w:left="1021" w:hanging="1021"/>
      </w:pPr>
    </w:lvl>
    <w:lvl w:ilvl="7">
      <w:start w:val="1"/>
      <w:numFmt w:val="decimal"/>
      <w:lvlText w:val="%1.%2.%3.%4.%5.%6.%7.%8"/>
      <w:lvlJc w:val="left"/>
      <w:pPr>
        <w:tabs>
          <w:tab w:val="num" w:pos="1800"/>
        </w:tabs>
        <w:ind w:left="1021" w:hanging="1021"/>
      </w:pPr>
    </w:lvl>
    <w:lvl w:ilvl="8">
      <w:start w:val="1"/>
      <w:numFmt w:val="decimal"/>
      <w:lvlText w:val="%1.%2.%3.%4.%5.%6.%7.%8.%9"/>
      <w:lvlJc w:val="left"/>
      <w:pPr>
        <w:tabs>
          <w:tab w:val="num" w:pos="2160"/>
        </w:tabs>
        <w:ind w:left="1021" w:hanging="1021"/>
      </w:pPr>
    </w:lvl>
  </w:abstractNum>
  <w:abstractNum w:abstractNumId="3">
    <w:nsid w:val="60C529B8"/>
    <w:multiLevelType w:val="hybridMultilevel"/>
    <w:tmpl w:val="4DB0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E69A9"/>
    <w:rsid w:val="00003E3E"/>
    <w:rsid w:val="000055AD"/>
    <w:rsid w:val="000376FE"/>
    <w:rsid w:val="00042F2E"/>
    <w:rsid w:val="00055587"/>
    <w:rsid w:val="00060170"/>
    <w:rsid w:val="00064141"/>
    <w:rsid w:val="0006575C"/>
    <w:rsid w:val="00065E3E"/>
    <w:rsid w:val="000749D6"/>
    <w:rsid w:val="000809B4"/>
    <w:rsid w:val="0008774D"/>
    <w:rsid w:val="00092829"/>
    <w:rsid w:val="0009642F"/>
    <w:rsid w:val="000A3170"/>
    <w:rsid w:val="000A4B72"/>
    <w:rsid w:val="000A72AF"/>
    <w:rsid w:val="000B1D81"/>
    <w:rsid w:val="000E32F6"/>
    <w:rsid w:val="000F37FC"/>
    <w:rsid w:val="000F5575"/>
    <w:rsid w:val="000F73EF"/>
    <w:rsid w:val="0010195C"/>
    <w:rsid w:val="00112CE7"/>
    <w:rsid w:val="0013200F"/>
    <w:rsid w:val="00137349"/>
    <w:rsid w:val="001441C2"/>
    <w:rsid w:val="0015569B"/>
    <w:rsid w:val="00162997"/>
    <w:rsid w:val="00166D54"/>
    <w:rsid w:val="00176012"/>
    <w:rsid w:val="00184683"/>
    <w:rsid w:val="001A7B89"/>
    <w:rsid w:val="001B1F00"/>
    <w:rsid w:val="001B6944"/>
    <w:rsid w:val="001B7B02"/>
    <w:rsid w:val="001D6523"/>
    <w:rsid w:val="001E6E72"/>
    <w:rsid w:val="001E7120"/>
    <w:rsid w:val="001F5AC8"/>
    <w:rsid w:val="00210D15"/>
    <w:rsid w:val="00217C90"/>
    <w:rsid w:val="00236CFA"/>
    <w:rsid w:val="002510C5"/>
    <w:rsid w:val="00254ED6"/>
    <w:rsid w:val="00256BC9"/>
    <w:rsid w:val="00262885"/>
    <w:rsid w:val="00272205"/>
    <w:rsid w:val="00296AC2"/>
    <w:rsid w:val="00296D36"/>
    <w:rsid w:val="002A786D"/>
    <w:rsid w:val="002B75A6"/>
    <w:rsid w:val="002C0269"/>
    <w:rsid w:val="002E535A"/>
    <w:rsid w:val="002F4460"/>
    <w:rsid w:val="00332C7F"/>
    <w:rsid w:val="00340246"/>
    <w:rsid w:val="00361126"/>
    <w:rsid w:val="0036438E"/>
    <w:rsid w:val="003737E1"/>
    <w:rsid w:val="00374B7C"/>
    <w:rsid w:val="00381335"/>
    <w:rsid w:val="00384094"/>
    <w:rsid w:val="003A4189"/>
    <w:rsid w:val="003B58B8"/>
    <w:rsid w:val="003B61AC"/>
    <w:rsid w:val="003B6946"/>
    <w:rsid w:val="003C0F4E"/>
    <w:rsid w:val="003C1E42"/>
    <w:rsid w:val="003C7688"/>
    <w:rsid w:val="003E1034"/>
    <w:rsid w:val="003E3D79"/>
    <w:rsid w:val="003F2763"/>
    <w:rsid w:val="00403F67"/>
    <w:rsid w:val="004119EB"/>
    <w:rsid w:val="00416266"/>
    <w:rsid w:val="004510D9"/>
    <w:rsid w:val="004661B1"/>
    <w:rsid w:val="004826FD"/>
    <w:rsid w:val="004B50C1"/>
    <w:rsid w:val="004D6507"/>
    <w:rsid w:val="004D6653"/>
    <w:rsid w:val="00536AEC"/>
    <w:rsid w:val="005414F0"/>
    <w:rsid w:val="00542EB1"/>
    <w:rsid w:val="00545764"/>
    <w:rsid w:val="00547970"/>
    <w:rsid w:val="00553534"/>
    <w:rsid w:val="0055536A"/>
    <w:rsid w:val="005650B7"/>
    <w:rsid w:val="00575032"/>
    <w:rsid w:val="00587C2B"/>
    <w:rsid w:val="00591066"/>
    <w:rsid w:val="0059649D"/>
    <w:rsid w:val="005A0661"/>
    <w:rsid w:val="005A51CF"/>
    <w:rsid w:val="005B3477"/>
    <w:rsid w:val="005C4021"/>
    <w:rsid w:val="005E0239"/>
    <w:rsid w:val="005F2C0B"/>
    <w:rsid w:val="006015CD"/>
    <w:rsid w:val="00601D12"/>
    <w:rsid w:val="00617E87"/>
    <w:rsid w:val="006263B3"/>
    <w:rsid w:val="00643525"/>
    <w:rsid w:val="00644A24"/>
    <w:rsid w:val="00676C51"/>
    <w:rsid w:val="00681B89"/>
    <w:rsid w:val="00683DAF"/>
    <w:rsid w:val="006A2ABB"/>
    <w:rsid w:val="006C360C"/>
    <w:rsid w:val="006E228E"/>
    <w:rsid w:val="00700572"/>
    <w:rsid w:val="007215BA"/>
    <w:rsid w:val="00722E8D"/>
    <w:rsid w:val="007268C7"/>
    <w:rsid w:val="00733854"/>
    <w:rsid w:val="007407FB"/>
    <w:rsid w:val="007430E6"/>
    <w:rsid w:val="00757189"/>
    <w:rsid w:val="0076685A"/>
    <w:rsid w:val="007775A2"/>
    <w:rsid w:val="00792F07"/>
    <w:rsid w:val="007A2472"/>
    <w:rsid w:val="007B104F"/>
    <w:rsid w:val="007D0AFE"/>
    <w:rsid w:val="007D21AD"/>
    <w:rsid w:val="007D35A8"/>
    <w:rsid w:val="007D45BD"/>
    <w:rsid w:val="007E388C"/>
    <w:rsid w:val="007E69A9"/>
    <w:rsid w:val="007F6631"/>
    <w:rsid w:val="008062FB"/>
    <w:rsid w:val="008151BE"/>
    <w:rsid w:val="00833A3F"/>
    <w:rsid w:val="0084432F"/>
    <w:rsid w:val="0085002A"/>
    <w:rsid w:val="0085261A"/>
    <w:rsid w:val="008640F3"/>
    <w:rsid w:val="008702E0"/>
    <w:rsid w:val="008924EE"/>
    <w:rsid w:val="008973FE"/>
    <w:rsid w:val="008A0BE5"/>
    <w:rsid w:val="008A3323"/>
    <w:rsid w:val="008B2C10"/>
    <w:rsid w:val="008D295F"/>
    <w:rsid w:val="008D6901"/>
    <w:rsid w:val="008E5250"/>
    <w:rsid w:val="009028F6"/>
    <w:rsid w:val="00912194"/>
    <w:rsid w:val="00917B0F"/>
    <w:rsid w:val="00970F4B"/>
    <w:rsid w:val="0097178D"/>
    <w:rsid w:val="009763A0"/>
    <w:rsid w:val="00993796"/>
    <w:rsid w:val="009A153A"/>
    <w:rsid w:val="009A1CA1"/>
    <w:rsid w:val="009A3D0A"/>
    <w:rsid w:val="009B7E97"/>
    <w:rsid w:val="009C681A"/>
    <w:rsid w:val="009D41ED"/>
    <w:rsid w:val="009D5677"/>
    <w:rsid w:val="009D7AFB"/>
    <w:rsid w:val="009E6AC3"/>
    <w:rsid w:val="009F3731"/>
    <w:rsid w:val="009F4528"/>
    <w:rsid w:val="009F725C"/>
    <w:rsid w:val="00A01A1F"/>
    <w:rsid w:val="00A233B7"/>
    <w:rsid w:val="00A42265"/>
    <w:rsid w:val="00A5284C"/>
    <w:rsid w:val="00A54764"/>
    <w:rsid w:val="00A550B4"/>
    <w:rsid w:val="00A57427"/>
    <w:rsid w:val="00A6796A"/>
    <w:rsid w:val="00A752F9"/>
    <w:rsid w:val="00AB040D"/>
    <w:rsid w:val="00AB1DA0"/>
    <w:rsid w:val="00AD266A"/>
    <w:rsid w:val="00AD40D9"/>
    <w:rsid w:val="00AD532C"/>
    <w:rsid w:val="00AE6864"/>
    <w:rsid w:val="00B21243"/>
    <w:rsid w:val="00B32FD1"/>
    <w:rsid w:val="00B46463"/>
    <w:rsid w:val="00B563CB"/>
    <w:rsid w:val="00B60F6B"/>
    <w:rsid w:val="00B6458A"/>
    <w:rsid w:val="00B857F9"/>
    <w:rsid w:val="00B9565C"/>
    <w:rsid w:val="00B96764"/>
    <w:rsid w:val="00BA040E"/>
    <w:rsid w:val="00BA5788"/>
    <w:rsid w:val="00BB3A7A"/>
    <w:rsid w:val="00BC250F"/>
    <w:rsid w:val="00BC4488"/>
    <w:rsid w:val="00BC632A"/>
    <w:rsid w:val="00BE17B4"/>
    <w:rsid w:val="00BE35EF"/>
    <w:rsid w:val="00BF089B"/>
    <w:rsid w:val="00BF6C2B"/>
    <w:rsid w:val="00BF7CC5"/>
    <w:rsid w:val="00C041C3"/>
    <w:rsid w:val="00C203BB"/>
    <w:rsid w:val="00C24956"/>
    <w:rsid w:val="00C30347"/>
    <w:rsid w:val="00C30C31"/>
    <w:rsid w:val="00C4346D"/>
    <w:rsid w:val="00C52473"/>
    <w:rsid w:val="00C67C35"/>
    <w:rsid w:val="00C70AF6"/>
    <w:rsid w:val="00C7215B"/>
    <w:rsid w:val="00C7501A"/>
    <w:rsid w:val="00C7608C"/>
    <w:rsid w:val="00C805D6"/>
    <w:rsid w:val="00C806CE"/>
    <w:rsid w:val="00C829E4"/>
    <w:rsid w:val="00C91B3C"/>
    <w:rsid w:val="00C97D08"/>
    <w:rsid w:val="00CB27CF"/>
    <w:rsid w:val="00CB3CF1"/>
    <w:rsid w:val="00CC07A0"/>
    <w:rsid w:val="00CD3412"/>
    <w:rsid w:val="00CF5169"/>
    <w:rsid w:val="00D044F0"/>
    <w:rsid w:val="00D16ED3"/>
    <w:rsid w:val="00D45F5C"/>
    <w:rsid w:val="00D859A1"/>
    <w:rsid w:val="00D8627A"/>
    <w:rsid w:val="00DC09FB"/>
    <w:rsid w:val="00DC47C6"/>
    <w:rsid w:val="00DD098C"/>
    <w:rsid w:val="00DD58E8"/>
    <w:rsid w:val="00DE012D"/>
    <w:rsid w:val="00DE16DC"/>
    <w:rsid w:val="00E138A2"/>
    <w:rsid w:val="00E3329A"/>
    <w:rsid w:val="00E82118"/>
    <w:rsid w:val="00EA2F62"/>
    <w:rsid w:val="00EF05AD"/>
    <w:rsid w:val="00F017BD"/>
    <w:rsid w:val="00F17B55"/>
    <w:rsid w:val="00F31E5D"/>
    <w:rsid w:val="00F35FE7"/>
    <w:rsid w:val="00F37662"/>
    <w:rsid w:val="00F51528"/>
    <w:rsid w:val="00F55835"/>
    <w:rsid w:val="00F568EA"/>
    <w:rsid w:val="00F66AC5"/>
    <w:rsid w:val="00F67A87"/>
    <w:rsid w:val="00F67FC2"/>
    <w:rsid w:val="00F75623"/>
    <w:rsid w:val="00F82A29"/>
    <w:rsid w:val="00F85122"/>
    <w:rsid w:val="00F90861"/>
    <w:rsid w:val="00F945A8"/>
    <w:rsid w:val="00F95DB1"/>
    <w:rsid w:val="00F9680B"/>
    <w:rsid w:val="00FA3BEE"/>
    <w:rsid w:val="00FB795A"/>
    <w:rsid w:val="00FD7721"/>
    <w:rsid w:val="00FE7580"/>
    <w:rsid w:val="00FF65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63"/>
    <w:rPr>
      <w:lang w:val="en-GB"/>
    </w:rPr>
  </w:style>
  <w:style w:type="paragraph" w:styleId="Heading1">
    <w:name w:val="heading 1"/>
    <w:basedOn w:val="Normal"/>
    <w:next w:val="Normal"/>
    <w:link w:val="Heading1Char"/>
    <w:uiPriority w:val="9"/>
    <w:qFormat/>
    <w:rsid w:val="00B4646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4646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4646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464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464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B464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464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464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464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82118"/>
    <w:pPr>
      <w:tabs>
        <w:tab w:val="center" w:pos="4153"/>
        <w:tab w:val="right" w:pos="8306"/>
      </w:tabs>
    </w:pPr>
    <w:rPr>
      <w:sz w:val="16"/>
    </w:rPr>
  </w:style>
  <w:style w:type="paragraph" w:styleId="Header">
    <w:name w:val="header"/>
    <w:basedOn w:val="Normal"/>
    <w:semiHidden/>
    <w:rsid w:val="00E82118"/>
    <w:pPr>
      <w:tabs>
        <w:tab w:val="center" w:pos="4153"/>
        <w:tab w:val="right" w:pos="8306"/>
      </w:tabs>
    </w:pPr>
    <w:rPr>
      <w:i/>
      <w:sz w:val="20"/>
    </w:rPr>
  </w:style>
  <w:style w:type="character" w:customStyle="1" w:styleId="Heading1Char">
    <w:name w:val="Heading 1 Char"/>
    <w:basedOn w:val="DefaultParagraphFont"/>
    <w:link w:val="Heading1"/>
    <w:uiPriority w:val="9"/>
    <w:rsid w:val="00B4646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4646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4646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464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464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B464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B464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B464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B4646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4646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4646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464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6463"/>
    <w:rPr>
      <w:rFonts w:asciiTheme="majorHAnsi" w:eastAsiaTheme="majorEastAsia" w:hAnsiTheme="majorHAnsi" w:cstheme="majorBidi"/>
      <w:i/>
      <w:iCs/>
      <w:spacing w:val="13"/>
      <w:sz w:val="24"/>
      <w:szCs w:val="24"/>
    </w:rPr>
  </w:style>
  <w:style w:type="character" w:styleId="Strong">
    <w:name w:val="Strong"/>
    <w:uiPriority w:val="22"/>
    <w:qFormat/>
    <w:rsid w:val="00B46463"/>
    <w:rPr>
      <w:b/>
      <w:bCs/>
    </w:rPr>
  </w:style>
  <w:style w:type="character" w:styleId="Emphasis">
    <w:name w:val="Emphasis"/>
    <w:uiPriority w:val="20"/>
    <w:qFormat/>
    <w:rsid w:val="00B46463"/>
    <w:rPr>
      <w:b/>
      <w:bCs/>
      <w:i/>
      <w:iCs/>
      <w:spacing w:val="10"/>
      <w:bdr w:val="none" w:sz="0" w:space="0" w:color="auto"/>
      <w:shd w:val="clear" w:color="auto" w:fill="auto"/>
    </w:rPr>
  </w:style>
  <w:style w:type="paragraph" w:styleId="NoSpacing">
    <w:name w:val="No Spacing"/>
    <w:basedOn w:val="Normal"/>
    <w:uiPriority w:val="1"/>
    <w:qFormat/>
    <w:rsid w:val="00B46463"/>
    <w:pPr>
      <w:spacing w:after="0" w:line="240" w:lineRule="auto"/>
    </w:pPr>
  </w:style>
  <w:style w:type="paragraph" w:styleId="ListParagraph">
    <w:name w:val="List Paragraph"/>
    <w:basedOn w:val="Normal"/>
    <w:uiPriority w:val="34"/>
    <w:qFormat/>
    <w:rsid w:val="00B46463"/>
    <w:pPr>
      <w:ind w:left="720"/>
      <w:contextualSpacing/>
    </w:pPr>
  </w:style>
  <w:style w:type="paragraph" w:styleId="Quote">
    <w:name w:val="Quote"/>
    <w:basedOn w:val="Normal"/>
    <w:next w:val="Normal"/>
    <w:link w:val="QuoteChar"/>
    <w:uiPriority w:val="29"/>
    <w:qFormat/>
    <w:rsid w:val="00B46463"/>
    <w:pPr>
      <w:spacing w:before="200" w:after="0"/>
      <w:ind w:left="360" w:right="360"/>
    </w:pPr>
    <w:rPr>
      <w:i/>
      <w:iCs/>
    </w:rPr>
  </w:style>
  <w:style w:type="character" w:customStyle="1" w:styleId="QuoteChar">
    <w:name w:val="Quote Char"/>
    <w:basedOn w:val="DefaultParagraphFont"/>
    <w:link w:val="Quote"/>
    <w:uiPriority w:val="29"/>
    <w:rsid w:val="00B46463"/>
    <w:rPr>
      <w:i/>
      <w:iCs/>
    </w:rPr>
  </w:style>
  <w:style w:type="paragraph" w:styleId="IntenseQuote">
    <w:name w:val="Intense Quote"/>
    <w:basedOn w:val="Normal"/>
    <w:next w:val="Normal"/>
    <w:link w:val="IntenseQuoteChar"/>
    <w:uiPriority w:val="30"/>
    <w:qFormat/>
    <w:rsid w:val="00B464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46463"/>
    <w:rPr>
      <w:b/>
      <w:bCs/>
      <w:i/>
      <w:iCs/>
    </w:rPr>
  </w:style>
  <w:style w:type="character" w:styleId="SubtleEmphasis">
    <w:name w:val="Subtle Emphasis"/>
    <w:uiPriority w:val="19"/>
    <w:qFormat/>
    <w:rsid w:val="00B46463"/>
    <w:rPr>
      <w:i/>
      <w:iCs/>
    </w:rPr>
  </w:style>
  <w:style w:type="character" w:styleId="IntenseEmphasis">
    <w:name w:val="Intense Emphasis"/>
    <w:uiPriority w:val="21"/>
    <w:qFormat/>
    <w:rsid w:val="00B46463"/>
    <w:rPr>
      <w:b/>
      <w:bCs/>
    </w:rPr>
  </w:style>
  <w:style w:type="character" w:styleId="SubtleReference">
    <w:name w:val="Subtle Reference"/>
    <w:uiPriority w:val="31"/>
    <w:qFormat/>
    <w:rsid w:val="00B46463"/>
    <w:rPr>
      <w:smallCaps/>
    </w:rPr>
  </w:style>
  <w:style w:type="character" w:styleId="IntenseReference">
    <w:name w:val="Intense Reference"/>
    <w:uiPriority w:val="32"/>
    <w:qFormat/>
    <w:rsid w:val="00B46463"/>
    <w:rPr>
      <w:smallCaps/>
      <w:spacing w:val="5"/>
      <w:u w:val="single"/>
    </w:rPr>
  </w:style>
  <w:style w:type="character" w:styleId="BookTitle">
    <w:name w:val="Book Title"/>
    <w:uiPriority w:val="33"/>
    <w:qFormat/>
    <w:rsid w:val="00B46463"/>
    <w:rPr>
      <w:i/>
      <w:iCs/>
      <w:smallCaps/>
      <w:spacing w:val="5"/>
    </w:rPr>
  </w:style>
  <w:style w:type="paragraph" w:styleId="TOCHeading">
    <w:name w:val="TOC Heading"/>
    <w:basedOn w:val="Heading1"/>
    <w:next w:val="Normal"/>
    <w:uiPriority w:val="39"/>
    <w:semiHidden/>
    <w:unhideWhenUsed/>
    <w:qFormat/>
    <w:rsid w:val="00B46463"/>
    <w:pPr>
      <w:outlineLvl w:val="9"/>
    </w:pPr>
  </w:style>
  <w:style w:type="table" w:styleId="TableGrid">
    <w:name w:val="Table Grid"/>
    <w:basedOn w:val="TableNormal"/>
    <w:uiPriority w:val="59"/>
    <w:rsid w:val="00155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1556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D859A1"/>
    <w:rPr>
      <w:color w:val="0000FF" w:themeColor="hyperlink"/>
      <w:u w:val="single"/>
    </w:rPr>
  </w:style>
  <w:style w:type="paragraph" w:styleId="BalloonText">
    <w:name w:val="Balloon Text"/>
    <w:basedOn w:val="Normal"/>
    <w:link w:val="BalloonTextChar"/>
    <w:uiPriority w:val="99"/>
    <w:semiHidden/>
    <w:unhideWhenUsed/>
    <w:rsid w:val="00D85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9A1"/>
    <w:rPr>
      <w:rFonts w:ascii="Tahoma" w:hAnsi="Tahoma" w:cs="Tahoma"/>
      <w:sz w:val="16"/>
      <w:szCs w:val="16"/>
      <w:lang w:val="en-GB"/>
    </w:rPr>
  </w:style>
  <w:style w:type="character" w:styleId="CommentReference">
    <w:name w:val="annotation reference"/>
    <w:basedOn w:val="DefaultParagraphFont"/>
    <w:uiPriority w:val="99"/>
    <w:semiHidden/>
    <w:unhideWhenUsed/>
    <w:rsid w:val="00CC07A0"/>
    <w:rPr>
      <w:sz w:val="16"/>
      <w:szCs w:val="16"/>
    </w:rPr>
  </w:style>
  <w:style w:type="paragraph" w:styleId="CommentText">
    <w:name w:val="annotation text"/>
    <w:basedOn w:val="Normal"/>
    <w:link w:val="CommentTextChar"/>
    <w:uiPriority w:val="99"/>
    <w:semiHidden/>
    <w:unhideWhenUsed/>
    <w:rsid w:val="00CC07A0"/>
    <w:pPr>
      <w:spacing w:line="240" w:lineRule="auto"/>
    </w:pPr>
    <w:rPr>
      <w:sz w:val="20"/>
      <w:szCs w:val="20"/>
    </w:rPr>
  </w:style>
  <w:style w:type="character" w:customStyle="1" w:styleId="CommentTextChar">
    <w:name w:val="Comment Text Char"/>
    <w:basedOn w:val="DefaultParagraphFont"/>
    <w:link w:val="CommentText"/>
    <w:uiPriority w:val="99"/>
    <w:semiHidden/>
    <w:rsid w:val="00CC07A0"/>
    <w:rPr>
      <w:sz w:val="20"/>
      <w:szCs w:val="20"/>
      <w:lang w:val="en-GB"/>
    </w:rPr>
  </w:style>
  <w:style w:type="paragraph" w:styleId="CommentSubject">
    <w:name w:val="annotation subject"/>
    <w:basedOn w:val="CommentText"/>
    <w:next w:val="CommentText"/>
    <w:link w:val="CommentSubjectChar"/>
    <w:uiPriority w:val="99"/>
    <w:semiHidden/>
    <w:unhideWhenUsed/>
    <w:rsid w:val="00CC07A0"/>
    <w:rPr>
      <w:b/>
      <w:bCs/>
    </w:rPr>
  </w:style>
  <w:style w:type="character" w:customStyle="1" w:styleId="CommentSubjectChar">
    <w:name w:val="Comment Subject Char"/>
    <w:basedOn w:val="CommentTextChar"/>
    <w:link w:val="CommentSubject"/>
    <w:uiPriority w:val="99"/>
    <w:semiHidden/>
    <w:rsid w:val="00CC07A0"/>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9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liosbiopharma.com/pipelin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CAE2655-7F51-47E1-AB77-F43166B4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4089</Words>
  <Characters>25490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Brendish, Nathan</dc:creator>
  <cp:lastModifiedBy>Clark T.W.</cp:lastModifiedBy>
  <cp:revision>2</cp:revision>
  <dcterms:created xsi:type="dcterms:W3CDTF">2017-08-31T16:30:00Z</dcterms:created>
  <dcterms:modified xsi:type="dcterms:W3CDTF">2017-08-31T16:30:00Z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bmj.csl</vt:lpwstr>
  </property>
</Properties>
</file>