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233" w:rsidRPr="00473871" w:rsidRDefault="008A6233" w:rsidP="008A6233">
      <w:pPr>
        <w:spacing w:after="200" w:line="360" w:lineRule="auto"/>
        <w:rPr>
          <w:rFonts w:asciiTheme="majorHAnsi" w:eastAsia="Calibri" w:hAnsiTheme="majorHAnsi" w:cs="Arial"/>
          <w:b/>
          <w:sz w:val="24"/>
          <w:szCs w:val="24"/>
        </w:rPr>
      </w:pPr>
      <w:bookmarkStart w:id="0" w:name="_GoBack"/>
      <w:bookmarkEnd w:id="0"/>
      <w:r w:rsidRPr="00473871">
        <w:rPr>
          <w:rFonts w:asciiTheme="majorHAnsi" w:eastAsia="Calibri" w:hAnsiTheme="majorHAnsi" w:cs="Arial"/>
          <w:b/>
          <w:sz w:val="24"/>
          <w:szCs w:val="24"/>
        </w:rPr>
        <w:t>Introduction</w:t>
      </w:r>
    </w:p>
    <w:p w:rsidR="008A6233" w:rsidRPr="00743A33" w:rsidRDefault="008A6233" w:rsidP="008A6233">
      <w:pPr>
        <w:spacing w:after="200" w:line="360" w:lineRule="auto"/>
        <w:rPr>
          <w:rFonts w:asciiTheme="majorHAnsi" w:eastAsia="Calibri" w:hAnsiTheme="majorHAnsi" w:cs="Arial"/>
          <w:sz w:val="24"/>
          <w:szCs w:val="24"/>
        </w:rPr>
      </w:pPr>
      <w:r>
        <w:rPr>
          <w:rFonts w:asciiTheme="majorHAnsi" w:eastAsia="Calibri" w:hAnsiTheme="majorHAnsi" w:cs="Arial"/>
          <w:sz w:val="24"/>
          <w:szCs w:val="24"/>
          <w:lang w:val="en-IE"/>
        </w:rPr>
        <w:t>Approximately 20% of children and adults avoid particular foods because of perceived f</w:t>
      </w:r>
      <w:r w:rsidRPr="00473871">
        <w:rPr>
          <w:rFonts w:asciiTheme="majorHAnsi" w:eastAsia="Calibri" w:hAnsiTheme="majorHAnsi" w:cs="Arial"/>
          <w:sz w:val="24"/>
          <w:szCs w:val="24"/>
          <w:lang w:val="en-IE"/>
        </w:rPr>
        <w:t>ood intolerance although prevalence varies according to method of data collection, the population under investigation and the definition of terms (1-2).</w:t>
      </w:r>
      <w:r w:rsidRPr="00473871">
        <w:rPr>
          <w:rFonts w:asciiTheme="majorHAnsi" w:eastAsia="Calibri" w:hAnsiTheme="majorHAnsi" w:cs="Arial"/>
          <w:sz w:val="24"/>
          <w:szCs w:val="24"/>
        </w:rPr>
        <w:t xml:space="preserve"> </w:t>
      </w:r>
      <w:r w:rsidRPr="00743A33">
        <w:rPr>
          <w:rFonts w:asciiTheme="majorHAnsi" w:eastAsia="Calibri" w:hAnsiTheme="majorHAnsi" w:cs="Arial"/>
          <w:sz w:val="24"/>
          <w:szCs w:val="24"/>
        </w:rPr>
        <w:t xml:space="preserve">By the age of 3 years, 6% of children suffer from </w:t>
      </w:r>
      <w:r w:rsidR="0093444C" w:rsidRPr="0093444C">
        <w:rPr>
          <w:rFonts w:asciiTheme="majorHAnsi" w:eastAsia="Calibri" w:hAnsiTheme="majorHAnsi" w:cs="Arial"/>
          <w:b/>
          <w:sz w:val="24"/>
          <w:szCs w:val="24"/>
        </w:rPr>
        <w:t>Food Hypersensitivity</w:t>
      </w:r>
      <w:r w:rsidR="0093444C">
        <w:rPr>
          <w:rFonts w:asciiTheme="majorHAnsi" w:eastAsia="Calibri" w:hAnsiTheme="majorHAnsi" w:cs="Arial"/>
          <w:sz w:val="24"/>
          <w:szCs w:val="24"/>
        </w:rPr>
        <w:t xml:space="preserve"> (</w:t>
      </w:r>
      <w:r w:rsidRPr="00743A33">
        <w:rPr>
          <w:rFonts w:asciiTheme="majorHAnsi" w:eastAsia="Calibri" w:hAnsiTheme="majorHAnsi" w:cs="Arial"/>
          <w:sz w:val="24"/>
          <w:szCs w:val="24"/>
        </w:rPr>
        <w:t>FH</w:t>
      </w:r>
      <w:r w:rsidR="0093444C">
        <w:rPr>
          <w:rFonts w:asciiTheme="majorHAnsi" w:eastAsia="Calibri" w:hAnsiTheme="majorHAnsi" w:cs="Arial"/>
          <w:sz w:val="24"/>
          <w:szCs w:val="24"/>
        </w:rPr>
        <w:t>)</w:t>
      </w:r>
      <w:r w:rsidRPr="00743A33">
        <w:rPr>
          <w:rFonts w:asciiTheme="majorHAnsi" w:eastAsia="Calibri" w:hAnsiTheme="majorHAnsi" w:cs="Arial"/>
          <w:sz w:val="24"/>
          <w:szCs w:val="24"/>
        </w:rPr>
        <w:t xml:space="preserve"> confirmed by food challenges; however a much larger proportion of parents report food-related symptoms that lead them to avoid particular foods</w:t>
      </w:r>
      <w:r>
        <w:rPr>
          <w:rFonts w:asciiTheme="majorHAnsi" w:eastAsia="Calibri" w:hAnsiTheme="majorHAnsi" w:cs="Arial"/>
          <w:sz w:val="24"/>
          <w:szCs w:val="24"/>
        </w:rPr>
        <w:t xml:space="preserve"> (3)</w:t>
      </w:r>
      <w:r w:rsidRPr="00743A33">
        <w:rPr>
          <w:rFonts w:asciiTheme="majorHAnsi" w:eastAsia="Calibri" w:hAnsiTheme="majorHAnsi" w:cs="Arial"/>
          <w:sz w:val="24"/>
          <w:szCs w:val="24"/>
        </w:rPr>
        <w:t>.</w:t>
      </w:r>
    </w:p>
    <w:p w:rsidR="008A6233" w:rsidRPr="00473871" w:rsidRDefault="008A6233" w:rsidP="008A6233">
      <w:pPr>
        <w:spacing w:before="100" w:beforeAutospacing="1" w:after="100" w:afterAutospacing="1" w:line="360" w:lineRule="auto"/>
        <w:rPr>
          <w:rFonts w:asciiTheme="majorHAnsi" w:eastAsia="Times New Roman" w:hAnsiTheme="majorHAnsi" w:cs="Times New Roman"/>
          <w:sz w:val="24"/>
          <w:szCs w:val="24"/>
          <w:lang w:eastAsia="en-GB"/>
        </w:rPr>
      </w:pPr>
      <w:r w:rsidRPr="00473871">
        <w:rPr>
          <w:rFonts w:asciiTheme="majorHAnsi" w:eastAsia="Calibri" w:hAnsiTheme="majorHAnsi" w:cs="Arial"/>
          <w:sz w:val="24"/>
          <w:szCs w:val="24"/>
        </w:rPr>
        <w:t xml:space="preserve"> </w:t>
      </w:r>
      <w:r w:rsidRPr="00473871">
        <w:rPr>
          <w:rFonts w:asciiTheme="majorHAnsi" w:eastAsia="Times New Roman" w:hAnsiTheme="majorHAnsi" w:cs="Times New Roman"/>
          <w:sz w:val="24"/>
          <w:szCs w:val="24"/>
          <w:lang w:eastAsia="en-GB"/>
        </w:rPr>
        <w:t>‘Food intolerance’ embraces adverse reactions following dietary exposure to foods that most people would not react to. Such reactions may be allergic (immune mechanism) or non-allergic (non-immunological). Allergic reactions may be further sub-divided into IgE-mediated food allergy (FA) and non-IgE-mediated food allergy. For the purposes of this study we include non-allergic and non-IgE allergy under the term food intolerance (FI). Non-allergic reactions to food may be attributable to a variety of mechanisms, some known and some unknown, including enzyme defects and pharmacological reactions.</w:t>
      </w:r>
      <w:r w:rsidRPr="00473871">
        <w:rPr>
          <w:rFonts w:asciiTheme="majorHAnsi" w:eastAsia="Times New Roman" w:hAnsiTheme="majorHAnsi" w:cs="Times New Roman"/>
          <w:color w:val="1F497D"/>
          <w:sz w:val="24"/>
          <w:szCs w:val="24"/>
          <w:lang w:eastAsia="en-GB"/>
        </w:rPr>
        <w:t> </w:t>
      </w:r>
      <w:r w:rsidRPr="00473871">
        <w:rPr>
          <w:rFonts w:asciiTheme="majorHAnsi" w:eastAsia="Calibri" w:hAnsiTheme="majorHAnsi" w:cs="Arial"/>
          <w:sz w:val="24"/>
          <w:szCs w:val="24"/>
        </w:rPr>
        <w:t xml:space="preserve">Symptoms of FI most commonly affect the skin or gut, and usually occur some hours following ingestion of the food. Symptoms can range from mild/ moderate (colic, reflux, bloating, constipation) to severe (severe persistent vomiting or diarrhoea, significant blood in stool, faltering growth).  </w:t>
      </w:r>
      <w:r w:rsidRPr="00473871">
        <w:rPr>
          <w:rFonts w:asciiTheme="majorHAnsi" w:eastAsia="Calibri" w:hAnsiTheme="majorHAnsi" w:cs="Arial"/>
          <w:color w:val="FF0000"/>
          <w:sz w:val="24"/>
          <w:szCs w:val="24"/>
        </w:rPr>
        <w:t xml:space="preserve"> </w:t>
      </w:r>
      <w:r w:rsidRPr="00E16025">
        <w:rPr>
          <w:rFonts w:asciiTheme="majorHAnsi" w:eastAsia="Calibri" w:hAnsiTheme="majorHAnsi" w:cs="Arial"/>
          <w:sz w:val="24"/>
          <w:szCs w:val="24"/>
        </w:rPr>
        <w:t xml:space="preserve">Thus, food intolerance is a heterogeneous group of disorders, including coeliac disease, lactose intolerance and symptoms of unknown aetiology, but patients are unified by the fact that they avoid foods that they believe cause adverse effects. Unlike IgE mediated allergy, there is usually no easy test to confirm a diagnosis of food intolerance and patients are frequently self-diagnosed. </w:t>
      </w:r>
      <w:r w:rsidRPr="00473871">
        <w:rPr>
          <w:rFonts w:asciiTheme="majorHAnsi" w:eastAsia="Calibri" w:hAnsiTheme="majorHAnsi" w:cs="Arial"/>
          <w:sz w:val="24"/>
          <w:szCs w:val="24"/>
        </w:rPr>
        <w:t xml:space="preserve">The impact of food </w:t>
      </w:r>
      <w:r>
        <w:rPr>
          <w:rFonts w:asciiTheme="majorHAnsi" w:eastAsia="Calibri" w:hAnsiTheme="majorHAnsi" w:cs="Arial"/>
          <w:sz w:val="24"/>
          <w:szCs w:val="24"/>
        </w:rPr>
        <w:t>intolerance</w:t>
      </w:r>
      <w:r w:rsidRPr="00473871">
        <w:rPr>
          <w:rFonts w:asciiTheme="majorHAnsi" w:eastAsia="Calibri" w:hAnsiTheme="majorHAnsi" w:cs="Arial"/>
          <w:sz w:val="24"/>
          <w:szCs w:val="24"/>
        </w:rPr>
        <w:t xml:space="preserve"> extends beyond the physical to the social, emotional and financial (</w:t>
      </w:r>
      <w:r>
        <w:rPr>
          <w:rFonts w:asciiTheme="majorHAnsi" w:eastAsia="Calibri" w:hAnsiTheme="majorHAnsi" w:cs="Arial"/>
          <w:sz w:val="24"/>
          <w:szCs w:val="24"/>
        </w:rPr>
        <w:t>4</w:t>
      </w:r>
      <w:r w:rsidRPr="00473871">
        <w:rPr>
          <w:rFonts w:asciiTheme="majorHAnsi" w:eastAsia="Calibri" w:hAnsiTheme="majorHAnsi" w:cs="Arial"/>
          <w:sz w:val="24"/>
          <w:szCs w:val="24"/>
        </w:rPr>
        <w:t>-</w:t>
      </w:r>
      <w:r>
        <w:rPr>
          <w:rFonts w:asciiTheme="majorHAnsi" w:eastAsia="Calibri" w:hAnsiTheme="majorHAnsi" w:cs="Arial"/>
          <w:sz w:val="24"/>
          <w:szCs w:val="24"/>
        </w:rPr>
        <w:t>9</w:t>
      </w:r>
      <w:r w:rsidRPr="00473871">
        <w:rPr>
          <w:rFonts w:asciiTheme="majorHAnsi" w:eastAsia="Calibri" w:hAnsiTheme="majorHAnsi" w:cs="Arial"/>
          <w:sz w:val="24"/>
          <w:szCs w:val="24"/>
        </w:rPr>
        <w:t>)</w:t>
      </w:r>
      <w:r>
        <w:rPr>
          <w:rFonts w:asciiTheme="majorHAnsi" w:eastAsia="Calibri" w:hAnsiTheme="majorHAnsi" w:cs="Arial"/>
          <w:sz w:val="24"/>
          <w:szCs w:val="24"/>
        </w:rPr>
        <w:t xml:space="preserve"> and this is likely to be true for individuals with a well-defined underlying condition as well as those in whom the cause is unclear</w:t>
      </w:r>
      <w:r w:rsidRPr="00473871">
        <w:rPr>
          <w:rFonts w:asciiTheme="majorHAnsi" w:eastAsia="Calibri" w:hAnsiTheme="majorHAnsi" w:cs="Arial"/>
          <w:sz w:val="24"/>
          <w:szCs w:val="24"/>
        </w:rPr>
        <w:t>.  Avoidance of the trigger food(s) is the cornerstone in the management of both FA and FI.  Although generally asymptomatic, the constant need for vigilance when shopping or eating, and the fear of a reaction impacts on the health related quality of life (HRQL) of affected individuals and their families. As such, HRQL has been argued to be a meaningful outcome measure available for in</w:t>
      </w:r>
      <w:bookmarkStart w:id="1" w:name="_ftnref3"/>
      <w:r w:rsidRPr="00473871">
        <w:rPr>
          <w:rFonts w:asciiTheme="majorHAnsi" w:eastAsia="Calibri" w:hAnsiTheme="majorHAnsi" w:cs="Arial"/>
          <w:sz w:val="24"/>
          <w:szCs w:val="24"/>
        </w:rPr>
        <w:t>dividuals with reactions to food (</w:t>
      </w:r>
      <w:r>
        <w:rPr>
          <w:rFonts w:asciiTheme="majorHAnsi" w:eastAsia="Calibri" w:hAnsiTheme="majorHAnsi" w:cs="Arial"/>
          <w:sz w:val="24"/>
          <w:szCs w:val="24"/>
        </w:rPr>
        <w:t>10</w:t>
      </w:r>
      <w:r w:rsidRPr="00473871">
        <w:rPr>
          <w:rFonts w:asciiTheme="majorHAnsi" w:eastAsia="Calibri" w:hAnsiTheme="majorHAnsi" w:cs="Arial"/>
          <w:sz w:val="24"/>
          <w:szCs w:val="24"/>
        </w:rPr>
        <w:t>)</w:t>
      </w:r>
      <w:bookmarkEnd w:id="1"/>
      <w:r w:rsidRPr="00473871">
        <w:rPr>
          <w:rFonts w:asciiTheme="majorHAnsi" w:eastAsia="Calibri" w:hAnsiTheme="majorHAnsi" w:cs="Arial"/>
          <w:sz w:val="24"/>
          <w:szCs w:val="24"/>
        </w:rPr>
        <w:t>.</w:t>
      </w:r>
    </w:p>
    <w:p w:rsidR="008A6233" w:rsidRPr="00473871" w:rsidRDefault="008A6233" w:rsidP="008A6233">
      <w:pPr>
        <w:spacing w:before="100" w:beforeAutospacing="1" w:after="100" w:afterAutospacing="1" w:line="360" w:lineRule="auto"/>
        <w:rPr>
          <w:rFonts w:asciiTheme="majorHAnsi" w:eastAsia="Calibri" w:hAnsiTheme="majorHAnsi" w:cs="Arial"/>
          <w:sz w:val="24"/>
          <w:szCs w:val="24"/>
        </w:rPr>
      </w:pPr>
      <w:r w:rsidRPr="00473871">
        <w:rPr>
          <w:rFonts w:asciiTheme="majorHAnsi" w:eastAsia="Calibri" w:hAnsiTheme="majorHAnsi" w:cs="Arial"/>
          <w:sz w:val="24"/>
          <w:szCs w:val="24"/>
          <w:lang w:val="en-IE"/>
        </w:rPr>
        <w:lastRenderedPageBreak/>
        <w:t>Disease specific questionnaires have been developed and validated (1</w:t>
      </w:r>
      <w:r>
        <w:rPr>
          <w:rFonts w:asciiTheme="majorHAnsi" w:eastAsia="Calibri" w:hAnsiTheme="majorHAnsi" w:cs="Arial"/>
          <w:sz w:val="24"/>
          <w:szCs w:val="24"/>
          <w:lang w:val="en-IE"/>
        </w:rPr>
        <w:t>0</w:t>
      </w:r>
      <w:r w:rsidRPr="00473871">
        <w:rPr>
          <w:rFonts w:asciiTheme="majorHAnsi" w:eastAsia="Calibri" w:hAnsiTheme="majorHAnsi" w:cs="Arial"/>
          <w:sz w:val="24"/>
          <w:szCs w:val="24"/>
          <w:lang w:val="en-IE"/>
        </w:rPr>
        <w:t>-1</w:t>
      </w:r>
      <w:r>
        <w:rPr>
          <w:rFonts w:asciiTheme="majorHAnsi" w:eastAsia="Calibri" w:hAnsiTheme="majorHAnsi" w:cs="Arial"/>
          <w:sz w:val="24"/>
          <w:szCs w:val="24"/>
          <w:lang w:val="en-IE"/>
        </w:rPr>
        <w:t>3</w:t>
      </w:r>
      <w:r w:rsidRPr="00473871">
        <w:rPr>
          <w:rFonts w:asciiTheme="majorHAnsi" w:eastAsia="Calibri" w:hAnsiTheme="majorHAnsi" w:cs="Arial"/>
          <w:sz w:val="24"/>
          <w:szCs w:val="24"/>
          <w:lang w:val="en-IE"/>
        </w:rPr>
        <w:t>) for individuals with IgE-mediated food allergy, providing a valuable tool in clinical research settings (1</w:t>
      </w:r>
      <w:r>
        <w:rPr>
          <w:rFonts w:asciiTheme="majorHAnsi" w:eastAsia="Calibri" w:hAnsiTheme="majorHAnsi" w:cs="Arial"/>
          <w:sz w:val="24"/>
          <w:szCs w:val="24"/>
          <w:lang w:val="en-IE"/>
        </w:rPr>
        <w:t>4</w:t>
      </w:r>
      <w:r w:rsidRPr="00473871">
        <w:rPr>
          <w:rFonts w:asciiTheme="majorHAnsi" w:eastAsia="Calibri" w:hAnsiTheme="majorHAnsi" w:cs="Arial"/>
          <w:sz w:val="24"/>
          <w:szCs w:val="24"/>
          <w:lang w:val="en-IE"/>
        </w:rPr>
        <w:t>-1</w:t>
      </w:r>
      <w:r>
        <w:rPr>
          <w:rFonts w:asciiTheme="majorHAnsi" w:eastAsia="Calibri" w:hAnsiTheme="majorHAnsi" w:cs="Arial"/>
          <w:sz w:val="24"/>
          <w:szCs w:val="24"/>
          <w:lang w:val="en-IE"/>
        </w:rPr>
        <w:t>6</w:t>
      </w:r>
      <w:r w:rsidRPr="00473871">
        <w:rPr>
          <w:rFonts w:asciiTheme="majorHAnsi" w:eastAsia="Calibri" w:hAnsiTheme="majorHAnsi" w:cs="Arial"/>
          <w:sz w:val="24"/>
          <w:szCs w:val="24"/>
          <w:lang w:val="en-IE"/>
        </w:rPr>
        <w:t>).  Differences can exist between FI and FA in a number of factors that affect health-related quality of life, including speed of onset of reactions, dose to trigger a reaction, symptoms, availability of ‘rescue’ medication, and long-term health implications. However, there are no FI-specific questionnaires.</w:t>
      </w:r>
      <w:r w:rsidRPr="00FD0B12">
        <w:rPr>
          <w:rFonts w:asciiTheme="majorHAnsi" w:hAnsiTheme="majorHAnsi" w:cs="Calibri"/>
          <w:sz w:val="24"/>
          <w:szCs w:val="24"/>
          <w:lang w:val="en-US"/>
        </w:rPr>
        <w:t xml:space="preserve"> </w:t>
      </w:r>
      <w:r>
        <w:rPr>
          <w:rFonts w:asciiTheme="majorHAnsi" w:hAnsiTheme="majorHAnsi" w:cs="Calibri"/>
          <w:sz w:val="24"/>
          <w:szCs w:val="24"/>
          <w:lang w:val="en-US"/>
        </w:rPr>
        <w:t xml:space="preserve">This presents a difficulty for health professionals and practitioners, researchers and policy makers in the area of food hypersensitivity. </w:t>
      </w:r>
      <w:r w:rsidRPr="00473871">
        <w:rPr>
          <w:rFonts w:asciiTheme="majorHAnsi" w:eastAsia="Calibri" w:hAnsiTheme="majorHAnsi" w:cs="Arial"/>
          <w:sz w:val="24"/>
          <w:szCs w:val="24"/>
        </w:rPr>
        <w:t>Therefore we sought to develop and validate a sensitive, multi-dimensional self-report measure for adults (&gt;18 years) with FI.   We modified the existing validated Food allergy Quality of Life (FAQLQ) questionnaire for adults (1</w:t>
      </w:r>
      <w:r>
        <w:rPr>
          <w:rFonts w:asciiTheme="majorHAnsi" w:eastAsia="Calibri" w:hAnsiTheme="majorHAnsi" w:cs="Arial"/>
          <w:sz w:val="24"/>
          <w:szCs w:val="24"/>
        </w:rPr>
        <w:t>3</w:t>
      </w:r>
      <w:r w:rsidRPr="00473871">
        <w:rPr>
          <w:rFonts w:asciiTheme="majorHAnsi" w:eastAsia="Calibri" w:hAnsiTheme="majorHAnsi" w:cs="Arial"/>
          <w:sz w:val="24"/>
          <w:szCs w:val="24"/>
        </w:rPr>
        <w:t>;1</w:t>
      </w:r>
      <w:r>
        <w:rPr>
          <w:rFonts w:asciiTheme="majorHAnsi" w:eastAsia="Calibri" w:hAnsiTheme="majorHAnsi" w:cs="Arial"/>
          <w:sz w:val="24"/>
          <w:szCs w:val="24"/>
        </w:rPr>
        <w:t>7</w:t>
      </w:r>
      <w:r w:rsidRPr="00473871">
        <w:rPr>
          <w:rFonts w:asciiTheme="majorHAnsi" w:eastAsia="Calibri" w:hAnsiTheme="majorHAnsi" w:cs="Arial"/>
          <w:sz w:val="24"/>
          <w:szCs w:val="24"/>
        </w:rPr>
        <w:t xml:space="preserve">) to ensure that the measure was suitable to assess quality of life in those with FI. We then </w:t>
      </w:r>
      <w:r>
        <w:rPr>
          <w:rFonts w:asciiTheme="majorHAnsi" w:eastAsia="Calibri" w:hAnsiTheme="majorHAnsi" w:cs="Arial"/>
          <w:sz w:val="24"/>
          <w:szCs w:val="24"/>
        </w:rPr>
        <w:t xml:space="preserve">carried out preliminary </w:t>
      </w:r>
      <w:r w:rsidRPr="00473871">
        <w:rPr>
          <w:rFonts w:asciiTheme="majorHAnsi" w:eastAsia="Calibri" w:hAnsiTheme="majorHAnsi" w:cs="Arial"/>
          <w:sz w:val="24"/>
          <w:szCs w:val="24"/>
        </w:rPr>
        <w:t>validat</w:t>
      </w:r>
      <w:r>
        <w:rPr>
          <w:rFonts w:asciiTheme="majorHAnsi" w:eastAsia="Calibri" w:hAnsiTheme="majorHAnsi" w:cs="Arial"/>
          <w:sz w:val="24"/>
          <w:szCs w:val="24"/>
        </w:rPr>
        <w:t>ion of</w:t>
      </w:r>
      <w:r w:rsidRPr="00473871">
        <w:rPr>
          <w:rFonts w:asciiTheme="majorHAnsi" w:eastAsia="Calibri" w:hAnsiTheme="majorHAnsi" w:cs="Arial"/>
          <w:sz w:val="24"/>
          <w:szCs w:val="24"/>
        </w:rPr>
        <w:t xml:space="preserve"> the instrument in a large cross-sectional study.</w:t>
      </w:r>
    </w:p>
    <w:p w:rsidR="008A6233" w:rsidRPr="00473871" w:rsidRDefault="008A6233" w:rsidP="008A6233">
      <w:pPr>
        <w:spacing w:line="360" w:lineRule="auto"/>
        <w:rPr>
          <w:rFonts w:asciiTheme="majorHAnsi" w:eastAsia="Calibri" w:hAnsiTheme="majorHAnsi" w:cs="Times New Roman"/>
          <w:b/>
          <w:sz w:val="24"/>
          <w:szCs w:val="24"/>
          <w:lang w:val="en-IE"/>
        </w:rPr>
      </w:pPr>
      <w:r w:rsidRPr="00473871">
        <w:rPr>
          <w:rFonts w:asciiTheme="majorHAnsi" w:eastAsia="Calibri" w:hAnsiTheme="majorHAnsi" w:cs="Times New Roman"/>
          <w:b/>
          <w:sz w:val="24"/>
          <w:szCs w:val="24"/>
          <w:lang w:val="en-IE"/>
        </w:rPr>
        <w:t>Methods</w:t>
      </w:r>
    </w:p>
    <w:p w:rsidR="008A6233" w:rsidRPr="00473871" w:rsidRDefault="008A6233" w:rsidP="008A6233">
      <w:pPr>
        <w:pBdr>
          <w:top w:val="nil"/>
          <w:left w:val="nil"/>
          <w:bottom w:val="nil"/>
          <w:right w:val="nil"/>
          <w:between w:val="nil"/>
          <w:bar w:val="nil"/>
        </w:pBdr>
        <w:spacing w:after="120" w:line="360" w:lineRule="auto"/>
        <w:rPr>
          <w:rFonts w:asciiTheme="majorHAnsi" w:eastAsia="Arial Unicode MS" w:hAnsiTheme="majorHAnsi" w:cs="Arial Unicode MS"/>
          <w:sz w:val="24"/>
          <w:szCs w:val="24"/>
          <w:bdr w:val="nil"/>
          <w:lang w:val="en-US" w:eastAsia="en-GB"/>
        </w:rPr>
      </w:pPr>
      <w:r w:rsidRPr="00473871">
        <w:rPr>
          <w:rFonts w:asciiTheme="majorHAnsi" w:eastAsia="Arial Unicode MS" w:hAnsiTheme="majorHAnsi" w:cs="Arial Unicode MS"/>
          <w:sz w:val="24"/>
          <w:szCs w:val="24"/>
          <w:bdr w:val="nil"/>
          <w:lang w:eastAsia="en-GB"/>
        </w:rPr>
        <w:t xml:space="preserve">FIQOL </w:t>
      </w:r>
      <w:r w:rsidRPr="00473871">
        <w:rPr>
          <w:rFonts w:asciiTheme="majorHAnsi" w:eastAsia="Arial Unicode MS" w:hAnsiTheme="majorHAnsi" w:cs="Arial Unicode MS"/>
          <w:sz w:val="24"/>
          <w:szCs w:val="24"/>
          <w:bdr w:val="nil"/>
          <w:lang w:val="en-US" w:eastAsia="en-GB"/>
        </w:rPr>
        <w:t xml:space="preserve">was developed by adapting a quality of life measure designed for adults with food allergy; the development included interviews with 14 individuals with food intolerance. Then, 229 adults with food intolerance participated in the psychometric validation of FIQLQ. </w:t>
      </w:r>
    </w:p>
    <w:p w:rsidR="008A6233" w:rsidRPr="00473871" w:rsidRDefault="008A6233" w:rsidP="008A6233">
      <w:pPr>
        <w:pBdr>
          <w:top w:val="nil"/>
          <w:left w:val="nil"/>
          <w:bottom w:val="nil"/>
          <w:right w:val="nil"/>
          <w:between w:val="nil"/>
          <w:bar w:val="nil"/>
        </w:pBdr>
        <w:spacing w:after="120" w:line="360" w:lineRule="auto"/>
        <w:rPr>
          <w:rFonts w:asciiTheme="majorHAnsi" w:eastAsia="Arial Unicode MS" w:hAnsiTheme="majorHAnsi" w:cs="Arial Unicode MS"/>
          <w:sz w:val="24"/>
          <w:szCs w:val="24"/>
          <w:bdr w:val="nil"/>
          <w:lang w:val="en-US" w:eastAsia="en-GB"/>
        </w:rPr>
      </w:pPr>
      <w:r w:rsidRPr="00473871">
        <w:rPr>
          <w:rFonts w:asciiTheme="majorHAnsi" w:eastAsia="Arial Unicode MS" w:hAnsiTheme="majorHAnsi" w:cs="Arial Unicode MS"/>
          <w:sz w:val="24"/>
          <w:szCs w:val="24"/>
          <w:bdr w:val="nil"/>
          <w:lang w:val="en-US" w:eastAsia="en-GB"/>
        </w:rPr>
        <w:t xml:space="preserve">The Research Ethics Committee of the School of Applied Psychology, UCC provided approval for the study. Data was stored in compliance with data protection laws. </w:t>
      </w:r>
    </w:p>
    <w:p w:rsidR="008A6233" w:rsidRPr="00473871" w:rsidRDefault="008A6233" w:rsidP="008A6233">
      <w:pPr>
        <w:spacing w:after="0" w:line="360" w:lineRule="auto"/>
        <w:rPr>
          <w:rFonts w:asciiTheme="majorHAnsi" w:eastAsia="Calibri" w:hAnsiTheme="majorHAnsi" w:cs="Times New Roman"/>
          <w:b/>
          <w:sz w:val="24"/>
          <w:szCs w:val="24"/>
          <w:u w:val="single"/>
          <w:lang w:val="en-IE"/>
        </w:rPr>
      </w:pPr>
      <w:r w:rsidRPr="00473871">
        <w:rPr>
          <w:rFonts w:asciiTheme="majorHAnsi" w:eastAsia="Calibri" w:hAnsiTheme="majorHAnsi" w:cs="Times New Roman"/>
          <w:b/>
          <w:sz w:val="24"/>
          <w:szCs w:val="24"/>
          <w:u w:val="single"/>
          <w:lang w:val="en-IE"/>
        </w:rPr>
        <w:t>Participants</w:t>
      </w:r>
    </w:p>
    <w:p w:rsidR="008A6233" w:rsidRPr="00473871" w:rsidRDefault="008A6233" w:rsidP="008A6233">
      <w:pPr>
        <w:pBdr>
          <w:top w:val="nil"/>
          <w:left w:val="nil"/>
          <w:bottom w:val="nil"/>
          <w:right w:val="nil"/>
          <w:between w:val="nil"/>
          <w:bar w:val="nil"/>
        </w:pBdr>
        <w:spacing w:after="120" w:line="360" w:lineRule="auto"/>
        <w:rPr>
          <w:rFonts w:asciiTheme="majorHAnsi" w:eastAsia="Arial Unicode MS" w:hAnsiTheme="majorHAnsi" w:cs="Arial Unicode MS"/>
          <w:sz w:val="24"/>
          <w:szCs w:val="24"/>
          <w:u w:color="000000"/>
          <w:bdr w:val="nil"/>
          <w:lang w:val="en-US" w:eastAsia="en-GB"/>
        </w:rPr>
      </w:pPr>
      <w:r>
        <w:rPr>
          <w:rFonts w:asciiTheme="majorHAnsi" w:eastAsia="Arial Unicode MS" w:hAnsiTheme="majorHAnsi" w:cs="Arial Unicode MS"/>
          <w:sz w:val="24"/>
          <w:szCs w:val="24"/>
          <w:u w:color="000000"/>
          <w:bdr w:val="nil"/>
          <w:lang w:val="en-US" w:eastAsia="en-GB"/>
        </w:rPr>
        <w:t>A commercial</w:t>
      </w:r>
      <w:r w:rsidRPr="00473871">
        <w:rPr>
          <w:rFonts w:asciiTheme="majorHAnsi" w:eastAsia="Arial Unicode MS" w:hAnsiTheme="majorHAnsi" w:cs="Arial Unicode MS"/>
          <w:sz w:val="24"/>
          <w:szCs w:val="24"/>
          <w:u w:color="000000"/>
          <w:bdr w:val="nil"/>
          <w:lang w:val="en-US" w:eastAsia="en-GB"/>
        </w:rPr>
        <w:t xml:space="preserve"> research recruitment company</w:t>
      </w:r>
      <w:r>
        <w:rPr>
          <w:rFonts w:asciiTheme="majorHAnsi" w:eastAsia="Arial Unicode MS" w:hAnsiTheme="majorHAnsi" w:cs="Arial Unicode MS"/>
          <w:sz w:val="24"/>
          <w:szCs w:val="24"/>
          <w:u w:color="000000"/>
          <w:bdr w:val="nil"/>
          <w:lang w:val="en-US" w:eastAsia="en-GB"/>
        </w:rPr>
        <w:t>,</w:t>
      </w:r>
      <w:r w:rsidRPr="00473871">
        <w:rPr>
          <w:rFonts w:asciiTheme="majorHAnsi" w:eastAsia="Arial Unicode MS" w:hAnsiTheme="majorHAnsi" w:cs="Arial Unicode MS"/>
          <w:sz w:val="24"/>
          <w:szCs w:val="24"/>
          <w:u w:color="000000"/>
          <w:bdr w:val="nil"/>
          <w:lang w:val="en-US" w:eastAsia="en-GB"/>
        </w:rPr>
        <w:t xml:space="preserve"> Acumen Fieldwork-Medical</w:t>
      </w:r>
      <w:r>
        <w:rPr>
          <w:rFonts w:asciiTheme="majorHAnsi" w:eastAsia="Arial Unicode MS" w:hAnsiTheme="majorHAnsi" w:cs="Arial Unicode MS"/>
          <w:sz w:val="24"/>
          <w:szCs w:val="24"/>
          <w:u w:color="000000"/>
          <w:bdr w:val="nil"/>
          <w:lang w:val="en-US" w:eastAsia="en-GB"/>
        </w:rPr>
        <w:t>,</w:t>
      </w:r>
      <w:r w:rsidRPr="00473871">
        <w:rPr>
          <w:rFonts w:asciiTheme="majorHAnsi" w:eastAsia="Arial Unicode MS" w:hAnsiTheme="majorHAnsi" w:cs="Arial Unicode MS"/>
          <w:sz w:val="24"/>
          <w:szCs w:val="24"/>
          <w:u w:color="000000"/>
          <w:bdr w:val="nil"/>
          <w:lang w:val="en-US" w:eastAsia="en-GB"/>
        </w:rPr>
        <w:t xml:space="preserve"> recruited participants for the cognitive interviews </w:t>
      </w:r>
      <w:r>
        <w:rPr>
          <w:rFonts w:asciiTheme="majorHAnsi" w:eastAsia="Arial Unicode MS" w:hAnsiTheme="majorHAnsi" w:cs="Arial Unicode MS"/>
          <w:sz w:val="24"/>
          <w:szCs w:val="24"/>
          <w:u w:color="000000"/>
          <w:bdr w:val="nil"/>
          <w:lang w:val="en-US" w:eastAsia="en-GB"/>
        </w:rPr>
        <w:t xml:space="preserve">using an online survey, </w:t>
      </w:r>
      <w:r w:rsidRPr="00473871">
        <w:rPr>
          <w:rFonts w:asciiTheme="majorHAnsi" w:eastAsia="Arial Unicode MS" w:hAnsiTheme="majorHAnsi" w:cs="Arial Unicode MS"/>
          <w:sz w:val="24"/>
          <w:szCs w:val="24"/>
          <w:u w:color="000000"/>
          <w:bdr w:val="nil"/>
          <w:lang w:val="en-US" w:eastAsia="en-GB"/>
        </w:rPr>
        <w:t xml:space="preserve">ensuring that we included all regions of the UK. </w:t>
      </w:r>
    </w:p>
    <w:p w:rsidR="008A6233" w:rsidRPr="00473871" w:rsidRDefault="008A6233" w:rsidP="008A6233">
      <w:pPr>
        <w:pBdr>
          <w:top w:val="nil"/>
          <w:left w:val="nil"/>
          <w:bottom w:val="nil"/>
          <w:right w:val="nil"/>
          <w:between w:val="nil"/>
          <w:bar w:val="nil"/>
        </w:pBdr>
        <w:spacing w:after="120" w:line="360" w:lineRule="auto"/>
        <w:rPr>
          <w:rFonts w:asciiTheme="majorHAnsi" w:eastAsia="Arial Unicode MS" w:hAnsiTheme="majorHAnsi" w:cs="Arial Unicode MS"/>
          <w:sz w:val="24"/>
          <w:szCs w:val="24"/>
          <w:u w:color="000000"/>
          <w:bdr w:val="nil"/>
          <w:lang w:val="en-US" w:eastAsia="en-GB"/>
        </w:rPr>
      </w:pPr>
      <w:r w:rsidRPr="00473871">
        <w:rPr>
          <w:rFonts w:asciiTheme="majorHAnsi" w:eastAsia="Arial Unicode MS" w:hAnsiTheme="majorHAnsi" w:cs="Arial Unicode MS"/>
          <w:sz w:val="24"/>
          <w:szCs w:val="24"/>
          <w:u w:color="000000"/>
          <w:bdr w:val="nil"/>
          <w:lang w:val="en-US" w:eastAsia="en-GB"/>
        </w:rPr>
        <w:t>Participants for the psychometric validation were recruited by</w:t>
      </w:r>
      <w:r>
        <w:rPr>
          <w:rFonts w:asciiTheme="majorHAnsi" w:eastAsia="Arial Unicode MS" w:hAnsiTheme="majorHAnsi" w:cs="Arial Unicode MS"/>
          <w:sz w:val="24"/>
          <w:szCs w:val="24"/>
          <w:u w:color="000000"/>
          <w:bdr w:val="nil"/>
          <w:lang w:val="en-US" w:eastAsia="en-GB"/>
        </w:rPr>
        <w:t xml:space="preserve"> the patient organizations </w:t>
      </w:r>
      <w:r w:rsidRPr="00473871">
        <w:rPr>
          <w:rFonts w:asciiTheme="majorHAnsi" w:eastAsia="Arial Unicode MS" w:hAnsiTheme="majorHAnsi" w:cs="Arial Unicode MS"/>
          <w:sz w:val="24"/>
          <w:szCs w:val="24"/>
          <w:u w:color="000000"/>
          <w:bdr w:val="nil"/>
          <w:lang w:val="en-US" w:eastAsia="en-GB"/>
        </w:rPr>
        <w:t xml:space="preserve">Coeliac UK (20.1%), Allergy UK (40.2%) and Anaphylaxis Campaign (1.3%) via their websites and social media.  The remainder (38.4%) were recruited by Acumen Fieldwork-Medical. </w:t>
      </w:r>
    </w:p>
    <w:p w:rsidR="008A6233" w:rsidRPr="00473871" w:rsidRDefault="008A6233" w:rsidP="008A6233">
      <w:pPr>
        <w:pBdr>
          <w:top w:val="nil"/>
          <w:left w:val="nil"/>
          <w:bottom w:val="nil"/>
          <w:right w:val="nil"/>
          <w:between w:val="nil"/>
          <w:bar w:val="nil"/>
        </w:pBdr>
        <w:spacing w:after="120" w:line="360" w:lineRule="auto"/>
        <w:rPr>
          <w:rFonts w:asciiTheme="majorHAnsi" w:eastAsia="Arial Unicode MS" w:hAnsiTheme="majorHAnsi" w:cs="Arial Unicode MS"/>
          <w:sz w:val="24"/>
          <w:szCs w:val="24"/>
          <w:u w:color="000000"/>
          <w:bdr w:val="nil"/>
          <w:lang w:val="en-US" w:eastAsia="en-GB"/>
        </w:rPr>
      </w:pPr>
      <w:r w:rsidRPr="00473871">
        <w:rPr>
          <w:rFonts w:asciiTheme="majorHAnsi" w:eastAsia="Arial Unicode MS" w:hAnsiTheme="majorHAnsi" w:cs="Arial Unicode MS"/>
          <w:sz w:val="24"/>
          <w:szCs w:val="24"/>
          <w:u w:color="000000"/>
          <w:bdr w:val="nil"/>
          <w:lang w:val="en-US" w:eastAsia="en-GB"/>
        </w:rPr>
        <w:lastRenderedPageBreak/>
        <w:t xml:space="preserve">We screened respondents &gt;18 years to ensure they had symptoms of food intolerance. They needed to avoid foods </w:t>
      </w:r>
      <w:r>
        <w:rPr>
          <w:rFonts w:asciiTheme="majorHAnsi" w:eastAsia="Arial Unicode MS" w:hAnsiTheme="majorHAnsi" w:cs="Arial Unicode MS"/>
          <w:sz w:val="24"/>
          <w:szCs w:val="24"/>
          <w:u w:color="000000"/>
          <w:bdr w:val="nil"/>
          <w:lang w:val="en-US" w:eastAsia="en-GB"/>
        </w:rPr>
        <w:t>in</w:t>
      </w:r>
      <w:r w:rsidRPr="00473871">
        <w:rPr>
          <w:rFonts w:asciiTheme="majorHAnsi" w:eastAsia="Arial Unicode MS" w:hAnsiTheme="majorHAnsi" w:cs="Arial Unicode MS"/>
          <w:sz w:val="24"/>
          <w:szCs w:val="24"/>
          <w:u w:color="000000"/>
          <w:bdr w:val="nil"/>
          <w:lang w:val="en-US" w:eastAsia="en-GB"/>
        </w:rPr>
        <w:t xml:space="preserve"> their diet in order to prevent adverse reactions to one of the 14 food allergens listed in EU Regulation 1169/2011. We excluded respondents who described symptoms suggestive of IgE mediated allergy, or if they were prescribed treatments indicative of IgE allergy. </w:t>
      </w:r>
    </w:p>
    <w:p w:rsidR="008A6233" w:rsidRPr="00473871" w:rsidRDefault="008A6233" w:rsidP="008A6233">
      <w:pPr>
        <w:pBdr>
          <w:top w:val="nil"/>
          <w:left w:val="nil"/>
          <w:bottom w:val="nil"/>
          <w:right w:val="nil"/>
          <w:between w:val="nil"/>
          <w:bar w:val="nil"/>
        </w:pBdr>
        <w:spacing w:after="120" w:line="360" w:lineRule="auto"/>
        <w:rPr>
          <w:rFonts w:asciiTheme="majorHAnsi" w:eastAsia="Arial Unicode MS" w:hAnsiTheme="majorHAnsi" w:cs="Arial Unicode MS"/>
          <w:b/>
          <w:sz w:val="24"/>
          <w:szCs w:val="24"/>
          <w:u w:color="000000"/>
          <w:bdr w:val="nil"/>
          <w:lang w:val="en-US" w:eastAsia="en-GB"/>
        </w:rPr>
      </w:pPr>
      <w:r w:rsidRPr="00473871">
        <w:rPr>
          <w:rFonts w:asciiTheme="majorHAnsi" w:eastAsia="Arial Unicode MS" w:hAnsiTheme="majorHAnsi" w:cs="Arial Unicode MS"/>
          <w:b/>
          <w:sz w:val="24"/>
          <w:szCs w:val="24"/>
          <w:u w:val="single" w:color="000000"/>
          <w:bdr w:val="nil"/>
          <w:lang w:val="en-US" w:eastAsia="en-GB"/>
        </w:rPr>
        <w:t>Materials and Measures</w:t>
      </w:r>
    </w:p>
    <w:p w:rsidR="008A6233" w:rsidRPr="00473871" w:rsidRDefault="008A6233" w:rsidP="008A6233">
      <w:pPr>
        <w:pBdr>
          <w:top w:val="nil"/>
          <w:left w:val="nil"/>
          <w:bottom w:val="nil"/>
          <w:right w:val="nil"/>
          <w:between w:val="nil"/>
          <w:bar w:val="nil"/>
        </w:pBdr>
        <w:spacing w:after="120" w:line="360" w:lineRule="auto"/>
        <w:rPr>
          <w:rFonts w:asciiTheme="majorHAnsi" w:eastAsia="Calibri" w:hAnsiTheme="majorHAnsi" w:cs="Arial"/>
          <w:sz w:val="24"/>
          <w:szCs w:val="24"/>
        </w:rPr>
      </w:pPr>
      <w:r w:rsidRPr="00473871">
        <w:rPr>
          <w:rFonts w:asciiTheme="majorHAnsi" w:eastAsia="Calibri" w:hAnsiTheme="majorHAnsi" w:cs="Arial"/>
          <w:sz w:val="24"/>
          <w:szCs w:val="24"/>
        </w:rPr>
        <w:t>We used the Food Allergy Quality of Life questionnaire, Adult Form (</w:t>
      </w:r>
      <w:r w:rsidRPr="00473871">
        <w:rPr>
          <w:rFonts w:asciiTheme="majorHAnsi" w:eastAsia="Arial Unicode MS" w:hAnsiTheme="majorHAnsi" w:cs="Arial Unicode MS"/>
          <w:sz w:val="24"/>
          <w:szCs w:val="24"/>
          <w:u w:color="000000"/>
          <w:bdr w:val="nil"/>
          <w:lang w:val="en-US" w:eastAsia="en-GB"/>
        </w:rPr>
        <w:t>FAQLQ-AF</w:t>
      </w:r>
      <w:r w:rsidRPr="00473871">
        <w:rPr>
          <w:rFonts w:asciiTheme="majorHAnsi" w:eastAsia="Calibri" w:hAnsiTheme="majorHAnsi" w:cs="Arial"/>
          <w:sz w:val="24"/>
          <w:szCs w:val="24"/>
        </w:rPr>
        <w:t>)</w:t>
      </w:r>
      <w:r w:rsidRPr="00473871">
        <w:rPr>
          <w:rFonts w:asciiTheme="majorHAnsi" w:eastAsia="Arial Unicode MS" w:hAnsiTheme="majorHAnsi" w:cs="Arial Unicode MS"/>
          <w:sz w:val="24"/>
          <w:szCs w:val="24"/>
          <w:u w:color="000000"/>
          <w:bdr w:val="nil"/>
          <w:lang w:val="en-US" w:eastAsia="en-GB"/>
        </w:rPr>
        <w:t xml:space="preserve"> as the basis to develop FIQLQ. </w:t>
      </w:r>
      <w:r w:rsidRPr="00473871">
        <w:rPr>
          <w:rFonts w:asciiTheme="majorHAnsi" w:eastAsia="Calibri" w:hAnsiTheme="majorHAnsi" w:cs="Arial"/>
          <w:sz w:val="24"/>
          <w:szCs w:val="24"/>
        </w:rPr>
        <w:t xml:space="preserve"> The FAQLQ is a disease-specific HRQL questionnaire with excellent validity, and reliability for adults with food allergy. It contains 29 items, each scored on a scale from 1 (minimal impairment in HRQL) to 7 (maximal impairment in HRQL).  </w:t>
      </w:r>
    </w:p>
    <w:p w:rsidR="008A6233" w:rsidRPr="00473871" w:rsidRDefault="008A6233" w:rsidP="008A6233">
      <w:pPr>
        <w:pBdr>
          <w:top w:val="nil"/>
          <w:left w:val="nil"/>
          <w:bottom w:val="nil"/>
          <w:right w:val="nil"/>
          <w:between w:val="nil"/>
          <w:bar w:val="nil"/>
        </w:pBdr>
        <w:spacing w:after="120" w:line="360" w:lineRule="auto"/>
        <w:rPr>
          <w:rFonts w:asciiTheme="majorHAnsi" w:eastAsia="Calibri" w:hAnsiTheme="majorHAnsi" w:cs="Arial"/>
          <w:sz w:val="24"/>
          <w:szCs w:val="24"/>
        </w:rPr>
      </w:pPr>
      <w:r>
        <w:rPr>
          <w:rFonts w:asciiTheme="majorHAnsi" w:eastAsia="Arial Unicode MS" w:hAnsiTheme="majorHAnsi" w:cs="Arial Unicode MS"/>
          <w:sz w:val="24"/>
          <w:szCs w:val="24"/>
          <w:u w:color="000000"/>
          <w:bdr w:val="nil"/>
          <w:lang w:val="en-US" w:eastAsia="en-GB"/>
        </w:rPr>
        <w:t>Since there does not exist a food intolerance specific questionnaire at present, we used t</w:t>
      </w:r>
      <w:r w:rsidRPr="00473871">
        <w:rPr>
          <w:rFonts w:asciiTheme="majorHAnsi" w:eastAsia="Arial Unicode MS" w:hAnsiTheme="majorHAnsi" w:cs="Arial Unicode MS"/>
          <w:sz w:val="24"/>
          <w:szCs w:val="24"/>
          <w:u w:color="000000"/>
          <w:bdr w:val="nil"/>
          <w:lang w:val="en-US" w:eastAsia="en-GB"/>
        </w:rPr>
        <w:t>he Food Allergy Independent Measure (FAIM)</w:t>
      </w:r>
      <w:r>
        <w:rPr>
          <w:rFonts w:asciiTheme="majorHAnsi" w:eastAsia="Arial Unicode MS" w:hAnsiTheme="majorHAnsi" w:cs="Arial Unicode MS"/>
          <w:sz w:val="24"/>
          <w:szCs w:val="24"/>
          <w:u w:color="000000"/>
          <w:bdr w:val="nil"/>
          <w:lang w:val="en-US" w:eastAsia="en-GB"/>
        </w:rPr>
        <w:t xml:space="preserve"> as one of several measures to assess validity. </w:t>
      </w:r>
      <w:r w:rsidRPr="00473871">
        <w:rPr>
          <w:rFonts w:asciiTheme="majorHAnsi" w:eastAsia="Arial Unicode MS" w:hAnsiTheme="majorHAnsi" w:cs="Arial Unicode MS"/>
          <w:sz w:val="24"/>
          <w:szCs w:val="24"/>
          <w:u w:color="000000"/>
          <w:bdr w:val="nil"/>
          <w:lang w:eastAsia="en-GB"/>
        </w:rPr>
        <w:t xml:space="preserve"> </w:t>
      </w:r>
      <w:r>
        <w:rPr>
          <w:rFonts w:asciiTheme="majorHAnsi" w:eastAsia="Arial Unicode MS" w:hAnsiTheme="majorHAnsi" w:cs="Arial Unicode MS"/>
          <w:sz w:val="24"/>
          <w:szCs w:val="24"/>
          <w:u w:color="000000"/>
          <w:bdr w:val="nil"/>
          <w:lang w:val="en-US" w:eastAsia="en-GB"/>
        </w:rPr>
        <w:t xml:space="preserve">The FAIM </w:t>
      </w:r>
      <w:r w:rsidRPr="00473871">
        <w:rPr>
          <w:rFonts w:asciiTheme="majorHAnsi" w:eastAsia="Arial Unicode MS" w:hAnsiTheme="majorHAnsi" w:cs="Arial Unicode MS"/>
          <w:sz w:val="24"/>
          <w:szCs w:val="24"/>
          <w:u w:color="000000"/>
          <w:bdr w:val="nil"/>
          <w:lang w:val="en-US" w:eastAsia="en-GB"/>
        </w:rPr>
        <w:t xml:space="preserve">assesses perceived risks and expected prognosis of food allergic individuals (18). It has </w:t>
      </w:r>
      <w:r>
        <w:rPr>
          <w:rFonts w:asciiTheme="majorHAnsi" w:eastAsia="Arial Unicode MS" w:hAnsiTheme="majorHAnsi" w:cs="Arial Unicode MS"/>
          <w:sz w:val="24"/>
          <w:szCs w:val="24"/>
          <w:u w:color="000000"/>
          <w:bdr w:val="nil"/>
          <w:lang w:val="en-US" w:eastAsia="en-GB"/>
        </w:rPr>
        <w:t>7</w:t>
      </w:r>
      <w:r w:rsidRPr="00473871">
        <w:rPr>
          <w:rFonts w:asciiTheme="majorHAnsi" w:eastAsia="Arial Unicode MS" w:hAnsiTheme="majorHAnsi" w:cs="Arial Unicode MS"/>
          <w:sz w:val="24"/>
          <w:szCs w:val="24"/>
          <w:u w:color="000000"/>
          <w:bdr w:val="nil"/>
          <w:lang w:val="en-US" w:eastAsia="en-GB"/>
        </w:rPr>
        <w:t xml:space="preserve"> items answered on a 1-7 response scale with a greater score indicating a higher level of perceived risk </w:t>
      </w:r>
      <w:r>
        <w:rPr>
          <w:rFonts w:asciiTheme="majorHAnsi" w:eastAsia="Arial Unicode MS" w:hAnsiTheme="majorHAnsi" w:cs="Arial Unicode MS"/>
          <w:sz w:val="24"/>
          <w:szCs w:val="24"/>
          <w:u w:color="000000"/>
          <w:bdr w:val="nil"/>
          <w:lang w:val="en-US" w:eastAsia="en-GB"/>
        </w:rPr>
        <w:t>of</w:t>
      </w:r>
      <w:r w:rsidRPr="00473871">
        <w:rPr>
          <w:rFonts w:asciiTheme="majorHAnsi" w:eastAsia="Arial Unicode MS" w:hAnsiTheme="majorHAnsi" w:cs="Arial Unicode MS"/>
          <w:sz w:val="24"/>
          <w:szCs w:val="24"/>
          <w:u w:color="000000"/>
          <w:bdr w:val="nil"/>
          <w:lang w:val="en-US" w:eastAsia="en-GB"/>
        </w:rPr>
        <w:t xml:space="preserve"> adverse outcome</w:t>
      </w:r>
      <w:r>
        <w:rPr>
          <w:rFonts w:asciiTheme="majorHAnsi" w:eastAsia="Arial Unicode MS" w:hAnsiTheme="majorHAnsi" w:cs="Arial Unicode MS"/>
          <w:sz w:val="24"/>
          <w:szCs w:val="24"/>
          <w:u w:color="000000"/>
          <w:bdr w:val="nil"/>
          <w:lang w:val="en-US" w:eastAsia="en-GB"/>
        </w:rPr>
        <w:t xml:space="preserve">. </w:t>
      </w:r>
      <w:r w:rsidRPr="00473871">
        <w:rPr>
          <w:rFonts w:asciiTheme="majorHAnsi" w:eastAsia="Arial Unicode MS" w:hAnsiTheme="majorHAnsi" w:cs="Arial Unicode MS"/>
          <w:sz w:val="24"/>
          <w:szCs w:val="24"/>
          <w:u w:color="000000"/>
          <w:bdr w:val="nil"/>
          <w:lang w:val="en-US" w:eastAsia="en-GB"/>
        </w:rPr>
        <w:t>Subjective expectation of outcome is a reliable predictor and correlate of self-reported HRQL in food allergy and in other chronic diseases</w:t>
      </w:r>
      <w:r>
        <w:rPr>
          <w:rFonts w:asciiTheme="majorHAnsi" w:eastAsia="Arial Unicode MS" w:hAnsiTheme="majorHAnsi" w:cs="Arial Unicode MS"/>
          <w:sz w:val="24"/>
          <w:szCs w:val="24"/>
          <w:u w:color="000000"/>
          <w:bdr w:val="nil"/>
          <w:lang w:val="en-US" w:eastAsia="en-GB"/>
        </w:rPr>
        <w:t>. For the purposes of this study, we will refer to the measure as the Food Intolerance Independent Measure (FIIM).</w:t>
      </w:r>
      <w:r w:rsidRPr="00473871">
        <w:rPr>
          <w:rFonts w:asciiTheme="majorHAnsi" w:eastAsia="Arial Unicode MS" w:hAnsiTheme="majorHAnsi" w:cs="Arial Unicode MS"/>
          <w:sz w:val="24"/>
          <w:szCs w:val="24"/>
          <w:u w:color="000000"/>
          <w:bdr w:val="nil"/>
          <w:lang w:val="en-US" w:eastAsia="en-GB"/>
        </w:rPr>
        <w:t xml:space="preserve">  </w:t>
      </w:r>
    </w:p>
    <w:p w:rsidR="008A6233" w:rsidRPr="00473871" w:rsidRDefault="008A6233" w:rsidP="008A6233">
      <w:pPr>
        <w:pBdr>
          <w:top w:val="nil"/>
          <w:left w:val="nil"/>
          <w:bottom w:val="nil"/>
          <w:right w:val="nil"/>
          <w:between w:val="nil"/>
          <w:bar w:val="nil"/>
        </w:pBdr>
        <w:spacing w:after="120" w:line="360" w:lineRule="auto"/>
        <w:rPr>
          <w:rFonts w:asciiTheme="majorHAnsi" w:eastAsia="Arial Unicode MS" w:hAnsiTheme="majorHAnsi" w:cs="Arial Unicode MS"/>
          <w:b/>
          <w:sz w:val="24"/>
          <w:szCs w:val="24"/>
          <w:u w:color="000000"/>
          <w:bdr w:val="nil"/>
          <w:lang w:val="en-US" w:eastAsia="en-GB"/>
        </w:rPr>
      </w:pPr>
      <w:r w:rsidRPr="00473871">
        <w:rPr>
          <w:rFonts w:asciiTheme="majorHAnsi" w:eastAsia="Arial Unicode MS" w:hAnsiTheme="majorHAnsi" w:cs="Arial Unicode MS"/>
          <w:b/>
          <w:sz w:val="24"/>
          <w:szCs w:val="24"/>
          <w:u w:val="single"/>
          <w:bdr w:val="nil"/>
          <w:lang w:val="en-US" w:eastAsia="en-GB"/>
        </w:rPr>
        <w:t>Development of FIQLQ and FIIM</w:t>
      </w:r>
    </w:p>
    <w:p w:rsidR="008A6233" w:rsidRPr="00473871" w:rsidRDefault="008A6233" w:rsidP="008A6233">
      <w:pPr>
        <w:pBdr>
          <w:top w:val="nil"/>
          <w:left w:val="nil"/>
          <w:bottom w:val="nil"/>
          <w:right w:val="nil"/>
          <w:between w:val="nil"/>
          <w:bar w:val="nil"/>
        </w:pBdr>
        <w:spacing w:after="120" w:line="360" w:lineRule="auto"/>
        <w:rPr>
          <w:rFonts w:asciiTheme="majorHAnsi" w:eastAsia="Arial Unicode MS" w:hAnsiTheme="majorHAnsi" w:cs="Arial Unicode MS"/>
          <w:color w:val="FF0000"/>
          <w:sz w:val="24"/>
          <w:szCs w:val="24"/>
          <w:u w:color="000000"/>
          <w:bdr w:val="nil"/>
          <w:lang w:val="en-US" w:eastAsia="en-GB"/>
        </w:rPr>
      </w:pPr>
      <w:r w:rsidRPr="00473871">
        <w:rPr>
          <w:rFonts w:asciiTheme="majorHAnsi" w:eastAsia="Arial Unicode MS" w:hAnsiTheme="majorHAnsi" w:cs="Arial Unicode MS"/>
          <w:sz w:val="24"/>
          <w:szCs w:val="24"/>
          <w:u w:color="000000"/>
          <w:bdr w:val="nil"/>
          <w:lang w:val="en-US" w:eastAsia="en-GB"/>
        </w:rPr>
        <w:t>We conducted cognitive interviews with 14 adults with food intolerance, using the allergy-specific instruments FAQLQ and FAIM as the starting point for discussions. Before the interview, participants received an information pack by post, including copies of the FAQLQ and the FAIM questionnaires. During the interviews, which we conducted by telephone, participants were asked to reflect on each item in the allergy-specific questionnaires and on the overall instruments. Specifically, they were asked to rate ‘</w:t>
      </w:r>
      <w:r w:rsidRPr="00473871">
        <w:rPr>
          <w:rFonts w:asciiTheme="majorHAnsi" w:eastAsia="Arial Unicode MS" w:hAnsiTheme="majorHAnsi" w:cs="Arial Unicode MS"/>
          <w:i/>
          <w:sz w:val="24"/>
          <w:szCs w:val="24"/>
          <w:u w:color="000000"/>
          <w:bdr w:val="nil"/>
          <w:lang w:val="en-US" w:eastAsia="en-GB"/>
        </w:rPr>
        <w:t>how relevant is this</w:t>
      </w:r>
      <w:r w:rsidRPr="00473871">
        <w:rPr>
          <w:rFonts w:asciiTheme="majorHAnsi" w:eastAsia="Arial Unicode MS" w:hAnsiTheme="majorHAnsi" w:cs="Arial Unicode MS"/>
          <w:sz w:val="24"/>
          <w:szCs w:val="24"/>
          <w:u w:color="000000"/>
          <w:bdr w:val="nil"/>
          <w:lang w:val="en-US" w:eastAsia="en-GB"/>
        </w:rPr>
        <w:t xml:space="preserve"> </w:t>
      </w:r>
      <w:r w:rsidRPr="00473871">
        <w:rPr>
          <w:rFonts w:asciiTheme="majorHAnsi" w:eastAsia="Arial Unicode MS" w:hAnsiTheme="majorHAnsi" w:cs="Arial Unicode MS"/>
          <w:i/>
          <w:sz w:val="24"/>
          <w:szCs w:val="24"/>
          <w:u w:color="000000"/>
          <w:bdr w:val="nil"/>
          <w:lang w:val="en-US" w:eastAsia="en-GB"/>
        </w:rPr>
        <w:t xml:space="preserve">question?’ </w:t>
      </w:r>
      <w:r w:rsidRPr="00473871">
        <w:rPr>
          <w:rFonts w:asciiTheme="majorHAnsi" w:eastAsia="Arial Unicode MS" w:hAnsiTheme="majorHAnsi" w:cs="Arial Unicode MS"/>
          <w:sz w:val="24"/>
          <w:szCs w:val="24"/>
          <w:u w:color="000000"/>
          <w:bdr w:val="nil"/>
          <w:lang w:val="en-US" w:eastAsia="en-GB"/>
        </w:rPr>
        <w:t>and ‘</w:t>
      </w:r>
      <w:r w:rsidRPr="00473871">
        <w:rPr>
          <w:rFonts w:asciiTheme="majorHAnsi" w:eastAsia="Arial Unicode MS" w:hAnsiTheme="majorHAnsi" w:cs="Arial Unicode MS"/>
          <w:i/>
          <w:sz w:val="24"/>
          <w:szCs w:val="24"/>
          <w:u w:color="000000"/>
          <w:bdr w:val="nil"/>
          <w:lang w:val="en-US" w:eastAsia="en-GB"/>
        </w:rPr>
        <w:t>how important is this question to the impact of food intolerance on your health related quality of life</w:t>
      </w:r>
      <w:r w:rsidRPr="00473871">
        <w:rPr>
          <w:rFonts w:asciiTheme="majorHAnsi" w:eastAsia="Arial Unicode MS" w:hAnsiTheme="majorHAnsi" w:cs="Arial Unicode MS"/>
          <w:sz w:val="24"/>
          <w:szCs w:val="24"/>
          <w:u w:color="000000"/>
          <w:bdr w:val="nil"/>
          <w:lang w:val="en-US" w:eastAsia="en-GB"/>
        </w:rPr>
        <w:t>?’ on a scale of 0-5 (0 = not at all relevant; 5= very relevant).  The interviewer (ADG) also asked ‘</w:t>
      </w:r>
      <w:r w:rsidRPr="00473871">
        <w:rPr>
          <w:rFonts w:asciiTheme="majorHAnsi" w:eastAsia="Arial Unicode MS" w:hAnsiTheme="majorHAnsi" w:cs="Arial Unicode MS"/>
          <w:i/>
          <w:sz w:val="24"/>
          <w:szCs w:val="24"/>
          <w:u w:color="000000"/>
          <w:bdr w:val="nil"/>
          <w:lang w:val="en-US" w:eastAsia="en-GB"/>
        </w:rPr>
        <w:t xml:space="preserve">Are there any questions that are not in the questionnaire which should be added to capture the impact of food intolerance on the quality of life of an </w:t>
      </w:r>
      <w:r w:rsidRPr="00473871">
        <w:rPr>
          <w:rFonts w:asciiTheme="majorHAnsi" w:eastAsia="Arial Unicode MS" w:hAnsiTheme="majorHAnsi" w:cs="Arial Unicode MS"/>
          <w:i/>
          <w:sz w:val="24"/>
          <w:szCs w:val="24"/>
          <w:u w:color="000000"/>
          <w:bdr w:val="nil"/>
          <w:lang w:val="en-US" w:eastAsia="en-GB"/>
        </w:rPr>
        <w:lastRenderedPageBreak/>
        <w:t>adult with food intolerance?</w:t>
      </w:r>
      <w:r w:rsidRPr="00473871">
        <w:rPr>
          <w:rFonts w:asciiTheme="majorHAnsi" w:eastAsia="Arial Unicode MS" w:hAnsiTheme="majorHAnsi" w:cs="Arial Unicode MS"/>
          <w:sz w:val="24"/>
          <w:szCs w:val="24"/>
          <w:u w:color="000000"/>
          <w:bdr w:val="nil"/>
          <w:lang w:val="en-US" w:eastAsia="en-GB"/>
        </w:rPr>
        <w:t xml:space="preserve"> </w:t>
      </w:r>
      <w:r w:rsidRPr="00473871">
        <w:rPr>
          <w:rFonts w:asciiTheme="majorHAnsi" w:eastAsia="Arial Unicode MS" w:hAnsiTheme="majorHAnsi" w:cs="Arial Unicode MS"/>
          <w:i/>
          <w:sz w:val="24"/>
          <w:szCs w:val="24"/>
          <w:u w:color="000000"/>
          <w:bdr w:val="nil"/>
          <w:lang w:val="en-US" w:eastAsia="en-GB"/>
        </w:rPr>
        <w:t>Are there questions which should be reworded? What wording would you</w:t>
      </w:r>
      <w:r w:rsidRPr="00473871">
        <w:rPr>
          <w:rFonts w:asciiTheme="majorHAnsi" w:eastAsia="Arial Unicode MS" w:hAnsiTheme="majorHAnsi" w:cs="Arial Unicode MS"/>
          <w:sz w:val="24"/>
          <w:szCs w:val="24"/>
          <w:u w:color="000000"/>
          <w:bdr w:val="nil"/>
          <w:lang w:val="en-US" w:eastAsia="en-GB"/>
        </w:rPr>
        <w:t xml:space="preserve"> </w:t>
      </w:r>
      <w:r w:rsidRPr="00473871">
        <w:rPr>
          <w:rFonts w:asciiTheme="majorHAnsi" w:eastAsia="Arial Unicode MS" w:hAnsiTheme="majorHAnsi" w:cs="Arial Unicode MS"/>
          <w:i/>
          <w:sz w:val="24"/>
          <w:szCs w:val="24"/>
          <w:u w:color="000000"/>
          <w:bdr w:val="nil"/>
          <w:lang w:val="en-US" w:eastAsia="en-GB"/>
        </w:rPr>
        <w:t xml:space="preserve">suggest?’ </w:t>
      </w:r>
      <w:r w:rsidRPr="00473871">
        <w:rPr>
          <w:rFonts w:asciiTheme="majorHAnsi" w:eastAsia="Arial Unicode MS" w:hAnsiTheme="majorHAnsi" w:cs="Arial Unicode MS"/>
          <w:sz w:val="24"/>
          <w:szCs w:val="24"/>
          <w:u w:color="000000"/>
          <w:bdr w:val="nil"/>
          <w:lang w:val="en-US" w:eastAsia="en-GB"/>
        </w:rPr>
        <w:t>Interpretation and understanding of items was assessed by asking participants to repeat the question in their own words.</w:t>
      </w:r>
      <w:r w:rsidRPr="00473871">
        <w:rPr>
          <w:rFonts w:asciiTheme="majorHAnsi" w:eastAsia="Calibri" w:hAnsiTheme="majorHAnsi" w:cs="AdvAgfaRS"/>
          <w:sz w:val="24"/>
          <w:szCs w:val="24"/>
          <w:lang w:val="en-IE" w:eastAsia="en-IE"/>
        </w:rPr>
        <w:t xml:space="preserve">  </w:t>
      </w:r>
      <w:r>
        <w:rPr>
          <w:rFonts w:asciiTheme="majorHAnsi" w:eastAsia="Calibri" w:hAnsiTheme="majorHAnsi" w:cs="AdvAgfaRS"/>
          <w:sz w:val="24"/>
          <w:szCs w:val="24"/>
          <w:lang w:val="en-IE" w:eastAsia="en-IE"/>
        </w:rPr>
        <w:t xml:space="preserve">The FIIM was assessed in the same way. </w:t>
      </w:r>
      <w:r w:rsidRPr="00473871">
        <w:rPr>
          <w:rFonts w:asciiTheme="majorHAnsi" w:eastAsia="Arial Unicode MS" w:hAnsiTheme="majorHAnsi" w:cs="Arial Unicode MS"/>
          <w:color w:val="FF0000"/>
          <w:sz w:val="24"/>
          <w:szCs w:val="24"/>
          <w:u w:color="000000"/>
          <w:bdr w:val="nil"/>
          <w:lang w:val="en-US" w:eastAsia="en-GB"/>
        </w:rPr>
        <w:t xml:space="preserve"> </w:t>
      </w:r>
      <w:r w:rsidRPr="00473871">
        <w:rPr>
          <w:rFonts w:asciiTheme="majorHAnsi" w:eastAsia="Arial Unicode MS" w:hAnsiTheme="majorHAnsi" w:cs="Arial Unicode MS"/>
          <w:sz w:val="24"/>
          <w:szCs w:val="24"/>
          <w:u w:color="000000"/>
          <w:bdr w:val="nil"/>
          <w:lang w:val="en-US" w:eastAsia="en-GB"/>
        </w:rPr>
        <w:t xml:space="preserve"> </w:t>
      </w:r>
    </w:p>
    <w:p w:rsidR="008A6233" w:rsidRPr="00473871" w:rsidRDefault="008A6233" w:rsidP="008A6233">
      <w:pPr>
        <w:pBdr>
          <w:top w:val="nil"/>
          <w:left w:val="nil"/>
          <w:bottom w:val="nil"/>
          <w:right w:val="nil"/>
          <w:between w:val="nil"/>
          <w:bar w:val="nil"/>
        </w:pBdr>
        <w:spacing w:after="120" w:line="360" w:lineRule="auto"/>
        <w:rPr>
          <w:rFonts w:asciiTheme="majorHAnsi" w:eastAsia="Arial Unicode MS" w:hAnsiTheme="majorHAnsi" w:cs="Arial Unicode MS"/>
          <w:sz w:val="24"/>
          <w:szCs w:val="24"/>
          <w:u w:color="000000"/>
          <w:bdr w:val="nil"/>
          <w:lang w:eastAsia="en-GB"/>
        </w:rPr>
      </w:pPr>
      <w:r w:rsidRPr="00473871">
        <w:rPr>
          <w:rFonts w:asciiTheme="majorHAnsi" w:eastAsia="Arial Unicode MS" w:hAnsiTheme="majorHAnsi" w:cs="Arial Unicode MS"/>
          <w:sz w:val="24"/>
          <w:szCs w:val="24"/>
          <w:u w:color="000000"/>
          <w:bdr w:val="nil"/>
          <w:lang w:val="en-US" w:eastAsia="en-GB"/>
        </w:rPr>
        <w:t xml:space="preserve">Analyses of the interviews were used to develop the FIQLQ </w:t>
      </w:r>
      <w:r>
        <w:rPr>
          <w:rFonts w:asciiTheme="majorHAnsi" w:eastAsia="Arial Unicode MS" w:hAnsiTheme="majorHAnsi" w:cs="Arial Unicode MS"/>
          <w:sz w:val="24"/>
          <w:szCs w:val="24"/>
          <w:u w:color="000000"/>
          <w:bdr w:val="nil"/>
          <w:lang w:val="en-US" w:eastAsia="en-GB"/>
        </w:rPr>
        <w:t>questionnaire</w:t>
      </w:r>
      <w:r w:rsidRPr="00473871">
        <w:rPr>
          <w:rFonts w:asciiTheme="majorHAnsi" w:eastAsia="Arial Unicode MS" w:hAnsiTheme="majorHAnsi" w:cs="Arial Unicode MS"/>
          <w:sz w:val="24"/>
          <w:szCs w:val="24"/>
          <w:u w:color="000000"/>
          <w:bdr w:val="nil"/>
          <w:lang w:val="en-US" w:eastAsia="en-GB"/>
        </w:rPr>
        <w:t xml:space="preserve">. </w:t>
      </w:r>
      <w:r w:rsidRPr="00473871">
        <w:rPr>
          <w:rFonts w:asciiTheme="majorHAnsi" w:eastAsia="Arial Unicode MS" w:hAnsiTheme="majorHAnsi" w:cs="Arial Unicode MS"/>
          <w:sz w:val="24"/>
          <w:szCs w:val="24"/>
          <w:u w:color="000000"/>
          <w:bdr w:val="nil"/>
          <w:lang w:eastAsia="en-GB"/>
        </w:rPr>
        <w:t xml:space="preserve">We calculated the overall importance (OI) of each item by multiplying the proportion of participants endorsing the relevance of that item with the mean importance score attached to the item. (OI=endorsement x mean importance).  Items with the highest OI were </w:t>
      </w:r>
      <w:r w:rsidR="00F86047">
        <w:rPr>
          <w:rFonts w:asciiTheme="majorHAnsi" w:eastAsia="Arial Unicode MS" w:hAnsiTheme="majorHAnsi" w:cs="Arial Unicode MS"/>
          <w:sz w:val="24"/>
          <w:szCs w:val="24"/>
          <w:u w:color="000000"/>
          <w:bdr w:val="nil"/>
          <w:lang w:eastAsia="en-GB"/>
        </w:rPr>
        <w:t xml:space="preserve">retained (cut-off &gt;2.0 (19-20)), </w:t>
      </w:r>
      <w:r w:rsidR="00F86047" w:rsidRPr="00F86047">
        <w:rPr>
          <w:rFonts w:asciiTheme="majorHAnsi" w:eastAsia="Arial Unicode MS" w:hAnsiTheme="majorHAnsi" w:cs="Arial Unicode MS"/>
          <w:b/>
          <w:sz w:val="24"/>
          <w:szCs w:val="24"/>
          <w:u w:color="000000"/>
          <w:bdr w:val="nil"/>
          <w:lang w:eastAsia="en-GB"/>
        </w:rPr>
        <w:t>and those below this point were dropped.</w:t>
      </w:r>
      <w:r w:rsidR="00F86047">
        <w:rPr>
          <w:rFonts w:asciiTheme="majorHAnsi" w:eastAsia="Arial Unicode MS" w:hAnsiTheme="majorHAnsi" w:cs="Arial Unicode MS"/>
          <w:sz w:val="24"/>
          <w:szCs w:val="24"/>
          <w:u w:color="000000"/>
          <w:bdr w:val="nil"/>
          <w:lang w:eastAsia="en-GB"/>
        </w:rPr>
        <w:t xml:space="preserve"> </w:t>
      </w:r>
      <w:r w:rsidRPr="00473871">
        <w:rPr>
          <w:rFonts w:asciiTheme="majorHAnsi" w:eastAsia="Arial Unicode MS" w:hAnsiTheme="majorHAnsi" w:cs="Arial Unicode MS"/>
          <w:sz w:val="24"/>
          <w:szCs w:val="24"/>
          <w:u w:color="000000"/>
          <w:bdr w:val="nil"/>
          <w:lang w:eastAsia="en-GB"/>
        </w:rPr>
        <w:t xml:space="preserve"> </w:t>
      </w:r>
      <w:r w:rsidR="00F86047">
        <w:rPr>
          <w:rFonts w:asciiTheme="majorHAnsi" w:eastAsia="Arial Unicode MS" w:hAnsiTheme="majorHAnsi" w:cs="Arial Unicode MS"/>
          <w:sz w:val="24"/>
          <w:szCs w:val="24"/>
          <w:u w:color="000000"/>
          <w:bdr w:val="nil"/>
          <w:lang w:val="en-US" w:eastAsia="en-GB"/>
        </w:rPr>
        <w:t xml:space="preserve">We added new questions </w:t>
      </w:r>
      <w:r w:rsidRPr="00473871">
        <w:rPr>
          <w:rFonts w:asciiTheme="majorHAnsi" w:eastAsia="Arial Unicode MS" w:hAnsiTheme="majorHAnsi" w:cs="Arial Unicode MS"/>
          <w:sz w:val="24"/>
          <w:szCs w:val="24"/>
          <w:u w:color="000000"/>
          <w:bdr w:val="nil"/>
          <w:lang w:val="en-US" w:eastAsia="en-GB"/>
        </w:rPr>
        <w:t>and amended wording to ensure the new instruments addressed the needs of people with FI.</w:t>
      </w:r>
    </w:p>
    <w:p w:rsidR="008A6233" w:rsidRPr="00473871" w:rsidRDefault="008A6233" w:rsidP="008A6233">
      <w:pPr>
        <w:pBdr>
          <w:top w:val="nil"/>
          <w:left w:val="nil"/>
          <w:bottom w:val="nil"/>
          <w:right w:val="nil"/>
          <w:between w:val="nil"/>
          <w:bar w:val="nil"/>
        </w:pBdr>
        <w:spacing w:after="120" w:line="360" w:lineRule="auto"/>
        <w:rPr>
          <w:rFonts w:asciiTheme="majorHAnsi" w:eastAsia="Arial Unicode MS" w:hAnsiTheme="majorHAnsi" w:cs="Arial Unicode MS"/>
          <w:sz w:val="24"/>
          <w:szCs w:val="24"/>
          <w:u w:color="000000"/>
          <w:bdr w:val="nil"/>
          <w:lang w:val="en-US" w:eastAsia="en-GB"/>
        </w:rPr>
      </w:pPr>
      <w:r w:rsidRPr="00473871">
        <w:rPr>
          <w:rFonts w:asciiTheme="majorHAnsi" w:eastAsia="Arial Unicode MS" w:hAnsiTheme="majorHAnsi" w:cs="Arial Unicode MS"/>
          <w:b/>
          <w:sz w:val="24"/>
          <w:szCs w:val="24"/>
          <w:u w:val="single"/>
          <w:bdr w:val="nil"/>
          <w:lang w:val="en-US" w:eastAsia="en-GB"/>
        </w:rPr>
        <w:t>Psychometric validation of the FIQLQ</w:t>
      </w:r>
    </w:p>
    <w:p w:rsidR="008A6233" w:rsidRPr="001C3DD6" w:rsidRDefault="008A6233" w:rsidP="008A6233">
      <w:pPr>
        <w:pBdr>
          <w:top w:val="nil"/>
          <w:left w:val="nil"/>
          <w:bottom w:val="nil"/>
          <w:right w:val="nil"/>
          <w:between w:val="nil"/>
          <w:bar w:val="nil"/>
        </w:pBdr>
        <w:spacing w:after="120" w:line="360" w:lineRule="auto"/>
        <w:rPr>
          <w:rFonts w:asciiTheme="majorHAnsi" w:eastAsia="Arial Unicode MS" w:hAnsiTheme="majorHAnsi" w:cs="Arial Unicode MS"/>
          <w:i/>
          <w:sz w:val="24"/>
          <w:szCs w:val="24"/>
          <w:u w:color="000000"/>
          <w:bdr w:val="nil"/>
          <w:lang w:val="en-US" w:eastAsia="en-GB"/>
        </w:rPr>
      </w:pPr>
      <w:r w:rsidRPr="00473871">
        <w:rPr>
          <w:rFonts w:asciiTheme="majorHAnsi" w:eastAsia="Arial Unicode MS" w:hAnsiTheme="majorHAnsi" w:cs="Arial Unicode MS"/>
          <w:sz w:val="24"/>
          <w:szCs w:val="24"/>
          <w:u w:color="000000"/>
          <w:bdr w:val="nil"/>
          <w:lang w:val="en-US" w:eastAsia="en-GB"/>
        </w:rPr>
        <w:t xml:space="preserve">Two hundred and twenty nine adults completed the online survey. The first section contained screening questions to ensure participants met the inclusion criteria.  The second section contained the FIQLQ; response scores ranged from 1 to 7 and higher scores indicated worse health-related quality of life.  The third section contained the Food Intolerance Independent Measure (FIIM).  </w:t>
      </w:r>
      <w:r w:rsidRPr="00473871">
        <w:rPr>
          <w:rFonts w:asciiTheme="majorHAnsi" w:eastAsia="Arial Unicode MS" w:hAnsiTheme="majorHAnsi" w:cs="Arial Unicode MS"/>
          <w:sz w:val="24"/>
          <w:szCs w:val="24"/>
          <w:u w:color="000000"/>
          <w:bdr w:val="nil"/>
          <w:lang w:eastAsia="en-GB"/>
        </w:rPr>
        <w:t xml:space="preserve">Finally, participants answered independent questions that we used to test whether FIQLQ scales were testing the constructs that we anticipated. For example, </w:t>
      </w:r>
      <w:r w:rsidRPr="001C3DD6">
        <w:rPr>
          <w:rFonts w:asciiTheme="majorHAnsi" w:eastAsia="Arial Unicode MS" w:hAnsiTheme="majorHAnsi" w:cs="Arial Unicode MS"/>
          <w:i/>
          <w:sz w:val="24"/>
          <w:szCs w:val="24"/>
          <w:u w:color="000000"/>
          <w:bdr w:val="nil"/>
          <w:lang w:eastAsia="en-GB"/>
        </w:rPr>
        <w:t>”How would you describe your emotional well-being?”</w:t>
      </w:r>
      <w:r w:rsidRPr="00473871">
        <w:rPr>
          <w:rFonts w:asciiTheme="majorHAnsi" w:eastAsia="Arial Unicode MS" w:hAnsiTheme="majorHAnsi" w:cs="Arial Unicode MS"/>
          <w:sz w:val="24"/>
          <w:szCs w:val="24"/>
          <w:u w:color="000000"/>
          <w:bdr w:val="nil"/>
          <w:lang w:eastAsia="en-GB"/>
        </w:rPr>
        <w:t xml:space="preserve">,  </w:t>
      </w:r>
      <w:r w:rsidRPr="001C3DD6">
        <w:rPr>
          <w:rFonts w:asciiTheme="majorHAnsi" w:eastAsia="Arial Unicode MS" w:hAnsiTheme="majorHAnsi" w:cs="Arial Unicode MS"/>
          <w:i/>
          <w:sz w:val="24"/>
          <w:szCs w:val="24"/>
          <w:u w:color="000000"/>
          <w:bdr w:val="nil"/>
          <w:lang w:eastAsia="en-GB"/>
        </w:rPr>
        <w:t>“What level of stress does your adverse food reaction cause you?”</w:t>
      </w:r>
      <w:r w:rsidRPr="00473871">
        <w:rPr>
          <w:rFonts w:asciiTheme="majorHAnsi" w:eastAsia="Arial Unicode MS" w:hAnsiTheme="majorHAnsi" w:cs="Arial Unicode MS"/>
          <w:sz w:val="24"/>
          <w:szCs w:val="24"/>
          <w:u w:color="000000"/>
          <w:bdr w:val="nil"/>
          <w:lang w:eastAsia="en-GB"/>
        </w:rPr>
        <w:t xml:space="preserve"> and </w:t>
      </w:r>
      <w:r w:rsidRPr="001C3DD6">
        <w:rPr>
          <w:rFonts w:asciiTheme="majorHAnsi" w:eastAsia="Arial Unicode MS" w:hAnsiTheme="majorHAnsi" w:cs="Arial Unicode MS"/>
          <w:i/>
          <w:sz w:val="24"/>
          <w:szCs w:val="24"/>
          <w:u w:color="000000"/>
          <w:bdr w:val="nil"/>
          <w:lang w:eastAsia="en-GB"/>
        </w:rPr>
        <w:t xml:space="preserve">“How much is your food intolerance limited the type of activities you partaking?” </w:t>
      </w:r>
    </w:p>
    <w:p w:rsidR="008A6233" w:rsidRPr="00473871" w:rsidRDefault="008A6233" w:rsidP="008A6233">
      <w:pPr>
        <w:pBdr>
          <w:top w:val="nil"/>
          <w:left w:val="nil"/>
          <w:bottom w:val="nil"/>
          <w:right w:val="nil"/>
          <w:between w:val="nil"/>
          <w:bar w:val="nil"/>
        </w:pBdr>
        <w:spacing w:after="120" w:line="360" w:lineRule="auto"/>
        <w:rPr>
          <w:rFonts w:asciiTheme="majorHAnsi" w:eastAsia="Arial Unicode MS" w:hAnsiTheme="majorHAnsi" w:cs="Arial Unicode MS"/>
          <w:sz w:val="24"/>
          <w:szCs w:val="24"/>
          <w:u w:color="000000"/>
          <w:bdr w:val="nil"/>
          <w:lang w:val="en-US" w:eastAsia="en-GB"/>
        </w:rPr>
      </w:pPr>
      <w:r w:rsidRPr="00473871">
        <w:rPr>
          <w:rFonts w:asciiTheme="majorHAnsi" w:eastAsia="Arial Unicode MS" w:hAnsiTheme="majorHAnsi" w:cs="Arial Unicode MS"/>
          <w:sz w:val="24"/>
          <w:szCs w:val="24"/>
          <w:u w:color="000000"/>
          <w:bdr w:val="nil"/>
          <w:lang w:val="en-US" w:eastAsia="en-GB"/>
        </w:rPr>
        <w:t xml:space="preserve"> We performed analyses using Statistical Package for Social Sciences (IBM SPSS Statistics version 20). </w:t>
      </w:r>
      <w:r w:rsidRPr="00473871">
        <w:rPr>
          <w:rFonts w:asciiTheme="majorHAnsi" w:eastAsia="Arial Unicode MS" w:hAnsiTheme="majorHAnsi" w:cs="Arial Unicode MS"/>
          <w:sz w:val="24"/>
          <w:szCs w:val="24"/>
          <w:u w:color="000000"/>
          <w:bdr w:val="nil"/>
          <w:lang w:eastAsia="en-GB"/>
        </w:rPr>
        <w:t>First, we examined</w:t>
      </w:r>
      <w:r w:rsidRPr="00473871">
        <w:rPr>
          <w:rFonts w:asciiTheme="majorHAnsi" w:eastAsia="Arial Unicode MS" w:hAnsiTheme="majorHAnsi" w:cs="Arial Unicode MS"/>
          <w:sz w:val="24"/>
          <w:szCs w:val="24"/>
          <w:u w:color="000000"/>
          <w:bdr w:val="nil"/>
          <w:lang w:val="en-IE" w:eastAsia="en-GB"/>
        </w:rPr>
        <w:t xml:space="preserve"> the distribution of responses for each item. </w:t>
      </w:r>
      <w:r w:rsidR="00F86047" w:rsidRPr="00F86047">
        <w:rPr>
          <w:rFonts w:asciiTheme="majorHAnsi" w:eastAsia="Arial Unicode MS" w:hAnsiTheme="majorHAnsi" w:cs="Arial Unicode MS"/>
          <w:b/>
          <w:sz w:val="24"/>
          <w:szCs w:val="24"/>
          <w:u w:color="000000"/>
          <w:bdr w:val="nil"/>
          <w:lang w:val="en-IE" w:eastAsia="en-GB"/>
        </w:rPr>
        <w:t>Secondly,</w:t>
      </w:r>
      <w:r w:rsidR="00F86047">
        <w:rPr>
          <w:rFonts w:asciiTheme="majorHAnsi" w:eastAsia="Arial Unicode MS" w:hAnsiTheme="majorHAnsi" w:cs="Arial Unicode MS"/>
          <w:sz w:val="24"/>
          <w:szCs w:val="24"/>
          <w:u w:color="000000"/>
          <w:bdr w:val="nil"/>
          <w:lang w:val="en-IE" w:eastAsia="en-GB"/>
        </w:rPr>
        <w:t xml:space="preserve"> w</w:t>
      </w:r>
      <w:r w:rsidRPr="00473871">
        <w:rPr>
          <w:rFonts w:asciiTheme="majorHAnsi" w:eastAsia="Arial Unicode MS" w:hAnsiTheme="majorHAnsi" w:cs="Arial Unicode MS"/>
          <w:sz w:val="24"/>
          <w:szCs w:val="24"/>
          <w:u w:color="000000"/>
          <w:bdr w:val="nil"/>
          <w:lang w:val="en-IE" w:eastAsia="en-GB"/>
        </w:rPr>
        <w:t>e used exploratory factor analysis t</w:t>
      </w:r>
      <w:r w:rsidR="00F86047">
        <w:rPr>
          <w:rFonts w:asciiTheme="majorHAnsi" w:eastAsia="Arial Unicode MS" w:hAnsiTheme="majorHAnsi" w:cs="Arial Unicode MS"/>
          <w:sz w:val="24"/>
          <w:szCs w:val="24"/>
          <w:u w:color="000000"/>
          <w:bdr w:val="nil"/>
          <w:lang w:val="en-IE" w:eastAsia="en-GB"/>
        </w:rPr>
        <w:t xml:space="preserve">o identify potential subscales, </w:t>
      </w:r>
      <w:r w:rsidR="00F86047" w:rsidRPr="00F86047">
        <w:rPr>
          <w:rFonts w:asciiTheme="majorHAnsi" w:eastAsia="Arial Unicode MS" w:hAnsiTheme="majorHAnsi" w:cs="Arial Unicode MS"/>
          <w:b/>
          <w:sz w:val="24"/>
          <w:szCs w:val="24"/>
          <w:u w:color="000000"/>
          <w:bdr w:val="nil"/>
          <w:lang w:val="en-IE" w:eastAsia="en-GB"/>
        </w:rPr>
        <w:t>which were then named according to the content of the items in each.</w:t>
      </w:r>
      <w:r w:rsidR="00F86047">
        <w:rPr>
          <w:rFonts w:asciiTheme="majorHAnsi" w:eastAsia="Arial Unicode MS" w:hAnsiTheme="majorHAnsi" w:cs="Arial Unicode MS"/>
          <w:sz w:val="24"/>
          <w:szCs w:val="24"/>
          <w:u w:color="000000"/>
          <w:bdr w:val="nil"/>
          <w:lang w:val="en-IE" w:eastAsia="en-GB"/>
        </w:rPr>
        <w:t xml:space="preserve"> </w:t>
      </w:r>
      <w:r w:rsidRPr="00473871">
        <w:rPr>
          <w:rFonts w:asciiTheme="majorHAnsi" w:eastAsia="Arial Unicode MS" w:hAnsiTheme="majorHAnsi" w:cs="Arial Unicode MS"/>
          <w:sz w:val="24"/>
          <w:szCs w:val="24"/>
          <w:u w:color="000000"/>
          <w:bdr w:val="nil"/>
          <w:lang w:val="en-IE" w:eastAsia="en-GB"/>
        </w:rPr>
        <w:t>An oblique rotation was performed as the subscales were assumed to be correlated.  Three widely accepted tests were used to determine the number of factors in the final structure; the Kaiser Guttman criterion, the scree test (to visually assess which components or factors explain most of the variability in the data) and a parallel analysis using Monte Carlo software (</w:t>
      </w:r>
      <w:r>
        <w:rPr>
          <w:rFonts w:asciiTheme="majorHAnsi" w:eastAsia="Arial Unicode MS" w:hAnsiTheme="majorHAnsi" w:cs="Arial Unicode MS"/>
          <w:sz w:val="24"/>
          <w:szCs w:val="24"/>
          <w:u w:color="000000"/>
          <w:bdr w:val="nil"/>
          <w:lang w:val="en-IE" w:eastAsia="en-GB"/>
        </w:rPr>
        <w:t>19</w:t>
      </w:r>
      <w:r w:rsidRPr="00473871">
        <w:rPr>
          <w:rFonts w:asciiTheme="majorHAnsi" w:eastAsia="Arial Unicode MS" w:hAnsiTheme="majorHAnsi" w:cs="Arial Unicode MS"/>
          <w:sz w:val="24"/>
          <w:szCs w:val="24"/>
          <w:u w:color="000000"/>
          <w:bdr w:val="nil"/>
          <w:lang w:val="en-IE" w:eastAsia="en-GB"/>
        </w:rPr>
        <w:t>-2</w:t>
      </w:r>
      <w:r>
        <w:rPr>
          <w:rFonts w:asciiTheme="majorHAnsi" w:eastAsia="Arial Unicode MS" w:hAnsiTheme="majorHAnsi" w:cs="Arial Unicode MS"/>
          <w:sz w:val="24"/>
          <w:szCs w:val="24"/>
          <w:u w:color="000000"/>
          <w:bdr w:val="nil"/>
          <w:lang w:val="en-IE" w:eastAsia="en-GB"/>
        </w:rPr>
        <w:t>2</w:t>
      </w:r>
      <w:r w:rsidRPr="00473871">
        <w:rPr>
          <w:rFonts w:asciiTheme="majorHAnsi" w:eastAsia="Arial Unicode MS" w:hAnsiTheme="majorHAnsi" w:cs="Arial Unicode MS"/>
          <w:sz w:val="24"/>
          <w:szCs w:val="24"/>
          <w:u w:color="000000"/>
          <w:bdr w:val="nil"/>
          <w:lang w:val="en-IE" w:eastAsia="en-GB"/>
        </w:rPr>
        <w:t xml:space="preserve">). </w:t>
      </w:r>
    </w:p>
    <w:p w:rsidR="008A6233" w:rsidRPr="00473871" w:rsidRDefault="00F86047" w:rsidP="008A6233">
      <w:pPr>
        <w:pBdr>
          <w:top w:val="nil"/>
          <w:left w:val="nil"/>
          <w:bottom w:val="nil"/>
          <w:right w:val="nil"/>
          <w:between w:val="nil"/>
          <w:bar w:val="nil"/>
        </w:pBdr>
        <w:spacing w:after="120" w:line="360" w:lineRule="auto"/>
        <w:rPr>
          <w:rFonts w:asciiTheme="majorHAnsi" w:eastAsia="Arial Unicode MS" w:hAnsiTheme="majorHAnsi" w:cs="Arial Unicode MS"/>
          <w:sz w:val="24"/>
          <w:szCs w:val="24"/>
          <w:u w:color="000000"/>
          <w:bdr w:val="nil"/>
          <w:lang w:eastAsia="en-GB"/>
        </w:rPr>
      </w:pPr>
      <w:r w:rsidRPr="00F86047">
        <w:rPr>
          <w:rFonts w:asciiTheme="majorHAnsi" w:eastAsia="Arial Unicode MS" w:hAnsiTheme="majorHAnsi" w:cs="Arial Unicode MS"/>
          <w:b/>
          <w:sz w:val="24"/>
          <w:szCs w:val="24"/>
          <w:u w:color="000000"/>
          <w:bdr w:val="nil"/>
          <w:lang w:val="en-IE" w:eastAsia="en-GB"/>
        </w:rPr>
        <w:t>Factor analysis also</w:t>
      </w:r>
      <w:r w:rsidR="008A6233" w:rsidRPr="00F86047">
        <w:rPr>
          <w:rFonts w:asciiTheme="majorHAnsi" w:eastAsia="Arial Unicode MS" w:hAnsiTheme="majorHAnsi" w:cs="Arial Unicode MS"/>
          <w:b/>
          <w:sz w:val="24"/>
          <w:szCs w:val="24"/>
          <w:u w:color="000000"/>
          <w:bdr w:val="nil"/>
          <w:lang w:val="en-IE" w:eastAsia="en-GB"/>
        </w:rPr>
        <w:t xml:space="preserve"> assessed the extent</w:t>
      </w:r>
      <w:r w:rsidR="008A6233" w:rsidRPr="00473871">
        <w:rPr>
          <w:rFonts w:asciiTheme="majorHAnsi" w:eastAsia="Arial Unicode MS" w:hAnsiTheme="majorHAnsi" w:cs="Arial Unicode MS"/>
          <w:sz w:val="24"/>
          <w:szCs w:val="24"/>
          <w:u w:color="000000"/>
          <w:bdr w:val="nil"/>
          <w:lang w:val="en-IE" w:eastAsia="en-GB"/>
        </w:rPr>
        <w:t xml:space="preserve"> to which items correlated with their subscale; we required item-to-subscale correlations ≥0.40.  Floor and ceiling effects were considered non-problematic if &lt;15% of participants had the highest or lowest scores for each subscale. </w:t>
      </w:r>
      <w:r w:rsidR="008A6233" w:rsidRPr="00473871">
        <w:rPr>
          <w:rFonts w:asciiTheme="majorHAnsi" w:eastAsia="Arial Unicode MS" w:hAnsiTheme="majorHAnsi" w:cs="Arial Unicode MS"/>
          <w:sz w:val="24"/>
          <w:szCs w:val="24"/>
          <w:u w:color="000000"/>
          <w:bdr w:val="nil"/>
          <w:lang w:eastAsia="en-GB"/>
        </w:rPr>
        <w:t xml:space="preserve">Internal consistency of FIQLQ and its subscales </w:t>
      </w:r>
      <w:r w:rsidR="008A6233" w:rsidRPr="00473871">
        <w:rPr>
          <w:rFonts w:asciiTheme="majorHAnsi" w:eastAsia="Arial Unicode MS" w:hAnsiTheme="majorHAnsi" w:cs="Arial Unicode MS"/>
          <w:sz w:val="24"/>
          <w:szCs w:val="24"/>
          <w:u w:color="000000"/>
          <w:bdr w:val="nil"/>
          <w:lang w:val="en-IE" w:eastAsia="en-GB"/>
        </w:rPr>
        <w:t>was assessed by Cronbach’s α values</w:t>
      </w:r>
      <w:r w:rsidR="008A6233" w:rsidRPr="00473871">
        <w:rPr>
          <w:rFonts w:asciiTheme="majorHAnsi" w:eastAsia="Arial Unicode MS" w:hAnsiTheme="majorHAnsi" w:cs="Arial Unicode MS"/>
          <w:sz w:val="24"/>
          <w:szCs w:val="24"/>
          <w:u w:color="000000"/>
          <w:bdr w:val="nil"/>
          <w:lang w:eastAsia="en-GB"/>
        </w:rPr>
        <w:t xml:space="preserve">; a value of &gt;0.07 indicated good internal consistency. </w:t>
      </w:r>
    </w:p>
    <w:p w:rsidR="008A6233" w:rsidRPr="00473871" w:rsidRDefault="008A6233" w:rsidP="008A6233">
      <w:pPr>
        <w:pBdr>
          <w:top w:val="nil"/>
          <w:left w:val="nil"/>
          <w:bottom w:val="nil"/>
          <w:right w:val="nil"/>
          <w:between w:val="nil"/>
          <w:bar w:val="nil"/>
        </w:pBdr>
        <w:spacing w:after="120" w:line="360" w:lineRule="auto"/>
        <w:rPr>
          <w:rFonts w:asciiTheme="majorHAnsi" w:eastAsia="Arial Unicode MS" w:hAnsiTheme="majorHAnsi" w:cs="Arial Unicode MS"/>
          <w:sz w:val="24"/>
          <w:szCs w:val="24"/>
          <w:u w:color="000000"/>
          <w:bdr w:val="nil"/>
          <w:lang w:val="en-IE" w:eastAsia="en-GB"/>
        </w:rPr>
        <w:sectPr w:rsidR="008A6233" w:rsidRPr="00473871" w:rsidSect="00F86047">
          <w:headerReference w:type="default" r:id="rId7"/>
          <w:pgSz w:w="12240" w:h="15840"/>
          <w:pgMar w:top="1440" w:right="1440" w:bottom="1440" w:left="1440" w:header="0" w:footer="1411" w:gutter="0"/>
          <w:lnNumType w:countBy="1" w:restart="continuous"/>
          <w:cols w:space="720"/>
          <w:docGrid w:linePitch="299"/>
        </w:sectPr>
      </w:pPr>
      <w:r w:rsidRPr="00473871">
        <w:rPr>
          <w:rFonts w:asciiTheme="majorHAnsi" w:eastAsia="Arial Unicode MS" w:hAnsiTheme="majorHAnsi" w:cs="Arial Unicode MS"/>
          <w:sz w:val="24"/>
          <w:szCs w:val="24"/>
          <w:u w:color="000000"/>
          <w:bdr w:val="nil"/>
          <w:lang w:eastAsia="en-GB"/>
        </w:rPr>
        <w:t xml:space="preserve">Construct validity was </w:t>
      </w:r>
      <w:r>
        <w:rPr>
          <w:rFonts w:asciiTheme="majorHAnsi" w:eastAsia="Arial Unicode MS" w:hAnsiTheme="majorHAnsi" w:cs="Arial Unicode MS"/>
          <w:sz w:val="24"/>
          <w:szCs w:val="24"/>
          <w:u w:color="000000"/>
          <w:bdr w:val="nil"/>
          <w:lang w:eastAsia="en-GB"/>
        </w:rPr>
        <w:t xml:space="preserve">assessed </w:t>
      </w:r>
      <w:r w:rsidRPr="00473871">
        <w:rPr>
          <w:rFonts w:asciiTheme="majorHAnsi" w:eastAsia="Arial Unicode MS" w:hAnsiTheme="majorHAnsi" w:cs="Arial Unicode MS"/>
          <w:sz w:val="24"/>
          <w:szCs w:val="24"/>
          <w:u w:color="000000"/>
          <w:bdr w:val="nil"/>
          <w:lang w:eastAsia="en-GB"/>
        </w:rPr>
        <w:t xml:space="preserve">by testing the total score and subscale scores against </w:t>
      </w:r>
      <w:r w:rsidRPr="00473871">
        <w:rPr>
          <w:rFonts w:asciiTheme="majorHAnsi" w:eastAsia="Arial Unicode MS" w:hAnsiTheme="majorHAnsi" w:cs="Arial Unicode MS"/>
          <w:i/>
          <w:sz w:val="24"/>
          <w:szCs w:val="24"/>
          <w:u w:color="000000"/>
          <w:bdr w:val="nil"/>
          <w:lang w:eastAsia="en-GB"/>
        </w:rPr>
        <w:t>a priori</w:t>
      </w:r>
      <w:r w:rsidRPr="00473871">
        <w:rPr>
          <w:rFonts w:asciiTheme="majorHAnsi" w:eastAsia="Arial Unicode MS" w:hAnsiTheme="majorHAnsi" w:cs="Arial Unicode MS"/>
          <w:sz w:val="24"/>
          <w:szCs w:val="24"/>
          <w:u w:color="000000"/>
          <w:bdr w:val="nil"/>
          <w:lang w:eastAsia="en-GB"/>
        </w:rPr>
        <w:t xml:space="preserve"> hypotheses.</w:t>
      </w:r>
      <w:r w:rsidRPr="00473871">
        <w:rPr>
          <w:rFonts w:asciiTheme="majorHAnsi" w:eastAsia="Arial Unicode MS" w:hAnsiTheme="majorHAnsi" w:cs="Arial Unicode MS"/>
          <w:sz w:val="24"/>
          <w:szCs w:val="24"/>
          <w:u w:color="000000"/>
          <w:bdr w:val="nil"/>
          <w:lang w:val="en-US" w:eastAsia="en-GB"/>
        </w:rPr>
        <w:t xml:space="preserve"> We hypothesized that total FIQLQ s</w:t>
      </w:r>
      <w:r w:rsidRPr="00473871">
        <w:rPr>
          <w:rFonts w:asciiTheme="majorHAnsi" w:eastAsia="Arial Unicode MS" w:hAnsiTheme="majorHAnsi" w:cs="Arial Unicode MS"/>
          <w:sz w:val="24"/>
          <w:szCs w:val="24"/>
          <w:u w:color="000000"/>
          <w:bdr w:val="nil"/>
          <w:lang w:val="en" w:eastAsia="en-GB"/>
        </w:rPr>
        <w:t xml:space="preserve">cores would be worse for older age groups, for women, for individuals with more symptoms and for people avoiding </w:t>
      </w:r>
      <w:r w:rsidRPr="00275CBE">
        <w:rPr>
          <w:rFonts w:asciiTheme="majorHAnsi" w:eastAsia="Arial Unicode MS" w:hAnsiTheme="majorHAnsi" w:cs="Arial Unicode MS"/>
          <w:b/>
          <w:sz w:val="24"/>
          <w:szCs w:val="24"/>
          <w:u w:color="000000"/>
          <w:bdr w:val="nil"/>
          <w:lang w:val="en" w:eastAsia="en-GB"/>
        </w:rPr>
        <w:t xml:space="preserve">more than </w:t>
      </w:r>
      <w:r w:rsidR="00275CBE">
        <w:rPr>
          <w:rFonts w:asciiTheme="majorHAnsi" w:eastAsia="Arial Unicode MS" w:hAnsiTheme="majorHAnsi" w:cs="Arial Unicode MS"/>
          <w:b/>
          <w:sz w:val="24"/>
          <w:szCs w:val="24"/>
          <w:u w:color="000000"/>
          <w:bdr w:val="nil"/>
          <w:lang w:val="en" w:eastAsia="en-GB"/>
        </w:rPr>
        <w:t xml:space="preserve">two </w:t>
      </w:r>
      <w:r w:rsidRPr="00473871">
        <w:rPr>
          <w:rFonts w:asciiTheme="majorHAnsi" w:eastAsia="Arial Unicode MS" w:hAnsiTheme="majorHAnsi" w:cs="Arial Unicode MS"/>
          <w:sz w:val="24"/>
          <w:szCs w:val="24"/>
          <w:u w:color="000000"/>
          <w:bdr w:val="nil"/>
          <w:lang w:val="en" w:eastAsia="en-GB"/>
        </w:rPr>
        <w:t>food</w:t>
      </w:r>
      <w:r w:rsidR="00275CBE">
        <w:rPr>
          <w:rFonts w:asciiTheme="majorHAnsi" w:eastAsia="Arial Unicode MS" w:hAnsiTheme="majorHAnsi" w:cs="Arial Unicode MS"/>
          <w:sz w:val="24"/>
          <w:szCs w:val="24"/>
          <w:u w:color="000000"/>
          <w:bdr w:val="nil"/>
          <w:lang w:val="en" w:eastAsia="en-GB"/>
        </w:rPr>
        <w:t>s</w:t>
      </w:r>
      <w:r w:rsidRPr="00473871">
        <w:rPr>
          <w:rFonts w:asciiTheme="majorHAnsi" w:eastAsia="Arial Unicode MS" w:hAnsiTheme="majorHAnsi" w:cs="Arial Unicode MS"/>
          <w:sz w:val="24"/>
          <w:szCs w:val="24"/>
          <w:u w:color="000000"/>
          <w:bdr w:val="nil"/>
          <w:lang w:val="en" w:eastAsia="en-GB"/>
        </w:rPr>
        <w:t>.</w:t>
      </w:r>
      <w:r>
        <w:rPr>
          <w:rFonts w:asciiTheme="majorHAnsi" w:eastAsia="Arial Unicode MS" w:hAnsiTheme="majorHAnsi" w:cs="Arial Unicode MS"/>
          <w:sz w:val="24"/>
          <w:szCs w:val="24"/>
          <w:u w:color="000000"/>
          <w:bdr w:val="nil"/>
          <w:lang w:val="en" w:eastAsia="en-GB"/>
        </w:rPr>
        <w:t xml:space="preserve"> </w:t>
      </w:r>
      <w:r w:rsidR="00F86047" w:rsidRPr="00F86047">
        <w:rPr>
          <w:rFonts w:asciiTheme="majorHAnsi" w:eastAsia="Arial Unicode MS" w:hAnsiTheme="majorHAnsi" w:cs="Arial Unicode MS"/>
          <w:b/>
          <w:sz w:val="24"/>
          <w:szCs w:val="24"/>
          <w:u w:color="000000"/>
          <w:bdr w:val="nil"/>
          <w:lang w:val="en" w:eastAsia="en-GB"/>
        </w:rPr>
        <w:t>Concurrent</w:t>
      </w:r>
      <w:r>
        <w:rPr>
          <w:rFonts w:asciiTheme="majorHAnsi" w:eastAsia="Arial Unicode MS" w:hAnsiTheme="majorHAnsi" w:cs="Arial Unicode MS"/>
          <w:sz w:val="24"/>
          <w:szCs w:val="24"/>
          <w:u w:color="000000"/>
          <w:bdr w:val="nil"/>
          <w:lang w:val="en" w:eastAsia="en-GB"/>
        </w:rPr>
        <w:t xml:space="preserve"> validity was assessed by the validity coefficient between the FIQLQ, FIIM, and level of stress because of FI.  Validity coefficients, unlike reliability coefficients rarely exceed r=0.4, particularly where a single test is used (23).</w:t>
      </w:r>
      <w:r w:rsidRPr="00DC77C6">
        <w:rPr>
          <w:rFonts w:asciiTheme="majorHAnsi" w:eastAsia="Arial Unicode MS" w:hAnsiTheme="majorHAnsi" w:cs="Arial Unicode MS"/>
          <w:sz w:val="24"/>
          <w:szCs w:val="24"/>
          <w:u w:color="000000"/>
          <w:bdr w:val="nil"/>
          <w:lang w:val="en-IE" w:eastAsia="en-GB"/>
        </w:rPr>
        <w:t xml:space="preserve"> </w:t>
      </w:r>
      <w:r>
        <w:rPr>
          <w:rFonts w:asciiTheme="majorHAnsi" w:eastAsia="Arial Unicode MS" w:hAnsiTheme="majorHAnsi" w:cs="Arial Unicode MS"/>
          <w:sz w:val="24"/>
          <w:szCs w:val="24"/>
          <w:u w:color="000000"/>
          <w:bdr w:val="nil"/>
          <w:lang w:val="en-IE" w:eastAsia="en-GB"/>
        </w:rPr>
        <w:t xml:space="preserve"> </w:t>
      </w:r>
    </w:p>
    <w:p w:rsidR="008A6233" w:rsidRDefault="008A6233" w:rsidP="008A6233">
      <w:pPr>
        <w:pBdr>
          <w:top w:val="nil"/>
          <w:left w:val="nil"/>
          <w:bottom w:val="nil"/>
          <w:right w:val="nil"/>
          <w:between w:val="nil"/>
          <w:bar w:val="nil"/>
        </w:pBdr>
        <w:spacing w:after="120" w:line="360" w:lineRule="auto"/>
        <w:rPr>
          <w:rFonts w:asciiTheme="majorHAnsi" w:eastAsia="Arial Unicode MS" w:hAnsiTheme="majorHAnsi" w:cs="Arial Unicode MS"/>
          <w:sz w:val="24"/>
          <w:szCs w:val="24"/>
          <w:u w:color="000000"/>
          <w:bdr w:val="nil"/>
          <w:lang w:val="en-IE" w:eastAsia="en-GB"/>
        </w:rPr>
      </w:pPr>
      <w:r>
        <w:rPr>
          <w:rFonts w:asciiTheme="majorHAnsi" w:eastAsia="Arial Unicode MS" w:hAnsiTheme="majorHAnsi" w:cs="Arial Unicode MS"/>
          <w:sz w:val="24"/>
          <w:szCs w:val="24"/>
          <w:u w:color="000000"/>
          <w:bdr w:val="nil"/>
          <w:lang w:val="en-IE" w:eastAsia="en-GB"/>
        </w:rPr>
        <w:t>FIQLQ</w:t>
      </w:r>
      <w:r w:rsidRPr="00473871">
        <w:rPr>
          <w:rFonts w:asciiTheme="majorHAnsi" w:eastAsia="Arial Unicode MS" w:hAnsiTheme="majorHAnsi" w:cs="Arial Unicode MS"/>
          <w:sz w:val="24"/>
          <w:szCs w:val="24"/>
          <w:u w:color="000000"/>
          <w:bdr w:val="nil"/>
          <w:lang w:val="en-IE" w:eastAsia="en-GB"/>
        </w:rPr>
        <w:t xml:space="preserve"> total score</w:t>
      </w:r>
      <w:r>
        <w:rPr>
          <w:rFonts w:asciiTheme="majorHAnsi" w:eastAsia="Arial Unicode MS" w:hAnsiTheme="majorHAnsi" w:cs="Arial Unicode MS"/>
          <w:sz w:val="24"/>
          <w:szCs w:val="24"/>
          <w:u w:color="000000"/>
          <w:bdr w:val="nil"/>
          <w:lang w:val="en-IE" w:eastAsia="en-GB"/>
        </w:rPr>
        <w:t>, and the other independent variables were</w:t>
      </w:r>
      <w:r w:rsidRPr="00473871">
        <w:rPr>
          <w:rFonts w:asciiTheme="majorHAnsi" w:eastAsia="Arial Unicode MS" w:hAnsiTheme="majorHAnsi" w:cs="Arial Unicode MS"/>
          <w:sz w:val="24"/>
          <w:szCs w:val="24"/>
          <w:u w:color="000000"/>
          <w:bdr w:val="nil"/>
          <w:lang w:val="en-IE" w:eastAsia="en-GB"/>
        </w:rPr>
        <w:t xml:space="preserve"> not expected to correlate highly with FIIM since they are assumed to measure different, although related, constructs.  </w:t>
      </w:r>
    </w:p>
    <w:p w:rsidR="008A6233" w:rsidRPr="00473871" w:rsidRDefault="008A6233" w:rsidP="008A6233">
      <w:pPr>
        <w:pBdr>
          <w:top w:val="nil"/>
          <w:left w:val="nil"/>
          <w:bottom w:val="nil"/>
          <w:right w:val="nil"/>
          <w:between w:val="nil"/>
          <w:bar w:val="nil"/>
        </w:pBdr>
        <w:spacing w:after="120" w:line="360" w:lineRule="auto"/>
        <w:rPr>
          <w:rFonts w:asciiTheme="majorHAnsi" w:eastAsia="Arial Unicode MS" w:hAnsiTheme="majorHAnsi" w:cs="Arial Unicode MS"/>
          <w:sz w:val="24"/>
          <w:szCs w:val="24"/>
          <w:u w:color="000000"/>
          <w:bdr w:val="nil"/>
          <w:lang w:eastAsia="en-GB"/>
        </w:rPr>
      </w:pPr>
      <w:r w:rsidRPr="00473871">
        <w:rPr>
          <w:rFonts w:asciiTheme="majorHAnsi" w:eastAsia="Arial Unicode MS" w:hAnsiTheme="majorHAnsi" w:cs="Arial Unicode MS"/>
          <w:sz w:val="24"/>
          <w:szCs w:val="24"/>
          <w:u w:color="000000"/>
          <w:bdr w:val="nil"/>
          <w:lang w:val="en-IE" w:eastAsia="en-GB"/>
        </w:rPr>
        <w:t>We hypothesised:</w:t>
      </w:r>
      <w:r w:rsidRPr="00473871">
        <w:rPr>
          <w:rFonts w:asciiTheme="majorHAnsi" w:eastAsia="Arial Unicode MS" w:hAnsiTheme="majorHAnsi" w:cs="Arial Unicode MS"/>
          <w:sz w:val="24"/>
          <w:szCs w:val="24"/>
          <w:u w:color="000000"/>
          <w:bdr w:val="nil"/>
          <w:lang w:eastAsia="en-GB"/>
        </w:rPr>
        <w:t xml:space="preserve">  </w:t>
      </w:r>
    </w:p>
    <w:p w:rsidR="008A6233" w:rsidRPr="00473871" w:rsidRDefault="008A6233" w:rsidP="008A6233">
      <w:pPr>
        <w:numPr>
          <w:ilvl w:val="0"/>
          <w:numId w:val="1"/>
        </w:numPr>
        <w:pBdr>
          <w:top w:val="nil"/>
          <w:left w:val="nil"/>
          <w:bottom w:val="nil"/>
          <w:right w:val="nil"/>
          <w:between w:val="nil"/>
          <w:bar w:val="nil"/>
        </w:pBdr>
        <w:spacing w:after="120" w:line="360" w:lineRule="auto"/>
        <w:rPr>
          <w:rFonts w:asciiTheme="majorHAnsi" w:eastAsia="Arial Unicode MS" w:hAnsiTheme="majorHAnsi" w:cs="Arial Unicode MS"/>
          <w:sz w:val="24"/>
          <w:szCs w:val="24"/>
          <w:u w:val="single" w:color="000000"/>
          <w:bdr w:val="nil"/>
          <w:lang w:val="en-IE" w:eastAsia="en-GB"/>
        </w:rPr>
      </w:pPr>
      <w:r w:rsidRPr="00473871">
        <w:rPr>
          <w:rFonts w:asciiTheme="majorHAnsi" w:eastAsia="Arial Unicode MS" w:hAnsiTheme="majorHAnsi" w:cs="Arial Unicode MS"/>
          <w:sz w:val="24"/>
          <w:szCs w:val="24"/>
          <w:u w:color="000000"/>
          <w:bdr w:val="nil"/>
          <w:lang w:eastAsia="en-GB"/>
        </w:rPr>
        <w:t>Emotional Impact score to be related to (a) “what level of stress does your FI cause you?” and (b) FIIM score</w:t>
      </w:r>
    </w:p>
    <w:p w:rsidR="008A6233" w:rsidRPr="00473871" w:rsidRDefault="008A6233" w:rsidP="008A6233">
      <w:pPr>
        <w:numPr>
          <w:ilvl w:val="0"/>
          <w:numId w:val="1"/>
        </w:numPr>
        <w:pBdr>
          <w:top w:val="nil"/>
          <w:left w:val="nil"/>
          <w:bottom w:val="nil"/>
          <w:right w:val="nil"/>
          <w:between w:val="nil"/>
          <w:bar w:val="nil"/>
        </w:pBdr>
        <w:spacing w:after="120" w:line="360" w:lineRule="auto"/>
        <w:rPr>
          <w:rFonts w:asciiTheme="majorHAnsi" w:eastAsia="Arial Unicode MS" w:hAnsiTheme="majorHAnsi" w:cs="Arial Unicode MS"/>
          <w:sz w:val="24"/>
          <w:szCs w:val="24"/>
          <w:u w:val="single" w:color="000000"/>
          <w:bdr w:val="nil"/>
          <w:lang w:val="en-IE" w:eastAsia="en-GB"/>
        </w:rPr>
      </w:pPr>
      <w:r w:rsidRPr="00473871">
        <w:rPr>
          <w:rFonts w:asciiTheme="majorHAnsi" w:eastAsia="Arial Unicode MS" w:hAnsiTheme="majorHAnsi" w:cs="Arial Unicode MS"/>
          <w:sz w:val="24"/>
          <w:szCs w:val="24"/>
          <w:u w:color="000000"/>
          <w:bdr w:val="nil"/>
          <w:lang w:eastAsia="en-GB"/>
        </w:rPr>
        <w:t>Social and Dietary Restriction subscale to be related to (a) “how much has food intolerance limited the type of activities you partaking?” and (b) “stress caused to family and friends”</w:t>
      </w:r>
    </w:p>
    <w:p w:rsidR="008A6233" w:rsidRPr="00473871" w:rsidRDefault="008A6233" w:rsidP="008A6233">
      <w:pPr>
        <w:numPr>
          <w:ilvl w:val="0"/>
          <w:numId w:val="1"/>
        </w:numPr>
        <w:pBdr>
          <w:top w:val="nil"/>
          <w:left w:val="nil"/>
          <w:bottom w:val="nil"/>
          <w:right w:val="nil"/>
          <w:between w:val="nil"/>
          <w:bar w:val="nil"/>
        </w:pBdr>
        <w:spacing w:after="120" w:line="360" w:lineRule="auto"/>
        <w:rPr>
          <w:rFonts w:asciiTheme="majorHAnsi" w:eastAsia="Arial Unicode MS" w:hAnsiTheme="majorHAnsi" w:cs="Arial Unicode MS"/>
          <w:sz w:val="24"/>
          <w:szCs w:val="24"/>
          <w:u w:val="single" w:color="000000"/>
          <w:bdr w:val="nil"/>
          <w:lang w:val="en-IE" w:eastAsia="en-GB"/>
        </w:rPr>
      </w:pPr>
      <w:r w:rsidRPr="00473871">
        <w:rPr>
          <w:rFonts w:asciiTheme="majorHAnsi" w:eastAsia="Arial Unicode MS" w:hAnsiTheme="majorHAnsi" w:cs="Arial Unicode MS"/>
          <w:sz w:val="24"/>
          <w:szCs w:val="24"/>
          <w:u w:color="000000"/>
          <w:bdr w:val="nil"/>
          <w:lang w:eastAsia="en-GB"/>
        </w:rPr>
        <w:t>Reactions and Avoidance subscale to be related to (a) “how safe is eating out or getting takeaway?” and (b) number of symptoms</w:t>
      </w:r>
      <w:r>
        <w:rPr>
          <w:rFonts w:asciiTheme="majorHAnsi" w:eastAsia="Arial Unicode MS" w:hAnsiTheme="majorHAnsi" w:cs="Arial Unicode MS"/>
          <w:sz w:val="24"/>
          <w:szCs w:val="24"/>
          <w:u w:color="000000"/>
          <w:bdr w:val="nil"/>
          <w:lang w:eastAsia="en-GB"/>
        </w:rPr>
        <w:t>.</w:t>
      </w:r>
    </w:p>
    <w:p w:rsidR="008A6233" w:rsidRPr="00473871" w:rsidRDefault="008A6233" w:rsidP="008A6233">
      <w:pPr>
        <w:spacing w:line="360" w:lineRule="auto"/>
        <w:rPr>
          <w:rFonts w:asciiTheme="majorHAnsi" w:eastAsia="Arial Unicode MS" w:hAnsiTheme="majorHAnsi" w:cs="AdvAgfaRS"/>
          <w:b/>
          <w:color w:val="000000"/>
          <w:sz w:val="24"/>
          <w:szCs w:val="24"/>
          <w:u w:color="000000"/>
          <w:bdr w:val="nil"/>
          <w:lang w:val="en-IE" w:eastAsia="en-IE"/>
        </w:rPr>
      </w:pPr>
      <w:r w:rsidRPr="00473871">
        <w:rPr>
          <w:rFonts w:asciiTheme="majorHAnsi" w:eastAsia="Arial Unicode MS" w:hAnsiTheme="majorHAnsi" w:cs="AdvAgfaRS"/>
          <w:b/>
          <w:color w:val="000000"/>
          <w:sz w:val="24"/>
          <w:szCs w:val="24"/>
          <w:u w:color="000000"/>
          <w:bdr w:val="nil"/>
          <w:lang w:val="en-IE" w:eastAsia="en-IE"/>
        </w:rPr>
        <w:t>Results</w:t>
      </w:r>
    </w:p>
    <w:p w:rsidR="008A6233" w:rsidRPr="00473871" w:rsidRDefault="008A6233" w:rsidP="008A6233">
      <w:pPr>
        <w:pBdr>
          <w:top w:val="nil"/>
          <w:left w:val="nil"/>
          <w:bottom w:val="nil"/>
          <w:right w:val="nil"/>
          <w:between w:val="nil"/>
          <w:bar w:val="nil"/>
        </w:pBdr>
        <w:spacing w:after="120" w:line="360" w:lineRule="auto"/>
        <w:rPr>
          <w:rFonts w:asciiTheme="majorHAnsi" w:eastAsia="Arial Unicode MS" w:hAnsiTheme="majorHAnsi" w:cs="Arial Unicode MS"/>
          <w:color w:val="000000"/>
          <w:sz w:val="24"/>
          <w:szCs w:val="24"/>
          <w:u w:color="000000"/>
          <w:bdr w:val="nil"/>
          <w:lang w:val="en-US" w:eastAsia="en-GB"/>
        </w:rPr>
      </w:pPr>
      <w:r w:rsidRPr="00473871">
        <w:rPr>
          <w:rFonts w:asciiTheme="majorHAnsi" w:eastAsia="Arial Unicode MS" w:hAnsiTheme="majorHAnsi" w:cs="Arial Unicode MS"/>
          <w:color w:val="000000"/>
          <w:sz w:val="24"/>
          <w:szCs w:val="24"/>
          <w:u w:color="000000"/>
          <w:bdr w:val="nil"/>
          <w:lang w:val="en-US" w:eastAsia="en-GB"/>
        </w:rPr>
        <w:t xml:space="preserve">Characteristics of participants for the development study and for the </w:t>
      </w:r>
      <w:r>
        <w:rPr>
          <w:rFonts w:asciiTheme="majorHAnsi" w:eastAsia="Arial Unicode MS" w:hAnsiTheme="majorHAnsi" w:cs="Arial Unicode MS"/>
          <w:color w:val="000000"/>
          <w:sz w:val="24"/>
          <w:szCs w:val="24"/>
          <w:u w:color="000000"/>
          <w:bdr w:val="nil"/>
          <w:lang w:val="en-US" w:eastAsia="en-GB"/>
        </w:rPr>
        <w:t xml:space="preserve">preliminary </w:t>
      </w:r>
      <w:r w:rsidRPr="00473871">
        <w:rPr>
          <w:rFonts w:asciiTheme="majorHAnsi" w:eastAsia="Arial Unicode MS" w:hAnsiTheme="majorHAnsi" w:cs="Arial Unicode MS"/>
          <w:color w:val="000000"/>
          <w:sz w:val="24"/>
          <w:szCs w:val="24"/>
          <w:u w:color="000000"/>
          <w:bdr w:val="nil"/>
          <w:lang w:val="en-US" w:eastAsia="en-GB"/>
        </w:rPr>
        <w:t>psychometric validation study are in Table 1.</w:t>
      </w:r>
      <w:r>
        <w:rPr>
          <w:rFonts w:asciiTheme="majorHAnsi" w:eastAsia="Arial Unicode MS" w:hAnsiTheme="majorHAnsi" w:cs="Arial Unicode MS"/>
          <w:color w:val="000000"/>
          <w:sz w:val="24"/>
          <w:szCs w:val="24"/>
          <w:u w:color="000000"/>
          <w:bdr w:val="nil"/>
          <w:lang w:val="en-US" w:eastAsia="en-GB"/>
        </w:rPr>
        <w:t xml:space="preserve"> The participants all reported symptoms of intolerance, but were excluded if they had IgE mediated allergy. The sample population therefore includes people with self-reported coeliac disease, lactose intolerance and other undefined intolerances.</w:t>
      </w:r>
    </w:p>
    <w:p w:rsidR="008A6233" w:rsidRPr="00473871" w:rsidRDefault="008A6233" w:rsidP="008A6233">
      <w:pPr>
        <w:pBdr>
          <w:top w:val="nil"/>
          <w:left w:val="nil"/>
          <w:bottom w:val="nil"/>
          <w:right w:val="nil"/>
          <w:between w:val="nil"/>
          <w:bar w:val="nil"/>
        </w:pBdr>
        <w:spacing w:after="120" w:line="360" w:lineRule="auto"/>
        <w:rPr>
          <w:rFonts w:asciiTheme="majorHAnsi" w:eastAsia="Calibri" w:hAnsiTheme="majorHAnsi" w:cs="AdvAgfaRS"/>
          <w:sz w:val="24"/>
          <w:szCs w:val="24"/>
          <w:u w:val="single"/>
          <w:lang w:val="en-IE" w:eastAsia="en-IE"/>
        </w:rPr>
      </w:pPr>
      <w:r w:rsidRPr="00473871">
        <w:rPr>
          <w:rFonts w:asciiTheme="majorHAnsi" w:eastAsia="Calibri" w:hAnsiTheme="majorHAnsi" w:cs="AdvAgfaRS"/>
          <w:sz w:val="24"/>
          <w:szCs w:val="24"/>
          <w:u w:val="single"/>
          <w:lang w:val="en-IE" w:eastAsia="en-IE"/>
        </w:rPr>
        <w:t>Development of FIQLQ</w:t>
      </w:r>
    </w:p>
    <w:p w:rsidR="008A6233" w:rsidRPr="00473871" w:rsidRDefault="008A6233" w:rsidP="008A6233">
      <w:pPr>
        <w:pBdr>
          <w:top w:val="nil"/>
          <w:left w:val="nil"/>
          <w:bottom w:val="nil"/>
          <w:right w:val="nil"/>
          <w:between w:val="nil"/>
          <w:bar w:val="nil"/>
        </w:pBdr>
        <w:spacing w:after="120" w:line="360" w:lineRule="auto"/>
        <w:rPr>
          <w:rFonts w:asciiTheme="majorHAnsi" w:eastAsia="Calibri" w:hAnsiTheme="majorHAnsi" w:cs="AdvAgfaRS"/>
          <w:sz w:val="24"/>
          <w:szCs w:val="24"/>
          <w:lang w:val="en-IE" w:eastAsia="en-IE"/>
        </w:rPr>
      </w:pPr>
      <w:r w:rsidRPr="00473871">
        <w:rPr>
          <w:rFonts w:asciiTheme="majorHAnsi" w:eastAsia="Calibri" w:hAnsiTheme="majorHAnsi" w:cs="AdvAgfaRS"/>
          <w:sz w:val="24"/>
          <w:szCs w:val="24"/>
          <w:lang w:val="en-IE" w:eastAsia="en-IE"/>
        </w:rPr>
        <w:t>The majority of the items in the FAQLQ (&gt; 70%) were rated as ‘relevant’ or ‘very relevant’ by participants with FI, and wording was merely modified to make these questions specific for intolerant rather than allergic individuals. Participants considered 11 items to be irrelevant for them</w:t>
      </w:r>
      <w:r w:rsidR="00F86047">
        <w:rPr>
          <w:rFonts w:asciiTheme="majorHAnsi" w:eastAsia="Calibri" w:hAnsiTheme="majorHAnsi" w:cs="AdvAgfaRS"/>
          <w:sz w:val="24"/>
          <w:szCs w:val="24"/>
          <w:lang w:val="en-IE" w:eastAsia="en-IE"/>
        </w:rPr>
        <w:t xml:space="preserve"> </w:t>
      </w:r>
      <w:r w:rsidR="00F86047" w:rsidRPr="00F86047">
        <w:rPr>
          <w:rFonts w:asciiTheme="majorHAnsi" w:eastAsia="Calibri" w:hAnsiTheme="majorHAnsi" w:cs="AdvAgfaRS"/>
          <w:b/>
          <w:sz w:val="24"/>
          <w:szCs w:val="24"/>
          <w:lang w:val="en-IE" w:eastAsia="en-IE"/>
        </w:rPr>
        <w:t>(OI &lt;0.2)</w:t>
      </w:r>
      <w:r w:rsidR="00F86047">
        <w:rPr>
          <w:rFonts w:asciiTheme="majorHAnsi" w:eastAsia="Calibri" w:hAnsiTheme="majorHAnsi" w:cs="AdvAgfaRS"/>
          <w:b/>
          <w:sz w:val="24"/>
          <w:szCs w:val="24"/>
          <w:lang w:val="en-IE" w:eastAsia="en-IE"/>
        </w:rPr>
        <w:t>,</w:t>
      </w:r>
      <w:r w:rsidRPr="00473871">
        <w:rPr>
          <w:rFonts w:asciiTheme="majorHAnsi" w:eastAsia="Calibri" w:hAnsiTheme="majorHAnsi" w:cs="AdvAgfaRS"/>
          <w:sz w:val="24"/>
          <w:szCs w:val="24"/>
          <w:lang w:val="en-IE" w:eastAsia="en-IE"/>
        </w:rPr>
        <w:t xml:space="preserve"> therefore we dropped these items.  </w:t>
      </w:r>
      <w:r w:rsidRPr="00473871">
        <w:rPr>
          <w:rFonts w:asciiTheme="majorHAnsi" w:eastAsia="Arial Unicode MS" w:hAnsiTheme="majorHAnsi" w:cs="Arial Unicode MS"/>
          <w:sz w:val="24"/>
          <w:szCs w:val="24"/>
          <w:u w:color="000000"/>
          <w:bdr w:val="nil"/>
          <w:lang w:val="en-US" w:eastAsia="en-GB"/>
        </w:rPr>
        <w:t>Four items</w:t>
      </w:r>
      <w:r>
        <w:rPr>
          <w:rFonts w:asciiTheme="majorHAnsi" w:eastAsia="Arial Unicode MS" w:hAnsiTheme="majorHAnsi" w:cs="Arial Unicode MS"/>
          <w:sz w:val="24"/>
          <w:szCs w:val="24"/>
          <w:u w:color="000000"/>
          <w:bdr w:val="nil"/>
          <w:lang w:val="en-US" w:eastAsia="en-GB"/>
        </w:rPr>
        <w:t>,</w:t>
      </w:r>
      <w:r w:rsidRPr="00473871">
        <w:rPr>
          <w:rFonts w:asciiTheme="majorHAnsi" w:eastAsia="Arial Unicode MS" w:hAnsiTheme="majorHAnsi" w:cs="Arial Unicode MS"/>
          <w:sz w:val="24"/>
          <w:szCs w:val="24"/>
          <w:u w:color="000000"/>
          <w:bdr w:val="nil"/>
          <w:lang w:val="en-US" w:eastAsia="en-GB"/>
        </w:rPr>
        <w:t xml:space="preserve"> which were not in the food allergy-specific measure</w:t>
      </w:r>
      <w:r>
        <w:rPr>
          <w:rFonts w:asciiTheme="majorHAnsi" w:eastAsia="Arial Unicode MS" w:hAnsiTheme="majorHAnsi" w:cs="Arial Unicode MS"/>
          <w:sz w:val="24"/>
          <w:szCs w:val="24"/>
          <w:u w:color="000000"/>
          <w:bdr w:val="nil"/>
          <w:lang w:val="en-US" w:eastAsia="en-GB"/>
        </w:rPr>
        <w:t>,</w:t>
      </w:r>
      <w:r w:rsidRPr="00473871">
        <w:rPr>
          <w:rFonts w:asciiTheme="majorHAnsi" w:eastAsia="Arial Unicode MS" w:hAnsiTheme="majorHAnsi" w:cs="Arial Unicode MS"/>
          <w:sz w:val="24"/>
          <w:szCs w:val="24"/>
          <w:u w:color="000000"/>
          <w:bdr w:val="nil"/>
          <w:lang w:val="en-US" w:eastAsia="en-GB"/>
        </w:rPr>
        <w:t xml:space="preserve"> were suggested for inclusion in FIQLQ by interviewees; how troublesome do you find it </w:t>
      </w:r>
      <w:r w:rsidRPr="00473871">
        <w:rPr>
          <w:rFonts w:asciiTheme="majorHAnsi" w:eastAsia="Calibri" w:hAnsiTheme="majorHAnsi" w:cs="Arial"/>
          <w:sz w:val="24"/>
          <w:szCs w:val="24"/>
        </w:rPr>
        <w:t xml:space="preserve">that the quality and clarity of labelling is poor in general?; do you experience physical distress from symptoms during a reaction?; you will be embarrassed by the symptoms of a reaction in social situations?; you are concerned about the impact on your health? </w:t>
      </w:r>
      <w:r w:rsidRPr="00473871">
        <w:rPr>
          <w:rFonts w:asciiTheme="majorHAnsi" w:eastAsia="Calibri" w:hAnsiTheme="majorHAnsi" w:cs="AdvAgfaRS"/>
          <w:sz w:val="24"/>
          <w:szCs w:val="24"/>
          <w:lang w:val="en-IE" w:eastAsia="en-IE"/>
        </w:rPr>
        <w:t xml:space="preserve">This process resulted in 18 items in FIQLQ. </w:t>
      </w:r>
    </w:p>
    <w:p w:rsidR="008A6233" w:rsidRPr="00473871" w:rsidRDefault="008A6233" w:rsidP="008A6233">
      <w:pPr>
        <w:pBdr>
          <w:top w:val="nil"/>
          <w:left w:val="nil"/>
          <w:bottom w:val="nil"/>
          <w:right w:val="nil"/>
          <w:between w:val="nil"/>
          <w:bar w:val="nil"/>
        </w:pBdr>
        <w:spacing w:after="120" w:line="360" w:lineRule="auto"/>
        <w:rPr>
          <w:rFonts w:asciiTheme="majorHAnsi" w:eastAsia="Calibri" w:hAnsiTheme="majorHAnsi" w:cs="AdvAgfaRS"/>
          <w:sz w:val="24"/>
          <w:szCs w:val="24"/>
          <w:lang w:val="en-IE" w:eastAsia="en-IE"/>
        </w:rPr>
      </w:pPr>
      <w:r w:rsidRPr="00473871">
        <w:rPr>
          <w:rFonts w:asciiTheme="majorHAnsi" w:eastAsia="Calibri" w:hAnsiTheme="majorHAnsi" w:cs="AdvAgfaRS"/>
          <w:sz w:val="24"/>
          <w:szCs w:val="24"/>
          <w:lang w:val="en-IE" w:eastAsia="en-IE"/>
        </w:rPr>
        <w:t xml:space="preserve">The FAIM had 6 items, 5 of which were endorsed as ‘very relevant’ by adults with food intolerance. ’Dying from an accidental ingestion’ was not considered relevant by FI participants, and this item was removed for the FIIM. </w:t>
      </w:r>
      <w:r>
        <w:rPr>
          <w:rFonts w:asciiTheme="majorHAnsi" w:eastAsia="Calibri" w:hAnsiTheme="majorHAnsi" w:cs="AdvAgfaRS"/>
          <w:sz w:val="24"/>
          <w:szCs w:val="24"/>
          <w:lang w:val="en-IE" w:eastAsia="en-IE"/>
        </w:rPr>
        <w:t>This was replaced by the item</w:t>
      </w:r>
      <w:r w:rsidRPr="00473871">
        <w:rPr>
          <w:rFonts w:asciiTheme="majorHAnsi" w:eastAsia="Calibri" w:hAnsiTheme="majorHAnsi" w:cs="AdvAgfaRS"/>
          <w:sz w:val="24"/>
          <w:szCs w:val="24"/>
          <w:lang w:val="en-IE" w:eastAsia="en-IE"/>
        </w:rPr>
        <w:t xml:space="preserve"> ‘can easily avoid something to which you are intolerant’.  One modification to wording was suggested, with the phrase ‘effectively manage a reaction’ replacing ‘effectively deal with a reaction’ (Table 2).  </w:t>
      </w:r>
    </w:p>
    <w:p w:rsidR="008A6233" w:rsidRPr="00473871" w:rsidRDefault="008A6233" w:rsidP="008A6233">
      <w:pPr>
        <w:spacing w:after="120" w:line="360" w:lineRule="auto"/>
        <w:contextualSpacing/>
        <w:rPr>
          <w:rFonts w:asciiTheme="majorHAnsi" w:eastAsia="Calibri" w:hAnsiTheme="majorHAnsi" w:cs="Times New Roman"/>
          <w:sz w:val="24"/>
          <w:szCs w:val="24"/>
          <w:u w:val="single"/>
        </w:rPr>
      </w:pPr>
      <w:r w:rsidRPr="00473871">
        <w:rPr>
          <w:rFonts w:asciiTheme="majorHAnsi" w:eastAsia="Calibri" w:hAnsiTheme="majorHAnsi" w:cs="AdvAgfaRS"/>
          <w:sz w:val="24"/>
          <w:szCs w:val="24"/>
          <w:u w:val="single"/>
          <w:lang w:eastAsia="en-IE"/>
        </w:rPr>
        <w:t>Psychometric validation</w:t>
      </w:r>
      <w:r w:rsidRPr="00473871">
        <w:rPr>
          <w:rFonts w:asciiTheme="majorHAnsi" w:eastAsia="Calibri" w:hAnsiTheme="majorHAnsi" w:cs="Times New Roman"/>
          <w:sz w:val="24"/>
          <w:szCs w:val="24"/>
          <w:u w:val="single"/>
        </w:rPr>
        <w:t>.</w:t>
      </w:r>
    </w:p>
    <w:p w:rsidR="008A6233" w:rsidRPr="00AC745F" w:rsidRDefault="008A6233" w:rsidP="007C41D9">
      <w:pPr>
        <w:spacing w:after="0" w:line="360" w:lineRule="auto"/>
        <w:rPr>
          <w:rFonts w:asciiTheme="majorHAnsi" w:eastAsia="Times New Roman" w:hAnsiTheme="majorHAnsi" w:cs="Times New Roman"/>
          <w:b/>
          <w:color w:val="000000"/>
          <w:sz w:val="24"/>
          <w:szCs w:val="24"/>
          <w:lang w:eastAsia="en-GB"/>
        </w:rPr>
      </w:pPr>
      <w:r w:rsidRPr="007C41D9">
        <w:rPr>
          <w:rFonts w:asciiTheme="majorHAnsi" w:eastAsia="Arial Unicode MS" w:hAnsiTheme="majorHAnsi" w:cs="Arial Unicode MS"/>
          <w:sz w:val="24"/>
          <w:szCs w:val="24"/>
          <w:u w:color="000000"/>
          <w:bdr w:val="nil"/>
          <w:lang w:val="en-US" w:eastAsia="en-GB"/>
        </w:rPr>
        <w:t xml:space="preserve">Two hundred and twenty nine participants completed the FIQLQ in electronic on-line format.  Response scores ranged from 1 to 7 (not at all - extremely). Higher scores indicated higher burden or worse health-related quality of life.  </w:t>
      </w:r>
      <w:r w:rsidR="00F86047" w:rsidRPr="00AC745F">
        <w:rPr>
          <w:rFonts w:asciiTheme="majorHAnsi" w:eastAsia="Calibri" w:hAnsiTheme="majorHAnsi" w:cs="Arial"/>
          <w:b/>
          <w:sz w:val="24"/>
          <w:szCs w:val="24"/>
        </w:rPr>
        <w:t xml:space="preserve">We compared the missing and non-missing cases on variables where information is not missing. </w:t>
      </w:r>
      <w:r w:rsidRPr="00AC745F">
        <w:rPr>
          <w:rFonts w:asciiTheme="majorHAnsi" w:eastAsia="Arial Unicode MS" w:hAnsiTheme="majorHAnsi" w:cs="Arial Unicode MS"/>
          <w:b/>
          <w:sz w:val="24"/>
          <w:szCs w:val="24"/>
          <w:u w:color="000000"/>
          <w:bdr w:val="nil"/>
          <w:lang w:val="en-US" w:eastAsia="en-GB"/>
        </w:rPr>
        <w:t>Missing scores were negligible</w:t>
      </w:r>
      <w:r w:rsidR="007C41D9" w:rsidRPr="00AC745F">
        <w:rPr>
          <w:rFonts w:asciiTheme="majorHAnsi" w:eastAsia="Arial Unicode MS" w:hAnsiTheme="majorHAnsi" w:cs="Arial Unicode MS"/>
          <w:b/>
          <w:sz w:val="24"/>
          <w:szCs w:val="24"/>
          <w:u w:color="000000"/>
          <w:bdr w:val="nil"/>
          <w:lang w:val="en-US" w:eastAsia="en-GB"/>
        </w:rPr>
        <w:t xml:space="preserve"> (</w:t>
      </w:r>
      <w:r w:rsidR="007C41D9" w:rsidRPr="00AC745F">
        <w:rPr>
          <w:rFonts w:asciiTheme="majorHAnsi" w:eastAsia="Times New Roman" w:hAnsiTheme="majorHAnsi" w:cs="Times New Roman"/>
          <w:b/>
          <w:color w:val="000000"/>
          <w:sz w:val="24"/>
          <w:szCs w:val="24"/>
          <w:lang w:eastAsia="en-GB"/>
        </w:rPr>
        <w:t xml:space="preserve">2.2%) </w:t>
      </w:r>
      <w:r w:rsidRPr="00AC745F">
        <w:rPr>
          <w:rFonts w:asciiTheme="majorHAnsi" w:eastAsia="Arial Unicode MS" w:hAnsiTheme="majorHAnsi" w:cs="Arial Unicode MS"/>
          <w:b/>
          <w:sz w:val="24"/>
          <w:szCs w:val="24"/>
          <w:u w:color="000000"/>
          <w:bdr w:val="nil"/>
          <w:lang w:val="en-US" w:eastAsia="en-GB"/>
        </w:rPr>
        <w:t>and had no impact on results.</w:t>
      </w:r>
    </w:p>
    <w:p w:rsidR="00F86047" w:rsidRPr="007C41D9" w:rsidRDefault="00F86047" w:rsidP="007C41D9">
      <w:pPr>
        <w:pBdr>
          <w:top w:val="nil"/>
          <w:left w:val="nil"/>
          <w:bottom w:val="nil"/>
          <w:right w:val="nil"/>
          <w:between w:val="nil"/>
          <w:bar w:val="nil"/>
        </w:pBdr>
        <w:spacing w:after="120" w:line="360" w:lineRule="auto"/>
        <w:rPr>
          <w:rFonts w:asciiTheme="majorHAnsi" w:eastAsia="Arial Unicode MS" w:hAnsiTheme="majorHAnsi" w:cs="Arial Unicode MS"/>
          <w:sz w:val="24"/>
          <w:szCs w:val="24"/>
          <w:u w:color="000000"/>
          <w:bdr w:val="nil"/>
          <w:lang w:val="en-US" w:eastAsia="en-GB"/>
        </w:rPr>
      </w:pPr>
    </w:p>
    <w:p w:rsidR="008A6233" w:rsidRPr="00473871" w:rsidRDefault="008A6233" w:rsidP="008A6233">
      <w:pPr>
        <w:pBdr>
          <w:top w:val="nil"/>
          <w:left w:val="nil"/>
          <w:bottom w:val="nil"/>
          <w:right w:val="nil"/>
          <w:between w:val="nil"/>
          <w:bar w:val="nil"/>
        </w:pBdr>
        <w:spacing w:after="120" w:line="360" w:lineRule="auto"/>
        <w:rPr>
          <w:rFonts w:asciiTheme="majorHAnsi" w:eastAsia="Arial Unicode MS" w:hAnsiTheme="majorHAnsi" w:cs="Arial Unicode MS"/>
          <w:sz w:val="24"/>
          <w:szCs w:val="24"/>
          <w:u w:color="000000"/>
          <w:bdr w:val="nil"/>
          <w:lang w:val="en-US" w:eastAsia="en-GB"/>
        </w:rPr>
      </w:pPr>
      <w:r w:rsidRPr="00473871">
        <w:rPr>
          <w:rFonts w:asciiTheme="majorHAnsi" w:eastAsia="Arial Unicode MS" w:hAnsiTheme="majorHAnsi" w:cs="Arial Unicode MS"/>
          <w:sz w:val="24"/>
          <w:szCs w:val="24"/>
          <w:u w:color="000000"/>
          <w:bdr w:val="nil"/>
          <w:lang w:val="en-US" w:eastAsia="en-GB"/>
        </w:rPr>
        <w:t xml:space="preserve">Overall, 26% of participants were self-diagnosed based on their experience of foods which had caused adverse reactions, and the remainder were diagnosed by general practitioners, hospital consultants, complementary therapists or dieticians (Table 3). The majority of participants were intolerant to cereals containing gluten (72%) and/or milk (40%). Allergens not listed in the EU regulations included fruit and vegetables, and chemical additives (Table 3). Gastrointestinal symptoms were the most frequently reported symptoms including, stomach cramps (75%), bloating and constipation (74%), and diarrhoea (69%). </w:t>
      </w:r>
    </w:p>
    <w:p w:rsidR="008A6233" w:rsidRPr="00473871" w:rsidRDefault="008A6233" w:rsidP="008A6233">
      <w:pPr>
        <w:pBdr>
          <w:top w:val="nil"/>
          <w:left w:val="nil"/>
          <w:bottom w:val="nil"/>
          <w:right w:val="nil"/>
          <w:between w:val="nil"/>
          <w:bar w:val="nil"/>
        </w:pBdr>
        <w:spacing w:after="120" w:line="360" w:lineRule="auto"/>
        <w:rPr>
          <w:rFonts w:asciiTheme="majorHAnsi" w:eastAsia="Arial Unicode MS" w:hAnsiTheme="majorHAnsi" w:cs="Arial Unicode MS"/>
          <w:color w:val="000000"/>
          <w:sz w:val="24"/>
          <w:szCs w:val="24"/>
          <w:u w:val="single"/>
          <w:bdr w:val="nil"/>
          <w:lang w:val="en-US" w:eastAsia="en-GB"/>
        </w:rPr>
      </w:pPr>
      <w:r w:rsidRPr="00473871">
        <w:rPr>
          <w:rFonts w:asciiTheme="majorHAnsi" w:eastAsia="Arial Unicode MS" w:hAnsiTheme="majorHAnsi" w:cs="Arial Unicode MS"/>
          <w:color w:val="000000"/>
          <w:sz w:val="24"/>
          <w:szCs w:val="24"/>
          <w:u w:val="single"/>
          <w:bdr w:val="nil"/>
          <w:lang w:val="en-US" w:eastAsia="en-GB"/>
        </w:rPr>
        <w:t xml:space="preserve">Development of subscales: </w:t>
      </w:r>
      <w:r w:rsidRPr="00473871">
        <w:rPr>
          <w:rFonts w:asciiTheme="majorHAnsi" w:eastAsia="Calibri" w:hAnsiTheme="majorHAnsi" w:cs="Times New Roman"/>
          <w:sz w:val="24"/>
          <w:szCs w:val="24"/>
          <w:lang w:val="en-IE"/>
        </w:rPr>
        <w:t>We used factor analysis to develop subscales. The KMO</w:t>
      </w:r>
      <w:r w:rsidRPr="00473871">
        <w:rPr>
          <w:rFonts w:asciiTheme="majorHAnsi" w:eastAsia="Calibri" w:hAnsiTheme="majorHAnsi" w:cs="Times-Roman"/>
          <w:sz w:val="24"/>
          <w:szCs w:val="24"/>
          <w:lang w:val="en-IE" w:eastAsia="en-IE"/>
        </w:rPr>
        <w:t xml:space="preserve"> measure of sampling adequacy was exceeded (&gt;0.60) with Bartlett’s test of sphericity</w:t>
      </w:r>
      <w:r>
        <w:rPr>
          <w:rFonts w:asciiTheme="majorHAnsi" w:eastAsia="Calibri" w:hAnsiTheme="majorHAnsi" w:cs="Times-Roman"/>
          <w:sz w:val="24"/>
          <w:szCs w:val="24"/>
          <w:lang w:val="en-IE" w:eastAsia="en-IE"/>
        </w:rPr>
        <w:t xml:space="preserve"> </w:t>
      </w:r>
      <w:r w:rsidRPr="00473871">
        <w:rPr>
          <w:rFonts w:asciiTheme="majorHAnsi" w:eastAsia="Calibri" w:hAnsiTheme="majorHAnsi" w:cs="Times-Roman"/>
          <w:sz w:val="24"/>
          <w:szCs w:val="24"/>
          <w:lang w:val="en-IE" w:eastAsia="en-IE"/>
        </w:rPr>
        <w:t xml:space="preserve"> </w:t>
      </w:r>
      <w:r w:rsidRPr="00473871">
        <w:rPr>
          <w:rFonts w:asciiTheme="majorHAnsi" w:eastAsia="Calibri" w:hAnsiTheme="majorHAnsi" w:cs="Times-Italic"/>
          <w:iCs/>
          <w:sz w:val="24"/>
          <w:szCs w:val="24"/>
          <w:lang w:val="en-IE" w:eastAsia="en-IE"/>
        </w:rPr>
        <w:t xml:space="preserve">p </w:t>
      </w:r>
      <w:r w:rsidRPr="00473871">
        <w:rPr>
          <w:rFonts w:asciiTheme="majorHAnsi" w:eastAsia="Calibri" w:hAnsiTheme="majorHAnsi" w:cs="Symbol"/>
          <w:sz w:val="24"/>
          <w:szCs w:val="24"/>
          <w:lang w:val="en-IE" w:eastAsia="en-IE"/>
        </w:rPr>
        <w:t>&lt;0</w:t>
      </w:r>
      <w:r w:rsidRPr="00473871">
        <w:rPr>
          <w:rFonts w:asciiTheme="majorHAnsi" w:eastAsia="Calibri" w:hAnsiTheme="majorHAnsi" w:cs="Times-Roman"/>
          <w:sz w:val="24"/>
          <w:szCs w:val="24"/>
          <w:lang w:val="en-IE" w:eastAsia="en-IE"/>
        </w:rPr>
        <w:t>.0001, demonstrating that factor analysis was suitable</w:t>
      </w:r>
      <w:r w:rsidRPr="00473871">
        <w:rPr>
          <w:rFonts w:asciiTheme="majorHAnsi" w:eastAsia="Calibri" w:hAnsiTheme="majorHAnsi" w:cs="TimesNewRomanPSMT"/>
          <w:sz w:val="24"/>
          <w:szCs w:val="24"/>
          <w:lang w:val="en-IE"/>
        </w:rPr>
        <w:t xml:space="preserve">.  Oblique rotation resulted in </w:t>
      </w:r>
      <w:r w:rsidRPr="00473871">
        <w:rPr>
          <w:rFonts w:asciiTheme="majorHAnsi" w:eastAsia="Calibri" w:hAnsiTheme="majorHAnsi" w:cs="BaskervilleBookBQ-Regular"/>
          <w:sz w:val="24"/>
          <w:szCs w:val="24"/>
          <w:lang w:eastAsia="en-GB"/>
        </w:rPr>
        <w:t xml:space="preserve">3 subscales with factor loadings &gt;0.4, </w:t>
      </w:r>
      <w:r w:rsidRPr="00473871">
        <w:rPr>
          <w:rFonts w:asciiTheme="majorHAnsi" w:eastAsia="Calibri" w:hAnsiTheme="majorHAnsi" w:cs="Times New Roman"/>
          <w:sz w:val="24"/>
          <w:szCs w:val="24"/>
          <w:lang w:val="en-IE"/>
        </w:rPr>
        <w:t>explaining 67% of the variance in the FIQLQ.  Parallel analysis using Monte Carlo software supported our decision to retain three factors</w:t>
      </w:r>
      <w:r w:rsidRPr="00473871">
        <w:rPr>
          <w:rFonts w:asciiTheme="majorHAnsi" w:eastAsia="Times New Roman" w:hAnsiTheme="majorHAnsi" w:cs="Times New Roman"/>
          <w:color w:val="000000"/>
          <w:sz w:val="24"/>
          <w:szCs w:val="24"/>
          <w:lang w:val="en-IE" w:eastAsia="en-IE"/>
        </w:rPr>
        <w:t xml:space="preserve">. Three meaningful subscales emerged: Emotional Impact (EI) had 8 items, Social and Dietary Restrictions (SDR) had 6 items and Reactions and Avoidance (R&amp;A) had 4 items (Table 4).  </w:t>
      </w:r>
      <w:r w:rsidRPr="00473871">
        <w:rPr>
          <w:rFonts w:asciiTheme="majorHAnsi" w:eastAsia="Times New Roman" w:hAnsiTheme="majorHAnsi" w:cs="Times New Roman"/>
          <w:color w:val="000000"/>
          <w:sz w:val="24"/>
          <w:szCs w:val="24"/>
          <w:lang w:eastAsia="en-IE"/>
        </w:rPr>
        <w:t xml:space="preserve">The subscales were scored on a scale ranging from 1-7  with higher scores indicating worse HRQL. Scores were calculated from subscale total/number of Items in subscale:  </w:t>
      </w:r>
      <w:r w:rsidRPr="00473871">
        <w:rPr>
          <w:rFonts w:asciiTheme="majorHAnsi" w:eastAsia="Times New Roman" w:hAnsiTheme="majorHAnsi" w:cs="Times New Roman"/>
          <w:color w:val="000000"/>
          <w:sz w:val="24"/>
          <w:szCs w:val="24"/>
          <w:lang w:val="en-IE" w:eastAsia="en-IE"/>
        </w:rPr>
        <w:t xml:space="preserve">EI 5.6 (SD 1.2); SDR 5.6 (SD 1.3); R&amp;A </w:t>
      </w:r>
      <w:r w:rsidRPr="00473871">
        <w:rPr>
          <w:rFonts w:asciiTheme="majorHAnsi" w:eastAsia="Times New Roman" w:hAnsiTheme="majorHAnsi" w:cs="Times New Roman"/>
          <w:color w:val="000000"/>
          <w:sz w:val="24"/>
          <w:szCs w:val="24"/>
          <w:lang w:eastAsia="en-IE"/>
        </w:rPr>
        <w:t xml:space="preserve">4.8 (SD 1.5). The FIQLQ total score was calculated from the sum of all scores/ 18; mean total score 5.4 (SD 1.1). There were no floor or ceiling effects for EI or R&amp;A scales, and no floor effect for the SDR scale (all &lt;15%).  A ceiling effect was observed for the SDR scale, with 19.7% of respondents reporting high scores.  </w:t>
      </w:r>
    </w:p>
    <w:p w:rsidR="008A6233" w:rsidRPr="00473871" w:rsidRDefault="008A6233" w:rsidP="008A6233">
      <w:pPr>
        <w:shd w:val="clear" w:color="auto" w:fill="FFFFFF"/>
        <w:spacing w:after="0" w:line="360" w:lineRule="auto"/>
        <w:contextualSpacing/>
        <w:jc w:val="both"/>
        <w:textAlignment w:val="baseline"/>
        <w:rPr>
          <w:rFonts w:asciiTheme="majorHAnsi" w:eastAsia="Arial Unicode MS" w:hAnsiTheme="majorHAnsi" w:cs="Arial Unicode MS"/>
          <w:sz w:val="24"/>
          <w:szCs w:val="24"/>
          <w:u w:val="single"/>
          <w:lang w:val="en-IE" w:eastAsia="en-IE"/>
        </w:rPr>
      </w:pPr>
      <w:r w:rsidRPr="00473871">
        <w:rPr>
          <w:rFonts w:asciiTheme="majorHAnsi" w:eastAsia="Arial Unicode MS" w:hAnsiTheme="majorHAnsi" w:cs="Arial Unicode MS"/>
          <w:sz w:val="24"/>
          <w:szCs w:val="24"/>
          <w:u w:val="single"/>
          <w:lang w:val="en-IE" w:eastAsia="en-IE"/>
        </w:rPr>
        <w:t xml:space="preserve">Reliability: </w:t>
      </w:r>
      <w:r w:rsidRPr="00473871">
        <w:rPr>
          <w:rFonts w:asciiTheme="majorHAnsi" w:eastAsia="Calibri" w:hAnsiTheme="majorHAnsi" w:cs="Times New Roman"/>
          <w:sz w:val="24"/>
          <w:szCs w:val="24"/>
          <w:lang w:val="en-IE" w:eastAsia="en-IE"/>
        </w:rPr>
        <w:t xml:space="preserve">The FIQLQ subscales had strong internal consistency with Cronbach’s </w:t>
      </w:r>
      <w:r w:rsidRPr="00473871">
        <w:rPr>
          <w:rFonts w:asciiTheme="majorHAnsi" w:eastAsia="Calibri" w:hAnsiTheme="majorHAnsi" w:cs="Times New Roman"/>
          <w:sz w:val="24"/>
          <w:szCs w:val="24"/>
          <w:lang w:val="en-IE"/>
        </w:rPr>
        <w:sym w:font="Symbol" w:char="F061"/>
      </w:r>
      <w:r w:rsidRPr="00473871">
        <w:rPr>
          <w:rFonts w:asciiTheme="majorHAnsi" w:eastAsia="Calibri" w:hAnsiTheme="majorHAnsi" w:cs="Times New Roman"/>
          <w:sz w:val="24"/>
          <w:szCs w:val="24"/>
          <w:lang w:val="en-IE"/>
        </w:rPr>
        <w:t xml:space="preserve"> of the </w:t>
      </w:r>
      <w:r w:rsidRPr="00473871">
        <w:rPr>
          <w:rFonts w:asciiTheme="majorHAnsi" w:eastAsia="Calibri" w:hAnsiTheme="majorHAnsi" w:cs="Times New Roman"/>
          <w:sz w:val="24"/>
          <w:szCs w:val="24"/>
        </w:rPr>
        <w:t>total score and sub-scales ranging from 0.81 to 0.94.</w:t>
      </w:r>
      <w:r w:rsidRPr="00473871">
        <w:rPr>
          <w:rFonts w:asciiTheme="majorHAnsi" w:eastAsia="Calibri" w:hAnsiTheme="majorHAnsi" w:cs="Times New Roman"/>
          <w:sz w:val="24"/>
          <w:szCs w:val="24"/>
          <w:lang w:val="en-IE"/>
        </w:rPr>
        <w:t xml:space="preserve"> </w:t>
      </w:r>
      <w:r w:rsidRPr="00473871">
        <w:rPr>
          <w:rFonts w:asciiTheme="majorHAnsi" w:eastAsia="Calibri" w:hAnsiTheme="majorHAnsi" w:cs="BaskervilleBookBQ-Regular"/>
          <w:sz w:val="24"/>
          <w:szCs w:val="24"/>
          <w:lang w:eastAsia="en-GB"/>
        </w:rPr>
        <w:t xml:space="preserve">Subscale to total score correlations were all &gt;0.8, and  subscale to subscale correlations &gt;0.4, indicating a unitary construct, i.e. all three subscales are useful in evaluating HRQL in food intolerance, but each also makes a unique contribution to the overall score. </w:t>
      </w:r>
    </w:p>
    <w:p w:rsidR="008A6233" w:rsidRPr="00473871" w:rsidRDefault="008A6233" w:rsidP="008A6233">
      <w:pPr>
        <w:shd w:val="clear" w:color="auto" w:fill="FFFFFF"/>
        <w:spacing w:after="0" w:line="360" w:lineRule="auto"/>
        <w:contextualSpacing/>
        <w:textAlignment w:val="baseline"/>
        <w:rPr>
          <w:rFonts w:asciiTheme="majorHAnsi" w:eastAsia="Arial Unicode MS" w:hAnsiTheme="majorHAnsi" w:cs="Arial Unicode MS"/>
          <w:sz w:val="24"/>
          <w:szCs w:val="24"/>
          <w:lang w:val="en-IE" w:eastAsia="en-IE"/>
        </w:rPr>
      </w:pPr>
      <w:r w:rsidRPr="00473871">
        <w:rPr>
          <w:rFonts w:asciiTheme="majorHAnsi" w:eastAsia="Arial Unicode MS" w:hAnsiTheme="majorHAnsi" w:cs="Arial Unicode MS"/>
          <w:sz w:val="24"/>
          <w:szCs w:val="24"/>
          <w:u w:val="single"/>
          <w:lang w:val="en-IE" w:eastAsia="en-IE"/>
        </w:rPr>
        <w:t>Construct Validity of Subscales Score</w:t>
      </w:r>
      <w:r w:rsidRPr="00473871">
        <w:rPr>
          <w:rFonts w:asciiTheme="majorHAnsi" w:eastAsia="Arial Unicode MS" w:hAnsiTheme="majorHAnsi" w:cs="Arial Unicode MS"/>
          <w:sz w:val="24"/>
          <w:szCs w:val="24"/>
          <w:lang w:val="en-IE" w:eastAsia="en-IE"/>
        </w:rPr>
        <w:t xml:space="preserve">: </w:t>
      </w:r>
      <w:r w:rsidRPr="00473871">
        <w:rPr>
          <w:rFonts w:asciiTheme="majorHAnsi" w:eastAsia="Calibri" w:hAnsiTheme="majorHAnsi" w:cs="Times New Roman"/>
          <w:sz w:val="24"/>
          <w:szCs w:val="24"/>
          <w:lang w:val="en-US"/>
        </w:rPr>
        <w:t>We had hypothesized that total FIQLQ s</w:t>
      </w:r>
      <w:r w:rsidRPr="00473871">
        <w:rPr>
          <w:rFonts w:asciiTheme="majorHAnsi" w:eastAsia="Calibri" w:hAnsiTheme="majorHAnsi" w:cs="Times New Roman"/>
          <w:sz w:val="24"/>
          <w:szCs w:val="24"/>
          <w:lang w:val="en"/>
        </w:rPr>
        <w:t xml:space="preserve">cores would be worse for older age groups, for women, for individuals with more symptoms and for people avoiding more </w:t>
      </w:r>
      <w:r w:rsidRPr="00275CBE">
        <w:rPr>
          <w:rFonts w:asciiTheme="majorHAnsi" w:eastAsia="Calibri" w:hAnsiTheme="majorHAnsi" w:cs="Times New Roman"/>
          <w:b/>
          <w:sz w:val="24"/>
          <w:szCs w:val="24"/>
          <w:lang w:val="en"/>
        </w:rPr>
        <w:t>than</w:t>
      </w:r>
      <w:r w:rsidR="00275CBE" w:rsidRPr="00275CBE">
        <w:rPr>
          <w:rFonts w:asciiTheme="majorHAnsi" w:eastAsia="Calibri" w:hAnsiTheme="majorHAnsi" w:cs="Times New Roman"/>
          <w:b/>
          <w:sz w:val="24"/>
          <w:szCs w:val="24"/>
          <w:lang w:val="en"/>
        </w:rPr>
        <w:t xml:space="preserve"> </w:t>
      </w:r>
      <w:r w:rsidR="00275CBE">
        <w:rPr>
          <w:rFonts w:asciiTheme="majorHAnsi" w:eastAsia="Calibri" w:hAnsiTheme="majorHAnsi" w:cs="Times New Roman"/>
          <w:b/>
          <w:sz w:val="24"/>
          <w:szCs w:val="24"/>
          <w:lang w:val="en"/>
        </w:rPr>
        <w:t xml:space="preserve">two </w:t>
      </w:r>
      <w:r w:rsidRPr="00275CBE">
        <w:rPr>
          <w:rFonts w:asciiTheme="majorHAnsi" w:eastAsia="Calibri" w:hAnsiTheme="majorHAnsi" w:cs="Times New Roman"/>
          <w:b/>
          <w:sz w:val="24"/>
          <w:szCs w:val="24"/>
          <w:lang w:val="en"/>
        </w:rPr>
        <w:t>food</w:t>
      </w:r>
      <w:r w:rsidR="00275CBE">
        <w:rPr>
          <w:rFonts w:asciiTheme="majorHAnsi" w:eastAsia="Calibri" w:hAnsiTheme="majorHAnsi" w:cs="Times New Roman"/>
          <w:b/>
          <w:sz w:val="24"/>
          <w:szCs w:val="24"/>
          <w:lang w:val="en"/>
        </w:rPr>
        <w:t>s</w:t>
      </w:r>
      <w:r w:rsidRPr="00473871">
        <w:rPr>
          <w:rFonts w:asciiTheme="majorHAnsi" w:eastAsia="Calibri" w:hAnsiTheme="majorHAnsi" w:cs="Times New Roman"/>
          <w:sz w:val="24"/>
          <w:szCs w:val="24"/>
          <w:lang w:val="en"/>
        </w:rPr>
        <w:t xml:space="preserve">.  Although there was no difference between total FIQLQ scores for women (M= 5.4,SD 1.2) in comparison to men (M= 5.4, SD 0.9) p&gt;0.05, we confirmed </w:t>
      </w:r>
      <w:r>
        <w:rPr>
          <w:rFonts w:asciiTheme="majorHAnsi" w:eastAsia="Calibri" w:hAnsiTheme="majorHAnsi" w:cs="Times New Roman"/>
          <w:sz w:val="24"/>
          <w:szCs w:val="24"/>
          <w:lang w:val="en"/>
        </w:rPr>
        <w:t xml:space="preserve">significant </w:t>
      </w:r>
      <w:r w:rsidRPr="00473871">
        <w:rPr>
          <w:rFonts w:asciiTheme="majorHAnsi" w:eastAsia="Calibri" w:hAnsiTheme="majorHAnsi" w:cs="Times New Roman"/>
          <w:sz w:val="24"/>
          <w:szCs w:val="24"/>
          <w:lang w:val="en"/>
        </w:rPr>
        <w:t xml:space="preserve">correlations for all of these other relationships (Table 5). </w:t>
      </w:r>
      <w:r w:rsidRPr="00473871">
        <w:rPr>
          <w:rFonts w:asciiTheme="majorHAnsi" w:eastAsia="Arial Unicode MS" w:hAnsiTheme="majorHAnsi" w:cs="Arial Unicode MS"/>
          <w:sz w:val="24"/>
          <w:szCs w:val="24"/>
          <w:lang w:val="en-IE" w:eastAsia="en-IE"/>
        </w:rPr>
        <w:t xml:space="preserve"> As predicted EI </w:t>
      </w:r>
      <w:r>
        <w:rPr>
          <w:rFonts w:asciiTheme="majorHAnsi" w:eastAsia="Arial Unicode MS" w:hAnsiTheme="majorHAnsi" w:cs="Arial Unicode MS"/>
          <w:sz w:val="24"/>
          <w:szCs w:val="24"/>
          <w:lang w:val="en-IE" w:eastAsia="en-IE"/>
        </w:rPr>
        <w:t xml:space="preserve">was </w:t>
      </w:r>
      <w:r w:rsidRPr="00473871">
        <w:rPr>
          <w:rFonts w:asciiTheme="majorHAnsi" w:eastAsia="Arial Unicode MS" w:hAnsiTheme="majorHAnsi" w:cs="Arial Unicode MS"/>
          <w:sz w:val="24"/>
          <w:szCs w:val="24"/>
          <w:lang w:val="en-IE" w:eastAsia="en-IE"/>
        </w:rPr>
        <w:t xml:space="preserve">related to FIIM and </w:t>
      </w:r>
      <w:r>
        <w:rPr>
          <w:rFonts w:asciiTheme="majorHAnsi" w:eastAsia="Arial Unicode MS" w:hAnsiTheme="majorHAnsi" w:cs="Arial Unicode MS"/>
          <w:sz w:val="24"/>
          <w:szCs w:val="24"/>
          <w:lang w:val="en-IE" w:eastAsia="en-IE"/>
        </w:rPr>
        <w:t xml:space="preserve">to the item </w:t>
      </w:r>
      <w:r w:rsidRPr="00473871">
        <w:rPr>
          <w:rFonts w:asciiTheme="majorHAnsi" w:eastAsia="Arial Unicode MS" w:hAnsiTheme="majorHAnsi" w:cs="Arial Unicode MS"/>
          <w:sz w:val="24"/>
          <w:szCs w:val="24"/>
          <w:lang w:eastAsia="en-IE"/>
        </w:rPr>
        <w:t>“what level of stress does your FI cause you?”; the SDR subscale correlated moderately with “how much has food intolerance limited the type of activities you partaking?” and</w:t>
      </w:r>
      <w:r>
        <w:rPr>
          <w:rFonts w:asciiTheme="majorHAnsi" w:eastAsia="Arial Unicode MS" w:hAnsiTheme="majorHAnsi" w:cs="Arial Unicode MS"/>
          <w:sz w:val="24"/>
          <w:szCs w:val="24"/>
          <w:lang w:eastAsia="en-IE"/>
        </w:rPr>
        <w:t xml:space="preserve"> to the level of</w:t>
      </w:r>
      <w:r w:rsidRPr="00473871">
        <w:rPr>
          <w:rFonts w:asciiTheme="majorHAnsi" w:eastAsia="Arial Unicode MS" w:hAnsiTheme="majorHAnsi" w:cs="Arial Unicode MS"/>
          <w:sz w:val="24"/>
          <w:szCs w:val="24"/>
          <w:lang w:eastAsia="en-IE"/>
        </w:rPr>
        <w:t xml:space="preserve"> “stress caused to family and friends”; whilst </w:t>
      </w:r>
      <w:r w:rsidRPr="00473871">
        <w:rPr>
          <w:rFonts w:asciiTheme="majorHAnsi" w:eastAsia="Arial Unicode MS" w:hAnsiTheme="majorHAnsi" w:cs="Arial Unicode MS"/>
          <w:sz w:val="24"/>
          <w:szCs w:val="24"/>
          <w:lang w:val="en-IE" w:eastAsia="en-IE"/>
        </w:rPr>
        <w:t>R&amp;A correlated moderately with</w:t>
      </w:r>
      <w:r w:rsidRPr="00473871">
        <w:rPr>
          <w:rFonts w:asciiTheme="majorHAnsi" w:eastAsia="Arial Unicode MS" w:hAnsiTheme="majorHAnsi" w:cs="Arial Unicode MS"/>
          <w:sz w:val="24"/>
          <w:szCs w:val="24"/>
          <w:lang w:eastAsia="en-IE"/>
        </w:rPr>
        <w:t xml:space="preserve"> </w:t>
      </w:r>
      <w:r>
        <w:rPr>
          <w:rFonts w:asciiTheme="majorHAnsi" w:eastAsia="Arial Unicode MS" w:hAnsiTheme="majorHAnsi" w:cs="Arial Unicode MS"/>
          <w:sz w:val="24"/>
          <w:szCs w:val="24"/>
          <w:lang w:eastAsia="en-IE"/>
        </w:rPr>
        <w:t xml:space="preserve">the item </w:t>
      </w:r>
      <w:r w:rsidRPr="00473871">
        <w:rPr>
          <w:rFonts w:asciiTheme="majorHAnsi" w:eastAsia="Arial Unicode MS" w:hAnsiTheme="majorHAnsi" w:cs="Arial Unicode MS"/>
          <w:sz w:val="24"/>
          <w:szCs w:val="24"/>
          <w:lang w:eastAsia="en-IE"/>
        </w:rPr>
        <w:t xml:space="preserve">“how safe is eating out or getting takeaway?”, </w:t>
      </w:r>
      <w:r>
        <w:rPr>
          <w:rFonts w:asciiTheme="majorHAnsi" w:eastAsia="Arial Unicode MS" w:hAnsiTheme="majorHAnsi" w:cs="Arial Unicode MS"/>
          <w:sz w:val="24"/>
          <w:szCs w:val="24"/>
          <w:lang w:eastAsia="en-IE"/>
        </w:rPr>
        <w:t xml:space="preserve">and </w:t>
      </w:r>
      <w:r w:rsidRPr="00473871">
        <w:rPr>
          <w:rFonts w:asciiTheme="majorHAnsi" w:eastAsia="Arial Unicode MS" w:hAnsiTheme="majorHAnsi" w:cs="Arial Unicode MS"/>
          <w:sz w:val="24"/>
          <w:szCs w:val="24"/>
          <w:lang w:eastAsia="en-IE"/>
        </w:rPr>
        <w:t xml:space="preserve">there was a small correlation with the number of symptoms reported (Table 5). </w:t>
      </w:r>
    </w:p>
    <w:p w:rsidR="008A6233" w:rsidRDefault="008A6233" w:rsidP="008A6233">
      <w:pPr>
        <w:autoSpaceDE w:val="0"/>
        <w:autoSpaceDN w:val="0"/>
        <w:adjustRightInd w:val="0"/>
        <w:spacing w:after="0" w:line="360" w:lineRule="auto"/>
        <w:rPr>
          <w:rFonts w:asciiTheme="majorHAnsi" w:eastAsia="Arial Unicode MS" w:hAnsiTheme="majorHAnsi" w:cs="Arial Unicode MS"/>
          <w:sz w:val="24"/>
          <w:szCs w:val="24"/>
          <w:lang w:val="en-IE" w:eastAsia="en-IE"/>
        </w:rPr>
      </w:pPr>
      <w:r w:rsidRPr="00B82BE4">
        <w:rPr>
          <w:rFonts w:asciiTheme="majorHAnsi" w:eastAsia="Calibri" w:hAnsiTheme="majorHAnsi" w:cs="TradeGothic-Bold"/>
          <w:bCs/>
          <w:sz w:val="24"/>
          <w:szCs w:val="24"/>
          <w:u w:val="single"/>
          <w:lang w:val="en-IE" w:eastAsia="en-GB"/>
        </w:rPr>
        <w:t>Concurrent validity of the subscales and total score:</w:t>
      </w:r>
      <w:r>
        <w:rPr>
          <w:rFonts w:asciiTheme="majorHAnsi" w:eastAsia="Calibri" w:hAnsiTheme="majorHAnsi" w:cs="TradeGothic-Bold"/>
          <w:bCs/>
          <w:sz w:val="24"/>
          <w:szCs w:val="24"/>
          <w:lang w:val="en-IE" w:eastAsia="en-GB"/>
        </w:rPr>
        <w:t xml:space="preserve"> A test is considered to be ‘very beneficial’ if </w:t>
      </w:r>
      <w:r>
        <w:rPr>
          <w:rFonts w:asciiTheme="majorHAnsi" w:eastAsia="Calibri" w:hAnsiTheme="majorHAnsi" w:cs="TradeGothic-Bold"/>
          <w:bCs/>
          <w:sz w:val="24"/>
          <w:szCs w:val="24"/>
          <w:lang w:eastAsia="en-GB"/>
        </w:rPr>
        <w:t>validity coefficient values are above 0.35 (23).</w:t>
      </w:r>
      <w:r w:rsidRPr="00473871">
        <w:rPr>
          <w:rFonts w:asciiTheme="majorHAnsi" w:eastAsia="Calibri" w:hAnsiTheme="majorHAnsi" w:cs="TradeGothic-Bold"/>
          <w:bCs/>
          <w:sz w:val="24"/>
          <w:szCs w:val="24"/>
          <w:lang w:val="en-IE" w:eastAsia="en-GB"/>
        </w:rPr>
        <w:t xml:space="preserve"> </w:t>
      </w:r>
      <w:r w:rsidRPr="00473871">
        <w:rPr>
          <w:rFonts w:asciiTheme="majorHAnsi" w:eastAsia="Calibri" w:hAnsiTheme="majorHAnsi" w:cs="AdvAgfaRS"/>
          <w:sz w:val="24"/>
          <w:szCs w:val="24"/>
          <w:u w:color="000000"/>
          <w:bdr w:val="nil"/>
          <w:lang w:val="en-US" w:eastAsia="en-GB"/>
        </w:rPr>
        <w:t xml:space="preserve">Moderate </w:t>
      </w:r>
      <w:r>
        <w:rPr>
          <w:rFonts w:asciiTheme="majorHAnsi" w:eastAsia="Calibri" w:hAnsiTheme="majorHAnsi" w:cs="AdvAgfaRS"/>
          <w:sz w:val="24"/>
          <w:szCs w:val="24"/>
          <w:u w:color="000000"/>
          <w:bdr w:val="nil"/>
          <w:lang w:val="en-US" w:eastAsia="en-GB"/>
        </w:rPr>
        <w:t xml:space="preserve">significant </w:t>
      </w:r>
      <w:r w:rsidRPr="00473871">
        <w:rPr>
          <w:rFonts w:asciiTheme="majorHAnsi" w:eastAsia="Calibri" w:hAnsiTheme="majorHAnsi" w:cs="AdvAgfaRS"/>
          <w:sz w:val="24"/>
          <w:szCs w:val="24"/>
          <w:u w:color="000000"/>
          <w:bdr w:val="nil"/>
          <w:lang w:val="en-US" w:eastAsia="en-GB"/>
        </w:rPr>
        <w:t>correlations were found between the</w:t>
      </w:r>
      <w:r w:rsidRPr="00473871">
        <w:rPr>
          <w:rFonts w:asciiTheme="majorHAnsi" w:eastAsia="Arial Unicode MS" w:hAnsiTheme="majorHAnsi" w:cs="Arial Unicode MS"/>
          <w:sz w:val="24"/>
          <w:szCs w:val="24"/>
          <w:lang w:val="en-IE" w:eastAsia="en-IE"/>
        </w:rPr>
        <w:t xml:space="preserve"> FIIM </w:t>
      </w:r>
      <w:r w:rsidRPr="00473871">
        <w:rPr>
          <w:rFonts w:asciiTheme="majorHAnsi" w:eastAsia="Calibri" w:hAnsiTheme="majorHAnsi" w:cs="AdvAgfaRS"/>
          <w:sz w:val="24"/>
          <w:szCs w:val="24"/>
          <w:u w:color="000000"/>
          <w:bdr w:val="nil"/>
          <w:lang w:val="en-US" w:eastAsia="en-GB"/>
        </w:rPr>
        <w:t xml:space="preserve">with the three subscales and with Total FIQLQ score </w:t>
      </w:r>
      <w:r w:rsidRPr="00473871">
        <w:rPr>
          <w:rFonts w:asciiTheme="majorHAnsi" w:eastAsia="Calibri" w:hAnsiTheme="majorHAnsi" w:cs="AdvAgfaRS"/>
          <w:sz w:val="24"/>
          <w:szCs w:val="24"/>
          <w:u w:color="000000"/>
          <w:bdr w:val="nil"/>
          <w:lang w:val="en-IE" w:eastAsia="en-GB"/>
        </w:rPr>
        <w:t>(EI r=0.388; SDR r= 0.318; R&amp;A r=0.448; Total FIQLQ r=0.429)</w:t>
      </w:r>
      <w:r w:rsidRPr="00473871">
        <w:rPr>
          <w:rFonts w:asciiTheme="majorHAnsi" w:eastAsia="Arial Unicode MS" w:hAnsiTheme="majorHAnsi" w:cs="Arial Unicode MS"/>
          <w:sz w:val="24"/>
          <w:szCs w:val="24"/>
          <w:lang w:val="en-IE" w:eastAsia="en-IE"/>
        </w:rPr>
        <w:t>).</w:t>
      </w:r>
      <w:r>
        <w:rPr>
          <w:rFonts w:asciiTheme="majorHAnsi" w:eastAsia="Arial Unicode MS" w:hAnsiTheme="majorHAnsi" w:cs="Arial Unicode MS"/>
          <w:sz w:val="24"/>
          <w:szCs w:val="24"/>
          <w:lang w:val="en-IE" w:eastAsia="en-IE"/>
        </w:rPr>
        <w:t xml:space="preserve"> </w:t>
      </w:r>
      <w:r w:rsidRPr="00473871">
        <w:rPr>
          <w:rFonts w:asciiTheme="majorHAnsi" w:eastAsia="Arial Unicode MS" w:hAnsiTheme="majorHAnsi" w:cs="Arial Unicode MS"/>
          <w:sz w:val="24"/>
          <w:szCs w:val="24"/>
          <w:lang w:val="en-IE" w:eastAsia="en-IE"/>
        </w:rPr>
        <w:t>Limitations in social activities with family or friends (EI r=0.509; SDR r= 0.519; R&amp;A r=0.393; Total FIQLQ r=0.544) was significantly related to the impact of food intolerance. The subscales were negatively correlated with the questions ‘how enjoyable do you find eating out/take away’ (EI r= -0.463; SDR r= -0.395; R&amp;A r=-0.312; Total FIQLQ -0.448) and ‘how safe is eating out/take away’ (EI r=-0.519; SDR r= -0.420; R&amp;A r= -0.331; Total FIQLQ r=-0.495). Therefore, as perception of enjoyment and safety decr</w:t>
      </w:r>
      <w:r>
        <w:rPr>
          <w:rFonts w:asciiTheme="majorHAnsi" w:eastAsia="Arial Unicode MS" w:hAnsiTheme="majorHAnsi" w:cs="Arial Unicode MS"/>
          <w:sz w:val="24"/>
          <w:szCs w:val="24"/>
          <w:lang w:val="en-IE" w:eastAsia="en-IE"/>
        </w:rPr>
        <w:t>ease, burden on HRQL increases, showing good preliminary construct and concurrent validity of the measure.</w:t>
      </w:r>
    </w:p>
    <w:p w:rsidR="008A6233" w:rsidRDefault="008A6233" w:rsidP="008A6233">
      <w:pPr>
        <w:autoSpaceDE w:val="0"/>
        <w:autoSpaceDN w:val="0"/>
        <w:adjustRightInd w:val="0"/>
        <w:spacing w:after="0" w:line="360" w:lineRule="auto"/>
        <w:rPr>
          <w:rFonts w:asciiTheme="majorHAnsi" w:eastAsia="Arial Unicode MS" w:hAnsiTheme="majorHAnsi" w:cs="Arial Unicode MS"/>
          <w:sz w:val="24"/>
          <w:szCs w:val="24"/>
          <w:u w:color="000000"/>
          <w:bdr w:val="nil"/>
          <w:lang w:val="en-US" w:eastAsia="en-GB"/>
        </w:rPr>
      </w:pPr>
    </w:p>
    <w:p w:rsidR="008A6233" w:rsidRPr="00473871" w:rsidRDefault="008A6233" w:rsidP="008A6233">
      <w:pPr>
        <w:autoSpaceDE w:val="0"/>
        <w:autoSpaceDN w:val="0"/>
        <w:adjustRightInd w:val="0"/>
        <w:spacing w:after="0" w:line="360" w:lineRule="auto"/>
        <w:rPr>
          <w:rFonts w:asciiTheme="majorHAnsi" w:hAnsiTheme="majorHAnsi" w:cs="Times New Roman"/>
          <w:b/>
          <w:sz w:val="24"/>
          <w:szCs w:val="24"/>
          <w:lang w:val="en-IE"/>
        </w:rPr>
      </w:pPr>
      <w:r w:rsidRPr="00473871">
        <w:rPr>
          <w:rFonts w:asciiTheme="majorHAnsi" w:hAnsiTheme="majorHAnsi" w:cs="Times New Roman"/>
          <w:b/>
          <w:sz w:val="24"/>
          <w:szCs w:val="24"/>
          <w:lang w:val="en-IE"/>
        </w:rPr>
        <w:t>Discussion</w:t>
      </w:r>
    </w:p>
    <w:p w:rsidR="008A6233" w:rsidRPr="00473871" w:rsidRDefault="008A6233" w:rsidP="008A6233">
      <w:pPr>
        <w:spacing w:line="360" w:lineRule="auto"/>
        <w:rPr>
          <w:rFonts w:asciiTheme="majorHAnsi" w:hAnsiTheme="majorHAnsi"/>
          <w:sz w:val="24"/>
          <w:szCs w:val="24"/>
          <w:highlight w:val="yellow"/>
        </w:rPr>
      </w:pPr>
      <w:r w:rsidRPr="00473871">
        <w:rPr>
          <w:rFonts w:asciiTheme="majorHAnsi" w:hAnsiTheme="majorHAnsi"/>
          <w:sz w:val="24"/>
          <w:szCs w:val="24"/>
        </w:rPr>
        <w:t xml:space="preserve">We have developed and </w:t>
      </w:r>
      <w:r>
        <w:rPr>
          <w:rFonts w:asciiTheme="majorHAnsi" w:hAnsiTheme="majorHAnsi"/>
          <w:sz w:val="24"/>
          <w:szCs w:val="24"/>
        </w:rPr>
        <w:t xml:space="preserve">carried out a preliminary validation of </w:t>
      </w:r>
      <w:r w:rsidRPr="00473871">
        <w:rPr>
          <w:rFonts w:asciiTheme="majorHAnsi" w:hAnsiTheme="majorHAnsi"/>
          <w:sz w:val="24"/>
          <w:szCs w:val="24"/>
        </w:rPr>
        <w:t xml:space="preserve">the first multi-dimensional self-report questionnaire to measure the impact of food intolerance on HRQL for adults.  </w:t>
      </w:r>
      <w:r w:rsidRPr="00473871">
        <w:rPr>
          <w:rFonts w:asciiTheme="majorHAnsi" w:eastAsia="Times New Roman" w:hAnsiTheme="majorHAnsi" w:cs="Times New Roman"/>
          <w:kern w:val="24"/>
          <w:sz w:val="24"/>
          <w:szCs w:val="24"/>
        </w:rPr>
        <w:t xml:space="preserve">Valid and reliable instruments are needed to measure any changes in HRQL following clinical, therapeutic or policy interventions. </w:t>
      </w:r>
      <w:r w:rsidRPr="00473871">
        <w:rPr>
          <w:rFonts w:asciiTheme="majorHAnsi" w:hAnsiTheme="majorHAnsi"/>
          <w:sz w:val="24"/>
          <w:szCs w:val="24"/>
          <w:lang w:val="en-IE"/>
        </w:rPr>
        <w:t>Disease specific questionnaires are routinely used in such a framework and have proved useful both in research and clinical settings for IgE-mediated food allergy</w:t>
      </w:r>
      <w:r w:rsidRPr="00473871">
        <w:rPr>
          <w:rFonts w:asciiTheme="majorHAnsi" w:hAnsiTheme="majorHAnsi"/>
        </w:rPr>
        <w:t xml:space="preserve">. </w:t>
      </w:r>
      <w:r w:rsidRPr="00473871">
        <w:rPr>
          <w:rFonts w:asciiTheme="majorHAnsi" w:hAnsiTheme="majorHAnsi"/>
          <w:sz w:val="24"/>
          <w:szCs w:val="24"/>
        </w:rPr>
        <w:t xml:space="preserve">Therefore, we modified the existing validated Food Allergy Quality of Life for Adults questionnaire (FAQLQ AF) to ensure that the measure was suitable to assess quality of life in those with FI. We then validated the instrument in a large cross-sectional study. </w:t>
      </w:r>
      <w:r w:rsidRPr="00473871">
        <w:rPr>
          <w:rFonts w:asciiTheme="majorHAnsi" w:hAnsiTheme="majorHAnsi" w:cs="AdvAgfaRSI"/>
          <w:sz w:val="24"/>
          <w:szCs w:val="24"/>
        </w:rPr>
        <w:t xml:space="preserve">The process of the modification and development of the questionnaire consisted of </w:t>
      </w:r>
      <w:r w:rsidRPr="00473871">
        <w:rPr>
          <w:rFonts w:asciiTheme="majorHAnsi" w:hAnsiTheme="majorHAnsi" w:cs="Times New Roman"/>
          <w:sz w:val="24"/>
          <w:szCs w:val="24"/>
        </w:rPr>
        <w:t>cognitive interviews, clinical impact methods and psychometric</w:t>
      </w:r>
      <w:r w:rsidRPr="00473871">
        <w:rPr>
          <w:rFonts w:asciiTheme="majorHAnsi" w:hAnsiTheme="majorHAnsi" w:cs="Times New Roman"/>
          <w:b/>
          <w:sz w:val="24"/>
          <w:szCs w:val="24"/>
        </w:rPr>
        <w:t xml:space="preserve"> </w:t>
      </w:r>
      <w:r w:rsidRPr="00473871">
        <w:rPr>
          <w:rFonts w:asciiTheme="majorHAnsi" w:hAnsiTheme="majorHAnsi" w:cs="Times New Roman"/>
          <w:sz w:val="24"/>
          <w:szCs w:val="24"/>
        </w:rPr>
        <w:t>examination of internal consistency reliability</w:t>
      </w:r>
      <w:r>
        <w:rPr>
          <w:rFonts w:asciiTheme="majorHAnsi" w:hAnsiTheme="majorHAnsi" w:cs="Times New Roman"/>
          <w:sz w:val="24"/>
          <w:szCs w:val="24"/>
        </w:rPr>
        <w:t>, concurrent</w:t>
      </w:r>
      <w:r w:rsidRPr="00473871">
        <w:rPr>
          <w:rFonts w:asciiTheme="majorHAnsi" w:hAnsiTheme="majorHAnsi" w:cs="Times New Roman"/>
          <w:sz w:val="24"/>
          <w:szCs w:val="24"/>
        </w:rPr>
        <w:t xml:space="preserve"> and construct validity. </w:t>
      </w:r>
    </w:p>
    <w:p w:rsidR="008A6233" w:rsidRPr="00473871" w:rsidRDefault="008A6233" w:rsidP="008A6233">
      <w:pPr>
        <w:autoSpaceDE w:val="0"/>
        <w:autoSpaceDN w:val="0"/>
        <w:adjustRightInd w:val="0"/>
        <w:spacing w:after="0" w:line="360" w:lineRule="auto"/>
        <w:rPr>
          <w:rFonts w:asciiTheme="majorHAnsi" w:hAnsiTheme="majorHAnsi" w:cs="Times New Roman"/>
          <w:sz w:val="24"/>
          <w:szCs w:val="24"/>
          <w:u w:val="single"/>
          <w:lang w:val="en-IE"/>
        </w:rPr>
      </w:pPr>
      <w:r w:rsidRPr="00473871">
        <w:rPr>
          <w:rFonts w:asciiTheme="majorHAnsi" w:eastAsia="Arial Unicode MS" w:hAnsiTheme="majorHAnsi" w:cs="Arial Unicode MS"/>
          <w:sz w:val="24"/>
          <w:szCs w:val="24"/>
          <w:u w:color="000000"/>
          <w:bdr w:val="nil"/>
          <w:lang w:val="en-US" w:eastAsia="en-GB"/>
        </w:rPr>
        <w:t xml:space="preserve">Internal consistency reliability was excellent.  </w:t>
      </w:r>
      <w:r w:rsidRPr="00473871">
        <w:rPr>
          <w:rFonts w:asciiTheme="majorHAnsi" w:hAnsiTheme="majorHAnsi" w:cs="Times New Roman"/>
          <w:sz w:val="24"/>
          <w:szCs w:val="24"/>
        </w:rPr>
        <w:t xml:space="preserve"> </w:t>
      </w:r>
      <w:r w:rsidRPr="00473871">
        <w:rPr>
          <w:rFonts w:asciiTheme="majorHAnsi" w:eastAsia="Times New Roman" w:hAnsiTheme="majorHAnsi" w:cs="Times New Roman"/>
          <w:sz w:val="24"/>
          <w:szCs w:val="24"/>
          <w:lang w:val="en-IE" w:eastAsia="en-IE"/>
        </w:rPr>
        <w:t xml:space="preserve">Three meaningful factors/subscales emerged from the factor analysis for the FIQLQ: Emotional Impact, Dietary and Social Restrictions, Reactions and Avoidance. </w:t>
      </w:r>
      <w:r w:rsidRPr="00473871">
        <w:rPr>
          <w:rFonts w:asciiTheme="majorHAnsi" w:hAnsiTheme="majorHAnsi" w:cs="AdvAgfaRS"/>
          <w:sz w:val="24"/>
          <w:szCs w:val="24"/>
          <w:u w:color="000000"/>
          <w:bdr w:val="nil"/>
          <w:lang w:val="en-US" w:eastAsia="en-GB"/>
        </w:rPr>
        <w:t xml:space="preserve">As hypothesized, significant </w:t>
      </w:r>
      <w:r>
        <w:rPr>
          <w:rFonts w:asciiTheme="majorHAnsi" w:hAnsiTheme="majorHAnsi" w:cs="AdvAgfaRS"/>
          <w:sz w:val="24"/>
          <w:szCs w:val="24"/>
          <w:u w:color="000000"/>
          <w:bdr w:val="nil"/>
          <w:lang w:val="en-US" w:eastAsia="en-GB"/>
        </w:rPr>
        <w:t xml:space="preserve">moderate </w:t>
      </w:r>
      <w:r w:rsidRPr="00473871">
        <w:rPr>
          <w:rFonts w:asciiTheme="majorHAnsi" w:hAnsiTheme="majorHAnsi" w:cs="AdvAgfaRS"/>
          <w:sz w:val="24"/>
          <w:szCs w:val="24"/>
          <w:u w:color="000000"/>
          <w:bdr w:val="nil"/>
          <w:lang w:val="en-US" w:eastAsia="en-GB"/>
        </w:rPr>
        <w:t xml:space="preserve">correlations were found between the subscale scores of the FIQLQ and relevant independent variables.  </w:t>
      </w:r>
      <w:r w:rsidRPr="00473871">
        <w:rPr>
          <w:rFonts w:asciiTheme="majorHAnsi" w:eastAsia="Times New Roman" w:hAnsiTheme="majorHAnsi" w:cs="Times New Roman"/>
          <w:sz w:val="24"/>
          <w:szCs w:val="24"/>
          <w:lang w:val="en-IE" w:eastAsia="en-IE"/>
        </w:rPr>
        <w:t xml:space="preserve">Therefore, the subscales </w:t>
      </w:r>
      <w:r w:rsidRPr="00473871">
        <w:rPr>
          <w:rFonts w:asciiTheme="majorHAnsi" w:hAnsiTheme="majorHAnsi" w:cs="Times New Roman"/>
          <w:sz w:val="24"/>
          <w:szCs w:val="24"/>
        </w:rPr>
        <w:t>provide</w:t>
      </w:r>
      <w:r>
        <w:rPr>
          <w:rFonts w:asciiTheme="majorHAnsi" w:hAnsiTheme="majorHAnsi" w:cs="Times New Roman"/>
          <w:sz w:val="24"/>
          <w:szCs w:val="24"/>
        </w:rPr>
        <w:t xml:space="preserve"> a</w:t>
      </w:r>
      <w:r w:rsidRPr="00473871">
        <w:rPr>
          <w:rFonts w:asciiTheme="majorHAnsi" w:hAnsiTheme="majorHAnsi" w:cs="Times New Roman"/>
          <w:sz w:val="24"/>
          <w:szCs w:val="24"/>
        </w:rPr>
        <w:t xml:space="preserve"> unique but related contribution to explaining the impact of food intolerance on quality of life.  </w:t>
      </w:r>
      <w:r w:rsidRPr="00473871">
        <w:rPr>
          <w:rFonts w:asciiTheme="majorHAnsi" w:hAnsiTheme="majorHAnsi" w:cs="Times New Roman"/>
          <w:sz w:val="24"/>
          <w:szCs w:val="24"/>
          <w:lang w:val="en-IE"/>
        </w:rPr>
        <w:t xml:space="preserve">A </w:t>
      </w:r>
      <w:r>
        <w:rPr>
          <w:rFonts w:asciiTheme="majorHAnsi" w:hAnsiTheme="majorHAnsi" w:cs="Times New Roman"/>
          <w:sz w:val="24"/>
          <w:szCs w:val="24"/>
          <w:lang w:val="en-IE"/>
        </w:rPr>
        <w:t xml:space="preserve">moderate </w:t>
      </w:r>
      <w:r w:rsidRPr="00473871">
        <w:rPr>
          <w:rFonts w:asciiTheme="majorHAnsi" w:hAnsiTheme="majorHAnsi" w:cs="Times New Roman"/>
          <w:sz w:val="24"/>
          <w:szCs w:val="24"/>
          <w:lang w:val="en-IE"/>
        </w:rPr>
        <w:t>significant relationship was found between the total score on the FIQLQ and the Food Intolerance Independent Measure</w:t>
      </w:r>
      <w:r>
        <w:rPr>
          <w:rFonts w:asciiTheme="majorHAnsi" w:hAnsiTheme="majorHAnsi" w:cs="Times New Roman"/>
          <w:sz w:val="24"/>
          <w:szCs w:val="24"/>
          <w:lang w:val="en-IE"/>
        </w:rPr>
        <w:t xml:space="preserve"> </w:t>
      </w:r>
      <w:r w:rsidRPr="00473871">
        <w:rPr>
          <w:rFonts w:asciiTheme="majorHAnsi" w:hAnsiTheme="majorHAnsi" w:cs="Times New Roman"/>
          <w:sz w:val="24"/>
          <w:szCs w:val="24"/>
          <w:lang w:val="en-IE"/>
        </w:rPr>
        <w:t>(FIIM)</w:t>
      </w:r>
      <w:r>
        <w:rPr>
          <w:rFonts w:asciiTheme="majorHAnsi" w:hAnsiTheme="majorHAnsi" w:cs="Times New Roman"/>
          <w:sz w:val="24"/>
          <w:szCs w:val="24"/>
          <w:lang w:val="en-IE"/>
        </w:rPr>
        <w:t>.</w:t>
      </w:r>
      <w:r w:rsidRPr="00473871">
        <w:rPr>
          <w:rFonts w:asciiTheme="majorHAnsi" w:hAnsiTheme="majorHAnsi" w:cs="Times New Roman"/>
          <w:sz w:val="24"/>
          <w:szCs w:val="24"/>
          <w:lang w:val="en-IE"/>
        </w:rPr>
        <w:t xml:space="preserve"> As expected, lower correlations were found between the FIIM and the FIQLQ than were found previously between the FAQLQ and the FAIM (1</w:t>
      </w:r>
      <w:r>
        <w:rPr>
          <w:rFonts w:asciiTheme="majorHAnsi" w:hAnsiTheme="majorHAnsi" w:cs="Times New Roman"/>
          <w:sz w:val="24"/>
          <w:szCs w:val="24"/>
          <w:lang w:val="en-IE"/>
        </w:rPr>
        <w:t>2</w:t>
      </w:r>
      <w:r w:rsidRPr="00473871">
        <w:rPr>
          <w:rFonts w:asciiTheme="majorHAnsi" w:hAnsiTheme="majorHAnsi" w:cs="Times New Roman"/>
          <w:sz w:val="24"/>
          <w:szCs w:val="24"/>
          <w:lang w:val="en-IE"/>
        </w:rPr>
        <w:t>;1</w:t>
      </w:r>
      <w:r>
        <w:rPr>
          <w:rFonts w:asciiTheme="majorHAnsi" w:hAnsiTheme="majorHAnsi" w:cs="Times New Roman"/>
          <w:sz w:val="24"/>
          <w:szCs w:val="24"/>
          <w:lang w:val="en-IE"/>
        </w:rPr>
        <w:t>7</w:t>
      </w:r>
      <w:r w:rsidRPr="00473871">
        <w:rPr>
          <w:rFonts w:asciiTheme="majorHAnsi" w:hAnsiTheme="majorHAnsi" w:cs="Times New Roman"/>
          <w:sz w:val="24"/>
          <w:szCs w:val="24"/>
          <w:lang w:val="en-IE"/>
        </w:rPr>
        <w:t xml:space="preserve">); the consequences for an individual experiencing a reaction in food intolerance are often not  as severe or immediate as those experienced by those with IgE mediated food allergy, where life-threatening anaphylaxis may be an outcome. </w:t>
      </w:r>
      <w:r w:rsidRPr="00473871">
        <w:rPr>
          <w:rFonts w:asciiTheme="majorHAnsi" w:hAnsiTheme="majorHAnsi" w:cs="Times New Roman"/>
          <w:sz w:val="24"/>
          <w:szCs w:val="24"/>
          <w:u w:val="single"/>
          <w:lang w:val="en-IE"/>
        </w:rPr>
        <w:t xml:space="preserve"> </w:t>
      </w:r>
      <w:r w:rsidRPr="00473871">
        <w:rPr>
          <w:rFonts w:asciiTheme="majorHAnsi" w:hAnsiTheme="majorHAnsi" w:cs="Times New Roman"/>
          <w:sz w:val="24"/>
          <w:szCs w:val="24"/>
          <w:lang w:val="en"/>
        </w:rPr>
        <w:t xml:space="preserve">Psychological factors in patients, including </w:t>
      </w:r>
      <w:r>
        <w:rPr>
          <w:rFonts w:asciiTheme="majorHAnsi" w:hAnsiTheme="majorHAnsi" w:cs="Times New Roman"/>
          <w:sz w:val="24"/>
          <w:szCs w:val="24"/>
          <w:lang w:val="en"/>
        </w:rPr>
        <w:t xml:space="preserve">the </w:t>
      </w:r>
      <w:r w:rsidRPr="00473871">
        <w:rPr>
          <w:rFonts w:asciiTheme="majorHAnsi" w:hAnsiTheme="majorHAnsi" w:cs="Times New Roman"/>
          <w:sz w:val="24"/>
          <w:szCs w:val="24"/>
          <w:lang w:val="en"/>
        </w:rPr>
        <w:t>expectation of outcome</w:t>
      </w:r>
      <w:r>
        <w:rPr>
          <w:rFonts w:asciiTheme="majorHAnsi" w:hAnsiTheme="majorHAnsi" w:cs="Times New Roman"/>
          <w:sz w:val="24"/>
          <w:szCs w:val="24"/>
          <w:lang w:val="en"/>
        </w:rPr>
        <w:t xml:space="preserve"> following a reaction</w:t>
      </w:r>
      <w:r w:rsidRPr="00473871">
        <w:rPr>
          <w:rFonts w:asciiTheme="majorHAnsi" w:hAnsiTheme="majorHAnsi" w:cs="Times New Roman"/>
          <w:sz w:val="24"/>
          <w:szCs w:val="24"/>
          <w:lang w:val="en"/>
        </w:rPr>
        <w:t>, have been found to be important contributors to the success of many different treatments, and may be an important predictor for treatment outcomes (2</w:t>
      </w:r>
      <w:r>
        <w:rPr>
          <w:rFonts w:asciiTheme="majorHAnsi" w:hAnsiTheme="majorHAnsi" w:cs="Times New Roman"/>
          <w:sz w:val="24"/>
          <w:szCs w:val="24"/>
          <w:lang w:val="en"/>
        </w:rPr>
        <w:t>3</w:t>
      </w:r>
      <w:r w:rsidRPr="00473871">
        <w:rPr>
          <w:rFonts w:asciiTheme="majorHAnsi" w:hAnsiTheme="majorHAnsi" w:cs="Times New Roman"/>
          <w:sz w:val="24"/>
          <w:szCs w:val="24"/>
          <w:lang w:val="en"/>
        </w:rPr>
        <w:t>-2</w:t>
      </w:r>
      <w:r>
        <w:rPr>
          <w:rFonts w:asciiTheme="majorHAnsi" w:hAnsiTheme="majorHAnsi" w:cs="Times New Roman"/>
          <w:sz w:val="24"/>
          <w:szCs w:val="24"/>
          <w:lang w:val="en"/>
        </w:rPr>
        <w:t>6</w:t>
      </w:r>
      <w:r w:rsidRPr="00473871">
        <w:rPr>
          <w:rFonts w:asciiTheme="majorHAnsi" w:hAnsiTheme="majorHAnsi" w:cs="Times New Roman"/>
          <w:sz w:val="24"/>
          <w:szCs w:val="24"/>
          <w:lang w:val="en"/>
        </w:rPr>
        <w:t xml:space="preserve">). </w:t>
      </w:r>
      <w:r w:rsidRPr="00473871">
        <w:rPr>
          <w:rFonts w:asciiTheme="majorHAnsi" w:hAnsiTheme="majorHAnsi" w:cs="Times New Roman"/>
          <w:sz w:val="24"/>
          <w:szCs w:val="24"/>
          <w:lang w:val="en-IE"/>
        </w:rPr>
        <w:t xml:space="preserve">If individual’s expectation of the likelihood of a reaction is high and the likelihood of managing that reaction is low, then it follows that the individual would be more likely to avoid social events and limit the variety of foods consumed, compared to individuals who expect a less adverse outcome. The moderating effects of other factors, such as number of symptoms experienced, must also be taken into account, for example, those who reported two or more symptoms had worse HRQL </w:t>
      </w:r>
      <w:r>
        <w:rPr>
          <w:rFonts w:asciiTheme="majorHAnsi" w:hAnsiTheme="majorHAnsi" w:cs="Times New Roman"/>
          <w:sz w:val="24"/>
          <w:szCs w:val="24"/>
          <w:lang w:val="en-IE"/>
        </w:rPr>
        <w:t xml:space="preserve">than those who report only one. </w:t>
      </w:r>
    </w:p>
    <w:p w:rsidR="008A6233" w:rsidRDefault="008A6233" w:rsidP="008A6233">
      <w:pPr>
        <w:autoSpaceDE w:val="0"/>
        <w:autoSpaceDN w:val="0"/>
        <w:adjustRightInd w:val="0"/>
        <w:spacing w:after="0" w:line="360" w:lineRule="auto"/>
        <w:rPr>
          <w:rFonts w:asciiTheme="majorHAnsi" w:hAnsiTheme="majorHAnsi" w:cs="Times New Roman"/>
          <w:sz w:val="24"/>
          <w:szCs w:val="24"/>
        </w:rPr>
      </w:pPr>
    </w:p>
    <w:p w:rsidR="008A6233" w:rsidRPr="0057344C" w:rsidRDefault="008A6233" w:rsidP="008A6233">
      <w:pPr>
        <w:autoSpaceDE w:val="0"/>
        <w:autoSpaceDN w:val="0"/>
        <w:adjustRightInd w:val="0"/>
        <w:spacing w:after="0" w:line="360" w:lineRule="auto"/>
        <w:rPr>
          <w:rFonts w:asciiTheme="majorHAnsi" w:hAnsiTheme="majorHAnsi" w:cs="BaskervilleBookBQ-Regular"/>
          <w:sz w:val="24"/>
          <w:szCs w:val="24"/>
          <w:lang w:eastAsia="en-GB"/>
        </w:rPr>
      </w:pPr>
      <w:r w:rsidRPr="00473871">
        <w:rPr>
          <w:rFonts w:asciiTheme="majorHAnsi" w:hAnsiTheme="majorHAnsi" w:cs="Times New Roman"/>
          <w:sz w:val="24"/>
          <w:szCs w:val="24"/>
        </w:rPr>
        <w:t xml:space="preserve">Coeliac disease is a relatively common food intolerance and 72% of our validation cohort reported intolerance to gluten containing cereals. In previous research, </w:t>
      </w:r>
      <w:r w:rsidRPr="00473871">
        <w:rPr>
          <w:rFonts w:asciiTheme="majorHAnsi" w:eastAsia="Times New Roman" w:hAnsiTheme="majorHAnsi" w:cs="Times New Roman"/>
          <w:sz w:val="24"/>
          <w:szCs w:val="24"/>
          <w:lang w:eastAsia="en-GB"/>
        </w:rPr>
        <w:t>more than one third of the participants with coeliac disease reported feeling angry ‘always’ or ‘most of the time’ by having to follow the gluten-free diet. Nearly, 20% reported feeling different from others and misunderstood because of coeliac disease (</w:t>
      </w:r>
      <w:r>
        <w:rPr>
          <w:rFonts w:asciiTheme="majorHAnsi" w:eastAsia="Times New Roman" w:hAnsiTheme="majorHAnsi" w:cs="Times New Roman"/>
          <w:sz w:val="24"/>
          <w:szCs w:val="24"/>
          <w:lang w:eastAsia="en-GB"/>
        </w:rPr>
        <w:t>9</w:t>
      </w:r>
      <w:r w:rsidRPr="00473871">
        <w:rPr>
          <w:rFonts w:asciiTheme="majorHAnsi" w:eastAsia="Times New Roman" w:hAnsiTheme="majorHAnsi" w:cs="Times New Roman"/>
          <w:sz w:val="24"/>
          <w:szCs w:val="24"/>
          <w:lang w:eastAsia="en-GB"/>
        </w:rPr>
        <w:t xml:space="preserve">).  </w:t>
      </w:r>
      <w:r w:rsidRPr="00473871">
        <w:rPr>
          <w:rFonts w:asciiTheme="majorHAnsi" w:hAnsiTheme="majorHAnsi"/>
          <w:sz w:val="24"/>
          <w:szCs w:val="24"/>
        </w:rPr>
        <w:t>Roma et al (2010) reported that</w:t>
      </w:r>
      <w:r w:rsidRPr="00473871">
        <w:rPr>
          <w:rFonts w:asciiTheme="majorHAnsi" w:hAnsiTheme="majorHAnsi"/>
          <w:b/>
          <w:sz w:val="24"/>
          <w:szCs w:val="24"/>
        </w:rPr>
        <w:t xml:space="preserve"> </w:t>
      </w:r>
      <w:r w:rsidRPr="00473871">
        <w:rPr>
          <w:rFonts w:asciiTheme="majorHAnsi" w:eastAsia="Times New Roman" w:hAnsiTheme="majorHAnsi" w:cs="Times New Roman"/>
          <w:sz w:val="24"/>
          <w:szCs w:val="24"/>
          <w:lang w:eastAsia="en-GB"/>
        </w:rPr>
        <w:t>families experienced difficulties detecting gluten from the food label. The authors suggested quality of life could be improved with better labelling of gluten-containing ingredients and more gluten-free foods in supermarkets and restaurants. The effect of coeliac disease continues to have a substantial impact on patient’s lives several years after diagnosis with reduced enjoyment of food, less social activity, regular frustration with the dietary restrictions and greater anxiety about general health (</w:t>
      </w:r>
      <w:r>
        <w:rPr>
          <w:rFonts w:asciiTheme="majorHAnsi" w:eastAsia="Times New Roman" w:hAnsiTheme="majorHAnsi" w:cs="Times New Roman"/>
          <w:sz w:val="24"/>
          <w:szCs w:val="24"/>
          <w:lang w:eastAsia="en-GB"/>
        </w:rPr>
        <w:t>8</w:t>
      </w:r>
      <w:r w:rsidRPr="00473871">
        <w:rPr>
          <w:rFonts w:asciiTheme="majorHAnsi" w:eastAsia="Times New Roman" w:hAnsiTheme="majorHAnsi" w:cs="Times New Roman"/>
          <w:sz w:val="24"/>
          <w:szCs w:val="24"/>
          <w:lang w:eastAsia="en-GB"/>
        </w:rPr>
        <w:t xml:space="preserve">). </w:t>
      </w:r>
      <w:r w:rsidRPr="00473871">
        <w:rPr>
          <w:rFonts w:asciiTheme="majorHAnsi" w:hAnsiTheme="majorHAnsi" w:cs="BaskervilleBookBQ-Regular"/>
          <w:sz w:val="24"/>
          <w:szCs w:val="24"/>
          <w:lang w:eastAsia="en-GB"/>
        </w:rPr>
        <w:t>Although an immediate fatal reaction is not an expected outcome for those with coeliac disease or other food intolerance, factors such as uncertainty around diagnosis, complexity and confusion about which foods are safe to eat and buy, frustration about restrictions, and worries about long-term health confer a significant burden (2</w:t>
      </w:r>
      <w:r>
        <w:rPr>
          <w:rFonts w:asciiTheme="majorHAnsi" w:hAnsiTheme="majorHAnsi" w:cs="BaskervilleBookBQ-Regular"/>
          <w:sz w:val="24"/>
          <w:szCs w:val="24"/>
          <w:lang w:eastAsia="en-GB"/>
        </w:rPr>
        <w:t>7</w:t>
      </w:r>
      <w:r w:rsidRPr="00473871">
        <w:rPr>
          <w:rFonts w:asciiTheme="majorHAnsi" w:hAnsiTheme="majorHAnsi" w:cs="BaskervilleBookBQ-Regular"/>
          <w:sz w:val="24"/>
          <w:szCs w:val="24"/>
          <w:lang w:eastAsia="en-GB"/>
        </w:rPr>
        <w:t>).</w:t>
      </w:r>
      <w:r w:rsidRPr="00473871">
        <w:rPr>
          <w:rFonts w:asciiTheme="majorHAnsi" w:hAnsiTheme="majorHAnsi" w:cs="BaskervilleBookBQ-Regular"/>
          <w:b/>
          <w:sz w:val="24"/>
          <w:szCs w:val="24"/>
          <w:lang w:eastAsia="en-GB"/>
        </w:rPr>
        <w:t xml:space="preserve"> </w:t>
      </w:r>
      <w:r w:rsidRPr="0057344C">
        <w:rPr>
          <w:rFonts w:asciiTheme="majorHAnsi" w:hAnsiTheme="majorHAnsi" w:cs="BaskervilleBookBQ-Regular"/>
          <w:sz w:val="24"/>
          <w:szCs w:val="24"/>
          <w:lang w:eastAsia="en-GB"/>
        </w:rPr>
        <w:t xml:space="preserve">Furthermore, if a food challenge determines that a patient has food intolerance and not food allergy, the measure will allow for an alternative evaluation of HRQL, </w:t>
      </w:r>
      <w:r w:rsidRPr="0057344C">
        <w:rPr>
          <w:rFonts w:asciiTheme="majorHAnsi" w:hAnsiTheme="majorHAnsi" w:cs="Times New Roman"/>
          <w:sz w:val="24"/>
          <w:szCs w:val="24"/>
          <w:lang w:eastAsia="en-GB"/>
        </w:rPr>
        <w:t xml:space="preserve">and for an appropriate self- care and management protocol to be put in place. </w:t>
      </w:r>
    </w:p>
    <w:p w:rsidR="008A6233" w:rsidRPr="00473871" w:rsidRDefault="008A6233" w:rsidP="008A6233">
      <w:pPr>
        <w:spacing w:after="0" w:line="360" w:lineRule="auto"/>
        <w:rPr>
          <w:rFonts w:asciiTheme="majorHAnsi" w:hAnsiTheme="majorHAnsi" w:cs="Times New Roman"/>
          <w:sz w:val="24"/>
          <w:szCs w:val="24"/>
        </w:rPr>
      </w:pPr>
    </w:p>
    <w:p w:rsidR="008A6233" w:rsidRPr="00473871" w:rsidRDefault="008A6233" w:rsidP="008A6233">
      <w:pPr>
        <w:spacing w:line="360" w:lineRule="auto"/>
        <w:rPr>
          <w:rFonts w:asciiTheme="majorHAnsi" w:hAnsiTheme="majorHAnsi"/>
          <w:sz w:val="24"/>
          <w:szCs w:val="24"/>
        </w:rPr>
      </w:pPr>
      <w:r w:rsidRPr="00473871">
        <w:rPr>
          <w:rFonts w:asciiTheme="majorHAnsi" w:hAnsiTheme="majorHAnsi"/>
          <w:sz w:val="24"/>
          <w:szCs w:val="24"/>
        </w:rPr>
        <w:t xml:space="preserve">There were limitations in the present study. The FIQLQ and the FIIM were modified from existing instruments rather than developed </w:t>
      </w:r>
      <w:r w:rsidRPr="00473871">
        <w:rPr>
          <w:rFonts w:asciiTheme="majorHAnsi" w:hAnsiTheme="majorHAnsi"/>
          <w:i/>
          <w:sz w:val="24"/>
          <w:szCs w:val="24"/>
        </w:rPr>
        <w:t>de novo</w:t>
      </w:r>
      <w:r w:rsidRPr="00473871">
        <w:rPr>
          <w:rFonts w:asciiTheme="majorHAnsi" w:hAnsiTheme="majorHAnsi"/>
          <w:sz w:val="24"/>
          <w:szCs w:val="24"/>
        </w:rPr>
        <w:t xml:space="preserve">. </w:t>
      </w:r>
      <w:r>
        <w:rPr>
          <w:rFonts w:asciiTheme="majorHAnsi" w:hAnsiTheme="majorHAnsi"/>
          <w:sz w:val="24"/>
          <w:szCs w:val="24"/>
        </w:rPr>
        <w:t xml:space="preserve">Preliminary </w:t>
      </w:r>
      <w:r w:rsidRPr="00473871">
        <w:rPr>
          <w:rFonts w:asciiTheme="majorHAnsi" w:hAnsiTheme="majorHAnsi"/>
          <w:sz w:val="24"/>
          <w:szCs w:val="24"/>
        </w:rPr>
        <w:t>validation suggest</w:t>
      </w:r>
      <w:r>
        <w:rPr>
          <w:rFonts w:asciiTheme="majorHAnsi" w:hAnsiTheme="majorHAnsi"/>
          <w:sz w:val="24"/>
          <w:szCs w:val="24"/>
        </w:rPr>
        <w:t>s</w:t>
      </w:r>
      <w:r w:rsidRPr="00473871">
        <w:rPr>
          <w:rFonts w:asciiTheme="majorHAnsi" w:hAnsiTheme="majorHAnsi"/>
          <w:sz w:val="24"/>
          <w:szCs w:val="24"/>
        </w:rPr>
        <w:t xml:space="preserve"> that the instrument performs well.  Further evaluation</w:t>
      </w:r>
      <w:r>
        <w:rPr>
          <w:rFonts w:asciiTheme="majorHAnsi" w:hAnsiTheme="majorHAnsi"/>
          <w:sz w:val="24"/>
          <w:szCs w:val="24"/>
        </w:rPr>
        <w:t xml:space="preserve"> with new samples</w:t>
      </w:r>
      <w:r w:rsidRPr="00473871">
        <w:rPr>
          <w:rFonts w:asciiTheme="majorHAnsi" w:hAnsiTheme="majorHAnsi"/>
          <w:sz w:val="24"/>
          <w:szCs w:val="24"/>
        </w:rPr>
        <w:t xml:space="preserve"> will be carried out, including test/re-test reliability analysis</w:t>
      </w:r>
      <w:r>
        <w:rPr>
          <w:rFonts w:asciiTheme="majorHAnsi" w:hAnsiTheme="majorHAnsi"/>
          <w:sz w:val="24"/>
          <w:szCs w:val="24"/>
        </w:rPr>
        <w:t>, confirmatory factor analysis</w:t>
      </w:r>
      <w:r w:rsidRPr="00473871">
        <w:rPr>
          <w:rFonts w:asciiTheme="majorHAnsi" w:hAnsiTheme="majorHAnsi"/>
          <w:sz w:val="24"/>
          <w:szCs w:val="24"/>
        </w:rPr>
        <w:t xml:space="preserve"> and longitudinal analysis </w:t>
      </w:r>
      <w:r>
        <w:rPr>
          <w:rFonts w:asciiTheme="majorHAnsi" w:hAnsiTheme="majorHAnsi"/>
          <w:sz w:val="24"/>
          <w:szCs w:val="24"/>
        </w:rPr>
        <w:t xml:space="preserve">in order </w:t>
      </w:r>
      <w:r w:rsidRPr="00473871">
        <w:rPr>
          <w:rFonts w:asciiTheme="majorHAnsi" w:hAnsiTheme="majorHAnsi"/>
          <w:sz w:val="24"/>
          <w:szCs w:val="24"/>
        </w:rPr>
        <w:t xml:space="preserve">to confirm and to extend our findings. As in any self-report questionnaires, participants may confuse general adverse impact </w:t>
      </w:r>
      <w:r>
        <w:rPr>
          <w:rFonts w:asciiTheme="majorHAnsi" w:hAnsiTheme="majorHAnsi"/>
          <w:sz w:val="24"/>
          <w:szCs w:val="24"/>
        </w:rPr>
        <w:t xml:space="preserve">in their lives </w:t>
      </w:r>
      <w:r w:rsidRPr="00473871">
        <w:rPr>
          <w:rFonts w:asciiTheme="majorHAnsi" w:hAnsiTheme="majorHAnsi"/>
          <w:sz w:val="24"/>
          <w:szCs w:val="24"/>
        </w:rPr>
        <w:t>with the</w:t>
      </w:r>
      <w:r>
        <w:rPr>
          <w:rFonts w:asciiTheme="majorHAnsi" w:hAnsiTheme="majorHAnsi"/>
          <w:sz w:val="24"/>
          <w:szCs w:val="24"/>
        </w:rPr>
        <w:t xml:space="preserve"> specific</w:t>
      </w:r>
      <w:r w:rsidRPr="00473871">
        <w:rPr>
          <w:rFonts w:asciiTheme="majorHAnsi" w:hAnsiTheme="majorHAnsi"/>
          <w:sz w:val="24"/>
          <w:szCs w:val="24"/>
        </w:rPr>
        <w:t xml:space="preserve"> impact of food intolerance. We attempted to minimise this by including the phrase ‘because of food intolerance….’ after every short series of questions throughout the questionnaire. </w:t>
      </w:r>
    </w:p>
    <w:p w:rsidR="008A6233" w:rsidRPr="00473871" w:rsidRDefault="008A6233" w:rsidP="008A6233">
      <w:pPr>
        <w:spacing w:line="360" w:lineRule="auto"/>
        <w:rPr>
          <w:rFonts w:asciiTheme="majorHAnsi" w:hAnsiTheme="majorHAnsi"/>
          <w:sz w:val="24"/>
          <w:szCs w:val="24"/>
        </w:rPr>
      </w:pPr>
      <w:r w:rsidRPr="00473871">
        <w:rPr>
          <w:rFonts w:asciiTheme="majorHAnsi" w:hAnsiTheme="majorHAnsi"/>
          <w:sz w:val="24"/>
          <w:szCs w:val="24"/>
        </w:rPr>
        <w:t>The FIQLQ questionnaire is presented in a single short form with 18 questions. The three subscale scores can be calculated simply as the mean of each subscale, and the total score is calculated as the mean of all items.  The Food and Drug Administration (FDA) advise calculating and presenting subscale scores particularly in clinical trials, since each subscale may be impacted differently by an intervention (</w:t>
      </w:r>
      <w:r>
        <w:rPr>
          <w:rFonts w:asciiTheme="majorHAnsi" w:hAnsiTheme="majorHAnsi"/>
          <w:sz w:val="24"/>
          <w:szCs w:val="24"/>
        </w:rPr>
        <w:t>28</w:t>
      </w:r>
      <w:r w:rsidRPr="00473871">
        <w:rPr>
          <w:rFonts w:asciiTheme="majorHAnsi" w:hAnsiTheme="majorHAnsi"/>
          <w:sz w:val="24"/>
          <w:szCs w:val="24"/>
        </w:rPr>
        <w:t>)</w:t>
      </w:r>
      <w:r>
        <w:rPr>
          <w:rFonts w:asciiTheme="majorHAnsi" w:hAnsiTheme="majorHAnsi"/>
          <w:sz w:val="24"/>
          <w:szCs w:val="24"/>
        </w:rPr>
        <w:t xml:space="preserve">. </w:t>
      </w:r>
    </w:p>
    <w:p w:rsidR="008A6233" w:rsidRPr="00473871" w:rsidRDefault="008A6233" w:rsidP="008A6233">
      <w:pPr>
        <w:spacing w:line="360" w:lineRule="auto"/>
        <w:rPr>
          <w:rFonts w:asciiTheme="majorHAnsi" w:eastAsia="Times New Roman" w:hAnsiTheme="majorHAnsi" w:cs="Times New Roman"/>
          <w:color w:val="000000"/>
          <w:kern w:val="24"/>
          <w:sz w:val="24"/>
          <w:szCs w:val="24"/>
        </w:rPr>
      </w:pPr>
      <w:r w:rsidRPr="00473871">
        <w:rPr>
          <w:rFonts w:asciiTheme="majorHAnsi" w:hAnsiTheme="majorHAnsi"/>
          <w:sz w:val="24"/>
          <w:szCs w:val="24"/>
        </w:rPr>
        <w:t>To conclude,</w:t>
      </w:r>
      <w:r w:rsidRPr="00473871">
        <w:rPr>
          <w:rFonts w:asciiTheme="majorHAnsi" w:eastAsia="Times New Roman" w:hAnsiTheme="majorHAnsi" w:cs="Times New Roman"/>
          <w:color w:val="000000"/>
          <w:kern w:val="24"/>
          <w:sz w:val="24"/>
          <w:szCs w:val="24"/>
        </w:rPr>
        <w:t xml:space="preserve"> our </w:t>
      </w:r>
      <w:r>
        <w:rPr>
          <w:rFonts w:asciiTheme="majorHAnsi" w:eastAsia="Times New Roman" w:hAnsiTheme="majorHAnsi" w:cs="Times New Roman"/>
          <w:color w:val="000000"/>
          <w:kern w:val="24"/>
          <w:sz w:val="24"/>
          <w:szCs w:val="24"/>
        </w:rPr>
        <w:t xml:space="preserve">preliminary </w:t>
      </w:r>
      <w:r w:rsidRPr="00473871">
        <w:rPr>
          <w:rFonts w:asciiTheme="majorHAnsi" w:eastAsia="Times New Roman" w:hAnsiTheme="majorHAnsi" w:cs="Times New Roman"/>
          <w:color w:val="000000"/>
          <w:kern w:val="24"/>
          <w:sz w:val="24"/>
          <w:szCs w:val="24"/>
        </w:rPr>
        <w:t>validation studies demonstrate that t</w:t>
      </w:r>
      <w:r w:rsidRPr="00473871">
        <w:rPr>
          <w:rFonts w:asciiTheme="majorHAnsi" w:hAnsiTheme="majorHAnsi"/>
          <w:sz w:val="24"/>
          <w:szCs w:val="24"/>
        </w:rPr>
        <w:t xml:space="preserve">he FIQLQ is a reliable and valid tool with </w:t>
      </w:r>
      <w:r>
        <w:rPr>
          <w:rFonts w:asciiTheme="majorHAnsi" w:hAnsiTheme="majorHAnsi"/>
          <w:sz w:val="24"/>
          <w:szCs w:val="24"/>
        </w:rPr>
        <w:t>good construct validity</w:t>
      </w:r>
      <w:r w:rsidRPr="00473871">
        <w:rPr>
          <w:rFonts w:asciiTheme="majorHAnsi" w:hAnsiTheme="majorHAnsi"/>
          <w:sz w:val="24"/>
          <w:szCs w:val="24"/>
        </w:rPr>
        <w:t xml:space="preserve">. The use of patient-reported HRQL measures to better assess clinical and policy outcomes is an important goal of evidence-based medicine and the social sciences. </w:t>
      </w:r>
      <w:r w:rsidRPr="00473871">
        <w:rPr>
          <w:rFonts w:asciiTheme="majorHAnsi" w:eastAsia="Times New Roman" w:hAnsiTheme="majorHAnsi" w:cs="Times New Roman"/>
          <w:color w:val="000000"/>
          <w:kern w:val="24"/>
          <w:sz w:val="24"/>
          <w:szCs w:val="24"/>
        </w:rPr>
        <w:t xml:space="preserve">Such measures can form a useful part of clinical decision systems, including guidelines for the management of food related chronic diseases. </w:t>
      </w:r>
    </w:p>
    <w:p w:rsidR="008A6233" w:rsidRDefault="008A6233" w:rsidP="008A6233">
      <w:pPr>
        <w:autoSpaceDE w:val="0"/>
        <w:autoSpaceDN w:val="0"/>
        <w:adjustRightInd w:val="0"/>
        <w:spacing w:after="0" w:line="360" w:lineRule="auto"/>
        <w:rPr>
          <w:rFonts w:asciiTheme="majorHAnsi" w:eastAsia="Arial Unicode MS" w:hAnsiTheme="majorHAnsi" w:cs="Arial Unicode MS"/>
          <w:sz w:val="24"/>
          <w:szCs w:val="24"/>
          <w:u w:color="000000"/>
          <w:bdr w:val="nil"/>
          <w:lang w:val="en-US" w:eastAsia="en-GB"/>
        </w:rPr>
      </w:pPr>
    </w:p>
    <w:p w:rsidR="008A6233" w:rsidRPr="00473871" w:rsidRDefault="008A6233" w:rsidP="008A6233">
      <w:pPr>
        <w:autoSpaceDE w:val="0"/>
        <w:autoSpaceDN w:val="0"/>
        <w:adjustRightInd w:val="0"/>
        <w:spacing w:after="0" w:line="360" w:lineRule="auto"/>
        <w:rPr>
          <w:rFonts w:asciiTheme="majorHAnsi" w:eastAsia="Arial Unicode MS" w:hAnsiTheme="majorHAnsi" w:cs="Arial Unicode MS"/>
          <w:sz w:val="24"/>
          <w:szCs w:val="24"/>
          <w:u w:color="000000"/>
          <w:bdr w:val="nil"/>
          <w:lang w:val="en-US" w:eastAsia="en-GB"/>
        </w:rPr>
        <w:sectPr w:rsidR="008A6233" w:rsidRPr="00473871" w:rsidSect="00F86047">
          <w:type w:val="continuous"/>
          <w:pgSz w:w="12240" w:h="15840"/>
          <w:pgMar w:top="1440" w:right="1440" w:bottom="1440" w:left="1440" w:header="0" w:footer="1411" w:gutter="0"/>
          <w:lnNumType w:countBy="1" w:restart="continuous"/>
          <w:cols w:space="720"/>
          <w:docGrid w:linePitch="299"/>
        </w:sectPr>
      </w:pPr>
    </w:p>
    <w:p w:rsidR="008A6233" w:rsidRDefault="008A6233" w:rsidP="008A6233">
      <w:pPr>
        <w:spacing w:line="276" w:lineRule="auto"/>
        <w:rPr>
          <w:rFonts w:asciiTheme="majorHAnsi" w:hAnsiTheme="majorHAnsi"/>
          <w:b/>
        </w:rPr>
      </w:pPr>
    </w:p>
    <w:p w:rsidR="008A6233" w:rsidRPr="00650D28" w:rsidRDefault="008A6233" w:rsidP="008A6233">
      <w:pPr>
        <w:spacing w:line="276" w:lineRule="auto"/>
        <w:rPr>
          <w:rFonts w:asciiTheme="majorHAnsi" w:hAnsiTheme="majorHAnsi"/>
          <w:b/>
        </w:rPr>
      </w:pPr>
      <w:r w:rsidRPr="00650D28">
        <w:rPr>
          <w:rFonts w:asciiTheme="majorHAnsi" w:hAnsiTheme="majorHAnsi"/>
          <w:b/>
        </w:rPr>
        <w:t>Declarations</w:t>
      </w:r>
    </w:p>
    <w:p w:rsidR="008A6233" w:rsidRPr="00650D28" w:rsidRDefault="008A6233" w:rsidP="008A6233">
      <w:pPr>
        <w:spacing w:line="276" w:lineRule="auto"/>
        <w:rPr>
          <w:rFonts w:asciiTheme="majorHAnsi" w:hAnsiTheme="majorHAnsi"/>
          <w:i/>
        </w:rPr>
      </w:pPr>
      <w:r w:rsidRPr="00650D28">
        <w:rPr>
          <w:rFonts w:asciiTheme="majorHAnsi" w:hAnsiTheme="majorHAnsi"/>
          <w:i/>
        </w:rPr>
        <w:t>Ethics approval and consent to participate</w:t>
      </w:r>
    </w:p>
    <w:p w:rsidR="008A6233" w:rsidRPr="00650D28" w:rsidRDefault="008A6233" w:rsidP="008A6233">
      <w:pPr>
        <w:pBdr>
          <w:top w:val="nil"/>
          <w:left w:val="nil"/>
          <w:bottom w:val="nil"/>
          <w:right w:val="nil"/>
          <w:between w:val="nil"/>
          <w:bar w:val="nil"/>
        </w:pBdr>
        <w:spacing w:after="120" w:line="276" w:lineRule="auto"/>
        <w:rPr>
          <w:rFonts w:asciiTheme="majorHAnsi" w:eastAsia="Arial Unicode MS" w:hAnsiTheme="majorHAnsi" w:cs="Arial Unicode MS"/>
          <w:bdr w:val="nil"/>
          <w:lang w:val="en-US" w:eastAsia="en-GB"/>
        </w:rPr>
      </w:pPr>
      <w:r w:rsidRPr="00650D28">
        <w:rPr>
          <w:rFonts w:asciiTheme="majorHAnsi" w:eastAsia="Arial Unicode MS" w:hAnsiTheme="majorHAnsi" w:cs="Arial Unicode MS"/>
          <w:bdr w:val="nil"/>
          <w:lang w:val="en-US" w:eastAsia="en-GB"/>
        </w:rPr>
        <w:t>The Research Ethics Committee of the School of Applied Psychology, UCC provided approval for the study. Data was stored in compliance with data protection laws. Consent for participation form was provided and signed by all participants in all phases of the study prior to participation.</w:t>
      </w:r>
    </w:p>
    <w:p w:rsidR="008A6233" w:rsidRPr="00650D28" w:rsidRDefault="008A6233" w:rsidP="008A6233">
      <w:pPr>
        <w:pBdr>
          <w:top w:val="nil"/>
          <w:left w:val="nil"/>
          <w:bottom w:val="nil"/>
          <w:right w:val="nil"/>
          <w:between w:val="nil"/>
          <w:bar w:val="nil"/>
        </w:pBdr>
        <w:spacing w:after="120" w:line="276" w:lineRule="auto"/>
        <w:rPr>
          <w:rFonts w:asciiTheme="majorHAnsi" w:eastAsia="Arial Unicode MS" w:hAnsiTheme="majorHAnsi" w:cs="Arial Unicode MS"/>
          <w:i/>
          <w:bdr w:val="nil"/>
          <w:lang w:val="en-US" w:eastAsia="en-GB"/>
        </w:rPr>
      </w:pPr>
      <w:r w:rsidRPr="00650D28">
        <w:rPr>
          <w:rFonts w:asciiTheme="majorHAnsi" w:eastAsia="Arial Unicode MS" w:hAnsiTheme="majorHAnsi" w:cs="Arial Unicode MS"/>
          <w:i/>
          <w:bdr w:val="nil"/>
          <w:lang w:val="en-US" w:eastAsia="en-GB"/>
        </w:rPr>
        <w:t xml:space="preserve">Consent for publication </w:t>
      </w:r>
    </w:p>
    <w:p w:rsidR="008A6233" w:rsidRPr="00650D28" w:rsidRDefault="008A6233" w:rsidP="008A6233">
      <w:pPr>
        <w:pBdr>
          <w:top w:val="nil"/>
          <w:left w:val="nil"/>
          <w:bottom w:val="nil"/>
          <w:right w:val="nil"/>
          <w:between w:val="nil"/>
          <w:bar w:val="nil"/>
        </w:pBdr>
        <w:spacing w:after="120" w:line="276" w:lineRule="auto"/>
        <w:rPr>
          <w:rFonts w:asciiTheme="majorHAnsi" w:eastAsia="Arial Unicode MS" w:hAnsiTheme="majorHAnsi" w:cs="Arial Unicode MS"/>
          <w:bdr w:val="nil"/>
          <w:lang w:val="en-US" w:eastAsia="en-GB"/>
        </w:rPr>
      </w:pPr>
      <w:r w:rsidRPr="00650D28">
        <w:rPr>
          <w:rFonts w:asciiTheme="majorHAnsi" w:eastAsia="Arial Unicode MS" w:hAnsiTheme="majorHAnsi" w:cs="Arial Unicode MS"/>
          <w:bdr w:val="nil"/>
          <w:lang w:val="en-US" w:eastAsia="en-GB"/>
        </w:rPr>
        <w:t>Consent for participation and publication form was provided and signed by all participants in all phases of the study prior to participation. Available on request.</w:t>
      </w:r>
    </w:p>
    <w:p w:rsidR="008A6233" w:rsidRPr="00650D28" w:rsidRDefault="008A6233" w:rsidP="008A6233">
      <w:pPr>
        <w:pBdr>
          <w:top w:val="nil"/>
          <w:left w:val="nil"/>
          <w:bottom w:val="nil"/>
          <w:right w:val="nil"/>
          <w:between w:val="nil"/>
          <w:bar w:val="nil"/>
        </w:pBdr>
        <w:spacing w:after="120" w:line="276" w:lineRule="auto"/>
        <w:rPr>
          <w:rFonts w:asciiTheme="majorHAnsi" w:eastAsia="Arial Unicode MS" w:hAnsiTheme="majorHAnsi" w:cs="Arial Unicode MS"/>
          <w:i/>
          <w:bdr w:val="nil"/>
          <w:lang w:val="en-US" w:eastAsia="en-GB"/>
        </w:rPr>
      </w:pPr>
      <w:r w:rsidRPr="00650D28">
        <w:rPr>
          <w:rFonts w:asciiTheme="majorHAnsi" w:eastAsia="Arial Unicode MS" w:hAnsiTheme="majorHAnsi" w:cs="Arial Unicode MS"/>
          <w:i/>
          <w:bdr w:val="nil"/>
          <w:lang w:val="en-US" w:eastAsia="en-GB"/>
        </w:rPr>
        <w:t>Availability of data and material</w:t>
      </w:r>
    </w:p>
    <w:p w:rsidR="008A6233" w:rsidRPr="00650D28" w:rsidRDefault="008A6233" w:rsidP="008A6233">
      <w:pPr>
        <w:spacing w:line="276" w:lineRule="auto"/>
        <w:rPr>
          <w:rFonts w:asciiTheme="majorHAnsi" w:hAnsiTheme="majorHAnsi"/>
        </w:rPr>
      </w:pPr>
      <w:r w:rsidRPr="00650D28">
        <w:rPr>
          <w:rFonts w:asciiTheme="majorHAnsi" w:eastAsia="Arial Unicode MS" w:hAnsiTheme="majorHAnsi" w:cs="Arial Unicode MS"/>
          <w:bdr w:val="nil"/>
          <w:lang w:val="en-US" w:eastAsia="en-GB"/>
        </w:rPr>
        <w:t xml:space="preserve">Data is stored in compliance with data protection laws in </w:t>
      </w:r>
      <w:r w:rsidRPr="00650D28">
        <w:rPr>
          <w:rFonts w:asciiTheme="majorHAnsi" w:hAnsiTheme="majorHAnsi"/>
        </w:rPr>
        <w:t xml:space="preserve">School of Applied Psychology, University College Cork, College Rd., Cork City, Ireland; and Department of Psychology, University of Bath, Claverton Down, Bath, North East Somerset BA2 7AY, United Kingdom. </w:t>
      </w:r>
    </w:p>
    <w:p w:rsidR="008A6233" w:rsidRPr="00650D28" w:rsidRDefault="008A6233" w:rsidP="008A6233">
      <w:pPr>
        <w:spacing w:line="276" w:lineRule="auto"/>
        <w:rPr>
          <w:rFonts w:asciiTheme="majorHAnsi" w:hAnsiTheme="majorHAnsi"/>
          <w:i/>
        </w:rPr>
      </w:pPr>
      <w:r w:rsidRPr="00650D28">
        <w:rPr>
          <w:rFonts w:asciiTheme="majorHAnsi" w:eastAsia="Arial Unicode MS" w:hAnsiTheme="majorHAnsi" w:cs="Arial Unicode MS"/>
          <w:i/>
          <w:bdr w:val="nil"/>
          <w:lang w:val="en-US" w:eastAsia="en-GB"/>
        </w:rPr>
        <w:t>Competing interests</w:t>
      </w:r>
    </w:p>
    <w:p w:rsidR="008A6233" w:rsidRPr="00650D28" w:rsidRDefault="008A6233" w:rsidP="008A6233">
      <w:pPr>
        <w:spacing w:line="276" w:lineRule="auto"/>
        <w:rPr>
          <w:rFonts w:asciiTheme="majorHAnsi" w:hAnsiTheme="majorHAnsi"/>
        </w:rPr>
      </w:pPr>
      <w:r w:rsidRPr="00650D28">
        <w:rPr>
          <w:rFonts w:asciiTheme="majorHAnsi" w:hAnsiTheme="majorHAnsi"/>
        </w:rPr>
        <w:t>No competing interests for any of the authors, according to BioMed Central criteria.</w:t>
      </w:r>
    </w:p>
    <w:p w:rsidR="008A6233" w:rsidRDefault="008A6233" w:rsidP="008A6233">
      <w:pPr>
        <w:spacing w:line="276" w:lineRule="auto"/>
        <w:rPr>
          <w:rFonts w:asciiTheme="majorHAnsi" w:hAnsiTheme="majorHAnsi"/>
          <w:i/>
        </w:rPr>
      </w:pPr>
      <w:r w:rsidRPr="00650D28">
        <w:rPr>
          <w:rFonts w:asciiTheme="majorHAnsi" w:hAnsiTheme="majorHAnsi"/>
          <w:i/>
        </w:rPr>
        <w:t xml:space="preserve">Funding </w:t>
      </w:r>
    </w:p>
    <w:p w:rsidR="008A6233" w:rsidRPr="00650D28" w:rsidRDefault="008A6233" w:rsidP="008A6233">
      <w:pPr>
        <w:spacing w:line="276" w:lineRule="auto"/>
        <w:rPr>
          <w:rFonts w:asciiTheme="majorHAnsi" w:hAnsiTheme="majorHAnsi"/>
        </w:rPr>
      </w:pPr>
      <w:r w:rsidRPr="00650D28">
        <w:rPr>
          <w:rFonts w:asciiTheme="majorHAnsi" w:hAnsiTheme="majorHAnsi"/>
        </w:rPr>
        <w:t>This study was funded by the UK Food Standards Agency under project code FS305013.The research based at University of Southampton was further supported by The Asthma, Allergy and Inflammation Research Charity (AAIR).</w:t>
      </w:r>
    </w:p>
    <w:p w:rsidR="008A6233" w:rsidRPr="00650D28" w:rsidRDefault="008A6233" w:rsidP="008A6233">
      <w:pPr>
        <w:spacing w:line="276" w:lineRule="auto"/>
        <w:rPr>
          <w:rFonts w:asciiTheme="majorHAnsi" w:hAnsiTheme="majorHAnsi"/>
          <w:i/>
        </w:rPr>
      </w:pPr>
      <w:r w:rsidRPr="00650D28">
        <w:rPr>
          <w:rFonts w:asciiTheme="majorHAnsi" w:hAnsiTheme="majorHAnsi"/>
          <w:i/>
        </w:rPr>
        <w:t>Authors’ contributions</w:t>
      </w:r>
    </w:p>
    <w:p w:rsidR="008A6233" w:rsidRDefault="008A6233" w:rsidP="008A6233">
      <w:pPr>
        <w:spacing w:line="276" w:lineRule="auto"/>
        <w:rPr>
          <w:rFonts w:asciiTheme="majorHAnsi" w:hAnsiTheme="majorHAnsi"/>
        </w:rPr>
      </w:pPr>
      <w:r>
        <w:rPr>
          <w:rFonts w:asciiTheme="majorHAnsi" w:hAnsiTheme="majorHAnsi"/>
        </w:rPr>
        <w:t xml:space="preserve">JB &amp; JL conceived the study and was involved in design and co-ordination of study; ADG drafted the paper and carried out data analysis; KR &amp; FB collected data and assisted in data analysis.  All authors helped in final editing of paper and all authors read and approved the final manuscript. </w:t>
      </w:r>
    </w:p>
    <w:p w:rsidR="008A6233" w:rsidRDefault="008A6233" w:rsidP="008A6233">
      <w:pPr>
        <w:spacing w:line="276" w:lineRule="auto"/>
        <w:rPr>
          <w:rFonts w:asciiTheme="majorHAnsi" w:hAnsiTheme="majorHAnsi"/>
          <w:i/>
        </w:rPr>
      </w:pPr>
      <w:r w:rsidRPr="00650D28">
        <w:rPr>
          <w:rFonts w:asciiTheme="majorHAnsi" w:hAnsiTheme="majorHAnsi"/>
          <w:i/>
        </w:rPr>
        <w:t>Acknowledgements</w:t>
      </w:r>
    </w:p>
    <w:p w:rsidR="008A6233" w:rsidRPr="00650D28" w:rsidRDefault="008A6233" w:rsidP="008A6233">
      <w:pPr>
        <w:spacing w:line="276" w:lineRule="auto"/>
        <w:rPr>
          <w:rFonts w:asciiTheme="majorHAnsi" w:hAnsiTheme="majorHAnsi"/>
        </w:rPr>
      </w:pPr>
      <w:r>
        <w:rPr>
          <w:rFonts w:asciiTheme="majorHAnsi" w:hAnsiTheme="majorHAnsi"/>
        </w:rPr>
        <w:t xml:space="preserve">Not applicable. </w:t>
      </w:r>
    </w:p>
    <w:p w:rsidR="008A6233" w:rsidRPr="00650D28" w:rsidRDefault="008A6233" w:rsidP="008A6233">
      <w:pPr>
        <w:spacing w:line="276" w:lineRule="auto"/>
        <w:rPr>
          <w:rFonts w:asciiTheme="majorHAnsi" w:hAnsiTheme="majorHAnsi"/>
          <w:i/>
        </w:rPr>
      </w:pPr>
      <w:r w:rsidRPr="00730E6D">
        <w:rPr>
          <w:rFonts w:asciiTheme="majorHAnsi" w:hAnsiTheme="majorHAnsi"/>
        </w:rPr>
        <w:br w:type="page"/>
      </w:r>
    </w:p>
    <w:p w:rsidR="008A6233" w:rsidRPr="006754BA" w:rsidRDefault="008A6233" w:rsidP="008A6233">
      <w:pPr>
        <w:spacing w:after="0" w:line="240" w:lineRule="auto"/>
        <w:rPr>
          <w:rFonts w:asciiTheme="majorHAnsi" w:hAnsiTheme="majorHAnsi"/>
          <w:b/>
          <w:sz w:val="24"/>
          <w:szCs w:val="24"/>
        </w:rPr>
      </w:pPr>
      <w:r w:rsidRPr="006754BA">
        <w:rPr>
          <w:rFonts w:asciiTheme="majorHAnsi" w:hAnsiTheme="majorHAnsi"/>
          <w:b/>
          <w:sz w:val="24"/>
          <w:szCs w:val="24"/>
        </w:rPr>
        <w:t>References</w:t>
      </w:r>
    </w:p>
    <w:p w:rsidR="008A6233" w:rsidRPr="00541624" w:rsidRDefault="00971706" w:rsidP="008A6233">
      <w:pPr>
        <w:pStyle w:val="ListParagraph"/>
        <w:numPr>
          <w:ilvl w:val="0"/>
          <w:numId w:val="2"/>
        </w:numPr>
        <w:spacing w:after="0" w:line="360" w:lineRule="auto"/>
        <w:rPr>
          <w:rFonts w:asciiTheme="majorHAnsi" w:eastAsia="Times New Roman" w:hAnsiTheme="majorHAnsi" w:cs="Times New Roman"/>
          <w:sz w:val="24"/>
          <w:szCs w:val="24"/>
        </w:rPr>
      </w:pPr>
      <w:hyperlink r:id="rId8" w:tgtFrame="_blank" w:history="1">
        <w:r w:rsidR="008A6233" w:rsidRPr="00E25CFF">
          <w:rPr>
            <w:rFonts w:asciiTheme="majorHAnsi" w:eastAsia="Times New Roman" w:hAnsiTheme="majorHAnsi"/>
            <w:sz w:val="24"/>
            <w:szCs w:val="24"/>
            <w:lang w:eastAsia="en-GB"/>
          </w:rPr>
          <w:t xml:space="preserve">Montalto M, Santoro L, D'Onofrio F </w:t>
        </w:r>
      </w:hyperlink>
      <w:r w:rsidR="008A6233" w:rsidRPr="00E25CFF">
        <w:rPr>
          <w:rFonts w:asciiTheme="majorHAnsi" w:eastAsia="Times New Roman" w:hAnsiTheme="majorHAnsi"/>
          <w:sz w:val="24"/>
          <w:szCs w:val="24"/>
          <w:lang w:eastAsia="en-GB"/>
        </w:rPr>
        <w:t xml:space="preserve"> Adverse reactions to food: allergies and intolerances. Dig Dis. 2008;26(2):96-103.</w:t>
      </w:r>
    </w:p>
    <w:p w:rsidR="008A6233" w:rsidRPr="00541624" w:rsidRDefault="008A6233" w:rsidP="008A6233">
      <w:pPr>
        <w:pStyle w:val="ListParagraph"/>
        <w:numPr>
          <w:ilvl w:val="0"/>
          <w:numId w:val="2"/>
        </w:numPr>
        <w:spacing w:after="0" w:line="360" w:lineRule="auto"/>
        <w:rPr>
          <w:rFonts w:asciiTheme="majorHAnsi" w:eastAsia="Times New Roman" w:hAnsiTheme="majorHAnsi" w:cs="Times New Roman"/>
          <w:sz w:val="24"/>
          <w:szCs w:val="24"/>
        </w:rPr>
      </w:pPr>
      <w:r w:rsidRPr="00E25CFF">
        <w:rPr>
          <w:rFonts w:asciiTheme="majorHAnsi" w:hAnsiTheme="majorHAnsi"/>
          <w:sz w:val="24"/>
          <w:szCs w:val="24"/>
          <w:shd w:val="clear" w:color="auto" w:fill="FFFFFF"/>
        </w:rPr>
        <w:t>Hayder H, Mueller U, Bartholomaeus A. Review of Intolerance Reactions to Food and Food Additives. International Food Risk Analysis Journal. 2011;1.</w:t>
      </w:r>
      <w:r w:rsidRPr="00E25CFF">
        <w:rPr>
          <w:rFonts w:asciiTheme="majorHAnsi" w:hAnsiTheme="majorHAnsi"/>
          <w:sz w:val="24"/>
          <w:szCs w:val="24"/>
        </w:rPr>
        <w:t xml:space="preserve"> Risk Assessment Branch, Food Standards Australia New Zealand</w:t>
      </w:r>
    </w:p>
    <w:p w:rsidR="008A6233" w:rsidRPr="00541624" w:rsidRDefault="008A6233" w:rsidP="008A6233">
      <w:pPr>
        <w:pStyle w:val="ListParagraph"/>
        <w:numPr>
          <w:ilvl w:val="0"/>
          <w:numId w:val="2"/>
        </w:numPr>
        <w:spacing w:after="0" w:line="360" w:lineRule="auto"/>
        <w:rPr>
          <w:rFonts w:asciiTheme="majorHAnsi" w:eastAsia="Times New Roman" w:hAnsiTheme="majorHAnsi" w:cs="Times New Roman"/>
          <w:sz w:val="24"/>
          <w:szCs w:val="24"/>
        </w:rPr>
      </w:pPr>
      <w:r w:rsidRPr="00E25CFF">
        <w:rPr>
          <w:rFonts w:asciiTheme="majorHAnsi" w:hAnsiTheme="majorHAnsi"/>
          <w:color w:val="333333"/>
          <w:sz w:val="24"/>
          <w:szCs w:val="24"/>
          <w:shd w:val="clear" w:color="auto" w:fill="FFFFFF"/>
        </w:rPr>
        <w:t xml:space="preserve">Venter, C., Pereira, B., Voigt, K., Grundy, J., Clayton, C. B., Higgins, </w:t>
      </w:r>
      <w:r>
        <w:rPr>
          <w:rFonts w:asciiTheme="majorHAnsi" w:hAnsiTheme="majorHAnsi"/>
          <w:color w:val="333333"/>
          <w:sz w:val="24"/>
          <w:szCs w:val="24"/>
          <w:shd w:val="clear" w:color="auto" w:fill="FFFFFF"/>
        </w:rPr>
        <w:t xml:space="preserve">B., Arshad, S. H. and Dean, T. </w:t>
      </w:r>
      <w:r w:rsidRPr="00E25CFF">
        <w:rPr>
          <w:rFonts w:asciiTheme="majorHAnsi" w:hAnsiTheme="majorHAnsi"/>
          <w:color w:val="333333"/>
          <w:sz w:val="24"/>
          <w:szCs w:val="24"/>
          <w:shd w:val="clear" w:color="auto" w:fill="FFFFFF"/>
        </w:rPr>
        <w:t>Original article: Prevalence and cumulative incidence of food hypersensitivity in the</w:t>
      </w:r>
      <w:r>
        <w:rPr>
          <w:rFonts w:asciiTheme="majorHAnsi" w:hAnsiTheme="majorHAnsi"/>
          <w:color w:val="333333"/>
          <w:sz w:val="24"/>
          <w:szCs w:val="24"/>
          <w:shd w:val="clear" w:color="auto" w:fill="FFFFFF"/>
        </w:rPr>
        <w:t xml:space="preserve"> first 3 years of life. Allergy.2008.</w:t>
      </w:r>
      <w:r w:rsidRPr="00E25CFF">
        <w:rPr>
          <w:rFonts w:asciiTheme="majorHAnsi" w:hAnsiTheme="majorHAnsi"/>
          <w:color w:val="333333"/>
          <w:sz w:val="24"/>
          <w:szCs w:val="24"/>
          <w:shd w:val="clear" w:color="auto" w:fill="FFFFFF"/>
        </w:rPr>
        <w:t xml:space="preserve"> 63: 354–359. doi:10.1111/j.1398-9995.2007.01570.x</w:t>
      </w:r>
    </w:p>
    <w:p w:rsidR="008A6233" w:rsidRPr="00541624" w:rsidRDefault="008A6233" w:rsidP="008A6233">
      <w:pPr>
        <w:pStyle w:val="ListParagraph"/>
        <w:numPr>
          <w:ilvl w:val="0"/>
          <w:numId w:val="2"/>
        </w:numPr>
        <w:spacing w:after="0" w:line="360" w:lineRule="auto"/>
        <w:rPr>
          <w:rFonts w:asciiTheme="majorHAnsi" w:eastAsia="Times New Roman" w:hAnsiTheme="majorHAnsi" w:cs="Times New Roman"/>
          <w:sz w:val="24"/>
          <w:szCs w:val="24"/>
        </w:rPr>
      </w:pPr>
      <w:r w:rsidRPr="00E25CFF">
        <w:rPr>
          <w:rFonts w:asciiTheme="majorHAnsi" w:eastAsia="Times New Roman" w:hAnsiTheme="majorHAnsi" w:cs="Times New Roman"/>
          <w:sz w:val="24"/>
          <w:szCs w:val="24"/>
        </w:rPr>
        <w:t>Cummings AJ, Knibb RC, King RM, Lucas JS. The psychosocial impact of food allergy and food hypersensitivity in children, adolescents and their families: a  review. Allergy. 2010 Aug;65(8):933-45.</w:t>
      </w:r>
    </w:p>
    <w:p w:rsidR="008A6233" w:rsidRPr="00E25CFF" w:rsidRDefault="008A6233" w:rsidP="008A6233">
      <w:pPr>
        <w:pStyle w:val="ListParagraph"/>
        <w:numPr>
          <w:ilvl w:val="0"/>
          <w:numId w:val="2"/>
        </w:numPr>
        <w:spacing w:after="0" w:line="360" w:lineRule="auto"/>
        <w:rPr>
          <w:rFonts w:asciiTheme="majorHAnsi" w:eastAsia="Times New Roman" w:hAnsiTheme="majorHAnsi" w:cs="Times New Roman"/>
          <w:sz w:val="24"/>
          <w:szCs w:val="24"/>
        </w:rPr>
      </w:pPr>
      <w:r w:rsidRPr="00E25CFF">
        <w:rPr>
          <w:rFonts w:asciiTheme="majorHAnsi" w:hAnsiTheme="majorHAnsi" w:cs="Times New Roman"/>
          <w:sz w:val="24"/>
          <w:szCs w:val="24"/>
          <w:lang w:val="en-IE"/>
        </w:rPr>
        <w:t>Roma E, Roubani A, Kolia E, Panayiotou J,</w:t>
      </w:r>
      <w:r>
        <w:rPr>
          <w:rFonts w:asciiTheme="majorHAnsi" w:hAnsiTheme="majorHAnsi" w:cs="Times New Roman"/>
          <w:sz w:val="24"/>
          <w:szCs w:val="24"/>
          <w:lang w:val="en-IE"/>
        </w:rPr>
        <w:t xml:space="preserve"> Zellos A, Syriopoulou VP.</w:t>
      </w:r>
      <w:r w:rsidRPr="00E25CFF">
        <w:rPr>
          <w:rFonts w:asciiTheme="majorHAnsi" w:hAnsiTheme="majorHAnsi" w:cs="Times New Roman"/>
          <w:sz w:val="24"/>
          <w:szCs w:val="24"/>
          <w:lang w:val="en-IE"/>
        </w:rPr>
        <w:t xml:space="preserve"> Dietary compliance and life style of children with coeliac disease. Journal of Human  Nutrition and Dietetics</w:t>
      </w:r>
      <w:r>
        <w:rPr>
          <w:rFonts w:asciiTheme="majorHAnsi" w:hAnsiTheme="majorHAnsi" w:cs="Times New Roman"/>
          <w:sz w:val="24"/>
          <w:szCs w:val="24"/>
          <w:lang w:val="en-IE"/>
        </w:rPr>
        <w:t xml:space="preserve"> 2010</w:t>
      </w:r>
      <w:r w:rsidRPr="00E25CFF">
        <w:rPr>
          <w:rFonts w:asciiTheme="majorHAnsi" w:hAnsiTheme="majorHAnsi" w:cs="Times New Roman"/>
          <w:sz w:val="24"/>
          <w:szCs w:val="24"/>
          <w:lang w:val="en-IE"/>
        </w:rPr>
        <w:t xml:space="preserve"> 23 :176-82</w:t>
      </w:r>
    </w:p>
    <w:p w:rsidR="008A6233" w:rsidRPr="00541624" w:rsidRDefault="008A6233" w:rsidP="008A6233">
      <w:pPr>
        <w:pStyle w:val="ListParagraph"/>
        <w:numPr>
          <w:ilvl w:val="0"/>
          <w:numId w:val="2"/>
        </w:numPr>
        <w:spacing w:after="0" w:line="360" w:lineRule="auto"/>
        <w:rPr>
          <w:rFonts w:asciiTheme="majorHAnsi" w:eastAsia="Times New Roman" w:hAnsiTheme="majorHAnsi" w:cs="Times New Roman"/>
          <w:sz w:val="24"/>
          <w:szCs w:val="24"/>
        </w:rPr>
      </w:pPr>
      <w:r w:rsidRPr="00E25CFF">
        <w:rPr>
          <w:rFonts w:asciiTheme="majorHAnsi" w:eastAsia="Times New Roman" w:hAnsiTheme="majorHAnsi" w:cs="Times New Roman"/>
          <w:sz w:val="24"/>
          <w:szCs w:val="24"/>
          <w:lang w:val="en" w:eastAsia="en-GB"/>
        </w:rPr>
        <w:t xml:space="preserve">Skjerning H, Mahony R; Husby S, DunnGalvin,A. </w:t>
      </w:r>
      <w:r w:rsidRPr="00E25CFF">
        <w:rPr>
          <w:rFonts w:asciiTheme="majorHAnsi" w:eastAsia="Times New Roman" w:hAnsiTheme="majorHAnsi" w:cs="Times New Roman"/>
          <w:bCs/>
          <w:kern w:val="36"/>
          <w:sz w:val="24"/>
          <w:szCs w:val="24"/>
          <w:lang w:val="en" w:eastAsia="en-GB"/>
        </w:rPr>
        <w:t xml:space="preserve">Health-related quality of life in children and adolescents with celiac disease: patient-driven data from focus group interviews. </w:t>
      </w:r>
      <w:r w:rsidRPr="00E25CFF">
        <w:rPr>
          <w:rFonts w:asciiTheme="majorHAnsi" w:eastAsia="Times New Roman" w:hAnsiTheme="majorHAnsi" w:cs="Times New Roman"/>
          <w:b/>
          <w:bCs/>
          <w:kern w:val="36"/>
          <w:sz w:val="24"/>
          <w:szCs w:val="24"/>
          <w:lang w:val="en" w:eastAsia="en-GB"/>
        </w:rPr>
        <w:t xml:space="preserve"> </w:t>
      </w:r>
      <w:r w:rsidRPr="00E25CFF">
        <w:rPr>
          <w:rFonts w:asciiTheme="majorHAnsi" w:eastAsia="Times New Roman" w:hAnsiTheme="majorHAnsi" w:cs="Times New Roman"/>
          <w:sz w:val="24"/>
          <w:szCs w:val="24"/>
          <w:lang w:val="en" w:eastAsia="en-GB"/>
        </w:rPr>
        <w:t>Quality of Life Research;</w:t>
      </w:r>
      <w:r w:rsidRPr="00E25CFF" w:rsidDel="0039575F">
        <w:rPr>
          <w:rFonts w:asciiTheme="majorHAnsi" w:eastAsia="Times New Roman" w:hAnsiTheme="majorHAnsi" w:cs="Times New Roman"/>
          <w:sz w:val="24"/>
          <w:szCs w:val="24"/>
          <w:lang w:val="en" w:eastAsia="en-GB"/>
        </w:rPr>
        <w:t xml:space="preserve"> </w:t>
      </w:r>
      <w:r w:rsidRPr="00E25CFF">
        <w:rPr>
          <w:rFonts w:asciiTheme="majorHAnsi" w:eastAsia="Times New Roman" w:hAnsiTheme="majorHAnsi" w:cs="Times New Roman"/>
          <w:sz w:val="24"/>
          <w:szCs w:val="24"/>
          <w:lang w:val="en" w:eastAsia="en-GB"/>
        </w:rPr>
        <w:t>2014; 23 ( 6), 1883-1887</w:t>
      </w:r>
    </w:p>
    <w:p w:rsidR="008A6233" w:rsidRPr="00541624" w:rsidRDefault="008A6233" w:rsidP="008A6233">
      <w:pPr>
        <w:pStyle w:val="ListParagraph"/>
        <w:numPr>
          <w:ilvl w:val="0"/>
          <w:numId w:val="2"/>
        </w:numPr>
        <w:spacing w:after="0" w:line="360" w:lineRule="auto"/>
        <w:rPr>
          <w:rFonts w:asciiTheme="majorHAnsi" w:eastAsia="Times New Roman" w:hAnsiTheme="majorHAnsi" w:cs="Times New Roman"/>
          <w:sz w:val="24"/>
          <w:szCs w:val="24"/>
        </w:rPr>
      </w:pPr>
      <w:r w:rsidRPr="00E25CFF">
        <w:rPr>
          <w:rFonts w:asciiTheme="majorHAnsi" w:hAnsiTheme="majorHAnsi" w:cs="LucidaBrigEFOP-DemBol"/>
          <w:sz w:val="24"/>
          <w:szCs w:val="24"/>
        </w:rPr>
        <w:t xml:space="preserve">Ross A </w:t>
      </w:r>
      <w:r w:rsidRPr="00E25CFF">
        <w:rPr>
          <w:rFonts w:asciiTheme="majorHAnsi" w:hAnsiTheme="majorHAnsi" w:cs="LucidaBrigEFOP-DemBolIta"/>
          <w:sz w:val="24"/>
          <w:szCs w:val="24"/>
        </w:rPr>
        <w:t xml:space="preserve">et al </w:t>
      </w:r>
      <w:r w:rsidRPr="00E25CFF">
        <w:rPr>
          <w:rFonts w:asciiTheme="majorHAnsi" w:hAnsiTheme="majorHAnsi" w:cs="LucidaBrigEFOP-Roman"/>
          <w:sz w:val="24"/>
          <w:szCs w:val="24"/>
        </w:rPr>
        <w:t xml:space="preserve">Assessing quality outcome measures in children with coeliac disease: experience from two UK centres. </w:t>
      </w:r>
      <w:r w:rsidRPr="00E25CFF">
        <w:rPr>
          <w:rFonts w:asciiTheme="majorHAnsi" w:hAnsiTheme="majorHAnsi" w:cs="LucidaBrigEFOP-RomanIta"/>
          <w:sz w:val="24"/>
          <w:szCs w:val="24"/>
        </w:rPr>
        <w:t>Nutrients</w:t>
      </w:r>
      <w:r w:rsidRPr="00E25CFF">
        <w:rPr>
          <w:rFonts w:asciiTheme="majorHAnsi" w:hAnsiTheme="majorHAnsi" w:cs="LucidaBrigEFOP-Roman"/>
          <w:sz w:val="24"/>
          <w:szCs w:val="24"/>
        </w:rPr>
        <w:t>.2013; 5, 11, 4605-4613.</w:t>
      </w:r>
    </w:p>
    <w:p w:rsidR="008A6233" w:rsidRPr="00541624" w:rsidRDefault="008A6233" w:rsidP="008A6233">
      <w:pPr>
        <w:pStyle w:val="ListParagraph"/>
        <w:numPr>
          <w:ilvl w:val="0"/>
          <w:numId w:val="2"/>
        </w:numPr>
        <w:spacing w:after="0" w:line="360" w:lineRule="auto"/>
        <w:rPr>
          <w:rFonts w:asciiTheme="majorHAnsi" w:eastAsia="Times New Roman" w:hAnsiTheme="majorHAnsi" w:cs="Times New Roman"/>
          <w:sz w:val="24"/>
          <w:szCs w:val="24"/>
        </w:rPr>
      </w:pPr>
      <w:r w:rsidRPr="00E25CFF">
        <w:rPr>
          <w:rFonts w:asciiTheme="majorHAnsi" w:hAnsiTheme="majorHAnsi" w:cs="Times New Roman"/>
          <w:sz w:val="24"/>
          <w:szCs w:val="24"/>
          <w:lang w:val="en-IE"/>
        </w:rPr>
        <w:t>Whitaker JK, We</w:t>
      </w:r>
      <w:r>
        <w:rPr>
          <w:rFonts w:asciiTheme="majorHAnsi" w:hAnsiTheme="majorHAnsi" w:cs="Times New Roman"/>
          <w:sz w:val="24"/>
          <w:szCs w:val="24"/>
          <w:lang w:val="en-IE"/>
        </w:rPr>
        <w:t>st J, Holmes GK, Logan RF.</w:t>
      </w:r>
      <w:r w:rsidRPr="00E25CFF">
        <w:rPr>
          <w:rFonts w:asciiTheme="majorHAnsi" w:hAnsiTheme="majorHAnsi" w:cs="Times New Roman"/>
          <w:sz w:val="24"/>
          <w:szCs w:val="24"/>
          <w:lang w:val="en-IE"/>
        </w:rPr>
        <w:t xml:space="preserve"> Patient perceptions of the burden of coeliac disease and its treatment in the UK. Alimentary Pharmacology and  Therapeutics 2009; 29 :1131-6</w:t>
      </w:r>
    </w:p>
    <w:p w:rsidR="008A6233" w:rsidRPr="00541624" w:rsidRDefault="008A6233" w:rsidP="008A6233">
      <w:pPr>
        <w:pStyle w:val="ListParagraph"/>
        <w:numPr>
          <w:ilvl w:val="0"/>
          <w:numId w:val="2"/>
        </w:numPr>
        <w:spacing w:after="0" w:line="360" w:lineRule="auto"/>
        <w:rPr>
          <w:rFonts w:asciiTheme="majorHAnsi" w:eastAsia="Times New Roman" w:hAnsiTheme="majorHAnsi" w:cs="Times New Roman"/>
          <w:sz w:val="24"/>
          <w:szCs w:val="24"/>
        </w:rPr>
      </w:pPr>
      <w:r w:rsidRPr="00E25CFF">
        <w:rPr>
          <w:rFonts w:asciiTheme="majorHAnsi" w:hAnsiTheme="majorHAnsi" w:cs="LucidaBrigEFOP-DemBol"/>
          <w:sz w:val="24"/>
          <w:szCs w:val="24"/>
        </w:rPr>
        <w:t xml:space="preserve">Altobelli E, Paduana E, Gentile T,Caloisi C, Marziliano C, Necozione S,  </w:t>
      </w:r>
      <w:r w:rsidRPr="00E25CFF">
        <w:rPr>
          <w:rFonts w:asciiTheme="majorHAnsi" w:hAnsiTheme="majorHAnsi" w:cs="LucidaBrigEFOP-DemBolIta"/>
          <w:sz w:val="24"/>
          <w:szCs w:val="24"/>
        </w:rPr>
        <w:t xml:space="preserve">et al </w:t>
      </w:r>
      <w:r w:rsidRPr="00E25CFF">
        <w:rPr>
          <w:rFonts w:asciiTheme="majorHAnsi" w:hAnsiTheme="majorHAnsi" w:cs="LucidaBrigEFOP-Roman"/>
          <w:sz w:val="24"/>
          <w:szCs w:val="24"/>
        </w:rPr>
        <w:t xml:space="preserve">Health-related quality of life in children and adolescents with celiac disease: survey of a population from central Italy. </w:t>
      </w:r>
      <w:r w:rsidRPr="00E25CFF">
        <w:rPr>
          <w:rFonts w:asciiTheme="majorHAnsi" w:hAnsiTheme="majorHAnsi" w:cs="LucidaBrigEFOP-RomanIta"/>
          <w:sz w:val="24"/>
          <w:szCs w:val="24"/>
        </w:rPr>
        <w:t>Health and Quality of Life Outcomes</w:t>
      </w:r>
      <w:r w:rsidRPr="00E25CFF">
        <w:rPr>
          <w:rFonts w:asciiTheme="majorHAnsi" w:hAnsiTheme="majorHAnsi" w:cs="LucidaBrigEFOP-Roman"/>
          <w:sz w:val="24"/>
          <w:szCs w:val="24"/>
        </w:rPr>
        <w:t>. 2013; 11, 204.</w:t>
      </w:r>
    </w:p>
    <w:p w:rsidR="008A6233" w:rsidRPr="00541624" w:rsidRDefault="008A6233" w:rsidP="008A6233">
      <w:pPr>
        <w:pStyle w:val="ListParagraph"/>
        <w:numPr>
          <w:ilvl w:val="0"/>
          <w:numId w:val="2"/>
        </w:numPr>
        <w:spacing w:after="100" w:afterAutospacing="1" w:line="360" w:lineRule="auto"/>
        <w:rPr>
          <w:rFonts w:asciiTheme="majorHAnsi" w:eastAsia="Times New Roman" w:hAnsiTheme="majorHAnsi" w:cs="Times New Roman"/>
          <w:sz w:val="24"/>
          <w:szCs w:val="24"/>
        </w:rPr>
      </w:pPr>
      <w:r w:rsidRPr="00E25CFF">
        <w:rPr>
          <w:rFonts w:asciiTheme="majorHAnsi" w:hAnsiTheme="majorHAnsi" w:cs="MyriadPro-SemiboldSemiCn"/>
          <w:sz w:val="24"/>
          <w:szCs w:val="24"/>
        </w:rPr>
        <w:t>DunnGalvin A, Hourihane J O’B. Health-related quality of life</w:t>
      </w:r>
      <w:r w:rsidRPr="00E25CFF">
        <w:rPr>
          <w:rFonts w:asciiTheme="majorHAnsi" w:eastAsia="Times New Roman" w:hAnsiTheme="majorHAnsi" w:cs="Times New Roman"/>
          <w:sz w:val="24"/>
          <w:szCs w:val="24"/>
        </w:rPr>
        <w:t xml:space="preserve"> </w:t>
      </w:r>
      <w:r w:rsidRPr="00E25CFF">
        <w:rPr>
          <w:rFonts w:asciiTheme="majorHAnsi" w:hAnsiTheme="majorHAnsi" w:cs="MyriadPro-SemiboldSemiCn"/>
          <w:sz w:val="24"/>
          <w:szCs w:val="24"/>
        </w:rPr>
        <w:t>in food allergy :Impact, correlates, and predictors</w:t>
      </w:r>
      <w:r w:rsidRPr="00E25CFF">
        <w:rPr>
          <w:rFonts w:asciiTheme="majorHAnsi" w:hAnsiTheme="majorHAnsi" w:cs="MyriadPro-SemiCn"/>
          <w:sz w:val="24"/>
          <w:szCs w:val="24"/>
        </w:rPr>
        <w:t xml:space="preserve"> Bundesgesundheitsbl, 2016 © Springer-Verlag Berlin Heidelberg, DOI 10.1007/s00103-016-2368-x</w:t>
      </w:r>
    </w:p>
    <w:p w:rsidR="008A6233" w:rsidRPr="00541624" w:rsidRDefault="008A6233" w:rsidP="008A6233">
      <w:pPr>
        <w:pStyle w:val="ListParagraph"/>
        <w:numPr>
          <w:ilvl w:val="0"/>
          <w:numId w:val="2"/>
        </w:numPr>
        <w:spacing w:after="100" w:afterAutospacing="1" w:line="360" w:lineRule="auto"/>
        <w:rPr>
          <w:rFonts w:asciiTheme="majorHAnsi" w:eastAsia="Times New Roman" w:hAnsiTheme="majorHAnsi" w:cs="Times New Roman"/>
          <w:sz w:val="24"/>
          <w:szCs w:val="24"/>
        </w:rPr>
      </w:pPr>
      <w:r w:rsidRPr="00541624">
        <w:rPr>
          <w:rFonts w:asciiTheme="majorHAnsi" w:eastAsia="Times New Roman" w:hAnsiTheme="majorHAnsi" w:cs="Times New Roman"/>
          <w:sz w:val="24"/>
          <w:szCs w:val="24"/>
        </w:rPr>
        <w:t>DunnGalvin A, de BlokFlokstra BM, Burks AW, Dubois AE, Hourihane JO. Longitudinal validity and responsiveness of the Food Allergy Quality of Life Questionnaire – Parent Form in children following positive and negative food challenges. Clinical and Experimental Allergy. 2009; 40, 476-485</w:t>
      </w:r>
    </w:p>
    <w:p w:rsidR="008A6233" w:rsidRPr="00541624" w:rsidRDefault="008A6233" w:rsidP="008A6233">
      <w:pPr>
        <w:pStyle w:val="ListParagraph"/>
        <w:numPr>
          <w:ilvl w:val="0"/>
          <w:numId w:val="2"/>
        </w:numPr>
        <w:spacing w:line="360" w:lineRule="auto"/>
        <w:rPr>
          <w:rFonts w:asciiTheme="majorHAnsi" w:eastAsia="Times New Roman" w:hAnsiTheme="majorHAnsi" w:cs="Times New Roman"/>
          <w:sz w:val="24"/>
          <w:szCs w:val="24"/>
        </w:rPr>
      </w:pPr>
      <w:r w:rsidRPr="00E25CFF">
        <w:rPr>
          <w:rFonts w:asciiTheme="majorHAnsi" w:eastAsia="Times New Roman" w:hAnsiTheme="majorHAnsi" w:cs="Times New Roman"/>
          <w:sz w:val="24"/>
          <w:szCs w:val="24"/>
        </w:rPr>
        <w:t xml:space="preserve">Flokstra-de Blok BM, DunnGalvin A, Vlieg-Boerstra BJ, Oude Elberink JN,Duiverman EJ, Hourihane JO, Dubois AE. Development and validation of the self-administered Food Allergy Quality of Life Questionnaire for adolescents. JAllergy Clin Immunol. 2008 Jul;122(1):139-44, 144.e1-2. </w:t>
      </w:r>
    </w:p>
    <w:p w:rsidR="008A6233" w:rsidRPr="00E25CFF" w:rsidRDefault="008A6233" w:rsidP="008A6233">
      <w:pPr>
        <w:pStyle w:val="ListParagraph"/>
        <w:numPr>
          <w:ilvl w:val="0"/>
          <w:numId w:val="2"/>
        </w:numPr>
        <w:spacing w:after="0" w:line="360" w:lineRule="auto"/>
        <w:rPr>
          <w:rFonts w:asciiTheme="majorHAnsi" w:eastAsia="Times New Roman" w:hAnsiTheme="majorHAnsi" w:cs="Times New Roman"/>
          <w:sz w:val="24"/>
          <w:szCs w:val="24"/>
        </w:rPr>
      </w:pPr>
      <w:r w:rsidRPr="00E25CFF">
        <w:rPr>
          <w:rFonts w:asciiTheme="majorHAnsi" w:eastAsia="Times New Roman" w:hAnsiTheme="majorHAnsi" w:cs="Times New Roman"/>
          <w:sz w:val="24"/>
          <w:szCs w:val="24"/>
        </w:rPr>
        <w:t xml:space="preserve">Flokstra-de Blok BM, van der Meulen GN, DunnGalvin A, Vlieg-Boerstra BJ, Oude </w:t>
      </w:r>
    </w:p>
    <w:p w:rsidR="008A6233" w:rsidRPr="00E25CFF" w:rsidRDefault="008A6233" w:rsidP="008A6233">
      <w:pPr>
        <w:pStyle w:val="ListParagraph"/>
        <w:spacing w:after="0" w:line="360" w:lineRule="auto"/>
        <w:rPr>
          <w:rFonts w:asciiTheme="majorHAnsi" w:eastAsia="Times New Roman" w:hAnsiTheme="majorHAnsi" w:cs="Times New Roman"/>
          <w:sz w:val="24"/>
          <w:szCs w:val="24"/>
        </w:rPr>
      </w:pPr>
      <w:r w:rsidRPr="00E25CFF">
        <w:rPr>
          <w:rFonts w:asciiTheme="majorHAnsi" w:eastAsia="Times New Roman" w:hAnsiTheme="majorHAnsi" w:cs="Times New Roman"/>
          <w:sz w:val="24"/>
          <w:szCs w:val="24"/>
        </w:rPr>
        <w:t>Elberink JN, Duiverman EJ, Hourihane JO, Dubois AE. Development and validation of</w:t>
      </w:r>
    </w:p>
    <w:p w:rsidR="008A6233" w:rsidRPr="006754BA" w:rsidRDefault="008A6233" w:rsidP="008A6233">
      <w:pPr>
        <w:pStyle w:val="ListParagraph"/>
        <w:spacing w:after="0" w:line="360" w:lineRule="auto"/>
        <w:rPr>
          <w:rFonts w:asciiTheme="majorHAnsi" w:eastAsia="Times New Roman" w:hAnsiTheme="majorHAnsi" w:cs="Times New Roman"/>
          <w:sz w:val="24"/>
          <w:szCs w:val="24"/>
        </w:rPr>
      </w:pPr>
      <w:r w:rsidRPr="00E25CFF">
        <w:rPr>
          <w:rFonts w:asciiTheme="majorHAnsi" w:eastAsia="Times New Roman" w:hAnsiTheme="majorHAnsi" w:cs="Times New Roman"/>
          <w:sz w:val="24"/>
          <w:szCs w:val="24"/>
        </w:rPr>
        <w:t xml:space="preserve">the Food Allergy Quality of Life Questionnaire </w:t>
      </w:r>
      <w:r>
        <w:rPr>
          <w:rFonts w:asciiTheme="majorHAnsi" w:eastAsia="Times New Roman" w:hAnsiTheme="majorHAnsi" w:cs="Times New Roman"/>
          <w:sz w:val="24"/>
          <w:szCs w:val="24"/>
        </w:rPr>
        <w:t>–</w:t>
      </w:r>
      <w:r w:rsidRPr="00E25CFF">
        <w:rPr>
          <w:rFonts w:asciiTheme="majorHAnsi" w:eastAsia="Times New Roman" w:hAnsiTheme="majorHAnsi" w:cs="Times New Roman"/>
          <w:sz w:val="24"/>
          <w:szCs w:val="24"/>
        </w:rPr>
        <w:t xml:space="preserve"> Adult</w:t>
      </w:r>
      <w:r>
        <w:rPr>
          <w:rFonts w:asciiTheme="majorHAnsi" w:eastAsia="Times New Roman" w:hAnsiTheme="majorHAnsi" w:cs="Times New Roman"/>
          <w:sz w:val="24"/>
          <w:szCs w:val="24"/>
        </w:rPr>
        <w:t xml:space="preserve"> </w:t>
      </w:r>
      <w:r w:rsidRPr="00E25CFF">
        <w:rPr>
          <w:rFonts w:asciiTheme="majorHAnsi" w:eastAsia="Times New Roman" w:hAnsiTheme="majorHAnsi" w:cs="Times New Roman"/>
          <w:sz w:val="24"/>
          <w:szCs w:val="24"/>
        </w:rPr>
        <w:t>Form.</w:t>
      </w:r>
      <w:r>
        <w:rPr>
          <w:rFonts w:asciiTheme="majorHAnsi" w:eastAsia="Times New Roman" w:hAnsiTheme="majorHAnsi" w:cs="Times New Roman"/>
          <w:sz w:val="24"/>
          <w:szCs w:val="24"/>
        </w:rPr>
        <w:t xml:space="preserve"> </w:t>
      </w:r>
      <w:r w:rsidRPr="00E25CFF">
        <w:rPr>
          <w:rFonts w:asciiTheme="majorHAnsi" w:eastAsia="Times New Roman" w:hAnsiTheme="majorHAnsi" w:cs="Times New Roman"/>
          <w:sz w:val="24"/>
          <w:szCs w:val="24"/>
        </w:rPr>
        <w:t>Allergy.</w:t>
      </w:r>
      <w:r>
        <w:rPr>
          <w:rFonts w:asciiTheme="majorHAnsi" w:eastAsia="Times New Roman" w:hAnsiTheme="majorHAnsi" w:cs="Times New Roman"/>
          <w:sz w:val="24"/>
          <w:szCs w:val="24"/>
        </w:rPr>
        <w:t xml:space="preserve"> </w:t>
      </w:r>
      <w:r w:rsidRPr="00E25CFF">
        <w:rPr>
          <w:rFonts w:asciiTheme="majorHAnsi" w:eastAsia="Times New Roman" w:hAnsiTheme="majorHAnsi" w:cs="Times New Roman"/>
          <w:sz w:val="24"/>
          <w:szCs w:val="24"/>
        </w:rPr>
        <w:t xml:space="preserve">2009;64(8):1209-17. </w:t>
      </w:r>
    </w:p>
    <w:p w:rsidR="008A6233" w:rsidRPr="00541624" w:rsidRDefault="008A6233" w:rsidP="008A6233">
      <w:pPr>
        <w:pStyle w:val="ListParagraph"/>
        <w:numPr>
          <w:ilvl w:val="0"/>
          <w:numId w:val="2"/>
        </w:numPr>
        <w:spacing w:after="0" w:line="360" w:lineRule="auto"/>
        <w:rPr>
          <w:rFonts w:asciiTheme="majorHAnsi" w:eastAsia="Times New Roman" w:hAnsiTheme="majorHAnsi" w:cs="Times New Roman"/>
          <w:sz w:val="24"/>
          <w:szCs w:val="24"/>
        </w:rPr>
      </w:pPr>
      <w:r w:rsidRPr="00E25CFF">
        <w:rPr>
          <w:rFonts w:asciiTheme="majorHAnsi" w:eastAsia="Times New Roman" w:hAnsiTheme="majorHAnsi" w:cs="Times New Roman"/>
          <w:sz w:val="24"/>
          <w:szCs w:val="24"/>
        </w:rPr>
        <w:t>van der Velde JL, Flokstra-de Blok BM, de Groot H, Oude-Elberink JN, KerkhofM, Duiverman EJ, Dubois AE. Food allergy-related quality of life after double-blind, placebo-controlled food challenges in adults, adolescents, and children. J Allergy Clin Immunol. 2012 Nov;130(5):1136-1143</w:t>
      </w:r>
    </w:p>
    <w:p w:rsidR="008A6233" w:rsidRPr="00A7381E" w:rsidRDefault="008A6233" w:rsidP="008A6233">
      <w:pPr>
        <w:pStyle w:val="ListParagraph"/>
        <w:numPr>
          <w:ilvl w:val="0"/>
          <w:numId w:val="2"/>
        </w:numPr>
        <w:spacing w:after="0" w:line="360" w:lineRule="auto"/>
        <w:rPr>
          <w:rFonts w:asciiTheme="majorHAnsi" w:eastAsia="Times New Roman" w:hAnsiTheme="majorHAnsi" w:cs="Times New Roman"/>
          <w:sz w:val="24"/>
          <w:szCs w:val="24"/>
        </w:rPr>
      </w:pPr>
      <w:r w:rsidRPr="00E25CFF">
        <w:rPr>
          <w:rFonts w:asciiTheme="majorHAnsi" w:eastAsia="Times New Roman" w:hAnsiTheme="majorHAnsi" w:cs="Times New Roman"/>
          <w:sz w:val="24"/>
          <w:szCs w:val="24"/>
        </w:rPr>
        <w:t>DunnGalvin A, Chang WC, Laubach S, Steele PH, Dubois AE, Burks AW, HourihaneJO. Profiling families enrolled in food allergy immunotherapy studies. Pediatrics. 2009 Sep;124(3):e503-9.</w:t>
      </w:r>
    </w:p>
    <w:p w:rsidR="008A6233" w:rsidRPr="00A7381E" w:rsidRDefault="008A6233" w:rsidP="008A6233">
      <w:pPr>
        <w:pStyle w:val="ListParagraph"/>
        <w:numPr>
          <w:ilvl w:val="0"/>
          <w:numId w:val="2"/>
        </w:numPr>
        <w:spacing w:line="360" w:lineRule="auto"/>
        <w:rPr>
          <w:rFonts w:asciiTheme="majorHAnsi" w:eastAsia="Times New Roman" w:hAnsiTheme="majorHAnsi" w:cs="Times New Roman"/>
          <w:sz w:val="24"/>
          <w:szCs w:val="24"/>
        </w:rPr>
      </w:pPr>
      <w:r w:rsidRPr="006754BA">
        <w:rPr>
          <w:rFonts w:asciiTheme="majorHAnsi" w:eastAsia="Times New Roman" w:hAnsiTheme="majorHAnsi" w:cs="Times New Roman"/>
          <w:sz w:val="24"/>
          <w:szCs w:val="24"/>
        </w:rPr>
        <w:t>Cummings AJ, Knibb RC, Erlewyn-Lajeunesse M, King RM, Roberts G, Lucas JS. Management of nut allergy influences quality of life and anxiety in children and their mothers. Pediatr Allergy Immunol. 2010 Jun;21(4 Pt 1):586-94.</w:t>
      </w:r>
    </w:p>
    <w:p w:rsidR="008A6233" w:rsidRPr="00A7381E" w:rsidRDefault="00971706" w:rsidP="008A6233">
      <w:pPr>
        <w:pStyle w:val="ListParagraph"/>
        <w:numPr>
          <w:ilvl w:val="0"/>
          <w:numId w:val="2"/>
        </w:numPr>
        <w:spacing w:after="0" w:line="360" w:lineRule="auto"/>
        <w:rPr>
          <w:rFonts w:asciiTheme="majorHAnsi" w:eastAsia="Times New Roman" w:hAnsiTheme="majorHAnsi"/>
          <w:sz w:val="24"/>
          <w:szCs w:val="24"/>
          <w:bdr w:val="none" w:sz="0" w:space="0" w:color="auto" w:frame="1"/>
          <w:lang w:eastAsia="en-GB"/>
        </w:rPr>
      </w:pPr>
      <w:hyperlink r:id="rId9" w:history="1">
        <w:r w:rsidR="008A6233" w:rsidRPr="00E25CFF">
          <w:rPr>
            <w:rFonts w:asciiTheme="majorHAnsi" w:eastAsia="Times New Roman" w:hAnsiTheme="majorHAnsi"/>
            <w:sz w:val="24"/>
            <w:szCs w:val="24"/>
            <w:bdr w:val="none" w:sz="0" w:space="0" w:color="auto" w:frame="1"/>
            <w:lang w:eastAsia="en-GB"/>
          </w:rPr>
          <w:t>Flokstra-de Blok</w:t>
        </w:r>
      </w:hyperlink>
      <w:r w:rsidR="008A6233" w:rsidRPr="00E25CFF">
        <w:rPr>
          <w:rFonts w:asciiTheme="majorHAnsi" w:eastAsia="Times New Roman" w:hAnsiTheme="majorHAnsi"/>
          <w:sz w:val="24"/>
          <w:szCs w:val="24"/>
          <w:lang w:eastAsia="en-GB"/>
        </w:rPr>
        <w:t xml:space="preserve">, BMJ. </w:t>
      </w:r>
      <w:r w:rsidR="008A6233" w:rsidRPr="00E25CFF">
        <w:rPr>
          <w:rFonts w:asciiTheme="majorHAnsi" w:eastAsia="Times New Roman" w:hAnsiTheme="majorHAnsi" w:cs="Times New Roman"/>
          <w:spacing w:val="5"/>
          <w:kern w:val="36"/>
          <w:sz w:val="24"/>
          <w:szCs w:val="24"/>
          <w:lang w:eastAsia="en-GB"/>
        </w:rPr>
        <w:t>Food Allergy Quality of Life Questionnaires (FAQLQ)</w:t>
      </w:r>
      <w:hyperlink r:id="rId10" w:history="1">
        <w:r w:rsidR="008A6233" w:rsidRPr="00E25CFF">
          <w:rPr>
            <w:rFonts w:asciiTheme="majorHAnsi" w:eastAsia="Times New Roman" w:hAnsiTheme="majorHAnsi"/>
            <w:sz w:val="24"/>
            <w:szCs w:val="24"/>
            <w:bdr w:val="none" w:sz="0" w:space="0" w:color="auto" w:frame="1"/>
            <w:lang w:eastAsia="en-GB"/>
          </w:rPr>
          <w:t>Encyclopedia of Quality of Life and Well-Being Research</w:t>
        </w:r>
      </w:hyperlink>
      <w:r w:rsidR="008A6233" w:rsidRPr="00E25CFF">
        <w:rPr>
          <w:rFonts w:asciiTheme="majorHAnsi" w:eastAsia="Times New Roman" w:hAnsiTheme="majorHAnsi"/>
          <w:sz w:val="24"/>
          <w:szCs w:val="24"/>
          <w:lang w:eastAsia="en-GB"/>
        </w:rPr>
        <w:t xml:space="preserve"> </w:t>
      </w:r>
      <w:r w:rsidR="008A6233" w:rsidRPr="00E25CFF">
        <w:rPr>
          <w:rFonts w:asciiTheme="majorHAnsi" w:eastAsia="Times New Roman" w:hAnsiTheme="majorHAnsi"/>
          <w:sz w:val="24"/>
          <w:szCs w:val="24"/>
          <w:bdr w:val="none" w:sz="0" w:space="0" w:color="auto" w:frame="1"/>
          <w:lang w:eastAsia="en-GB"/>
        </w:rPr>
        <w:t>2014, pp 2319-2322. Springer.</w:t>
      </w:r>
    </w:p>
    <w:p w:rsidR="008A6233" w:rsidRPr="00A7381E" w:rsidRDefault="008A6233" w:rsidP="008A6233">
      <w:pPr>
        <w:pStyle w:val="ListParagraph"/>
        <w:numPr>
          <w:ilvl w:val="0"/>
          <w:numId w:val="2"/>
        </w:numPr>
        <w:spacing w:after="0" w:line="360" w:lineRule="auto"/>
        <w:rPr>
          <w:rFonts w:asciiTheme="majorHAnsi" w:eastAsia="Times New Roman" w:hAnsiTheme="majorHAnsi"/>
          <w:sz w:val="24"/>
          <w:szCs w:val="24"/>
          <w:lang w:eastAsia="en-GB"/>
        </w:rPr>
      </w:pPr>
      <w:r w:rsidRPr="00E25CFF">
        <w:rPr>
          <w:rFonts w:asciiTheme="majorHAnsi" w:eastAsia="Times New Roman" w:hAnsiTheme="majorHAnsi"/>
          <w:sz w:val="24"/>
          <w:szCs w:val="24"/>
          <w:lang w:eastAsia="en-GB"/>
        </w:rPr>
        <w:t>van der Velde JL, </w:t>
      </w:r>
      <w:hyperlink r:id="rId11" w:history="1">
        <w:r w:rsidRPr="00E25CFF">
          <w:rPr>
            <w:rFonts w:asciiTheme="majorHAnsi" w:eastAsia="Times New Roman" w:hAnsiTheme="majorHAnsi"/>
            <w:sz w:val="24"/>
            <w:szCs w:val="24"/>
            <w:lang w:eastAsia="en-GB"/>
          </w:rPr>
          <w:t>Flokstra-de Blok BM</w:t>
        </w:r>
      </w:hyperlink>
      <w:r w:rsidRPr="00E25CFF">
        <w:rPr>
          <w:rFonts w:asciiTheme="majorHAnsi" w:eastAsia="Times New Roman" w:hAnsiTheme="majorHAnsi"/>
          <w:sz w:val="24"/>
          <w:szCs w:val="24"/>
          <w:lang w:eastAsia="en-GB"/>
        </w:rPr>
        <w:t>, </w:t>
      </w:r>
      <w:hyperlink r:id="rId12" w:history="1">
        <w:r w:rsidRPr="00E25CFF">
          <w:rPr>
            <w:rFonts w:asciiTheme="majorHAnsi" w:eastAsia="Times New Roman" w:hAnsiTheme="majorHAnsi"/>
            <w:sz w:val="24"/>
            <w:szCs w:val="24"/>
            <w:lang w:eastAsia="en-GB"/>
          </w:rPr>
          <w:t>Vlieg-Boerstra BJ</w:t>
        </w:r>
      </w:hyperlink>
      <w:r w:rsidRPr="00E25CFF">
        <w:rPr>
          <w:rFonts w:asciiTheme="majorHAnsi" w:eastAsia="Times New Roman" w:hAnsiTheme="majorHAnsi"/>
          <w:sz w:val="24"/>
          <w:szCs w:val="24"/>
          <w:lang w:eastAsia="en-GB"/>
        </w:rPr>
        <w:t>, </w:t>
      </w:r>
      <w:hyperlink r:id="rId13" w:history="1">
        <w:r w:rsidRPr="00E25CFF">
          <w:rPr>
            <w:rFonts w:asciiTheme="majorHAnsi" w:eastAsia="Times New Roman" w:hAnsiTheme="majorHAnsi"/>
            <w:sz w:val="24"/>
            <w:szCs w:val="24"/>
            <w:lang w:eastAsia="en-GB"/>
          </w:rPr>
          <w:t>Oude Elberink JN</w:t>
        </w:r>
      </w:hyperlink>
      <w:r w:rsidRPr="00E25CFF">
        <w:rPr>
          <w:rFonts w:asciiTheme="majorHAnsi" w:eastAsia="Times New Roman" w:hAnsiTheme="majorHAnsi"/>
          <w:sz w:val="24"/>
          <w:szCs w:val="24"/>
          <w:lang w:eastAsia="en-GB"/>
        </w:rPr>
        <w:t>, </w:t>
      </w:r>
      <w:hyperlink r:id="rId14" w:history="1">
        <w:r w:rsidRPr="00E25CFF">
          <w:rPr>
            <w:rFonts w:asciiTheme="majorHAnsi" w:eastAsia="Times New Roman" w:hAnsiTheme="majorHAnsi"/>
            <w:sz w:val="24"/>
            <w:szCs w:val="24"/>
            <w:lang w:eastAsia="en-GB"/>
          </w:rPr>
          <w:t>DunnGalvin A</w:t>
        </w:r>
      </w:hyperlink>
      <w:r w:rsidRPr="00E25CFF">
        <w:rPr>
          <w:rFonts w:asciiTheme="majorHAnsi" w:eastAsia="Times New Roman" w:hAnsiTheme="majorHAnsi"/>
          <w:sz w:val="24"/>
          <w:szCs w:val="24"/>
          <w:lang w:eastAsia="en-GB"/>
        </w:rPr>
        <w:t>, </w:t>
      </w:r>
      <w:hyperlink r:id="rId15" w:history="1">
        <w:r w:rsidRPr="00E25CFF">
          <w:rPr>
            <w:rFonts w:asciiTheme="majorHAnsi" w:eastAsia="Times New Roman" w:hAnsiTheme="majorHAnsi"/>
            <w:sz w:val="24"/>
            <w:szCs w:val="24"/>
            <w:lang w:eastAsia="en-GB"/>
          </w:rPr>
          <w:t>Hourihane JO</w:t>
        </w:r>
      </w:hyperlink>
      <w:r w:rsidRPr="00E25CFF">
        <w:rPr>
          <w:rFonts w:asciiTheme="majorHAnsi" w:eastAsia="Times New Roman" w:hAnsiTheme="majorHAnsi"/>
          <w:sz w:val="24"/>
          <w:szCs w:val="24"/>
          <w:lang w:eastAsia="en-GB"/>
        </w:rPr>
        <w:t>, </w:t>
      </w:r>
      <w:hyperlink r:id="rId16" w:history="1">
        <w:r w:rsidRPr="00E25CFF">
          <w:rPr>
            <w:rFonts w:asciiTheme="majorHAnsi" w:eastAsia="Times New Roman" w:hAnsiTheme="majorHAnsi"/>
            <w:sz w:val="24"/>
            <w:szCs w:val="24"/>
            <w:lang w:eastAsia="en-GB"/>
          </w:rPr>
          <w:t>Duiverman EJ</w:t>
        </w:r>
      </w:hyperlink>
      <w:r w:rsidRPr="00E25CFF">
        <w:rPr>
          <w:rFonts w:asciiTheme="majorHAnsi" w:eastAsia="Times New Roman" w:hAnsiTheme="majorHAnsi"/>
          <w:sz w:val="24"/>
          <w:szCs w:val="24"/>
          <w:lang w:eastAsia="en-GB"/>
        </w:rPr>
        <w:t>, </w:t>
      </w:r>
      <w:hyperlink r:id="rId17" w:history="1">
        <w:r w:rsidRPr="00E25CFF">
          <w:rPr>
            <w:rFonts w:asciiTheme="majorHAnsi" w:eastAsia="Times New Roman" w:hAnsiTheme="majorHAnsi"/>
            <w:sz w:val="24"/>
            <w:szCs w:val="24"/>
            <w:lang w:eastAsia="en-GB"/>
          </w:rPr>
          <w:t>Dubois AE</w:t>
        </w:r>
      </w:hyperlink>
      <w:r w:rsidRPr="00E25CFF">
        <w:rPr>
          <w:rFonts w:asciiTheme="majorHAnsi" w:eastAsia="Times New Roman" w:hAnsiTheme="majorHAnsi"/>
          <w:sz w:val="24"/>
          <w:szCs w:val="24"/>
          <w:lang w:eastAsia="en-GB"/>
        </w:rPr>
        <w:t xml:space="preserve">. </w:t>
      </w:r>
      <w:r w:rsidRPr="00E25CFF">
        <w:rPr>
          <w:rFonts w:asciiTheme="majorHAnsi" w:eastAsia="Times New Roman" w:hAnsiTheme="majorHAnsi"/>
          <w:bCs/>
          <w:kern w:val="36"/>
          <w:sz w:val="24"/>
          <w:szCs w:val="24"/>
          <w:lang w:eastAsia="en-GB"/>
        </w:rPr>
        <w:t>Development, validity and reliability of the food allergy independent measure (FAIM).</w:t>
      </w:r>
      <w:r w:rsidRPr="00E25CFF">
        <w:rPr>
          <w:rFonts w:asciiTheme="majorHAnsi" w:eastAsia="Times New Roman" w:hAnsiTheme="majorHAnsi"/>
          <w:sz w:val="24"/>
          <w:szCs w:val="24"/>
          <w:lang w:eastAsia="en-GB"/>
        </w:rPr>
        <w:t xml:space="preserve"> </w:t>
      </w:r>
      <w:hyperlink r:id="rId18" w:tooltip="Allergy." w:history="1">
        <w:r w:rsidRPr="00E25CFF">
          <w:rPr>
            <w:rFonts w:asciiTheme="majorHAnsi" w:eastAsia="Times New Roman" w:hAnsiTheme="majorHAnsi"/>
            <w:sz w:val="24"/>
            <w:szCs w:val="24"/>
            <w:lang w:eastAsia="en-GB"/>
          </w:rPr>
          <w:t>Allergy.</w:t>
        </w:r>
      </w:hyperlink>
      <w:r w:rsidRPr="00E25CFF">
        <w:rPr>
          <w:rFonts w:asciiTheme="majorHAnsi" w:eastAsia="Times New Roman" w:hAnsiTheme="majorHAnsi"/>
          <w:sz w:val="24"/>
          <w:szCs w:val="24"/>
          <w:lang w:eastAsia="en-GB"/>
        </w:rPr>
        <w:t xml:space="preserve"> 2010 May;65(5):630-5. </w:t>
      </w:r>
    </w:p>
    <w:p w:rsidR="008A6233" w:rsidRPr="00A7381E" w:rsidRDefault="008A6233" w:rsidP="008A6233">
      <w:pPr>
        <w:pStyle w:val="ListParagraph"/>
        <w:numPr>
          <w:ilvl w:val="0"/>
          <w:numId w:val="2"/>
        </w:numPr>
        <w:spacing w:after="0" w:line="360" w:lineRule="auto"/>
        <w:rPr>
          <w:rFonts w:asciiTheme="majorHAnsi" w:eastAsia="Times New Roman" w:hAnsiTheme="majorHAnsi"/>
          <w:sz w:val="24"/>
          <w:szCs w:val="24"/>
          <w:lang w:eastAsia="en-GB"/>
        </w:rPr>
      </w:pPr>
      <w:r w:rsidRPr="00E25CFF">
        <w:rPr>
          <w:rFonts w:asciiTheme="majorHAnsi" w:eastAsia="Times New Roman" w:hAnsiTheme="majorHAnsi"/>
          <w:sz w:val="24"/>
          <w:szCs w:val="24"/>
          <w:lang w:eastAsia="en-GB"/>
        </w:rPr>
        <w:t>Urbina S.  Essentials of psychological testing. 2014.  Wiley &amp; Sons, Inc.</w:t>
      </w:r>
      <w:r w:rsidRPr="002B7515">
        <w:t xml:space="preserve"> </w:t>
      </w:r>
      <w:r w:rsidRPr="00E25CFF">
        <w:rPr>
          <w:rFonts w:asciiTheme="majorHAnsi" w:eastAsia="Times New Roman" w:hAnsiTheme="majorHAnsi"/>
          <w:sz w:val="24"/>
          <w:szCs w:val="24"/>
          <w:lang w:eastAsia="en-GB"/>
        </w:rPr>
        <w:t>ISBN: 978-1-118-68048-3Streiner DL, Norman GR. Health measurement scales. A practical guide to their development and use, 2014; 4</w:t>
      </w:r>
      <w:r w:rsidRPr="00E25CFF">
        <w:rPr>
          <w:rFonts w:asciiTheme="majorHAnsi" w:eastAsia="Times New Roman" w:hAnsiTheme="majorHAnsi"/>
          <w:sz w:val="24"/>
          <w:szCs w:val="24"/>
          <w:vertAlign w:val="superscript"/>
          <w:lang w:eastAsia="en-GB"/>
        </w:rPr>
        <w:t>th</w:t>
      </w:r>
      <w:r w:rsidRPr="00E25CFF">
        <w:rPr>
          <w:rFonts w:asciiTheme="majorHAnsi" w:eastAsia="Times New Roman" w:hAnsiTheme="majorHAnsi"/>
          <w:sz w:val="24"/>
          <w:szCs w:val="24"/>
          <w:lang w:eastAsia="en-GB"/>
        </w:rPr>
        <w:t xml:space="preserve"> ed. New York : Oxford University Press.</w:t>
      </w:r>
    </w:p>
    <w:p w:rsidR="008A6233" w:rsidRPr="00A7381E" w:rsidRDefault="008A6233" w:rsidP="008A6233">
      <w:pPr>
        <w:pStyle w:val="ListParagraph"/>
        <w:numPr>
          <w:ilvl w:val="0"/>
          <w:numId w:val="2"/>
        </w:numPr>
        <w:spacing w:after="0" w:line="360" w:lineRule="auto"/>
        <w:rPr>
          <w:rFonts w:asciiTheme="majorHAnsi" w:eastAsia="Times New Roman" w:hAnsiTheme="majorHAnsi" w:cs="Times New Roman"/>
          <w:sz w:val="24"/>
          <w:szCs w:val="24"/>
        </w:rPr>
      </w:pPr>
      <w:r w:rsidRPr="00E25CFF">
        <w:rPr>
          <w:rFonts w:asciiTheme="majorHAnsi" w:hAnsiTheme="majorHAnsi" w:cs="Times-Roman"/>
          <w:sz w:val="24"/>
          <w:szCs w:val="24"/>
        </w:rPr>
        <w:t xml:space="preserve">Wegener, DT. Exploratory Factor Analysis. 2012. </w:t>
      </w:r>
      <w:r w:rsidRPr="00E25CFF">
        <w:rPr>
          <w:rFonts w:asciiTheme="majorHAnsi" w:eastAsia="Times New Roman" w:hAnsiTheme="majorHAnsi" w:cs="Times New Roman"/>
          <w:sz w:val="24"/>
          <w:szCs w:val="24"/>
        </w:rPr>
        <w:t xml:space="preserve">New York :  </w:t>
      </w:r>
      <w:r w:rsidRPr="00E25CFF">
        <w:rPr>
          <w:rFonts w:asciiTheme="majorHAnsi" w:hAnsiTheme="majorHAnsi"/>
          <w:color w:val="333333"/>
          <w:sz w:val="24"/>
          <w:szCs w:val="24"/>
        </w:rPr>
        <w:t xml:space="preserve">Oxford University Press Inc </w:t>
      </w:r>
      <w:r w:rsidRPr="00E25CFF">
        <w:rPr>
          <w:rFonts w:asciiTheme="majorHAnsi" w:eastAsia="Times New Roman" w:hAnsiTheme="majorHAnsi" w:cs="Times New Roman"/>
          <w:sz w:val="24"/>
          <w:szCs w:val="24"/>
        </w:rPr>
        <w:t>ISBN10 0199734178</w:t>
      </w:r>
    </w:p>
    <w:p w:rsidR="008A6233" w:rsidRPr="00A7381E" w:rsidRDefault="008A6233" w:rsidP="008A6233">
      <w:pPr>
        <w:pStyle w:val="line874"/>
        <w:numPr>
          <w:ilvl w:val="0"/>
          <w:numId w:val="2"/>
        </w:numPr>
        <w:spacing w:after="0" w:afterAutospacing="0" w:line="360" w:lineRule="auto"/>
        <w:rPr>
          <w:rFonts w:asciiTheme="majorHAnsi" w:hAnsiTheme="majorHAnsi"/>
        </w:rPr>
      </w:pPr>
      <w:r w:rsidRPr="006754BA">
        <w:rPr>
          <w:rFonts w:asciiTheme="majorHAnsi" w:hAnsiTheme="majorHAnsi"/>
        </w:rPr>
        <w:t>Tabachnick, BG and Fidell, LS Using multivariate statistics. 2007. Fifth Edition. Pearson Education:London.</w:t>
      </w:r>
    </w:p>
    <w:p w:rsidR="008A6233" w:rsidRPr="006754BA" w:rsidRDefault="008A6233" w:rsidP="008A6233">
      <w:pPr>
        <w:pStyle w:val="line874"/>
        <w:numPr>
          <w:ilvl w:val="0"/>
          <w:numId w:val="2"/>
        </w:numPr>
        <w:spacing w:before="0" w:beforeAutospacing="0" w:after="0" w:afterAutospacing="0" w:line="360" w:lineRule="auto"/>
        <w:rPr>
          <w:rFonts w:asciiTheme="majorHAnsi" w:hAnsiTheme="majorHAnsi"/>
        </w:rPr>
      </w:pPr>
      <w:r w:rsidRPr="002B7515">
        <w:rPr>
          <w:rFonts w:asciiTheme="majorHAnsi" w:hAnsiTheme="majorHAnsi"/>
          <w:iCs/>
          <w:color w:val="222222"/>
          <w:shd w:val="clear" w:color="auto" w:fill="FFFFFF"/>
        </w:rPr>
        <w:t>Testing and Assessment: Guide to Good Practices</w:t>
      </w:r>
      <w:r>
        <w:rPr>
          <w:rFonts w:asciiTheme="majorHAnsi" w:hAnsiTheme="majorHAnsi"/>
          <w:iCs/>
          <w:color w:val="222222"/>
          <w:shd w:val="clear" w:color="auto" w:fill="FFFFFF"/>
        </w:rPr>
        <w:t>.</w:t>
      </w:r>
      <w:r w:rsidRPr="006754BA">
        <w:rPr>
          <w:rStyle w:val="apple-converted-space"/>
          <w:rFonts w:asciiTheme="majorHAnsi" w:hAnsiTheme="majorHAnsi"/>
          <w:color w:val="222222"/>
          <w:shd w:val="clear" w:color="auto" w:fill="FFFFFF"/>
        </w:rPr>
        <w:t> </w:t>
      </w:r>
      <w:r w:rsidRPr="006754BA">
        <w:rPr>
          <w:rFonts w:asciiTheme="majorHAnsi" w:hAnsiTheme="majorHAnsi"/>
          <w:color w:val="222222"/>
          <w:shd w:val="clear" w:color="auto" w:fill="FFFFFF"/>
        </w:rPr>
        <w:t xml:space="preserve"> Skills Assessment and Analysis Program in the U.S. Department of Labor, Employment and Training Administration, Office of Policy and Research (OPR) Copyright 2015</w:t>
      </w:r>
    </w:p>
    <w:p w:rsidR="008A6233" w:rsidRPr="00541624" w:rsidRDefault="008A6233" w:rsidP="008A6233">
      <w:pPr>
        <w:pStyle w:val="line874"/>
        <w:numPr>
          <w:ilvl w:val="0"/>
          <w:numId w:val="2"/>
        </w:numPr>
        <w:spacing w:before="0" w:beforeAutospacing="0" w:after="0" w:afterAutospacing="0" w:line="360" w:lineRule="auto"/>
        <w:rPr>
          <w:rFonts w:asciiTheme="majorHAnsi" w:hAnsiTheme="majorHAnsi"/>
          <w:lang w:val="en"/>
        </w:rPr>
      </w:pPr>
      <w:r w:rsidRPr="006754BA">
        <w:rPr>
          <w:rFonts w:asciiTheme="majorHAnsi" w:hAnsiTheme="majorHAnsi"/>
          <w:lang w:val="en"/>
        </w:rPr>
        <w:t xml:space="preserve">Iles RA, Davidson M, Taylor NF, O'Halloran P: Systematic review of the ability of recovery expectations to predict outcomes in non-chronic non-specific low back pain. </w:t>
      </w:r>
      <w:r w:rsidRPr="006754BA">
        <w:rPr>
          <w:rStyle w:val="Emphasis"/>
          <w:rFonts w:asciiTheme="majorHAnsi" w:hAnsiTheme="majorHAnsi"/>
          <w:lang w:val="en"/>
        </w:rPr>
        <w:t>J Occup Rehabil</w:t>
      </w:r>
      <w:r w:rsidRPr="006754BA">
        <w:rPr>
          <w:rFonts w:asciiTheme="majorHAnsi" w:hAnsiTheme="majorHAnsi"/>
          <w:lang w:val="en"/>
        </w:rPr>
        <w:t xml:space="preserve"> 2009, 19: 25–40. 10.1007/s10926-008-9161-0</w:t>
      </w:r>
    </w:p>
    <w:p w:rsidR="008A6233" w:rsidRPr="00541624" w:rsidRDefault="008A6233" w:rsidP="008A6233">
      <w:pPr>
        <w:pStyle w:val="ListParagraph"/>
        <w:numPr>
          <w:ilvl w:val="0"/>
          <w:numId w:val="2"/>
        </w:numPr>
        <w:spacing w:after="0" w:line="360" w:lineRule="auto"/>
        <w:rPr>
          <w:rFonts w:asciiTheme="majorHAnsi" w:hAnsiTheme="majorHAnsi"/>
          <w:sz w:val="24"/>
          <w:szCs w:val="24"/>
          <w:lang w:val="en"/>
        </w:rPr>
      </w:pPr>
      <w:r w:rsidRPr="00E25CFF">
        <w:rPr>
          <w:rFonts w:asciiTheme="majorHAnsi" w:hAnsiTheme="majorHAnsi"/>
          <w:sz w:val="24"/>
          <w:szCs w:val="24"/>
          <w:lang w:val="en"/>
        </w:rPr>
        <w:t xml:space="preserve">Constantino MJ, Arnkoff DB, Glass CR, Ametrano RM, Smith JZ: Expectations. </w:t>
      </w:r>
      <w:r w:rsidRPr="00E25CFF">
        <w:rPr>
          <w:rStyle w:val="Emphasis"/>
          <w:rFonts w:asciiTheme="majorHAnsi" w:hAnsiTheme="majorHAnsi"/>
          <w:sz w:val="24"/>
          <w:szCs w:val="24"/>
          <w:lang w:val="en"/>
        </w:rPr>
        <w:t>J Clin Psychol</w:t>
      </w:r>
      <w:r w:rsidRPr="00E25CFF">
        <w:rPr>
          <w:rFonts w:asciiTheme="majorHAnsi" w:hAnsiTheme="majorHAnsi"/>
          <w:i/>
          <w:sz w:val="24"/>
          <w:szCs w:val="24"/>
          <w:lang w:val="en"/>
        </w:rPr>
        <w:t xml:space="preserve"> </w:t>
      </w:r>
      <w:r w:rsidRPr="00E25CFF">
        <w:rPr>
          <w:rFonts w:asciiTheme="majorHAnsi" w:hAnsiTheme="majorHAnsi"/>
          <w:sz w:val="24"/>
          <w:szCs w:val="24"/>
          <w:lang w:val="en"/>
        </w:rPr>
        <w:t>2011, 67: 184–192. 10.1002/jclp.20754</w:t>
      </w:r>
    </w:p>
    <w:p w:rsidR="008A6233" w:rsidRPr="00541624" w:rsidRDefault="008A6233" w:rsidP="008A6233">
      <w:pPr>
        <w:pStyle w:val="ListParagraph"/>
        <w:numPr>
          <w:ilvl w:val="0"/>
          <w:numId w:val="2"/>
        </w:numPr>
        <w:spacing w:after="0" w:line="360" w:lineRule="auto"/>
        <w:rPr>
          <w:rFonts w:asciiTheme="majorHAnsi" w:hAnsiTheme="majorHAnsi"/>
          <w:sz w:val="24"/>
          <w:szCs w:val="24"/>
          <w:lang w:val="en"/>
        </w:rPr>
      </w:pPr>
      <w:r w:rsidRPr="00E25CFF">
        <w:rPr>
          <w:rFonts w:asciiTheme="majorHAnsi" w:hAnsiTheme="majorHAnsi"/>
          <w:sz w:val="24"/>
          <w:szCs w:val="24"/>
          <w:lang w:val="en"/>
        </w:rPr>
        <w:t>Mondloch MV, Cole DC, Frank JW: Does how you do depend on how you think you’ll do? A systematic review of the evidence for a relation between patients’ recovery expectations and health outcomes. CMAJ. 2001, 165: 174-179.</w:t>
      </w:r>
    </w:p>
    <w:p w:rsidR="008A6233" w:rsidRPr="00541624" w:rsidRDefault="008A6233" w:rsidP="008A6233">
      <w:pPr>
        <w:pStyle w:val="ListParagraph"/>
        <w:numPr>
          <w:ilvl w:val="0"/>
          <w:numId w:val="2"/>
        </w:numPr>
        <w:spacing w:after="0" w:line="360" w:lineRule="auto"/>
        <w:rPr>
          <w:rFonts w:asciiTheme="majorHAnsi" w:hAnsiTheme="majorHAnsi" w:cs="Times New Roman"/>
          <w:sz w:val="24"/>
          <w:szCs w:val="24"/>
          <w:lang w:val="en-US" w:eastAsia="de-DE"/>
        </w:rPr>
      </w:pPr>
      <w:r w:rsidRPr="00E25CFF">
        <w:rPr>
          <w:rFonts w:asciiTheme="majorHAnsi" w:hAnsiTheme="majorHAnsi" w:cs="Times New Roman"/>
          <w:sz w:val="24"/>
          <w:szCs w:val="24"/>
          <w:lang w:val="en-US" w:eastAsia="de-DE"/>
        </w:rPr>
        <w:t xml:space="preserve">Barnett J, Muncer K, Leftwich J, Shepherd R, Raats MM, Gowland MH, et al. </w:t>
      </w:r>
      <w:r w:rsidRPr="00E25CFF">
        <w:rPr>
          <w:rFonts w:asciiTheme="majorHAnsi" w:hAnsiTheme="majorHAnsi" w:cs="Times New Roman"/>
          <w:sz w:val="24"/>
          <w:szCs w:val="24"/>
        </w:rPr>
        <w:t xml:space="preserve">Using 'may contain' labelling to inform food choice: a qualitative study of nut allergic consumers. </w:t>
      </w:r>
      <w:r w:rsidRPr="00E25CFF">
        <w:rPr>
          <w:rFonts w:asciiTheme="majorHAnsi" w:hAnsiTheme="majorHAnsi" w:cs="Times New Roman"/>
          <w:sz w:val="24"/>
          <w:szCs w:val="24"/>
          <w:lang w:val="en-US" w:eastAsia="de-DE"/>
        </w:rPr>
        <w:t>BMC Public Health</w:t>
      </w:r>
      <w:r w:rsidRPr="00E25CFF">
        <w:rPr>
          <w:rFonts w:asciiTheme="majorHAnsi" w:hAnsiTheme="majorHAnsi" w:cs="Times New Roman"/>
          <w:i/>
          <w:iCs/>
          <w:sz w:val="24"/>
          <w:szCs w:val="24"/>
          <w:lang w:val="en-US" w:eastAsia="de-DE"/>
        </w:rPr>
        <w:t xml:space="preserve"> </w:t>
      </w:r>
      <w:r w:rsidRPr="00E25CFF">
        <w:rPr>
          <w:rFonts w:asciiTheme="majorHAnsi" w:hAnsiTheme="majorHAnsi" w:cs="Times New Roman"/>
          <w:sz w:val="24"/>
          <w:szCs w:val="24"/>
          <w:lang w:val="en-US" w:eastAsia="de-DE"/>
        </w:rPr>
        <w:t>2011, 11:734.</w:t>
      </w:r>
    </w:p>
    <w:p w:rsidR="008A6233" w:rsidRPr="00E25CFF" w:rsidRDefault="008A6233" w:rsidP="008A6233">
      <w:pPr>
        <w:pStyle w:val="ListParagraph"/>
        <w:numPr>
          <w:ilvl w:val="0"/>
          <w:numId w:val="2"/>
        </w:numPr>
        <w:spacing w:after="0" w:line="360" w:lineRule="auto"/>
        <w:rPr>
          <w:rFonts w:asciiTheme="majorHAnsi" w:eastAsia="Times New Roman" w:hAnsiTheme="majorHAnsi" w:cs="Times New Roman"/>
          <w:sz w:val="24"/>
          <w:szCs w:val="24"/>
        </w:rPr>
      </w:pPr>
      <w:r w:rsidRPr="00E25CFF">
        <w:rPr>
          <w:rFonts w:asciiTheme="majorHAnsi" w:hAnsiTheme="majorHAnsi"/>
          <w:bCs/>
          <w:sz w:val="24"/>
          <w:szCs w:val="24"/>
        </w:rPr>
        <w:t xml:space="preserve">Food and Drug Administration (FDA). </w:t>
      </w:r>
      <w:r w:rsidRPr="00E25CFF">
        <w:rPr>
          <w:rFonts w:asciiTheme="majorHAnsi" w:hAnsiTheme="majorHAnsi" w:cs="Times New Roman"/>
          <w:bCs/>
          <w:sz w:val="24"/>
          <w:szCs w:val="24"/>
        </w:rPr>
        <w:t xml:space="preserve">Guidance for Industry Patient-Reported Outcome Measures: Use in Medical Product Development to Support Labeling Claims </w:t>
      </w:r>
      <w:r w:rsidRPr="00E25CFF">
        <w:rPr>
          <w:rFonts w:asciiTheme="majorHAnsi" w:hAnsiTheme="majorHAnsi"/>
          <w:bCs/>
          <w:sz w:val="24"/>
          <w:szCs w:val="24"/>
        </w:rPr>
        <w:t>December 2009.</w:t>
      </w:r>
    </w:p>
    <w:p w:rsidR="0010517E" w:rsidRDefault="0010517E"/>
    <w:sectPr w:rsidR="001051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DFF" w:rsidRDefault="00050C58">
      <w:pPr>
        <w:spacing w:after="0" w:line="240" w:lineRule="auto"/>
      </w:pPr>
      <w:r>
        <w:separator/>
      </w:r>
    </w:p>
  </w:endnote>
  <w:endnote w:type="continuationSeparator" w:id="0">
    <w:p w:rsidR="00D76DFF" w:rsidRDefault="00050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dvAgfaRS">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BaskervilleBookBQ-Regular">
    <w:panose1 w:val="00000000000000000000"/>
    <w:charset w:val="00"/>
    <w:family w:val="roman"/>
    <w:notTrueType/>
    <w:pitch w:val="default"/>
    <w:sig w:usb0="00000003" w:usb1="00000000" w:usb2="00000000" w:usb3="00000000" w:csb0="00000001" w:csb1="00000000"/>
  </w:font>
  <w:font w:name="TradeGothic-Bold">
    <w:panose1 w:val="00000000000000000000"/>
    <w:charset w:val="00"/>
    <w:family w:val="swiss"/>
    <w:notTrueType/>
    <w:pitch w:val="default"/>
    <w:sig w:usb0="00000003" w:usb1="00000000" w:usb2="00000000" w:usb3="00000000" w:csb0="00000001" w:csb1="00000000"/>
  </w:font>
  <w:font w:name="AdvAgfaRSI">
    <w:panose1 w:val="00000000000000000000"/>
    <w:charset w:val="00"/>
    <w:family w:val="roman"/>
    <w:notTrueType/>
    <w:pitch w:val="default"/>
    <w:sig w:usb0="00000003" w:usb1="00000000" w:usb2="00000000" w:usb3="00000000" w:csb0="00000001" w:csb1="00000000"/>
  </w:font>
  <w:font w:name="LucidaBrigEFOP-DemBol">
    <w:panose1 w:val="00000000000000000000"/>
    <w:charset w:val="00"/>
    <w:family w:val="roman"/>
    <w:notTrueType/>
    <w:pitch w:val="default"/>
    <w:sig w:usb0="00000003" w:usb1="00000000" w:usb2="00000000" w:usb3="00000000" w:csb0="00000001" w:csb1="00000000"/>
  </w:font>
  <w:font w:name="LucidaBrigEFOP-DemBolIta">
    <w:panose1 w:val="00000000000000000000"/>
    <w:charset w:val="00"/>
    <w:family w:val="roman"/>
    <w:notTrueType/>
    <w:pitch w:val="default"/>
    <w:sig w:usb0="00000003" w:usb1="00000000" w:usb2="00000000" w:usb3="00000000" w:csb0="00000001" w:csb1="00000000"/>
  </w:font>
  <w:font w:name="LucidaBrigEFOP-Roman">
    <w:panose1 w:val="00000000000000000000"/>
    <w:charset w:val="00"/>
    <w:family w:val="roman"/>
    <w:notTrueType/>
    <w:pitch w:val="default"/>
    <w:sig w:usb0="00000003" w:usb1="00000000" w:usb2="00000000" w:usb3="00000000" w:csb0="00000001" w:csb1="00000000"/>
  </w:font>
  <w:font w:name="LucidaBrigEFOP-RomanIta">
    <w:panose1 w:val="00000000000000000000"/>
    <w:charset w:val="00"/>
    <w:family w:val="roman"/>
    <w:notTrueType/>
    <w:pitch w:val="default"/>
    <w:sig w:usb0="00000003" w:usb1="00000000" w:usb2="00000000" w:usb3="00000000" w:csb0="00000001" w:csb1="00000000"/>
  </w:font>
  <w:font w:name="MyriadPro-SemiboldSemiCn">
    <w:panose1 w:val="00000000000000000000"/>
    <w:charset w:val="00"/>
    <w:family w:val="swiss"/>
    <w:notTrueType/>
    <w:pitch w:val="default"/>
    <w:sig w:usb0="00000003" w:usb1="00000000" w:usb2="00000000" w:usb3="00000000" w:csb0="00000001" w:csb1="00000000"/>
  </w:font>
  <w:font w:name="MyriadPro-SemiC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DFF" w:rsidRDefault="00050C58">
      <w:pPr>
        <w:spacing w:after="0" w:line="240" w:lineRule="auto"/>
      </w:pPr>
      <w:r>
        <w:separator/>
      </w:r>
    </w:p>
  </w:footnote>
  <w:footnote w:type="continuationSeparator" w:id="0">
    <w:p w:rsidR="00D76DFF" w:rsidRDefault="00050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808080" w:themeColor="background1" w:themeShade="80"/>
        <w:spacing w:val="60"/>
      </w:rPr>
      <w:id w:val="-1020238945"/>
      <w:docPartObj>
        <w:docPartGallery w:val="Page Numbers (Top of Page)"/>
        <w:docPartUnique/>
      </w:docPartObj>
    </w:sdtPr>
    <w:sdtEndPr>
      <w:rPr>
        <w:b/>
        <w:bCs/>
        <w:noProof/>
        <w:color w:val="auto"/>
        <w:spacing w:val="0"/>
      </w:rPr>
    </w:sdtEndPr>
    <w:sdtContent>
      <w:p w:rsidR="00E16025" w:rsidRDefault="008A6233">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971706" w:rsidRPr="00971706">
          <w:rPr>
            <w:b/>
            <w:bCs/>
            <w:noProof/>
          </w:rPr>
          <w:t>1</w:t>
        </w:r>
        <w:r>
          <w:rPr>
            <w:b/>
            <w:bCs/>
            <w:noProof/>
          </w:rPr>
          <w:fldChar w:fldCharType="end"/>
        </w:r>
      </w:p>
    </w:sdtContent>
  </w:sdt>
  <w:p w:rsidR="00E16025" w:rsidRDefault="009717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D40752"/>
    <w:multiLevelType w:val="hybridMultilevel"/>
    <w:tmpl w:val="2C96B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5DE12AC"/>
    <w:multiLevelType w:val="hybridMultilevel"/>
    <w:tmpl w:val="0D2CC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233"/>
    <w:rsid w:val="0002222C"/>
    <w:rsid w:val="00025EFB"/>
    <w:rsid w:val="00050C58"/>
    <w:rsid w:val="000B52E2"/>
    <w:rsid w:val="0010517E"/>
    <w:rsid w:val="00275CBE"/>
    <w:rsid w:val="003B29E1"/>
    <w:rsid w:val="007C41D9"/>
    <w:rsid w:val="008A6233"/>
    <w:rsid w:val="0093444C"/>
    <w:rsid w:val="00971706"/>
    <w:rsid w:val="00AC745F"/>
    <w:rsid w:val="00B07C6B"/>
    <w:rsid w:val="00D76DFF"/>
    <w:rsid w:val="00F86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A226B2-7CA9-4D1D-9812-973EDAE4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23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233"/>
    <w:pPr>
      <w:spacing w:after="200" w:line="276" w:lineRule="auto"/>
      <w:ind w:left="720"/>
      <w:contextualSpacing/>
    </w:pPr>
    <w:rPr>
      <w:rFonts w:ascii="Calibri" w:eastAsia="Calibri" w:hAnsi="Calibri" w:cs="Arial"/>
    </w:rPr>
  </w:style>
  <w:style w:type="paragraph" w:customStyle="1" w:styleId="line874">
    <w:name w:val="line874"/>
    <w:basedOn w:val="Normal"/>
    <w:rsid w:val="008A62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uiPriority w:val="20"/>
    <w:qFormat/>
    <w:rsid w:val="008A6233"/>
    <w:rPr>
      <w:i/>
      <w:iCs/>
    </w:rPr>
  </w:style>
  <w:style w:type="character" w:customStyle="1" w:styleId="apple-converted-space">
    <w:name w:val="apple-converted-space"/>
    <w:basedOn w:val="DefaultParagraphFont"/>
    <w:rsid w:val="008A6233"/>
  </w:style>
  <w:style w:type="paragraph" w:styleId="Header">
    <w:name w:val="header"/>
    <w:basedOn w:val="Normal"/>
    <w:link w:val="HeaderChar"/>
    <w:uiPriority w:val="99"/>
    <w:unhideWhenUsed/>
    <w:rsid w:val="008A62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233"/>
  </w:style>
  <w:style w:type="character" w:styleId="LineNumber">
    <w:name w:val="line number"/>
    <w:basedOn w:val="DefaultParagraphFont"/>
    <w:uiPriority w:val="99"/>
    <w:semiHidden/>
    <w:unhideWhenUsed/>
    <w:rsid w:val="00F86047"/>
  </w:style>
  <w:style w:type="paragraph" w:styleId="PlainText">
    <w:name w:val="Plain Text"/>
    <w:basedOn w:val="Normal"/>
    <w:link w:val="PlainTextChar"/>
    <w:uiPriority w:val="99"/>
    <w:unhideWhenUsed/>
    <w:rsid w:val="00F86047"/>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F86047"/>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entrez/query.fcgi?cmd=Retrieve&amp;db=PubMed&amp;dopt=Abstract&amp;list_uids=18431058" TargetMode="External"/><Relationship Id="rId13" Type="http://schemas.openxmlformats.org/officeDocument/2006/relationships/hyperlink" Target="http://www.ncbi.nlm.nih.gov/pubmed/?term=Oude%20Elberink%20JN%5BAuthor%5D&amp;cauthor=true&amp;cauthor_uid=19845570" TargetMode="External"/><Relationship Id="rId18" Type="http://schemas.openxmlformats.org/officeDocument/2006/relationships/hyperlink" Target="http://www.ncbi.nlm.nih.gov/pubmed/19845570"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ncbi.nlm.nih.gov/pubmed/?term=Vlieg-Boerstra%20BJ%5BAuthor%5D&amp;cauthor=true&amp;cauthor_uid=19845570" TargetMode="External"/><Relationship Id="rId17" Type="http://schemas.openxmlformats.org/officeDocument/2006/relationships/hyperlink" Target="http://www.ncbi.nlm.nih.gov/pubmed/?term=Dubois%20AE%5BAuthor%5D&amp;cauthor=true&amp;cauthor_uid=19845570" TargetMode="External"/><Relationship Id="rId2" Type="http://schemas.openxmlformats.org/officeDocument/2006/relationships/styles" Target="styles.xml"/><Relationship Id="rId16" Type="http://schemas.openxmlformats.org/officeDocument/2006/relationships/hyperlink" Target="http://www.ncbi.nlm.nih.gov/pubmed/?term=Duiverman%20EJ%5BAuthor%5D&amp;cauthor=true&amp;cauthor_uid=1984557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Flokstra-de%20Blok%20BM%5BAuthor%5D&amp;cauthor=true&amp;cauthor_uid=19845570" TargetMode="External"/><Relationship Id="rId5" Type="http://schemas.openxmlformats.org/officeDocument/2006/relationships/footnotes" Target="footnotes.xml"/><Relationship Id="rId15" Type="http://schemas.openxmlformats.org/officeDocument/2006/relationships/hyperlink" Target="http://www.ncbi.nlm.nih.gov/pubmed/?term=Hourihane%20JO%5BAuthor%5D&amp;cauthor=true&amp;cauthor_uid=19845570" TargetMode="External"/><Relationship Id="rId10" Type="http://schemas.openxmlformats.org/officeDocument/2006/relationships/hyperlink" Target="http://link.springer.com/book/10.1007/978-94-007-0753-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ink.springer.com/search?facet-creator=%22Bertine+M.+J.+Flokstra-de+Blok%22" TargetMode="External"/><Relationship Id="rId14" Type="http://schemas.openxmlformats.org/officeDocument/2006/relationships/hyperlink" Target="http://www.ncbi.nlm.nih.gov/pubmed/?term=DunnGalvin%20A%5BAuthor%5D&amp;cauthor=true&amp;cauthor_uid=198455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4596</Words>
  <Characters>26202</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30737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Dunn Galvin</dc:creator>
  <cp:lastModifiedBy>Lapage K.P.</cp:lastModifiedBy>
  <cp:revision>2</cp:revision>
  <dcterms:created xsi:type="dcterms:W3CDTF">2017-11-30T16:37:00Z</dcterms:created>
  <dcterms:modified xsi:type="dcterms:W3CDTF">2017-11-30T16:37:00Z</dcterms:modified>
</cp:coreProperties>
</file>