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EA889" w14:textId="4903B099" w:rsidR="00667319" w:rsidRPr="002B4DA4" w:rsidRDefault="00937ACB" w:rsidP="00667319">
      <w:pPr>
        <w:spacing w:line="480" w:lineRule="auto"/>
        <w:rPr>
          <w:b/>
        </w:rPr>
      </w:pPr>
      <w:bookmarkStart w:id="0" w:name="_GoBack"/>
      <w:bookmarkEnd w:id="0"/>
      <w:r>
        <w:rPr>
          <w:b/>
        </w:rPr>
        <w:t xml:space="preserve">Paediatric inflammatory bowel disease- </w:t>
      </w:r>
      <w:r w:rsidR="00350EE6">
        <w:rPr>
          <w:b/>
        </w:rPr>
        <w:t xml:space="preserve">improving early </w:t>
      </w:r>
      <w:r>
        <w:rPr>
          <w:b/>
        </w:rPr>
        <w:t xml:space="preserve">diagnosis </w:t>
      </w:r>
    </w:p>
    <w:p w14:paraId="326456F4" w14:textId="77777777" w:rsidR="00667319" w:rsidRDefault="00667319" w:rsidP="00667319">
      <w:pPr>
        <w:spacing w:line="480" w:lineRule="auto"/>
        <w:rPr>
          <w:i/>
        </w:rPr>
      </w:pPr>
      <w:r>
        <w:rPr>
          <w:i/>
        </w:rPr>
        <w:t>Editorial</w:t>
      </w:r>
      <w:r w:rsidR="00BF1EDF">
        <w:rPr>
          <w:i/>
        </w:rPr>
        <w:t xml:space="preserve"> on</w:t>
      </w:r>
      <w:r w:rsidRPr="002B4DA4">
        <w:rPr>
          <w:i/>
        </w:rPr>
        <w:t xml:space="preserve">: </w:t>
      </w:r>
      <w:r w:rsidRPr="00667319">
        <w:rPr>
          <w:i/>
        </w:rPr>
        <w:t>Diagnostic delay in Canadian children with inflammatory bowel disease is more common in</w:t>
      </w:r>
      <w:r>
        <w:rPr>
          <w:i/>
        </w:rPr>
        <w:t xml:space="preserve"> </w:t>
      </w:r>
      <w:r w:rsidRPr="00667319">
        <w:rPr>
          <w:i/>
        </w:rPr>
        <w:t>Crohn’s disease and associated with decreased height</w:t>
      </w:r>
    </w:p>
    <w:p w14:paraId="4E68978C" w14:textId="77777777" w:rsidR="00667319" w:rsidRPr="002B4DA4" w:rsidRDefault="00667319" w:rsidP="00667319">
      <w:pPr>
        <w:spacing w:line="480" w:lineRule="auto"/>
        <w:rPr>
          <w:vertAlign w:val="superscript"/>
        </w:rPr>
      </w:pPr>
      <w:r w:rsidRPr="002B4DA4">
        <w:t>James J Ashton</w:t>
      </w:r>
      <w:r w:rsidRPr="002B4DA4">
        <w:rPr>
          <w:vertAlign w:val="superscript"/>
        </w:rPr>
        <w:t>1</w:t>
      </w:r>
      <w:proofErr w:type="gramStart"/>
      <w:r w:rsidRPr="002B4DA4">
        <w:rPr>
          <w:vertAlign w:val="superscript"/>
        </w:rPr>
        <w:t>,2</w:t>
      </w:r>
      <w:proofErr w:type="gramEnd"/>
      <w:r w:rsidRPr="002B4DA4">
        <w:t xml:space="preserve">, </w:t>
      </w:r>
      <w:r>
        <w:t>Anthony Harnden</w:t>
      </w:r>
      <w:r>
        <w:rPr>
          <w:vertAlign w:val="superscript"/>
        </w:rPr>
        <w:t>3</w:t>
      </w:r>
      <w:r>
        <w:t xml:space="preserve">, </w:t>
      </w:r>
      <w:r w:rsidRPr="002B4DA4">
        <w:t>R Mark Beattie</w:t>
      </w:r>
      <w:r w:rsidRPr="002B4DA4">
        <w:rPr>
          <w:vertAlign w:val="superscript"/>
        </w:rPr>
        <w:t>1</w:t>
      </w:r>
    </w:p>
    <w:p w14:paraId="1D8AA596" w14:textId="77777777" w:rsidR="00667319" w:rsidRPr="002B4DA4" w:rsidRDefault="00667319" w:rsidP="00667319">
      <w:pPr>
        <w:pStyle w:val="ListParagraph"/>
        <w:numPr>
          <w:ilvl w:val="0"/>
          <w:numId w:val="1"/>
        </w:numPr>
        <w:spacing w:line="480" w:lineRule="auto"/>
      </w:pPr>
      <w:r w:rsidRPr="002B4DA4">
        <w:t>Department of Paediatric Gastroenterology, Southampton Children’s Hospital, Southampton, UK</w:t>
      </w:r>
    </w:p>
    <w:p w14:paraId="6AFF2928" w14:textId="77777777" w:rsidR="00667319" w:rsidRDefault="00667319" w:rsidP="00257F9D">
      <w:pPr>
        <w:pStyle w:val="ListParagraph"/>
        <w:numPr>
          <w:ilvl w:val="0"/>
          <w:numId w:val="1"/>
        </w:numPr>
        <w:spacing w:line="480" w:lineRule="auto"/>
      </w:pPr>
      <w:r w:rsidRPr="002B4DA4">
        <w:t>Department of Human Genetics and Genomics, University of Southampton, Southampton, UK</w:t>
      </w:r>
    </w:p>
    <w:p w14:paraId="59DAD02D" w14:textId="77777777" w:rsidR="00667319" w:rsidRDefault="00667319" w:rsidP="00257F9D">
      <w:pPr>
        <w:pStyle w:val="ListParagraph"/>
        <w:numPr>
          <w:ilvl w:val="0"/>
          <w:numId w:val="1"/>
        </w:numPr>
        <w:spacing w:line="480" w:lineRule="auto"/>
      </w:pPr>
      <w:r w:rsidRPr="00667319">
        <w:t xml:space="preserve">Nuffield Department of Primary Care Health Sciences, University of Oxford, Oxford </w:t>
      </w:r>
    </w:p>
    <w:p w14:paraId="3A7136E0" w14:textId="77777777" w:rsidR="00667319" w:rsidRPr="002B4DA4" w:rsidRDefault="00667319" w:rsidP="00667319">
      <w:pPr>
        <w:spacing w:line="480" w:lineRule="auto"/>
      </w:pPr>
      <w:r w:rsidRPr="002B4DA4">
        <w:t>Correspondence to-</w:t>
      </w:r>
    </w:p>
    <w:p w14:paraId="2452F1C3" w14:textId="77777777" w:rsidR="00667319" w:rsidRPr="002B4DA4" w:rsidRDefault="00667319" w:rsidP="00667319">
      <w:pPr>
        <w:spacing w:line="480" w:lineRule="auto"/>
      </w:pPr>
      <w:r w:rsidRPr="002B4DA4">
        <w:t xml:space="preserve">Professor R Mark Beattie </w:t>
      </w:r>
    </w:p>
    <w:p w14:paraId="1D119D22" w14:textId="77777777" w:rsidR="00667319" w:rsidRPr="002B4DA4" w:rsidRDefault="00667319" w:rsidP="00667319">
      <w:pPr>
        <w:spacing w:line="480" w:lineRule="auto"/>
      </w:pPr>
      <w:r w:rsidRPr="002B4DA4">
        <w:t xml:space="preserve">Department of Paediatric Gastroenterology, </w:t>
      </w:r>
    </w:p>
    <w:p w14:paraId="47C5EC48" w14:textId="77777777" w:rsidR="00667319" w:rsidRPr="002B4DA4" w:rsidRDefault="00667319" w:rsidP="00667319">
      <w:pPr>
        <w:spacing w:line="480" w:lineRule="auto"/>
      </w:pPr>
      <w:r w:rsidRPr="002B4DA4">
        <w:t xml:space="preserve">Southampton Children’s Hospital, </w:t>
      </w:r>
    </w:p>
    <w:p w14:paraId="0F065236" w14:textId="77777777" w:rsidR="00667319" w:rsidRPr="002B4DA4" w:rsidRDefault="00667319" w:rsidP="00667319">
      <w:pPr>
        <w:spacing w:line="480" w:lineRule="auto"/>
      </w:pPr>
      <w:r w:rsidRPr="002B4DA4">
        <w:lastRenderedPageBreak/>
        <w:t>University Hospitals Southampton</w:t>
      </w:r>
    </w:p>
    <w:p w14:paraId="008CA31C" w14:textId="77777777" w:rsidR="00667319" w:rsidRPr="002B4DA4" w:rsidRDefault="00667319" w:rsidP="00667319">
      <w:pPr>
        <w:spacing w:line="480" w:lineRule="auto"/>
      </w:pPr>
      <w:proofErr w:type="spellStart"/>
      <w:r w:rsidRPr="002B4DA4">
        <w:t>Tremona</w:t>
      </w:r>
      <w:proofErr w:type="spellEnd"/>
      <w:r w:rsidRPr="002B4DA4">
        <w:t xml:space="preserve"> Road</w:t>
      </w:r>
    </w:p>
    <w:p w14:paraId="2E5A1335" w14:textId="77777777" w:rsidR="00667319" w:rsidRPr="002B4DA4" w:rsidRDefault="00667319" w:rsidP="00667319">
      <w:pPr>
        <w:spacing w:line="480" w:lineRule="auto"/>
      </w:pPr>
      <w:r w:rsidRPr="002B4DA4">
        <w:t>Southampton</w:t>
      </w:r>
    </w:p>
    <w:p w14:paraId="509FAE46" w14:textId="77777777" w:rsidR="00667319" w:rsidRPr="002B4DA4" w:rsidRDefault="00667319" w:rsidP="00667319">
      <w:pPr>
        <w:spacing w:line="480" w:lineRule="auto"/>
      </w:pPr>
      <w:r w:rsidRPr="002B4DA4">
        <w:t>SO16 6YD</w:t>
      </w:r>
    </w:p>
    <w:p w14:paraId="18ED867E" w14:textId="77777777" w:rsidR="00667319" w:rsidRPr="002B4DA4" w:rsidRDefault="00667319" w:rsidP="00667319">
      <w:pPr>
        <w:spacing w:line="480" w:lineRule="auto"/>
      </w:pPr>
      <w:r w:rsidRPr="002B4DA4">
        <w:t>UK</w:t>
      </w:r>
    </w:p>
    <w:p w14:paraId="6B4D3D7A" w14:textId="77777777" w:rsidR="00667319" w:rsidRPr="002B4DA4" w:rsidRDefault="00667319" w:rsidP="00667319">
      <w:pPr>
        <w:spacing w:line="480" w:lineRule="auto"/>
      </w:pPr>
      <w:r w:rsidRPr="002B4DA4">
        <w:t xml:space="preserve">Mark.beattie@uhs.nhs.uk </w:t>
      </w:r>
    </w:p>
    <w:p w14:paraId="0D3C69E2" w14:textId="77777777" w:rsidR="00667319" w:rsidRDefault="00667319" w:rsidP="00667319">
      <w:pPr>
        <w:spacing w:line="480" w:lineRule="auto"/>
      </w:pPr>
      <w:r w:rsidRPr="002B4DA4">
        <w:t>The authors declared no conflicts of interest</w:t>
      </w:r>
    </w:p>
    <w:p w14:paraId="61B6C09E" w14:textId="6F0CB992" w:rsidR="00667319" w:rsidRPr="00A67E57" w:rsidRDefault="00A67E57" w:rsidP="00667319">
      <w:pPr>
        <w:spacing w:line="480" w:lineRule="auto"/>
        <w:rPr>
          <w:b/>
        </w:rPr>
      </w:pPr>
      <w:r w:rsidRPr="00A67E57">
        <w:rPr>
          <w:b/>
        </w:rPr>
        <w:t xml:space="preserve">Word count </w:t>
      </w:r>
      <w:r w:rsidR="00D23469">
        <w:rPr>
          <w:b/>
        </w:rPr>
        <w:t>11</w:t>
      </w:r>
      <w:r w:rsidR="00822F45">
        <w:rPr>
          <w:b/>
        </w:rPr>
        <w:t>66</w:t>
      </w:r>
    </w:p>
    <w:p w14:paraId="3B084C1C" w14:textId="5AB10631" w:rsidR="00D83881" w:rsidRDefault="00350EE6" w:rsidP="00667319">
      <w:pPr>
        <w:spacing w:line="480" w:lineRule="auto"/>
      </w:pPr>
      <w:r>
        <w:t xml:space="preserve">For many conditions delayed diagnosis results in </w:t>
      </w:r>
      <w:r w:rsidR="0001050D">
        <w:t>worse outcomes, increased mortality and amplified disease burden</w:t>
      </w:r>
      <w:r>
        <w:t>.</w:t>
      </w:r>
      <w:r w:rsidR="0001050D">
        <w:t xml:space="preserve"> In </w:t>
      </w:r>
      <w:r>
        <w:t>children</w:t>
      </w:r>
      <w:r w:rsidR="00390711">
        <w:t xml:space="preserve"> </w:t>
      </w:r>
      <w:r w:rsidR="0001050D">
        <w:t xml:space="preserve">an emphasis on rapid, accurate diagnosis in leukaemia, lymphoma and solid tumours </w:t>
      </w:r>
      <w:r>
        <w:t xml:space="preserve">has been associated with an </w:t>
      </w:r>
      <w:r w:rsidR="0001050D">
        <w:t xml:space="preserve">increasing survival </w:t>
      </w:r>
      <w:r>
        <w:t xml:space="preserve">rate </w:t>
      </w:r>
      <w:r w:rsidR="0001050D">
        <w:t xml:space="preserve">and reduced morbidity over the last 25 years. </w:t>
      </w:r>
      <w:r>
        <w:t>The challenge is to extend early diagnosis to chronic conditions in children where early intervention will improve long term outcomes.</w:t>
      </w:r>
      <w:r w:rsidR="00390711">
        <w:t xml:space="preserve"> </w:t>
      </w:r>
      <w:r w:rsidR="00230BDB">
        <w:t xml:space="preserve">Similarly </w:t>
      </w:r>
      <w:r w:rsidR="00856196">
        <w:t>in</w:t>
      </w:r>
      <w:r w:rsidR="00230BDB">
        <w:t xml:space="preserve"> </w:t>
      </w:r>
      <w:r w:rsidR="008E1DDF">
        <w:t>adult patients</w:t>
      </w:r>
      <w:r w:rsidR="00390711">
        <w:t xml:space="preserve">, </w:t>
      </w:r>
      <w:r w:rsidR="0001050D">
        <w:t xml:space="preserve">rapid access </w:t>
      </w:r>
      <w:r w:rsidR="00390711">
        <w:lastRenderedPageBreak/>
        <w:t>clinics for specific conditions a</w:t>
      </w:r>
      <w:r w:rsidR="00D83881">
        <w:t>re</w:t>
      </w:r>
      <w:r w:rsidR="0001050D">
        <w:t xml:space="preserve"> now routine, enabling quick referral to the specialist care service to make the precise diagnosis and start the correct treatment. </w:t>
      </w:r>
    </w:p>
    <w:p w14:paraId="485C986D" w14:textId="280112A1" w:rsidR="00FD6130" w:rsidRDefault="0001050D" w:rsidP="008B2C41">
      <w:pPr>
        <w:spacing w:line="480" w:lineRule="auto"/>
      </w:pPr>
      <w:r>
        <w:t xml:space="preserve">In their paper </w:t>
      </w:r>
      <w:proofErr w:type="spellStart"/>
      <w:r w:rsidRPr="0001050D">
        <w:rPr>
          <w:i/>
        </w:rPr>
        <w:t>Riccuito</w:t>
      </w:r>
      <w:proofErr w:type="spellEnd"/>
      <w:r w:rsidRPr="0001050D">
        <w:rPr>
          <w:i/>
        </w:rPr>
        <w:t xml:space="preserve"> et al</w:t>
      </w:r>
      <w:r>
        <w:t xml:space="preserve"> </w:t>
      </w:r>
      <w:r w:rsidR="00D83881">
        <w:t>report</w:t>
      </w:r>
      <w:r>
        <w:t xml:space="preserve"> diagnostic delay</w:t>
      </w:r>
      <w:r w:rsidR="0003563D">
        <w:t xml:space="preserve"> and subsequent impact on outcome</w:t>
      </w:r>
      <w:r>
        <w:t xml:space="preserve"> in </w:t>
      </w:r>
      <w:r w:rsidR="0003563D">
        <w:t>Canadian children with inflammatory bowel disease</w:t>
      </w:r>
      <w:r w:rsidR="009A4E29">
        <w:t xml:space="preserve"> (IBD)</w:t>
      </w:r>
      <w:r w:rsidR="00350E7C">
        <w:fldChar w:fldCharType="begin" w:fldLock="1"/>
      </w:r>
      <w:r w:rsidR="00B10F18">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"[1]", "plainTextFormattedCitation" : "[1]", "previouslyFormattedCitation" : "[1]" }, "properties" : { "noteIndex" : 2 }, "schema" : "https://github.com/citation-style-language/schema/raw/master/csl-citation.json" }</w:instrText>
      </w:r>
      <w:r w:rsidR="00350E7C">
        <w:fldChar w:fldCharType="separate"/>
      </w:r>
      <w:r w:rsidR="00B10F18" w:rsidRPr="00B10F18">
        <w:rPr>
          <w:noProof/>
        </w:rPr>
        <w:t>[1]</w:t>
      </w:r>
      <w:r w:rsidR="00350E7C">
        <w:fldChar w:fldCharType="end"/>
      </w:r>
      <w:r w:rsidR="0003563D">
        <w:t xml:space="preserve">. </w:t>
      </w:r>
    </w:p>
    <w:p w14:paraId="235067AA" w14:textId="0D1F3380" w:rsidR="007A590B" w:rsidRDefault="008E1DDF" w:rsidP="008B2C41">
      <w:pPr>
        <w:spacing w:line="480" w:lineRule="auto"/>
      </w:pPr>
      <w:r>
        <w:t>IBD</w:t>
      </w:r>
      <w:r w:rsidR="009A4E29">
        <w:t xml:space="preserve">, consisting of Crohn’s disease, ulcerative colitis and IBD unclassified, is a chronic, heterogeneous, relapsing and remitting condition primarily </w:t>
      </w:r>
      <w:r w:rsidR="00FD6130">
        <w:t xml:space="preserve">as a consequence </w:t>
      </w:r>
      <w:r w:rsidR="004B49A5">
        <w:t>of inflammation</w:t>
      </w:r>
      <w:r w:rsidR="009A4E29">
        <w:t xml:space="preserve"> within the bowel</w:t>
      </w:r>
      <w:r w:rsidR="00FD6130">
        <w:t xml:space="preserve"> lumen</w:t>
      </w:r>
      <w:r w:rsidR="009A4E29">
        <w:t xml:space="preserve">. The early and effective treatment is </w:t>
      </w:r>
      <w:r w:rsidR="00D83881">
        <w:t xml:space="preserve">crucial </w:t>
      </w:r>
      <w:r w:rsidR="009A4E29">
        <w:t xml:space="preserve">to </w:t>
      </w:r>
      <w:r w:rsidR="00D83881">
        <w:t xml:space="preserve">control </w:t>
      </w:r>
      <w:r w:rsidR="00937ACB">
        <w:t>symptoms,</w:t>
      </w:r>
      <w:r w:rsidR="009A4E29">
        <w:t xml:space="preserve"> </w:t>
      </w:r>
      <w:r w:rsidR="00937ACB">
        <w:t>minimise impact</w:t>
      </w:r>
      <w:r w:rsidR="009A4E29">
        <w:t xml:space="preserve"> on </w:t>
      </w:r>
      <w:r w:rsidR="00D83881">
        <w:t xml:space="preserve">nutrition and </w:t>
      </w:r>
      <w:r w:rsidR="009A4E29">
        <w:t xml:space="preserve">growth and </w:t>
      </w:r>
      <w:r w:rsidR="00D83881">
        <w:t xml:space="preserve">enable </w:t>
      </w:r>
      <w:r w:rsidR="009A4E29">
        <w:t xml:space="preserve">the child to </w:t>
      </w:r>
      <w:r w:rsidR="00D83881">
        <w:t>fu</w:t>
      </w:r>
      <w:r w:rsidR="00937ACB">
        <w:t>n</w:t>
      </w:r>
      <w:r w:rsidR="00D83881">
        <w:t xml:space="preserve">ction well </w:t>
      </w:r>
      <w:r w:rsidR="00937ACB">
        <w:t xml:space="preserve">(e.g. </w:t>
      </w:r>
      <w:r w:rsidR="009A4E29">
        <w:t>attend school</w:t>
      </w:r>
      <w:r w:rsidR="00937ACB">
        <w:t>)</w:t>
      </w:r>
      <w:r w:rsidR="009A4E29">
        <w:t xml:space="preserve">. </w:t>
      </w:r>
      <w:r w:rsidR="00982099">
        <w:t xml:space="preserve">Over the last 20 years there has been a steady increase in the incidence of </w:t>
      </w:r>
      <w:r w:rsidR="00856196">
        <w:t>P</w:t>
      </w:r>
      <w:r w:rsidR="00982099">
        <w:t xml:space="preserve">IBD, with a consequent increase in </w:t>
      </w:r>
      <w:r w:rsidR="007A590B">
        <w:t>children</w:t>
      </w:r>
      <w:r w:rsidR="00982099">
        <w:t xml:space="preserve"> presenting to prima</w:t>
      </w:r>
      <w:r w:rsidR="002D2081">
        <w:t>ry, secondary and tertiary care</w:t>
      </w:r>
      <w:r w:rsidR="00B10F18">
        <w:t xml:space="preserve"> </w:t>
      </w:r>
      <w:r w:rsidR="00B10F18">
        <w:fldChar w:fldCharType="begin" w:fldLock="1"/>
      </w:r>
      <w:r w:rsidR="00B10F18">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"mendeley" : { "formattedCitation" : "[2]", "plainTextFormattedCitation" : "[2]", "previouslyFormattedCitation" : "[2]" }, "properties" : { "noteIndex" : 2 }, "schema" : "https://github.com/citation-style-language/schema/raw/master/csl-citation.json" }</w:instrText>
      </w:r>
      <w:r w:rsidR="00B10F18">
        <w:fldChar w:fldCharType="separate"/>
      </w:r>
      <w:r w:rsidR="00B10F18" w:rsidRPr="00B10F18">
        <w:rPr>
          <w:noProof/>
        </w:rPr>
        <w:t>[2]</w:t>
      </w:r>
      <w:r w:rsidR="00B10F18">
        <w:fldChar w:fldCharType="end"/>
      </w:r>
      <w:r w:rsidR="00982099">
        <w:t xml:space="preserve">. </w:t>
      </w:r>
      <w:r w:rsidR="009227D9">
        <w:t>P</w:t>
      </w:r>
      <w:r w:rsidR="00937ACB">
        <w:t>aediatric gastroenterolog</w:t>
      </w:r>
      <w:r w:rsidR="009227D9">
        <w:t>ists</w:t>
      </w:r>
      <w:r w:rsidR="00937ACB">
        <w:t xml:space="preserve"> </w:t>
      </w:r>
      <w:r w:rsidR="009227D9">
        <w:t xml:space="preserve">have been </w:t>
      </w:r>
      <w:r w:rsidR="00AA2B10">
        <w:t>concern</w:t>
      </w:r>
      <w:r w:rsidR="009227D9">
        <w:t>ed</w:t>
      </w:r>
      <w:r w:rsidR="00937ACB">
        <w:t xml:space="preserve"> for over 25 years</w:t>
      </w:r>
      <w:r w:rsidR="00AA2B10">
        <w:t xml:space="preserve"> that </w:t>
      </w:r>
      <w:r w:rsidR="00937ACB">
        <w:t>diagnostic delay is common</w:t>
      </w:r>
      <w:r w:rsidR="00390711">
        <w:t>.</w:t>
      </w:r>
      <w:r w:rsidR="00982099">
        <w:t xml:space="preserve"> </w:t>
      </w:r>
      <w:r w:rsidR="00AA2B10">
        <w:t xml:space="preserve">This delay is </w:t>
      </w:r>
      <w:r w:rsidR="00982099">
        <w:t xml:space="preserve">clearly </w:t>
      </w:r>
      <w:r w:rsidR="00982099">
        <w:lastRenderedPageBreak/>
        <w:t xml:space="preserve">multifactorial </w:t>
      </w:r>
      <w:r w:rsidR="00AA2B10">
        <w:t xml:space="preserve">and to </w:t>
      </w:r>
      <w:r w:rsidR="009C4C67">
        <w:t xml:space="preserve">determine how best to </w:t>
      </w:r>
      <w:r w:rsidR="009227D9">
        <w:t xml:space="preserve">effect change would </w:t>
      </w:r>
      <w:r w:rsidR="00AA2B10">
        <w:t xml:space="preserve">require </w:t>
      </w:r>
      <w:r w:rsidR="009C4C67">
        <w:t xml:space="preserve">an </w:t>
      </w:r>
      <w:r w:rsidR="00AA2B10">
        <w:t xml:space="preserve">analysis of all aspects of the patient pathway. </w:t>
      </w:r>
    </w:p>
    <w:p w14:paraId="5EA5A4F8" w14:textId="2654C4D1" w:rsidR="008B2C41" w:rsidRDefault="00230BDB" w:rsidP="008B2C41">
      <w:pPr>
        <w:spacing w:line="480" w:lineRule="auto"/>
      </w:pPr>
      <w:proofErr w:type="spellStart"/>
      <w:r w:rsidRPr="00230BDB">
        <w:rPr>
          <w:i/>
        </w:rPr>
        <w:t>Riccuito</w:t>
      </w:r>
      <w:proofErr w:type="spellEnd"/>
      <w:r w:rsidRPr="00230BDB">
        <w:rPr>
          <w:i/>
        </w:rPr>
        <w:t xml:space="preserve"> et al</w:t>
      </w:r>
      <w:r>
        <w:t xml:space="preserve"> gathered data on 111 patients over a 2 year period</w:t>
      </w:r>
      <w:r w:rsidR="00AA2B10">
        <w:t>. T</w:t>
      </w:r>
      <w:r>
        <w:t>he median time from symptom onset to diagnosis was 4.5 months</w:t>
      </w:r>
      <w:r w:rsidR="008B2C41">
        <w:t xml:space="preserve"> </w:t>
      </w:r>
      <w:r w:rsidR="00937ACB">
        <w:t>(IQR 2.1-8.8) for IBD</w:t>
      </w:r>
      <w:r w:rsidR="00AA2B10">
        <w:t xml:space="preserve">; 6.8 months </w:t>
      </w:r>
      <w:r w:rsidR="00937ACB">
        <w:t xml:space="preserve">(IQR 2.9-12.5) </w:t>
      </w:r>
      <w:r w:rsidR="00AA2B10">
        <w:t xml:space="preserve">for </w:t>
      </w:r>
      <w:r>
        <w:t>Crohn’s disease</w:t>
      </w:r>
      <w:r w:rsidR="00350E7C">
        <w:fldChar w:fldCharType="begin" w:fldLock="1"/>
      </w:r>
      <w:r w:rsidR="00B10F18">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"[1]", "plainTextFormattedCitation" : "[1]", "previouslyFormattedCitation" : "[1]" }, "properties" : { "noteIndex" : 2 }, "schema" : "https://github.com/citation-style-language/schema/raw/master/csl-citation.json" }</w:instrText>
      </w:r>
      <w:r w:rsidR="00350E7C">
        <w:fldChar w:fldCharType="separate"/>
      </w:r>
      <w:r w:rsidR="00B10F18" w:rsidRPr="00B10F18">
        <w:rPr>
          <w:noProof/>
        </w:rPr>
        <w:t>[1]</w:t>
      </w:r>
      <w:r w:rsidR="00350E7C">
        <w:fldChar w:fldCharType="end"/>
      </w:r>
      <w:r>
        <w:t xml:space="preserve">. The diagnostic process for </w:t>
      </w:r>
      <w:r w:rsidR="00856196">
        <w:t>P</w:t>
      </w:r>
      <w:r>
        <w:t xml:space="preserve">IBD in the Canadian healthcare system is similar to the United Kingdom, with patients </w:t>
      </w:r>
      <w:r w:rsidR="008B2C41">
        <w:t>requiring</w:t>
      </w:r>
      <w:r>
        <w:t xml:space="preserve"> referral to a specialist paediatric gastroenterologist for</w:t>
      </w:r>
      <w:r w:rsidR="008B2C41">
        <w:t xml:space="preserve"> a</w:t>
      </w:r>
      <w:r>
        <w:t xml:space="preserve"> diagnostic endoscopy. </w:t>
      </w:r>
      <w:r w:rsidR="008B2C41">
        <w:t>The authors analysed the time interval between symptoms and diagnosis through the relative contribution of different components of the wait (symptoms to referral to a paediatric gastroenterologist, referral to consultation, consul</w:t>
      </w:r>
      <w:r w:rsidR="00013485">
        <w:t>tation to diagnostic endoscopy). T</w:t>
      </w:r>
      <w:r w:rsidR="008B2C41">
        <w:t xml:space="preserve">he findings indicate that the greatest time </w:t>
      </w:r>
      <w:r w:rsidR="00013485">
        <w:t>was</w:t>
      </w:r>
      <w:r w:rsidR="008B2C41">
        <w:t xml:space="preserve"> from </w:t>
      </w:r>
      <w:r w:rsidR="00937ACB">
        <w:t>onset of symptoms</w:t>
      </w:r>
      <w:r w:rsidR="008B2C41">
        <w:t xml:space="preserve"> to </w:t>
      </w:r>
      <w:r w:rsidR="00937ACB">
        <w:t xml:space="preserve">referral to </w:t>
      </w:r>
      <w:r w:rsidR="008B2C41">
        <w:t>specialist services</w:t>
      </w:r>
      <w:r w:rsidR="00937ACB">
        <w:t xml:space="preserve"> (89 days, IQR </w:t>
      </w:r>
      <w:r w:rsidR="003C7E05">
        <w:t>48-250</w:t>
      </w:r>
      <w:r w:rsidR="00937ACB">
        <w:t>)</w:t>
      </w:r>
      <w:r w:rsidR="008B2C41">
        <w:t xml:space="preserve">, with </w:t>
      </w:r>
      <w:r w:rsidR="00FD6130">
        <w:t xml:space="preserve">the </w:t>
      </w:r>
      <w:r w:rsidR="00477F6C">
        <w:t>interval</w:t>
      </w:r>
      <w:r w:rsidR="008B2C41">
        <w:t xml:space="preserve"> between referral </w:t>
      </w:r>
      <w:r w:rsidR="00FD6130">
        <w:t xml:space="preserve">to specialist services </w:t>
      </w:r>
      <w:r w:rsidR="008B2C41">
        <w:t>and diagnosis making up a minority of the time (</w:t>
      </w:r>
      <w:r w:rsidR="00937ACB">
        <w:t xml:space="preserve">15 </w:t>
      </w:r>
      <w:r w:rsidR="008B2C41">
        <w:lastRenderedPageBreak/>
        <w:t>days</w:t>
      </w:r>
      <w:r w:rsidR="00937ACB">
        <w:t>, IQR 7-45</w:t>
      </w:r>
      <w:r w:rsidR="008B2C41">
        <w:t>)</w:t>
      </w:r>
      <w:r w:rsidR="00350E7C">
        <w:fldChar w:fldCharType="begin" w:fldLock="1"/>
      </w:r>
      <w:r w:rsidR="00B10F18">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"[1]", "plainTextFormattedCitation" : "[1]", "previouslyFormattedCitation" : "[1]" }, "properties" : { "noteIndex" : 3 }, "schema" : "https://github.com/citation-style-language/schema/raw/master/csl-citation.json" }</w:instrText>
      </w:r>
      <w:r w:rsidR="00350E7C">
        <w:fldChar w:fldCharType="separate"/>
      </w:r>
      <w:r w:rsidR="00B10F18" w:rsidRPr="00B10F18">
        <w:rPr>
          <w:noProof/>
        </w:rPr>
        <w:t>[1]</w:t>
      </w:r>
      <w:r w:rsidR="00350E7C">
        <w:fldChar w:fldCharType="end"/>
      </w:r>
      <w:r w:rsidR="008B2C41">
        <w:t xml:space="preserve">. Perhaps the most concerning finding </w:t>
      </w:r>
      <w:r w:rsidR="00BF1EDF">
        <w:t>was</w:t>
      </w:r>
      <w:r w:rsidR="008B2C41">
        <w:t xml:space="preserve"> that </w:t>
      </w:r>
      <w:r w:rsidR="00477F6C">
        <w:t>20% of</w:t>
      </w:r>
      <w:r w:rsidR="008B2C41">
        <w:t xml:space="preserve"> patients were waiting over a year from symptoms to diagnosis</w:t>
      </w:r>
      <w:r w:rsidR="00350E7C">
        <w:fldChar w:fldCharType="begin" w:fldLock="1"/>
      </w:r>
      <w:r w:rsidR="00B10F18">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"[1]", "plainTextFormattedCitation" : "[1]", "previouslyFormattedCitation" : "[1]" }, "properties" : { "noteIndex" : 3 }, "schema" : "https://github.com/citation-style-language/schema/raw/master/csl-citation.json" }</w:instrText>
      </w:r>
      <w:r w:rsidR="00350E7C">
        <w:fldChar w:fldCharType="separate"/>
      </w:r>
      <w:r w:rsidR="00B10F18" w:rsidRPr="00B10F18">
        <w:rPr>
          <w:noProof/>
        </w:rPr>
        <w:t>[1]</w:t>
      </w:r>
      <w:r w:rsidR="00350E7C">
        <w:fldChar w:fldCharType="end"/>
      </w:r>
      <w:r w:rsidR="008B2C41">
        <w:t>.</w:t>
      </w:r>
      <w:r w:rsidR="00FD6130">
        <w:t xml:space="preserve"> The results need cautious interpretation. </w:t>
      </w:r>
      <w:r w:rsidR="008B2C41">
        <w:t xml:space="preserve"> It is not surprising that once the referral to a paediatric gastroenterologist has been made there is </w:t>
      </w:r>
      <w:r w:rsidR="0077575D">
        <w:t>a</w:t>
      </w:r>
      <w:r w:rsidR="008B2C41">
        <w:t xml:space="preserve"> prompt diagnosis</w:t>
      </w:r>
      <w:r w:rsidR="00FD6130">
        <w:t xml:space="preserve"> as</w:t>
      </w:r>
      <w:r w:rsidR="008B2C41">
        <w:t xml:space="preserve"> the very reason that these patients have been referred is due to symptoms (and </w:t>
      </w:r>
      <w:r w:rsidR="0077575D">
        <w:t xml:space="preserve">basic </w:t>
      </w:r>
      <w:r w:rsidR="008B2C41">
        <w:t xml:space="preserve">investigations) indicating that IBD is a possible, if not probable diagnosis. </w:t>
      </w:r>
      <w:r w:rsidR="0077575D">
        <w:t xml:space="preserve">What is not reported in this study </w:t>
      </w:r>
      <w:r w:rsidR="00FD6130">
        <w:t xml:space="preserve">however </w:t>
      </w:r>
      <w:r w:rsidR="0077575D">
        <w:t xml:space="preserve">is the median duration between </w:t>
      </w:r>
      <w:r w:rsidR="00FD6130">
        <w:t xml:space="preserve">onset of symptoms and </w:t>
      </w:r>
      <w:r w:rsidR="0077575D">
        <w:t>children presenting to their primary care physician</w:t>
      </w:r>
      <w:r w:rsidR="00FD6130">
        <w:t xml:space="preserve">. </w:t>
      </w:r>
      <w:r w:rsidR="0077575D">
        <w:t xml:space="preserve"> It is possible that many children will hide their symptoms for weeks or months due to embarrassment or anxiety and this is likely to contribute to a delay i</w:t>
      </w:r>
      <w:r w:rsidR="003C7E05">
        <w:t xml:space="preserve">n presentation to primary care. </w:t>
      </w:r>
      <w:r w:rsidR="009C4C67">
        <w:t xml:space="preserve"> A problem facing those that work in primary care is that abdominal pain and non-specific gastrointestinal symptoms are common presentations and IBD relatively rare.  An awareness of ‘red flags</w:t>
      </w:r>
      <w:r w:rsidR="0074438B">
        <w:t>’</w:t>
      </w:r>
      <w:r w:rsidR="009C4C67">
        <w:t xml:space="preserve"> for IBD in children (see table 1) can </w:t>
      </w:r>
      <w:r w:rsidR="009C4C67">
        <w:lastRenderedPageBreak/>
        <w:t xml:space="preserve">be helpful in deciding which children require referral to </w:t>
      </w:r>
      <w:r w:rsidR="00BA0A15">
        <w:t>specialist</w:t>
      </w:r>
      <w:r w:rsidR="009C4C67">
        <w:t xml:space="preserve"> care</w:t>
      </w:r>
      <w:r w:rsidR="00BA0A15">
        <w:t>.</w:t>
      </w:r>
      <w:r w:rsidR="003C7E05">
        <w:t xml:space="preserve"> </w:t>
      </w:r>
    </w:p>
    <w:p w14:paraId="13B6B17D" w14:textId="79830598" w:rsidR="009A4E29" w:rsidRPr="009D2F6E" w:rsidRDefault="00544FFD" w:rsidP="009D2F6E">
      <w:pPr>
        <w:spacing w:line="480" w:lineRule="auto"/>
      </w:pPr>
      <w:r>
        <w:t xml:space="preserve">The most common symptoms of IBD are diarrhoea, abdominal pain, </w:t>
      </w:r>
      <w:r w:rsidR="00315278">
        <w:t>blood in stools and weight loss</w:t>
      </w:r>
      <w:r w:rsidR="00350E7C">
        <w:fldChar w:fldCharType="begin" w:fldLock="1"/>
      </w:r>
      <w:r w:rsidR="00B10F18">
        <w:instrText>ADDIN CSL_CITATION { "citationItems" : [ { "id" : "ITEM-1", "itemData" : { "DOI" : "10.1016/S2352-4642(17)30017-2", "abstract" : "&lt;h2&gt;Summary&lt;/h2&gt;&lt;p&gt;The incidence of early-onset paediatric inflammatory bowel disease is increasing worldwide. Defined as a diagnosis of Crohn's disease, ulcerative colitis, or inflammatory bowel disease unclassified before the age of 10 years, the disease is complex, multifactorial, and lifelong, and affects nutrition and psychological wellbeing. Over 200 genes have been implicated and a further 52 genes are known to cause monogenic disease, often presenting in infancy. Heritability of early-onset inflammatory bowel disease is hypothesised to be between that of infantile-onset (ie, &lt;6 years old) and adult-onset disease, with genetic cause characterised by a few genes with modest or large effect size. Although early-onset disease is typically more severe than infantile-onset and adult-onset disease, long-term morbidity has not been assessed. Disease management is multifaceted and multidisciplinary, and is focused on the safe induction of remission and prevention of relapse. Although the advent of monoclonal antibody therapy has had a positive effect in the management of inflammatory bowel disease, treatment effects in early-onset inflammatory bowel disease are less certain. Additional challenges include maintenance of growth, navigation of puberty, and transition to adult services for long-term management.&lt;/p&gt;", "author" : [ { "dropping-particle" : "", "family" : "Ashton", "given" : "James J", "non-dropping-particle" : "", "parse-names" : false, "suffix" : "" }, { "dropping-particle" : "", "family" : "Ennis", "given" : "Sarah", "non-dropping-particle" : "", "parse-names" : false, "suffix" : "" }, { "dropping-particle" : "", "family" : "Beattie", "given" : "R Mark", "non-dropping-particle" : "", "parse-names" : false, "suffix" : "" } ], "container-title" : "The Lancet Child &amp; Adolescent Health", "id" : "ITEM-1", "issue" : "2", "issued" : { "date-parts" : [ [ "2017", "10", "1" ] ] }, "page" : "147-158", "publisher" : "Elsevier", "title" : "Early-onset paediatric inflammatory bowel disease", "type" : "article-journal", "volume" : "1" }, "uris" : [ "http://www.mendeley.com/documents/?uuid=b82bffbd-1b99-3c48-af89-f3ed5c3e8636" ] } ], "mendeley" : { "formattedCitation" : "[3]", "plainTextFormattedCitation" : "[3]", "previouslyFormattedCitation" : "[3]" }, "properties" : { "noteIndex" : 3 }, "schema" : "https://github.com/citation-style-language/schema/raw/master/csl-citation.json" }</w:instrText>
      </w:r>
      <w:r w:rsidR="00350E7C">
        <w:fldChar w:fldCharType="separate"/>
      </w:r>
      <w:r w:rsidR="00B10F18" w:rsidRPr="00B10F18">
        <w:rPr>
          <w:noProof/>
        </w:rPr>
        <w:t>[3]</w:t>
      </w:r>
      <w:r w:rsidR="00350E7C">
        <w:fldChar w:fldCharType="end"/>
      </w:r>
      <w:r>
        <w:t xml:space="preserve">. There are an additional </w:t>
      </w:r>
      <w:r w:rsidR="00663C77">
        <w:t>group</w:t>
      </w:r>
      <w:r>
        <w:t xml:space="preserve"> of patients who present with less typical features such as isolated perianal d</w:t>
      </w:r>
      <w:r w:rsidR="00856196">
        <w:t>isease, isolated growth failure or</w:t>
      </w:r>
      <w:r>
        <w:t xml:space="preserve"> extra-intestinal manifestations (</w:t>
      </w:r>
      <w:r w:rsidR="00FE559A">
        <w:t xml:space="preserve">such as </w:t>
      </w:r>
      <w:proofErr w:type="spellStart"/>
      <w:r>
        <w:t>arthopathy</w:t>
      </w:r>
      <w:proofErr w:type="spellEnd"/>
      <w:r w:rsidR="00856196">
        <w:t xml:space="preserve"> etc.</w:t>
      </w:r>
      <w:r w:rsidR="00663C77">
        <w:t>)</w:t>
      </w:r>
      <w:r w:rsidR="00350E7C">
        <w:fldChar w:fldCharType="begin" w:fldLock="1"/>
      </w:r>
      <w:r w:rsidR="00B10F18">
        <w:instrText>ADDIN CSL_CITATION { "citationItems" : [ { "id" : "ITEM-1", "itemData" : { "DOI" : "10.1016/S2352-4642(17)30017-2", "abstract" : "&lt;h2&gt;Summary&lt;/h2&gt;&lt;p&gt;The incidence of early-onset paediatric inflammatory bowel disease is increasing worldwide. Defined as a diagnosis of Crohn's disease, ulcerative colitis, or inflammatory bowel disease unclassified before the age of 10 years, the disease is complex, multifactorial, and lifelong, and affects nutrition and psychological wellbeing. Over 200 genes have been implicated and a further 52 genes are known to cause monogenic disease, often presenting in infancy. Heritability of early-onset inflammatory bowel disease is hypothesised to be between that of infantile-onset (ie, &lt;6 years old) and adult-onset disease, with genetic cause characterised by a few genes with modest or large effect size. Although early-onset disease is typically more severe than infantile-onset and adult-onset disease, long-term morbidity has not been assessed. Disease management is multifaceted and multidisciplinary, and is focused on the safe induction of remission and prevention of relapse. Although the advent of monoclonal antibody therapy has had a positive effect in the management of inflammatory bowel disease, treatment effects in early-onset inflammatory bowel disease are less certain. Additional challenges include maintenance of growth, navigation of puberty, and transition to adult services for long-term management.&lt;/p&gt;", "author" : [ { "dropping-particle" : "", "family" : "Ashton", "given" : "James J", "non-dropping-particle" : "", "parse-names" : false, "suffix" : "" }, { "dropping-particle" : "", "family" : "Ennis", "given" : "Sarah", "non-dropping-particle" : "", "parse-names" : false, "suffix" : "" }, { "dropping-particle" : "", "family" : "Beattie", "given" : "R Mark", "non-dropping-particle" : "", "parse-names" : false, "suffix" : "" } ], "container-title" : "The Lancet Child &amp; Adolescent Health", "id" : "ITEM-1", "issue" : "2", "issued" : { "date-parts" : [ [ "2017", "10", "1" ] ] }, "page" : "147-158", "publisher" : "Elsevier", "title" : "Early-onset paediatric inflammatory bowel disease", "type" : "article-journal", "volume" : "1" }, "uris" : [ "http://www.mendeley.com/documents/?uuid=b82bffbd-1b99-3c48-af89-f3ed5c3e8636" ] } ], "mendeley" : { "formattedCitation" : "[3]", "plainTextFormattedCitation" : "[3]", "previouslyFormattedCitation" : "[3]" }, "properties" : { "noteIndex" : 3 }, "schema" : "https://github.com/citation-style-language/schema/raw/master/csl-citation.json" }</w:instrText>
      </w:r>
      <w:r w:rsidR="00350E7C">
        <w:fldChar w:fldCharType="separate"/>
      </w:r>
      <w:r w:rsidR="00B10F18" w:rsidRPr="00B10F18">
        <w:rPr>
          <w:noProof/>
        </w:rPr>
        <w:t>[3]</w:t>
      </w:r>
      <w:r w:rsidR="00350E7C">
        <w:fldChar w:fldCharType="end"/>
      </w:r>
      <w:r w:rsidR="00663C77">
        <w:t xml:space="preserve">. </w:t>
      </w:r>
      <w:proofErr w:type="spellStart"/>
      <w:r w:rsidR="009D2F6E" w:rsidRPr="0001050D">
        <w:rPr>
          <w:i/>
        </w:rPr>
        <w:t>Riccuito</w:t>
      </w:r>
      <w:proofErr w:type="spellEnd"/>
      <w:r w:rsidR="009D2F6E" w:rsidRPr="0001050D">
        <w:rPr>
          <w:i/>
        </w:rPr>
        <w:t xml:space="preserve"> et al</w:t>
      </w:r>
      <w:r w:rsidR="009D2F6E">
        <w:rPr>
          <w:i/>
        </w:rPr>
        <w:t xml:space="preserve"> </w:t>
      </w:r>
      <w:r w:rsidR="00856196">
        <w:t>analysed</w:t>
      </w:r>
      <w:r w:rsidR="009D2F6E">
        <w:t xml:space="preserve"> features assoc</w:t>
      </w:r>
      <w:r w:rsidR="00FE559A">
        <w:t>iated with a delay in diagnosis</w:t>
      </w:r>
      <w:r w:rsidR="00FD6130">
        <w:t>. I</w:t>
      </w:r>
      <w:r w:rsidR="009D2F6E">
        <w:t>n univariate analysis diarrhoea (OR 0.29), blood per rectum (OR 0.33), bloody diarrhoea (OR 0.25) and weight loss (OR 0.38) were all significantly associated with decreased risk of a diagnostic delay, reflecting the most common symptoms seen in practice</w:t>
      </w:r>
      <w:r w:rsidR="00350E7C">
        <w:fldChar w:fldCharType="begin" w:fldLock="1"/>
      </w:r>
      <w:r w:rsidR="00B10F18">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"[1]", "plainTextFormattedCitation" : "[1]", "previouslyFormattedCitation" : "[1]" }, "properties" : { "noteIndex" : 3 }, "schema" : "https://github.com/citation-style-language/schema/raw/master/csl-citation.json" }</w:instrText>
      </w:r>
      <w:r w:rsidR="00350E7C">
        <w:fldChar w:fldCharType="separate"/>
      </w:r>
      <w:r w:rsidR="00B10F18" w:rsidRPr="00B10F18">
        <w:rPr>
          <w:noProof/>
        </w:rPr>
        <w:t>[1]</w:t>
      </w:r>
      <w:r w:rsidR="00350E7C">
        <w:fldChar w:fldCharType="end"/>
      </w:r>
      <w:r w:rsidR="009D2F6E">
        <w:t xml:space="preserve">. </w:t>
      </w:r>
      <w:r w:rsidR="004D0124">
        <w:t xml:space="preserve">The authors </w:t>
      </w:r>
      <w:r w:rsidR="00FE559A">
        <w:t>did</w:t>
      </w:r>
      <w:r w:rsidR="004D0124">
        <w:t xml:space="preserve"> not find any association between age, gender</w:t>
      </w:r>
      <w:r w:rsidR="00FE559A">
        <w:t xml:space="preserve">, socio-economic background </w:t>
      </w:r>
      <w:proofErr w:type="gramStart"/>
      <w:r w:rsidR="00FE559A">
        <w:t>or</w:t>
      </w:r>
      <w:proofErr w:type="gramEnd"/>
      <w:r w:rsidR="00FE559A">
        <w:t xml:space="preserve">, </w:t>
      </w:r>
      <w:r w:rsidR="004D0124">
        <w:t xml:space="preserve">interestingly, a family history of IBD. Previous work has pointed to younger age being a risk factor for a </w:t>
      </w:r>
      <w:r w:rsidR="00FE559A">
        <w:t>longer</w:t>
      </w:r>
      <w:r w:rsidR="004D0124">
        <w:t xml:space="preserve"> delay in diagnosis but this was not observed in this study</w:t>
      </w:r>
      <w:r w:rsidR="00350E7C">
        <w:fldChar w:fldCharType="begin" w:fldLock="1"/>
      </w:r>
      <w:r w:rsidR="00B10F18">
        <w:instrText>ADDIN CSL_CITATION { "citationItems" : [ { "id" : "ITEM-1", "itemData" : { "DOI" : "10.1016/S2352-4642(17)30017-2", "abstract" : "&lt;h2&gt;Summary&lt;/h2&gt;&lt;p&gt;The incidence of early-onset paediatric inflammatory bowel disease is increasing worldwide. Defined as a diagnosis of Crohn's disease, ulcerative colitis, or inflammatory bowel disease unclassified before the age of 10 years, the disease is complex, multifactorial, and lifelong, and affects nutrition and psychological wellbeing. Over 200 genes have been implicated and a further 52 genes are known to cause monogenic disease, often presenting in infancy. Heritability of early-onset inflammatory bowel disease is hypothesised to be between that of infantile-onset (ie, &lt;6 years old) and adult-onset disease, with genetic cause characterised by a few genes with modest or large effect size. Although early-onset disease is typically more severe than infantile-onset and adult-onset disease, long-term morbidity has not been assessed. Disease management is multifaceted and multidisciplinary, and is focused on the safe induction of remission and prevention of relapse. Although the advent of monoclonal antibody therapy has had a positive effect in the management of inflammatory bowel disease, treatment effects in early-onset inflammatory bowel disease are less certain. Additional challenges include maintenance of growth, navigation of puberty, and transition to adult services for long-term management.&lt;/p&gt;", "author" : [ { "dropping-particle" : "", "family" : "Ashton", "given" : "James J", "non-dropping-particle" : "", "parse-names" : false, "suffix" : "" }, { "dropping-particle" : "", "family" : "Ennis", "given" : "Sarah", "non-dropping-particle" : "", "parse-names" : false, "suffix" : "" }, { "dropping-particle" : "", "family" : "Beattie", "given" : "R Mark", "non-dropping-particle" : "", "parse-names" : false, "suffix" : "" } ], "container-title" : "The Lancet Child &amp; Adolescent Health", "id" : "ITEM-1", "issue" : "2", "issued" : { "date-parts" : [ [ "2017", "10", "1" ] ] }, "page" : "147-158", "publisher" : "Elsevier", "title" : "Early-onset paediatric inflammatory bowel disease", "type" : "article-journal", "volume" : "1" }, "uris" : [ "http://www.mendeley.com/documents/?uuid=b82bffbd-1b99-3c48-af89-f3ed5c3e8636" ] } ], "mendeley" : { "formattedCitation" : "[3]", "plainTextFormattedCitation" : "[3]", "previouslyFormattedCitation" : "[3]" }, "properties" : { "noteIndex" : 4 }, "schema" : "https://github.com/citation-style-language/schema/raw/master/csl-citation.json" }</w:instrText>
      </w:r>
      <w:r w:rsidR="00350E7C">
        <w:fldChar w:fldCharType="separate"/>
      </w:r>
      <w:r w:rsidR="00B10F18" w:rsidRPr="00B10F18">
        <w:rPr>
          <w:noProof/>
        </w:rPr>
        <w:t>[3]</w:t>
      </w:r>
      <w:r w:rsidR="00350E7C">
        <w:fldChar w:fldCharType="end"/>
      </w:r>
      <w:r w:rsidR="004D0124">
        <w:t xml:space="preserve">. </w:t>
      </w:r>
      <w:r w:rsidR="009D2F6E">
        <w:t xml:space="preserve">Height impairment </w:t>
      </w:r>
      <w:r w:rsidR="009D2F6E">
        <w:lastRenderedPageBreak/>
        <w:t xml:space="preserve">was </w:t>
      </w:r>
      <w:r w:rsidR="00192B7D">
        <w:t>significantly more common in those</w:t>
      </w:r>
      <w:r w:rsidR="0090377A">
        <w:t xml:space="preserve"> with delayed </w:t>
      </w:r>
      <w:r w:rsidR="00192B7D">
        <w:t>diagnosis</w:t>
      </w:r>
      <w:r w:rsidR="0090377A">
        <w:t xml:space="preserve"> (height-</w:t>
      </w:r>
      <w:r w:rsidR="00192B7D">
        <w:t xml:space="preserve">for-age </w:t>
      </w:r>
      <w:r w:rsidR="009F62BC">
        <w:t>z</w:t>
      </w:r>
      <w:r w:rsidR="00192B7D">
        <w:t>-score -0.5) vs non-delayed</w:t>
      </w:r>
      <w:r w:rsidR="004D0124">
        <w:t xml:space="preserve"> diagnosis</w:t>
      </w:r>
      <w:r w:rsidR="00192B7D">
        <w:t xml:space="preserve"> (height-for-age </w:t>
      </w:r>
      <w:r w:rsidR="009F62BC">
        <w:t>z</w:t>
      </w:r>
      <w:r w:rsidR="00192B7D">
        <w:t>-score 0.1)</w:t>
      </w:r>
      <w:r w:rsidR="009D2F6E">
        <w:t xml:space="preserve"> </w:t>
      </w:r>
      <w:r w:rsidR="00282CC9">
        <w:t>and this defic</w:t>
      </w:r>
      <w:r w:rsidR="00511045">
        <w:t>it persisted to 1 year follow-up</w:t>
      </w:r>
      <w:r w:rsidR="00282CC9">
        <w:t>.</w:t>
      </w:r>
      <w:r w:rsidR="009D2F6E">
        <w:t xml:space="preserve"> </w:t>
      </w:r>
      <w:r w:rsidR="004D0124">
        <w:t xml:space="preserve">These observations demonstrate </w:t>
      </w:r>
      <w:r w:rsidR="00B65FA4">
        <w:t>a measurable and negative impact on the children with a diagnostic delay, although confounding factors</w:t>
      </w:r>
      <w:r w:rsidR="00511045">
        <w:t xml:space="preserve"> (such as disease severity)</w:t>
      </w:r>
      <w:r w:rsidR="00B65FA4">
        <w:t xml:space="preserve"> must be accounted for </w:t>
      </w:r>
      <w:r w:rsidR="00350E7C">
        <w:fldChar w:fldCharType="begin" w:fldLock="1"/>
      </w:r>
      <w:r w:rsidR="00B10F18">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"[1]", "plainTextFormattedCitation" : "[1]", "previouslyFormattedCitation" : "[1]" }, "properties" : { "noteIndex" : 4 }, "schema" : "https://github.com/citation-style-language/schema/raw/master/csl-citation.json" }</w:instrText>
      </w:r>
      <w:r w:rsidR="00350E7C">
        <w:fldChar w:fldCharType="separate"/>
      </w:r>
      <w:r w:rsidR="00B10F18" w:rsidRPr="00B10F18">
        <w:rPr>
          <w:noProof/>
        </w:rPr>
        <w:t>[1]</w:t>
      </w:r>
      <w:r w:rsidR="00350E7C">
        <w:fldChar w:fldCharType="end"/>
      </w:r>
      <w:r w:rsidR="00B65FA4">
        <w:t xml:space="preserve">. </w:t>
      </w:r>
    </w:p>
    <w:p w14:paraId="62C3B165" w14:textId="3B349F05" w:rsidR="00FD6130" w:rsidRDefault="00FC2E94" w:rsidP="00B16108">
      <w:pPr>
        <w:spacing w:line="480" w:lineRule="auto"/>
      </w:pPr>
      <w:r w:rsidRPr="00FC2E94">
        <w:t>The data from</w:t>
      </w:r>
      <w:r>
        <w:rPr>
          <w:i/>
        </w:rPr>
        <w:t xml:space="preserve"> </w:t>
      </w:r>
      <w:proofErr w:type="spellStart"/>
      <w:r w:rsidR="00315278" w:rsidRPr="0001050D">
        <w:rPr>
          <w:i/>
        </w:rPr>
        <w:t>Riccuito</w:t>
      </w:r>
      <w:proofErr w:type="spellEnd"/>
      <w:r w:rsidR="00315278" w:rsidRPr="0001050D">
        <w:rPr>
          <w:i/>
        </w:rPr>
        <w:t xml:space="preserve"> et al</w:t>
      </w:r>
      <w:r w:rsidR="00315278">
        <w:rPr>
          <w:i/>
        </w:rPr>
        <w:t xml:space="preserve"> </w:t>
      </w:r>
      <w:r w:rsidR="00AA2B10">
        <w:t xml:space="preserve">highlights the crucial role </w:t>
      </w:r>
      <w:r w:rsidR="006B5F68">
        <w:t>a</w:t>
      </w:r>
      <w:r w:rsidR="00AA2B10">
        <w:t xml:space="preserve"> </w:t>
      </w:r>
      <w:r w:rsidR="00315278">
        <w:t xml:space="preserve">primary care physician has </w:t>
      </w:r>
      <w:r w:rsidR="006B5F68">
        <w:t xml:space="preserve">in </w:t>
      </w:r>
      <w:r w:rsidR="00AA2B10">
        <w:t xml:space="preserve">assessing children with gut symptoms and selecting </w:t>
      </w:r>
      <w:r w:rsidR="006B5F68">
        <w:t>those</w:t>
      </w:r>
      <w:r w:rsidR="00AA2B10">
        <w:t xml:space="preserve"> to refer on for further assessment</w:t>
      </w:r>
      <w:r w:rsidR="006B5F68">
        <w:t xml:space="preserve"> or </w:t>
      </w:r>
      <w:r w:rsidR="00AA2B10">
        <w:t>investigation</w:t>
      </w:r>
      <w:r w:rsidR="0099596B">
        <w:t>. However t</w:t>
      </w:r>
      <w:r w:rsidR="00822AEA">
        <w:t>here is no ‘fast track’ referral process even when red flags are present</w:t>
      </w:r>
      <w:r>
        <w:t xml:space="preserve"> </w:t>
      </w:r>
      <w:r w:rsidR="006B5F68">
        <w:t>(table 1</w:t>
      </w:r>
      <w:r w:rsidR="00822AEA">
        <w:t>)</w:t>
      </w:r>
      <w:r w:rsidR="008D581E">
        <w:t>.</w:t>
      </w:r>
      <w:r w:rsidR="003A50B7">
        <w:t xml:space="preserve"> </w:t>
      </w:r>
      <w:r w:rsidR="00822AEA">
        <w:t xml:space="preserve">Faecal Calprotectin may be helpful and now </w:t>
      </w:r>
      <w:r w:rsidR="007C39A5">
        <w:t xml:space="preserve">has an established place in </w:t>
      </w:r>
      <w:r w:rsidR="00312C34">
        <w:t xml:space="preserve">stratifying the need for diagnostic endoscopy in symptomatic patients </w:t>
      </w:r>
      <w:r w:rsidR="007C39A5">
        <w:t xml:space="preserve"> and </w:t>
      </w:r>
      <w:r w:rsidR="00312C34">
        <w:t xml:space="preserve">in the </w:t>
      </w:r>
      <w:r w:rsidR="007C39A5">
        <w:t xml:space="preserve">ongoing monitoring </w:t>
      </w:r>
      <w:r w:rsidR="00652A88">
        <w:t>of</w:t>
      </w:r>
      <w:r w:rsidR="007C39A5">
        <w:t xml:space="preserve"> IBD</w:t>
      </w:r>
      <w:r w:rsidR="00350E7C">
        <w:fldChar w:fldCharType="begin" w:fldLock="1"/>
      </w:r>
      <w:r w:rsidR="00B10F18">
        <w:instrText>ADDIN CSL_CITATION { "citationItems" : [ { "id" : "ITEM-1", "itemData" : { "DOI" : "10.1038/ajg.2013.131", "ISSN" : "1572-0241", "author" : [ { "dropping-particle" : "", "family" : "Henderson", "given" : "P", "non-dropping-particle" : "", "parse-names" : false, "suffix" : "" }, { "dropping-particle" : "", "family" : "Anderson", "given" : "N H", "non-dropping-particle" : "", "parse-names" : false, "suffix" : "" }, { "dropping-particle" : "", "family" : "Wilson", "given" : "D C", "non-dropping-particle" : "", "parse-names" : false, "suffix" : "" } ], "container-title" : "Am J Gastroenterol", "id" : "ITEM-1", "issue" : "5", "issued" : { "date-parts" : [ [ "2014" ] ] }, "page" : "637-645", "title" : "The diagnostic accuracy of fecal calprotectin during the investigation of suspected pediatric inflammatory bowel disease: a systematic review and meta-analysis", "type" : "article-journal", "volume" : "109" }, "uris" : [ "http://www.mendeley.com/documents/?uuid=4ceb8279-7b8e-4ec5-ba86-bc001dd5b591" ] } ], "mendeley" : { "formattedCitation" : "[4]", "plainTextFormattedCitation" : "[4]", "previouslyFormattedCitation" : "[4]" }, "properties" : { "noteIndex" : 4 }, "schema" : "https://github.com/citation-style-language/schema/raw/master/csl-citation.json" }</w:instrText>
      </w:r>
      <w:r w:rsidR="00350E7C">
        <w:fldChar w:fldCharType="separate"/>
      </w:r>
      <w:r w:rsidR="00B10F18" w:rsidRPr="00B10F18">
        <w:rPr>
          <w:noProof/>
        </w:rPr>
        <w:t>[4]</w:t>
      </w:r>
      <w:r w:rsidR="00350E7C">
        <w:fldChar w:fldCharType="end"/>
      </w:r>
      <w:r w:rsidR="001D15DE">
        <w:t xml:space="preserve">. </w:t>
      </w:r>
    </w:p>
    <w:p w14:paraId="0879573F" w14:textId="115A5446" w:rsidR="00663C77" w:rsidRDefault="00FE0811" w:rsidP="00B16108">
      <w:pPr>
        <w:spacing w:line="480" w:lineRule="auto"/>
      </w:pPr>
      <w:r>
        <w:t>Faecal c</w:t>
      </w:r>
      <w:r w:rsidR="009B74FD">
        <w:t xml:space="preserve">alprotectin is a protein produced by </w:t>
      </w:r>
      <w:r w:rsidR="00287D8A">
        <w:t>inflammatory cells</w:t>
      </w:r>
      <w:r>
        <w:t xml:space="preserve"> within the </w:t>
      </w:r>
      <w:r w:rsidR="007A590B">
        <w:t>gastrointestinal</w:t>
      </w:r>
      <w:r>
        <w:t xml:space="preserve"> tract</w:t>
      </w:r>
      <w:r w:rsidR="00287D8A">
        <w:t xml:space="preserve">, with a very high sensitivity for </w:t>
      </w:r>
      <w:r w:rsidR="00287D8A">
        <w:lastRenderedPageBreak/>
        <w:t xml:space="preserve">detection of </w:t>
      </w:r>
      <w:r w:rsidR="00856196">
        <w:t>PI</w:t>
      </w:r>
      <w:r w:rsidR="00B24442">
        <w:t xml:space="preserve">BD, </w:t>
      </w:r>
      <w:r w:rsidR="00B24442" w:rsidRPr="00B24442">
        <w:t>0.92 (</w:t>
      </w:r>
      <w:r w:rsidR="00B24442">
        <w:t xml:space="preserve">95% CI </w:t>
      </w:r>
      <w:r w:rsidR="00B24442" w:rsidRPr="00B24442">
        <w:t>0.84 to 0.96)</w:t>
      </w:r>
      <w:r w:rsidR="00350E7C">
        <w:fldChar w:fldCharType="begin" w:fldLock="1"/>
      </w:r>
      <w:r w:rsidR="00B10F18">
        <w:instrText>ADDIN CSL_CITATION { "citationItems" : [ { "id" : "ITEM-1", "itemData" : { "DOI" : "10.1136/bmj.c3369", "ISBN" : "1468-5833 (Electronic)\\r0959-535X (Linking)", "ISSN" : "1756-1833", "PMID" : "20634346", "abstract" : "OBJECTIVE: To evaluate whether including a test for faecal calprotectin, a sensitive marker of intestinal inflammation, in the investigation of suspected inflammatory bowel disease reduces the number of unnecessary endoscopic procedures. DESIGN: Meta-analysis of diagnostic accuracy studies. DATA SOURCES: Studies published in Medline and Embase up to October 2009. Interventions reviewed Measurement of faecal calprotectin level (index test) compared with endoscopy and histopathology of segmental biopsy samples (reference standard). Inclusion criteria Studies that had collected data prospectively in patients with suspected inflammatory bowel disease and allowed for construction of a two by two table. For each study, sensitivity and specificity of faecal calprotectin were analysed as bivariate data to account for a possible negative correlation within studies. RESULTS: 13 studies were included: six in adults (n=670), seven in children and teenagers (n=371). Inflammatory bowel disease was confirmed by endoscopy in 32% (n=215) of the adults and 61% (n=226) of the children and teenagers. In the studies of adults, the pooled sensitivity and pooled specificity of calprotectin was 0.93 (95% confidence interval 0.85 to 0.97) and 0.96 (0.79 to 0.99) and in the studies of children and teenagers was 0.92 (0.84 to 0.96) and 0.76 (0.62 to 0.86). The lower specificity in the studies of children and teenagers was significantly different from that in the studies of adults (P=0.048). Screening by measuring faecal calprotectin levels would result in a 67% reduction in the number of adults requiring endoscopy. Three of 33 adults who undergo endoscopy will not have inflammatory bowel disease but may have a different condition for which endoscopy is inevitable. The downside of this screening strategy is delayed diagnosis in 6% of adults because of a false negative test result. In the population of children and teenagers, 65 instead of 100 would undergo endoscopy. Nine of them will not have inflammatory bowel disease, and diagnosis will be delayed in 8% of the affected children. CONCLUSION: Testing for faecal calprotectin is a useful screening tool for identifying patients who are most likely to need endoscopy for suspected inflammatory bowel disease. The discriminative power to safely exclude inflammatory bowel disease was significantly better in studies of adults than in studies of children.", "author" : [ { "dropping-particle" : "", "family" : "Rheenen", "given" : "Patrick F", "non-dropping-particle" : "van", "parse-names" : false, "suffix" : "" }, { "dropping-particle" : "", "family" : "Vijver", "given" : "Els", "non-dropping-particle" : "Van de", "parse-names" : false, "suffix" : "" }, { "dropping-particle" : "", "family" : "Fidler", "given" : "Vaclav", "non-dropping-particle" : "", "parse-names" : false, "suffix" : "" } ], "container-title" : "BMJ (Clinical Research Ed.)", "id" : "ITEM-1", "issue" : "May 2016", "issued" : { "date-parts" : [ [ "2010" ] ] }, "page" : "c3369", "title" : "Faecal calprotectin for screening of patients with suspected inflammatory bowel disease: diagnostic meta-analysis", "type" : "article-journal", "volume" : "341" }, "uris" : [ "http://www.mendeley.com/documents/?uuid=6e63be17-d8d2-3bbe-9631-9eed81236d08" ] } ], "mendeley" : { "formattedCitation" : "[5]", "plainTextFormattedCitation" : "[5]", "previouslyFormattedCitation" : "[5]" }, "properties" : { "noteIndex" : 4 }, "schema" : "https://github.com/citation-style-language/schema/raw/master/csl-citation.json" }</w:instrText>
      </w:r>
      <w:r w:rsidR="00350E7C">
        <w:fldChar w:fldCharType="separate"/>
      </w:r>
      <w:r w:rsidR="00B10F18" w:rsidRPr="00B10F18">
        <w:rPr>
          <w:noProof/>
        </w:rPr>
        <w:t>[5]</w:t>
      </w:r>
      <w:r w:rsidR="00350E7C">
        <w:fldChar w:fldCharType="end"/>
      </w:r>
      <w:r w:rsidR="00287D8A">
        <w:t xml:space="preserve">. </w:t>
      </w:r>
      <w:r w:rsidR="007A590B">
        <w:t xml:space="preserve">It is raised in intestinal inflammation </w:t>
      </w:r>
      <w:r w:rsidR="00231F52">
        <w:t>but also in</w:t>
      </w:r>
      <w:r w:rsidR="007A590B">
        <w:t xml:space="preserve"> gastrointestinal infection and coeliac disease. </w:t>
      </w:r>
      <w:r>
        <w:t xml:space="preserve">Calprotectin </w:t>
      </w:r>
      <w:r w:rsidR="007A590B">
        <w:t xml:space="preserve">is stable </w:t>
      </w:r>
      <w:r w:rsidR="00287D8A">
        <w:t xml:space="preserve">for up to </w:t>
      </w:r>
      <w:r w:rsidR="00D1456E">
        <w:t>one</w:t>
      </w:r>
      <w:r w:rsidR="00287D8A">
        <w:t xml:space="preserve"> week</w:t>
      </w:r>
      <w:r w:rsidR="007A590B">
        <w:t xml:space="preserve"> and is</w:t>
      </w:r>
      <w:r>
        <w:t xml:space="preserve"> widely available in primary and secondary care</w:t>
      </w:r>
      <w:r w:rsidR="00BF1EDF">
        <w:t>.  T</w:t>
      </w:r>
      <w:r w:rsidR="00396376">
        <w:t>he major downside</w:t>
      </w:r>
      <w:r w:rsidR="009C4C67">
        <w:t>s</w:t>
      </w:r>
      <w:r w:rsidR="00396376">
        <w:t xml:space="preserve"> </w:t>
      </w:r>
      <w:r w:rsidR="009C4C67">
        <w:t>are</w:t>
      </w:r>
      <w:r w:rsidR="00396376">
        <w:t xml:space="preserve"> the relatively poor specificity in children</w:t>
      </w:r>
      <w:r w:rsidR="00B24442">
        <w:t>, 0.76 (95% CI 0.62 to 0.86)</w:t>
      </w:r>
      <w:r w:rsidR="00E85B2D">
        <w:t xml:space="preserve">, uncertainty regarding the upper limit of normal (cut-off </w:t>
      </w:r>
      <w:r w:rsidR="00104442">
        <w:t xml:space="preserve">value </w:t>
      </w:r>
      <w:r w:rsidR="00E85B2D">
        <w:t>for referral)</w:t>
      </w:r>
      <w:r w:rsidR="00B24442">
        <w:t xml:space="preserve"> </w:t>
      </w:r>
      <w:r w:rsidR="009353FC">
        <w:t>and the high cost per sample</w:t>
      </w:r>
      <w:r w:rsidR="00350E7C">
        <w:fldChar w:fldCharType="begin" w:fldLock="1"/>
      </w:r>
      <w:r w:rsidR="00B10F18">
        <w:instrText>ADDIN CSL_CITATION { "citationItems" : [ { "id" : "ITEM-1", "itemData" : { "DOI" : "10.1136/bmj.c3369", "ISBN" : "1468-5833 (Electronic)\\r0959-535X (Linking)", "ISSN" : "1756-1833", "PMID" : "20634346", "abstract" : "OBJECTIVE: To evaluate whether including a test for faecal calprotectin, a sensitive marker of intestinal inflammation, in the investigation of suspected inflammatory bowel disease reduces the number of unnecessary endoscopic procedures. DESIGN: Meta-analysis of diagnostic accuracy studies. DATA SOURCES: Studies published in Medline and Embase up to October 2009. Interventions reviewed Measurement of faecal calprotectin level (index test) compared with endoscopy and histopathology of segmental biopsy samples (reference standard). Inclusion criteria Studies that had collected data prospectively in patients with suspected inflammatory bowel disease and allowed for construction of a two by two table. For each study, sensitivity and specificity of faecal calprotectin were analysed as bivariate data to account for a possible negative correlation within studies. RESULTS: 13 studies were included: six in adults (n=670), seven in children and teenagers (n=371). Inflammatory bowel disease was confirmed by endoscopy in 32% (n=215) of the adults and 61% (n=226) of the children and teenagers. In the studies of adults, the pooled sensitivity and pooled specificity of calprotectin was 0.93 (95% confidence interval 0.85 to 0.97) and 0.96 (0.79 to 0.99) and in the studies of children and teenagers was 0.92 (0.84 to 0.96) and 0.76 (0.62 to 0.86). The lower specificity in the studies of children and teenagers was significantly different from that in the studies of adults (P=0.048). Screening by measuring faecal calprotectin levels would result in a 67% reduction in the number of adults requiring endoscopy. Three of 33 adults who undergo endoscopy will not have inflammatory bowel disease but may have a different condition for which endoscopy is inevitable. The downside of this screening strategy is delayed diagnosis in 6% of adults because of a false negative test result. In the population of children and teenagers, 65 instead of 100 would undergo endoscopy. Nine of them will not have inflammatory bowel disease, and diagnosis will be delayed in 8% of the affected children. CONCLUSION: Testing for faecal calprotectin is a useful screening tool for identifying patients who are most likely to need endoscopy for suspected inflammatory bowel disease. The discriminative power to safely exclude inflammatory bowel disease was significantly better in studies of adults than in studies of children.", "author" : [ { "dropping-particle" : "", "family" : "Rheenen", "given" : "Patrick F", "non-dropping-particle" : "van", "parse-names" : false, "suffix" : "" }, { "dropping-particle" : "", "family" : "Vijver", "given" : "Els", "non-dropping-particle" : "Van de", "parse-names" : false, "suffix" : "" }, { "dropping-particle" : "", "family" : "Fidler", "given" : "Vaclav", "non-dropping-particle" : "", "parse-names" : false, "suffix" : "" } ], "container-title" : "BMJ (Clinical Research Ed.)", "id" : "ITEM-1", "issue" : "May 2016", "issued" : { "date-parts" : [ [ "2010" ] ] }, "page" : "c3369", "title" : "Faecal calprotectin for screening of patients with suspected inflammatory bowel disease: diagnostic meta-analysis", "type" : "article-journal", "volume" : "341" }, "uris" : [ "http://www.mendeley.com/documents/?uuid=6e63be17-d8d2-3bbe-9631-9eed81236d08" ] } ], "mendeley" : { "formattedCitation" : "[5]", "plainTextFormattedCitation" : "[5]", "previouslyFormattedCitation" : "[5]" }, "properties" : { "noteIndex" : 4 }, "schema" : "https://github.com/citation-style-language/schema/raw/master/csl-citation.json" }</w:instrText>
      </w:r>
      <w:r w:rsidR="00350E7C">
        <w:fldChar w:fldCharType="separate"/>
      </w:r>
      <w:r w:rsidR="00B10F18" w:rsidRPr="00B10F18">
        <w:rPr>
          <w:noProof/>
        </w:rPr>
        <w:t>[5]</w:t>
      </w:r>
      <w:r w:rsidR="00350E7C">
        <w:fldChar w:fldCharType="end"/>
      </w:r>
      <w:r w:rsidR="009353FC">
        <w:t>.</w:t>
      </w:r>
      <w:r w:rsidR="00A77A18">
        <w:t xml:space="preserve"> Meta-analysis </w:t>
      </w:r>
      <w:r w:rsidR="00FD6130">
        <w:t xml:space="preserve">of available data </w:t>
      </w:r>
      <w:r w:rsidR="00A77A18">
        <w:t xml:space="preserve">has </w:t>
      </w:r>
      <w:r w:rsidR="00B16108">
        <w:t>promoted</w:t>
      </w:r>
      <w:r w:rsidR="00A77A18">
        <w:t xml:space="preserve"> </w:t>
      </w:r>
      <w:r w:rsidR="006B5F68">
        <w:t xml:space="preserve">faecal calprotectin </w:t>
      </w:r>
      <w:r w:rsidR="00BF1EDF">
        <w:t>as a screening tool for IBD. T</w:t>
      </w:r>
      <w:r w:rsidR="00D1456E">
        <w:t xml:space="preserve">he lack of specificity </w:t>
      </w:r>
      <w:r w:rsidR="00104442">
        <w:t>can be</w:t>
      </w:r>
      <w:r w:rsidR="00D1456E">
        <w:t xml:space="preserve"> largely discounted when calprotectin levels </w:t>
      </w:r>
      <w:r w:rsidR="00BF33BC">
        <w:t>are very high</w:t>
      </w:r>
      <w:r w:rsidR="00350E7C">
        <w:fldChar w:fldCharType="begin" w:fldLock="1"/>
      </w:r>
      <w:r w:rsidR="00B10F18">
        <w:instrText>ADDIN CSL_CITATION { "citationItems" : [ { "id" : "ITEM-1", "itemData" : { "DOI" : "10.1038/ajg.2013.131", "ISSN" : "1572-0241", "author" : [ { "dropping-particle" : "", "family" : "Henderson", "given" : "P", "non-dropping-particle" : "", "parse-names" : false, "suffix" : "" }, { "dropping-particle" : "", "family" : "Anderson", "given" : "N H", "non-dropping-particle" : "", "parse-names" : false, "suffix" : "" }, { "dropping-particle" : "", "family" : "Wilson", "given" : "D C", "non-dropping-particle" : "", "parse-names" : false, "suffix" : "" } ], "container-title" : "Am J Gastroenterol", "id" : "ITEM-1", "issue" : "5", "issued" : { "date-parts" : [ [ "2014" ] ] }, "page" : "637-645", "title" : "The diagnostic accuracy of fecal calprotectin during the investigation of suspected pediatric inflammatory bowel disease: a systematic review and meta-analysis", "type" : "article-journal", "volume" : "109" }, "uris" : [ "http://www.mendeley.com/documents/?uuid=4ceb8279-7b8e-4ec5-ba86-bc001dd5b591" ] } ], "mendeley" : { "formattedCitation" : "[4]", "plainTextFormattedCitation" : "[4]", "previouslyFormattedCitation" : "[4]" }, "properties" : { "noteIndex" : 4 }, "schema" : "https://github.com/citation-style-language/schema/raw/master/csl-citation.json" }</w:instrText>
      </w:r>
      <w:r w:rsidR="00350E7C">
        <w:fldChar w:fldCharType="separate"/>
      </w:r>
      <w:r w:rsidR="00B10F18" w:rsidRPr="00B10F18">
        <w:rPr>
          <w:noProof/>
        </w:rPr>
        <w:t>[4]</w:t>
      </w:r>
      <w:r w:rsidR="00350E7C">
        <w:fldChar w:fldCharType="end"/>
      </w:r>
      <w:r w:rsidR="00A77A18">
        <w:t xml:space="preserve">. </w:t>
      </w:r>
      <w:r w:rsidR="00B16108">
        <w:t xml:space="preserve">Whilst </w:t>
      </w:r>
      <w:proofErr w:type="spellStart"/>
      <w:r w:rsidR="00B16108" w:rsidRPr="0001050D">
        <w:rPr>
          <w:i/>
        </w:rPr>
        <w:t>Riccuito</w:t>
      </w:r>
      <w:proofErr w:type="spellEnd"/>
      <w:r w:rsidR="00B16108" w:rsidRPr="0001050D">
        <w:rPr>
          <w:i/>
        </w:rPr>
        <w:t xml:space="preserve"> et al</w:t>
      </w:r>
      <w:r w:rsidR="00B16108">
        <w:rPr>
          <w:i/>
        </w:rPr>
        <w:t xml:space="preserve"> </w:t>
      </w:r>
      <w:r w:rsidR="00B16108">
        <w:t>do not discuss faecal calprotectin</w:t>
      </w:r>
      <w:r w:rsidR="007A590B">
        <w:t>,</w:t>
      </w:r>
      <w:r w:rsidR="00B16108">
        <w:t xml:space="preserve"> the </w:t>
      </w:r>
      <w:r w:rsidR="00961992">
        <w:t xml:space="preserve">key message from the authors of </w:t>
      </w:r>
      <w:r w:rsidR="00B86252">
        <w:t xml:space="preserve">trying to </w:t>
      </w:r>
      <w:r w:rsidR="00961992">
        <w:t>minimis</w:t>
      </w:r>
      <w:r w:rsidR="00B86252">
        <w:t>e</w:t>
      </w:r>
      <w:r w:rsidR="00961992">
        <w:t xml:space="preserve"> delay in non-specialised services </w:t>
      </w:r>
      <w:r w:rsidR="00003D8B">
        <w:t>suggest a role for</w:t>
      </w:r>
      <w:r w:rsidR="00961992">
        <w:t xml:space="preserve"> </w:t>
      </w:r>
      <w:r w:rsidR="002F2340">
        <w:t>a rapid screening tool</w:t>
      </w:r>
      <w:r w:rsidR="009C4C67">
        <w:t>.</w:t>
      </w:r>
      <w:r w:rsidR="00E20B6F">
        <w:t xml:space="preserve"> </w:t>
      </w:r>
      <w:r w:rsidR="00333D44">
        <w:t>Implementation would potentially enable</w:t>
      </w:r>
      <w:r w:rsidR="002F2340">
        <w:t xml:space="preserve"> fast-track referral to a paediatric gastroenterologist</w:t>
      </w:r>
      <w:r w:rsidR="00044F54">
        <w:t xml:space="preserve"> and a quicker</w:t>
      </w:r>
      <w:r w:rsidR="00333D44">
        <w:t xml:space="preserve"> diagnosis</w:t>
      </w:r>
      <w:r w:rsidR="002F2340">
        <w:t xml:space="preserve">. </w:t>
      </w:r>
      <w:r w:rsidR="00BF1EDF">
        <w:t xml:space="preserve"> </w:t>
      </w:r>
      <w:r w:rsidR="00B53C6C">
        <w:t>A major challenge of</w:t>
      </w:r>
      <w:r w:rsidR="00D86EE8">
        <w:t xml:space="preserve"> implementation of such a </w:t>
      </w:r>
      <w:r w:rsidR="00B53C6C">
        <w:t>system would be the cut-off value for faecal calprotectin</w:t>
      </w:r>
      <w:r w:rsidR="00FD6130">
        <w:t>.  T</w:t>
      </w:r>
      <w:r w:rsidR="00B53C6C">
        <w:t xml:space="preserve">able </w:t>
      </w:r>
      <w:r w:rsidR="006B5F68">
        <w:t xml:space="preserve">2 </w:t>
      </w:r>
      <w:r w:rsidR="007A590B">
        <w:t xml:space="preserve">shows that </w:t>
      </w:r>
      <w:r w:rsidR="00534FA2">
        <w:t>specificity</w:t>
      </w:r>
      <w:r w:rsidR="009353FC">
        <w:t xml:space="preserve"> and</w:t>
      </w:r>
      <w:r w:rsidR="00003D8B">
        <w:t xml:space="preserve"> </w:t>
      </w:r>
      <w:r w:rsidR="00E83E4C">
        <w:t>sensitivity are altered</w:t>
      </w:r>
      <w:r w:rsidR="00534FA2">
        <w:t xml:space="preserve"> </w:t>
      </w:r>
      <w:r w:rsidR="00FD6130">
        <w:t>significantly</w:t>
      </w:r>
      <w:r w:rsidR="00E83E4C">
        <w:t xml:space="preserve"> </w:t>
      </w:r>
      <w:r w:rsidR="00E83E4C">
        <w:lastRenderedPageBreak/>
        <w:t xml:space="preserve">by </w:t>
      </w:r>
      <w:r w:rsidR="00534FA2">
        <w:t xml:space="preserve">varying </w:t>
      </w:r>
      <w:r w:rsidR="00E83E4C">
        <w:t xml:space="preserve">the </w:t>
      </w:r>
      <w:r w:rsidR="00534FA2">
        <w:t xml:space="preserve">‘normal’ </w:t>
      </w:r>
      <w:r w:rsidR="00E83E4C">
        <w:t xml:space="preserve">cut-off value </w:t>
      </w:r>
      <w:r w:rsidR="00044F54">
        <w:t>for faecal calprotectin</w:t>
      </w:r>
      <w:r w:rsidR="009353FC">
        <w:t xml:space="preserve">. </w:t>
      </w:r>
      <w:r w:rsidR="007A590B">
        <w:t>T</w:t>
      </w:r>
      <w:r w:rsidR="009353FC">
        <w:t>he likelihood of having a diagnosis of IBD with a faecal calprotectin of greater than 50 is only 62% whereas values above 800 indicate that 93% of patients will have a diagnosis of IBD</w:t>
      </w:r>
      <w:r w:rsidR="00350E7C">
        <w:fldChar w:fldCharType="begin" w:fldLock="1"/>
      </w:r>
      <w:r w:rsidR="00B10F18">
        <w:instrText>ADDIN CSL_CITATION { "citationItems" : [ { "id" : "ITEM-1", "itemData" : { "DOI" : "10.1038/ajg.2013.131", "ISSN" : "1572-0241", "author" : [ { "dropping-particle" : "", "family" : "Henderson", "given" : "P", "non-dropping-particle" : "", "parse-names" : false, "suffix" : "" }, { "dropping-particle" : "", "family" : "Anderson", "given" : "N H", "non-dropping-particle" : "", "parse-names" : false, "suffix" : "" }, { "dropping-particle" : "", "family" : "Wilson", "given" : "D C", "non-dropping-particle" : "", "parse-names" : false, "suffix" : "" } ], "container-title" : "Am J Gastroenterol", "id" : "ITEM-1", "issue" : "5", "issued" : { "date-parts" : [ [ "2014" ] ] }, "page" : "637-645", "title" : "The diagnostic accuracy of fecal calprotectin during the investigation of suspected pediatric inflammatory bowel disease: a systematic review and meta-analysis", "type" : "article-journal", "volume" : "109" }, "uris" : [ "http://www.mendeley.com/documents/?uuid=4ceb8279-7b8e-4ec5-ba86-bc001dd5b591" ] } ], "mendeley" : { "formattedCitation" : "[4]", "plainTextFormattedCitation" : "[4]", "previouslyFormattedCitation" : "[4]" }, "properties" : { "noteIndex" : 4 }, "schema" : "https://github.com/citation-style-language/schema/raw/master/csl-citation.json" }</w:instrText>
      </w:r>
      <w:r w:rsidR="00350E7C">
        <w:fldChar w:fldCharType="separate"/>
      </w:r>
      <w:r w:rsidR="00B10F18" w:rsidRPr="00B10F18">
        <w:rPr>
          <w:noProof/>
        </w:rPr>
        <w:t>[4]</w:t>
      </w:r>
      <w:r w:rsidR="00350E7C">
        <w:fldChar w:fldCharType="end"/>
      </w:r>
      <w:r w:rsidR="00E83E4C">
        <w:t xml:space="preserve">. </w:t>
      </w:r>
      <w:r w:rsidR="009353FC">
        <w:t xml:space="preserve">A consensus value </w:t>
      </w:r>
      <w:r w:rsidR="00B86252">
        <w:t>need</w:t>
      </w:r>
      <w:r w:rsidR="00E575EF">
        <w:t xml:space="preserve">s </w:t>
      </w:r>
      <w:r w:rsidR="009353FC">
        <w:t xml:space="preserve">to be reached </w:t>
      </w:r>
      <w:r w:rsidR="00E575EF">
        <w:t xml:space="preserve">a trigger </w:t>
      </w:r>
      <w:r w:rsidR="009353FC">
        <w:t>for a fast-track referral</w:t>
      </w:r>
      <w:r w:rsidR="00E575EF">
        <w:t>.</w:t>
      </w:r>
    </w:p>
    <w:p w14:paraId="3214C06A" w14:textId="6D90711E" w:rsidR="00003D8B" w:rsidRDefault="00CF2B5A" w:rsidP="008C098F">
      <w:pPr>
        <w:spacing w:line="480" w:lineRule="auto"/>
      </w:pPr>
      <w:r>
        <w:t>S</w:t>
      </w:r>
      <w:r w:rsidR="008C098F">
        <w:t>ignificant delay in diagnosis for children with IBD</w:t>
      </w:r>
      <w:r w:rsidR="003D101B">
        <w:t>, and subsequent impact</w:t>
      </w:r>
      <w:r w:rsidR="009A3040">
        <w:t xml:space="preserve"> on growth </w:t>
      </w:r>
      <w:r w:rsidR="005D4A1F">
        <w:t>is</w:t>
      </w:r>
      <w:r w:rsidR="003D101B">
        <w:t xml:space="preserve"> unacceptable</w:t>
      </w:r>
      <w:r w:rsidR="008C098F">
        <w:t xml:space="preserve">. </w:t>
      </w:r>
      <w:r w:rsidR="009A3040">
        <w:t xml:space="preserve">Whilst the authors </w:t>
      </w:r>
      <w:r w:rsidR="003D101B">
        <w:t xml:space="preserve">report </w:t>
      </w:r>
      <w:r w:rsidR="009A3040">
        <w:t xml:space="preserve">the longest time delay appears to lie </w:t>
      </w:r>
      <w:r w:rsidR="00185290">
        <w:t xml:space="preserve">in </w:t>
      </w:r>
      <w:r w:rsidR="000D68F6">
        <w:t xml:space="preserve">prior to referral to specialist services </w:t>
      </w:r>
      <w:r w:rsidR="00185290">
        <w:t xml:space="preserve">there is </w:t>
      </w:r>
      <w:r w:rsidR="000D68F6">
        <w:t xml:space="preserve">undoubtedly </w:t>
      </w:r>
      <w:r w:rsidR="00185290">
        <w:t xml:space="preserve">a </w:t>
      </w:r>
      <w:r w:rsidR="0074438B">
        <w:t xml:space="preserve">need </w:t>
      </w:r>
      <w:r w:rsidR="00536A5F">
        <w:t>to improve</w:t>
      </w:r>
      <w:r w:rsidR="00563DE0">
        <w:t xml:space="preserve"> </w:t>
      </w:r>
      <w:r w:rsidR="00536A5F">
        <w:t xml:space="preserve">education </w:t>
      </w:r>
      <w:r w:rsidR="000D68F6">
        <w:t>and awareness</w:t>
      </w:r>
      <w:r w:rsidR="007E7556">
        <w:t xml:space="preserve">, </w:t>
      </w:r>
      <w:r w:rsidR="00536A5F">
        <w:t xml:space="preserve">enable </w:t>
      </w:r>
      <w:r w:rsidR="007E7556">
        <w:t>better communication</w:t>
      </w:r>
      <w:r w:rsidR="00563DE0">
        <w:t xml:space="preserve"> </w:t>
      </w:r>
      <w:r w:rsidR="0074438B">
        <w:t>between</w:t>
      </w:r>
      <w:r w:rsidR="00BA0A15">
        <w:t xml:space="preserve"> primary and specialist</w:t>
      </w:r>
      <w:r w:rsidR="00563DE0">
        <w:t xml:space="preserve"> care</w:t>
      </w:r>
      <w:r w:rsidR="007E7556">
        <w:t xml:space="preserve"> </w:t>
      </w:r>
      <w:r w:rsidR="00536A5F">
        <w:t xml:space="preserve">and </w:t>
      </w:r>
      <w:r w:rsidR="0074438B">
        <w:t xml:space="preserve">to develop </w:t>
      </w:r>
      <w:r w:rsidR="007E7556">
        <w:t xml:space="preserve">a fast-track, direct, referral </w:t>
      </w:r>
      <w:r w:rsidR="00536A5F">
        <w:t xml:space="preserve">system </w:t>
      </w:r>
      <w:r w:rsidR="000D68F6">
        <w:t>for children at high risk</w:t>
      </w:r>
      <w:r>
        <w:t xml:space="preserve">. </w:t>
      </w:r>
      <w:r w:rsidR="00D102AA">
        <w:t xml:space="preserve">As incidence of </w:t>
      </w:r>
      <w:r w:rsidR="00856196">
        <w:t>P</w:t>
      </w:r>
      <w:r w:rsidR="00D102AA">
        <w:t xml:space="preserve">IBD increases the challenge to all those involved </w:t>
      </w:r>
      <w:r w:rsidR="007F6F4E">
        <w:t xml:space="preserve">in the care of these children is to provide </w:t>
      </w:r>
      <w:r w:rsidR="008F4FE9">
        <w:t xml:space="preserve">a </w:t>
      </w:r>
      <w:r w:rsidR="007F6F4E">
        <w:t xml:space="preserve">rapid, </w:t>
      </w:r>
      <w:r w:rsidR="008F4FE9">
        <w:t>precise</w:t>
      </w:r>
      <w:r w:rsidR="007F6F4E">
        <w:t xml:space="preserve"> diagnosis enabling effective, prompt and holistic treatment. </w:t>
      </w:r>
    </w:p>
    <w:p w14:paraId="527B0CD0" w14:textId="77777777" w:rsidR="00E83E4C" w:rsidRDefault="00E83E4C" w:rsidP="00A67E57">
      <w:pPr>
        <w:spacing w:line="480" w:lineRule="auto"/>
        <w:rPr>
          <w:u w:val="single"/>
          <w:lang w:eastAsia="en-GB"/>
        </w:rPr>
      </w:pPr>
      <w:r w:rsidRPr="00534FA2">
        <w:rPr>
          <w:u w:val="single"/>
          <w:lang w:eastAsia="en-GB"/>
        </w:rPr>
        <w:t>Table 1</w:t>
      </w:r>
    </w:p>
    <w:p w14:paraId="55A76659" w14:textId="493E92C9" w:rsidR="003C7E05" w:rsidRPr="003C7E05" w:rsidRDefault="003C7E05" w:rsidP="00A67E57">
      <w:pPr>
        <w:spacing w:line="480" w:lineRule="auto"/>
        <w:rPr>
          <w:lang w:eastAsia="en-GB"/>
        </w:rPr>
      </w:pPr>
      <w:r w:rsidRPr="003C7E05">
        <w:rPr>
          <w:lang w:eastAsia="en-GB"/>
        </w:rPr>
        <w:lastRenderedPageBreak/>
        <w:t xml:space="preserve">Summary of red flag symptoms, signs and investigations for </w:t>
      </w:r>
      <w:r w:rsidR="00856196">
        <w:rPr>
          <w:lang w:eastAsia="en-GB"/>
        </w:rPr>
        <w:t>P</w:t>
      </w:r>
      <w:r w:rsidRPr="003C7E05">
        <w:rPr>
          <w:lang w:eastAsia="en-GB"/>
        </w:rPr>
        <w:t>IBD</w:t>
      </w:r>
      <w:r w:rsidR="00350E7C">
        <w:rPr>
          <w:lang w:eastAsia="en-GB"/>
        </w:rPr>
        <w:fldChar w:fldCharType="begin" w:fldLock="1"/>
      </w:r>
      <w:r w:rsidR="00B10F18">
        <w:rPr>
          <w:lang w:eastAsia="en-GB"/>
        </w:rPr>
        <w:instrText>ADDIN CSL_CITATION { "citationItems" : [ { "id" : "ITEM-1", "itemData" : { "DOI" : "10.1016/S2352-4642(17)30017-2", "abstract" : "&lt;h2&gt;Summary&lt;/h2&gt;&lt;p&gt;The incidence of early-onset paediatric inflammatory bowel disease is increasing worldwide. Defined as a diagnosis of Crohn's disease, ulcerative colitis, or inflammatory bowel disease unclassified before the age of 10 years, the disease is complex, multifactorial, and lifelong, and affects nutrition and psychological wellbeing. Over 200 genes have been implicated and a further 52 genes are known to cause monogenic disease, often presenting in infancy. Heritability of early-onset inflammatory bowel disease is hypothesised to be between that of infantile-onset (ie, &lt;6 years old) and adult-onset disease, with genetic cause characterised by a few genes with modest or large effect size. Although early-onset disease is typically more severe than infantile-onset and adult-onset disease, long-term morbidity has not been assessed. Disease management is multifaceted and multidisciplinary, and is focused on the safe induction of remission and prevention of relapse. Although the advent of monoclonal antibody therapy has had a positive effect in the management of inflammatory bowel disease, treatment effects in early-onset inflammatory bowel disease are less certain. Additional challenges include maintenance of growth, navigation of puberty, and transition to adult services for long-term management.&lt;/p&gt;", "author" : [ { "dropping-particle" : "", "family" : "Ashton", "given" : "James J", "non-dropping-particle" : "", "parse-names" : false, "suffix" : "" }, { "dropping-particle" : "", "family" : "Ennis", "given" : "Sarah", "non-dropping-particle" : "", "parse-names" : false, "suffix" : "" }, { "dropping-particle" : "", "family" : "Beattie", "given" : "R Mark", "non-dropping-particle" : "", "parse-names" : false, "suffix" : "" } ], "container-title" : "The Lancet Child &amp; Adolescent Health", "id" : "ITEM-1", "issue" : "2", "issued" : { "date-parts" : [ [ "2017", "10", "1" ] ] }, "page" : "147-158", "publisher" : "Elsevier", "title" : "Early-onset paediatric inflammatory bowel disease", "type" : "article-journal", "volume" : "1" }, "uris" : [ "http://www.mendeley.com/documents/?uuid=b82bffbd-1b99-3c48-af89-f3ed5c3e8636" ] } ], "mendeley" : { "formattedCitation" : "[3]", "plainTextFormattedCitation" : "[3]", "previouslyFormattedCitation" : "[3]" }, "properties" : { "noteIndex" : 6 }, "schema" : "https://github.com/citation-style-language/schema/raw/master/csl-citation.json" }</w:instrText>
      </w:r>
      <w:r w:rsidR="00350E7C">
        <w:rPr>
          <w:lang w:eastAsia="en-GB"/>
        </w:rPr>
        <w:fldChar w:fldCharType="separate"/>
      </w:r>
      <w:r w:rsidR="00B10F18" w:rsidRPr="00B10F18">
        <w:rPr>
          <w:noProof/>
          <w:lang w:eastAsia="en-GB"/>
        </w:rPr>
        <w:t>[3]</w:t>
      </w:r>
      <w:r w:rsidR="00350E7C">
        <w:rPr>
          <w:lang w:eastAsia="en-GB"/>
        </w:rPr>
        <w:fldChar w:fldCharType="end"/>
      </w:r>
      <w:r w:rsidRPr="003C7E05">
        <w:rPr>
          <w:lang w:eastAsia="en-GB"/>
        </w:rPr>
        <w:t xml:space="preserve">. </w:t>
      </w:r>
    </w:p>
    <w:tbl>
      <w:tblPr>
        <w:tblStyle w:val="TableGrid"/>
        <w:tblW w:w="9067" w:type="dxa"/>
        <w:jc w:val="center"/>
        <w:tblLook w:val="04A0" w:firstRow="1" w:lastRow="0" w:firstColumn="1" w:lastColumn="0" w:noHBand="0" w:noVBand="1"/>
      </w:tblPr>
      <w:tblGrid>
        <w:gridCol w:w="1608"/>
        <w:gridCol w:w="7459"/>
      </w:tblGrid>
      <w:tr w:rsidR="003C7E05" w:rsidRPr="00E83E4C" w14:paraId="722BC57F" w14:textId="77777777" w:rsidTr="006B5F68">
        <w:trPr>
          <w:trHeight w:val="1159"/>
          <w:jc w:val="center"/>
        </w:trPr>
        <w:tc>
          <w:tcPr>
            <w:tcW w:w="1608" w:type="dxa"/>
          </w:tcPr>
          <w:p w14:paraId="120E358F" w14:textId="77777777" w:rsidR="003C7E05" w:rsidRPr="00534FA2" w:rsidRDefault="003C7E05" w:rsidP="009F2EA1">
            <w:pPr>
              <w:rPr>
                <w:b/>
                <w:lang w:eastAsia="en-GB"/>
              </w:rPr>
            </w:pPr>
            <w:r>
              <w:rPr>
                <w:b/>
                <w:lang w:eastAsia="en-GB"/>
              </w:rPr>
              <w:t>Symptom</w:t>
            </w:r>
            <w:r w:rsidR="006B5F68">
              <w:rPr>
                <w:b/>
                <w:lang w:eastAsia="en-GB"/>
              </w:rPr>
              <w:t>s</w:t>
            </w:r>
          </w:p>
        </w:tc>
        <w:tc>
          <w:tcPr>
            <w:tcW w:w="7459" w:type="dxa"/>
          </w:tcPr>
          <w:p w14:paraId="46295E87" w14:textId="77777777" w:rsidR="003C7E05" w:rsidRDefault="003C7E05" w:rsidP="003C7E05">
            <w:pPr>
              <w:pStyle w:val="ListParagraph"/>
              <w:numPr>
                <w:ilvl w:val="0"/>
                <w:numId w:val="3"/>
              </w:numPr>
              <w:rPr>
                <w:lang w:eastAsia="en-GB"/>
              </w:rPr>
            </w:pPr>
            <w:r>
              <w:rPr>
                <w:lang w:eastAsia="en-GB"/>
              </w:rPr>
              <w:t>Loose stools (diarrhoea) for &gt; 14 days without another cause (such as recent travel)</w:t>
            </w:r>
          </w:p>
          <w:p w14:paraId="3C1C47FF" w14:textId="77777777" w:rsidR="003C7E05" w:rsidRDefault="003C7E05" w:rsidP="003C7E05">
            <w:pPr>
              <w:pStyle w:val="ListParagraph"/>
              <w:numPr>
                <w:ilvl w:val="0"/>
                <w:numId w:val="3"/>
              </w:numPr>
              <w:rPr>
                <w:lang w:eastAsia="en-GB"/>
              </w:rPr>
            </w:pPr>
            <w:r>
              <w:rPr>
                <w:lang w:eastAsia="en-GB"/>
              </w:rPr>
              <w:t xml:space="preserve">Bloody diarrhoea or blood per rectum </w:t>
            </w:r>
          </w:p>
          <w:p w14:paraId="2402CB25" w14:textId="77777777" w:rsidR="003C7E05" w:rsidRDefault="003C7E05" w:rsidP="003C7E05">
            <w:pPr>
              <w:pStyle w:val="ListParagraph"/>
              <w:numPr>
                <w:ilvl w:val="0"/>
                <w:numId w:val="3"/>
              </w:numPr>
              <w:rPr>
                <w:lang w:eastAsia="en-GB"/>
              </w:rPr>
            </w:pPr>
            <w:r>
              <w:rPr>
                <w:lang w:eastAsia="en-GB"/>
              </w:rPr>
              <w:t>Weight loss (Crohn’s disease only)</w:t>
            </w:r>
          </w:p>
          <w:p w14:paraId="1A380530" w14:textId="77777777" w:rsidR="003C7E05" w:rsidRPr="00E83E4C" w:rsidRDefault="003C7E05" w:rsidP="006B5F68">
            <w:pPr>
              <w:pStyle w:val="ListParagraph"/>
              <w:numPr>
                <w:ilvl w:val="0"/>
                <w:numId w:val="3"/>
              </w:numPr>
              <w:rPr>
                <w:lang w:eastAsia="en-GB"/>
              </w:rPr>
            </w:pPr>
            <w:r>
              <w:rPr>
                <w:lang w:eastAsia="en-GB"/>
              </w:rPr>
              <w:t>Abdominal pain &gt;14 days without another cause (consider functional abdominal pain)</w:t>
            </w:r>
          </w:p>
        </w:tc>
      </w:tr>
      <w:tr w:rsidR="003C7E05" w:rsidRPr="00E83E4C" w14:paraId="12263396" w14:textId="77777777" w:rsidTr="00EF343F">
        <w:trPr>
          <w:trHeight w:val="898"/>
          <w:jc w:val="center"/>
        </w:trPr>
        <w:tc>
          <w:tcPr>
            <w:tcW w:w="1608" w:type="dxa"/>
          </w:tcPr>
          <w:p w14:paraId="144488C8" w14:textId="77777777" w:rsidR="003C7E05" w:rsidRPr="00534FA2" w:rsidRDefault="003C7E05" w:rsidP="009F2EA1">
            <w:pPr>
              <w:rPr>
                <w:b/>
                <w:lang w:eastAsia="en-GB"/>
              </w:rPr>
            </w:pPr>
            <w:r>
              <w:rPr>
                <w:b/>
                <w:lang w:eastAsia="en-GB"/>
              </w:rPr>
              <w:t>Sign</w:t>
            </w:r>
            <w:r w:rsidR="006B5F68">
              <w:rPr>
                <w:b/>
                <w:lang w:eastAsia="en-GB"/>
              </w:rPr>
              <w:t>s</w:t>
            </w:r>
          </w:p>
        </w:tc>
        <w:tc>
          <w:tcPr>
            <w:tcW w:w="7459" w:type="dxa"/>
          </w:tcPr>
          <w:p w14:paraId="24402D03" w14:textId="77777777" w:rsidR="003C7E05" w:rsidRDefault="003C7E05" w:rsidP="003C7E05">
            <w:pPr>
              <w:pStyle w:val="ListParagraph"/>
              <w:numPr>
                <w:ilvl w:val="0"/>
                <w:numId w:val="4"/>
              </w:numPr>
              <w:rPr>
                <w:lang w:eastAsia="en-GB"/>
              </w:rPr>
            </w:pPr>
            <w:r>
              <w:rPr>
                <w:lang w:eastAsia="en-GB"/>
              </w:rPr>
              <w:t>Perianal disease (fistulae, fissures and skin tags)</w:t>
            </w:r>
          </w:p>
          <w:p w14:paraId="4D0B8316" w14:textId="77777777" w:rsidR="003C7E05" w:rsidRDefault="006B5F68" w:rsidP="003C7E05">
            <w:pPr>
              <w:pStyle w:val="ListParagraph"/>
              <w:numPr>
                <w:ilvl w:val="0"/>
                <w:numId w:val="4"/>
              </w:numPr>
              <w:rPr>
                <w:lang w:eastAsia="en-GB"/>
              </w:rPr>
            </w:pPr>
            <w:r>
              <w:rPr>
                <w:lang w:eastAsia="en-GB"/>
              </w:rPr>
              <w:t>Frequent severe mouth ulcers (Crohn’s disease only)</w:t>
            </w:r>
          </w:p>
          <w:p w14:paraId="4DB0C945" w14:textId="77777777" w:rsidR="006B5F68" w:rsidRPr="00E83E4C" w:rsidRDefault="006B5F68" w:rsidP="003C7E05">
            <w:pPr>
              <w:pStyle w:val="ListParagraph"/>
              <w:numPr>
                <w:ilvl w:val="0"/>
                <w:numId w:val="4"/>
              </w:numPr>
              <w:rPr>
                <w:lang w:eastAsia="en-GB"/>
              </w:rPr>
            </w:pPr>
            <w:r>
              <w:rPr>
                <w:lang w:eastAsia="en-GB"/>
              </w:rPr>
              <w:t>Extra-intestinal manifestations (</w:t>
            </w:r>
            <w:proofErr w:type="spellStart"/>
            <w:r>
              <w:rPr>
                <w:lang w:eastAsia="en-GB"/>
              </w:rPr>
              <w:t>arthopathy</w:t>
            </w:r>
            <w:proofErr w:type="spellEnd"/>
            <w:r>
              <w:rPr>
                <w:lang w:eastAsia="en-GB"/>
              </w:rPr>
              <w:t xml:space="preserve">, uveitis, erythema </w:t>
            </w:r>
            <w:proofErr w:type="spellStart"/>
            <w:r>
              <w:rPr>
                <w:lang w:eastAsia="en-GB"/>
              </w:rPr>
              <w:t>nodosum</w:t>
            </w:r>
            <w:proofErr w:type="spellEnd"/>
            <w:r>
              <w:rPr>
                <w:lang w:eastAsia="en-GB"/>
              </w:rPr>
              <w:t>)</w:t>
            </w:r>
          </w:p>
        </w:tc>
      </w:tr>
      <w:tr w:rsidR="003C7E05" w:rsidRPr="00E83E4C" w14:paraId="4F29A081" w14:textId="77777777" w:rsidTr="006B5F68">
        <w:trPr>
          <w:trHeight w:val="1115"/>
          <w:jc w:val="center"/>
        </w:trPr>
        <w:tc>
          <w:tcPr>
            <w:tcW w:w="1608" w:type="dxa"/>
          </w:tcPr>
          <w:p w14:paraId="5E95BAF6" w14:textId="77777777" w:rsidR="003C7E05" w:rsidRPr="00534FA2" w:rsidRDefault="003C7E05" w:rsidP="009F2EA1">
            <w:pPr>
              <w:rPr>
                <w:b/>
                <w:lang w:eastAsia="en-GB"/>
              </w:rPr>
            </w:pPr>
            <w:r>
              <w:rPr>
                <w:b/>
                <w:lang w:eastAsia="en-GB"/>
              </w:rPr>
              <w:t>Investigation</w:t>
            </w:r>
            <w:r w:rsidR="006B5F68">
              <w:rPr>
                <w:b/>
                <w:lang w:eastAsia="en-GB"/>
              </w:rPr>
              <w:t>s</w:t>
            </w:r>
          </w:p>
        </w:tc>
        <w:tc>
          <w:tcPr>
            <w:tcW w:w="7459" w:type="dxa"/>
          </w:tcPr>
          <w:p w14:paraId="3132556C" w14:textId="77777777" w:rsidR="003C7E05" w:rsidRDefault="003C7E05" w:rsidP="003C7E05">
            <w:pPr>
              <w:pStyle w:val="ListParagraph"/>
              <w:numPr>
                <w:ilvl w:val="0"/>
                <w:numId w:val="2"/>
              </w:numPr>
              <w:rPr>
                <w:lang w:eastAsia="en-GB"/>
              </w:rPr>
            </w:pPr>
            <w:r>
              <w:rPr>
                <w:lang w:eastAsia="en-GB"/>
              </w:rPr>
              <w:t xml:space="preserve">Negative stool microscopy and culture </w:t>
            </w:r>
          </w:p>
          <w:p w14:paraId="7303D2D8" w14:textId="77777777" w:rsidR="003C7E05" w:rsidRDefault="003C7E05" w:rsidP="003C7E05">
            <w:pPr>
              <w:pStyle w:val="ListParagraph"/>
              <w:numPr>
                <w:ilvl w:val="0"/>
                <w:numId w:val="2"/>
              </w:numPr>
              <w:rPr>
                <w:lang w:eastAsia="en-GB"/>
              </w:rPr>
            </w:pPr>
            <w:r>
              <w:rPr>
                <w:lang w:eastAsia="en-GB"/>
              </w:rPr>
              <w:t>High inflammatory markers (CRP + ESR)</w:t>
            </w:r>
          </w:p>
          <w:p w14:paraId="74BC94AA" w14:textId="77777777" w:rsidR="003C7E05" w:rsidRDefault="003C7E05" w:rsidP="003C7E05">
            <w:pPr>
              <w:pStyle w:val="ListParagraph"/>
              <w:numPr>
                <w:ilvl w:val="0"/>
                <w:numId w:val="2"/>
              </w:numPr>
              <w:rPr>
                <w:lang w:eastAsia="en-GB"/>
              </w:rPr>
            </w:pPr>
            <w:r>
              <w:rPr>
                <w:lang w:eastAsia="en-GB"/>
              </w:rPr>
              <w:t>Low albumin</w:t>
            </w:r>
          </w:p>
          <w:p w14:paraId="01A022B1" w14:textId="77777777" w:rsidR="006B5F68" w:rsidRDefault="006B5F68" w:rsidP="003C7E05">
            <w:pPr>
              <w:pStyle w:val="ListParagraph"/>
              <w:numPr>
                <w:ilvl w:val="0"/>
                <w:numId w:val="2"/>
              </w:numPr>
              <w:rPr>
                <w:lang w:eastAsia="en-GB"/>
              </w:rPr>
            </w:pPr>
            <w:r>
              <w:rPr>
                <w:lang w:eastAsia="en-GB"/>
              </w:rPr>
              <w:t xml:space="preserve">Deranged liver function </w:t>
            </w:r>
          </w:p>
          <w:p w14:paraId="775F872F" w14:textId="77777777" w:rsidR="003C7E05" w:rsidRDefault="003C7E05" w:rsidP="003C7E05">
            <w:pPr>
              <w:pStyle w:val="ListParagraph"/>
              <w:numPr>
                <w:ilvl w:val="0"/>
                <w:numId w:val="2"/>
              </w:numPr>
              <w:rPr>
                <w:lang w:eastAsia="en-GB"/>
              </w:rPr>
            </w:pPr>
            <w:r>
              <w:rPr>
                <w:lang w:eastAsia="en-GB"/>
              </w:rPr>
              <w:t>High platelet count</w:t>
            </w:r>
          </w:p>
          <w:p w14:paraId="26D220B2" w14:textId="77777777" w:rsidR="003C7E05" w:rsidRDefault="003C7E05" w:rsidP="003C7E05">
            <w:pPr>
              <w:pStyle w:val="ListParagraph"/>
              <w:numPr>
                <w:ilvl w:val="0"/>
                <w:numId w:val="2"/>
              </w:numPr>
              <w:rPr>
                <w:lang w:eastAsia="en-GB"/>
              </w:rPr>
            </w:pPr>
            <w:r>
              <w:rPr>
                <w:lang w:eastAsia="en-GB"/>
              </w:rPr>
              <w:t>Low haemoglobin (especially in ulcerative colitis)</w:t>
            </w:r>
          </w:p>
          <w:p w14:paraId="663D0D07" w14:textId="77777777" w:rsidR="00856196" w:rsidRPr="00E83E4C" w:rsidRDefault="00856196" w:rsidP="003C7E05">
            <w:pPr>
              <w:pStyle w:val="ListParagraph"/>
              <w:numPr>
                <w:ilvl w:val="0"/>
                <w:numId w:val="2"/>
              </w:numPr>
              <w:rPr>
                <w:lang w:eastAsia="en-GB"/>
              </w:rPr>
            </w:pPr>
            <w:r>
              <w:rPr>
                <w:lang w:eastAsia="en-GB"/>
              </w:rPr>
              <w:t>Positive family history of IBD (of any type)</w:t>
            </w:r>
          </w:p>
        </w:tc>
      </w:tr>
    </w:tbl>
    <w:p w14:paraId="0AFF6256" w14:textId="77777777" w:rsidR="003C7E05" w:rsidRDefault="003C7E05" w:rsidP="00A67E57">
      <w:pPr>
        <w:spacing w:line="480" w:lineRule="auto"/>
        <w:rPr>
          <w:u w:val="single"/>
          <w:lang w:eastAsia="en-GB"/>
        </w:rPr>
      </w:pPr>
    </w:p>
    <w:p w14:paraId="026C3F2F" w14:textId="77777777" w:rsidR="003C7E05" w:rsidRPr="00534FA2" w:rsidRDefault="003C7E05" w:rsidP="00A67E57">
      <w:pPr>
        <w:spacing w:line="480" w:lineRule="auto"/>
        <w:rPr>
          <w:u w:val="single"/>
          <w:lang w:eastAsia="en-GB"/>
        </w:rPr>
      </w:pPr>
      <w:r>
        <w:rPr>
          <w:u w:val="single"/>
          <w:lang w:eastAsia="en-GB"/>
        </w:rPr>
        <w:t>Table 2</w:t>
      </w:r>
    </w:p>
    <w:p w14:paraId="0DC09B8F" w14:textId="2E3FE418" w:rsidR="00E83E4C" w:rsidRPr="00E83E4C" w:rsidRDefault="00E83E4C" w:rsidP="00A67E57">
      <w:pPr>
        <w:spacing w:line="480" w:lineRule="auto"/>
        <w:rPr>
          <w:lang w:eastAsia="en-GB"/>
        </w:rPr>
      </w:pPr>
      <w:r w:rsidRPr="00E83E4C">
        <w:rPr>
          <w:lang w:eastAsia="en-GB"/>
        </w:rPr>
        <w:t xml:space="preserve">Measures of diagnostic accuracy for increasing </w:t>
      </w:r>
      <w:r w:rsidR="00312C34">
        <w:rPr>
          <w:lang w:eastAsia="en-GB"/>
        </w:rPr>
        <w:t>concentration</w:t>
      </w:r>
      <w:r w:rsidR="00312C34" w:rsidRPr="00E83E4C">
        <w:rPr>
          <w:lang w:eastAsia="en-GB"/>
        </w:rPr>
        <w:t xml:space="preserve"> </w:t>
      </w:r>
      <w:r w:rsidRPr="00E83E4C">
        <w:rPr>
          <w:lang w:eastAsia="en-GB"/>
        </w:rPr>
        <w:t>of faecal calprotectin in children with suspected inflammatory bowel disease</w:t>
      </w:r>
      <w:r w:rsidR="00F31FF3">
        <w:rPr>
          <w:lang w:eastAsia="en-GB"/>
        </w:rPr>
        <w:t>. Data adapted from Henderson et al</w:t>
      </w:r>
      <w:r w:rsidR="00350E7C">
        <w:rPr>
          <w:lang w:eastAsia="en-GB"/>
        </w:rPr>
        <w:fldChar w:fldCharType="begin" w:fldLock="1"/>
      </w:r>
      <w:r w:rsidR="00B10F18">
        <w:rPr>
          <w:lang w:eastAsia="en-GB"/>
        </w:rPr>
        <w:instrText>ADDIN CSL_CITATION { "citationItems" : [ { "id" : "ITEM-1", "itemData" : { "DOI" : "10.1038/ajg.2013.131", "ISSN" : "1572-0241", "author" : [ { "dropping-particle" : "", "family" : "Henderson", "given" : "P", "non-dropping-particle" : "", "parse-names" : false, "suffix" : "" }, { "dropping-particle" : "", "family" : "Anderson", "given" : "N H", "non-dropping-particle" : "", "parse-names" : false, "suffix" : "" }, { "dropping-particle" : "", "family" : "Wilson", "given" : "D C", "non-dropping-particle" : "", "parse-names" : false, "suffix" : "" } ], "container-title" : "Am J Gastroenterol", "id" : "ITEM-1", "issue" : "5", "issued" : { "date-parts" : [ [ "2014" ] ] }, "page" : "637-645", "title" : "The diagnostic accuracy of fecal calprotectin during the investigation of suspected pediatric inflammatory bowel disease: a systematic review and meta-analysis", "type" : "article-journal", "volume" : "109" }, "uris" : [ "http://www.mendeley.com/documents/?uuid=4ceb8279-7b8e-4ec5-ba86-bc001dd5b591" ] } ], "mendeley" : { "formattedCitation" : "[4]", "plainTextFormattedCitation" : "[4]", "previouslyFormattedCitation" : "[4]" }, "properties" : { "noteIndex" : 6 }, "schema" : "https://github.com/citation-style-language/schema/raw/master/csl-citation.json" }</w:instrText>
      </w:r>
      <w:r w:rsidR="00350E7C">
        <w:rPr>
          <w:lang w:eastAsia="en-GB"/>
        </w:rPr>
        <w:fldChar w:fldCharType="separate"/>
      </w:r>
      <w:r w:rsidR="00B10F18" w:rsidRPr="00B10F18">
        <w:rPr>
          <w:noProof/>
          <w:lang w:eastAsia="en-GB"/>
        </w:rPr>
        <w:t>[4]</w:t>
      </w:r>
      <w:r w:rsidR="00350E7C">
        <w:rPr>
          <w:lang w:eastAsia="en-GB"/>
        </w:rPr>
        <w:fldChar w:fldCharType="end"/>
      </w:r>
      <w:r w:rsidR="00DD5DE2">
        <w:rPr>
          <w:lang w:eastAsia="en-GB"/>
        </w:rPr>
        <w:t>.</w:t>
      </w:r>
    </w:p>
    <w:tbl>
      <w:tblPr>
        <w:tblStyle w:val="TableGrid"/>
        <w:tblW w:w="5625" w:type="dxa"/>
        <w:tblLook w:val="04A0" w:firstRow="1" w:lastRow="0" w:firstColumn="1" w:lastColumn="0" w:noHBand="0" w:noVBand="1"/>
      </w:tblPr>
      <w:tblGrid>
        <w:gridCol w:w="3275"/>
        <w:gridCol w:w="1182"/>
        <w:gridCol w:w="1168"/>
      </w:tblGrid>
      <w:tr w:rsidR="009353FC" w:rsidRPr="00E83E4C" w14:paraId="37E59CBA" w14:textId="77777777" w:rsidTr="00F31FF3">
        <w:trPr>
          <w:trHeight w:val="444"/>
        </w:trPr>
        <w:tc>
          <w:tcPr>
            <w:tcW w:w="0" w:type="auto"/>
            <w:hideMark/>
          </w:tcPr>
          <w:p w14:paraId="311C7A3F" w14:textId="77777777" w:rsidR="009353FC" w:rsidRPr="00534FA2" w:rsidRDefault="009353FC" w:rsidP="00534FA2">
            <w:pPr>
              <w:rPr>
                <w:b/>
                <w:lang w:eastAsia="en-GB"/>
              </w:rPr>
            </w:pPr>
            <w:r w:rsidRPr="00534FA2">
              <w:rPr>
                <w:b/>
                <w:lang w:eastAsia="en-GB"/>
              </w:rPr>
              <w:t>Faecal calprotectin cut-off (µg/g)</w:t>
            </w:r>
          </w:p>
        </w:tc>
        <w:tc>
          <w:tcPr>
            <w:tcW w:w="0" w:type="auto"/>
            <w:hideMark/>
          </w:tcPr>
          <w:p w14:paraId="2C8A7D55" w14:textId="77777777" w:rsidR="009353FC" w:rsidRPr="00534FA2" w:rsidRDefault="009353FC" w:rsidP="00F31FF3">
            <w:pPr>
              <w:rPr>
                <w:b/>
                <w:lang w:eastAsia="en-GB"/>
              </w:rPr>
            </w:pPr>
            <w:r w:rsidRPr="00534FA2">
              <w:rPr>
                <w:b/>
                <w:lang w:eastAsia="en-GB"/>
              </w:rPr>
              <w:t>Sens</w:t>
            </w:r>
            <w:r w:rsidR="00F31FF3">
              <w:rPr>
                <w:b/>
                <w:lang w:eastAsia="en-GB"/>
              </w:rPr>
              <w:t>itivity</w:t>
            </w:r>
            <w:r w:rsidRPr="00534FA2">
              <w:rPr>
                <w:b/>
                <w:lang w:eastAsia="en-GB"/>
              </w:rPr>
              <w:t xml:space="preserve"> </w:t>
            </w:r>
          </w:p>
        </w:tc>
        <w:tc>
          <w:tcPr>
            <w:tcW w:w="0" w:type="auto"/>
            <w:hideMark/>
          </w:tcPr>
          <w:p w14:paraId="57F6F36E" w14:textId="77777777" w:rsidR="009353FC" w:rsidRPr="00534FA2" w:rsidRDefault="00F31FF3" w:rsidP="00F31FF3">
            <w:pPr>
              <w:rPr>
                <w:b/>
                <w:lang w:eastAsia="en-GB"/>
              </w:rPr>
            </w:pPr>
            <w:r>
              <w:rPr>
                <w:b/>
                <w:lang w:eastAsia="en-GB"/>
              </w:rPr>
              <w:t>Specificity</w:t>
            </w:r>
          </w:p>
        </w:tc>
      </w:tr>
      <w:tr w:rsidR="009353FC" w:rsidRPr="00E83E4C" w14:paraId="565EF5B1" w14:textId="77777777" w:rsidTr="00F31FF3">
        <w:trPr>
          <w:trHeight w:val="444"/>
        </w:trPr>
        <w:tc>
          <w:tcPr>
            <w:tcW w:w="0" w:type="auto"/>
            <w:hideMark/>
          </w:tcPr>
          <w:p w14:paraId="7EBA5645" w14:textId="77777777" w:rsidR="009353FC" w:rsidRPr="00534FA2" w:rsidRDefault="009353FC" w:rsidP="00534FA2">
            <w:pPr>
              <w:rPr>
                <w:b/>
                <w:lang w:eastAsia="en-GB"/>
              </w:rPr>
            </w:pPr>
            <w:r w:rsidRPr="00534FA2">
              <w:rPr>
                <w:b/>
                <w:lang w:eastAsia="en-GB"/>
              </w:rPr>
              <w:t>&gt;50</w:t>
            </w:r>
          </w:p>
        </w:tc>
        <w:tc>
          <w:tcPr>
            <w:tcW w:w="0" w:type="auto"/>
            <w:hideMark/>
          </w:tcPr>
          <w:p w14:paraId="4D8C98F1" w14:textId="77777777" w:rsidR="009353FC" w:rsidRPr="00E83E4C" w:rsidRDefault="009353FC" w:rsidP="00F31FF3">
            <w:pPr>
              <w:rPr>
                <w:lang w:eastAsia="en-GB"/>
              </w:rPr>
            </w:pPr>
            <w:r w:rsidRPr="00E83E4C">
              <w:rPr>
                <w:lang w:eastAsia="en-GB"/>
              </w:rPr>
              <w:t xml:space="preserve">0.98 </w:t>
            </w:r>
          </w:p>
        </w:tc>
        <w:tc>
          <w:tcPr>
            <w:tcW w:w="0" w:type="auto"/>
            <w:hideMark/>
          </w:tcPr>
          <w:p w14:paraId="25D42367" w14:textId="77777777" w:rsidR="009353FC" w:rsidRPr="00E83E4C" w:rsidRDefault="009353FC" w:rsidP="00F31FF3">
            <w:pPr>
              <w:rPr>
                <w:lang w:eastAsia="en-GB"/>
              </w:rPr>
            </w:pPr>
            <w:r w:rsidRPr="00E83E4C">
              <w:rPr>
                <w:lang w:eastAsia="en-GB"/>
              </w:rPr>
              <w:t xml:space="preserve">0.44 </w:t>
            </w:r>
          </w:p>
        </w:tc>
      </w:tr>
      <w:tr w:rsidR="009353FC" w:rsidRPr="00E83E4C" w14:paraId="0FA7738E" w14:textId="77777777" w:rsidTr="00F31FF3">
        <w:trPr>
          <w:trHeight w:val="444"/>
        </w:trPr>
        <w:tc>
          <w:tcPr>
            <w:tcW w:w="0" w:type="auto"/>
            <w:hideMark/>
          </w:tcPr>
          <w:p w14:paraId="140467E3" w14:textId="77777777" w:rsidR="009353FC" w:rsidRPr="00534FA2" w:rsidRDefault="009353FC" w:rsidP="00534FA2">
            <w:pPr>
              <w:rPr>
                <w:b/>
                <w:lang w:eastAsia="en-GB"/>
              </w:rPr>
            </w:pPr>
            <w:r w:rsidRPr="00534FA2">
              <w:rPr>
                <w:b/>
                <w:lang w:eastAsia="en-GB"/>
              </w:rPr>
              <w:t>&gt;100</w:t>
            </w:r>
          </w:p>
        </w:tc>
        <w:tc>
          <w:tcPr>
            <w:tcW w:w="0" w:type="auto"/>
            <w:hideMark/>
          </w:tcPr>
          <w:p w14:paraId="0812281D" w14:textId="77777777" w:rsidR="009353FC" w:rsidRPr="00E83E4C" w:rsidRDefault="009353FC" w:rsidP="00F31FF3">
            <w:pPr>
              <w:rPr>
                <w:lang w:eastAsia="en-GB"/>
              </w:rPr>
            </w:pPr>
            <w:r w:rsidRPr="00E83E4C">
              <w:rPr>
                <w:lang w:eastAsia="en-GB"/>
              </w:rPr>
              <w:t xml:space="preserve">0.97 </w:t>
            </w:r>
          </w:p>
        </w:tc>
        <w:tc>
          <w:tcPr>
            <w:tcW w:w="0" w:type="auto"/>
            <w:hideMark/>
          </w:tcPr>
          <w:p w14:paraId="3B99A04D" w14:textId="77777777" w:rsidR="009353FC" w:rsidRPr="00E83E4C" w:rsidRDefault="009353FC" w:rsidP="00F31FF3">
            <w:pPr>
              <w:rPr>
                <w:lang w:eastAsia="en-GB"/>
              </w:rPr>
            </w:pPr>
            <w:r w:rsidRPr="00E83E4C">
              <w:rPr>
                <w:lang w:eastAsia="en-GB"/>
              </w:rPr>
              <w:t xml:space="preserve">0.59 </w:t>
            </w:r>
          </w:p>
        </w:tc>
      </w:tr>
      <w:tr w:rsidR="009353FC" w:rsidRPr="00E83E4C" w14:paraId="11C90C71" w14:textId="77777777" w:rsidTr="00F31FF3">
        <w:trPr>
          <w:trHeight w:val="428"/>
        </w:trPr>
        <w:tc>
          <w:tcPr>
            <w:tcW w:w="0" w:type="auto"/>
            <w:hideMark/>
          </w:tcPr>
          <w:p w14:paraId="2608D04D" w14:textId="77777777" w:rsidR="009353FC" w:rsidRPr="00534FA2" w:rsidRDefault="009353FC" w:rsidP="00534FA2">
            <w:pPr>
              <w:rPr>
                <w:b/>
                <w:lang w:eastAsia="en-GB"/>
              </w:rPr>
            </w:pPr>
            <w:r w:rsidRPr="00534FA2">
              <w:rPr>
                <w:b/>
                <w:lang w:eastAsia="en-GB"/>
              </w:rPr>
              <w:t>&gt;200</w:t>
            </w:r>
          </w:p>
        </w:tc>
        <w:tc>
          <w:tcPr>
            <w:tcW w:w="0" w:type="auto"/>
            <w:hideMark/>
          </w:tcPr>
          <w:p w14:paraId="3B2BD8EA" w14:textId="77777777" w:rsidR="009353FC" w:rsidRPr="00E83E4C" w:rsidRDefault="009353FC" w:rsidP="00F31FF3">
            <w:pPr>
              <w:rPr>
                <w:lang w:eastAsia="en-GB"/>
              </w:rPr>
            </w:pPr>
            <w:r w:rsidRPr="00E83E4C">
              <w:rPr>
                <w:lang w:eastAsia="en-GB"/>
              </w:rPr>
              <w:t xml:space="preserve">0.93 </w:t>
            </w:r>
          </w:p>
        </w:tc>
        <w:tc>
          <w:tcPr>
            <w:tcW w:w="0" w:type="auto"/>
            <w:hideMark/>
          </w:tcPr>
          <w:p w14:paraId="1C2D52AA" w14:textId="77777777" w:rsidR="009353FC" w:rsidRPr="00E83E4C" w:rsidRDefault="009353FC" w:rsidP="00F31FF3">
            <w:pPr>
              <w:rPr>
                <w:lang w:eastAsia="en-GB"/>
              </w:rPr>
            </w:pPr>
            <w:r w:rsidRPr="00E83E4C">
              <w:rPr>
                <w:lang w:eastAsia="en-GB"/>
              </w:rPr>
              <w:t xml:space="preserve">0.74 </w:t>
            </w:r>
          </w:p>
        </w:tc>
      </w:tr>
      <w:tr w:rsidR="009353FC" w:rsidRPr="00E83E4C" w14:paraId="7A2D601B" w14:textId="77777777" w:rsidTr="00F31FF3">
        <w:trPr>
          <w:trHeight w:val="444"/>
        </w:trPr>
        <w:tc>
          <w:tcPr>
            <w:tcW w:w="0" w:type="auto"/>
            <w:hideMark/>
          </w:tcPr>
          <w:p w14:paraId="68EF05DE" w14:textId="77777777" w:rsidR="009353FC" w:rsidRPr="00534FA2" w:rsidRDefault="009353FC" w:rsidP="00534FA2">
            <w:pPr>
              <w:rPr>
                <w:b/>
                <w:lang w:eastAsia="en-GB"/>
              </w:rPr>
            </w:pPr>
            <w:r w:rsidRPr="00534FA2">
              <w:rPr>
                <w:b/>
                <w:lang w:eastAsia="en-GB"/>
              </w:rPr>
              <w:t>&gt;800</w:t>
            </w:r>
          </w:p>
        </w:tc>
        <w:tc>
          <w:tcPr>
            <w:tcW w:w="0" w:type="auto"/>
            <w:hideMark/>
          </w:tcPr>
          <w:p w14:paraId="34C1060B" w14:textId="77777777" w:rsidR="009353FC" w:rsidRPr="00E83E4C" w:rsidRDefault="009353FC" w:rsidP="00F31FF3">
            <w:pPr>
              <w:rPr>
                <w:lang w:eastAsia="en-GB"/>
              </w:rPr>
            </w:pPr>
            <w:r w:rsidRPr="00E83E4C">
              <w:rPr>
                <w:lang w:eastAsia="en-GB"/>
              </w:rPr>
              <w:t xml:space="preserve">0.73 </w:t>
            </w:r>
          </w:p>
        </w:tc>
        <w:tc>
          <w:tcPr>
            <w:tcW w:w="0" w:type="auto"/>
            <w:hideMark/>
          </w:tcPr>
          <w:p w14:paraId="6C119927" w14:textId="77777777" w:rsidR="009353FC" w:rsidRPr="00E83E4C" w:rsidRDefault="009353FC" w:rsidP="00F31FF3">
            <w:pPr>
              <w:rPr>
                <w:lang w:eastAsia="en-GB"/>
              </w:rPr>
            </w:pPr>
            <w:r w:rsidRPr="00E83E4C">
              <w:rPr>
                <w:lang w:eastAsia="en-GB"/>
              </w:rPr>
              <w:t xml:space="preserve">0.95 </w:t>
            </w:r>
          </w:p>
        </w:tc>
      </w:tr>
    </w:tbl>
    <w:p w14:paraId="078F685F" w14:textId="77777777" w:rsidR="009A4E29" w:rsidRDefault="009A4E29" w:rsidP="00667319">
      <w:pPr>
        <w:spacing w:line="480" w:lineRule="auto"/>
        <w:rPr>
          <w:u w:val="single"/>
        </w:rPr>
      </w:pPr>
      <w:r w:rsidRPr="009A4E29">
        <w:rPr>
          <w:u w:val="single"/>
        </w:rPr>
        <w:t xml:space="preserve">References </w:t>
      </w:r>
    </w:p>
    <w:p w14:paraId="4E10FB9D" w14:textId="0472C9A0" w:rsidR="00B10F18" w:rsidRPr="00B10F18" w:rsidRDefault="00350E7C" w:rsidP="00B10F18">
      <w:pPr>
        <w:widowControl w:val="0"/>
        <w:autoSpaceDE w:val="0"/>
        <w:autoSpaceDN w:val="0"/>
        <w:adjustRightInd w:val="0"/>
        <w:spacing w:line="480" w:lineRule="auto"/>
        <w:ind w:left="640" w:hanging="640"/>
        <w:rPr>
          <w:rFonts w:ascii="Calibri" w:hAnsi="Calibri" w:cs="Times New Roman"/>
          <w:noProof/>
          <w:szCs w:val="24"/>
        </w:rPr>
      </w:pPr>
      <w:r>
        <w:rPr>
          <w:u w:val="single"/>
        </w:rPr>
        <w:lastRenderedPageBreak/>
        <w:fldChar w:fldCharType="begin" w:fldLock="1"/>
      </w:r>
      <w:r w:rsidR="009A4E29">
        <w:rPr>
          <w:u w:val="single"/>
        </w:rPr>
        <w:instrText xml:space="preserve">ADDIN Mendeley Bibliography CSL_BIBLIOGRAPHY </w:instrText>
      </w:r>
      <w:r>
        <w:rPr>
          <w:u w:val="single"/>
        </w:rPr>
        <w:fldChar w:fldCharType="separate"/>
      </w:r>
      <w:r w:rsidR="00B10F18" w:rsidRPr="00B10F18">
        <w:rPr>
          <w:rFonts w:ascii="Calibri" w:hAnsi="Calibri" w:cs="Times New Roman"/>
          <w:noProof/>
          <w:szCs w:val="24"/>
        </w:rPr>
        <w:t xml:space="preserve">1 </w:t>
      </w:r>
      <w:r w:rsidR="00B10F18" w:rsidRPr="00B10F18">
        <w:rPr>
          <w:rFonts w:ascii="Calibri" w:hAnsi="Calibri" w:cs="Times New Roman"/>
          <w:noProof/>
          <w:szCs w:val="24"/>
        </w:rPr>
        <w:tab/>
        <w:t xml:space="preserve">Ricciuto A, Fish JR, Tomalty DE, </w:t>
      </w:r>
      <w:r w:rsidR="00B10F18" w:rsidRPr="00B10F18">
        <w:rPr>
          <w:rFonts w:ascii="Calibri" w:hAnsi="Calibri" w:cs="Times New Roman"/>
          <w:i/>
          <w:iCs/>
          <w:noProof/>
          <w:szCs w:val="24"/>
        </w:rPr>
        <w:t>et al.</w:t>
      </w:r>
      <w:r w:rsidR="00B10F18" w:rsidRPr="00B10F18">
        <w:rPr>
          <w:rFonts w:ascii="Calibri" w:hAnsi="Calibri" w:cs="Times New Roman"/>
          <w:noProof/>
          <w:szCs w:val="24"/>
        </w:rPr>
        <w:t xml:space="preserve"> Diagnostic delay in Canadian children with inflammatory bowel disease is more common in Crohn’s disease and associated with decreased height. </w:t>
      </w:r>
      <w:r w:rsidR="00B10F18" w:rsidRPr="00B10F18">
        <w:rPr>
          <w:rFonts w:ascii="Calibri" w:hAnsi="Calibri" w:cs="Times New Roman"/>
          <w:i/>
          <w:iCs/>
          <w:noProof/>
          <w:szCs w:val="24"/>
        </w:rPr>
        <w:t>Arch Dis Child</w:t>
      </w:r>
      <w:r w:rsidR="00B10F18" w:rsidRPr="00B10F18">
        <w:rPr>
          <w:rFonts w:ascii="Calibri" w:hAnsi="Calibri" w:cs="Times New Roman"/>
          <w:noProof/>
          <w:szCs w:val="24"/>
        </w:rPr>
        <w:t xml:space="preserve"> 2017;:archdischild-2017-313060. doi:10.1136/archdischild-2017-313060</w:t>
      </w:r>
    </w:p>
    <w:p w14:paraId="7C91A094" w14:textId="77777777" w:rsidR="00B10F18" w:rsidRPr="00B10F18" w:rsidRDefault="00B10F18" w:rsidP="00B10F18">
      <w:pPr>
        <w:widowControl w:val="0"/>
        <w:autoSpaceDE w:val="0"/>
        <w:autoSpaceDN w:val="0"/>
        <w:adjustRightInd w:val="0"/>
        <w:spacing w:line="480" w:lineRule="auto"/>
        <w:ind w:left="640" w:hanging="640"/>
        <w:rPr>
          <w:rFonts w:ascii="Calibri" w:hAnsi="Calibri" w:cs="Times New Roman"/>
          <w:noProof/>
          <w:szCs w:val="24"/>
        </w:rPr>
      </w:pPr>
      <w:r w:rsidRPr="00B10F18">
        <w:rPr>
          <w:rFonts w:ascii="Calibri" w:hAnsi="Calibri" w:cs="Times New Roman"/>
          <w:noProof/>
          <w:szCs w:val="24"/>
        </w:rPr>
        <w:t xml:space="preserve">2 </w:t>
      </w:r>
      <w:r w:rsidRPr="00B10F18">
        <w:rPr>
          <w:rFonts w:ascii="Calibri" w:hAnsi="Calibri" w:cs="Times New Roman"/>
          <w:noProof/>
          <w:szCs w:val="24"/>
        </w:rPr>
        <w:tab/>
        <w:t xml:space="preserve">Ashton JJ, Wiskin AE, Ennis S, </w:t>
      </w:r>
      <w:r w:rsidRPr="00B10F18">
        <w:rPr>
          <w:rFonts w:ascii="Calibri" w:hAnsi="Calibri" w:cs="Times New Roman"/>
          <w:i/>
          <w:iCs/>
          <w:noProof/>
          <w:szCs w:val="24"/>
        </w:rPr>
        <w:t>et al.</w:t>
      </w:r>
      <w:r w:rsidRPr="00B10F18">
        <w:rPr>
          <w:rFonts w:ascii="Calibri" w:hAnsi="Calibri" w:cs="Times New Roman"/>
          <w:noProof/>
          <w:szCs w:val="24"/>
        </w:rPr>
        <w:t xml:space="preserve"> Rising incidence of paediatric inflammatory bowel disease (PIBD) in Wessex, Southern England. </w:t>
      </w:r>
      <w:r w:rsidRPr="00B10F18">
        <w:rPr>
          <w:rFonts w:ascii="Calibri" w:hAnsi="Calibri" w:cs="Times New Roman"/>
          <w:i/>
          <w:iCs/>
          <w:noProof/>
          <w:szCs w:val="24"/>
        </w:rPr>
        <w:t>Arch Dis Child</w:t>
      </w:r>
      <w:r w:rsidRPr="00B10F18">
        <w:rPr>
          <w:rFonts w:ascii="Calibri" w:hAnsi="Calibri" w:cs="Times New Roman"/>
          <w:noProof/>
          <w:szCs w:val="24"/>
        </w:rPr>
        <w:t xml:space="preserve"> 2014;</w:t>
      </w:r>
      <w:r w:rsidRPr="00B10F18">
        <w:rPr>
          <w:rFonts w:ascii="Calibri" w:hAnsi="Calibri" w:cs="Times New Roman"/>
          <w:b/>
          <w:bCs/>
          <w:noProof/>
          <w:szCs w:val="24"/>
        </w:rPr>
        <w:t>99</w:t>
      </w:r>
      <w:r w:rsidRPr="00B10F18">
        <w:rPr>
          <w:rFonts w:ascii="Calibri" w:hAnsi="Calibri" w:cs="Times New Roman"/>
          <w:noProof/>
          <w:szCs w:val="24"/>
        </w:rPr>
        <w:t>:659–64. doi:10.1136/archdischild-2013-305419</w:t>
      </w:r>
    </w:p>
    <w:p w14:paraId="79CA5934" w14:textId="77777777" w:rsidR="00B10F18" w:rsidRPr="00B10F18" w:rsidRDefault="00B10F18" w:rsidP="00B10F18">
      <w:pPr>
        <w:widowControl w:val="0"/>
        <w:autoSpaceDE w:val="0"/>
        <w:autoSpaceDN w:val="0"/>
        <w:adjustRightInd w:val="0"/>
        <w:spacing w:line="480" w:lineRule="auto"/>
        <w:ind w:left="640" w:hanging="640"/>
        <w:rPr>
          <w:rFonts w:ascii="Calibri" w:hAnsi="Calibri" w:cs="Times New Roman"/>
          <w:noProof/>
          <w:szCs w:val="24"/>
        </w:rPr>
      </w:pPr>
      <w:r w:rsidRPr="00B10F18">
        <w:rPr>
          <w:rFonts w:ascii="Calibri" w:hAnsi="Calibri" w:cs="Times New Roman"/>
          <w:noProof/>
          <w:szCs w:val="24"/>
        </w:rPr>
        <w:t xml:space="preserve">3 </w:t>
      </w:r>
      <w:r w:rsidRPr="00B10F18">
        <w:rPr>
          <w:rFonts w:ascii="Calibri" w:hAnsi="Calibri" w:cs="Times New Roman"/>
          <w:noProof/>
          <w:szCs w:val="24"/>
        </w:rPr>
        <w:tab/>
        <w:t xml:space="preserve">Ashton JJ, Ennis S, Beattie RM. Early-onset paediatric inflammatory bowel disease. </w:t>
      </w:r>
      <w:r w:rsidRPr="00B10F18">
        <w:rPr>
          <w:rFonts w:ascii="Calibri" w:hAnsi="Calibri" w:cs="Times New Roman"/>
          <w:i/>
          <w:iCs/>
          <w:noProof/>
          <w:szCs w:val="24"/>
        </w:rPr>
        <w:t>Lancet Child Adolesc Heal</w:t>
      </w:r>
      <w:r w:rsidRPr="00B10F18">
        <w:rPr>
          <w:rFonts w:ascii="Calibri" w:hAnsi="Calibri" w:cs="Times New Roman"/>
          <w:noProof/>
          <w:szCs w:val="24"/>
        </w:rPr>
        <w:t xml:space="preserve"> 2017;</w:t>
      </w:r>
      <w:r w:rsidRPr="00B10F18">
        <w:rPr>
          <w:rFonts w:ascii="Calibri" w:hAnsi="Calibri" w:cs="Times New Roman"/>
          <w:b/>
          <w:bCs/>
          <w:noProof/>
          <w:szCs w:val="24"/>
        </w:rPr>
        <w:t>1</w:t>
      </w:r>
      <w:r w:rsidRPr="00B10F18">
        <w:rPr>
          <w:rFonts w:ascii="Calibri" w:hAnsi="Calibri" w:cs="Times New Roman"/>
          <w:noProof/>
          <w:szCs w:val="24"/>
        </w:rPr>
        <w:t>:147–58. doi:10.1016/S2352-4642(17)30017-2</w:t>
      </w:r>
    </w:p>
    <w:p w14:paraId="62CD2171" w14:textId="77777777" w:rsidR="00B10F18" w:rsidRPr="00B10F18" w:rsidRDefault="00B10F18" w:rsidP="00B10F18">
      <w:pPr>
        <w:widowControl w:val="0"/>
        <w:autoSpaceDE w:val="0"/>
        <w:autoSpaceDN w:val="0"/>
        <w:adjustRightInd w:val="0"/>
        <w:spacing w:line="480" w:lineRule="auto"/>
        <w:ind w:left="640" w:hanging="640"/>
        <w:rPr>
          <w:rFonts w:ascii="Calibri" w:hAnsi="Calibri" w:cs="Times New Roman"/>
          <w:noProof/>
          <w:szCs w:val="24"/>
        </w:rPr>
      </w:pPr>
      <w:r w:rsidRPr="00B10F18">
        <w:rPr>
          <w:rFonts w:ascii="Calibri" w:hAnsi="Calibri" w:cs="Times New Roman"/>
          <w:noProof/>
          <w:szCs w:val="24"/>
        </w:rPr>
        <w:t xml:space="preserve">4 </w:t>
      </w:r>
      <w:r w:rsidRPr="00B10F18">
        <w:rPr>
          <w:rFonts w:ascii="Calibri" w:hAnsi="Calibri" w:cs="Times New Roman"/>
          <w:noProof/>
          <w:szCs w:val="24"/>
        </w:rPr>
        <w:tab/>
        <w:t xml:space="preserve">Henderson P, Anderson NH, Wilson DC. The diagnostic accuracy of fecal calprotectin during the investigation of suspected pediatric inflammatory bowel disease: a systematic review and meta-analysis. </w:t>
      </w:r>
      <w:r w:rsidRPr="00B10F18">
        <w:rPr>
          <w:rFonts w:ascii="Calibri" w:hAnsi="Calibri" w:cs="Times New Roman"/>
          <w:i/>
          <w:iCs/>
          <w:noProof/>
          <w:szCs w:val="24"/>
        </w:rPr>
        <w:t>Am J Gastroenterol</w:t>
      </w:r>
      <w:r w:rsidRPr="00B10F18">
        <w:rPr>
          <w:rFonts w:ascii="Calibri" w:hAnsi="Calibri" w:cs="Times New Roman"/>
          <w:noProof/>
          <w:szCs w:val="24"/>
        </w:rPr>
        <w:t xml:space="preserve"> 2014;</w:t>
      </w:r>
      <w:r w:rsidRPr="00B10F18">
        <w:rPr>
          <w:rFonts w:ascii="Calibri" w:hAnsi="Calibri" w:cs="Times New Roman"/>
          <w:b/>
          <w:bCs/>
          <w:noProof/>
          <w:szCs w:val="24"/>
        </w:rPr>
        <w:t>109</w:t>
      </w:r>
      <w:r w:rsidRPr="00B10F18">
        <w:rPr>
          <w:rFonts w:ascii="Calibri" w:hAnsi="Calibri" w:cs="Times New Roman"/>
          <w:noProof/>
          <w:szCs w:val="24"/>
        </w:rPr>
        <w:t>:637–45. doi:10.1038/ajg.2013.131</w:t>
      </w:r>
    </w:p>
    <w:p w14:paraId="7288C823" w14:textId="77777777" w:rsidR="00B10F18" w:rsidRPr="00B10F18" w:rsidRDefault="00B10F18" w:rsidP="00B10F18">
      <w:pPr>
        <w:widowControl w:val="0"/>
        <w:autoSpaceDE w:val="0"/>
        <w:autoSpaceDN w:val="0"/>
        <w:adjustRightInd w:val="0"/>
        <w:spacing w:line="480" w:lineRule="auto"/>
        <w:ind w:left="640" w:hanging="640"/>
        <w:rPr>
          <w:rFonts w:ascii="Calibri" w:hAnsi="Calibri"/>
          <w:noProof/>
        </w:rPr>
      </w:pPr>
      <w:r w:rsidRPr="00B10F18">
        <w:rPr>
          <w:rFonts w:ascii="Calibri" w:hAnsi="Calibri" w:cs="Times New Roman"/>
          <w:noProof/>
          <w:szCs w:val="24"/>
        </w:rPr>
        <w:lastRenderedPageBreak/>
        <w:t xml:space="preserve">5 </w:t>
      </w:r>
      <w:r w:rsidRPr="00B10F18">
        <w:rPr>
          <w:rFonts w:ascii="Calibri" w:hAnsi="Calibri" w:cs="Times New Roman"/>
          <w:noProof/>
          <w:szCs w:val="24"/>
        </w:rPr>
        <w:tab/>
        <w:t xml:space="preserve">van Rheenen PF, Van de Vijver E, Fidler V. Faecal calprotectin for screening of patients with suspected inflammatory bowel disease: diagnostic meta-analysis. </w:t>
      </w:r>
      <w:r w:rsidRPr="00B10F18">
        <w:rPr>
          <w:rFonts w:ascii="Calibri" w:hAnsi="Calibri" w:cs="Times New Roman"/>
          <w:i/>
          <w:iCs/>
          <w:noProof/>
          <w:szCs w:val="24"/>
        </w:rPr>
        <w:t>BMJ</w:t>
      </w:r>
      <w:r w:rsidRPr="00B10F18">
        <w:rPr>
          <w:rFonts w:ascii="Calibri" w:hAnsi="Calibri" w:cs="Times New Roman"/>
          <w:noProof/>
          <w:szCs w:val="24"/>
        </w:rPr>
        <w:t xml:space="preserve"> 2010;</w:t>
      </w:r>
      <w:r w:rsidRPr="00B10F18">
        <w:rPr>
          <w:rFonts w:ascii="Calibri" w:hAnsi="Calibri" w:cs="Times New Roman"/>
          <w:b/>
          <w:bCs/>
          <w:noProof/>
          <w:szCs w:val="24"/>
        </w:rPr>
        <w:t>341</w:t>
      </w:r>
      <w:r w:rsidRPr="00B10F18">
        <w:rPr>
          <w:rFonts w:ascii="Calibri" w:hAnsi="Calibri" w:cs="Times New Roman"/>
          <w:noProof/>
          <w:szCs w:val="24"/>
        </w:rPr>
        <w:t>:c3369. doi:10.1136/bmj.c3369</w:t>
      </w:r>
    </w:p>
    <w:p w14:paraId="74E5DF69" w14:textId="77777777" w:rsidR="00AE3AB0" w:rsidRDefault="00350E7C" w:rsidP="009353FC">
      <w:pPr>
        <w:widowControl w:val="0"/>
        <w:autoSpaceDE w:val="0"/>
        <w:autoSpaceDN w:val="0"/>
        <w:adjustRightInd w:val="0"/>
        <w:spacing w:line="480" w:lineRule="auto"/>
      </w:pPr>
      <w:r>
        <w:rPr>
          <w:u w:val="single"/>
        </w:rPr>
        <w:fldChar w:fldCharType="end"/>
      </w:r>
    </w:p>
    <w:sectPr w:rsidR="00AE3AB0" w:rsidSect="009C5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A105E"/>
    <w:multiLevelType w:val="hybridMultilevel"/>
    <w:tmpl w:val="570E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7285C"/>
    <w:multiLevelType w:val="hybridMultilevel"/>
    <w:tmpl w:val="F7C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856A9"/>
    <w:multiLevelType w:val="hybridMultilevel"/>
    <w:tmpl w:val="ADD2E2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740E1206"/>
    <w:multiLevelType w:val="hybridMultilevel"/>
    <w:tmpl w:val="6DD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C7"/>
    <w:rsid w:val="00003D8B"/>
    <w:rsid w:val="0001050D"/>
    <w:rsid w:val="00013485"/>
    <w:rsid w:val="0003563D"/>
    <w:rsid w:val="00044F54"/>
    <w:rsid w:val="000810A7"/>
    <w:rsid w:val="000A7645"/>
    <w:rsid w:val="000D01D4"/>
    <w:rsid w:val="000D68F6"/>
    <w:rsid w:val="00104442"/>
    <w:rsid w:val="00185290"/>
    <w:rsid w:val="00192B7D"/>
    <w:rsid w:val="001D15DE"/>
    <w:rsid w:val="00230BDB"/>
    <w:rsid w:val="00231F52"/>
    <w:rsid w:val="00282CC9"/>
    <w:rsid w:val="00287D8A"/>
    <w:rsid w:val="002D2081"/>
    <w:rsid w:val="002F2340"/>
    <w:rsid w:val="00312C34"/>
    <w:rsid w:val="00315278"/>
    <w:rsid w:val="00333D44"/>
    <w:rsid w:val="00350E7C"/>
    <w:rsid w:val="00350EE6"/>
    <w:rsid w:val="00390711"/>
    <w:rsid w:val="00396376"/>
    <w:rsid w:val="003A50B7"/>
    <w:rsid w:val="003C7E05"/>
    <w:rsid w:val="003D101B"/>
    <w:rsid w:val="00442E32"/>
    <w:rsid w:val="00450854"/>
    <w:rsid w:val="0046418F"/>
    <w:rsid w:val="00477F6C"/>
    <w:rsid w:val="004B49A5"/>
    <w:rsid w:val="004D0124"/>
    <w:rsid w:val="004E58AA"/>
    <w:rsid w:val="004F4CA6"/>
    <w:rsid w:val="00511045"/>
    <w:rsid w:val="00534FA2"/>
    <w:rsid w:val="00536A5F"/>
    <w:rsid w:val="00544FFD"/>
    <w:rsid w:val="00563DE0"/>
    <w:rsid w:val="005B1FA1"/>
    <w:rsid w:val="005D4A1F"/>
    <w:rsid w:val="00643309"/>
    <w:rsid w:val="00652A88"/>
    <w:rsid w:val="00663C77"/>
    <w:rsid w:val="00667319"/>
    <w:rsid w:val="00671CAC"/>
    <w:rsid w:val="006B5F68"/>
    <w:rsid w:val="0074438B"/>
    <w:rsid w:val="00745CD2"/>
    <w:rsid w:val="0077575D"/>
    <w:rsid w:val="007A590B"/>
    <w:rsid w:val="007B6F14"/>
    <w:rsid w:val="007C39A5"/>
    <w:rsid w:val="007E63F9"/>
    <w:rsid w:val="007E7556"/>
    <w:rsid w:val="007F6F4E"/>
    <w:rsid w:val="00822AEA"/>
    <w:rsid w:val="00822F45"/>
    <w:rsid w:val="00856196"/>
    <w:rsid w:val="008B2C41"/>
    <w:rsid w:val="008C098F"/>
    <w:rsid w:val="008D581E"/>
    <w:rsid w:val="008E1DDF"/>
    <w:rsid w:val="008F4FE9"/>
    <w:rsid w:val="0090377A"/>
    <w:rsid w:val="009227D9"/>
    <w:rsid w:val="009353FC"/>
    <w:rsid w:val="00937ACB"/>
    <w:rsid w:val="00961992"/>
    <w:rsid w:val="00982099"/>
    <w:rsid w:val="0099596B"/>
    <w:rsid w:val="009A3040"/>
    <w:rsid w:val="009A4E29"/>
    <w:rsid w:val="009B74FD"/>
    <w:rsid w:val="009C4C67"/>
    <w:rsid w:val="009C5D31"/>
    <w:rsid w:val="009D1FD0"/>
    <w:rsid w:val="009D2F6E"/>
    <w:rsid w:val="009F62BC"/>
    <w:rsid w:val="00A4618A"/>
    <w:rsid w:val="00A67E57"/>
    <w:rsid w:val="00A77A18"/>
    <w:rsid w:val="00AA2B10"/>
    <w:rsid w:val="00AE3AB0"/>
    <w:rsid w:val="00B10F18"/>
    <w:rsid w:val="00B16108"/>
    <w:rsid w:val="00B24442"/>
    <w:rsid w:val="00B42CC1"/>
    <w:rsid w:val="00B53C6C"/>
    <w:rsid w:val="00B65FA4"/>
    <w:rsid w:val="00B86252"/>
    <w:rsid w:val="00BA0A15"/>
    <w:rsid w:val="00BF1EDF"/>
    <w:rsid w:val="00BF302A"/>
    <w:rsid w:val="00BF33BC"/>
    <w:rsid w:val="00BF65E5"/>
    <w:rsid w:val="00C24768"/>
    <w:rsid w:val="00C3545C"/>
    <w:rsid w:val="00CF2B5A"/>
    <w:rsid w:val="00CF308E"/>
    <w:rsid w:val="00D102AA"/>
    <w:rsid w:val="00D1456E"/>
    <w:rsid w:val="00D23469"/>
    <w:rsid w:val="00D5390E"/>
    <w:rsid w:val="00D54484"/>
    <w:rsid w:val="00D83881"/>
    <w:rsid w:val="00D86EE8"/>
    <w:rsid w:val="00DD33D5"/>
    <w:rsid w:val="00DD5DE2"/>
    <w:rsid w:val="00DF0BC9"/>
    <w:rsid w:val="00E20B6F"/>
    <w:rsid w:val="00E575EF"/>
    <w:rsid w:val="00E754E9"/>
    <w:rsid w:val="00E83E4C"/>
    <w:rsid w:val="00E85B2D"/>
    <w:rsid w:val="00EF343F"/>
    <w:rsid w:val="00F31FF3"/>
    <w:rsid w:val="00FB00C7"/>
    <w:rsid w:val="00FC2E94"/>
    <w:rsid w:val="00FD6130"/>
    <w:rsid w:val="00FE0811"/>
    <w:rsid w:val="00FE5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B32A"/>
  <w15:docId w15:val="{441D78FF-5F4A-40B7-B65E-04B67261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319"/>
    <w:pPr>
      <w:ind w:left="720"/>
      <w:contextualSpacing/>
    </w:pPr>
  </w:style>
  <w:style w:type="character" w:customStyle="1" w:styleId="table-label">
    <w:name w:val="table-label"/>
    <w:basedOn w:val="DefaultParagraphFont"/>
    <w:rsid w:val="00E83E4C"/>
  </w:style>
  <w:style w:type="paragraph" w:styleId="NormalWeb">
    <w:name w:val="Normal (Web)"/>
    <w:basedOn w:val="Normal"/>
    <w:uiPriority w:val="99"/>
    <w:semiHidden/>
    <w:unhideWhenUsed/>
    <w:rsid w:val="00E83E4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3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B10"/>
    <w:rPr>
      <w:sz w:val="16"/>
      <w:szCs w:val="16"/>
    </w:rPr>
  </w:style>
  <w:style w:type="paragraph" w:styleId="CommentText">
    <w:name w:val="annotation text"/>
    <w:basedOn w:val="Normal"/>
    <w:link w:val="CommentTextChar"/>
    <w:uiPriority w:val="99"/>
    <w:semiHidden/>
    <w:unhideWhenUsed/>
    <w:rsid w:val="00AA2B10"/>
    <w:pPr>
      <w:spacing w:line="240" w:lineRule="auto"/>
    </w:pPr>
    <w:rPr>
      <w:sz w:val="20"/>
      <w:szCs w:val="20"/>
    </w:rPr>
  </w:style>
  <w:style w:type="character" w:customStyle="1" w:styleId="CommentTextChar">
    <w:name w:val="Comment Text Char"/>
    <w:basedOn w:val="DefaultParagraphFont"/>
    <w:link w:val="CommentText"/>
    <w:uiPriority w:val="99"/>
    <w:semiHidden/>
    <w:rsid w:val="00AA2B10"/>
    <w:rPr>
      <w:sz w:val="20"/>
      <w:szCs w:val="20"/>
    </w:rPr>
  </w:style>
  <w:style w:type="paragraph" w:styleId="CommentSubject">
    <w:name w:val="annotation subject"/>
    <w:basedOn w:val="CommentText"/>
    <w:next w:val="CommentText"/>
    <w:link w:val="CommentSubjectChar"/>
    <w:uiPriority w:val="99"/>
    <w:semiHidden/>
    <w:unhideWhenUsed/>
    <w:rsid w:val="00AA2B10"/>
    <w:rPr>
      <w:b/>
      <w:bCs/>
    </w:rPr>
  </w:style>
  <w:style w:type="character" w:customStyle="1" w:styleId="CommentSubjectChar">
    <w:name w:val="Comment Subject Char"/>
    <w:basedOn w:val="CommentTextChar"/>
    <w:link w:val="CommentSubject"/>
    <w:uiPriority w:val="99"/>
    <w:semiHidden/>
    <w:rsid w:val="00AA2B10"/>
    <w:rPr>
      <w:b/>
      <w:bCs/>
      <w:sz w:val="20"/>
      <w:szCs w:val="20"/>
    </w:rPr>
  </w:style>
  <w:style w:type="paragraph" w:styleId="BalloonText">
    <w:name w:val="Balloon Text"/>
    <w:basedOn w:val="Normal"/>
    <w:link w:val="BalloonTextChar"/>
    <w:uiPriority w:val="99"/>
    <w:semiHidden/>
    <w:unhideWhenUsed/>
    <w:rsid w:val="00AA2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10"/>
    <w:rPr>
      <w:rFonts w:ascii="Tahoma" w:hAnsi="Tahoma" w:cs="Tahoma"/>
      <w:sz w:val="16"/>
      <w:szCs w:val="16"/>
    </w:rPr>
  </w:style>
  <w:style w:type="character" w:customStyle="1" w:styleId="articletitle">
    <w:name w:val="articletitle"/>
    <w:basedOn w:val="DefaultParagraphFont"/>
    <w:rsid w:val="00312C34"/>
  </w:style>
  <w:style w:type="character" w:customStyle="1" w:styleId="journaltitle">
    <w:name w:val="journaltitle"/>
    <w:basedOn w:val="DefaultParagraphFont"/>
    <w:rsid w:val="00312C34"/>
  </w:style>
  <w:style w:type="character" w:customStyle="1" w:styleId="pubyear">
    <w:name w:val="pubyear"/>
    <w:basedOn w:val="DefaultParagraphFont"/>
    <w:rsid w:val="00312C34"/>
  </w:style>
  <w:style w:type="character" w:customStyle="1" w:styleId="vol">
    <w:name w:val="vol"/>
    <w:basedOn w:val="DefaultParagraphFont"/>
    <w:rsid w:val="00312C34"/>
  </w:style>
  <w:style w:type="character" w:customStyle="1" w:styleId="pagefirst">
    <w:name w:val="pagefirst"/>
    <w:basedOn w:val="DefaultParagraphFont"/>
    <w:rsid w:val="0031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4415">
      <w:bodyDiv w:val="1"/>
      <w:marLeft w:val="0"/>
      <w:marRight w:val="0"/>
      <w:marTop w:val="0"/>
      <w:marBottom w:val="0"/>
      <w:divBdr>
        <w:top w:val="none" w:sz="0" w:space="0" w:color="auto"/>
        <w:left w:val="none" w:sz="0" w:space="0" w:color="auto"/>
        <w:bottom w:val="none" w:sz="0" w:space="0" w:color="auto"/>
        <w:right w:val="none" w:sz="0" w:space="0" w:color="auto"/>
      </w:divBdr>
      <w:divsChild>
        <w:div w:id="174680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B7FA-B2C5-4973-A7EE-BFFDF129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9172</Words>
  <Characters>52284</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J.</dc:creator>
  <cp:lastModifiedBy>Wallis C.M.</cp:lastModifiedBy>
  <cp:revision>2</cp:revision>
  <cp:lastPrinted>2017-12-05T09:40:00Z</cp:lastPrinted>
  <dcterms:created xsi:type="dcterms:W3CDTF">2017-12-05T09:43:00Z</dcterms:created>
  <dcterms:modified xsi:type="dcterms:W3CDTF">2017-12-05T09:43:00Z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Citation Style_1">
    <vt:lpwstr>http://www.zotero.org/styles/bmj</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http://www.zotero.org/styles/bmj</vt:lpwstr>
  </property>
  <property fmtid="{D5CDD505-2E9C-101B-9397-08002B2CF9AE}" pid="10" name="Mendeley Recent Style Name 2_1">
    <vt:lpwstr>BMJ</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