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4D25" w14:textId="77777777" w:rsidR="00261C19" w:rsidRPr="00261C19" w:rsidRDefault="00261C19" w:rsidP="00261C19">
      <w:pPr>
        <w:ind w:left="720" w:hanging="720"/>
        <w:rPr>
          <w:b/>
          <w:color w:val="FF0000"/>
        </w:rPr>
      </w:pPr>
      <w:bookmarkStart w:id="0" w:name="_GoBack"/>
      <w:bookmarkEnd w:id="0"/>
      <w:r w:rsidRPr="00261C19">
        <w:rPr>
          <w:b/>
          <w:color w:val="FF0000"/>
        </w:rPr>
        <w:t xml:space="preserve">Luo, Y. L. L. Way, B., Welker, K., DeWall, C. N., Bushman, B. J., Wildschut, T., &amp; Sedikides, C. (in press). 5HTTLPR polymorphism is associated with nostalgia proneness: The role of neuroticism. </w:t>
      </w:r>
      <w:r w:rsidRPr="00261C19">
        <w:rPr>
          <w:b/>
          <w:i/>
          <w:color w:val="FF0000"/>
        </w:rPr>
        <w:t>Social Neuroscience</w:t>
      </w:r>
      <w:r w:rsidRPr="00261C19">
        <w:rPr>
          <w:b/>
          <w:color w:val="FF0000"/>
        </w:rPr>
        <w:t>.</w:t>
      </w:r>
    </w:p>
    <w:p w14:paraId="16C648B0" w14:textId="77777777" w:rsidR="006C1D13" w:rsidRPr="00983598" w:rsidRDefault="006C1D13">
      <w:pPr>
        <w:spacing w:line="480" w:lineRule="exact"/>
        <w:outlineLvl w:val="0"/>
      </w:pPr>
    </w:p>
    <w:p w14:paraId="4FDF4A8C" w14:textId="77777777" w:rsidR="006C1D13" w:rsidRDefault="006C1D13">
      <w:pPr>
        <w:spacing w:line="480" w:lineRule="exact"/>
        <w:outlineLvl w:val="0"/>
      </w:pPr>
    </w:p>
    <w:p w14:paraId="7D634084" w14:textId="77777777" w:rsidR="00261C19" w:rsidRDefault="00261C19">
      <w:pPr>
        <w:spacing w:line="480" w:lineRule="exact"/>
        <w:outlineLvl w:val="0"/>
      </w:pPr>
    </w:p>
    <w:p w14:paraId="63AF00E3" w14:textId="77777777" w:rsidR="00261C19" w:rsidRPr="00983598" w:rsidRDefault="00261C19">
      <w:pPr>
        <w:spacing w:line="480" w:lineRule="exact"/>
        <w:outlineLvl w:val="0"/>
      </w:pPr>
    </w:p>
    <w:p w14:paraId="443BC90E" w14:textId="7E08753E" w:rsidR="00606ED4" w:rsidRPr="00261C19" w:rsidRDefault="00120AD7" w:rsidP="00196A93">
      <w:pPr>
        <w:spacing w:line="480" w:lineRule="exact"/>
        <w:jc w:val="center"/>
        <w:outlineLvl w:val="0"/>
      </w:pPr>
      <w:r w:rsidRPr="00261C19">
        <w:t>5</w:t>
      </w:r>
      <w:r w:rsidR="0045015E" w:rsidRPr="00261C19">
        <w:t>-</w:t>
      </w:r>
      <w:r w:rsidRPr="00261C19">
        <w:t xml:space="preserve">HTTLPR Polymorphism Is Associated with Nostalgia Proneness: </w:t>
      </w:r>
    </w:p>
    <w:p w14:paraId="449D0304" w14:textId="77777777" w:rsidR="00606ED4" w:rsidRPr="001F26C7" w:rsidRDefault="00120AD7" w:rsidP="00196A93">
      <w:pPr>
        <w:spacing w:line="480" w:lineRule="exact"/>
        <w:jc w:val="center"/>
        <w:outlineLvl w:val="0"/>
        <w:rPr>
          <w:b/>
        </w:rPr>
      </w:pPr>
      <w:r w:rsidRPr="00261C19">
        <w:t>The Role of Neuroticism</w:t>
      </w:r>
    </w:p>
    <w:p w14:paraId="56897DA1" w14:textId="77777777" w:rsidR="006C1D13" w:rsidRPr="001F26C7" w:rsidRDefault="006C1D13" w:rsidP="00196A93">
      <w:pPr>
        <w:spacing w:line="480" w:lineRule="exact"/>
        <w:jc w:val="center"/>
        <w:outlineLvl w:val="0"/>
      </w:pPr>
    </w:p>
    <w:p w14:paraId="73A566C5" w14:textId="77777777" w:rsidR="006C1D13" w:rsidRPr="001F26C7" w:rsidRDefault="006C1D13" w:rsidP="00196A93">
      <w:pPr>
        <w:spacing w:line="480" w:lineRule="exact"/>
        <w:jc w:val="center"/>
        <w:outlineLvl w:val="0"/>
      </w:pPr>
    </w:p>
    <w:p w14:paraId="2B64993D" w14:textId="40FABE2C" w:rsidR="00A14082" w:rsidRPr="001F26C7" w:rsidRDefault="00A14082" w:rsidP="00196A93">
      <w:pPr>
        <w:spacing w:line="480" w:lineRule="exact"/>
      </w:pPr>
      <w:r w:rsidRPr="001F26C7">
        <w:t xml:space="preserve">Yu </w:t>
      </w:r>
      <w:r w:rsidR="00546BFB" w:rsidRPr="001F26C7">
        <w:t xml:space="preserve">L. L. </w:t>
      </w:r>
      <w:r w:rsidRPr="001F26C7">
        <w:t>Luo</w:t>
      </w:r>
      <w:r w:rsidRPr="001F26C7">
        <w:rPr>
          <w:rStyle w:val="FootnoteReference"/>
        </w:rPr>
        <w:footnoteRef/>
      </w:r>
      <w:r w:rsidR="00150CB5" w:rsidRPr="001F26C7">
        <w:t>*</w:t>
      </w:r>
      <w:r w:rsidRPr="001F26C7">
        <w:t>, Bal</w:t>
      </w:r>
      <w:r w:rsidR="002A6D82" w:rsidRPr="001F26C7">
        <w:t>d</w:t>
      </w:r>
      <w:r w:rsidRPr="001F26C7">
        <w:t>win Way</w:t>
      </w:r>
      <w:r w:rsidRPr="001F26C7">
        <w:rPr>
          <w:rStyle w:val="FootnoteReference"/>
        </w:rPr>
        <w:t>2</w:t>
      </w:r>
      <w:r w:rsidRPr="001F26C7">
        <w:t>, Keith Welker</w:t>
      </w:r>
      <w:r w:rsidRPr="001F26C7">
        <w:rPr>
          <w:rStyle w:val="FootnoteReference"/>
        </w:rPr>
        <w:t>3</w:t>
      </w:r>
      <w:r w:rsidRPr="001F26C7">
        <w:t xml:space="preserve">, </w:t>
      </w:r>
      <w:r w:rsidR="00CA5F41" w:rsidRPr="001F26C7">
        <w:t xml:space="preserve">C. </w:t>
      </w:r>
      <w:r w:rsidR="00A949A4" w:rsidRPr="001F26C7">
        <w:t>Nathan DeWall</w:t>
      </w:r>
      <w:r w:rsidR="00A949A4" w:rsidRPr="001F26C7">
        <w:rPr>
          <w:vertAlign w:val="superscript"/>
        </w:rPr>
        <w:t>4</w:t>
      </w:r>
      <w:r w:rsidR="00A949A4" w:rsidRPr="001F26C7">
        <w:t xml:space="preserve">, </w:t>
      </w:r>
      <w:r w:rsidRPr="001F26C7">
        <w:t xml:space="preserve">Brad </w:t>
      </w:r>
      <w:r w:rsidR="00CA5905" w:rsidRPr="001F26C7">
        <w:t xml:space="preserve">J. </w:t>
      </w:r>
      <w:r w:rsidRPr="001F26C7">
        <w:t>Bushman</w:t>
      </w:r>
      <w:r w:rsidR="00A949A4" w:rsidRPr="001F26C7">
        <w:rPr>
          <w:vertAlign w:val="superscript"/>
        </w:rPr>
        <w:t>5</w:t>
      </w:r>
      <w:r w:rsidRPr="001F26C7">
        <w:t>, Tim Wildschut</w:t>
      </w:r>
      <w:r w:rsidR="00956B6C" w:rsidRPr="001F26C7">
        <w:rPr>
          <w:vertAlign w:val="superscript"/>
        </w:rPr>
        <w:t>6</w:t>
      </w:r>
      <w:r w:rsidRPr="001F26C7">
        <w:t xml:space="preserve">, and Constantine </w:t>
      </w:r>
      <w:r w:rsidR="00A949A4" w:rsidRPr="001F26C7">
        <w:t>Sedikides</w:t>
      </w:r>
      <w:r w:rsidR="00956B6C" w:rsidRPr="001F26C7">
        <w:rPr>
          <w:vertAlign w:val="superscript"/>
        </w:rPr>
        <w:t>6</w:t>
      </w:r>
    </w:p>
    <w:p w14:paraId="4D5794CC" w14:textId="77777777" w:rsidR="00A14082" w:rsidRPr="001F26C7" w:rsidRDefault="00A14082" w:rsidP="00196A93">
      <w:pPr>
        <w:spacing w:line="480" w:lineRule="exact"/>
        <w:jc w:val="center"/>
        <w:outlineLvl w:val="0"/>
      </w:pPr>
    </w:p>
    <w:p w14:paraId="33F43592" w14:textId="24C81F36" w:rsidR="00A14082" w:rsidRPr="001F26C7" w:rsidRDefault="00A14082" w:rsidP="00196A93">
      <w:pPr>
        <w:spacing w:line="480" w:lineRule="exact"/>
      </w:pPr>
      <w:r w:rsidRPr="001F26C7">
        <w:rPr>
          <w:rStyle w:val="FootnoteReference"/>
        </w:rPr>
        <w:footnoteRef/>
      </w:r>
      <w:r w:rsidR="00DA1214" w:rsidRPr="001F26C7">
        <w:t>CAS Key Laboratory of Behavioral Science, Institute of Psychology</w:t>
      </w:r>
      <w:r w:rsidR="00150CB5" w:rsidRPr="001F26C7">
        <w:t>, Beijing, China</w:t>
      </w:r>
    </w:p>
    <w:p w14:paraId="3AB7E540" w14:textId="6F43B745" w:rsidR="00A14082" w:rsidRPr="001F26C7" w:rsidRDefault="00A14082" w:rsidP="00196A93">
      <w:pPr>
        <w:spacing w:line="480" w:lineRule="exact"/>
      </w:pPr>
      <w:r w:rsidRPr="001F26C7">
        <w:rPr>
          <w:rStyle w:val="FootnoteReference"/>
        </w:rPr>
        <w:t>2</w:t>
      </w:r>
      <w:r w:rsidR="00150CB5" w:rsidRPr="001F26C7">
        <w:t>Department of Psychology, T</w:t>
      </w:r>
      <w:r w:rsidRPr="001F26C7">
        <w:t>he Ohio State University</w:t>
      </w:r>
      <w:r w:rsidR="00150CB5" w:rsidRPr="001F26C7">
        <w:t>, C</w:t>
      </w:r>
      <w:r w:rsidR="00E06CE2" w:rsidRPr="001F26C7">
        <w:t>olumbus, OH, USA</w:t>
      </w:r>
    </w:p>
    <w:p w14:paraId="3BE29F78" w14:textId="39A0A31E" w:rsidR="005C1F89" w:rsidRPr="001F26C7" w:rsidRDefault="00A14082" w:rsidP="00196A93">
      <w:pPr>
        <w:spacing w:line="480" w:lineRule="exact"/>
      </w:pPr>
      <w:r w:rsidRPr="001F26C7">
        <w:rPr>
          <w:rStyle w:val="FootnoteReference"/>
        </w:rPr>
        <w:t>3</w:t>
      </w:r>
      <w:r w:rsidR="005C1F89" w:rsidRPr="001F26C7">
        <w:t>University of Massachusetts Boston</w:t>
      </w:r>
      <w:r w:rsidR="00B40ABE" w:rsidRPr="001F26C7">
        <w:t>, Boston, MA, USA</w:t>
      </w:r>
    </w:p>
    <w:p w14:paraId="000C828F" w14:textId="629E955B" w:rsidR="00A949A4" w:rsidRPr="001F26C7" w:rsidRDefault="00A949A4" w:rsidP="00196A93">
      <w:pPr>
        <w:spacing w:line="480" w:lineRule="exact"/>
      </w:pPr>
      <w:r w:rsidRPr="001F26C7">
        <w:rPr>
          <w:rStyle w:val="FootnoteReference"/>
        </w:rPr>
        <w:t>4</w:t>
      </w:r>
      <w:r w:rsidRPr="001F26C7">
        <w:t>University of Kentucky</w:t>
      </w:r>
      <w:r w:rsidR="00B40ABE" w:rsidRPr="001F26C7">
        <w:t>, Lexington, KY, USA</w:t>
      </w:r>
    </w:p>
    <w:p w14:paraId="76F8D59A" w14:textId="7F6B7CB0" w:rsidR="00487576" w:rsidRPr="001F26C7" w:rsidRDefault="00A949A4" w:rsidP="00196A93">
      <w:pPr>
        <w:spacing w:line="480" w:lineRule="exact"/>
        <w:rPr>
          <w:rStyle w:val="FootnoteReference"/>
        </w:rPr>
      </w:pPr>
      <w:r w:rsidRPr="001F26C7">
        <w:rPr>
          <w:rStyle w:val="FootnoteReference"/>
        </w:rPr>
        <w:t>5</w:t>
      </w:r>
      <w:r w:rsidR="00487576" w:rsidRPr="001F26C7">
        <w:rPr>
          <w:rStyle w:val="FootnoteReference"/>
          <w:vertAlign w:val="baseline"/>
        </w:rPr>
        <w:t>School of Communication</w:t>
      </w:r>
      <w:r w:rsidR="004B0269" w:rsidRPr="001F26C7">
        <w:t xml:space="preserve"> and Department of Psychology</w:t>
      </w:r>
      <w:r w:rsidR="00487576" w:rsidRPr="001F26C7">
        <w:rPr>
          <w:rStyle w:val="FootnoteReference"/>
          <w:vertAlign w:val="baseline"/>
        </w:rPr>
        <w:t xml:space="preserve">, </w:t>
      </w:r>
      <w:r w:rsidR="00487576" w:rsidRPr="001F26C7">
        <w:t>The Ohio State University, Columbus, OH, USA</w:t>
      </w:r>
    </w:p>
    <w:p w14:paraId="49C266F4" w14:textId="31000881" w:rsidR="00A14082" w:rsidRPr="001F26C7" w:rsidRDefault="00956B6C" w:rsidP="00196A93">
      <w:pPr>
        <w:spacing w:line="480" w:lineRule="exact"/>
      </w:pPr>
      <w:r w:rsidRPr="001F26C7">
        <w:rPr>
          <w:vertAlign w:val="superscript"/>
        </w:rPr>
        <w:t>6</w:t>
      </w:r>
      <w:r w:rsidR="007863BA" w:rsidRPr="001F26C7">
        <w:t>Center for Research on Self and Identity, P</w:t>
      </w:r>
      <w:r w:rsidR="00487576" w:rsidRPr="001F26C7">
        <w:t>sychology</w:t>
      </w:r>
      <w:r w:rsidRPr="001F26C7">
        <w:t xml:space="preserve"> Department</w:t>
      </w:r>
      <w:r w:rsidR="00487576" w:rsidRPr="001F26C7">
        <w:t xml:space="preserve">, </w:t>
      </w:r>
      <w:r w:rsidR="005C1F89" w:rsidRPr="001F26C7">
        <w:t>University of Southampton</w:t>
      </w:r>
      <w:r w:rsidR="00487576" w:rsidRPr="001F26C7">
        <w:t>, Southampton, UK</w:t>
      </w:r>
    </w:p>
    <w:p w14:paraId="16FAF7FD" w14:textId="77777777" w:rsidR="00F65F34" w:rsidRPr="001F26C7" w:rsidRDefault="00F65F34" w:rsidP="00196A93">
      <w:pPr>
        <w:spacing w:line="480" w:lineRule="exact"/>
      </w:pPr>
    </w:p>
    <w:p w14:paraId="230A4493" w14:textId="77777777" w:rsidR="00D275D4" w:rsidRPr="001F26C7" w:rsidRDefault="00D275D4" w:rsidP="00196A93">
      <w:pPr>
        <w:spacing w:line="480" w:lineRule="exact"/>
      </w:pPr>
    </w:p>
    <w:p w14:paraId="5BF58CA0" w14:textId="2108C17C" w:rsidR="00D275D4" w:rsidRPr="001F26C7" w:rsidRDefault="00D275D4" w:rsidP="00196A93">
      <w:pPr>
        <w:spacing w:line="480" w:lineRule="exact"/>
        <w:rPr>
          <w:rStyle w:val="rwrro3"/>
          <w:color w:val="auto"/>
        </w:rPr>
      </w:pPr>
      <w:r w:rsidRPr="001F26C7">
        <w:t xml:space="preserve">Corresponding author: Yu L. L. Luo, Institute of Psychology, 16 Lincui Road, Beijing 100101, China; email: </w:t>
      </w:r>
      <w:hyperlink r:id="rId8" w:history="1">
        <w:r w:rsidRPr="001F26C7">
          <w:rPr>
            <w:rStyle w:val="Hyperlink"/>
            <w:color w:val="auto"/>
            <w:u w:val="none"/>
          </w:rPr>
          <w:t>luoy@psych.ac.cn</w:t>
        </w:r>
      </w:hyperlink>
    </w:p>
    <w:p w14:paraId="0AB9744C" w14:textId="77777777" w:rsidR="00045746" w:rsidRPr="001F26C7" w:rsidRDefault="00045746" w:rsidP="00196A93">
      <w:pPr>
        <w:spacing w:line="480" w:lineRule="exact"/>
        <w:ind w:firstLine="720"/>
      </w:pPr>
    </w:p>
    <w:p w14:paraId="18B5C660" w14:textId="77777777" w:rsidR="00045746" w:rsidRPr="001F26C7" w:rsidRDefault="00045746" w:rsidP="00196A93">
      <w:pPr>
        <w:spacing w:line="480" w:lineRule="exact"/>
        <w:ind w:firstLine="720"/>
      </w:pPr>
    </w:p>
    <w:p w14:paraId="35085610" w14:textId="77777777" w:rsidR="00F65F34" w:rsidRPr="001F26C7" w:rsidRDefault="00F65F34" w:rsidP="00196A93">
      <w:pPr>
        <w:spacing w:line="480" w:lineRule="exact"/>
        <w:ind w:firstLine="720"/>
      </w:pPr>
    </w:p>
    <w:p w14:paraId="413021E0" w14:textId="0223D051" w:rsidR="00E8412E" w:rsidRPr="001F26C7" w:rsidRDefault="00E8412E" w:rsidP="00196A93">
      <w:pPr>
        <w:spacing w:line="480" w:lineRule="exact"/>
        <w:ind w:firstLine="720"/>
      </w:pPr>
      <w:r w:rsidRPr="001F26C7">
        <w:br w:type="page"/>
      </w:r>
    </w:p>
    <w:p w14:paraId="6F112A4A" w14:textId="77777777" w:rsidR="00682A85" w:rsidRPr="001F26C7" w:rsidRDefault="00682A85" w:rsidP="00196A93">
      <w:pPr>
        <w:spacing w:line="480" w:lineRule="exact"/>
        <w:jc w:val="center"/>
        <w:outlineLvl w:val="0"/>
        <w:rPr>
          <w:b/>
        </w:rPr>
      </w:pPr>
      <w:r w:rsidRPr="001F26C7">
        <w:rPr>
          <w:b/>
        </w:rPr>
        <w:lastRenderedPageBreak/>
        <w:t xml:space="preserve">5-HTTLPR Polymorphism Is Associated with Nostalgia Proneness: </w:t>
      </w:r>
    </w:p>
    <w:p w14:paraId="0090526C" w14:textId="77777777" w:rsidR="00682A85" w:rsidRPr="001F26C7" w:rsidRDefault="00682A85">
      <w:pPr>
        <w:spacing w:line="480" w:lineRule="exact"/>
        <w:jc w:val="center"/>
        <w:outlineLvl w:val="0"/>
        <w:rPr>
          <w:b/>
        </w:rPr>
      </w:pPr>
      <w:r w:rsidRPr="001F26C7">
        <w:rPr>
          <w:b/>
        </w:rPr>
        <w:t>The Role of Neuroticism</w:t>
      </w:r>
    </w:p>
    <w:p w14:paraId="7620AC11" w14:textId="77777777" w:rsidR="00D275D4" w:rsidRPr="001F26C7" w:rsidRDefault="00D275D4" w:rsidP="00D650FB">
      <w:pPr>
        <w:spacing w:line="480" w:lineRule="exact"/>
        <w:rPr>
          <w:bCs/>
        </w:rPr>
      </w:pPr>
    </w:p>
    <w:p w14:paraId="0CFCA2B2" w14:textId="77777777" w:rsidR="00C72571" w:rsidRPr="001F26C7" w:rsidRDefault="00C72571" w:rsidP="00D650FB">
      <w:pPr>
        <w:spacing w:line="480" w:lineRule="exact"/>
        <w:rPr>
          <w:bCs/>
        </w:rPr>
      </w:pPr>
    </w:p>
    <w:p w14:paraId="667AF4FC" w14:textId="77777777" w:rsidR="00211939" w:rsidRPr="001F26C7" w:rsidRDefault="00211939" w:rsidP="00D650FB">
      <w:pPr>
        <w:spacing w:line="480" w:lineRule="exact"/>
        <w:rPr>
          <w:bCs/>
        </w:rPr>
      </w:pPr>
    </w:p>
    <w:p w14:paraId="52FA48D3" w14:textId="77777777" w:rsidR="00C72571" w:rsidRPr="001F26C7" w:rsidRDefault="00C72571" w:rsidP="00D650FB">
      <w:pPr>
        <w:spacing w:line="480" w:lineRule="exact"/>
        <w:rPr>
          <w:bCs/>
        </w:rPr>
      </w:pPr>
    </w:p>
    <w:p w14:paraId="5E75EF20" w14:textId="77777777" w:rsidR="00606ED4" w:rsidRPr="001F26C7" w:rsidRDefault="00120AD7" w:rsidP="00196A93">
      <w:pPr>
        <w:spacing w:line="480" w:lineRule="exact"/>
        <w:jc w:val="center"/>
        <w:outlineLvl w:val="0"/>
        <w:rPr>
          <w:b/>
          <w:bCs/>
        </w:rPr>
      </w:pPr>
      <w:r w:rsidRPr="001F26C7">
        <w:rPr>
          <w:b/>
          <w:bCs/>
        </w:rPr>
        <w:t>Abstract</w:t>
      </w:r>
    </w:p>
    <w:p w14:paraId="391DB773" w14:textId="308FCC1C" w:rsidR="00C11E90" w:rsidRPr="001F26C7" w:rsidRDefault="00120AD7">
      <w:pPr>
        <w:spacing w:line="480" w:lineRule="exact"/>
      </w:pPr>
      <w:r w:rsidRPr="001F26C7">
        <w:t xml:space="preserve">Nostalgia, a sentimental longing for the past, is a self-relevant and social emotion. Nostalgia proneness </w:t>
      </w:r>
      <w:r w:rsidR="00900050" w:rsidRPr="001F26C7">
        <w:t xml:space="preserve">is associated with </w:t>
      </w:r>
      <w:r w:rsidRPr="001F26C7">
        <w:t>alleviat</w:t>
      </w:r>
      <w:r w:rsidR="00900050" w:rsidRPr="001F26C7">
        <w:t>ion of</w:t>
      </w:r>
      <w:r w:rsidRPr="001F26C7">
        <w:t xml:space="preserve"> distress or instability (e.g., neuroticism). Although nostalgia proneness is heritable, the specific molecular contributors to this heritability are unknown. </w:t>
      </w:r>
      <w:r w:rsidR="005D6585" w:rsidRPr="001F26C7">
        <w:t>W</w:t>
      </w:r>
      <w:r w:rsidRPr="001F26C7">
        <w:t>e focused on a polymorphism in the promoter of the serotonin transporter gene (5-HTTLPR) as a possible biological basis of nostalgia proneness</w:t>
      </w:r>
      <w:r w:rsidR="00196A93" w:rsidRPr="001F26C7">
        <w:t>,</w:t>
      </w:r>
      <w:r w:rsidR="00CA5F41" w:rsidRPr="001F26C7">
        <w:t xml:space="preserve"> because</w:t>
      </w:r>
      <w:r w:rsidRPr="001F26C7">
        <w:t xml:space="preserve"> the serotonin system has been associated with sensitivity to negative experience. Participants (</w:t>
      </w:r>
      <w:r w:rsidRPr="001F26C7">
        <w:rPr>
          <w:i/>
        </w:rPr>
        <w:t xml:space="preserve">N </w:t>
      </w:r>
      <w:r w:rsidRPr="001F26C7">
        <w:t xml:space="preserve">= 397 adults) </w:t>
      </w:r>
      <w:r w:rsidR="005A2560" w:rsidRPr="001F26C7">
        <w:t xml:space="preserve">who had reported levels of nostalgia proneness </w:t>
      </w:r>
      <w:r w:rsidRPr="001F26C7">
        <w:t>were genotyped</w:t>
      </w:r>
      <w:r w:rsidR="00CA5F41" w:rsidRPr="001F26C7">
        <w:t>.</w:t>
      </w:r>
      <w:r w:rsidRPr="001F26C7">
        <w:t xml:space="preserve"> </w:t>
      </w:r>
      <w:r w:rsidR="00CA5F41" w:rsidRPr="001F26C7">
        <w:t xml:space="preserve">A subsample also completed a measure of neuroticism. </w:t>
      </w:r>
      <w:r w:rsidRPr="001F26C7">
        <w:t xml:space="preserve">Participants with the 5-HTTLPR short allele were higher on nostalgia proneness than those without this allele. </w:t>
      </w:r>
      <w:r w:rsidR="00CA5F41" w:rsidRPr="001F26C7">
        <w:t>N</w:t>
      </w:r>
      <w:r w:rsidRPr="001F26C7">
        <w:t xml:space="preserve">euroticism </w:t>
      </w:r>
      <w:r w:rsidR="00CA5F41" w:rsidRPr="001F26C7">
        <w:t>mediated</w:t>
      </w:r>
      <w:r w:rsidRPr="001F26C7">
        <w:t xml:space="preserve"> the relation between 5-HTTLPR and nostalgia proneness. These findings </w:t>
      </w:r>
      <w:r w:rsidR="00030B79" w:rsidRPr="001F26C7">
        <w:t>enrich</w:t>
      </w:r>
      <w:r w:rsidR="005A2560" w:rsidRPr="001F26C7">
        <w:t xml:space="preserve"> our</w:t>
      </w:r>
      <w:r w:rsidRPr="001F26C7">
        <w:t xml:space="preserve"> </w:t>
      </w:r>
      <w:r w:rsidR="005B0109" w:rsidRPr="001F26C7">
        <w:t>understanding of</w:t>
      </w:r>
      <w:r w:rsidRPr="001F26C7">
        <w:t xml:space="preserve"> the genetic and personality underpinnings of nostalgia. </w:t>
      </w:r>
    </w:p>
    <w:p w14:paraId="3DB3EE2A" w14:textId="77777777" w:rsidR="00C11E90" w:rsidRPr="001F26C7" w:rsidRDefault="00C11E90">
      <w:pPr>
        <w:spacing w:line="480" w:lineRule="exact"/>
      </w:pPr>
    </w:p>
    <w:p w14:paraId="16155F23" w14:textId="77777777" w:rsidR="00211939" w:rsidRPr="001F26C7" w:rsidRDefault="00211939">
      <w:pPr>
        <w:spacing w:line="480" w:lineRule="exact"/>
      </w:pPr>
    </w:p>
    <w:p w14:paraId="6D638EA4" w14:textId="3604E027" w:rsidR="00606ED4" w:rsidRPr="001F26C7" w:rsidRDefault="00C11E90">
      <w:pPr>
        <w:spacing w:line="480" w:lineRule="exact"/>
        <w:rPr>
          <w:b/>
        </w:rPr>
      </w:pPr>
      <w:r w:rsidRPr="001F26C7">
        <w:rPr>
          <w:b/>
        </w:rPr>
        <w:t>K</w:t>
      </w:r>
      <w:r w:rsidR="00417DF6" w:rsidRPr="001F26C7">
        <w:rPr>
          <w:b/>
        </w:rPr>
        <w:t>eywords:</w:t>
      </w:r>
      <w:r w:rsidR="00417DF6" w:rsidRPr="001F26C7">
        <w:t xml:space="preserve"> nos</w:t>
      </w:r>
      <w:r w:rsidR="00ED46F7" w:rsidRPr="001F26C7">
        <w:t>talgia;</w:t>
      </w:r>
      <w:r w:rsidR="00417DF6" w:rsidRPr="001F26C7">
        <w:t xml:space="preserve"> </w:t>
      </w:r>
      <w:r w:rsidR="00ED46F7" w:rsidRPr="001F26C7">
        <w:t>neuroticism; serotonin;</w:t>
      </w:r>
      <w:r w:rsidR="00417DF6" w:rsidRPr="001F26C7">
        <w:t xml:space="preserve"> 5-HTTLPR</w:t>
      </w:r>
      <w:r w:rsidR="00ED46F7" w:rsidRPr="001F26C7">
        <w:t>;</w:t>
      </w:r>
      <w:r w:rsidR="00417DF6" w:rsidRPr="001F26C7">
        <w:t xml:space="preserve"> genetics</w:t>
      </w:r>
      <w:r w:rsidR="00120AD7" w:rsidRPr="001F26C7">
        <w:br w:type="page"/>
      </w:r>
    </w:p>
    <w:p w14:paraId="66149E38" w14:textId="6BE36AD6" w:rsidR="00126B01" w:rsidRPr="001F26C7" w:rsidRDefault="00DC351F">
      <w:pPr>
        <w:spacing w:line="480" w:lineRule="exact"/>
        <w:jc w:val="center"/>
        <w:outlineLvl w:val="0"/>
        <w:rPr>
          <w:b/>
        </w:rPr>
      </w:pPr>
      <w:r w:rsidRPr="001F26C7">
        <w:rPr>
          <w:b/>
        </w:rPr>
        <w:lastRenderedPageBreak/>
        <w:t>Introduction</w:t>
      </w:r>
    </w:p>
    <w:p w14:paraId="1F6418A0" w14:textId="47374861" w:rsidR="00606ED4" w:rsidRPr="001F26C7" w:rsidRDefault="00120AD7">
      <w:pPr>
        <w:spacing w:line="480" w:lineRule="exact"/>
        <w:ind w:firstLine="720"/>
      </w:pPr>
      <w:r w:rsidRPr="001F26C7">
        <w:t>Nostalgia is defined as “a sentimental longing or wistful affection for the past” (</w:t>
      </w:r>
      <w:r w:rsidRPr="001F26C7">
        <w:rPr>
          <w:i/>
          <w:iCs/>
        </w:rPr>
        <w:t>The New Oxford Dictionary of English</w:t>
      </w:r>
      <w:r w:rsidRPr="001F26C7">
        <w:t>, 1998, p. 1266). The emotion is evoked when one reflects fondly and tenderly upon a momentous occasion from</w:t>
      </w:r>
      <w:r w:rsidR="00030B79" w:rsidRPr="001F26C7">
        <w:t xml:space="preserve"> </w:t>
      </w:r>
      <w:r w:rsidR="007E5AA5" w:rsidRPr="001F26C7">
        <w:t>the</w:t>
      </w:r>
      <w:r w:rsidRPr="001F26C7">
        <w:t xml:space="preserve"> past</w:t>
      </w:r>
      <w:r w:rsidR="00030B79" w:rsidRPr="001F26C7">
        <w:t xml:space="preserve"> (e.g., in reference to </w:t>
      </w:r>
      <w:r w:rsidR="006A45FE" w:rsidRPr="001F26C7">
        <w:t xml:space="preserve">one’s </w:t>
      </w:r>
      <w:r w:rsidRPr="001F26C7">
        <w:t xml:space="preserve">childhood, close relationships, </w:t>
      </w:r>
      <w:r w:rsidR="00D90F2B" w:rsidRPr="001F26C7">
        <w:t xml:space="preserve">or </w:t>
      </w:r>
      <w:r w:rsidRPr="001F26C7">
        <w:t>keepsakes</w:t>
      </w:r>
      <w:r w:rsidR="00D90F2B" w:rsidRPr="001F26C7">
        <w:t>)</w:t>
      </w:r>
      <w:r w:rsidRPr="001F26C7">
        <w:t xml:space="preserve">. </w:t>
      </w:r>
      <w:r w:rsidR="00D90F2B" w:rsidRPr="001F26C7">
        <w:t>The emotion</w:t>
      </w:r>
      <w:r w:rsidRPr="001F26C7">
        <w:t xml:space="preserve"> is bittersweet, </w:t>
      </w:r>
      <w:r w:rsidR="00D90F2B" w:rsidRPr="001F26C7">
        <w:t>albeit more sweet (e.g., pleasant) than bitter (e.g., sad)</w:t>
      </w:r>
      <w:r w:rsidRPr="001F26C7">
        <w:t xml:space="preserve">. </w:t>
      </w:r>
      <w:r w:rsidR="007E5AA5" w:rsidRPr="001F26C7">
        <w:t xml:space="preserve">Nostalgia </w:t>
      </w:r>
      <w:r w:rsidRPr="001F26C7">
        <w:t>is self-relevant</w:t>
      </w:r>
      <w:r w:rsidR="007E5AA5" w:rsidRPr="001F26C7">
        <w:t xml:space="preserve"> (because </w:t>
      </w:r>
      <w:r w:rsidRPr="001F26C7">
        <w:t xml:space="preserve">the self is the </w:t>
      </w:r>
      <w:r w:rsidR="00196A93" w:rsidRPr="001F26C7">
        <w:t>protagonist in</w:t>
      </w:r>
      <w:r w:rsidRPr="001F26C7">
        <w:t xml:space="preserve"> nostalgic accounts</w:t>
      </w:r>
      <w:r w:rsidR="007E5AA5" w:rsidRPr="001F26C7">
        <w:t>)</w:t>
      </w:r>
      <w:r w:rsidRPr="001F26C7">
        <w:t>, and social</w:t>
      </w:r>
      <w:r w:rsidR="007E5AA5" w:rsidRPr="001F26C7">
        <w:t xml:space="preserve"> (because </w:t>
      </w:r>
      <w:r w:rsidRPr="001F26C7">
        <w:t>the self is almost invariably surrounded by close others</w:t>
      </w:r>
      <w:r w:rsidR="007E5AA5" w:rsidRPr="001F26C7">
        <w:t>)</w:t>
      </w:r>
      <w:r w:rsidRPr="001F26C7">
        <w:t xml:space="preserve">. </w:t>
      </w:r>
      <w:r w:rsidR="00E5364B" w:rsidRPr="001F26C7">
        <w:t xml:space="preserve">Nostalgia </w:t>
      </w:r>
      <w:r w:rsidRPr="001F26C7">
        <w:t>is observed across ages and cultures (for review, see: Sedikides et al., 2015).</w:t>
      </w:r>
    </w:p>
    <w:p w14:paraId="5E116D18" w14:textId="57F2C451" w:rsidR="00606ED4" w:rsidRPr="001F26C7" w:rsidRDefault="00120AD7">
      <w:pPr>
        <w:spacing w:line="480" w:lineRule="exact"/>
        <w:ind w:firstLine="720"/>
      </w:pPr>
      <w:r w:rsidRPr="001F26C7">
        <w:t>Although nostalgia is</w:t>
      </w:r>
      <w:r w:rsidR="00030B79" w:rsidRPr="001F26C7">
        <w:t xml:space="preserve"> likely</w:t>
      </w:r>
      <w:r w:rsidRPr="001F26C7">
        <w:t xml:space="preserve"> a universal</w:t>
      </w:r>
      <w:r w:rsidR="00003662" w:rsidRPr="001F26C7">
        <w:t xml:space="preserve"> emotion</w:t>
      </w:r>
      <w:r w:rsidRPr="001F26C7">
        <w:t>, some</w:t>
      </w:r>
      <w:r w:rsidR="00BF231C" w:rsidRPr="001F26C7">
        <w:t xml:space="preserve"> individuals</w:t>
      </w:r>
      <w:r w:rsidRPr="001F26C7">
        <w:t xml:space="preserve"> experience it more</w:t>
      </w:r>
      <w:r w:rsidR="00BF231C" w:rsidRPr="001F26C7">
        <w:t xml:space="preserve"> frequently</w:t>
      </w:r>
      <w:r w:rsidRPr="001F26C7">
        <w:t xml:space="preserve"> than others. Indeed, prior research has established nostalgia proneness as a </w:t>
      </w:r>
      <w:r w:rsidR="00E75E94" w:rsidRPr="001F26C7">
        <w:t xml:space="preserve">personality </w:t>
      </w:r>
      <w:r w:rsidRPr="001F26C7">
        <w:t xml:space="preserve">trait (Juhl, Routledge, Arndt, Sedikides, &amp; Wildschut, 2010; Routledge, Arndt, Sedikides, &amp; Wildschut, 2008). Elevated nostalgia proneness is associated with indicators of negative affectivity, such as loneliness (Zhou, Sedikides, Wildschut, &amp; Gao, 2008) and, crucially, neuroticism (Seehusen et al., 2013), which entails </w:t>
      </w:r>
      <w:r w:rsidRPr="001F26C7">
        <w:rPr>
          <w:lang w:val="en-GB"/>
        </w:rPr>
        <w:t>negative affect and emotional instability (Widiger, 2009)</w:t>
      </w:r>
      <w:r w:rsidRPr="001F26C7">
        <w:t>. However, this</w:t>
      </w:r>
      <w:r w:rsidR="00030B79" w:rsidRPr="001F26C7">
        <w:t xml:space="preserve"> association</w:t>
      </w:r>
      <w:r w:rsidRPr="001F26C7">
        <w:t xml:space="preserve"> does not necessarily imply that nostalgia proneness is maladaptive. Instead, extensive </w:t>
      </w:r>
      <w:r w:rsidR="00E06D4B" w:rsidRPr="001F26C7">
        <w:t xml:space="preserve">empirical evidence </w:t>
      </w:r>
      <w:r w:rsidRPr="001F26C7">
        <w:t xml:space="preserve">suggests that nostalgia is </w:t>
      </w:r>
      <w:r w:rsidR="00EE61EC" w:rsidRPr="001F26C7">
        <w:t xml:space="preserve">an </w:t>
      </w:r>
      <w:r w:rsidR="007D4763" w:rsidRPr="001F26C7">
        <w:t xml:space="preserve">adaptive </w:t>
      </w:r>
      <w:r w:rsidR="00EE61EC" w:rsidRPr="001F26C7">
        <w:t>response to</w:t>
      </w:r>
      <w:r w:rsidRPr="001F26C7">
        <w:t xml:space="preserve"> negative</w:t>
      </w:r>
      <w:r w:rsidR="00E06D4B" w:rsidRPr="001F26C7">
        <w:t xml:space="preserve"> affectivity</w:t>
      </w:r>
      <w:r w:rsidR="00924CD1" w:rsidRPr="001F26C7">
        <w:rPr>
          <w:rFonts w:hint="eastAsia"/>
        </w:rPr>
        <w:t xml:space="preserve">. </w:t>
      </w:r>
      <w:r w:rsidR="00496BE8" w:rsidRPr="001F26C7">
        <w:t>As a self-relevant and social emotion, nostalgia could</w:t>
      </w:r>
      <w:r w:rsidR="00191BE2" w:rsidRPr="001F26C7">
        <w:rPr>
          <w:rFonts w:eastAsia="Times New Roman" w:hint="eastAsia"/>
          <w:color w:val="000000"/>
        </w:rPr>
        <w:t xml:space="preserve"> </w:t>
      </w:r>
      <w:r w:rsidR="00191BE2" w:rsidRPr="001F26C7">
        <w:rPr>
          <w:rFonts w:eastAsia="Times New Roman"/>
          <w:color w:val="000000"/>
        </w:rPr>
        <w:t>nurture</w:t>
      </w:r>
      <w:r w:rsidR="00191BE2" w:rsidRPr="001F26C7">
        <w:rPr>
          <w:rFonts w:eastAsia="Times New Roman" w:hint="eastAsia"/>
          <w:color w:val="000000"/>
        </w:rPr>
        <w:t xml:space="preserve"> various psychological </w:t>
      </w:r>
      <w:r w:rsidR="00191BE2" w:rsidRPr="001F26C7">
        <w:rPr>
          <w:rFonts w:eastAsia="Times New Roman"/>
          <w:color w:val="000000"/>
        </w:rPr>
        <w:t>resources</w:t>
      </w:r>
      <w:r w:rsidR="00191BE2" w:rsidRPr="001F26C7">
        <w:rPr>
          <w:rFonts w:eastAsia="Times New Roman" w:hint="eastAsia"/>
          <w:color w:val="000000"/>
        </w:rPr>
        <w:t xml:space="preserve">, </w:t>
      </w:r>
      <w:r w:rsidR="00191BE2" w:rsidRPr="001F26C7">
        <w:rPr>
          <w:rFonts w:eastAsia="Times New Roman"/>
          <w:color w:val="000000"/>
        </w:rPr>
        <w:t>including</w:t>
      </w:r>
      <w:r w:rsidR="00191BE2" w:rsidRPr="001F26C7">
        <w:rPr>
          <w:rFonts w:eastAsia="Times New Roman" w:hint="eastAsia"/>
          <w:color w:val="000000"/>
        </w:rPr>
        <w:t xml:space="preserve"> (but not limited to) </w:t>
      </w:r>
      <w:r w:rsidR="00643D68" w:rsidRPr="001F26C7">
        <w:rPr>
          <w:rFonts w:hint="eastAsia"/>
        </w:rPr>
        <w:t xml:space="preserve">self-esteem, </w:t>
      </w:r>
      <w:r w:rsidR="00AE2107" w:rsidRPr="001F26C7">
        <w:rPr>
          <w:rFonts w:hint="eastAsia"/>
        </w:rPr>
        <w:t>social connectedness</w:t>
      </w:r>
      <w:r w:rsidR="00D34D12" w:rsidRPr="001F26C7">
        <w:rPr>
          <w:rFonts w:hint="eastAsia"/>
        </w:rPr>
        <w:t xml:space="preserve"> (a sense of being accepted and loved)</w:t>
      </w:r>
      <w:r w:rsidR="00AE2107" w:rsidRPr="001F26C7">
        <w:rPr>
          <w:rFonts w:hint="eastAsia"/>
        </w:rPr>
        <w:t xml:space="preserve">, </w:t>
      </w:r>
      <w:r w:rsidR="00643D68" w:rsidRPr="001F26C7">
        <w:rPr>
          <w:rFonts w:hint="eastAsia"/>
        </w:rPr>
        <w:t xml:space="preserve">and meaning in life, </w:t>
      </w:r>
      <w:r w:rsidR="004310D1" w:rsidRPr="001F26C7">
        <w:t>thereby</w:t>
      </w:r>
      <w:r w:rsidR="00AE2107" w:rsidRPr="001F26C7">
        <w:rPr>
          <w:rFonts w:hint="eastAsia"/>
        </w:rPr>
        <w:t xml:space="preserve"> </w:t>
      </w:r>
      <w:r w:rsidR="00AE2107" w:rsidRPr="001F26C7">
        <w:t>assuaging</w:t>
      </w:r>
      <w:r w:rsidR="00924CD1" w:rsidRPr="001F26C7">
        <w:t xml:space="preserve"> worries and negative affect</w:t>
      </w:r>
      <w:r w:rsidRPr="001F26C7">
        <w:t xml:space="preserve"> (Sedikides et al., 2015). </w:t>
      </w:r>
    </w:p>
    <w:p w14:paraId="022FF669" w14:textId="5733E62A" w:rsidR="003A0862" w:rsidRPr="001F26C7" w:rsidRDefault="00120AD7">
      <w:pPr>
        <w:spacing w:line="480" w:lineRule="exact"/>
        <w:ind w:firstLine="720"/>
      </w:pPr>
      <w:r w:rsidRPr="001F26C7">
        <w:t>Both environmental and genetic factors are thought to contribute to individual differences in nostalgia proneness (Johnson, Penke, &amp; Spinath, 2011). A twin study has demonstrated that nostalgia proneness is partly shaped by hereditary influences (Luo, Liu, Cai, Wildschut, &amp; Sedikides, 2016), but the biological basis for this heritability is unclear. One neurochemical system that may be involved in nostalgia proneness is serotonin.</w:t>
      </w:r>
      <w:r w:rsidR="00E569B1" w:rsidRPr="001F26C7">
        <w:t xml:space="preserve"> This hypothesis is based on two converging </w:t>
      </w:r>
      <w:r w:rsidR="000F68CC" w:rsidRPr="001F26C7">
        <w:t>bodies</w:t>
      </w:r>
      <w:r w:rsidR="00E569B1" w:rsidRPr="001F26C7">
        <w:t xml:space="preserve"> of evidence.</w:t>
      </w:r>
      <w:r w:rsidR="00196A93" w:rsidRPr="001F26C7">
        <w:t xml:space="preserve"> </w:t>
      </w:r>
      <w:r w:rsidR="00E569B1" w:rsidRPr="001F26C7">
        <w:t>First</w:t>
      </w:r>
      <w:r w:rsidRPr="001F26C7">
        <w:t>, the serotonin system has been implicated in multiple component processes of nostalgia</w:t>
      </w:r>
      <w:r w:rsidR="004E2510" w:rsidRPr="001F26C7">
        <w:t>,</w:t>
      </w:r>
      <w:r w:rsidRPr="001F26C7">
        <w:t xml:space="preserve"> including </w:t>
      </w:r>
      <w:r w:rsidR="000B69FC" w:rsidRPr="001F26C7">
        <w:t xml:space="preserve">autobiographical </w:t>
      </w:r>
      <w:r w:rsidRPr="001F26C7">
        <w:t>memory</w:t>
      </w:r>
      <w:r w:rsidR="0080092C" w:rsidRPr="001F26C7">
        <w:t xml:space="preserve"> (Sumer et al., 2014)</w:t>
      </w:r>
      <w:r w:rsidRPr="001F26C7">
        <w:t xml:space="preserve">, </w:t>
      </w:r>
      <w:r w:rsidR="00702720" w:rsidRPr="001F26C7">
        <w:t>reward</w:t>
      </w:r>
      <w:r w:rsidR="00F009C8" w:rsidRPr="001F26C7">
        <w:t xml:space="preserve"> (Li et al., 2016)</w:t>
      </w:r>
      <w:r w:rsidR="00702720" w:rsidRPr="001F26C7">
        <w:t xml:space="preserve">, </w:t>
      </w:r>
      <w:r w:rsidRPr="001F26C7">
        <w:t>affiliation</w:t>
      </w:r>
      <w:r w:rsidR="00806125" w:rsidRPr="001F26C7">
        <w:t xml:space="preserve"> (</w:t>
      </w:r>
      <w:r w:rsidR="00D61898" w:rsidRPr="001F26C7">
        <w:t>Kamilar-Britt &amp; Bedi, 2015</w:t>
      </w:r>
      <w:r w:rsidR="00806125" w:rsidRPr="001F26C7">
        <w:t>)</w:t>
      </w:r>
      <w:r w:rsidRPr="001F26C7">
        <w:t xml:space="preserve">, </w:t>
      </w:r>
      <w:r w:rsidR="004A0382" w:rsidRPr="001F26C7">
        <w:t>neuroticism</w:t>
      </w:r>
      <w:r w:rsidR="007768F1" w:rsidRPr="001F26C7">
        <w:t xml:space="preserve"> (Quilty, Meusel, &amp; Bagby, 2008)</w:t>
      </w:r>
      <w:r w:rsidRPr="001F26C7">
        <w:t>, and buffering</w:t>
      </w:r>
      <w:r w:rsidR="00030B79" w:rsidRPr="001F26C7">
        <w:t xml:space="preserve"> of</w:t>
      </w:r>
      <w:r w:rsidRPr="001F26C7">
        <w:t xml:space="preserve"> social pain (</w:t>
      </w:r>
      <w:r w:rsidRPr="001F26C7">
        <w:rPr>
          <w:noProof/>
        </w:rPr>
        <w:t>Preller et al., 2016</w:t>
      </w:r>
      <w:r w:rsidRPr="001F26C7">
        <w:t xml:space="preserve">). </w:t>
      </w:r>
      <w:r w:rsidR="00E569B1" w:rsidRPr="001F26C7">
        <w:t xml:space="preserve">Second, </w:t>
      </w:r>
      <w:r w:rsidR="00604404" w:rsidRPr="001F26C7">
        <w:t>functional neuroimaging studies suggest nostalgia is associated with activation of a set of limbic and paralimbic networks</w:t>
      </w:r>
      <w:r w:rsidR="00322642" w:rsidRPr="001F26C7">
        <w:t xml:space="preserve"> for memory, reward, and the self</w:t>
      </w:r>
      <w:r w:rsidR="001624A4" w:rsidRPr="001F26C7">
        <w:t>-</w:t>
      </w:r>
      <w:r w:rsidR="000F68CC" w:rsidRPr="001F26C7">
        <w:t>networks</w:t>
      </w:r>
      <w:r w:rsidR="00322642" w:rsidRPr="001F26C7">
        <w:t xml:space="preserve"> that include the ventral striatum, hippocampus, and medial orbitofrontal cortex </w:t>
      </w:r>
      <w:r w:rsidR="00D646B6" w:rsidRPr="001F26C7">
        <w:t>(Barrett &amp; Janata, 2016; Oba, Noriuchi, Atomi, Moriguchi, &amp; Kikuchi, 2016)</w:t>
      </w:r>
      <w:r w:rsidR="00322642" w:rsidRPr="001F26C7">
        <w:t xml:space="preserve">. </w:t>
      </w:r>
      <w:r w:rsidR="0013616F" w:rsidRPr="001F26C7">
        <w:t>These structures are heavily innervated by the serotonin system</w:t>
      </w:r>
      <w:r w:rsidR="005C4BEF" w:rsidRPr="001F26C7">
        <w:t xml:space="preserve"> (Hensler, 2006; Way, Lacan, Fairbanks, &amp; Melega, 2007)</w:t>
      </w:r>
      <w:r w:rsidR="0013616F" w:rsidRPr="001F26C7">
        <w:t>. Therefore, on both functional and anatomical grounds</w:t>
      </w:r>
      <w:r w:rsidR="00277ABE" w:rsidRPr="001F26C7">
        <w:t xml:space="preserve">, </w:t>
      </w:r>
      <w:r w:rsidR="0013616F" w:rsidRPr="001F26C7">
        <w:t>there is good reason to suspect a role for the serotonin system to be involved in nostalgia.</w:t>
      </w:r>
      <w:r w:rsidR="00196A93" w:rsidRPr="001F26C7">
        <w:t xml:space="preserve"> </w:t>
      </w:r>
    </w:p>
    <w:p w14:paraId="39B83483" w14:textId="60749E81" w:rsidR="00277ABE" w:rsidRPr="001F26C7" w:rsidRDefault="00277ABE" w:rsidP="00540070">
      <w:pPr>
        <w:spacing w:line="480" w:lineRule="exact"/>
        <w:ind w:firstLine="720"/>
      </w:pPr>
      <w:r w:rsidRPr="001F26C7">
        <w:t xml:space="preserve">Related to the serotonin system, </w:t>
      </w:r>
      <w:r w:rsidR="00120AD7" w:rsidRPr="001F26C7">
        <w:t xml:space="preserve">much </w:t>
      </w:r>
      <w:r w:rsidRPr="001F26C7">
        <w:t xml:space="preserve">of </w:t>
      </w:r>
      <w:r w:rsidR="00120AD7" w:rsidRPr="001F26C7">
        <w:t>candidate gene research has focused on variation in the serotonin transporter gene. The most studied polymorphism is in the promoter region (5-HTTLPR), which has two primary alleles</w:t>
      </w:r>
      <w:r w:rsidR="006C5D8F" w:rsidRPr="001F26C7">
        <w:t>—</w:t>
      </w:r>
      <w:r w:rsidR="00120AD7" w:rsidRPr="001F26C7">
        <w:t xml:space="preserve">short and long. </w:t>
      </w:r>
      <w:r w:rsidR="00BF231C" w:rsidRPr="001F26C7">
        <w:t>A good deal</w:t>
      </w:r>
      <w:r w:rsidR="00120AD7" w:rsidRPr="001F26C7">
        <w:t xml:space="preserve"> of this research was sparked by</w:t>
      </w:r>
      <w:r w:rsidR="001961B7" w:rsidRPr="001F26C7">
        <w:t xml:space="preserve"> the</w:t>
      </w:r>
      <w:r w:rsidR="00120AD7" w:rsidRPr="001F26C7">
        <w:t xml:space="preserve"> </w:t>
      </w:r>
      <w:r w:rsidR="001961B7" w:rsidRPr="001F26C7">
        <w:t>finding</w:t>
      </w:r>
      <w:r w:rsidR="00120AD7" w:rsidRPr="001F26C7">
        <w:t xml:space="preserve"> that individuals with the short allele, particularly two </w:t>
      </w:r>
      <w:r w:rsidR="006C5D8F" w:rsidRPr="001F26C7">
        <w:t xml:space="preserve">copies of the </w:t>
      </w:r>
      <w:r w:rsidR="00120AD7" w:rsidRPr="001F26C7">
        <w:t xml:space="preserve">short allele, were more likely to become depressed when exposed to negative life events than individuals with two copies of the long allele exposed to similar events (Caspi et al., 2003). </w:t>
      </w:r>
      <w:r w:rsidR="005F0D44" w:rsidRPr="001F26C7">
        <w:t>Although f</w:t>
      </w:r>
      <w:r w:rsidR="00E06D4B" w:rsidRPr="001F26C7">
        <w:t>ollow-up</w:t>
      </w:r>
      <w:r w:rsidR="004A0FBB" w:rsidRPr="001F26C7">
        <w:t xml:space="preserve"> meta-analyses hav</w:t>
      </w:r>
      <w:r w:rsidR="008E35A9" w:rsidRPr="001F26C7">
        <w:t>e</w:t>
      </w:r>
      <w:r w:rsidR="004A0FBB" w:rsidRPr="001F26C7">
        <w:t xml:space="preserve"> led </w:t>
      </w:r>
      <w:r w:rsidR="003B4CDF" w:rsidRPr="001F26C7">
        <w:t xml:space="preserve">to </w:t>
      </w:r>
      <w:r w:rsidR="005F0D44" w:rsidRPr="001F26C7">
        <w:t>conflicting conclusions regarding</w:t>
      </w:r>
      <w:r w:rsidR="00150953" w:rsidRPr="001F26C7">
        <w:t xml:space="preserve"> </w:t>
      </w:r>
      <w:r w:rsidR="00E06D4B" w:rsidRPr="001F26C7">
        <w:t>t</w:t>
      </w:r>
      <w:r w:rsidR="00120AD7" w:rsidRPr="001F26C7">
        <w:t>his finding (Karg, Burmeister, Shedden, &amp; Sen, 2011; Sharpley, Palanisamy, Glyde, Dillingham, &amp; Agnew, 2014</w:t>
      </w:r>
      <w:r w:rsidR="00E06D4B" w:rsidRPr="001F26C7">
        <w:t xml:space="preserve">; </w:t>
      </w:r>
      <w:r w:rsidR="000F68CC" w:rsidRPr="001F26C7">
        <w:t>see also Culverhouse et al., 2017</w:t>
      </w:r>
      <w:r w:rsidR="00E06D4B" w:rsidRPr="001F26C7">
        <w:t>)</w:t>
      </w:r>
      <w:r w:rsidR="00540070" w:rsidRPr="001F26C7">
        <w:t xml:space="preserve">, laboratory stress studies have more reliably shown an association of the short allele with greater cortisol response (Alexander et al., 2014). </w:t>
      </w:r>
      <w:r w:rsidR="00792334" w:rsidRPr="001F26C7">
        <w:t>One interpretation of t</w:t>
      </w:r>
      <w:r w:rsidR="00120AD7" w:rsidRPr="001F26C7">
        <w:t>his line of research suggests that the short allele heightens reactivity to negative events</w:t>
      </w:r>
      <w:r w:rsidR="00D6434B" w:rsidRPr="001F26C7">
        <w:rPr>
          <w:rFonts w:hint="eastAsia"/>
        </w:rPr>
        <w:t xml:space="preserve"> (</w:t>
      </w:r>
      <w:r w:rsidR="008F1E3E" w:rsidRPr="001F26C7">
        <w:rPr>
          <w:rFonts w:hint="eastAsia"/>
        </w:rPr>
        <w:t xml:space="preserve">Drabant et al., 2012; </w:t>
      </w:r>
      <w:r w:rsidR="007D606A" w:rsidRPr="001F26C7">
        <w:rPr>
          <w:rFonts w:hint="eastAsia"/>
        </w:rPr>
        <w:t>Osinsky et al., 2008</w:t>
      </w:r>
      <w:r w:rsidR="00D6434B" w:rsidRPr="001F26C7">
        <w:rPr>
          <w:rFonts w:hint="eastAsia"/>
        </w:rPr>
        <w:t>)</w:t>
      </w:r>
      <w:r w:rsidR="00120AD7" w:rsidRPr="001F26C7">
        <w:t xml:space="preserve">. </w:t>
      </w:r>
    </w:p>
    <w:p w14:paraId="6CE761DA" w14:textId="7CEA59D8" w:rsidR="00606ED4" w:rsidRPr="001F26C7" w:rsidRDefault="00120AD7" w:rsidP="00540070">
      <w:pPr>
        <w:spacing w:line="480" w:lineRule="exact"/>
        <w:ind w:firstLine="720"/>
      </w:pPr>
      <w:r w:rsidRPr="001F26C7">
        <w:t xml:space="preserve">In order to restore psychological homeostasis, people </w:t>
      </w:r>
      <w:r w:rsidR="00A56B99" w:rsidRPr="001F26C7">
        <w:t xml:space="preserve">with short allele </w:t>
      </w:r>
      <w:r w:rsidRPr="001F26C7">
        <w:t>may</w:t>
      </w:r>
      <w:r w:rsidR="000C2AFF" w:rsidRPr="001F26C7">
        <w:t xml:space="preserve"> engage in </w:t>
      </w:r>
      <w:r w:rsidR="001C09CA" w:rsidRPr="001F26C7">
        <w:t>processes</w:t>
      </w:r>
      <w:r w:rsidRPr="001F26C7">
        <w:t xml:space="preserve"> </w:t>
      </w:r>
      <w:r w:rsidR="0069495A" w:rsidRPr="001F26C7">
        <w:t xml:space="preserve">such </w:t>
      </w:r>
      <w:r w:rsidRPr="001F26C7">
        <w:t xml:space="preserve">as nostalgia. This </w:t>
      </w:r>
      <w:r w:rsidR="00A45971" w:rsidRPr="001F26C7">
        <w:rPr>
          <w:rFonts w:hint="eastAsia"/>
        </w:rPr>
        <w:t>inference</w:t>
      </w:r>
      <w:r w:rsidR="000F68CC" w:rsidRPr="001F26C7">
        <w:t xml:space="preserve"> </w:t>
      </w:r>
      <w:r w:rsidR="00BF231C" w:rsidRPr="001F26C7">
        <w:t>is</w:t>
      </w:r>
      <w:r w:rsidRPr="001F26C7">
        <w:t xml:space="preserve"> </w:t>
      </w:r>
      <w:r w:rsidR="004009FF" w:rsidRPr="001F26C7">
        <w:t xml:space="preserve">supported </w:t>
      </w:r>
      <w:r w:rsidRPr="001F26C7">
        <w:t xml:space="preserve">by </w:t>
      </w:r>
      <w:r w:rsidR="000F68CC" w:rsidRPr="001F26C7">
        <w:t>evidence</w:t>
      </w:r>
      <w:r w:rsidRPr="001F26C7">
        <w:t>. The 5-HTTLPR short allele has been associated with higher levels of neuroticism (</w:t>
      </w:r>
      <w:r w:rsidRPr="001F26C7">
        <w:rPr>
          <w:noProof/>
        </w:rPr>
        <w:t>Schinka, Busch, &amp; Robichaux-Keene, 2004</w:t>
      </w:r>
      <w:r w:rsidRPr="001F26C7">
        <w:t>). Meanwhile, nostalgia</w:t>
      </w:r>
      <w:r w:rsidR="004077AF" w:rsidRPr="001F26C7">
        <w:rPr>
          <w:rFonts w:hint="eastAsia"/>
        </w:rPr>
        <w:t xml:space="preserve"> proneness</w:t>
      </w:r>
      <w:r w:rsidRPr="001F26C7">
        <w:t xml:space="preserve"> is also related to neuroticism</w:t>
      </w:r>
      <w:r w:rsidR="001961B7" w:rsidRPr="001F26C7">
        <w:t xml:space="preserve"> </w:t>
      </w:r>
      <w:r w:rsidRPr="001F26C7">
        <w:t xml:space="preserve">(Seehusen et al., 2013). Taken together, short allele carriers may </w:t>
      </w:r>
      <w:r w:rsidR="00150953" w:rsidRPr="001F26C7">
        <w:t xml:space="preserve">be </w:t>
      </w:r>
      <w:r w:rsidR="00393726" w:rsidRPr="001F26C7">
        <w:t xml:space="preserve">inclined </w:t>
      </w:r>
      <w:r w:rsidR="00150953" w:rsidRPr="001F26C7">
        <w:t>to neuroticism</w:t>
      </w:r>
      <w:r w:rsidRPr="001F26C7">
        <w:t xml:space="preserve">, and </w:t>
      </w:r>
      <w:r w:rsidR="00150953" w:rsidRPr="001F26C7">
        <w:t>consequently to nostalgia as a coping mechanism</w:t>
      </w:r>
      <w:r w:rsidR="004009FF" w:rsidRPr="001F26C7">
        <w:t xml:space="preserve"> for negative events</w:t>
      </w:r>
      <w:r w:rsidR="004C2DA4" w:rsidRPr="001F26C7">
        <w:t xml:space="preserve"> (Sedikides et </w:t>
      </w:r>
      <w:r w:rsidR="001441DA" w:rsidRPr="001F26C7">
        <w:t>al., 2015</w:t>
      </w:r>
      <w:r w:rsidR="004C2DA4" w:rsidRPr="001F26C7">
        <w:t>)</w:t>
      </w:r>
      <w:r w:rsidR="00150953" w:rsidRPr="001F26C7">
        <w:t>.</w:t>
      </w:r>
      <w:r w:rsidR="00DD0BC7" w:rsidRPr="001F26C7">
        <w:t xml:space="preserve"> </w:t>
      </w:r>
    </w:p>
    <w:p w14:paraId="03A1DBE3" w14:textId="4585B8EB" w:rsidR="00606ED4" w:rsidRPr="001F26C7" w:rsidRDefault="002E7A25">
      <w:pPr>
        <w:spacing w:line="480" w:lineRule="exact"/>
        <w:ind w:firstLine="720"/>
      </w:pPr>
      <w:r w:rsidRPr="001F26C7">
        <w:t>To summarize</w:t>
      </w:r>
      <w:r w:rsidR="00120AD7" w:rsidRPr="001F26C7">
        <w:t xml:space="preserve">, we propose that serotonin is relevant to the heritability of nostalgia proneness. We focus, in particular, on the serotonin-transporter-linked polymorphic region (5-HTTLPR), a region in the gene (SLC6A4) that codes for the serotonin transporter. We hypothesize that individuals with </w:t>
      </w:r>
      <w:r w:rsidR="00D75C2D" w:rsidRPr="001F26C7">
        <w:t xml:space="preserve">the </w:t>
      </w:r>
      <w:r w:rsidR="00120AD7" w:rsidRPr="001F26C7">
        <w:t xml:space="preserve">short allele in </w:t>
      </w:r>
      <w:r w:rsidR="0022688B" w:rsidRPr="001F26C7">
        <w:t xml:space="preserve">the </w:t>
      </w:r>
      <w:r w:rsidR="00120AD7" w:rsidRPr="001F26C7">
        <w:t xml:space="preserve">5-HTTLPR </w:t>
      </w:r>
      <w:r w:rsidR="001961B7" w:rsidRPr="001F26C7">
        <w:t>will</w:t>
      </w:r>
      <w:r w:rsidR="00120AD7" w:rsidRPr="001F26C7">
        <w:t xml:space="preserve"> manifest relatively higher levels of nostalgia</w:t>
      </w:r>
      <w:r w:rsidR="00A34B24" w:rsidRPr="001F26C7">
        <w:rPr>
          <w:rFonts w:hint="eastAsia"/>
        </w:rPr>
        <w:t xml:space="preserve"> proneness</w:t>
      </w:r>
      <w:r w:rsidR="00120AD7" w:rsidRPr="001F26C7">
        <w:t>. Furthermore, we hypothesize</w:t>
      </w:r>
      <w:r w:rsidR="001961B7" w:rsidRPr="001F26C7">
        <w:t xml:space="preserve"> that</w:t>
      </w:r>
      <w:r w:rsidR="00120AD7" w:rsidRPr="001F26C7">
        <w:t xml:space="preserve"> the relation between 5-HTTLPR and nostalgia </w:t>
      </w:r>
      <w:r w:rsidR="001961B7" w:rsidRPr="001F26C7">
        <w:t>will</w:t>
      </w:r>
      <w:r w:rsidR="00120AD7" w:rsidRPr="001F26C7">
        <w:t xml:space="preserve"> be mediated by neuroticism.</w:t>
      </w:r>
    </w:p>
    <w:p w14:paraId="737D5852" w14:textId="77777777" w:rsidR="00606ED4" w:rsidRPr="001F26C7" w:rsidRDefault="00120AD7">
      <w:pPr>
        <w:spacing w:line="480" w:lineRule="exact"/>
        <w:jc w:val="center"/>
        <w:outlineLvl w:val="0"/>
        <w:rPr>
          <w:b/>
        </w:rPr>
      </w:pPr>
      <w:r w:rsidRPr="001F26C7">
        <w:rPr>
          <w:b/>
        </w:rPr>
        <w:t>Method</w:t>
      </w:r>
    </w:p>
    <w:p w14:paraId="2AB23F38" w14:textId="77777777" w:rsidR="00606ED4" w:rsidRPr="001F26C7" w:rsidRDefault="00120AD7">
      <w:pPr>
        <w:spacing w:line="480" w:lineRule="exact"/>
        <w:outlineLvl w:val="0"/>
        <w:rPr>
          <w:b/>
        </w:rPr>
      </w:pPr>
      <w:r w:rsidRPr="001F26C7">
        <w:rPr>
          <w:b/>
        </w:rPr>
        <w:t>Participants</w:t>
      </w:r>
    </w:p>
    <w:p w14:paraId="5A2275C3" w14:textId="3613D62E" w:rsidR="00AD73B6" w:rsidRPr="001F26C7" w:rsidRDefault="00120AD7">
      <w:pPr>
        <w:spacing w:line="480" w:lineRule="exact"/>
        <w:ind w:firstLineChars="200" w:firstLine="480"/>
      </w:pPr>
      <w:r w:rsidRPr="001F26C7">
        <w:t>Participants were 397 Americans adults (180 [45.34%] females, 171 [43.07%] males, 46 [11.59%] unspecified; 258 [64.99%] community members, 137 [34.51%] college students, 2 [0.50%] unspecified) recruited by researchers at two large Midwestern US universities as part of a study o</w:t>
      </w:r>
      <w:r w:rsidR="00C7216D" w:rsidRPr="001F26C7">
        <w:t>n</w:t>
      </w:r>
      <w:r w:rsidRPr="001F26C7">
        <w:t xml:space="preserve"> </w:t>
      </w:r>
      <w:r w:rsidR="00593779" w:rsidRPr="001F26C7">
        <w:t xml:space="preserve">romantic </w:t>
      </w:r>
      <w:r w:rsidRPr="001F26C7">
        <w:t>relationship</w:t>
      </w:r>
      <w:r w:rsidR="00C7216D" w:rsidRPr="001F26C7">
        <w:t>s</w:t>
      </w:r>
      <w:r w:rsidRPr="001F26C7">
        <w:t xml:space="preserve">. </w:t>
      </w:r>
      <w:r w:rsidR="00C7216D" w:rsidRPr="001F26C7">
        <w:t>P</w:t>
      </w:r>
      <w:r w:rsidRPr="001F26C7">
        <w:t xml:space="preserve">articipants </w:t>
      </w:r>
      <w:r w:rsidR="0050335E" w:rsidRPr="001F26C7">
        <w:t xml:space="preserve">were recruited </w:t>
      </w:r>
      <w:r w:rsidRPr="001F26C7">
        <w:t>as dyad</w:t>
      </w:r>
      <w:r w:rsidR="00001D8A" w:rsidRPr="001F26C7">
        <w:t>s</w:t>
      </w:r>
      <w:r w:rsidRPr="001F26C7">
        <w:t>, resulting in 129 community couples, 66 student couples, 3 singlets, and 4 unspecified</w:t>
      </w:r>
      <w:r w:rsidR="004A4208" w:rsidRPr="001F26C7">
        <w:t xml:space="preserve">. </w:t>
      </w:r>
      <w:r w:rsidRPr="001F26C7">
        <w:t>The mean age of the 347 participants who indicated their age was 31.17 years (</w:t>
      </w:r>
      <w:r w:rsidRPr="001F26C7">
        <w:rPr>
          <w:i/>
        </w:rPr>
        <w:t>SD</w:t>
      </w:r>
      <w:r w:rsidRPr="001F26C7">
        <w:t xml:space="preserve"> = 11.85). </w:t>
      </w:r>
    </w:p>
    <w:p w14:paraId="39EEBBD9" w14:textId="77777777" w:rsidR="00AD73B6" w:rsidRPr="001F26C7" w:rsidRDefault="00120AD7">
      <w:pPr>
        <w:spacing w:line="480" w:lineRule="exact"/>
        <w:ind w:firstLineChars="200" w:firstLine="480"/>
        <w:rPr>
          <w:rStyle w:val="CommentReference"/>
          <w:rFonts w:eastAsia="SimSun"/>
          <w:sz w:val="24"/>
          <w:szCs w:val="24"/>
        </w:rPr>
      </w:pPr>
      <w:r w:rsidRPr="001F26C7">
        <w:t>Using a two-tailed alpha (=</w:t>
      </w:r>
      <w:r w:rsidR="00C7216D" w:rsidRPr="001F26C7">
        <w:t xml:space="preserve"> </w:t>
      </w:r>
      <w:r w:rsidRPr="001F26C7">
        <w:t xml:space="preserve">.05) and Cohen’s (1988) effect size standards for </w:t>
      </w:r>
      <w:r w:rsidRPr="001F26C7">
        <w:rPr>
          <w:i/>
        </w:rPr>
        <w:t>r</w:t>
      </w:r>
      <w:r w:rsidRPr="001F26C7">
        <w:t xml:space="preserve">, </w:t>
      </w:r>
      <w:r w:rsidRPr="001F26C7">
        <w:rPr>
          <w:rStyle w:val="CommentReference"/>
          <w:rFonts w:eastAsia="SimSun"/>
          <w:sz w:val="24"/>
          <w:szCs w:val="24"/>
        </w:rPr>
        <w:t xml:space="preserve">this sample size afforded </w:t>
      </w:r>
      <w:r w:rsidR="00EA6A7F" w:rsidRPr="001F26C7">
        <w:rPr>
          <w:rStyle w:val="CommentReference"/>
          <w:rFonts w:eastAsia="SimSun"/>
          <w:sz w:val="24"/>
          <w:szCs w:val="24"/>
        </w:rPr>
        <w:t xml:space="preserve">sufficient </w:t>
      </w:r>
      <w:r w:rsidRPr="001F26C7">
        <w:rPr>
          <w:rStyle w:val="CommentReference"/>
          <w:rFonts w:eastAsia="SimSun"/>
          <w:sz w:val="24"/>
          <w:szCs w:val="24"/>
        </w:rPr>
        <w:t>statistical power for detecting large</w:t>
      </w:r>
      <w:r w:rsidR="00BA560E" w:rsidRPr="001F26C7">
        <w:rPr>
          <w:rStyle w:val="CommentReference"/>
          <w:rFonts w:eastAsia="SimSun"/>
          <w:sz w:val="24"/>
          <w:szCs w:val="24"/>
        </w:rPr>
        <w:t xml:space="preserve"> </w:t>
      </w:r>
      <w:r w:rsidRPr="001F26C7">
        <w:rPr>
          <w:rStyle w:val="CommentReference"/>
          <w:rFonts w:eastAsia="SimSun"/>
          <w:sz w:val="24"/>
          <w:szCs w:val="24"/>
        </w:rPr>
        <w:t>(</w:t>
      </w:r>
      <w:r w:rsidRPr="001F26C7">
        <w:rPr>
          <w:rStyle w:val="CommentReference"/>
          <w:rFonts w:eastAsia="SimSun"/>
          <w:i/>
          <w:sz w:val="24"/>
          <w:szCs w:val="24"/>
        </w:rPr>
        <w:t>r</w:t>
      </w:r>
      <w:r w:rsidRPr="001F26C7">
        <w:rPr>
          <w:rStyle w:val="CommentReference"/>
          <w:rFonts w:eastAsia="SimSun"/>
          <w:sz w:val="24"/>
          <w:szCs w:val="24"/>
        </w:rPr>
        <w:t xml:space="preserve"> = .5, power &gt;</w:t>
      </w:r>
      <w:r w:rsidR="00C7216D" w:rsidRPr="001F26C7">
        <w:rPr>
          <w:rStyle w:val="CommentReference"/>
          <w:rFonts w:eastAsia="SimSun"/>
          <w:sz w:val="24"/>
          <w:szCs w:val="24"/>
        </w:rPr>
        <w:t xml:space="preserve"> </w:t>
      </w:r>
      <w:r w:rsidRPr="001F26C7">
        <w:rPr>
          <w:rStyle w:val="CommentReference"/>
          <w:rFonts w:eastAsia="SimSun"/>
          <w:sz w:val="24"/>
          <w:szCs w:val="24"/>
        </w:rPr>
        <w:t>.99) and medium (</w:t>
      </w:r>
      <w:r w:rsidRPr="001F26C7">
        <w:rPr>
          <w:rStyle w:val="CommentReference"/>
          <w:rFonts w:eastAsia="SimSun"/>
          <w:i/>
          <w:sz w:val="24"/>
          <w:szCs w:val="24"/>
        </w:rPr>
        <w:t>r</w:t>
      </w:r>
      <w:r w:rsidRPr="001F26C7">
        <w:rPr>
          <w:rStyle w:val="CommentReference"/>
          <w:rFonts w:eastAsia="SimSun"/>
          <w:sz w:val="24"/>
          <w:szCs w:val="24"/>
        </w:rPr>
        <w:t xml:space="preserve"> = .3, power &gt;</w:t>
      </w:r>
      <w:r w:rsidR="00C7216D" w:rsidRPr="001F26C7">
        <w:rPr>
          <w:rStyle w:val="CommentReference"/>
          <w:rFonts w:eastAsia="SimSun"/>
          <w:sz w:val="24"/>
          <w:szCs w:val="24"/>
        </w:rPr>
        <w:t xml:space="preserve"> </w:t>
      </w:r>
      <w:r w:rsidRPr="001F26C7">
        <w:rPr>
          <w:rStyle w:val="CommentReference"/>
          <w:rFonts w:eastAsia="SimSun"/>
          <w:sz w:val="24"/>
          <w:szCs w:val="24"/>
        </w:rPr>
        <w:t>.99)</w:t>
      </w:r>
      <w:r w:rsidR="00BA560E" w:rsidRPr="001F26C7">
        <w:rPr>
          <w:rStyle w:val="CommentReference"/>
          <w:rFonts w:eastAsia="SimSun"/>
          <w:sz w:val="24"/>
          <w:szCs w:val="24"/>
        </w:rPr>
        <w:t xml:space="preserve"> effects</w:t>
      </w:r>
      <w:r w:rsidRPr="001F26C7">
        <w:rPr>
          <w:rStyle w:val="CommentReference"/>
          <w:rFonts w:eastAsia="SimSun"/>
          <w:sz w:val="24"/>
          <w:szCs w:val="24"/>
        </w:rPr>
        <w:t xml:space="preserve">, but </w:t>
      </w:r>
      <w:r w:rsidR="00EA6A7F" w:rsidRPr="001F26C7">
        <w:rPr>
          <w:rStyle w:val="CommentReference"/>
          <w:rFonts w:eastAsia="SimSun"/>
          <w:sz w:val="24"/>
          <w:szCs w:val="24"/>
        </w:rPr>
        <w:t>insufficient</w:t>
      </w:r>
      <w:r w:rsidRPr="001F26C7">
        <w:rPr>
          <w:rStyle w:val="CommentReference"/>
          <w:rFonts w:eastAsia="SimSun"/>
          <w:sz w:val="24"/>
          <w:szCs w:val="24"/>
        </w:rPr>
        <w:t xml:space="preserve"> power for detecting small effects (</w:t>
      </w:r>
      <w:r w:rsidRPr="001F26C7">
        <w:rPr>
          <w:rStyle w:val="CommentReference"/>
          <w:rFonts w:eastAsia="SimSun"/>
          <w:i/>
          <w:sz w:val="24"/>
          <w:szCs w:val="24"/>
        </w:rPr>
        <w:t xml:space="preserve">r </w:t>
      </w:r>
      <w:r w:rsidRPr="001F26C7">
        <w:rPr>
          <w:rStyle w:val="CommentReference"/>
          <w:rFonts w:eastAsia="SimSun"/>
          <w:sz w:val="24"/>
          <w:szCs w:val="24"/>
        </w:rPr>
        <w:t>= .1, power = .51).</w:t>
      </w:r>
    </w:p>
    <w:p w14:paraId="38EB7A10" w14:textId="2210760C" w:rsidR="00DB09EA" w:rsidRPr="001F26C7" w:rsidRDefault="00120AD7">
      <w:pPr>
        <w:spacing w:line="480" w:lineRule="exact"/>
        <w:ind w:firstLineChars="200" w:firstLine="480"/>
      </w:pPr>
      <w:r w:rsidRPr="001F26C7">
        <w:t>Participant race was determined by self-categorization, with 279 (70.28%) classified as White or Caucasian, 46 (11.59%) as Black/African American, 44 (11.08%) unspecified, 14 (3.53%) as mixed, 10 (2.52%) as Asian, 3 (0.76%) as Native Hawaiian/Pacific Islander, and 1 (0.25%) as other. Student participants were recruited through the psychology participant pool and received course credit, whereas community participants were recruited through advertisements and received $50</w:t>
      </w:r>
      <w:r w:rsidRPr="001F26C7">
        <w:rPr>
          <w:rStyle w:val="FootnoteReference"/>
        </w:rPr>
        <w:footnoteReference w:id="1"/>
      </w:r>
      <w:r w:rsidRPr="001F26C7">
        <w:t>.</w:t>
      </w:r>
      <w:r w:rsidR="00DB09EA" w:rsidRPr="001F26C7">
        <w:t xml:space="preserve"> All participants provided written informed consent prior to testing.</w:t>
      </w:r>
    </w:p>
    <w:p w14:paraId="38DD5517" w14:textId="77777777" w:rsidR="00606ED4" w:rsidRPr="001F26C7" w:rsidRDefault="00120AD7">
      <w:pPr>
        <w:spacing w:line="480" w:lineRule="exact"/>
        <w:outlineLvl w:val="0"/>
        <w:rPr>
          <w:b/>
        </w:rPr>
      </w:pPr>
      <w:r w:rsidRPr="001F26C7">
        <w:rPr>
          <w:b/>
        </w:rPr>
        <w:t xml:space="preserve">Materials </w:t>
      </w:r>
    </w:p>
    <w:p w14:paraId="589BAF71" w14:textId="4BDA61E2" w:rsidR="00885FF8" w:rsidRPr="001F26C7" w:rsidRDefault="00120AD7">
      <w:pPr>
        <w:spacing w:line="480" w:lineRule="exact"/>
        <w:ind w:firstLineChars="200" w:firstLine="480"/>
        <w:rPr>
          <w:rFonts w:eastAsia="Times New Roman"/>
          <w:color w:val="000000"/>
        </w:rPr>
      </w:pPr>
      <w:r w:rsidRPr="001F26C7">
        <w:t xml:space="preserve">Participants completed a packet of questionnaires, two of which pertained to nostalgia proneness and neuroticism. </w:t>
      </w:r>
      <w:r w:rsidR="00BA560E" w:rsidRPr="001F26C7">
        <w:t>We assessed n</w:t>
      </w:r>
      <w:r w:rsidRPr="001F26C7">
        <w:t xml:space="preserve">ostalgia proneness with the Southampton Nostalgia Scale (SNS; </w:t>
      </w:r>
      <w:r w:rsidR="0088657C" w:rsidRPr="001F26C7">
        <w:t>Sedikides et al., 2015</w:t>
      </w:r>
      <w:r w:rsidRPr="001F26C7">
        <w:t>)</w:t>
      </w:r>
      <w:r w:rsidR="002842DB" w:rsidRPr="001F26C7">
        <w:t xml:space="preserve">, which </w:t>
      </w:r>
      <w:r w:rsidRPr="001F26C7">
        <w:t xml:space="preserve">consists of seven items that gauge proclivity to nostalgia (e.g., “How prone are you to feeling nostalgic?”), frequency of nostalgia (e.g., “How often do you experience nostalgia?”), and personal relevance of nostalgia (“How important is it for you to bring to mind nostalgic experiences?”) (1 = </w:t>
      </w:r>
      <w:r w:rsidRPr="001F26C7">
        <w:rPr>
          <w:i/>
        </w:rPr>
        <w:t>not at all</w:t>
      </w:r>
      <w:r w:rsidRPr="001F26C7">
        <w:t xml:space="preserve">, 7 = </w:t>
      </w:r>
      <w:r w:rsidRPr="001F26C7">
        <w:rPr>
          <w:i/>
        </w:rPr>
        <w:t>very much</w:t>
      </w:r>
      <w:r w:rsidRPr="001F26C7">
        <w:t>; Cronbach’s αs = .92 and .95 for the student and com</w:t>
      </w:r>
      <w:r w:rsidR="00BA560E" w:rsidRPr="001F26C7">
        <w:t xml:space="preserve">munity samples, respectively). </w:t>
      </w:r>
      <w:r w:rsidR="00885FF8" w:rsidRPr="001F26C7">
        <w:rPr>
          <w:rFonts w:eastAsia="Times New Roman"/>
          <w:color w:val="000000"/>
        </w:rPr>
        <w:t>The SNS is a valid and reliable measure of nostalgia</w:t>
      </w:r>
      <w:r w:rsidR="0063755B" w:rsidRPr="001F26C7">
        <w:rPr>
          <w:rFonts w:eastAsia="Times New Roman" w:hint="eastAsia"/>
          <w:color w:val="000000"/>
        </w:rPr>
        <w:t>,</w:t>
      </w:r>
      <w:r w:rsidR="00885FF8" w:rsidRPr="001F26C7">
        <w:rPr>
          <w:rFonts w:eastAsia="Times New Roman"/>
          <w:color w:val="000000"/>
        </w:rPr>
        <w:t xml:space="preserve"> </w:t>
      </w:r>
      <w:r w:rsidR="00F30F89" w:rsidRPr="001F26C7">
        <w:rPr>
          <w:rFonts w:eastAsia="Times New Roman" w:hint="eastAsia"/>
          <w:color w:val="000000"/>
        </w:rPr>
        <w:t xml:space="preserve">given its </w:t>
      </w:r>
      <w:r w:rsidR="0088657C" w:rsidRPr="001F26C7">
        <w:rPr>
          <w:rFonts w:eastAsia="Times New Roman"/>
          <w:color w:val="000000"/>
        </w:rPr>
        <w:t>(</w:t>
      </w:r>
      <w:r w:rsidR="00F30F89" w:rsidRPr="001F26C7">
        <w:rPr>
          <w:rFonts w:eastAsia="Times New Roman" w:hint="eastAsia"/>
          <w:color w:val="000000"/>
        </w:rPr>
        <w:t xml:space="preserve">1) </w:t>
      </w:r>
      <w:r w:rsidR="00F30F89" w:rsidRPr="001F26C7">
        <w:rPr>
          <w:rFonts w:eastAsia="Times New Roman"/>
          <w:color w:val="000000"/>
        </w:rPr>
        <w:t>convergence</w:t>
      </w:r>
      <w:r w:rsidR="00F30F89" w:rsidRPr="001F26C7">
        <w:rPr>
          <w:rFonts w:eastAsia="Times New Roman" w:hint="eastAsia"/>
          <w:color w:val="000000"/>
        </w:rPr>
        <w:t xml:space="preserve"> with alternative measures of nostalgia </w:t>
      </w:r>
      <w:r w:rsidR="0063755B" w:rsidRPr="001F26C7">
        <w:rPr>
          <w:rFonts w:eastAsia="Times New Roman" w:hint="eastAsia"/>
          <w:color w:val="000000"/>
        </w:rPr>
        <w:t xml:space="preserve">(Zhou et al., 2008; </w:t>
      </w:r>
      <w:r w:rsidR="006C4087" w:rsidRPr="001F26C7">
        <w:rPr>
          <w:rFonts w:eastAsia="Times New Roman" w:hint="eastAsia"/>
          <w:color w:val="000000"/>
        </w:rPr>
        <w:t>Routledge et al., 2008</w:t>
      </w:r>
      <w:r w:rsidR="0063755B" w:rsidRPr="001F26C7">
        <w:rPr>
          <w:rFonts w:eastAsia="Times New Roman" w:hint="eastAsia"/>
          <w:color w:val="000000"/>
        </w:rPr>
        <w:t xml:space="preserve">) </w:t>
      </w:r>
      <w:r w:rsidR="00F30F89" w:rsidRPr="001F26C7">
        <w:rPr>
          <w:rFonts w:eastAsia="Times New Roman" w:hint="eastAsia"/>
          <w:color w:val="000000"/>
        </w:rPr>
        <w:t xml:space="preserve">and </w:t>
      </w:r>
      <w:r w:rsidR="0088657C" w:rsidRPr="001F26C7">
        <w:rPr>
          <w:rFonts w:eastAsia="Times New Roman"/>
          <w:color w:val="000000"/>
        </w:rPr>
        <w:t>(</w:t>
      </w:r>
      <w:r w:rsidR="00F30F89" w:rsidRPr="001F26C7">
        <w:rPr>
          <w:rFonts w:eastAsia="Times New Roman" w:hint="eastAsia"/>
          <w:color w:val="000000"/>
        </w:rPr>
        <w:t xml:space="preserve">2) correlations with music- and scent-evoked nostalgia </w:t>
      </w:r>
      <w:r w:rsidR="00885FF8" w:rsidRPr="001F26C7">
        <w:rPr>
          <w:rFonts w:eastAsia="Times New Roman"/>
          <w:color w:val="000000"/>
        </w:rPr>
        <w:t>(</w:t>
      </w:r>
      <w:r w:rsidR="006C4087" w:rsidRPr="001F26C7">
        <w:rPr>
          <w:rFonts w:eastAsia="Times New Roman"/>
          <w:color w:val="000000"/>
        </w:rPr>
        <w:t xml:space="preserve">Barrett et al., 2010; Reid, Green, Wildschut, </w:t>
      </w:r>
      <w:r w:rsidR="0088657C" w:rsidRPr="001F26C7">
        <w:rPr>
          <w:rFonts w:eastAsia="Times New Roman"/>
          <w:color w:val="000000"/>
        </w:rPr>
        <w:t>&amp;</w:t>
      </w:r>
      <w:r w:rsidR="006C4087" w:rsidRPr="001F26C7">
        <w:rPr>
          <w:rFonts w:eastAsia="Times New Roman"/>
          <w:color w:val="000000"/>
        </w:rPr>
        <w:t xml:space="preserve"> Sedikides, 2015</w:t>
      </w:r>
      <w:r w:rsidR="00885FF8" w:rsidRPr="001F26C7">
        <w:rPr>
          <w:rFonts w:eastAsia="Times New Roman"/>
          <w:color w:val="000000"/>
        </w:rPr>
        <w:t xml:space="preserve">). </w:t>
      </w:r>
    </w:p>
    <w:p w14:paraId="1E1631D8" w14:textId="54247655" w:rsidR="00606ED4" w:rsidRPr="001F26C7" w:rsidRDefault="00BA560E">
      <w:pPr>
        <w:spacing w:line="480" w:lineRule="exact"/>
        <w:ind w:firstLineChars="200" w:firstLine="480"/>
      </w:pPr>
      <w:r w:rsidRPr="001F26C7">
        <w:t>We assessed n</w:t>
      </w:r>
      <w:r w:rsidR="00120AD7" w:rsidRPr="001F26C7">
        <w:t xml:space="preserve">euroticism only among student participants with the corresponding subscale of the Big Five Inventory (John &amp; Srivastava, 1999). This subscale consists of eight items (e.g., “I see myself as someone who is depressed, blue”) (1 = </w:t>
      </w:r>
      <w:r w:rsidR="00120AD7" w:rsidRPr="001F26C7">
        <w:rPr>
          <w:i/>
        </w:rPr>
        <w:t>disagree strongly</w:t>
      </w:r>
      <w:r w:rsidR="00120AD7" w:rsidRPr="001F26C7">
        <w:t>, 5 =</w:t>
      </w:r>
      <w:r w:rsidR="00120AD7" w:rsidRPr="001F26C7">
        <w:rPr>
          <w:i/>
        </w:rPr>
        <w:t xml:space="preserve"> agree strongly</w:t>
      </w:r>
      <w:r w:rsidR="00120AD7" w:rsidRPr="001F26C7">
        <w:t>; Cronbach’s α = .82).</w:t>
      </w:r>
      <w:r w:rsidR="00615212" w:rsidRPr="001F26C7">
        <w:t xml:space="preserve"> This subscale provides a valid and reliable measure of neuroticism </w:t>
      </w:r>
      <w:r w:rsidR="00615212" w:rsidRPr="001F26C7">
        <w:rPr>
          <w:rFonts w:eastAsia="Times New Roman"/>
          <w:color w:val="000000"/>
        </w:rPr>
        <w:t xml:space="preserve">(see </w:t>
      </w:r>
      <w:r w:rsidR="00023214" w:rsidRPr="001F26C7">
        <w:rPr>
          <w:rFonts w:eastAsia="Times New Roman"/>
          <w:color w:val="000000"/>
        </w:rPr>
        <w:t>John, Naumann, &amp; Soto, 2008</w:t>
      </w:r>
      <w:r w:rsidR="00615212" w:rsidRPr="001F26C7">
        <w:rPr>
          <w:rFonts w:eastAsia="Times New Roman"/>
          <w:color w:val="000000"/>
        </w:rPr>
        <w:t xml:space="preserve"> for a review)</w:t>
      </w:r>
      <w:r w:rsidR="0088657C" w:rsidRPr="001F26C7">
        <w:rPr>
          <w:rFonts w:eastAsia="Times New Roman"/>
          <w:color w:val="000000"/>
        </w:rPr>
        <w:t xml:space="preserve">. </w:t>
      </w:r>
    </w:p>
    <w:p w14:paraId="5482E0D1" w14:textId="77777777" w:rsidR="00606ED4" w:rsidRPr="001F26C7" w:rsidRDefault="00120AD7">
      <w:pPr>
        <w:spacing w:line="480" w:lineRule="exact"/>
        <w:outlineLvl w:val="0"/>
        <w:rPr>
          <w:b/>
        </w:rPr>
      </w:pPr>
      <w:r w:rsidRPr="001F26C7">
        <w:rPr>
          <w:b/>
        </w:rPr>
        <w:t>DNA Extraction and Genotyping</w:t>
      </w:r>
    </w:p>
    <w:p w14:paraId="3BF7985A" w14:textId="54615A54" w:rsidR="00606ED4" w:rsidRPr="001F26C7" w:rsidRDefault="00120AD7">
      <w:pPr>
        <w:spacing w:line="480" w:lineRule="exact"/>
        <w:ind w:firstLineChars="200" w:firstLine="480"/>
      </w:pPr>
      <w:r w:rsidRPr="001F26C7">
        <w:t xml:space="preserve">Participants provided a saliva sample using the Oragene Saliva kit OG-500 (DNA Genotek, ON, Canada). </w:t>
      </w:r>
      <w:r w:rsidR="00E43B75" w:rsidRPr="001F26C7">
        <w:t>We conducted s</w:t>
      </w:r>
      <w:r w:rsidRPr="001F26C7">
        <w:t xml:space="preserve">aliva collection and DNA extraction according to manufacturer (Oragene) recommendations. </w:t>
      </w:r>
      <w:r w:rsidR="00E43B75" w:rsidRPr="001F26C7">
        <w:t xml:space="preserve">We genotyped the 5-HTTLPR </w:t>
      </w:r>
      <w:r w:rsidRPr="001F26C7">
        <w:t>using primers (</w:t>
      </w:r>
      <w:r w:rsidRPr="001F26C7">
        <w:fldChar w:fldCharType="begin"/>
      </w:r>
      <w:r w:rsidRPr="001F26C7">
        <w:instrText xml:space="preserve"> ADDIN ZOTERO_ITEM CSL_CITATION {"citationID":"tr3p0n8e4","properties":{"formattedCitation":"(Gelernter et al., 1997)","plainCitation":"(Gelernter et al., 1997)"},"citationItems":[{"id":3788,"uris":["http://zotero.org/users/1502743/items/XUBIKXI5"],"uri":["http://zotero.org/users/1502743/items/XUBIKXI5"],"itemData":{"id":3788,"type":"article-journal","title":"Serotonin transporter protein (SLC6A4) allele and haplotype frequencies and linkage disequilibria in African- and European-American and Japanese populations and in alcohol-dependent subjects","container-title":"Human Genetics","page":"243-246","volume":"101","issue":"2","source":"PubMed","abstract":"The SLC6A4 locus encodes the serotonin transporter, which in turn mediates the synaptic inactivation of the neurotransmitter serotonin. Two PCR-formatted polymorphisms at this locus have been described, the first of which is a variable number tandem repeat located in exon 2, and the second a repeat sequence polymorphism located in the promoter region. The latter polymorphism alters transcriptional activity of SLC6A4, and has been reported to be associated with anxiety and depression-related traits. We studied allele frequencies, and computed haplotype frequencies and linkage disequilibrium measures, for these two polymorphisms in European-American, African-American, and Japanese populations, and in a set of alcohol-dependent European-American subjects. Allele frequencies for both systems showed variation, with significant differences overall for each system, and significant differences between each pair of populations for both systems. Linkage disequilibrium also varied among the populations. There were no significant differences in allele or haplotype frequencies between the European-American population samples and alcohol-dependent subjects. The population differences demonstrate a potential for population stratification in association studies of either of these SLC6A4 polymorphisms. If genetic variation at this locus really is associated with behavioral variation, these results could reflect either different behavioral adaptations in different populations, or random genetic drift of a behaviorally important but selectively neutral polymorphism.","ISSN":"0340-6717","note":"PMID: 9402979","journalAbbreviation":"Hum. Genet.","language":"eng","author":[{"family":"Gelernter","given":"J."},{"family":"Kranzler","given":"H."},{"family":"Cubells","given":"J. F."}],"issued":{"date-parts":[["1997",12]]},"PMID":"9402979"}}],"schema":"https://github.com/citation-style-language/schema/raw/master/csl-citation.json"} </w:instrText>
      </w:r>
      <w:r w:rsidRPr="001F26C7">
        <w:fldChar w:fldCharType="separate"/>
      </w:r>
      <w:r w:rsidR="00283819" w:rsidRPr="001F26C7">
        <w:t>Gelernter, Kranzler, &amp; Cubells, 1997</w:t>
      </w:r>
      <w:r w:rsidRPr="001F26C7">
        <w:t>)</w:t>
      </w:r>
      <w:r w:rsidRPr="001F26C7">
        <w:fldChar w:fldCharType="end"/>
      </w:r>
      <w:r w:rsidRPr="001F26C7">
        <w:t xml:space="preserve"> and a protocol modified from </w:t>
      </w:r>
      <w:r w:rsidRPr="001F26C7">
        <w:fldChar w:fldCharType="begin"/>
      </w:r>
      <w:r w:rsidRPr="001F26C7">
        <w:instrText xml:space="preserve"> ADDIN ZOTERO_ITEM CSL_CITATION {"citationID":"sj3psrv4n","properties":{"formattedCitation":"(Heils et al., 1996)","plainCitation":"(Heils et al., 1996)"},"citationItems":[{"id":3790,"uris":["http://zotero.org/users/1502743/items/AXJ6FJXQ"],"uri":["http://zotero.org/users/1502743/items/AXJ6FJXQ"],"itemData":{"id":3790,"type":"article-journal","title":"Allelic variation of human serotonin transporter gene expression","container-title":"Journal of Neurochemistry","page":"2621-2624","volume":"66","issue":"6","source":"PubMed","abstract":"Mood, emotion, cognition, and motor functions as well as circadian and neuroendocrine rhythms, including food intake, sleep, and reproductive activity, are modulated by the midbrain raphe serotonin (5-HT) system. By directing the magnitude and duration of postsynaptic responses, carrier-facilitated 5-HT transport into and release from the presynaptic neuron are essential for the fine tuning of serotonergic neurotransmission. Interest in the mechanism of environmental factor-, disease-, and therapy-induced modification of 5-HT transporter (5-HTT) function and its impact on early brain development, event-related synaptic plasticity, and neurodegeneration is widespread and intensifying. We have recently characterized the human and murine 5-HTT genes and performed functional analyses of their 5'-flanking regulatory regions. A tandemly repeated sequence associated with the transcriptional apparatus of the human 5-HTT gene displays a complex secondary structure, represses promoter activity in nonserotonergic neuronal cells, and contains positive regulatory components. We now report a novel polymorphism of this repetitive element and provide evidence for allele-dependent differential 5-HTT promoter activity. Allelic variation in 5-HTT-related functions may play a role in the expression and modulation of complex traits and behavior.","ISSN":"0022-3042","note":"PMID: 8632190","journalAbbreviation":"J. Neurochem.","language":"eng","author":[{"family":"Heils","given":"A."},{"family":"Teufel","given":"A."},{"family":"Petri","given":"S."},{"family":"Stöber","given":"G."},{"family":"Riederer","given":"P."},{"family":"Bengel","given":"D."},{"family":"Lesch","given":"K. P."}],"issued":{"date-parts":[["1996",6]]},"PMID":"8632190"}}],"schema":"https://github.com/citation-style-language/schema/raw/master/csl-citation.json"} </w:instrText>
      </w:r>
      <w:r w:rsidRPr="001F26C7">
        <w:fldChar w:fldCharType="separate"/>
      </w:r>
      <w:r w:rsidRPr="001F26C7">
        <w:t>Heils et al.</w:t>
      </w:r>
      <w:r w:rsidR="00C7216D" w:rsidRPr="001F26C7">
        <w:t xml:space="preserve"> (</w:t>
      </w:r>
      <w:r w:rsidRPr="001F26C7">
        <w:t>1996</w:t>
      </w:r>
      <w:r w:rsidRPr="001F26C7">
        <w:fldChar w:fldCharType="end"/>
      </w:r>
      <w:r w:rsidR="00C7216D" w:rsidRPr="001F26C7">
        <w:t>) and</w:t>
      </w:r>
      <w:r w:rsidRPr="001F26C7">
        <w:t xml:space="preserve"> </w:t>
      </w:r>
      <w:r w:rsidRPr="001F26C7">
        <w:fldChar w:fldCharType="begin"/>
      </w:r>
      <w:r w:rsidRPr="001F26C7">
        <w:instrText xml:space="preserve"> ADDIN ZOTERO_ITEM CSL_CITATION {"citationID":"m8gu7o5f5","properties":{"formattedCitation":"(Anchordoquy et al., 2003)","plainCitation":"(Anchordoquy et al., 2003)"},"citationItems":[{"id":3792,"uris":["http://zotero.org/users/1502743/items/2VEHRNT7"],"uri":["http://zotero.org/users/1502743/items/2VEHRNT7"],"itemData":{"id":3792,"type":"article-journal","title":"Genotyping of three candidate genes after whole-genome preamplification of DNA collected from buccal cells","container-title":"Behavior Genetics","page":"73-78","volume":"33","issue":"1","source":"PubMed","abstract":"The amount of genomic DNA obtained from buccal cell methods may be suboptimal for large-scale genetics projects, because the quantity of DNA may be insufficient for the number of analyses proposed. Primer extension preamplification (PEP) methods that can amplify the entire genome 100-fold or more, offer a potential solution to this problem. We compared PEP buccal DNA with genomic buccal DNA from 315 individuals from 97 families of the Colorado Longitudinal Twin Study for three loci: the dopamine transporter, dopamine D4 receptor, and serotonin transporter. A total of 1890 genomic and 1890 PEP alleles were assessed, and 1670 comparisons (88%) agreed after a single determination. Fifty-three individuals had one or more failed initial polymerase chain reactions (PCR), with 81 failed PCRs in total, accounting for 162 missing allele calls. The failed PCRs were repeated once, and 146 of the missing allele calls were recovered. Comparisons between genomic and PEP DNA allele calls showed 37 individuals had one or more discrepancies, for a total of 52 inconsistencies. Of these, the initial PEP result was found to be correct in 18 cases, the initial genomic result was found to be correct in 25 cases, and 9 could not be resolved. Overall, rates of true calls, missing data, and genotyping errors for genomic and PEP DNA samples were nearly identical: of the 1890 genotypes assessed, true calls were found in 1845 genomic and 1840 PEP samples, missing genotypes in 18 genomic and 16 PEP samples, and incorrect assignments in 18 genomic and 25 PEP samples. These results suggest that routine whole-genome preamplification of genomic DNA is an appropriate method for providing DNA to genotype these loci.","ISSN":"0001-8244","note":"PMID: 12645824","journalAbbreviation":"Behav. Genet.","language":"eng","author":[{"family":"Anchordoquy","given":"Hannah C."},{"family":"McGeary","given":"Chinatsu"},{"family":"Liu","given":"Liping"},{"family":"Krauter","given":"Kenneth S."},{"family":"Smolen","given":"Andrew"}],"issued":{"date-parts":[["2003",1]]},"PMID":"12645824"}}],"schema":"https://github.com/citation-style-language/schema/raw/master/csl-citation.json"} </w:instrText>
      </w:r>
      <w:r w:rsidRPr="001F26C7">
        <w:fldChar w:fldCharType="separate"/>
      </w:r>
      <w:r w:rsidRPr="001F26C7">
        <w:t xml:space="preserve">Anchordoquy, </w:t>
      </w:r>
      <w:r w:rsidRPr="001F26C7">
        <w:rPr>
          <w:rFonts w:eastAsia="Times New Roman"/>
          <w:bCs/>
          <w:kern w:val="36"/>
          <w:lang w:eastAsia="en-GB"/>
        </w:rPr>
        <w:t xml:space="preserve">McGeary, Liu, Krauter, </w:t>
      </w:r>
      <w:r w:rsidR="00C7216D" w:rsidRPr="001F26C7">
        <w:rPr>
          <w:rFonts w:eastAsia="Times New Roman"/>
          <w:bCs/>
          <w:kern w:val="36"/>
          <w:lang w:eastAsia="en-GB"/>
        </w:rPr>
        <w:t>and</w:t>
      </w:r>
      <w:r w:rsidRPr="001F26C7">
        <w:rPr>
          <w:rFonts w:eastAsia="Times New Roman"/>
          <w:bCs/>
          <w:kern w:val="36"/>
          <w:lang w:eastAsia="en-GB"/>
        </w:rPr>
        <w:t xml:space="preserve"> Smolen</w:t>
      </w:r>
      <w:r w:rsidR="00C7216D" w:rsidRPr="001F26C7">
        <w:rPr>
          <w:rFonts w:eastAsia="Times New Roman"/>
          <w:bCs/>
          <w:kern w:val="36"/>
          <w:lang w:eastAsia="en-GB"/>
        </w:rPr>
        <w:t xml:space="preserve"> (</w:t>
      </w:r>
      <w:r w:rsidRPr="001F26C7">
        <w:t>2003)</w:t>
      </w:r>
      <w:r w:rsidRPr="001F26C7">
        <w:fldChar w:fldCharType="end"/>
      </w:r>
      <w:r w:rsidRPr="001F26C7">
        <w:t>. The forward primer was 5′-ATGCCAGCACCTAACCCCTAATGT-3′ (labeled with 6-carboxyfluorescein fluorophore) and the reverse primer was 5′</w:t>
      </w:r>
      <w:r w:rsidR="00DE4BA8" w:rsidRPr="001F26C7">
        <w:t>-</w:t>
      </w:r>
      <w:r w:rsidRPr="001F26C7">
        <w:t>GGACCGCAAGGTGGGCGGGA-3′. These primers yielded amplicons of 376 bp (short) or 419 bp (long). Polymerase chain reaction (PCR) was performed in a total volume of 20 μL, containing 100 ng of DNA; 10 nM of each primer; 1x buffer; 2 mM MgCl2; 10% DMSO (v/v); 2U Amplitaq Gold DNA polymerase (Applied Biosystems, Foster City, CA); 200 μM of dATP, dCTP, and dTTP; 100 μM of dGTP; and 7-deaza-2′-dGTP. Cycling conditions consisted of</w:t>
      </w:r>
      <w:r w:rsidR="00496EDE" w:rsidRPr="001F26C7">
        <w:t>:</w:t>
      </w:r>
      <w:r w:rsidRPr="001F26C7">
        <w:t xml:space="preserve"> </w:t>
      </w:r>
      <w:r w:rsidR="00496EDE" w:rsidRPr="001F26C7">
        <w:t>(</w:t>
      </w:r>
      <w:r w:rsidRPr="001F26C7">
        <w:t xml:space="preserve">1) an initial 12 min denaturation at 94°C; (2) touchdown from 65°C-55°C decreasing by 0.5°C per cycle with denaturation for 30 sec at 94°C, varied annealing temperatures consisting of 30 sec at 66°C (2 cycles), then 65°C (3 cycles), then 64°C (3 cycles), followed by hybridization for 1 min at 72°C; (3) 35 cycles with an annealing temperature of 63°C and the same denaturation and hybridization parameters; and (4) a final extension for 20 min at 72°C. The PCR products were electrophoresed on an ABI 3730 DNA analyzer (Applied Biosystems) with Genescan LIZ500 size standard (Applied Biosystems). Data collection and analysis used GeneScan and Genemapper software (Applied Biosystems). </w:t>
      </w:r>
    </w:p>
    <w:p w14:paraId="249C9A26" w14:textId="2351E950" w:rsidR="00606ED4" w:rsidRPr="001F26C7" w:rsidRDefault="00E43B75">
      <w:pPr>
        <w:spacing w:line="480" w:lineRule="exact"/>
        <w:ind w:firstLineChars="200" w:firstLine="480"/>
        <w:rPr>
          <w:iCs/>
        </w:rPr>
      </w:pPr>
      <w:r w:rsidRPr="001F26C7">
        <w:t>We genotyped s</w:t>
      </w:r>
      <w:r w:rsidR="00120AD7" w:rsidRPr="001F26C7">
        <w:t xml:space="preserve">amples for rs25531 </w:t>
      </w:r>
      <w:r w:rsidR="00120AD7" w:rsidRPr="001F26C7">
        <w:rPr>
          <w:iCs/>
        </w:rPr>
        <w:t xml:space="preserve">by incubating the reaction product from the 5-HTTLPR amplification with the restriction enzyme MspI (Whisman, Richardson, &amp; Smolen, </w:t>
      </w:r>
      <w:r w:rsidR="00120AD7" w:rsidRPr="001F26C7">
        <w:rPr>
          <w:iCs/>
        </w:rPr>
        <w:fldChar w:fldCharType="begin"/>
      </w:r>
      <w:r w:rsidR="00120AD7" w:rsidRPr="001F26C7">
        <w:rPr>
          <w:iCs/>
        </w:rPr>
        <w:instrText xml:space="preserve"> ADDIN ZOTERO_ITEM CSL_CITATION {"citationID":"1sftuk4l43","properties":{"formattedCitation":"(Whisman et al., 2011)","plainCitation":"(Whisman et al., 2011)"},"citationItems":[{"id":3827,"uris":["http://zotero.org/users/1502743/items/2THN5Z55"],"uri":["http://zotero.org/users/1502743/items/2THN5Z55"],"itemData":{"id":3827,"type":"article-journal","title":"Behavioral inhibition and triallelic genotyping of the serotonin transporter promoter (5-HTTLPR) polymorphism","container-title":"Journal of Research in Personality","page":"706-709","volume":"45","issue":"6","author":[{"family":"Whisman","given":"Mark A."},{"family":"Richardson","given":"Emily D."},{"family":"Smolen","given":"Andrew"}],"issued":{"date-parts":[["2011"]]}}}],"schema":"https://github.com/citation-style-language/schema/raw/master/csl-citation.json"} </w:instrText>
      </w:r>
      <w:r w:rsidR="00120AD7" w:rsidRPr="001F26C7">
        <w:rPr>
          <w:iCs/>
        </w:rPr>
        <w:fldChar w:fldCharType="separate"/>
      </w:r>
      <w:r w:rsidR="00120AD7" w:rsidRPr="001F26C7">
        <w:rPr>
          <w:iCs/>
        </w:rPr>
        <w:t>2011)</w:t>
      </w:r>
      <w:r w:rsidR="00120AD7" w:rsidRPr="001F26C7">
        <w:rPr>
          <w:iCs/>
        </w:rPr>
        <w:fldChar w:fldCharType="end"/>
      </w:r>
      <w:r w:rsidR="00120AD7" w:rsidRPr="001F26C7">
        <w:rPr>
          <w:iCs/>
        </w:rPr>
        <w:t xml:space="preserve">. </w:t>
      </w:r>
      <w:r w:rsidRPr="001F26C7">
        <w:rPr>
          <w:iCs/>
        </w:rPr>
        <w:t>We then ran t</w:t>
      </w:r>
      <w:r w:rsidR="00120AD7" w:rsidRPr="001F26C7">
        <w:rPr>
          <w:iCs/>
        </w:rPr>
        <w:t>his digest on the ABI3730</w:t>
      </w:r>
      <w:r w:rsidRPr="001F26C7">
        <w:rPr>
          <w:iCs/>
        </w:rPr>
        <w:t>,</w:t>
      </w:r>
      <w:r w:rsidR="00120AD7" w:rsidRPr="001F26C7">
        <w:rPr>
          <w:iCs/>
        </w:rPr>
        <w:t xml:space="preserve"> according to the procedure described for the 5-HTTLPR. </w:t>
      </w:r>
      <w:r w:rsidRPr="001F26C7">
        <w:rPr>
          <w:iCs/>
        </w:rPr>
        <w:t>Given that</w:t>
      </w:r>
      <w:r w:rsidR="00120AD7" w:rsidRPr="001F26C7">
        <w:rPr>
          <w:iCs/>
        </w:rPr>
        <w:t xml:space="preserve"> the presence of the rs25531 G allele </w:t>
      </w:r>
      <w:r w:rsidRPr="001F26C7">
        <w:rPr>
          <w:iCs/>
        </w:rPr>
        <w:t>may</w:t>
      </w:r>
      <w:r w:rsidR="00120AD7" w:rsidRPr="001F26C7">
        <w:rPr>
          <w:iCs/>
        </w:rPr>
        <w:t xml:space="preserve"> render the long allele functionally equivalent to the short allele </w:t>
      </w:r>
      <w:r w:rsidR="00120AD7" w:rsidRPr="001F26C7">
        <w:rPr>
          <w:iCs/>
        </w:rPr>
        <w:fldChar w:fldCharType="begin"/>
      </w:r>
      <w:r w:rsidR="00120AD7" w:rsidRPr="001F26C7">
        <w:rPr>
          <w:iCs/>
        </w:rPr>
        <w:instrText xml:space="preserve"> ADDIN ZOTERO_ITEM CSL_CITATION {"citationID":"m4c5k8ork","properties":{"formattedCitation":"(Hu et al., 2006)","plainCitation":"(Hu et al., 2006)"},"citationItems":[{"id":1196,"uris":["http://zotero.org/users/1502743/items/KZJXG6ZK"],"uri":["http://zotero.org/users/1502743/items/KZJXG6ZK"],"itemData":{"id":1196,"type":"article-journal","title":"Serotonin transporter promoter gain-of-function genotypes are linked to obsessive-compulsive disorder","container-title":"American Journal of Human Genetics","page":"815","volume":"78","issue":"5","journalAbbreviation":"Am.J.Hum.Genet.","author":[{"family":"Hu","given":"Xian-Zhang"},{"family":"Lipsky","given":"Robert H."},{"family":"Zhu","given":"Guanshan"},{"family":"Akhtar","given":"Longina A."},{"family":"Taubman","given":"Julie"},{"family":"Greenberg","given":"Benjamin D."},{"family":"Xu","given":"Ke"},{"family":"Arnold","given":"Paul D."},{"family":"Richter","given":"Margaret A."},{"family":"Kennedy","given":"James L."}],"issued":{"date-parts":[["2006"]]}}}],"schema":"https://github.com/citation-style-language/schema/raw/master/csl-citation.json"} </w:instrText>
      </w:r>
      <w:r w:rsidR="00120AD7" w:rsidRPr="001F26C7">
        <w:rPr>
          <w:iCs/>
        </w:rPr>
        <w:fldChar w:fldCharType="separate"/>
      </w:r>
      <w:r w:rsidR="00120AD7" w:rsidRPr="001F26C7">
        <w:t>(</w:t>
      </w:r>
      <w:r w:rsidR="00120AD7" w:rsidRPr="001F26C7">
        <w:rPr>
          <w:rFonts w:eastAsia="Times New Roman"/>
          <w:bCs/>
          <w:kern w:val="36"/>
          <w:lang w:eastAsia="en-GB"/>
        </w:rPr>
        <w:t>Hu</w:t>
      </w:r>
      <w:r w:rsidR="00C7216D" w:rsidRPr="001F26C7">
        <w:rPr>
          <w:rFonts w:eastAsia="Times New Roman"/>
          <w:bCs/>
          <w:kern w:val="36"/>
          <w:lang w:eastAsia="en-GB"/>
        </w:rPr>
        <w:t xml:space="preserve"> et al., </w:t>
      </w:r>
      <w:r w:rsidR="00120AD7" w:rsidRPr="001F26C7">
        <w:rPr>
          <w:rFonts w:eastAsia="Times New Roman"/>
          <w:bCs/>
          <w:kern w:val="36"/>
          <w:lang w:eastAsia="en-GB"/>
        </w:rPr>
        <w:t>2005</w:t>
      </w:r>
      <w:r w:rsidR="00120AD7" w:rsidRPr="001F26C7">
        <w:t>)</w:t>
      </w:r>
      <w:r w:rsidR="00120AD7" w:rsidRPr="001F26C7">
        <w:rPr>
          <w:iCs/>
        </w:rPr>
        <w:fldChar w:fldCharType="end"/>
      </w:r>
      <w:r w:rsidR="00120AD7" w:rsidRPr="001F26C7">
        <w:rPr>
          <w:iCs/>
        </w:rPr>
        <w:t xml:space="preserve">, </w:t>
      </w:r>
      <w:r w:rsidRPr="001F26C7">
        <w:rPr>
          <w:iCs/>
        </w:rPr>
        <w:t xml:space="preserve">we coded </w:t>
      </w:r>
      <w:r w:rsidR="00120AD7" w:rsidRPr="001F26C7">
        <w:rPr>
          <w:iCs/>
        </w:rPr>
        <w:t>the combination of the rs25531 G allele and the long allele (L</w:t>
      </w:r>
      <w:r w:rsidR="00120AD7" w:rsidRPr="001F26C7">
        <w:rPr>
          <w:iCs/>
          <w:vertAlign w:val="subscript"/>
        </w:rPr>
        <w:t>G</w:t>
      </w:r>
      <w:r w:rsidR="00120AD7" w:rsidRPr="001F26C7">
        <w:rPr>
          <w:iCs/>
        </w:rPr>
        <w:t xml:space="preserve">) as a short allele. Thus, </w:t>
      </w:r>
      <w:r w:rsidRPr="001F26C7">
        <w:rPr>
          <w:iCs/>
        </w:rPr>
        <w:t xml:space="preserve">we categorized </w:t>
      </w:r>
      <w:r w:rsidR="00120AD7" w:rsidRPr="001F26C7">
        <w:rPr>
          <w:iCs/>
        </w:rPr>
        <w:t>participants with two short alleles, one short allele and one L</w:t>
      </w:r>
      <w:r w:rsidR="00120AD7" w:rsidRPr="001F26C7">
        <w:rPr>
          <w:iCs/>
          <w:vertAlign w:val="subscript"/>
        </w:rPr>
        <w:t>G</w:t>
      </w:r>
      <w:r w:rsidR="00120AD7" w:rsidRPr="001F26C7">
        <w:rPr>
          <w:iCs/>
        </w:rPr>
        <w:t xml:space="preserve"> allele, or two L</w:t>
      </w:r>
      <w:r w:rsidR="00120AD7" w:rsidRPr="001F26C7">
        <w:rPr>
          <w:iCs/>
          <w:vertAlign w:val="subscript"/>
        </w:rPr>
        <w:t xml:space="preserve">G </w:t>
      </w:r>
      <w:r w:rsidR="00120AD7" w:rsidRPr="001F26C7">
        <w:rPr>
          <w:iCs/>
        </w:rPr>
        <w:t xml:space="preserve">alleles as short/short (SS); </w:t>
      </w:r>
      <w:r w:rsidRPr="001F26C7">
        <w:rPr>
          <w:iCs/>
        </w:rPr>
        <w:t xml:space="preserve">we categorized </w:t>
      </w:r>
      <w:r w:rsidR="00120AD7" w:rsidRPr="001F26C7">
        <w:rPr>
          <w:iCs/>
        </w:rPr>
        <w:t>those with one short allele or one L</w:t>
      </w:r>
      <w:r w:rsidR="00120AD7" w:rsidRPr="001F26C7">
        <w:rPr>
          <w:iCs/>
          <w:vertAlign w:val="subscript"/>
        </w:rPr>
        <w:t xml:space="preserve">G </w:t>
      </w:r>
      <w:r w:rsidR="00120AD7" w:rsidRPr="001F26C7">
        <w:rPr>
          <w:iCs/>
        </w:rPr>
        <w:t xml:space="preserve">allele as short/long (SL); </w:t>
      </w:r>
      <w:r w:rsidRPr="001F26C7">
        <w:rPr>
          <w:iCs/>
        </w:rPr>
        <w:t xml:space="preserve">and we categorized </w:t>
      </w:r>
      <w:r w:rsidR="00120AD7" w:rsidRPr="001F26C7">
        <w:rPr>
          <w:iCs/>
        </w:rPr>
        <w:t>those with two long alleles and two rs25531 A alleles as long/long (LL).</w:t>
      </w:r>
    </w:p>
    <w:p w14:paraId="26D27B66" w14:textId="77777777" w:rsidR="00606ED4" w:rsidRPr="001F26C7" w:rsidRDefault="00120AD7">
      <w:pPr>
        <w:spacing w:line="480" w:lineRule="exact"/>
        <w:ind w:firstLineChars="200" w:firstLine="480"/>
      </w:pPr>
      <w:r w:rsidRPr="001F26C7">
        <w:t xml:space="preserve">For quality control, </w:t>
      </w:r>
      <w:r w:rsidR="00DC5FAD" w:rsidRPr="001F26C7">
        <w:t>we rer</w:t>
      </w:r>
      <w:r w:rsidR="00496EDE" w:rsidRPr="001F26C7">
        <w:t>a</w:t>
      </w:r>
      <w:r w:rsidR="00DC5FAD" w:rsidRPr="001F26C7">
        <w:t xml:space="preserve">n </w:t>
      </w:r>
      <w:r w:rsidRPr="001F26C7">
        <w:t xml:space="preserve">16 samples and </w:t>
      </w:r>
      <w:r w:rsidR="00496EDE" w:rsidRPr="001F26C7">
        <w:t xml:space="preserve">found </w:t>
      </w:r>
      <w:r w:rsidRPr="001F26C7">
        <w:t>perfect concordance. Two samples were heterozygous for an extra-long Long allele (81bp)</w:t>
      </w:r>
      <w:r w:rsidR="00DC5FAD" w:rsidRPr="001F26C7">
        <w:t>,</w:t>
      </w:r>
      <w:r w:rsidRPr="001F26C7">
        <w:t xml:space="preserve"> and</w:t>
      </w:r>
      <w:r w:rsidR="00DC5FAD" w:rsidRPr="001F26C7">
        <w:t xml:space="preserve"> we thus </w:t>
      </w:r>
      <w:r w:rsidRPr="001F26C7">
        <w:t>omitted</w:t>
      </w:r>
      <w:r w:rsidR="00DC5FAD" w:rsidRPr="001F26C7">
        <w:t xml:space="preserve"> them</w:t>
      </w:r>
      <w:r w:rsidRPr="001F26C7">
        <w:t xml:space="preserve"> from analyses due to differential effects on gene expression </w:t>
      </w:r>
      <w:r w:rsidRPr="001F26C7">
        <w:fldChar w:fldCharType="begin"/>
      </w:r>
      <w:r w:rsidRPr="001F26C7">
        <w:instrText xml:space="preserve"> ADDIN ZOTERO_ITEM CSL_CITATION {"citationID":"1r8ash804g","properties":{"formattedCitation":"(Vijayendran et al., 2012)","plainCitation":"(Vijayendran et al., 2012)"},"citationItems":[{"id":4021,"uris":["http://zotero.org/users/1502743/items/JCXB75AC"],"uri":["http://zotero.org/users/1502743/items/JCXB75AC"],"itemData":{"id":4021,"type":"article-journal","title":"The relationship of the serotonin transporter (SLC6A4) extra long variant to gene expression in an African American sample","container-title":"American Journal of Medical Genetics. Part B, Neuropsychiatric Genetics: The Official Publication of the International Society of Psychiatric Genetics","page":"611-612","volume":"159B","issue":"5","source":"PubMed","DOI":"10.1002/ajmg.b.32054","ISSN":"1552-485X","note":"PMID: 22553133\nPMCID: PMC3495552","journalAbbreviation":"Am. J. Med. Genet. B Neuropsychiatr. Genet.","language":"eng","author":[{"family":"Vijayendran","given":"Meeshanthini"},{"family":"Cutrona","given":"Carolyn"},{"family":"Beach","given":"Steven R. H."},{"family":"Brody","given":"Gene H."},{"family":"Russell","given":"Daniel"},{"family":"Philibert","given":"Robert A."}],"issued":{"date-parts":[["2012",7]]},"PMID":"22553133","PMCID":"PMC3495552"}}],"schema":"https://github.com/citation-style-language/schema/raw/master/csl-citation.json"} </w:instrText>
      </w:r>
      <w:r w:rsidRPr="001F26C7">
        <w:fldChar w:fldCharType="separate"/>
      </w:r>
      <w:r w:rsidRPr="001F26C7">
        <w:t>(Vijayendran,</w:t>
      </w:r>
      <w:r w:rsidR="00E11E94" w:rsidRPr="001F26C7">
        <w:t xml:space="preserve"> </w:t>
      </w:r>
      <w:r w:rsidR="00E11E94" w:rsidRPr="001F26C7">
        <w:rPr>
          <w:rStyle w:val="element-citation"/>
          <w:lang w:val="en"/>
        </w:rPr>
        <w:t xml:space="preserve">Beach, Plume, Brody, &amp; Philibert, </w:t>
      </w:r>
      <w:r w:rsidRPr="001F26C7">
        <w:t>2012)</w:t>
      </w:r>
      <w:r w:rsidRPr="001F26C7">
        <w:fldChar w:fldCharType="end"/>
      </w:r>
      <w:r w:rsidRPr="001F26C7">
        <w:t>.</w:t>
      </w:r>
      <w:r w:rsidR="00DC5FAD" w:rsidRPr="001F26C7">
        <w:t xml:space="preserve"> We could not genotype s</w:t>
      </w:r>
      <w:r w:rsidRPr="001F26C7">
        <w:t>ix samples.</w:t>
      </w:r>
    </w:p>
    <w:p w14:paraId="73D4B87D" w14:textId="77777777" w:rsidR="00606ED4" w:rsidRPr="001F26C7" w:rsidRDefault="00120AD7">
      <w:pPr>
        <w:spacing w:line="480" w:lineRule="exact"/>
        <w:outlineLvl w:val="0"/>
        <w:rPr>
          <w:b/>
        </w:rPr>
      </w:pPr>
      <w:r w:rsidRPr="001F26C7">
        <w:rPr>
          <w:b/>
        </w:rPr>
        <w:t>Hierarchical Linear Modeling</w:t>
      </w:r>
    </w:p>
    <w:p w14:paraId="42B69BB4" w14:textId="4393D641" w:rsidR="00606ED4" w:rsidRPr="001F26C7" w:rsidRDefault="00120AD7">
      <w:pPr>
        <w:spacing w:line="480" w:lineRule="exact"/>
        <w:ind w:firstLineChars="200" w:firstLine="480"/>
      </w:pPr>
      <w:r w:rsidRPr="001F26C7">
        <w:t xml:space="preserve">Our data </w:t>
      </w:r>
      <w:r w:rsidR="00C7216D" w:rsidRPr="001F26C7">
        <w:t>were</w:t>
      </w:r>
      <w:r w:rsidRPr="001F26C7">
        <w:t xml:space="preserve"> dyadic</w:t>
      </w:r>
      <w:r w:rsidR="00120890" w:rsidRPr="001F26C7">
        <w:t xml:space="preserve"> </w:t>
      </w:r>
      <w:r w:rsidRPr="001F26C7">
        <w:t>and thus may introduce bias in many parametric analyses by violating the common assumption of independence (</w:t>
      </w:r>
      <w:r w:rsidRPr="001F26C7">
        <w:rPr>
          <w:rFonts w:eastAsia="Times New Roman"/>
        </w:rPr>
        <w:t>Bliese &amp; Hanges, 2004</w:t>
      </w:r>
      <w:r w:rsidRPr="001F26C7">
        <w:t xml:space="preserve">). To test for presence of non-independence, we used intraclass correlation </w:t>
      </w:r>
      <w:r w:rsidR="00120890" w:rsidRPr="001F26C7">
        <w:t xml:space="preserve">coefficient </w:t>
      </w:r>
      <w:r w:rsidRPr="001F26C7">
        <w:t xml:space="preserve">(ICC), </w:t>
      </w:r>
      <w:r w:rsidR="00120890" w:rsidRPr="001F26C7">
        <w:t>which suggested interdependence for</w:t>
      </w:r>
      <w:r w:rsidRPr="001F26C7">
        <w:t xml:space="preserve"> couple members’ nostalgia (ICC = .151, </w:t>
      </w:r>
      <w:r w:rsidR="00E37469" w:rsidRPr="001F26C7">
        <w:rPr>
          <w:i/>
        </w:rPr>
        <w:t>p</w:t>
      </w:r>
      <w:r w:rsidR="00E37469" w:rsidRPr="001F26C7">
        <w:t xml:space="preserve"> =</w:t>
      </w:r>
      <w:r w:rsidR="00C7216D" w:rsidRPr="001F26C7">
        <w:t xml:space="preserve"> </w:t>
      </w:r>
      <w:r w:rsidR="00E37469" w:rsidRPr="001F26C7">
        <w:t>.005</w:t>
      </w:r>
      <w:r w:rsidRPr="001F26C7">
        <w:t>)</w:t>
      </w:r>
      <w:r w:rsidR="00120890" w:rsidRPr="001F26C7">
        <w:t xml:space="preserve"> and </w:t>
      </w:r>
      <w:r w:rsidRPr="001F26C7">
        <w:t xml:space="preserve">neuroticism (ICC = -.259, </w:t>
      </w:r>
      <w:r w:rsidR="00750E7C" w:rsidRPr="001F26C7">
        <w:rPr>
          <w:i/>
        </w:rPr>
        <w:t>p</w:t>
      </w:r>
      <w:r w:rsidR="00750E7C" w:rsidRPr="001F26C7">
        <w:t xml:space="preserve"> = .012</w:t>
      </w:r>
      <w:r w:rsidRPr="001F26C7">
        <w:t>)</w:t>
      </w:r>
      <w:r w:rsidR="00120890" w:rsidRPr="001F26C7">
        <w:t>,</w:t>
      </w:r>
      <w:r w:rsidR="00CB138D" w:rsidRPr="001F26C7">
        <w:rPr>
          <w:rStyle w:val="FootnoteReference"/>
        </w:rPr>
        <w:footnoteReference w:id="2"/>
      </w:r>
      <w:r w:rsidRPr="001F26C7">
        <w:t xml:space="preserve"> </w:t>
      </w:r>
      <w:r w:rsidR="002E1E14" w:rsidRPr="001F26C7">
        <w:t xml:space="preserve">but not the </w:t>
      </w:r>
      <w:r w:rsidRPr="001F26C7">
        <w:t xml:space="preserve">genotype (ICC = .052, </w:t>
      </w:r>
      <w:r w:rsidR="00E37469" w:rsidRPr="001F26C7">
        <w:rPr>
          <w:i/>
        </w:rPr>
        <w:t>p</w:t>
      </w:r>
      <w:r w:rsidR="00E37469" w:rsidRPr="001F26C7">
        <w:t xml:space="preserve"> = .319</w:t>
      </w:r>
      <w:r w:rsidRPr="001F26C7">
        <w:t xml:space="preserve">). Therefore, we </w:t>
      </w:r>
      <w:r w:rsidR="0031146D" w:rsidRPr="001F26C7">
        <w:t>conducted</w:t>
      </w:r>
      <w:r w:rsidRPr="001F26C7">
        <w:t xml:space="preserve"> hierarchical linear modeling (HLM) to </w:t>
      </w:r>
      <w:r w:rsidR="0031146D" w:rsidRPr="001F26C7">
        <w:t>analyze</w:t>
      </w:r>
      <w:r w:rsidRPr="001F26C7">
        <w:t xml:space="preserve"> the dyad</w:t>
      </w:r>
      <w:r w:rsidR="00E92087" w:rsidRPr="001F26C7">
        <w:t>ic</w:t>
      </w:r>
      <w:r w:rsidRPr="001F26C7">
        <w:t xml:space="preserve"> data (Kenny, Kashy, &amp; Cook, 2006)</w:t>
      </w:r>
      <w:r w:rsidRPr="001F26C7">
        <w:rPr>
          <w:rStyle w:val="FootnoteReference"/>
        </w:rPr>
        <w:footnoteReference w:id="3"/>
      </w:r>
      <w:r w:rsidR="0031146D" w:rsidRPr="001F26C7">
        <w:t>, us</w:t>
      </w:r>
      <w:r w:rsidRPr="001F26C7">
        <w:t xml:space="preserve">ing linear mixed effects models. We ran these models </w:t>
      </w:r>
      <w:r w:rsidR="0031146D" w:rsidRPr="001F26C7">
        <w:t>based on</w:t>
      </w:r>
      <w:r w:rsidRPr="001F26C7">
        <w:t xml:space="preserve"> the MIXED procedure in SPSS 23.0 (REML as estimation method</w:t>
      </w:r>
      <w:r w:rsidR="0031146D" w:rsidRPr="001F26C7">
        <w:t>,</w:t>
      </w:r>
      <w:r w:rsidRPr="001F26C7">
        <w:t xml:space="preserve"> </w:t>
      </w:r>
      <w:r w:rsidR="00747CD7" w:rsidRPr="001F26C7">
        <w:t>compound symmetry</w:t>
      </w:r>
      <w:r w:rsidRPr="001F26C7">
        <w:t xml:space="preserve"> as covariance structure), with nostalgia as the outcome variable and 5-HTTLPR polymorphism as the level-1 predictor</w:t>
      </w:r>
      <w:r w:rsidR="00496EDE" w:rsidRPr="001F26C7">
        <w:t xml:space="preserve"> variable</w:t>
      </w:r>
      <w:r w:rsidRPr="001F26C7">
        <w:t xml:space="preserve">. </w:t>
      </w:r>
      <w:r w:rsidR="004D5822" w:rsidRPr="001F26C7">
        <w:t>T</w:t>
      </w:r>
      <w:r w:rsidR="001F7DFD" w:rsidRPr="001F26C7">
        <w:rPr>
          <w:rFonts w:hint="eastAsia"/>
        </w:rPr>
        <w:t>his procedure estimate</w:t>
      </w:r>
      <w:r w:rsidR="004D5822" w:rsidRPr="001F26C7">
        <w:t>s</w:t>
      </w:r>
      <w:r w:rsidR="001F7DFD" w:rsidRPr="001F26C7">
        <w:rPr>
          <w:rFonts w:hint="eastAsia"/>
        </w:rPr>
        <w:t xml:space="preserve"> non-independence within dyads as a </w:t>
      </w:r>
      <w:r w:rsidR="006067D9" w:rsidRPr="001F26C7">
        <w:t>covariance</w:t>
      </w:r>
      <w:r w:rsidR="001F7DFD" w:rsidRPr="001F26C7">
        <w:rPr>
          <w:rFonts w:hint="eastAsia"/>
        </w:rPr>
        <w:t>.</w:t>
      </w:r>
      <w:r w:rsidR="00C26506" w:rsidRPr="001F26C7">
        <w:rPr>
          <w:rFonts w:hint="eastAsia"/>
        </w:rPr>
        <w:t xml:space="preserve"> </w:t>
      </w:r>
      <w:r w:rsidR="00D1786F" w:rsidRPr="001F26C7">
        <w:rPr>
          <w:bCs/>
        </w:rPr>
        <w:t>Further, t</w:t>
      </w:r>
      <w:r w:rsidR="00D1786F" w:rsidRPr="001F26C7">
        <w:t xml:space="preserve">o control for ethnicity, we ran models with ethnicity as another level-1 predictor. </w:t>
      </w:r>
      <w:r w:rsidR="005D5539" w:rsidRPr="001F26C7">
        <w:rPr>
          <w:bCs/>
        </w:rPr>
        <w:t xml:space="preserve">We also computed effect sizes in the metric of Pearson’s </w:t>
      </w:r>
      <w:r w:rsidR="005D5539" w:rsidRPr="001F26C7">
        <w:rPr>
          <w:bCs/>
          <w:i/>
        </w:rPr>
        <w:t>r</w:t>
      </w:r>
      <w:r w:rsidR="005D5539" w:rsidRPr="001F26C7">
        <w:rPr>
          <w:bCs/>
        </w:rPr>
        <w:t xml:space="preserve"> using the formula </w:t>
      </w:r>
      <m:oMath>
        <m:r>
          <w:rPr>
            <w:rFonts w:ascii="Cambria Math" w:hAnsi="Cambria Math"/>
          </w:rPr>
          <m:t xml:space="preserve">r= </m:t>
        </m:r>
        <m:rad>
          <m:radPr>
            <m:degHide m:val="1"/>
            <m:ctrlPr>
              <w:rPr>
                <w:rFonts w:ascii="Cambria Math" w:hAnsi="Cambria Math"/>
                <w:bCs/>
                <w:i/>
              </w:rPr>
            </m:ctrlPr>
          </m:radPr>
          <m:deg/>
          <m:e>
            <m:sSup>
              <m:sSupPr>
                <m:ctrlPr>
                  <w:rPr>
                    <w:rFonts w:ascii="Cambria Math" w:hAnsi="Cambria Math"/>
                    <w:bCs/>
                    <w:i/>
                  </w:rPr>
                </m:ctrlPr>
              </m:sSupPr>
              <m:e>
                <m:r>
                  <w:rPr>
                    <w:rFonts w:ascii="Cambria Math" w:hAnsi="Cambria Math"/>
                  </w:rPr>
                  <m:t>t</m:t>
                </m:r>
              </m:e>
              <m:sup>
                <m:r>
                  <w:rPr>
                    <w:rFonts w:ascii="Cambria Math" w:hAnsi="Cambria Math"/>
                  </w:rPr>
                  <m:t>2</m:t>
                </m:r>
              </m:sup>
            </m:sSup>
            <m:sSup>
              <m:sSupPr>
                <m:ctrlPr>
                  <w:rPr>
                    <w:rFonts w:ascii="Cambria Math" w:hAnsi="Cambria Math"/>
                    <w:bCs/>
                    <w:i/>
                  </w:rPr>
                </m:ctrlPr>
              </m:sSupPr>
              <m:e>
                <m:r>
                  <w:rPr>
                    <w:rFonts w:ascii="Cambria Math" w:hAnsi="Cambria Math"/>
                  </w:rPr>
                  <m:t>/(t</m:t>
                </m:r>
              </m:e>
              <m:sup>
                <m:r>
                  <w:rPr>
                    <w:rFonts w:ascii="Cambria Math" w:hAnsi="Cambria Math"/>
                  </w:rPr>
                  <m:t>2</m:t>
                </m:r>
              </m:sup>
            </m:sSup>
            <m:r>
              <w:rPr>
                <w:rFonts w:ascii="Cambria Math" w:hAnsi="Cambria Math"/>
              </w:rPr>
              <m:t>+df)</m:t>
            </m:r>
          </m:e>
        </m:rad>
      </m:oMath>
      <w:r w:rsidR="005D5539" w:rsidRPr="001F26C7">
        <w:rPr>
          <w:bCs/>
        </w:rPr>
        <w:t xml:space="preserve">. </w:t>
      </w:r>
    </w:p>
    <w:p w14:paraId="728031D0" w14:textId="7C28BF31" w:rsidR="00606ED4" w:rsidRPr="001F26C7" w:rsidRDefault="0031146D">
      <w:pPr>
        <w:spacing w:line="480" w:lineRule="exact"/>
        <w:ind w:firstLineChars="200" w:firstLine="480"/>
      </w:pPr>
      <w:r w:rsidRPr="001F26C7">
        <w:t>Finally, we conducted</w:t>
      </w:r>
      <w:r w:rsidR="00120AD7" w:rsidRPr="001F26C7">
        <w:t xml:space="preserve"> HLMs in mediation analysis to estimate</w:t>
      </w:r>
      <w:r w:rsidR="00770EE2" w:rsidRPr="001F26C7">
        <w:t xml:space="preserve"> the</w:t>
      </w:r>
      <w:r w:rsidR="00120AD7" w:rsidRPr="001F26C7">
        <w:t xml:space="preserve"> following effects: </w:t>
      </w:r>
      <w:r w:rsidR="00770EE2" w:rsidRPr="001F26C7">
        <w:t>(</w:t>
      </w:r>
      <w:r w:rsidR="00120AD7" w:rsidRPr="001F26C7">
        <w:t xml:space="preserve">1) 5-HTTLPR on neuroticism; </w:t>
      </w:r>
      <w:r w:rsidR="00770EE2" w:rsidRPr="001F26C7">
        <w:t>(</w:t>
      </w:r>
      <w:r w:rsidR="00120AD7" w:rsidRPr="001F26C7">
        <w:t>2) neuroticism on nostalgia</w:t>
      </w:r>
      <w:r w:rsidR="006C173C" w:rsidRPr="001F26C7">
        <w:t xml:space="preserve"> controlling for 5-HTTLPR</w:t>
      </w:r>
      <w:r w:rsidR="00120AD7" w:rsidRPr="001F26C7">
        <w:t xml:space="preserve">; </w:t>
      </w:r>
      <w:r w:rsidR="00770EE2" w:rsidRPr="001F26C7">
        <w:t>and (</w:t>
      </w:r>
      <w:r w:rsidR="00120AD7" w:rsidRPr="001F26C7">
        <w:t>3) 5-HTTLPR on nostalgia with neuroticism controlled. All predictors were at level-1. To</w:t>
      </w:r>
      <w:r w:rsidR="00120AD7" w:rsidRPr="001F26C7">
        <w:rPr>
          <w:bCs/>
        </w:rPr>
        <w:t xml:space="preserve"> gauge the indirect effect from 5-HTTLPR to nostalgia via neuroticism, we u</w:t>
      </w:r>
      <w:r w:rsidRPr="001F26C7">
        <w:rPr>
          <w:bCs/>
        </w:rPr>
        <w:t>sed</w:t>
      </w:r>
      <w:r w:rsidR="00120AD7" w:rsidRPr="001F26C7">
        <w:rPr>
          <w:bCs/>
        </w:rPr>
        <w:t xml:space="preserve"> a Monte Carlo macro in SPSS (MCMED; </w:t>
      </w:r>
      <w:r w:rsidR="00120AD7" w:rsidRPr="001F26C7">
        <w:rPr>
          <w:bCs/>
          <w:noProof/>
        </w:rPr>
        <w:t>Hayes, 2013)</w:t>
      </w:r>
      <w:r w:rsidR="00120AD7" w:rsidRPr="001F26C7">
        <w:rPr>
          <w:bCs/>
        </w:rPr>
        <w:t xml:space="preserve">. </w:t>
      </w:r>
    </w:p>
    <w:p w14:paraId="3B03E835" w14:textId="77777777" w:rsidR="00606ED4" w:rsidRPr="001F26C7" w:rsidRDefault="00120AD7">
      <w:pPr>
        <w:spacing w:line="480" w:lineRule="exact"/>
        <w:jc w:val="center"/>
        <w:outlineLvl w:val="0"/>
        <w:rPr>
          <w:b/>
        </w:rPr>
      </w:pPr>
      <w:r w:rsidRPr="001F26C7">
        <w:rPr>
          <w:b/>
        </w:rPr>
        <w:t>Results</w:t>
      </w:r>
    </w:p>
    <w:p w14:paraId="1FF0059C" w14:textId="77777777" w:rsidR="00606ED4" w:rsidRPr="001F26C7" w:rsidRDefault="00120AD7">
      <w:pPr>
        <w:spacing w:line="480" w:lineRule="exact"/>
        <w:outlineLvl w:val="0"/>
        <w:rPr>
          <w:b/>
        </w:rPr>
      </w:pPr>
      <w:r w:rsidRPr="001F26C7">
        <w:rPr>
          <w:b/>
        </w:rPr>
        <w:t>Genotype</w:t>
      </w:r>
    </w:p>
    <w:p w14:paraId="5613E8AB" w14:textId="421E0018" w:rsidR="00606ED4" w:rsidRPr="001F26C7" w:rsidRDefault="00120AD7">
      <w:pPr>
        <w:spacing w:line="480" w:lineRule="exact"/>
        <w:ind w:firstLineChars="200" w:firstLine="480"/>
        <w:rPr>
          <w:rFonts w:eastAsia="SimSun"/>
        </w:rPr>
      </w:pPr>
      <w:r w:rsidRPr="001F26C7">
        <w:t xml:space="preserve">Genotype distribution </w:t>
      </w:r>
      <w:r w:rsidR="0033545B" w:rsidRPr="001F26C7">
        <w:rPr>
          <w:rFonts w:hint="eastAsia"/>
        </w:rPr>
        <w:t xml:space="preserve">(Table 1) </w:t>
      </w:r>
      <w:r w:rsidRPr="001F26C7">
        <w:t xml:space="preserve">did not deviate from Hardy-Weinberg equilibrium (Stern, 1943), </w:t>
      </w:r>
      <w:r w:rsidRPr="001F26C7">
        <w:rPr>
          <w:i/>
        </w:rPr>
        <w:t>χ</w:t>
      </w:r>
      <w:r w:rsidRPr="001F26C7">
        <w:rPr>
          <w:i/>
          <w:vertAlign w:val="superscript"/>
        </w:rPr>
        <w:t>2</w:t>
      </w:r>
      <w:r w:rsidRPr="001F26C7">
        <w:t xml:space="preserve">(2, </w:t>
      </w:r>
      <w:r w:rsidRPr="001F26C7">
        <w:rPr>
          <w:i/>
        </w:rPr>
        <w:t>N</w:t>
      </w:r>
      <w:r w:rsidRPr="001F26C7">
        <w:t xml:space="preserve"> = 374) = 0.68, </w:t>
      </w:r>
      <w:r w:rsidRPr="001F26C7">
        <w:rPr>
          <w:i/>
        </w:rPr>
        <w:t>p</w:t>
      </w:r>
      <w:r w:rsidRPr="001F26C7">
        <w:t xml:space="preserve"> = .712. Further, the allelic distribution was comparable across genders (</w:t>
      </w:r>
      <w:r w:rsidRPr="001F26C7">
        <w:rPr>
          <w:i/>
        </w:rPr>
        <w:t>χ</w:t>
      </w:r>
      <w:r w:rsidRPr="001F26C7">
        <w:rPr>
          <w:i/>
          <w:vertAlign w:val="superscript"/>
        </w:rPr>
        <w:t>2</w:t>
      </w:r>
      <w:r w:rsidRPr="001F26C7">
        <w:t xml:space="preserve">[2, </w:t>
      </w:r>
      <w:r w:rsidRPr="001F26C7">
        <w:rPr>
          <w:i/>
        </w:rPr>
        <w:t>N</w:t>
      </w:r>
      <w:r w:rsidRPr="001F26C7">
        <w:t xml:space="preserve"> = 332] = 3.62, </w:t>
      </w:r>
      <w:r w:rsidRPr="001F26C7">
        <w:rPr>
          <w:i/>
        </w:rPr>
        <w:t>p</w:t>
      </w:r>
      <w:r w:rsidRPr="001F26C7">
        <w:t xml:space="preserve"> = .163) and samples (</w:t>
      </w:r>
      <w:r w:rsidRPr="001F26C7">
        <w:rPr>
          <w:i/>
        </w:rPr>
        <w:t>χ</w:t>
      </w:r>
      <w:r w:rsidRPr="001F26C7">
        <w:rPr>
          <w:i/>
          <w:vertAlign w:val="superscript"/>
        </w:rPr>
        <w:t>2</w:t>
      </w:r>
      <w:r w:rsidRPr="001F26C7">
        <w:t xml:space="preserve">[2, </w:t>
      </w:r>
      <w:r w:rsidRPr="001F26C7">
        <w:rPr>
          <w:i/>
        </w:rPr>
        <w:t>N</w:t>
      </w:r>
      <w:r w:rsidRPr="001F26C7">
        <w:t xml:space="preserve"> = 372] = .978, </w:t>
      </w:r>
      <w:r w:rsidRPr="001F26C7">
        <w:rPr>
          <w:i/>
        </w:rPr>
        <w:t>p</w:t>
      </w:r>
      <w:r w:rsidRPr="001F26C7">
        <w:t xml:space="preserve"> = .613). As expected (Gelernter</w:t>
      </w:r>
      <w:r w:rsidR="00283819" w:rsidRPr="001F26C7">
        <w:t xml:space="preserve"> et al., </w:t>
      </w:r>
      <w:r w:rsidRPr="001F26C7">
        <w:t>1997), the allelic variation differed across ethnicities (</w:t>
      </w:r>
      <w:r w:rsidRPr="001F26C7">
        <w:rPr>
          <w:i/>
        </w:rPr>
        <w:t>χ</w:t>
      </w:r>
      <w:r w:rsidRPr="001F26C7">
        <w:rPr>
          <w:i/>
          <w:vertAlign w:val="superscript"/>
        </w:rPr>
        <w:t>2</w:t>
      </w:r>
      <w:r w:rsidRPr="001F26C7">
        <w:t xml:space="preserve">[12, </w:t>
      </w:r>
      <w:r w:rsidRPr="001F26C7">
        <w:rPr>
          <w:i/>
        </w:rPr>
        <w:t>N</w:t>
      </w:r>
      <w:r w:rsidRPr="001F26C7">
        <w:t xml:space="preserve"> = 374] = 28.00, </w:t>
      </w:r>
      <w:r w:rsidRPr="001F26C7">
        <w:rPr>
          <w:i/>
        </w:rPr>
        <w:t>p</w:t>
      </w:r>
      <w:r w:rsidRPr="001F26C7">
        <w:t xml:space="preserve"> = .006). The proportion of the SS</w:t>
      </w:r>
      <w:r w:rsidRPr="001F26C7">
        <w:rPr>
          <w:rFonts w:eastAsia="SimSun"/>
          <w:sz w:val="20"/>
          <w:szCs w:val="22"/>
        </w:rPr>
        <w:t xml:space="preserve"> </w:t>
      </w:r>
      <w:r w:rsidRPr="001F26C7">
        <w:t>category substantially varied from 22.9% in Caucasians to 80.0% in Asians. Consequently,</w:t>
      </w:r>
      <w:r w:rsidR="00770EE2" w:rsidRPr="001F26C7">
        <w:t xml:space="preserve"> we included</w:t>
      </w:r>
      <w:r w:rsidRPr="001F26C7">
        <w:t xml:space="preserve"> ethnicity as a covariate in subsequent </w:t>
      </w:r>
      <w:r w:rsidR="009A7596" w:rsidRPr="001F26C7">
        <w:t>analyses</w:t>
      </w:r>
      <w:r w:rsidRPr="001F26C7">
        <w:t>.</w:t>
      </w:r>
      <w:r w:rsidRPr="001F26C7">
        <w:rPr>
          <w:rFonts w:eastAsia="SimSun"/>
          <w:sz w:val="20"/>
          <w:szCs w:val="22"/>
        </w:rPr>
        <w:t xml:space="preserve"> </w:t>
      </w:r>
    </w:p>
    <w:p w14:paraId="54D1CE66" w14:textId="77777777" w:rsidR="00606ED4" w:rsidRPr="001F26C7" w:rsidRDefault="00120AD7">
      <w:pPr>
        <w:spacing w:line="480" w:lineRule="exact"/>
        <w:rPr>
          <w:b/>
        </w:rPr>
      </w:pPr>
      <w:r w:rsidRPr="001F26C7">
        <w:rPr>
          <w:b/>
        </w:rPr>
        <w:t>Genetic Effect</w:t>
      </w:r>
    </w:p>
    <w:p w14:paraId="0FE7F693" w14:textId="43B3B2E7" w:rsidR="00606ED4" w:rsidRPr="001F26C7" w:rsidRDefault="00AC241D">
      <w:pPr>
        <w:spacing w:line="480" w:lineRule="exact"/>
        <w:ind w:firstLineChars="200" w:firstLine="480"/>
        <w:rPr>
          <w:b/>
        </w:rPr>
      </w:pPr>
      <w:r>
        <w:t xml:space="preserve">In </w:t>
      </w:r>
      <w:r w:rsidR="005E2558">
        <w:rPr>
          <w:rFonts w:hint="eastAsia"/>
        </w:rPr>
        <w:t>Table 2</w:t>
      </w:r>
      <w:r>
        <w:t>, we</w:t>
      </w:r>
      <w:r w:rsidR="005E2558">
        <w:rPr>
          <w:rFonts w:hint="eastAsia"/>
        </w:rPr>
        <w:t xml:space="preserve"> present the mean levels of nostalgia proneness </w:t>
      </w:r>
      <w:r w:rsidR="00C3341B">
        <w:rPr>
          <w:rFonts w:hint="eastAsia"/>
        </w:rPr>
        <w:t>for the</w:t>
      </w:r>
      <w:r w:rsidR="005E2558">
        <w:rPr>
          <w:rFonts w:hint="eastAsia"/>
        </w:rPr>
        <w:t xml:space="preserve"> three genotypes. </w:t>
      </w:r>
      <w:r w:rsidR="00120AD7" w:rsidRPr="001F26C7">
        <w:t>Following previous practices (Hu et al., 2005), we compared the mean levels of nostalgia proneness between short allele carriers (participants with short or L</w:t>
      </w:r>
      <w:r w:rsidR="00120AD7" w:rsidRPr="001F26C7">
        <w:rPr>
          <w:vertAlign w:val="subscript"/>
        </w:rPr>
        <w:t>G</w:t>
      </w:r>
      <w:r w:rsidR="00120AD7" w:rsidRPr="001F26C7">
        <w:t xml:space="preserve"> allele, SS/SL) and those with just the L</w:t>
      </w:r>
      <w:r w:rsidR="00120AD7" w:rsidRPr="001F26C7">
        <w:rPr>
          <w:vertAlign w:val="subscript"/>
        </w:rPr>
        <w:t>A</w:t>
      </w:r>
      <w:r w:rsidR="00120AD7" w:rsidRPr="001F26C7">
        <w:t xml:space="preserve"> allele (LL). Short allele carriers manifested higher levels of nostalgia proneness (</w:t>
      </w:r>
      <w:r w:rsidR="00120AD7" w:rsidRPr="001F26C7">
        <w:rPr>
          <w:i/>
        </w:rPr>
        <w:t>N</w:t>
      </w:r>
      <w:r w:rsidR="00120AD7" w:rsidRPr="001F26C7">
        <w:t xml:space="preserve"> = 249, </w:t>
      </w:r>
      <w:r w:rsidR="00120AD7" w:rsidRPr="001F26C7">
        <w:rPr>
          <w:i/>
        </w:rPr>
        <w:t>M</w:t>
      </w:r>
      <w:r w:rsidR="00120AD7" w:rsidRPr="001F26C7">
        <w:t xml:space="preserve"> = 4.22, </w:t>
      </w:r>
      <w:r w:rsidR="00120AD7" w:rsidRPr="001F26C7">
        <w:rPr>
          <w:i/>
        </w:rPr>
        <w:t>SD</w:t>
      </w:r>
      <w:r w:rsidR="00120AD7" w:rsidRPr="001F26C7">
        <w:t xml:space="preserve"> = 1.38) than LL individuals (</w:t>
      </w:r>
      <w:r w:rsidR="00120AD7" w:rsidRPr="001F26C7">
        <w:rPr>
          <w:i/>
        </w:rPr>
        <w:t>N</w:t>
      </w:r>
      <w:r w:rsidR="00120AD7" w:rsidRPr="001F26C7">
        <w:t xml:space="preserve"> = 85, </w:t>
      </w:r>
      <w:r w:rsidR="00120AD7" w:rsidRPr="001F26C7">
        <w:rPr>
          <w:i/>
        </w:rPr>
        <w:t>M</w:t>
      </w:r>
      <w:r w:rsidR="00120AD7" w:rsidRPr="001F26C7">
        <w:t xml:space="preserve"> = 3.85, </w:t>
      </w:r>
      <w:r w:rsidR="00120AD7" w:rsidRPr="001F26C7">
        <w:rPr>
          <w:i/>
        </w:rPr>
        <w:t>SD</w:t>
      </w:r>
      <w:r w:rsidR="00120AD7" w:rsidRPr="001F26C7">
        <w:t xml:space="preserve"> = 1.48), </w:t>
      </w:r>
      <w:r w:rsidR="00120AD7" w:rsidRPr="001F26C7">
        <w:rPr>
          <w:i/>
        </w:rPr>
        <w:t>t</w:t>
      </w:r>
      <w:r w:rsidR="00120AD7" w:rsidRPr="001F26C7">
        <w:t xml:space="preserve">(332) = 2.10, </w:t>
      </w:r>
      <w:r w:rsidR="00120AD7" w:rsidRPr="001F26C7">
        <w:rPr>
          <w:i/>
        </w:rPr>
        <w:t>p</w:t>
      </w:r>
      <w:r w:rsidR="00120AD7" w:rsidRPr="001F26C7">
        <w:t xml:space="preserve"> = .037, </w:t>
      </w:r>
      <w:r w:rsidR="00B73D1D" w:rsidRPr="001F26C7">
        <w:rPr>
          <w:i/>
        </w:rPr>
        <w:t>r</w:t>
      </w:r>
      <w:r w:rsidR="00B73D1D" w:rsidRPr="001F26C7">
        <w:t xml:space="preserve"> </w:t>
      </w:r>
      <w:r w:rsidR="00120AD7" w:rsidRPr="001F26C7">
        <w:t>= 0.</w:t>
      </w:r>
      <w:r w:rsidR="00B73D1D" w:rsidRPr="001F26C7">
        <w:t>11</w:t>
      </w:r>
      <w:r w:rsidR="00120AD7" w:rsidRPr="001F26C7">
        <w:t>. As participants were nested within couples</w:t>
      </w:r>
      <w:r w:rsidR="00120AD7" w:rsidRPr="001F26C7">
        <w:rPr>
          <w:rStyle w:val="FootnoteReference"/>
        </w:rPr>
        <w:footnoteReference w:id="4"/>
      </w:r>
      <w:r w:rsidR="00120AD7" w:rsidRPr="001F26C7">
        <w:t xml:space="preserve">, we used a hierarchal linear model (HLM) to re-test the genetic effect on nostalgia proneness (dummy code: LL = 0, SS/SL =1). Consistent with the mean difference, allelic variants in 5-HTTLPR were significantly predictive of nostalgia, </w:t>
      </w:r>
      <w:r w:rsidR="00120AD7" w:rsidRPr="001F26C7">
        <w:rPr>
          <w:i/>
        </w:rPr>
        <w:t>B</w:t>
      </w:r>
      <w:r w:rsidR="00120AD7" w:rsidRPr="001F26C7">
        <w:t xml:space="preserve"> = </w:t>
      </w:r>
      <w:r w:rsidR="00C95252" w:rsidRPr="001F26C7">
        <w:rPr>
          <w:rFonts w:hint="eastAsia"/>
        </w:rPr>
        <w:t>0</w:t>
      </w:r>
      <w:r w:rsidR="00120AD7" w:rsidRPr="001F26C7">
        <w:t xml:space="preserve">.36, </w:t>
      </w:r>
      <w:r w:rsidR="00120AD7" w:rsidRPr="001F26C7">
        <w:rPr>
          <w:i/>
        </w:rPr>
        <w:t>SE</w:t>
      </w:r>
      <w:r w:rsidR="00120AD7" w:rsidRPr="001F26C7">
        <w:t xml:space="preserve"> = </w:t>
      </w:r>
      <w:r w:rsidR="00C95252" w:rsidRPr="001F26C7">
        <w:rPr>
          <w:rFonts w:hint="eastAsia"/>
        </w:rPr>
        <w:t>0</w:t>
      </w:r>
      <w:r w:rsidR="00120AD7" w:rsidRPr="001F26C7">
        <w:t xml:space="preserve">.18, </w:t>
      </w:r>
      <w:r w:rsidR="00120AD7" w:rsidRPr="001F26C7">
        <w:rPr>
          <w:i/>
        </w:rPr>
        <w:t>t</w:t>
      </w:r>
      <w:r w:rsidR="00473531" w:rsidRPr="001F26C7">
        <w:t>(</w:t>
      </w:r>
      <w:r w:rsidR="00C95252" w:rsidRPr="001F26C7">
        <w:rPr>
          <w:rFonts w:hint="eastAsia"/>
        </w:rPr>
        <w:t>331.31</w:t>
      </w:r>
      <w:r w:rsidR="00473531" w:rsidRPr="001F26C7">
        <w:t>)</w:t>
      </w:r>
      <w:r w:rsidR="00120AD7" w:rsidRPr="001F26C7">
        <w:t xml:space="preserve"> = 2.06, </w:t>
      </w:r>
      <w:r w:rsidR="00120AD7" w:rsidRPr="001F26C7">
        <w:rPr>
          <w:i/>
        </w:rPr>
        <w:t>p</w:t>
      </w:r>
      <w:r w:rsidR="00120AD7" w:rsidRPr="001F26C7">
        <w:t xml:space="preserve"> = .040</w:t>
      </w:r>
      <w:r w:rsidR="005D5539" w:rsidRPr="001F26C7">
        <w:t xml:space="preserve">, </w:t>
      </w:r>
      <w:r w:rsidR="005D5539" w:rsidRPr="001F26C7">
        <w:rPr>
          <w:i/>
        </w:rPr>
        <w:t>r</w:t>
      </w:r>
      <w:r w:rsidR="005D5539" w:rsidRPr="001F26C7">
        <w:t xml:space="preserve"> =</w:t>
      </w:r>
      <w:r w:rsidR="00001D8A" w:rsidRPr="001F26C7">
        <w:t xml:space="preserve"> </w:t>
      </w:r>
      <w:r w:rsidR="005D5539" w:rsidRPr="001F26C7">
        <w:t>.112</w:t>
      </w:r>
      <w:r w:rsidR="0007106D" w:rsidRPr="001F26C7">
        <w:rPr>
          <w:rStyle w:val="FootnoteReference"/>
        </w:rPr>
        <w:footnoteReference w:id="5"/>
      </w:r>
      <w:r w:rsidR="00120AD7" w:rsidRPr="001F26C7">
        <w:t>. The effect remained significant when</w:t>
      </w:r>
      <w:r w:rsidR="00FC594C" w:rsidRPr="001F26C7">
        <w:t xml:space="preserve"> we added</w:t>
      </w:r>
      <w:r w:rsidR="00120AD7" w:rsidRPr="001F26C7">
        <w:t xml:space="preserve"> ethnicity (Caucasians vs. all others) as a covariate (</w:t>
      </w:r>
      <w:r w:rsidR="00120AD7" w:rsidRPr="001F26C7">
        <w:rPr>
          <w:i/>
        </w:rPr>
        <w:t>B</w:t>
      </w:r>
      <w:r w:rsidR="00120AD7" w:rsidRPr="001F26C7">
        <w:t xml:space="preserve"> = </w:t>
      </w:r>
      <w:r w:rsidR="00552E40" w:rsidRPr="001F26C7">
        <w:rPr>
          <w:rFonts w:hint="eastAsia"/>
        </w:rPr>
        <w:t>0</w:t>
      </w:r>
      <w:r w:rsidR="00120AD7" w:rsidRPr="001F26C7">
        <w:t xml:space="preserve">.35, </w:t>
      </w:r>
      <w:r w:rsidR="00120AD7" w:rsidRPr="001F26C7">
        <w:rPr>
          <w:i/>
        </w:rPr>
        <w:t>SE</w:t>
      </w:r>
      <w:r w:rsidR="00120AD7" w:rsidRPr="001F26C7">
        <w:t xml:space="preserve"> = </w:t>
      </w:r>
      <w:r w:rsidR="00552E40" w:rsidRPr="001F26C7">
        <w:rPr>
          <w:rFonts w:hint="eastAsia"/>
        </w:rPr>
        <w:t>0</w:t>
      </w:r>
      <w:r w:rsidR="00120AD7" w:rsidRPr="001F26C7">
        <w:t xml:space="preserve">.18, </w:t>
      </w:r>
      <w:r w:rsidR="00120AD7" w:rsidRPr="001F26C7">
        <w:rPr>
          <w:i/>
        </w:rPr>
        <w:t>t</w:t>
      </w:r>
      <w:r w:rsidR="00473531" w:rsidRPr="001F26C7">
        <w:t>[</w:t>
      </w:r>
      <w:r w:rsidR="00552E40" w:rsidRPr="001F26C7">
        <w:rPr>
          <w:rFonts w:hint="eastAsia"/>
        </w:rPr>
        <w:t>329.73</w:t>
      </w:r>
      <w:r w:rsidR="00473531" w:rsidRPr="001F26C7">
        <w:t>]</w:t>
      </w:r>
      <w:r w:rsidR="00120AD7" w:rsidRPr="001F26C7">
        <w:t xml:space="preserve"> = 1.97, </w:t>
      </w:r>
      <w:r w:rsidR="00120AD7" w:rsidRPr="001F26C7">
        <w:rPr>
          <w:i/>
        </w:rPr>
        <w:t>p</w:t>
      </w:r>
      <w:r w:rsidR="00120AD7" w:rsidRPr="001F26C7">
        <w:t xml:space="preserve"> = .049</w:t>
      </w:r>
      <w:r w:rsidR="005D5539" w:rsidRPr="001F26C7">
        <w:t xml:space="preserve">, </w:t>
      </w:r>
      <w:r w:rsidR="005D5539" w:rsidRPr="001F26C7">
        <w:rPr>
          <w:i/>
        </w:rPr>
        <w:t xml:space="preserve">r </w:t>
      </w:r>
      <w:r w:rsidR="005D5539" w:rsidRPr="001F26C7">
        <w:t>=</w:t>
      </w:r>
      <w:r w:rsidR="00001D8A" w:rsidRPr="001F26C7">
        <w:t xml:space="preserve"> </w:t>
      </w:r>
      <w:r w:rsidR="005D5539" w:rsidRPr="001F26C7">
        <w:t>.108</w:t>
      </w:r>
      <w:r w:rsidR="00120AD7" w:rsidRPr="001F26C7">
        <w:t>)</w:t>
      </w:r>
      <w:r w:rsidR="00B34FB7">
        <w:rPr>
          <w:rStyle w:val="FootnoteReference"/>
        </w:rPr>
        <w:footnoteReference w:id="6"/>
      </w:r>
      <w:r w:rsidR="00120AD7" w:rsidRPr="001F26C7">
        <w:t>.</w:t>
      </w:r>
      <w:r w:rsidR="000B70E5" w:rsidRPr="001F26C7">
        <w:rPr>
          <w:rFonts w:hint="eastAsia"/>
        </w:rPr>
        <w:t xml:space="preserve"> </w:t>
      </w:r>
      <w:r w:rsidR="00FF4A37" w:rsidRPr="001F26C7">
        <w:t>W</w:t>
      </w:r>
      <w:r w:rsidR="000B70E5" w:rsidRPr="001F26C7">
        <w:rPr>
          <w:rFonts w:hint="eastAsia"/>
        </w:rPr>
        <w:t xml:space="preserve">e also carried out the HLM </w:t>
      </w:r>
      <w:r w:rsidR="000B70E5" w:rsidRPr="001F26C7">
        <w:t>separately</w:t>
      </w:r>
      <w:r w:rsidR="000B70E5" w:rsidRPr="001F26C7">
        <w:rPr>
          <w:rFonts w:hint="eastAsia"/>
        </w:rPr>
        <w:t xml:space="preserve"> </w:t>
      </w:r>
      <w:r w:rsidR="00BB6B2E" w:rsidRPr="001F26C7">
        <w:rPr>
          <w:rFonts w:hint="eastAsia"/>
        </w:rPr>
        <w:t>for the community</w:t>
      </w:r>
      <w:r w:rsidR="002E04D6" w:rsidRPr="001F26C7">
        <w:t xml:space="preserve"> sample</w:t>
      </w:r>
      <w:r w:rsidR="00BB6B2E" w:rsidRPr="001F26C7">
        <w:rPr>
          <w:rFonts w:hint="eastAsia"/>
        </w:rPr>
        <w:t xml:space="preserve"> and student sample, and found that </w:t>
      </w:r>
      <w:r w:rsidR="00634F6A" w:rsidRPr="001F26C7">
        <w:t>the genetic effect did not vary significantly between samples</w:t>
      </w:r>
      <w:r w:rsidR="00BB6B2E" w:rsidRPr="001F26C7">
        <w:rPr>
          <w:rFonts w:hint="eastAsia"/>
        </w:rPr>
        <w:t xml:space="preserve"> (for more details, see online </w:t>
      </w:r>
      <w:r w:rsidR="002E04D6" w:rsidRPr="001F26C7">
        <w:t>S</w:t>
      </w:r>
      <w:r w:rsidR="00BB6B2E" w:rsidRPr="001F26C7">
        <w:rPr>
          <w:rFonts w:hint="eastAsia"/>
        </w:rPr>
        <w:t xml:space="preserve">upplementary </w:t>
      </w:r>
      <w:r w:rsidR="002E04D6" w:rsidRPr="001F26C7">
        <w:t>M</w:t>
      </w:r>
      <w:r w:rsidR="00BB6B2E" w:rsidRPr="001F26C7">
        <w:rPr>
          <w:rFonts w:hint="eastAsia"/>
        </w:rPr>
        <w:t>aterial</w:t>
      </w:r>
      <w:r w:rsidR="002E04D6" w:rsidRPr="001F26C7">
        <w:t>s</w:t>
      </w:r>
      <w:r w:rsidR="00BB6B2E" w:rsidRPr="001F26C7">
        <w:rPr>
          <w:rFonts w:hint="eastAsia"/>
        </w:rPr>
        <w:t>).</w:t>
      </w:r>
    </w:p>
    <w:p w14:paraId="50EB1EDF" w14:textId="77777777" w:rsidR="00606ED4" w:rsidRPr="001F26C7" w:rsidRDefault="00120AD7">
      <w:pPr>
        <w:spacing w:line="480" w:lineRule="exact"/>
        <w:outlineLvl w:val="0"/>
        <w:rPr>
          <w:b/>
        </w:rPr>
      </w:pPr>
      <w:r w:rsidRPr="001F26C7">
        <w:rPr>
          <w:b/>
        </w:rPr>
        <w:t>Mediation by Neuroticism</w:t>
      </w:r>
    </w:p>
    <w:p w14:paraId="1C1AF0A7" w14:textId="0DCA1E03" w:rsidR="008649CE" w:rsidRPr="001F26C7" w:rsidRDefault="00120AD7" w:rsidP="008649CE">
      <w:pPr>
        <w:spacing w:line="480" w:lineRule="exact"/>
        <w:ind w:firstLine="480"/>
        <w:rPr>
          <w:bCs/>
        </w:rPr>
      </w:pPr>
      <w:r w:rsidRPr="001F26C7">
        <w:t xml:space="preserve">Prior research has shown that the short allele of the 5-HTTLPR is associated with neuroticism, and neuroticism is </w:t>
      </w:r>
      <w:r w:rsidR="003B4CDF" w:rsidRPr="001F26C7">
        <w:t>prognostic of</w:t>
      </w:r>
      <w:r w:rsidRPr="001F26C7">
        <w:t xml:space="preserve"> nostalgia. Building on th</w:t>
      </w:r>
      <w:r w:rsidR="00816C00" w:rsidRPr="001F26C7">
        <w:t>ese findings</w:t>
      </w:r>
      <w:r w:rsidRPr="001F26C7">
        <w:t xml:space="preserve">, </w:t>
      </w:r>
      <w:r w:rsidR="00124CFC" w:rsidRPr="001F26C7">
        <w:t>we used the student sample to examine</w:t>
      </w:r>
      <w:r w:rsidRPr="001F26C7">
        <w:t xml:space="preserve"> </w:t>
      </w:r>
      <w:r w:rsidR="00816C00" w:rsidRPr="001F26C7">
        <w:t xml:space="preserve">(1) </w:t>
      </w:r>
      <w:r w:rsidRPr="001F26C7">
        <w:t xml:space="preserve">the link between 5-HTTLPR and neuroticism and </w:t>
      </w:r>
      <w:r w:rsidR="00816C00" w:rsidRPr="001F26C7">
        <w:t xml:space="preserve">(2) </w:t>
      </w:r>
      <w:r w:rsidRPr="001F26C7">
        <w:t>the</w:t>
      </w:r>
      <w:r w:rsidR="008B3C2D" w:rsidRPr="001F26C7">
        <w:t xml:space="preserve"> subsequent</w:t>
      </w:r>
      <w:r w:rsidRPr="001F26C7">
        <w:t xml:space="preserve"> </w:t>
      </w:r>
      <w:r w:rsidR="00816C00" w:rsidRPr="001F26C7">
        <w:t>link</w:t>
      </w:r>
      <w:r w:rsidRPr="001F26C7">
        <w:t xml:space="preserve"> between neuroticism and nostalgia</w:t>
      </w:r>
      <w:r w:rsidR="00124CFC" w:rsidRPr="001F26C7">
        <w:t>, controlling for 5-HTTLPR</w:t>
      </w:r>
      <w:r w:rsidR="00533340" w:rsidRPr="001F26C7">
        <w:rPr>
          <w:rFonts w:hint="eastAsia"/>
        </w:rPr>
        <w:t xml:space="preserve"> (Figure 1</w:t>
      </w:r>
      <w:r w:rsidR="00A5363F" w:rsidRPr="001F26C7">
        <w:rPr>
          <w:rFonts w:hint="eastAsia"/>
        </w:rPr>
        <w:t xml:space="preserve">; Table </w:t>
      </w:r>
      <w:r w:rsidR="00D739B7">
        <w:rPr>
          <w:rFonts w:hint="eastAsia"/>
        </w:rPr>
        <w:t>3</w:t>
      </w:r>
      <w:r w:rsidR="00533340" w:rsidRPr="001F26C7">
        <w:rPr>
          <w:rFonts w:hint="eastAsia"/>
        </w:rPr>
        <w:t>)</w:t>
      </w:r>
      <w:r w:rsidRPr="001F26C7">
        <w:t xml:space="preserve">. </w:t>
      </w:r>
      <w:r w:rsidR="00124CFC" w:rsidRPr="001F26C7">
        <w:t xml:space="preserve">We conducted </w:t>
      </w:r>
      <w:r w:rsidR="00D866C4" w:rsidRPr="001F26C7">
        <w:t>these</w:t>
      </w:r>
      <w:r w:rsidR="00124CFC" w:rsidRPr="001F26C7">
        <w:t xml:space="preserve"> mediational analyses using HLM, given the participants were nested in couples. </w:t>
      </w:r>
      <w:r w:rsidR="00D866C4" w:rsidRPr="001F26C7">
        <w:t>T</w:t>
      </w:r>
      <w:r w:rsidR="00124CFC" w:rsidRPr="001F26C7">
        <w:t xml:space="preserve">he effect of 5-HTTLPR on neuroticism was </w:t>
      </w:r>
      <w:r w:rsidR="002B6121" w:rsidRPr="001F26C7">
        <w:t>marginally</w:t>
      </w:r>
      <w:r w:rsidR="002B6121" w:rsidRPr="001F26C7">
        <w:rPr>
          <w:rFonts w:hint="eastAsia"/>
        </w:rPr>
        <w:t xml:space="preserve"> </w:t>
      </w:r>
      <w:r w:rsidR="00124CFC" w:rsidRPr="001F26C7">
        <w:t>significant (</w:t>
      </w:r>
      <w:r w:rsidR="00124CFC" w:rsidRPr="001F26C7">
        <w:rPr>
          <w:i/>
        </w:rPr>
        <w:t>p</w:t>
      </w:r>
      <w:r w:rsidR="00124CFC" w:rsidRPr="001F26C7">
        <w:t xml:space="preserve"> = .0</w:t>
      </w:r>
      <w:r w:rsidR="002B6121" w:rsidRPr="001F26C7">
        <w:rPr>
          <w:rFonts w:hint="eastAsia"/>
        </w:rPr>
        <w:t>69</w:t>
      </w:r>
      <w:r w:rsidR="00124CFC" w:rsidRPr="001F26C7">
        <w:t xml:space="preserve">, </w:t>
      </w:r>
      <w:r w:rsidR="00124CFC" w:rsidRPr="001F26C7">
        <w:rPr>
          <w:i/>
        </w:rPr>
        <w:t>r</w:t>
      </w:r>
      <w:r w:rsidR="00124CFC" w:rsidRPr="001F26C7">
        <w:t xml:space="preserve"> = .19</w:t>
      </w:r>
      <w:r w:rsidR="002B6121" w:rsidRPr="001F26C7">
        <w:rPr>
          <w:rFonts w:hint="eastAsia"/>
        </w:rPr>
        <w:t>6</w:t>
      </w:r>
      <w:r w:rsidR="00124CFC" w:rsidRPr="001F26C7">
        <w:t>)</w:t>
      </w:r>
      <w:r w:rsidR="00D866C4" w:rsidRPr="001F26C7">
        <w:t>. Participants with the short allele (</w:t>
      </w:r>
      <w:r w:rsidR="00D866C4" w:rsidRPr="001F26C7">
        <w:rPr>
          <w:i/>
        </w:rPr>
        <w:t>N</w:t>
      </w:r>
      <w:r w:rsidR="00D866C4" w:rsidRPr="001F26C7">
        <w:t xml:space="preserve"> = 68, </w:t>
      </w:r>
      <w:r w:rsidR="00D866C4" w:rsidRPr="001F26C7">
        <w:rPr>
          <w:i/>
        </w:rPr>
        <w:t>M</w:t>
      </w:r>
      <w:r w:rsidR="00D866C4" w:rsidRPr="001F26C7">
        <w:t xml:space="preserve"> = 2.83, </w:t>
      </w:r>
      <w:r w:rsidR="00D866C4" w:rsidRPr="001F26C7">
        <w:rPr>
          <w:i/>
        </w:rPr>
        <w:t>SD</w:t>
      </w:r>
      <w:r w:rsidR="00D866C4" w:rsidRPr="001F26C7">
        <w:t xml:space="preserve"> = 0.79) were higher on neuroticism than those without short allele (</w:t>
      </w:r>
      <w:r w:rsidR="00D866C4" w:rsidRPr="001F26C7">
        <w:rPr>
          <w:i/>
        </w:rPr>
        <w:t>N</w:t>
      </w:r>
      <w:r w:rsidR="00D866C4" w:rsidRPr="001F26C7">
        <w:t xml:space="preserve"> = 23, </w:t>
      </w:r>
      <w:r w:rsidR="00D866C4" w:rsidRPr="001F26C7">
        <w:rPr>
          <w:i/>
        </w:rPr>
        <w:t>M</w:t>
      </w:r>
      <w:r w:rsidR="00D866C4" w:rsidRPr="001F26C7">
        <w:t xml:space="preserve"> = 2.49, </w:t>
      </w:r>
      <w:r w:rsidR="00D866C4" w:rsidRPr="001F26C7">
        <w:rPr>
          <w:i/>
        </w:rPr>
        <w:t>SD</w:t>
      </w:r>
      <w:r w:rsidR="00D866C4" w:rsidRPr="001F26C7">
        <w:t xml:space="preserve"> = 0.59). </w:t>
      </w:r>
      <w:r w:rsidR="003F35FF">
        <w:rPr>
          <w:rFonts w:hint="eastAsia"/>
        </w:rPr>
        <w:t>(</w:t>
      </w:r>
      <w:r w:rsidR="00AC241D">
        <w:t xml:space="preserve">We present, in </w:t>
      </w:r>
      <w:r w:rsidR="003F35FF">
        <w:rPr>
          <w:rFonts w:hint="eastAsia"/>
        </w:rPr>
        <w:t>Table 2</w:t>
      </w:r>
      <w:r w:rsidR="00AC241D">
        <w:t>,</w:t>
      </w:r>
      <w:r w:rsidR="003F35FF">
        <w:rPr>
          <w:rFonts w:hint="eastAsia"/>
        </w:rPr>
        <w:t xml:space="preserve"> the mean levels of neuroticism for the three genotypes.) </w:t>
      </w:r>
      <w:r w:rsidR="009A3FF0" w:rsidRPr="001F26C7">
        <w:t>Furthermore,</w:t>
      </w:r>
      <w:r w:rsidR="00124CFC" w:rsidRPr="001F26C7">
        <w:t xml:space="preserve"> neuroticism significantly predicted nostalgia (</w:t>
      </w:r>
      <w:r w:rsidR="00124CFC" w:rsidRPr="001F26C7">
        <w:rPr>
          <w:i/>
        </w:rPr>
        <w:t>p</w:t>
      </w:r>
      <w:r w:rsidR="00124CFC" w:rsidRPr="001F26C7">
        <w:t xml:space="preserve"> &lt; .001, </w:t>
      </w:r>
      <w:r w:rsidR="00124CFC" w:rsidRPr="001F26C7">
        <w:rPr>
          <w:i/>
        </w:rPr>
        <w:t>r</w:t>
      </w:r>
      <w:r w:rsidR="00124CFC" w:rsidRPr="001F26C7">
        <w:t xml:space="preserve"> = .</w:t>
      </w:r>
      <w:r w:rsidR="00C27CF7" w:rsidRPr="001F26C7">
        <w:rPr>
          <w:rFonts w:hint="eastAsia"/>
        </w:rPr>
        <w:t>548</w:t>
      </w:r>
      <w:r w:rsidR="00124CFC" w:rsidRPr="001F26C7">
        <w:t>)</w:t>
      </w:r>
      <w:r w:rsidR="009A3FF0" w:rsidRPr="001F26C7">
        <w:t>, above and beyond 5-HTTLPR</w:t>
      </w:r>
      <w:r w:rsidR="00124CFC" w:rsidRPr="001F26C7">
        <w:t xml:space="preserve">. </w:t>
      </w:r>
      <w:r w:rsidR="002335CE" w:rsidRPr="001F26C7">
        <w:t>The direct effect of 5-HTTLPR on nostalgia (controlling for neuroticism) was not significant (</w:t>
      </w:r>
      <w:r w:rsidR="002335CE" w:rsidRPr="001F26C7">
        <w:rPr>
          <w:i/>
        </w:rPr>
        <w:t xml:space="preserve">p </w:t>
      </w:r>
      <w:r w:rsidR="002335CE" w:rsidRPr="001F26C7">
        <w:t>= .4</w:t>
      </w:r>
      <w:r w:rsidR="00D070AE" w:rsidRPr="001F26C7">
        <w:rPr>
          <w:rFonts w:hint="eastAsia"/>
        </w:rPr>
        <w:t>37</w:t>
      </w:r>
      <w:r w:rsidR="002335CE" w:rsidRPr="001F26C7">
        <w:t xml:space="preserve">, </w:t>
      </w:r>
      <w:r w:rsidR="002335CE" w:rsidRPr="001F26C7">
        <w:rPr>
          <w:i/>
        </w:rPr>
        <w:t>r</w:t>
      </w:r>
      <w:r w:rsidR="002335CE" w:rsidRPr="001F26C7">
        <w:t xml:space="preserve"> = .09</w:t>
      </w:r>
      <w:r w:rsidR="00D070AE" w:rsidRPr="001F26C7">
        <w:rPr>
          <w:rFonts w:hint="eastAsia"/>
        </w:rPr>
        <w:t>7</w:t>
      </w:r>
      <w:r w:rsidR="002335CE" w:rsidRPr="001F26C7">
        <w:t xml:space="preserve">). </w:t>
      </w:r>
      <w:r w:rsidR="00897FEB" w:rsidRPr="001F26C7">
        <w:t xml:space="preserve">As a final step, </w:t>
      </w:r>
      <w:r w:rsidR="00897FEB" w:rsidRPr="001F26C7">
        <w:rPr>
          <w:bCs/>
        </w:rPr>
        <w:t>w</w:t>
      </w:r>
      <w:r w:rsidR="00124CFC" w:rsidRPr="001F26C7">
        <w:rPr>
          <w:bCs/>
        </w:rPr>
        <w:t xml:space="preserve">e </w:t>
      </w:r>
      <w:r w:rsidR="002335CE" w:rsidRPr="001F26C7">
        <w:rPr>
          <w:bCs/>
        </w:rPr>
        <w:t>tested</w:t>
      </w:r>
      <w:r w:rsidR="00124CFC" w:rsidRPr="001F26C7">
        <w:rPr>
          <w:bCs/>
        </w:rPr>
        <w:t xml:space="preserve"> the indirect effect </w:t>
      </w:r>
      <w:r w:rsidR="00897FEB" w:rsidRPr="001F26C7">
        <w:rPr>
          <w:bCs/>
        </w:rPr>
        <w:t xml:space="preserve">of 5-HTTLPR on nostalgia </w:t>
      </w:r>
      <w:r w:rsidR="00124CFC" w:rsidRPr="001F26C7">
        <w:rPr>
          <w:bCs/>
        </w:rPr>
        <w:t>via neuroticism and calculated a 95% confidence interval (CI) by using a Monte Carlo macro (</w:t>
      </w:r>
      <w:r w:rsidR="00124CFC" w:rsidRPr="001F26C7">
        <w:t xml:space="preserve">based on 10,000 Monte Carlo samples; </w:t>
      </w:r>
      <w:r w:rsidR="00124CFC" w:rsidRPr="001F26C7">
        <w:rPr>
          <w:bCs/>
          <w:noProof/>
        </w:rPr>
        <w:t>Hayes, 2013)</w:t>
      </w:r>
      <w:r w:rsidR="00124CFC" w:rsidRPr="001F26C7">
        <w:rPr>
          <w:bCs/>
        </w:rPr>
        <w:t xml:space="preserve"> in SPSS. The analysis revealed a significant indirect effect as 0.24 (95% CI [</w:t>
      </w:r>
      <w:r w:rsidR="00560056" w:rsidRPr="001F26C7">
        <w:rPr>
          <w:rFonts w:hint="eastAsia"/>
          <w:bCs/>
        </w:rPr>
        <w:t>0</w:t>
      </w:r>
      <w:r w:rsidR="002306B2" w:rsidRPr="001F26C7">
        <w:rPr>
          <w:bCs/>
        </w:rPr>
        <w:t>.</w:t>
      </w:r>
      <w:r w:rsidR="00124CFC" w:rsidRPr="001F26C7">
        <w:rPr>
          <w:bCs/>
        </w:rPr>
        <w:t xml:space="preserve">02, </w:t>
      </w:r>
      <w:r w:rsidR="00560056" w:rsidRPr="001F26C7">
        <w:rPr>
          <w:rFonts w:hint="eastAsia"/>
          <w:bCs/>
        </w:rPr>
        <w:t>0</w:t>
      </w:r>
      <w:r w:rsidR="00124CFC" w:rsidRPr="001F26C7">
        <w:rPr>
          <w:bCs/>
        </w:rPr>
        <w:t>.50]).</w:t>
      </w:r>
      <w:r w:rsidRPr="001F26C7">
        <w:rPr>
          <w:rStyle w:val="FootnoteReference"/>
        </w:rPr>
        <w:footnoteReference w:id="7"/>
      </w:r>
      <w:r w:rsidR="006B7F0A" w:rsidRPr="001F26C7">
        <w:rPr>
          <w:bCs/>
        </w:rPr>
        <w:t xml:space="preserve"> We also tested the reverse mediation model (i.e., </w:t>
      </w:r>
      <w:r w:rsidR="006B7F0A" w:rsidRPr="001F26C7">
        <w:t>nostalgia mediating the association between 5-HTTLPR and neuroticism</w:t>
      </w:r>
      <w:r w:rsidR="006B7F0A" w:rsidRPr="001F26C7">
        <w:rPr>
          <w:bCs/>
        </w:rPr>
        <w:t>)</w:t>
      </w:r>
      <w:r w:rsidR="00491A68" w:rsidRPr="001F26C7">
        <w:rPr>
          <w:bCs/>
        </w:rPr>
        <w:t xml:space="preserve"> and found </w:t>
      </w:r>
      <w:r w:rsidR="00245481" w:rsidRPr="001F26C7">
        <w:rPr>
          <w:bCs/>
        </w:rPr>
        <w:t xml:space="preserve">that </w:t>
      </w:r>
      <w:r w:rsidR="00491A68" w:rsidRPr="001F26C7">
        <w:rPr>
          <w:bCs/>
        </w:rPr>
        <w:t xml:space="preserve">the reverse mediation effect was not significant (see online </w:t>
      </w:r>
      <w:r w:rsidR="00DC0BFE" w:rsidRPr="001F26C7">
        <w:rPr>
          <w:bCs/>
        </w:rPr>
        <w:t>S</w:t>
      </w:r>
      <w:r w:rsidR="00491A68" w:rsidRPr="001F26C7">
        <w:rPr>
          <w:bCs/>
        </w:rPr>
        <w:t xml:space="preserve">upplementary </w:t>
      </w:r>
      <w:r w:rsidR="00DC0BFE" w:rsidRPr="001F26C7">
        <w:rPr>
          <w:bCs/>
        </w:rPr>
        <w:t>M</w:t>
      </w:r>
      <w:r w:rsidR="00491A68" w:rsidRPr="001F26C7">
        <w:rPr>
          <w:bCs/>
        </w:rPr>
        <w:t xml:space="preserve">aterials). </w:t>
      </w:r>
      <w:r w:rsidR="00C67922" w:rsidRPr="001F26C7">
        <w:rPr>
          <w:bCs/>
        </w:rPr>
        <w:t>This further supported neuroticism as a mediator between 5-HTTLPR and nostalgia.</w:t>
      </w:r>
      <w:r w:rsidR="00491A68" w:rsidRPr="001F26C7">
        <w:rPr>
          <w:bCs/>
        </w:rPr>
        <w:t xml:space="preserve"> </w:t>
      </w:r>
    </w:p>
    <w:p w14:paraId="698267F4" w14:textId="508EE57F" w:rsidR="00C1178C" w:rsidRPr="001F26C7" w:rsidRDefault="00C1178C" w:rsidP="00196A93">
      <w:pPr>
        <w:spacing w:line="480" w:lineRule="exact"/>
        <w:ind w:firstLine="480"/>
        <w:jc w:val="center"/>
        <w:rPr>
          <w:b/>
        </w:rPr>
      </w:pPr>
      <w:r w:rsidRPr="001F26C7">
        <w:rPr>
          <w:b/>
        </w:rPr>
        <w:t>Discussion</w:t>
      </w:r>
    </w:p>
    <w:p w14:paraId="5E820FB9" w14:textId="77777777" w:rsidR="000053E7" w:rsidRPr="001F26C7" w:rsidRDefault="00120AD7">
      <w:pPr>
        <w:spacing w:line="480" w:lineRule="exact"/>
        <w:ind w:firstLine="480"/>
      </w:pPr>
      <w:r w:rsidRPr="001F26C7">
        <w:t>Although nostalgia proneness is genetically influenced</w:t>
      </w:r>
      <w:r w:rsidR="00D05C21" w:rsidRPr="001F26C7">
        <w:t xml:space="preserve"> (Luo et al., 2016)</w:t>
      </w:r>
      <w:r w:rsidRPr="001F26C7">
        <w:t xml:space="preserve">, the specific genetic variants contributing to this heritability have not been </w:t>
      </w:r>
      <w:r w:rsidR="00D05C21" w:rsidRPr="001F26C7">
        <w:t>addressed</w:t>
      </w:r>
      <w:r w:rsidRPr="001F26C7">
        <w:t>. In this sample, the short allele of the 5-HTTLPR was associated with higher levels of nostalgia proneness. Furthermore, in a subsample, neuroticism mediated the relation between 5-HTTLPR and nostalgia proneness.</w:t>
      </w:r>
    </w:p>
    <w:p w14:paraId="10AF06DF" w14:textId="5A314DE8" w:rsidR="000053E7" w:rsidRPr="001F26C7" w:rsidRDefault="000053E7" w:rsidP="000053E7">
      <w:pPr>
        <w:spacing w:line="480" w:lineRule="exact"/>
        <w:rPr>
          <w:b/>
        </w:rPr>
      </w:pPr>
      <w:r w:rsidRPr="001F26C7">
        <w:rPr>
          <w:b/>
        </w:rPr>
        <w:t>Implications</w:t>
      </w:r>
    </w:p>
    <w:p w14:paraId="4B531DCA" w14:textId="468F205F" w:rsidR="00606ED4" w:rsidRPr="001F26C7" w:rsidRDefault="00120AD7">
      <w:pPr>
        <w:spacing w:line="480" w:lineRule="exact"/>
        <w:ind w:firstLine="480"/>
      </w:pPr>
      <w:r w:rsidRPr="001F26C7">
        <w:t xml:space="preserve"> Earlier research has linked </w:t>
      </w:r>
      <w:r w:rsidR="00690A43" w:rsidRPr="001F26C7">
        <w:t xml:space="preserve">the </w:t>
      </w:r>
      <w:r w:rsidRPr="001F26C7">
        <w:t xml:space="preserve">5-HTTLPR polymorphism with heighted reactivity to negative events and emotions. </w:t>
      </w:r>
      <w:r w:rsidR="001A0754" w:rsidRPr="001F26C7">
        <w:t xml:space="preserve">To cope with such </w:t>
      </w:r>
      <w:r w:rsidR="004B7D60" w:rsidRPr="001F26C7">
        <w:t xml:space="preserve">distress, people may </w:t>
      </w:r>
      <w:r w:rsidR="00B23A1E" w:rsidRPr="001F26C7">
        <w:t>resort</w:t>
      </w:r>
      <w:r w:rsidR="004B7D60" w:rsidRPr="001F26C7">
        <w:t xml:space="preserve"> to emotion regulation. Indeed, </w:t>
      </w:r>
      <w:r w:rsidR="00A52788" w:rsidRPr="001F26C7">
        <w:t xml:space="preserve">when exposed to stressful life events, carriers of the susceptible allele </w:t>
      </w:r>
      <w:r w:rsidR="00410A32" w:rsidRPr="001F26C7">
        <w:t>of the 5-</w:t>
      </w:r>
      <w:r w:rsidR="00A52788" w:rsidRPr="001F26C7">
        <w:t xml:space="preserve">HTTLPR can soften their emotional reactivity </w:t>
      </w:r>
      <w:r w:rsidR="00C577D7" w:rsidRPr="001F26C7">
        <w:t>via</w:t>
      </w:r>
      <w:r w:rsidR="00A52788" w:rsidRPr="001F26C7">
        <w:t xml:space="preserve"> cognitive reappraisal</w:t>
      </w:r>
      <w:r w:rsidR="000E2AA4" w:rsidRPr="001F26C7">
        <w:t>, an emotion regulation</w:t>
      </w:r>
      <w:r w:rsidR="00BB089C" w:rsidRPr="001F26C7">
        <w:t xml:space="preserve"> strategy that involves reframing the meaning of an event (</w:t>
      </w:r>
      <w:r w:rsidR="00A52788" w:rsidRPr="001F26C7">
        <w:t xml:space="preserve">Ford, Mauss, </w:t>
      </w:r>
      <w:r w:rsidR="009C49F2" w:rsidRPr="001F26C7">
        <w:t>Troy, Smolen, &amp; Hankin</w:t>
      </w:r>
      <w:r w:rsidR="00A52788" w:rsidRPr="001F26C7">
        <w:t>, 2014</w:t>
      </w:r>
      <w:r w:rsidR="00C577D7" w:rsidRPr="001F26C7">
        <w:t>; Gross, 1998</w:t>
      </w:r>
      <w:r w:rsidR="00A52788" w:rsidRPr="001F26C7">
        <w:t>).</w:t>
      </w:r>
      <w:r w:rsidR="00631D7C" w:rsidRPr="001F26C7">
        <w:t xml:space="preserve"> </w:t>
      </w:r>
      <w:r w:rsidR="002E3A66" w:rsidRPr="001F26C7">
        <w:t>O</w:t>
      </w:r>
      <w:r w:rsidRPr="001F26C7">
        <w:t xml:space="preserve">ur findings </w:t>
      </w:r>
      <w:r w:rsidR="00C577D7" w:rsidRPr="001F26C7">
        <w:t xml:space="preserve">contribute to this literature </w:t>
      </w:r>
      <w:r w:rsidR="002E3A66" w:rsidRPr="001F26C7">
        <w:t xml:space="preserve">by </w:t>
      </w:r>
      <w:r w:rsidRPr="001F26C7">
        <w:t xml:space="preserve">showing that </w:t>
      </w:r>
      <w:r w:rsidR="00410A32" w:rsidRPr="001F26C7">
        <w:t>individuals</w:t>
      </w:r>
      <w:r w:rsidR="004B7D60" w:rsidRPr="001F26C7">
        <w:t xml:space="preserve"> with the susceptible allele</w:t>
      </w:r>
      <w:r w:rsidR="004B7D60" w:rsidRPr="001F26C7" w:rsidDel="001A0754">
        <w:t xml:space="preserve"> </w:t>
      </w:r>
      <w:r w:rsidR="004B7D60" w:rsidRPr="001F26C7">
        <w:t xml:space="preserve">are more inclined to </w:t>
      </w:r>
      <w:r w:rsidR="00573460" w:rsidRPr="001F26C7">
        <w:t>nostalgia</w:t>
      </w:r>
      <w:r w:rsidR="008E120D" w:rsidRPr="001F26C7">
        <w:rPr>
          <w:rFonts w:hint="eastAsia"/>
        </w:rPr>
        <w:t>,</w:t>
      </w:r>
      <w:r w:rsidR="00410A32" w:rsidRPr="001F26C7">
        <w:t xml:space="preserve"> </w:t>
      </w:r>
      <w:r w:rsidR="00175F12" w:rsidRPr="001F26C7">
        <w:rPr>
          <w:rFonts w:hint="eastAsia"/>
        </w:rPr>
        <w:t xml:space="preserve">which </w:t>
      </w:r>
      <w:r w:rsidR="000C07EB" w:rsidRPr="001F26C7">
        <w:rPr>
          <w:rFonts w:hint="eastAsia"/>
        </w:rPr>
        <w:t xml:space="preserve">fosters psychological resources </w:t>
      </w:r>
      <w:r w:rsidR="005A3CF7" w:rsidRPr="001F26C7">
        <w:t>to</w:t>
      </w:r>
      <w:r w:rsidRPr="001F26C7">
        <w:t xml:space="preserve"> counteract the discomfort engendered by adverse experiences (Sedikides et al., 2015</w:t>
      </w:r>
      <w:r w:rsidR="00DA2D88" w:rsidRPr="001F26C7">
        <w:t xml:space="preserve">; </w:t>
      </w:r>
      <w:r w:rsidR="00DA2D88" w:rsidRPr="001F26C7">
        <w:rPr>
          <w:bCs/>
          <w:lang w:val="de-DE"/>
        </w:rPr>
        <w:t>Wildschut, Sedikides, &amp; Cordaro, 2011</w:t>
      </w:r>
      <w:r w:rsidRPr="001F26C7">
        <w:t>)</w:t>
      </w:r>
      <w:r w:rsidR="00E3695D" w:rsidRPr="001F26C7">
        <w:t>.</w:t>
      </w:r>
      <w:r w:rsidR="00573460" w:rsidRPr="001F26C7">
        <w:t xml:space="preserve"> </w:t>
      </w:r>
      <w:r w:rsidRPr="001F26C7">
        <w:t>For example, the 5-HTTLPR short allele has been associated with greater cortisol response in the Trier Social Stress Test (</w:t>
      </w:r>
      <w:r w:rsidR="008357E8" w:rsidRPr="001F26C7">
        <w:t>Alexander et al., 2014</w:t>
      </w:r>
      <w:r w:rsidRPr="001F26C7">
        <w:t xml:space="preserve">). Conversely, an experimental nostalgia </w:t>
      </w:r>
      <w:r w:rsidR="00457892" w:rsidRPr="001F26C7">
        <w:t xml:space="preserve">induction </w:t>
      </w:r>
      <w:r w:rsidRPr="001F26C7">
        <w:t>blunt</w:t>
      </w:r>
      <w:r w:rsidR="00D05C21" w:rsidRPr="001F26C7">
        <w:t>s</w:t>
      </w:r>
      <w:r w:rsidRPr="001F26C7">
        <w:t xml:space="preserve"> the subjective distress associated with this same stressor (Routledge et al., 2011</w:t>
      </w:r>
      <w:r w:rsidR="0088657C" w:rsidRPr="001F26C7">
        <w:t>; Sedikides &amp; Wildschut, 2017</w:t>
      </w:r>
      <w:r w:rsidRPr="001F26C7">
        <w:t>), and such benefits due to momentary nostalgia are more likely to be reaped by people prone to nostalgi</w:t>
      </w:r>
      <w:r w:rsidR="00D05C21" w:rsidRPr="001F26C7">
        <w:t>a</w:t>
      </w:r>
      <w:r w:rsidRPr="001F26C7">
        <w:t xml:space="preserve"> (</w:t>
      </w:r>
      <w:r w:rsidR="009F3D53" w:rsidRPr="001F26C7">
        <w:rPr>
          <w:lang w:val="de-DE"/>
        </w:rPr>
        <w:t>Van Dijke, Wildschut, Leunissen, &amp; Sedikides, 201</w:t>
      </w:r>
      <w:r w:rsidR="00B635EB" w:rsidRPr="001F26C7">
        <w:rPr>
          <w:lang w:val="de-DE"/>
        </w:rPr>
        <w:t>5</w:t>
      </w:r>
      <w:r w:rsidR="0088657C" w:rsidRPr="001F26C7">
        <w:rPr>
          <w:lang w:val="de-DE"/>
        </w:rPr>
        <w:t>; Zou, Wildschut, Cable, &amp; Sedikides, 2017</w:t>
      </w:r>
      <w:r w:rsidRPr="001F26C7">
        <w:t>).</w:t>
      </w:r>
    </w:p>
    <w:p w14:paraId="4EAAB961" w14:textId="77569C87" w:rsidR="00606ED4" w:rsidRPr="001F26C7" w:rsidRDefault="00120AD7">
      <w:pPr>
        <w:spacing w:line="480" w:lineRule="exact"/>
        <w:ind w:firstLine="480"/>
      </w:pPr>
      <w:r w:rsidRPr="001F26C7">
        <w:t xml:space="preserve">Furthermore, we identified </w:t>
      </w:r>
      <w:r w:rsidR="00457892" w:rsidRPr="001F26C7">
        <w:t xml:space="preserve">neuroticism as </w:t>
      </w:r>
      <w:r w:rsidRPr="001F26C7">
        <w:t xml:space="preserve">a mediator of the association between 5-HTTLPR and nostalgia proneness. Consistent with earlier research, we observed that neuroticism was associated with both 5-HTTLPR </w:t>
      </w:r>
      <w:r w:rsidRPr="001F26C7">
        <w:rPr>
          <w:noProof/>
        </w:rPr>
        <w:t>(Schinka et al., 2004)</w:t>
      </w:r>
      <w:r w:rsidRPr="001F26C7">
        <w:t xml:space="preserve"> and nostalgia (Seehusen et al., 2013). </w:t>
      </w:r>
      <w:r w:rsidR="00C577D7" w:rsidRPr="001F26C7">
        <w:t>Additionally, we</w:t>
      </w:r>
      <w:r w:rsidRPr="001F26C7">
        <w:t xml:space="preserve"> found that neuroticism accounted for part of the link between 5-HTTLPR and nostalgia. This </w:t>
      </w:r>
      <w:r w:rsidR="00457892" w:rsidRPr="001F26C7">
        <w:t xml:space="preserve">indirect </w:t>
      </w:r>
      <w:r w:rsidRPr="001F26C7">
        <w:t xml:space="preserve">effect provided </w:t>
      </w:r>
      <w:r w:rsidR="004A4208" w:rsidRPr="001F26C7">
        <w:t>additional</w:t>
      </w:r>
      <w:r w:rsidRPr="001F26C7">
        <w:t xml:space="preserve"> support to our assertion that individuals with </w:t>
      </w:r>
      <w:r w:rsidR="006670BF" w:rsidRPr="001F26C7">
        <w:t xml:space="preserve">the </w:t>
      </w:r>
      <w:r w:rsidRPr="001F26C7">
        <w:t>short 5-HTTLPR allele may turn to nostalgia for coping with negative emotionality</w:t>
      </w:r>
      <w:r w:rsidR="004A4208" w:rsidRPr="001F26C7">
        <w:t>,</w:t>
      </w:r>
      <w:r w:rsidRPr="001F26C7">
        <w:t xml:space="preserve"> including neuroticism (Seehusen et al., 2013; Sedikides et al., 2015). </w:t>
      </w:r>
    </w:p>
    <w:p w14:paraId="0696A6C4" w14:textId="77777777" w:rsidR="00192F67" w:rsidRPr="001F26C7" w:rsidRDefault="00192F67">
      <w:pPr>
        <w:spacing w:line="480" w:lineRule="exact"/>
        <w:rPr>
          <w:b/>
        </w:rPr>
      </w:pPr>
      <w:r w:rsidRPr="001F26C7">
        <w:rPr>
          <w:b/>
        </w:rPr>
        <w:t>Limitations and Future Research</w:t>
      </w:r>
    </w:p>
    <w:p w14:paraId="04A15DE4" w14:textId="4683CCB3" w:rsidR="00685B2D" w:rsidRPr="001F26C7" w:rsidRDefault="00120AD7" w:rsidP="002F7AAC">
      <w:pPr>
        <w:spacing w:line="480" w:lineRule="exact"/>
        <w:ind w:firstLine="480"/>
        <w:rPr>
          <w:lang w:val="en-GB"/>
        </w:rPr>
      </w:pPr>
      <w:r w:rsidRPr="001F26C7">
        <w:t xml:space="preserve">Our study has </w:t>
      </w:r>
      <w:r w:rsidR="00EA0C6B" w:rsidRPr="001F26C7">
        <w:t xml:space="preserve">four primary </w:t>
      </w:r>
      <w:r w:rsidRPr="001F26C7">
        <w:t xml:space="preserve">limitations. First, </w:t>
      </w:r>
      <w:r w:rsidR="00410A32" w:rsidRPr="001F26C7">
        <w:t>it</w:t>
      </w:r>
      <w:r w:rsidR="002B03D6" w:rsidRPr="001F26C7">
        <w:t xml:space="preserve"> </w:t>
      </w:r>
      <w:r w:rsidR="00866D8D" w:rsidRPr="001F26C7">
        <w:t>was likely underpowered</w:t>
      </w:r>
      <w:r w:rsidR="00410A32" w:rsidRPr="001F26C7">
        <w:t>,</w:t>
      </w:r>
      <w:r w:rsidR="00866D8D" w:rsidRPr="001F26C7">
        <w:t xml:space="preserve"> given the small magnitude of the effect of 5-HTTLPR on nostalgia proneness.</w:t>
      </w:r>
      <w:r w:rsidR="00EF6372" w:rsidRPr="001F26C7">
        <w:t xml:space="preserve"> Nonetheless,</w:t>
      </w:r>
      <w:r w:rsidR="00866D8D" w:rsidRPr="001F26C7">
        <w:t xml:space="preserve"> the </w:t>
      </w:r>
      <w:r w:rsidR="00EF6372" w:rsidRPr="001F26C7">
        <w:t xml:space="preserve">modest </w:t>
      </w:r>
      <w:r w:rsidR="00866D8D" w:rsidRPr="001F26C7">
        <w:t xml:space="preserve">effect sizes </w:t>
      </w:r>
      <w:r w:rsidR="002C7077" w:rsidRPr="001F26C7">
        <w:t xml:space="preserve">were comparable to </w:t>
      </w:r>
      <w:r w:rsidR="007C71E0" w:rsidRPr="001F26C7">
        <w:t>meta-analy</w:t>
      </w:r>
      <w:r w:rsidR="00457892" w:rsidRPr="001F26C7">
        <w:t>tic</w:t>
      </w:r>
      <w:r w:rsidR="007C71E0" w:rsidRPr="001F26C7">
        <w:t xml:space="preserve"> findings (e.g., </w:t>
      </w:r>
      <w:r w:rsidR="007C71E0" w:rsidRPr="001F26C7">
        <w:rPr>
          <w:i/>
        </w:rPr>
        <w:t>d</w:t>
      </w:r>
      <w:r w:rsidR="007C71E0" w:rsidRPr="001F26C7">
        <w:t xml:space="preserve"> = 0.18 for 5-HTTLPR and neuroticism</w:t>
      </w:r>
      <w:r w:rsidR="0008259D" w:rsidRPr="001F26C7">
        <w:rPr>
          <w:rStyle w:val="FootnoteReference"/>
        </w:rPr>
        <w:footnoteReference w:id="8"/>
      </w:r>
      <w:r w:rsidR="00410A32" w:rsidRPr="001F26C7">
        <w:t>;</w:t>
      </w:r>
      <w:r w:rsidR="007C71E0" w:rsidRPr="001F26C7">
        <w:t xml:space="preserve"> Munafo et al., 2009)</w:t>
      </w:r>
      <w:r w:rsidR="002D7EA4" w:rsidRPr="001F26C7">
        <w:t>,</w:t>
      </w:r>
      <w:r w:rsidR="007C71E0" w:rsidRPr="001F26C7">
        <w:t xml:space="preserve"> </w:t>
      </w:r>
      <w:r w:rsidR="002C7077" w:rsidRPr="001F26C7">
        <w:t>and might be</w:t>
      </w:r>
      <w:r w:rsidR="00866D8D" w:rsidRPr="001F26C7">
        <w:t xml:space="preserve"> realistic estimates consider</w:t>
      </w:r>
      <w:r w:rsidR="002D7EA4" w:rsidRPr="001F26C7">
        <w:t>ing</w:t>
      </w:r>
      <w:r w:rsidR="00866D8D" w:rsidRPr="001F26C7">
        <w:t xml:space="preserve"> many other variables contributing to neuroticism and nostalgia</w:t>
      </w:r>
      <w:r w:rsidR="002D7EA4" w:rsidRPr="001F26C7">
        <w:t>.</w:t>
      </w:r>
      <w:r w:rsidR="00866D8D" w:rsidRPr="001F26C7">
        <w:t xml:space="preserve"> </w:t>
      </w:r>
      <w:r w:rsidR="00013A31" w:rsidRPr="001F26C7">
        <w:t xml:space="preserve">The power issue was more </w:t>
      </w:r>
      <w:r w:rsidR="00D56016" w:rsidRPr="001F26C7">
        <w:t>pertinent to</w:t>
      </w:r>
      <w:r w:rsidR="003F26F6" w:rsidRPr="001F26C7">
        <w:t xml:space="preserve"> </w:t>
      </w:r>
      <w:r w:rsidR="00013A31" w:rsidRPr="001F26C7">
        <w:t xml:space="preserve">the </w:t>
      </w:r>
      <w:r w:rsidR="003F26F6" w:rsidRPr="001F26C7">
        <w:t>mediation analyses</w:t>
      </w:r>
      <w:r w:rsidR="00D56016" w:rsidRPr="001F26C7">
        <w:t>,</w:t>
      </w:r>
      <w:r w:rsidR="003F26F6" w:rsidRPr="001F26C7">
        <w:t xml:space="preserve"> </w:t>
      </w:r>
      <w:r w:rsidR="00013A31" w:rsidRPr="001F26C7">
        <w:t>where the sample size was substantially reduced. S</w:t>
      </w:r>
      <w:r w:rsidRPr="001F26C7">
        <w:t xml:space="preserve">maller sample sizes can hinder detection of the </w:t>
      </w:r>
      <w:r w:rsidR="001F4F86" w:rsidRPr="001F26C7">
        <w:t xml:space="preserve">direct </w:t>
      </w:r>
      <w:r w:rsidRPr="001F26C7">
        <w:t>effect as significant</w:t>
      </w:r>
      <w:r w:rsidR="00D56016" w:rsidRPr="001F26C7">
        <w:t xml:space="preserve">, rendering the distinction between complete and partial mediation </w:t>
      </w:r>
      <w:r w:rsidR="008C2EEA" w:rsidRPr="001F26C7">
        <w:t xml:space="preserve">highly </w:t>
      </w:r>
      <w:r w:rsidR="00D56016" w:rsidRPr="001F26C7">
        <w:t>ambiguous</w:t>
      </w:r>
      <w:r w:rsidRPr="001F26C7">
        <w:t xml:space="preserve"> (Rucker, Preacher, Tormala, &amp; Petty, 2011). </w:t>
      </w:r>
      <w:r w:rsidR="002F7AAC" w:rsidRPr="001F26C7">
        <w:rPr>
          <w:lang w:val="en-GB"/>
        </w:rPr>
        <w:t xml:space="preserve">Because it is inadvisable to make claims of complete (vs. partial) mediation based on the non-significance of the direct effect, we did not adopt this distinction. </w:t>
      </w:r>
      <w:r w:rsidRPr="001F26C7">
        <w:t xml:space="preserve">Replications with larger samples are needed based on power calculations in the 5-HTTLPR literature (Dick et al., 2015). Therefore, </w:t>
      </w:r>
      <w:r w:rsidR="004A4208" w:rsidRPr="001F26C7">
        <w:t>our</w:t>
      </w:r>
      <w:r w:rsidRPr="001F26C7">
        <w:t xml:space="preserve"> findings should be considered preliminary</w:t>
      </w:r>
      <w:r w:rsidR="004A4208" w:rsidRPr="001F26C7">
        <w:t xml:space="preserve">. </w:t>
      </w:r>
      <w:r w:rsidRPr="001F26C7">
        <w:t>Second, as</w:t>
      </w:r>
      <w:r w:rsidR="00CD01D7" w:rsidRPr="001F26C7">
        <w:t xml:space="preserve"> </w:t>
      </w:r>
      <w:r w:rsidR="0030353F">
        <w:rPr>
          <w:rFonts w:hint="eastAsia"/>
        </w:rPr>
        <w:t xml:space="preserve">there is evidence </w:t>
      </w:r>
      <w:r w:rsidR="0030353F">
        <w:t>showing</w:t>
      </w:r>
      <w:r w:rsidR="0030353F">
        <w:rPr>
          <w:rFonts w:hint="eastAsia"/>
        </w:rPr>
        <w:t xml:space="preserve"> that </w:t>
      </w:r>
      <w:r w:rsidR="00CD01D7" w:rsidRPr="001F26C7">
        <w:t>the</w:t>
      </w:r>
      <w:r w:rsidRPr="001F26C7">
        <w:t xml:space="preserve"> short allele in 5-HTTLPR </w:t>
      </w:r>
      <w:r w:rsidR="00466042">
        <w:rPr>
          <w:rFonts w:hint="eastAsia"/>
        </w:rPr>
        <w:t xml:space="preserve">may </w:t>
      </w:r>
      <w:r w:rsidRPr="001F26C7">
        <w:t>entail susceptibility to</w:t>
      </w:r>
      <w:r w:rsidR="00466042">
        <w:rPr>
          <w:rFonts w:hint="eastAsia"/>
        </w:rPr>
        <w:t xml:space="preserve"> </w:t>
      </w:r>
      <w:r w:rsidR="00E531F9">
        <w:rPr>
          <w:rFonts w:hint="eastAsia"/>
        </w:rPr>
        <w:t xml:space="preserve">not only </w:t>
      </w:r>
      <w:r w:rsidR="00466042">
        <w:rPr>
          <w:rFonts w:hint="eastAsia"/>
        </w:rPr>
        <w:t xml:space="preserve">negative </w:t>
      </w:r>
      <w:r w:rsidR="00E531F9">
        <w:rPr>
          <w:rFonts w:hint="eastAsia"/>
        </w:rPr>
        <w:t xml:space="preserve">but also positive </w:t>
      </w:r>
      <w:r w:rsidRPr="001F26C7">
        <w:t>environments (</w:t>
      </w:r>
      <w:r w:rsidR="008E5C5D">
        <w:rPr>
          <w:rFonts w:hint="eastAsia"/>
        </w:rPr>
        <w:t>Haase et al., 2015; Schoebi, Way, Katney, &amp; Bradbury, 2012</w:t>
      </w:r>
      <w:r w:rsidRPr="001F26C7">
        <w:t xml:space="preserve">), people with such </w:t>
      </w:r>
      <w:r w:rsidR="00694622" w:rsidRPr="001F26C7">
        <w:t xml:space="preserve">an </w:t>
      </w:r>
      <w:r w:rsidRPr="001F26C7">
        <w:t xml:space="preserve">allele may </w:t>
      </w:r>
      <w:r w:rsidR="00112A3A">
        <w:rPr>
          <w:rFonts w:hint="eastAsia"/>
        </w:rPr>
        <w:t xml:space="preserve">function  differently and </w:t>
      </w:r>
      <w:r w:rsidRPr="001F26C7">
        <w:t xml:space="preserve">cope with emotional distress differentially under </w:t>
      </w:r>
      <w:r w:rsidR="004A4208" w:rsidRPr="001F26C7">
        <w:t>varied</w:t>
      </w:r>
      <w:r w:rsidRPr="001F26C7">
        <w:t xml:space="preserve"> environments </w:t>
      </w:r>
      <w:r w:rsidRPr="001F26C7">
        <w:rPr>
          <w:noProof/>
        </w:rPr>
        <w:t>(Kim et al., 2010</w:t>
      </w:r>
      <w:r w:rsidR="00B13BCD">
        <w:rPr>
          <w:rFonts w:hint="eastAsia"/>
          <w:noProof/>
        </w:rPr>
        <w:t xml:space="preserve">; </w:t>
      </w:r>
      <w:r w:rsidR="00B13BCD" w:rsidRPr="001F26C7">
        <w:t>Way &amp; Taylor, 2010</w:t>
      </w:r>
      <w:r w:rsidRPr="001F26C7">
        <w:rPr>
          <w:noProof/>
        </w:rPr>
        <w:t>)</w:t>
      </w:r>
      <w:r w:rsidRPr="001F26C7">
        <w:t xml:space="preserve">. Thus, the influence </w:t>
      </w:r>
      <w:r w:rsidR="00457892" w:rsidRPr="001F26C7">
        <w:t xml:space="preserve">of </w:t>
      </w:r>
      <w:r w:rsidRPr="001F26C7">
        <w:t xml:space="preserve">5-HTTLPR </w:t>
      </w:r>
      <w:r w:rsidR="00457892" w:rsidRPr="001F26C7">
        <w:t xml:space="preserve">on </w:t>
      </w:r>
      <w:r w:rsidRPr="001F26C7">
        <w:t xml:space="preserve">nostalgia proneness might be moderated by environmental conditions (i.e., a gene-environment interaction). This interaction warrants future </w:t>
      </w:r>
      <w:r w:rsidR="004A4208" w:rsidRPr="001F26C7">
        <w:t>investigation</w:t>
      </w:r>
      <w:r w:rsidRPr="001F26C7">
        <w:t xml:space="preserve">. Third, the current study is based on variation of a single gene. It is unlikely that a single gene determines a complex emotion like nostalgia. Future </w:t>
      </w:r>
      <w:r w:rsidR="004A4208" w:rsidRPr="001F26C7">
        <w:t>empirical efforts</w:t>
      </w:r>
      <w:r w:rsidRPr="001F26C7">
        <w:t xml:space="preserve"> could consider multiple genes and the relations among them in order to locate sets of genes that capture individual differences in nostalgia more fully and reliably.</w:t>
      </w:r>
      <w:r w:rsidR="00AA6210" w:rsidRPr="001F26C7">
        <w:t xml:space="preserve"> </w:t>
      </w:r>
      <w:r w:rsidR="005201D9" w:rsidRPr="001F26C7">
        <w:t xml:space="preserve">Fourth, </w:t>
      </w:r>
      <w:r w:rsidR="00E340AB" w:rsidRPr="001F26C7">
        <w:t>although we demonstrated a link between 5-HTTLPR and nostalgia</w:t>
      </w:r>
      <w:r w:rsidR="00E313BD" w:rsidRPr="001F26C7">
        <w:t>, it is</w:t>
      </w:r>
      <w:r w:rsidR="00A65485" w:rsidRPr="001F26C7">
        <w:t xml:space="preserve"> </w:t>
      </w:r>
      <w:r w:rsidR="00E313BD" w:rsidRPr="001F26C7">
        <w:t>still un</w:t>
      </w:r>
      <w:r w:rsidR="00EB2D5F" w:rsidRPr="001F26C7">
        <w:t>know</w:t>
      </w:r>
      <w:r w:rsidR="00E313BD" w:rsidRPr="001F26C7">
        <w:t xml:space="preserve">n how they are </w:t>
      </w:r>
      <w:r w:rsidR="00786B12" w:rsidRPr="001F26C7">
        <w:t>intertwined</w:t>
      </w:r>
      <w:r w:rsidR="00A65485" w:rsidRPr="001F26C7">
        <w:t xml:space="preserve">. </w:t>
      </w:r>
      <w:r w:rsidR="00BA358B" w:rsidRPr="001F26C7">
        <w:t>Given that</w:t>
      </w:r>
      <w:r w:rsidR="00786B12" w:rsidRPr="001F26C7">
        <w:t xml:space="preserve"> serotonin</w:t>
      </w:r>
      <w:r w:rsidR="00F64F98" w:rsidRPr="001F26C7">
        <w:t xml:space="preserve"> </w:t>
      </w:r>
      <w:r w:rsidR="00C62733" w:rsidRPr="001F26C7">
        <w:t>modulates</w:t>
      </w:r>
      <w:r w:rsidR="00F64F98" w:rsidRPr="001F26C7">
        <w:t xml:space="preserve"> </w:t>
      </w:r>
      <w:r w:rsidR="00404333" w:rsidRPr="001F26C7">
        <w:t xml:space="preserve">the </w:t>
      </w:r>
      <w:r w:rsidR="00F64F98" w:rsidRPr="001F26C7">
        <w:t>neural networks which</w:t>
      </w:r>
      <w:r w:rsidR="00786B12" w:rsidRPr="001F26C7">
        <w:t xml:space="preserve"> </w:t>
      </w:r>
      <w:r w:rsidR="00D966B1" w:rsidRPr="001F26C7">
        <w:t>underlie</w:t>
      </w:r>
      <w:r w:rsidR="00786B12" w:rsidRPr="001F26C7">
        <w:t xml:space="preserve"> nostalgia</w:t>
      </w:r>
      <w:r w:rsidR="0029567D" w:rsidRPr="001F26C7">
        <w:rPr>
          <w:rStyle w:val="FootnoteReference"/>
        </w:rPr>
        <w:footnoteReference w:id="9"/>
      </w:r>
      <w:r w:rsidR="00786B12" w:rsidRPr="001F26C7">
        <w:t xml:space="preserve"> (Barrett &amp; Janata, 2016; Oba et al., 2016)</w:t>
      </w:r>
      <w:r w:rsidR="00F64F98" w:rsidRPr="001F26C7">
        <w:t xml:space="preserve">, </w:t>
      </w:r>
      <w:r w:rsidR="00685B2D" w:rsidRPr="001F26C7">
        <w:t>these</w:t>
      </w:r>
      <w:r w:rsidR="00786B12" w:rsidRPr="001F26C7">
        <w:t xml:space="preserve"> </w:t>
      </w:r>
      <w:r w:rsidR="00685B2D" w:rsidRPr="001F26C7">
        <w:t xml:space="preserve">brain </w:t>
      </w:r>
      <w:r w:rsidR="0062186E" w:rsidRPr="001F26C7">
        <w:t xml:space="preserve">systems </w:t>
      </w:r>
      <w:r w:rsidR="00685B2D" w:rsidRPr="001F26C7">
        <w:t xml:space="preserve">(i.e., memory, reward, and emotion systems) </w:t>
      </w:r>
      <w:r w:rsidR="00296334" w:rsidRPr="001F26C7">
        <w:t>might constitute</w:t>
      </w:r>
      <w:r w:rsidR="0062186E" w:rsidRPr="001F26C7">
        <w:t xml:space="preserve"> </w:t>
      </w:r>
      <w:r w:rsidR="00C41158" w:rsidRPr="001F26C7">
        <w:t>pathways</w:t>
      </w:r>
      <w:r w:rsidR="00296334" w:rsidRPr="001F26C7">
        <w:t xml:space="preserve"> </w:t>
      </w:r>
      <w:r w:rsidR="00B12F6A" w:rsidRPr="001F26C7">
        <w:t>by which variation in serotonin transporter function impact nostalgia</w:t>
      </w:r>
      <w:r w:rsidR="00296334" w:rsidRPr="001F26C7">
        <w:t xml:space="preserve">. </w:t>
      </w:r>
      <w:r w:rsidR="0029567D" w:rsidRPr="001F26C7">
        <w:t>This</w:t>
      </w:r>
      <w:r w:rsidR="00596899" w:rsidRPr="001F26C7">
        <w:t xml:space="preserve"> </w:t>
      </w:r>
      <w:r w:rsidR="00332782" w:rsidRPr="001F26C7">
        <w:t>conjecture</w:t>
      </w:r>
      <w:r w:rsidR="0029567D" w:rsidRPr="001F26C7">
        <w:t xml:space="preserve"> invites genetic </w:t>
      </w:r>
      <w:r w:rsidR="003E6907" w:rsidRPr="001F26C7">
        <w:t xml:space="preserve">and pharmacological </w:t>
      </w:r>
      <w:r w:rsidR="0029567D" w:rsidRPr="001F26C7">
        <w:t>imaging</w:t>
      </w:r>
      <w:r w:rsidR="00196A93" w:rsidRPr="001F26C7">
        <w:t xml:space="preserve"> </w:t>
      </w:r>
      <w:r w:rsidR="00332782" w:rsidRPr="001F26C7">
        <w:t>tests</w:t>
      </w:r>
      <w:r w:rsidR="0029567D" w:rsidRPr="001F26C7">
        <w:t>.</w:t>
      </w:r>
      <w:r w:rsidR="0027675E" w:rsidRPr="001F26C7">
        <w:t xml:space="preserve"> </w:t>
      </w:r>
    </w:p>
    <w:p w14:paraId="792DCB25" w14:textId="77777777" w:rsidR="00ED01BE" w:rsidRPr="001F26C7" w:rsidRDefault="00ED01BE">
      <w:pPr>
        <w:spacing w:line="480" w:lineRule="exact"/>
        <w:rPr>
          <w:b/>
        </w:rPr>
      </w:pPr>
      <w:r w:rsidRPr="001F26C7">
        <w:rPr>
          <w:b/>
        </w:rPr>
        <w:t>Conclusion</w:t>
      </w:r>
    </w:p>
    <w:p w14:paraId="6CD73BBB" w14:textId="50945707" w:rsidR="00606ED4" w:rsidRPr="001F26C7" w:rsidRDefault="00120AD7">
      <w:pPr>
        <w:spacing w:line="480" w:lineRule="exact"/>
        <w:ind w:firstLine="480"/>
      </w:pPr>
      <w:r w:rsidRPr="001F26C7">
        <w:t xml:space="preserve">Nostalgia, a vital </w:t>
      </w:r>
      <w:r w:rsidR="00D275D4" w:rsidRPr="001F26C7">
        <w:t xml:space="preserve">and adaptive </w:t>
      </w:r>
      <w:r w:rsidRPr="001F26C7">
        <w:t>psychological resource, is embraced by people of all ages and</w:t>
      </w:r>
      <w:r w:rsidR="004A4208" w:rsidRPr="001F26C7">
        <w:t xml:space="preserve"> across</w:t>
      </w:r>
      <w:r w:rsidRPr="001F26C7">
        <w:t xml:space="preserve"> cultures. However, research on the biological processes underlying nostalgia is in its infancy. The present findings represent a first step toward understanding the biological basis of </w:t>
      </w:r>
      <w:r w:rsidR="00EA0C6B" w:rsidRPr="001F26C7">
        <w:t>nostalgia</w:t>
      </w:r>
      <w:r w:rsidRPr="001F26C7">
        <w:t>, a step that will hopefully prove generative</w:t>
      </w:r>
      <w:r w:rsidR="00D275D4" w:rsidRPr="001F26C7">
        <w:t>.</w:t>
      </w:r>
    </w:p>
    <w:p w14:paraId="47B8FEAB" w14:textId="77777777" w:rsidR="007E7E0F" w:rsidRPr="001F26C7" w:rsidRDefault="007E7E0F" w:rsidP="00964219">
      <w:pPr>
        <w:spacing w:line="480" w:lineRule="exact"/>
        <w:jc w:val="center"/>
      </w:pPr>
    </w:p>
    <w:p w14:paraId="1F0EB3E6" w14:textId="4086BBCA" w:rsidR="003128DF" w:rsidRDefault="003128DF">
      <w:r>
        <w:br w:type="page"/>
      </w:r>
    </w:p>
    <w:p w14:paraId="0BDEFE1E" w14:textId="77777777" w:rsidR="007E7E0F" w:rsidRPr="001F26C7" w:rsidRDefault="007E7E0F" w:rsidP="00964219">
      <w:pPr>
        <w:spacing w:line="480" w:lineRule="exact"/>
        <w:jc w:val="center"/>
      </w:pPr>
    </w:p>
    <w:p w14:paraId="7C49B727" w14:textId="5061E50D" w:rsidR="00F40DBC" w:rsidRPr="001F26C7" w:rsidRDefault="00F40DBC" w:rsidP="00E20F3F">
      <w:pPr>
        <w:jc w:val="center"/>
      </w:pPr>
      <w:r w:rsidRPr="001F26C7">
        <w:rPr>
          <w:b/>
        </w:rPr>
        <w:t>Ack</w:t>
      </w:r>
      <w:r w:rsidR="00E36BDC" w:rsidRPr="001F26C7">
        <w:rPr>
          <w:b/>
        </w:rPr>
        <w:t>nowledgments</w:t>
      </w:r>
    </w:p>
    <w:p w14:paraId="03CA6742" w14:textId="4AECD47C" w:rsidR="00F40DBC" w:rsidRPr="001F26C7" w:rsidRDefault="00F40DBC" w:rsidP="00964219">
      <w:pPr>
        <w:spacing w:line="480" w:lineRule="exact"/>
        <w:ind w:firstLine="720"/>
      </w:pPr>
      <w:r w:rsidRPr="001F26C7">
        <w:t xml:space="preserve">This research was </w:t>
      </w:r>
      <w:r w:rsidR="00564A27" w:rsidRPr="001F26C7">
        <w:t>supported by</w:t>
      </w:r>
      <w:r w:rsidRPr="001F26C7">
        <w:t xml:space="preserve"> the National Science Foundation </w:t>
      </w:r>
      <w:r w:rsidR="00564A27" w:rsidRPr="001F26C7">
        <w:t>under Grant BCS1104118</w:t>
      </w:r>
      <w:r w:rsidRPr="001F26C7">
        <w:t>. We thank Mike Hanus for collecting the data.</w:t>
      </w:r>
    </w:p>
    <w:p w14:paraId="0150C2EC" w14:textId="31B9E8F4" w:rsidR="00F40DBC" w:rsidRPr="001F26C7" w:rsidRDefault="00F40DBC" w:rsidP="00964219">
      <w:pPr>
        <w:spacing w:line="480" w:lineRule="exact"/>
      </w:pPr>
      <w:r w:rsidRPr="001F26C7">
        <w:br w:type="page"/>
      </w:r>
    </w:p>
    <w:p w14:paraId="442AAC60" w14:textId="77777777" w:rsidR="00606ED4" w:rsidRPr="001F26C7" w:rsidRDefault="00606ED4" w:rsidP="00964219">
      <w:pPr>
        <w:spacing w:line="480" w:lineRule="exact"/>
      </w:pPr>
    </w:p>
    <w:p w14:paraId="5A622057" w14:textId="77777777" w:rsidR="00606ED4" w:rsidRPr="001F26C7" w:rsidRDefault="00120AD7" w:rsidP="00964219">
      <w:pPr>
        <w:spacing w:line="480" w:lineRule="exact"/>
        <w:ind w:hanging="720"/>
        <w:jc w:val="center"/>
        <w:rPr>
          <w:b/>
        </w:rPr>
      </w:pPr>
      <w:r w:rsidRPr="001F26C7">
        <w:rPr>
          <w:b/>
        </w:rPr>
        <w:t>References</w:t>
      </w:r>
    </w:p>
    <w:p w14:paraId="017FA205" w14:textId="77777777" w:rsidR="008C0FA1" w:rsidRPr="001F26C7" w:rsidRDefault="008C0FA1" w:rsidP="00964219">
      <w:pPr>
        <w:adjustRightInd w:val="0"/>
        <w:snapToGrid w:val="0"/>
        <w:spacing w:line="480" w:lineRule="exact"/>
        <w:ind w:hanging="720"/>
        <w:rPr>
          <w:rFonts w:eastAsia="Times New Roman"/>
          <w:lang w:eastAsia="en-GB"/>
        </w:rPr>
      </w:pPr>
      <w:r w:rsidRPr="001F26C7">
        <w:rPr>
          <w:rFonts w:eastAsia="Times New Roman"/>
          <w:lang w:eastAsia="en-GB"/>
        </w:rPr>
        <w:t xml:space="preserve">Ackerman, R. A., Donnellan, M. B., &amp; Kashy, D. A. (2011). Working with dyadic data in studies of emerging adulthood: Specific recommendations, general advice, and practical tips. In F. D. Fincham &amp; M. Cui (Ed), </w:t>
      </w:r>
      <w:r w:rsidRPr="001F26C7">
        <w:rPr>
          <w:rFonts w:eastAsia="Times New Roman"/>
          <w:i/>
          <w:lang w:eastAsia="en-GB"/>
        </w:rPr>
        <w:t>Romantic relationships in emerging adulthood</w:t>
      </w:r>
      <w:r w:rsidRPr="001F26C7">
        <w:rPr>
          <w:rFonts w:eastAsia="Times New Roman"/>
          <w:lang w:eastAsia="en-GB"/>
        </w:rPr>
        <w:t xml:space="preserve"> (pp. 67-97). New York, NY: Cambridge University Press. </w:t>
      </w:r>
    </w:p>
    <w:p w14:paraId="690089F9" w14:textId="4581ECBB" w:rsidR="00DE3773" w:rsidRPr="001F26C7" w:rsidRDefault="00DE3773"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 xml:space="preserve">Akaike, H. (1987). Factor-analysis and AIC. </w:t>
      </w:r>
      <w:r w:rsidRPr="001F26C7">
        <w:rPr>
          <w:rFonts w:eastAsia="Times New Roman"/>
          <w:bCs/>
          <w:i/>
          <w:kern w:val="36"/>
          <w:lang w:eastAsia="en-GB"/>
        </w:rPr>
        <w:t>Psychometrika, 52</w:t>
      </w:r>
      <w:r w:rsidR="00F95CBD" w:rsidRPr="001F26C7">
        <w:rPr>
          <w:rFonts w:eastAsia="Times New Roman"/>
          <w:bCs/>
          <w:kern w:val="36"/>
          <w:lang w:eastAsia="en-GB"/>
        </w:rPr>
        <w:t>, 317-</w:t>
      </w:r>
      <w:r w:rsidRPr="001F26C7">
        <w:rPr>
          <w:rFonts w:eastAsia="Times New Roman"/>
          <w:bCs/>
          <w:kern w:val="36"/>
          <w:lang w:eastAsia="en-GB"/>
        </w:rPr>
        <w:t xml:space="preserve">332. doi:10.1007/BF02294359 </w:t>
      </w:r>
    </w:p>
    <w:p w14:paraId="18774953" w14:textId="77777777" w:rsidR="008C0FA1" w:rsidRPr="001F26C7" w:rsidRDefault="008357E8" w:rsidP="00964219">
      <w:pPr>
        <w:adjustRightInd w:val="0"/>
        <w:snapToGrid w:val="0"/>
        <w:spacing w:line="480" w:lineRule="exact"/>
        <w:ind w:hanging="720"/>
      </w:pPr>
      <w:r w:rsidRPr="001F26C7">
        <w:rPr>
          <w:rFonts w:eastAsia="Times New Roman"/>
          <w:bCs/>
          <w:kern w:val="36"/>
          <w:lang w:eastAsia="en-GB"/>
        </w:rPr>
        <w:t xml:space="preserve">Alexander, N., Wankerl, M., Hennig, J., Miller, R., </w:t>
      </w:r>
      <w:hyperlink r:id="rId9" w:history="1">
        <w:r w:rsidRPr="001F26C7">
          <w:t>Zänkert</w:t>
        </w:r>
      </w:hyperlink>
      <w:r w:rsidRPr="001F26C7">
        <w:rPr>
          <w:rFonts w:eastAsia="Times New Roman"/>
          <w:bCs/>
          <w:kern w:val="36"/>
          <w:lang w:eastAsia="en-GB"/>
        </w:rPr>
        <w:t xml:space="preserve">, S., … &amp; </w:t>
      </w:r>
      <w:hyperlink r:id="rId10" w:history="1">
        <w:r w:rsidRPr="001F26C7">
          <w:t xml:space="preserve">Kirschbaum, C. (2014). DNA methylation profiles within the serotonin transporter gene moderate the association of 5-HTTLPR and cortisol stress reactivity. </w:t>
        </w:r>
      </w:hyperlink>
      <w:hyperlink r:id="rId11" w:tooltip="Translational psychiatry." w:history="1">
        <w:r w:rsidRPr="001F26C7">
          <w:rPr>
            <w:i/>
          </w:rPr>
          <w:t xml:space="preserve">Translational Psychiatry, </w:t>
        </w:r>
      </w:hyperlink>
      <w:r w:rsidRPr="001F26C7">
        <w:rPr>
          <w:i/>
        </w:rPr>
        <w:t>4</w:t>
      </w:r>
      <w:r w:rsidRPr="001F26C7">
        <w:t>:e443. doi:10.1038/tp.2014.88.</w:t>
      </w:r>
    </w:p>
    <w:p w14:paraId="3344AEC6" w14:textId="77777777" w:rsidR="00F36777" w:rsidRPr="001F26C7" w:rsidRDefault="00120AD7"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 xml:space="preserve">Anchordoquy, H. C., McGeary, C., Liu, L., Krauter, K. S., &amp; Smolen, A. (2003). Genotyping of three candidate genes after whole-genome preamplification of DNA collected from bruccal cells. </w:t>
      </w:r>
      <w:r w:rsidRPr="001F26C7">
        <w:rPr>
          <w:rFonts w:eastAsia="Times New Roman"/>
          <w:bCs/>
          <w:i/>
          <w:kern w:val="36"/>
          <w:lang w:eastAsia="en-GB"/>
        </w:rPr>
        <w:t>Behavioral Genetics, 33</w:t>
      </w:r>
      <w:r w:rsidRPr="001F26C7">
        <w:rPr>
          <w:rFonts w:eastAsia="Times New Roman"/>
          <w:bCs/>
          <w:kern w:val="36"/>
          <w:lang w:eastAsia="en-GB"/>
        </w:rPr>
        <w:t>, 73-78. doi:10.1023/A:1021007701808</w:t>
      </w:r>
    </w:p>
    <w:p w14:paraId="10A1F778" w14:textId="77777777" w:rsidR="006A25F2" w:rsidRPr="001F26C7" w:rsidRDefault="00120AD7" w:rsidP="00964219">
      <w:pPr>
        <w:adjustRightInd w:val="0"/>
        <w:snapToGrid w:val="0"/>
        <w:spacing w:line="480" w:lineRule="exact"/>
        <w:ind w:hanging="720"/>
        <w:rPr>
          <w:rStyle w:val="Hyperlink"/>
          <w:bCs/>
          <w:color w:val="auto"/>
          <w:u w:val="none"/>
        </w:rPr>
      </w:pPr>
      <w:r w:rsidRPr="001F26C7">
        <w:rPr>
          <w:rFonts w:eastAsia="MS Mincho"/>
          <w:bCs/>
        </w:rPr>
        <w:t xml:space="preserve">Barrett, F. S., Grimm, K. J., Robins, R. W., Wildschut, T., Sedikides, C., &amp; Janata, P. (2010). Music-evoked nostalgia: Affect, memory, and personality. </w:t>
      </w:r>
      <w:r w:rsidRPr="001F26C7">
        <w:rPr>
          <w:rFonts w:eastAsia="MS Mincho"/>
          <w:bCs/>
          <w:i/>
          <w:iCs/>
        </w:rPr>
        <w:t>Emotion</w:t>
      </w:r>
      <w:r w:rsidRPr="001F26C7">
        <w:rPr>
          <w:bCs/>
          <w:i/>
          <w:iCs/>
        </w:rPr>
        <w:t>, 10</w:t>
      </w:r>
      <w:r w:rsidRPr="001F26C7">
        <w:rPr>
          <w:bCs/>
        </w:rPr>
        <w:t xml:space="preserve">, 390-403. </w:t>
      </w:r>
      <w:hyperlink r:id="rId12" w:history="1">
        <w:r w:rsidRPr="001F26C7">
          <w:rPr>
            <w:rStyle w:val="Hyperlink"/>
            <w:bCs/>
            <w:color w:val="auto"/>
            <w:u w:val="none"/>
          </w:rPr>
          <w:t>doi:10.1037/a0019006</w:t>
        </w:r>
      </w:hyperlink>
    </w:p>
    <w:p w14:paraId="749F7CCD" w14:textId="77777777" w:rsidR="003F7240" w:rsidRPr="001F26C7" w:rsidRDefault="00906AD9" w:rsidP="00E20F3F">
      <w:pPr>
        <w:widowControl w:val="0"/>
        <w:autoSpaceDE w:val="0"/>
        <w:autoSpaceDN w:val="0"/>
        <w:adjustRightInd w:val="0"/>
        <w:spacing w:line="480" w:lineRule="exact"/>
        <w:ind w:hanging="720"/>
      </w:pPr>
      <w:r w:rsidRPr="001F26C7">
        <w:t xml:space="preserve">Barrett, F. S., &amp; Janata, P. (2016). Neural responses to nostalgia-evoking music modeled by elements of dynamic musical structure and individual differences in affective traits. </w:t>
      </w:r>
      <w:r w:rsidRPr="001F26C7">
        <w:rPr>
          <w:i/>
          <w:iCs/>
        </w:rPr>
        <w:t>Neuropsychologia, 91</w:t>
      </w:r>
      <w:r w:rsidRPr="001F26C7">
        <w:t>, 234-246. doi:10.1016/j.neuropsychologia.2016.08.012</w:t>
      </w:r>
    </w:p>
    <w:p w14:paraId="0DCC7E5D" w14:textId="77777777" w:rsidR="006A25F2" w:rsidRPr="001F26C7" w:rsidRDefault="006A25F2" w:rsidP="00964219">
      <w:pPr>
        <w:adjustRightInd w:val="0"/>
        <w:snapToGrid w:val="0"/>
        <w:spacing w:line="480" w:lineRule="exact"/>
        <w:ind w:hanging="720"/>
        <w:rPr>
          <w:rFonts w:eastAsia="Times New Roman"/>
          <w:bCs/>
          <w:kern w:val="36"/>
          <w:lang w:eastAsia="en-GB"/>
        </w:rPr>
      </w:pPr>
      <w:r w:rsidRPr="001F26C7">
        <w:t xml:space="preserve">Bisson, G., Bianconi, G., &amp; Torre, V. (2012). The dynamics of group formation among leeches. </w:t>
      </w:r>
      <w:r w:rsidRPr="001F26C7">
        <w:rPr>
          <w:i/>
          <w:iCs/>
        </w:rPr>
        <w:t>Frontiers in Physiology</w:t>
      </w:r>
      <w:r w:rsidRPr="001F26C7">
        <w:t xml:space="preserve">, </w:t>
      </w:r>
      <w:r w:rsidRPr="001F26C7">
        <w:rPr>
          <w:i/>
          <w:iCs/>
        </w:rPr>
        <w:t>3</w:t>
      </w:r>
      <w:r w:rsidRPr="001F26C7">
        <w:t>, 1-16. doi:10.3389/fphys.2012.00133</w:t>
      </w:r>
    </w:p>
    <w:p w14:paraId="79187326" w14:textId="77777777" w:rsidR="00C54026" w:rsidRPr="001F26C7" w:rsidRDefault="00C54026" w:rsidP="00964219">
      <w:pPr>
        <w:adjustRightInd w:val="0"/>
        <w:snapToGrid w:val="0"/>
        <w:spacing w:line="480" w:lineRule="exact"/>
        <w:ind w:hanging="720"/>
        <w:rPr>
          <w:rFonts w:eastAsia="Times New Roman"/>
          <w:bCs/>
          <w:i/>
          <w:kern w:val="36"/>
          <w:lang w:eastAsia="en-GB"/>
        </w:rPr>
      </w:pPr>
      <w:r w:rsidRPr="001F26C7">
        <w:rPr>
          <w:rStyle w:val="HTMLCite"/>
          <w:i w:val="0"/>
        </w:rPr>
        <w:t xml:space="preserve">Bliese, P. D., &amp; Hanges, P. J. (2004). Being both too liberal and too conservative: The perils of treating grouped data as though they were independent. </w:t>
      </w:r>
      <w:r w:rsidRPr="001F26C7">
        <w:rPr>
          <w:rStyle w:val="HTMLCite"/>
        </w:rPr>
        <w:t>Organizational Research Methods, 7</w:t>
      </w:r>
      <w:r w:rsidRPr="001F26C7">
        <w:rPr>
          <w:rStyle w:val="HTMLCite"/>
          <w:i w:val="0"/>
        </w:rPr>
        <w:t xml:space="preserve">, 400-417. </w:t>
      </w:r>
      <w:r w:rsidR="00E86FDE" w:rsidRPr="001F26C7">
        <w:rPr>
          <w:rStyle w:val="HTMLCite"/>
          <w:i w:val="0"/>
        </w:rPr>
        <w:t>doi:10.1177/1094428104268542</w:t>
      </w:r>
    </w:p>
    <w:p w14:paraId="3A066FF1" w14:textId="77777777" w:rsidR="00D05C21" w:rsidRPr="001F26C7" w:rsidRDefault="00283819" w:rsidP="00964219">
      <w:pPr>
        <w:adjustRightInd w:val="0"/>
        <w:snapToGrid w:val="0"/>
        <w:spacing w:line="480" w:lineRule="exact"/>
        <w:ind w:hanging="720"/>
        <w:rPr>
          <w:rFonts w:eastAsia="Calibri"/>
          <w:lang w:eastAsia="en-US"/>
        </w:rPr>
      </w:pPr>
      <w:r w:rsidRPr="001F26C7">
        <w:rPr>
          <w:rFonts w:eastAsia="Calibri"/>
          <w:lang w:eastAsia="en-US"/>
        </w:rPr>
        <w:t xml:space="preserve">Caspi, A., Sugden, K., Moffitt, T. E., Taylor, A., Craig, I. W., Harrington, H. …, &amp; Poulton, R. (2003). Influence of life stress on depression: moderation by a polymorphism in the 5-HTT gene. </w:t>
      </w:r>
      <w:r w:rsidRPr="001F26C7">
        <w:rPr>
          <w:rFonts w:eastAsia="Calibri"/>
          <w:i/>
          <w:iCs/>
          <w:lang w:eastAsia="en-US"/>
        </w:rPr>
        <w:t>Science</w:t>
      </w:r>
      <w:r w:rsidRPr="001F26C7">
        <w:rPr>
          <w:rFonts w:eastAsia="Calibri"/>
          <w:lang w:eastAsia="en-US"/>
        </w:rPr>
        <w:t xml:space="preserve">, </w:t>
      </w:r>
      <w:r w:rsidRPr="001F26C7">
        <w:rPr>
          <w:rFonts w:eastAsia="Calibri"/>
          <w:i/>
          <w:iCs/>
          <w:lang w:eastAsia="en-US"/>
        </w:rPr>
        <w:t>301</w:t>
      </w:r>
      <w:r w:rsidRPr="001F26C7">
        <w:rPr>
          <w:rFonts w:eastAsia="Calibri"/>
          <w:lang w:eastAsia="en-US"/>
        </w:rPr>
        <w:t>, 386-389. doi:10.1126/science.1083968</w:t>
      </w:r>
    </w:p>
    <w:p w14:paraId="36DB4ED5" w14:textId="210656FF" w:rsidR="00EC6915" w:rsidRPr="001F26C7" w:rsidRDefault="00EC6915"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 xml:space="preserve">Cohen, J. (1988). </w:t>
      </w:r>
      <w:r w:rsidRPr="001F26C7">
        <w:rPr>
          <w:rFonts w:eastAsia="Times New Roman"/>
          <w:bCs/>
          <w:i/>
          <w:kern w:val="36"/>
          <w:lang w:eastAsia="en-GB"/>
        </w:rPr>
        <w:t>Statistical power analysis for the behavioral sciences</w:t>
      </w:r>
      <w:r w:rsidRPr="001F26C7">
        <w:rPr>
          <w:rFonts w:eastAsia="Times New Roman"/>
          <w:bCs/>
          <w:kern w:val="36"/>
          <w:lang w:eastAsia="en-GB"/>
        </w:rPr>
        <w:t>. Hillsdale, NJ: Erlbaum.</w:t>
      </w:r>
    </w:p>
    <w:p w14:paraId="661BAAA1" w14:textId="359D6D1F" w:rsidR="003137E7" w:rsidRPr="001F26C7" w:rsidRDefault="003137E7" w:rsidP="00964219">
      <w:pPr>
        <w:adjustRightInd w:val="0"/>
        <w:snapToGrid w:val="0"/>
        <w:spacing w:line="480" w:lineRule="exact"/>
        <w:ind w:hanging="720"/>
        <w:rPr>
          <w:bCs/>
        </w:rPr>
      </w:pPr>
      <w:r w:rsidRPr="001F26C7">
        <w:t xml:space="preserve">Culverhouse, R. C., Saccone, N. L., Horton, A. C., Ma, Y., Anstey, K. J., Banaschewski, T., . . . Bierut, L. J. (2017). Collaborative meta-analysis finds no evidence of a strong interaction between stress and 5-HTTLPR genotype contributing to the development of depression. </w:t>
      </w:r>
      <w:r w:rsidRPr="001F26C7">
        <w:rPr>
          <w:i/>
          <w:iCs/>
        </w:rPr>
        <w:t>Mol</w:t>
      </w:r>
      <w:r w:rsidR="000053E7" w:rsidRPr="001F26C7">
        <w:rPr>
          <w:i/>
          <w:iCs/>
        </w:rPr>
        <w:t>ecular</w:t>
      </w:r>
      <w:r w:rsidRPr="001F26C7">
        <w:rPr>
          <w:i/>
          <w:iCs/>
        </w:rPr>
        <w:t xml:space="preserve"> Psychiatry</w:t>
      </w:r>
      <w:r w:rsidRPr="001F26C7">
        <w:t xml:space="preserve">. </w:t>
      </w:r>
      <w:r w:rsidR="000053E7" w:rsidRPr="001F26C7">
        <w:t xml:space="preserve">Advance online publication. </w:t>
      </w:r>
      <w:r w:rsidRPr="001F26C7">
        <w:t>doi:10.1038/mp.2017.44</w:t>
      </w:r>
    </w:p>
    <w:p w14:paraId="0C48C310" w14:textId="13A35E75" w:rsidR="00130898" w:rsidRPr="001F26C7" w:rsidRDefault="00195C83" w:rsidP="003D0222">
      <w:pPr>
        <w:shd w:val="clear" w:color="auto" w:fill="FFFFFF"/>
        <w:spacing w:line="480" w:lineRule="exact"/>
        <w:ind w:hanging="720"/>
        <w:outlineLvl w:val="1"/>
        <w:rPr>
          <w:shd w:val="clear" w:color="auto" w:fill="FFFFFF"/>
        </w:rPr>
      </w:pPr>
      <w:r w:rsidRPr="001F26C7">
        <w:rPr>
          <w:shd w:val="clear" w:color="auto" w:fill="FFFFFF"/>
        </w:rPr>
        <w:t>Dick, D. M., Agrawal, A., Keller, M. C., Adkins, A., Aliev, F., Monroe, S., ... &amp; Sher, K. J. (2015). Candidate gene–environment interaction research: Reflections and recommendations.</w:t>
      </w:r>
      <w:r w:rsidRPr="001F26C7">
        <w:rPr>
          <w:rStyle w:val="apple-converted-space"/>
          <w:shd w:val="clear" w:color="auto" w:fill="FFFFFF"/>
        </w:rPr>
        <w:t> </w:t>
      </w:r>
      <w:r w:rsidRPr="001F26C7">
        <w:rPr>
          <w:i/>
          <w:iCs/>
          <w:shd w:val="clear" w:color="auto" w:fill="FFFFFF"/>
        </w:rPr>
        <w:t>Perspectives on Psychological Science</w:t>
      </w:r>
      <w:r w:rsidRPr="001F26C7">
        <w:rPr>
          <w:shd w:val="clear" w:color="auto" w:fill="FFFFFF"/>
        </w:rPr>
        <w:t>,</w:t>
      </w:r>
      <w:r w:rsidRPr="001F26C7">
        <w:rPr>
          <w:rStyle w:val="apple-converted-space"/>
          <w:shd w:val="clear" w:color="auto" w:fill="FFFFFF"/>
        </w:rPr>
        <w:t> </w:t>
      </w:r>
      <w:r w:rsidRPr="001F26C7">
        <w:rPr>
          <w:i/>
          <w:iCs/>
          <w:shd w:val="clear" w:color="auto" w:fill="FFFFFF"/>
        </w:rPr>
        <w:t>10</w:t>
      </w:r>
      <w:r w:rsidRPr="001F26C7">
        <w:rPr>
          <w:shd w:val="clear" w:color="auto" w:fill="FFFFFF"/>
        </w:rPr>
        <w:t>, 37-59. doi:10.1177/1745691614556682</w:t>
      </w:r>
    </w:p>
    <w:p w14:paraId="006EC319" w14:textId="4F7ED2B8" w:rsidR="009D3F68" w:rsidRPr="001F26C7" w:rsidRDefault="009D3F68" w:rsidP="009D3F68">
      <w:pPr>
        <w:shd w:val="clear" w:color="auto" w:fill="FFFFFF"/>
        <w:spacing w:line="480" w:lineRule="exact"/>
        <w:ind w:hanging="720"/>
        <w:outlineLvl w:val="1"/>
      </w:pPr>
      <w:r w:rsidRPr="001F26C7">
        <w:t xml:space="preserve">Drabant, E. M., Ramel, W., Edge, M. D., Hyde, L. W., Kuo, J. R., Goldin, P. R., . . . Gross, J. J. (2012). Neural mechanisms underlying 5-HTTLPR-related sensitivity to acute stress. </w:t>
      </w:r>
      <w:r w:rsidRPr="001F26C7">
        <w:rPr>
          <w:i/>
          <w:iCs/>
        </w:rPr>
        <w:t>Am</w:t>
      </w:r>
      <w:r w:rsidR="000053E7" w:rsidRPr="001F26C7">
        <w:rPr>
          <w:i/>
          <w:iCs/>
        </w:rPr>
        <w:t>erican</w:t>
      </w:r>
      <w:r w:rsidRPr="001F26C7">
        <w:rPr>
          <w:i/>
          <w:iCs/>
        </w:rPr>
        <w:t xml:space="preserve"> J</w:t>
      </w:r>
      <w:r w:rsidR="000053E7" w:rsidRPr="001F26C7">
        <w:rPr>
          <w:i/>
          <w:iCs/>
        </w:rPr>
        <w:t>ournal of</w:t>
      </w:r>
      <w:r w:rsidRPr="001F26C7">
        <w:rPr>
          <w:i/>
          <w:iCs/>
        </w:rPr>
        <w:t xml:space="preserve"> Psychiatry, 169</w:t>
      </w:r>
      <w:r w:rsidRPr="001F26C7">
        <w:t>, 397-405. doi:10.1176/appi.ajp.2011.10111699</w:t>
      </w:r>
    </w:p>
    <w:p w14:paraId="7B9759EF" w14:textId="14682416" w:rsidR="00124BE3" w:rsidRPr="001F26C7" w:rsidRDefault="00124BE3" w:rsidP="00964219">
      <w:pPr>
        <w:shd w:val="clear" w:color="auto" w:fill="FFFFFF"/>
        <w:spacing w:line="480" w:lineRule="exact"/>
        <w:ind w:hanging="720"/>
        <w:outlineLvl w:val="1"/>
        <w:rPr>
          <w:shd w:val="clear" w:color="auto" w:fill="FFFFFF"/>
        </w:rPr>
      </w:pPr>
      <w:r w:rsidRPr="001F26C7">
        <w:rPr>
          <w:shd w:val="clear" w:color="auto" w:fill="FFFFFF"/>
        </w:rPr>
        <w:t xml:space="preserve">Ford, B. Q., </w:t>
      </w:r>
      <w:r w:rsidR="00E76B0E" w:rsidRPr="001F26C7">
        <w:rPr>
          <w:shd w:val="clear" w:color="auto" w:fill="FFFFFF"/>
        </w:rPr>
        <w:t xml:space="preserve">Mauss, I. B., Troy, A. S., Smolen, A., </w:t>
      </w:r>
      <w:r w:rsidR="00E54862" w:rsidRPr="001F26C7">
        <w:rPr>
          <w:shd w:val="clear" w:color="auto" w:fill="FFFFFF"/>
        </w:rPr>
        <w:t xml:space="preserve">&amp; Hankin, B. (2014). Emotion regulation moderates the risk associated with the 5-HTT gene and stress in children. </w:t>
      </w:r>
      <w:r w:rsidR="00E54862" w:rsidRPr="001F26C7">
        <w:rPr>
          <w:i/>
          <w:shd w:val="clear" w:color="auto" w:fill="FFFFFF"/>
        </w:rPr>
        <w:t xml:space="preserve">Emotion, 14, </w:t>
      </w:r>
      <w:r w:rsidR="00E54862" w:rsidRPr="001F26C7">
        <w:rPr>
          <w:shd w:val="clear" w:color="auto" w:fill="FFFFFF"/>
        </w:rPr>
        <w:t xml:space="preserve">930-939. </w:t>
      </w:r>
      <w:r w:rsidR="002546DA" w:rsidRPr="001F26C7">
        <w:rPr>
          <w:shd w:val="clear" w:color="auto" w:fill="FFFFFF"/>
        </w:rPr>
        <w:t>doi</w:t>
      </w:r>
      <w:r w:rsidR="00E54862" w:rsidRPr="001F26C7">
        <w:rPr>
          <w:shd w:val="clear" w:color="auto" w:fill="FFFFFF"/>
        </w:rPr>
        <w:t>:10.1037/a0036835</w:t>
      </w:r>
    </w:p>
    <w:p w14:paraId="48D3AD50" w14:textId="1263D9F7" w:rsidR="00CD5666" w:rsidRPr="001F26C7" w:rsidRDefault="00CD5666" w:rsidP="00964219">
      <w:pPr>
        <w:adjustRightInd w:val="0"/>
        <w:snapToGrid w:val="0"/>
        <w:spacing w:line="480" w:lineRule="exact"/>
        <w:ind w:hanging="720"/>
        <w:rPr>
          <w:rFonts w:eastAsia="Calibri"/>
          <w:lang w:eastAsia="en-US"/>
        </w:rPr>
      </w:pPr>
      <w:r w:rsidRPr="001F26C7">
        <w:t xml:space="preserve">Grace, A. A. (2016). Dysregulation of the dopamine system in the pathophysiology of schizophrenia and depression. </w:t>
      </w:r>
      <w:r w:rsidRPr="001F26C7">
        <w:rPr>
          <w:i/>
          <w:iCs/>
        </w:rPr>
        <w:t>Nature Reviews Neuroscience, 17</w:t>
      </w:r>
      <w:r w:rsidRPr="001F26C7">
        <w:t>, 524-</w:t>
      </w:r>
      <w:r w:rsidR="000053E7" w:rsidRPr="001F26C7">
        <w:t>532</w:t>
      </w:r>
      <w:r w:rsidRPr="001F26C7">
        <w:t>. doi:10.1038/nrn.2016.57</w:t>
      </w:r>
    </w:p>
    <w:p w14:paraId="6A907D55" w14:textId="77777777" w:rsidR="00283819" w:rsidRPr="001F26C7" w:rsidRDefault="00283819" w:rsidP="00964219">
      <w:pPr>
        <w:adjustRightInd w:val="0"/>
        <w:snapToGrid w:val="0"/>
        <w:spacing w:line="480" w:lineRule="exact"/>
        <w:ind w:hanging="720"/>
        <w:rPr>
          <w:rFonts w:eastAsia="Times New Roman"/>
          <w:bCs/>
          <w:kern w:val="36"/>
        </w:rPr>
      </w:pPr>
      <w:r w:rsidRPr="001F26C7">
        <w:rPr>
          <w:rFonts w:eastAsia="Calibri"/>
          <w:lang w:eastAsia="en-US"/>
        </w:rPr>
        <w:t xml:space="preserve">Gelernter, J., Kranzler, H., &amp; Cubells, J. F. (1997). Serotonin transporter protein (SLC6A4) allele and haplotype frequencies and linkage disequilibria in African- and European-American and Japanese populations and in alcohol-dependent subjects. </w:t>
      </w:r>
      <w:r w:rsidRPr="001F26C7">
        <w:rPr>
          <w:rFonts w:eastAsia="Calibri"/>
          <w:i/>
          <w:iCs/>
          <w:lang w:eastAsia="en-US"/>
        </w:rPr>
        <w:t>Human Genetics</w:t>
      </w:r>
      <w:r w:rsidRPr="001F26C7">
        <w:rPr>
          <w:rFonts w:eastAsia="Calibri"/>
          <w:lang w:eastAsia="en-US"/>
        </w:rPr>
        <w:t xml:space="preserve">, </w:t>
      </w:r>
      <w:r w:rsidRPr="001F26C7">
        <w:rPr>
          <w:rFonts w:eastAsia="Calibri"/>
          <w:i/>
          <w:iCs/>
          <w:lang w:eastAsia="en-US"/>
        </w:rPr>
        <w:t>101</w:t>
      </w:r>
      <w:r w:rsidRPr="001F26C7">
        <w:rPr>
          <w:rFonts w:eastAsia="Calibri"/>
          <w:lang w:eastAsia="en-US"/>
        </w:rPr>
        <w:t>, 243-246.</w:t>
      </w:r>
    </w:p>
    <w:p w14:paraId="39F8A954" w14:textId="4595AEB4" w:rsidR="00694E90" w:rsidRDefault="00694E90" w:rsidP="00964219">
      <w:pPr>
        <w:adjustRightInd w:val="0"/>
        <w:snapToGrid w:val="0"/>
        <w:spacing w:line="480" w:lineRule="exact"/>
        <w:ind w:hanging="720"/>
        <w:rPr>
          <w:rFonts w:eastAsia="Times New Roman"/>
          <w:bCs/>
          <w:kern w:val="36"/>
        </w:rPr>
      </w:pPr>
      <w:r w:rsidRPr="001F26C7">
        <w:rPr>
          <w:rFonts w:eastAsia="Times New Roman"/>
          <w:bCs/>
          <w:kern w:val="36"/>
          <w:lang w:eastAsia="en-GB"/>
        </w:rPr>
        <w:t xml:space="preserve">Gross, J. J. (1998). Antecedent- and response-focused emotion regulation: Divergent consequences for experience, expression, and physiology. </w:t>
      </w:r>
      <w:r w:rsidRPr="001F26C7">
        <w:rPr>
          <w:rFonts w:eastAsia="Times New Roman"/>
          <w:bCs/>
          <w:i/>
          <w:kern w:val="36"/>
          <w:lang w:eastAsia="en-GB"/>
        </w:rPr>
        <w:t>Journal of Personality and Social Psychology, 74</w:t>
      </w:r>
      <w:r w:rsidRPr="001F26C7">
        <w:rPr>
          <w:rFonts w:eastAsia="Times New Roman"/>
          <w:bCs/>
          <w:kern w:val="36"/>
          <w:lang w:eastAsia="en-GB"/>
        </w:rPr>
        <w:t>, 224</w:t>
      </w:r>
      <w:r w:rsidR="00001D8A" w:rsidRPr="001F26C7">
        <w:rPr>
          <w:rFonts w:eastAsia="Times New Roman"/>
          <w:bCs/>
          <w:kern w:val="36"/>
          <w:lang w:eastAsia="en-GB"/>
        </w:rPr>
        <w:t>-</w:t>
      </w:r>
      <w:r w:rsidRPr="001F26C7">
        <w:rPr>
          <w:rFonts w:eastAsia="Times New Roman"/>
          <w:bCs/>
          <w:kern w:val="36"/>
          <w:lang w:eastAsia="en-GB"/>
        </w:rPr>
        <w:t>237. doi:10.1037/0022-3514.74.1.224</w:t>
      </w:r>
    </w:p>
    <w:p w14:paraId="102CD660" w14:textId="6A6202DC" w:rsidR="00BF099A" w:rsidRPr="00BF099A" w:rsidRDefault="00BF099A" w:rsidP="00964219">
      <w:pPr>
        <w:adjustRightInd w:val="0"/>
        <w:snapToGrid w:val="0"/>
        <w:spacing w:line="480" w:lineRule="exact"/>
        <w:ind w:hanging="720"/>
        <w:rPr>
          <w:rFonts w:eastAsia="Times New Roman"/>
          <w:bCs/>
          <w:kern w:val="36"/>
        </w:rPr>
      </w:pPr>
      <w:r w:rsidRPr="003128DF">
        <w:t xml:space="preserve">Haase, C. M., Beermann, U., Saslow, L. R., Shiota, M. N., Saturn, S. R., Lwi, S. J., . . . Levenson, R. W. (2015). Short Alleles, Bigger Smiles? The Effect of 5-HTTLPR on Positive Emotional Expressions. </w:t>
      </w:r>
      <w:r w:rsidRPr="003128DF">
        <w:rPr>
          <w:i/>
          <w:iCs/>
        </w:rPr>
        <w:t>Emotion, 15</w:t>
      </w:r>
      <w:r w:rsidRPr="003128DF">
        <w:t>, 438-448. doi:10.1037/emo0000074</w:t>
      </w:r>
    </w:p>
    <w:p w14:paraId="4AA96429" w14:textId="68DDE150" w:rsidR="00606ED4" w:rsidRPr="001F26C7" w:rsidRDefault="00120AD7" w:rsidP="00964219">
      <w:pPr>
        <w:adjustRightInd w:val="0"/>
        <w:snapToGrid w:val="0"/>
        <w:spacing w:line="480" w:lineRule="exact"/>
        <w:ind w:hanging="720"/>
        <w:rPr>
          <w:rStyle w:val="Hyperlink"/>
          <w:rFonts w:eastAsia="Times New Roman"/>
          <w:bCs/>
          <w:color w:val="auto"/>
          <w:kern w:val="36"/>
          <w:u w:val="none"/>
          <w:lang w:eastAsia="en-GB"/>
        </w:rPr>
      </w:pPr>
      <w:r w:rsidRPr="001F26C7">
        <w:rPr>
          <w:rFonts w:eastAsia="Times New Roman"/>
          <w:bCs/>
          <w:kern w:val="36"/>
          <w:lang w:eastAsia="en-GB"/>
        </w:rPr>
        <w:t xml:space="preserve">Hayes, A. F. (2013). </w:t>
      </w:r>
      <w:r w:rsidRPr="001F26C7">
        <w:rPr>
          <w:rFonts w:eastAsia="Times New Roman"/>
          <w:bCs/>
          <w:i/>
          <w:kern w:val="36"/>
          <w:lang w:eastAsia="en-GB"/>
        </w:rPr>
        <w:t>Introduction to mediation, moderation, and conditional process analysis: a regression-based approach</w:t>
      </w:r>
      <w:r w:rsidRPr="001F26C7">
        <w:rPr>
          <w:rFonts w:eastAsia="Times New Roman"/>
          <w:bCs/>
          <w:kern w:val="36"/>
          <w:lang w:eastAsia="en-GB"/>
        </w:rPr>
        <w:t>. New York, NY: Guilford Press.</w:t>
      </w:r>
    </w:p>
    <w:p w14:paraId="5F745834" w14:textId="77777777" w:rsidR="00283819" w:rsidRPr="001F26C7" w:rsidRDefault="00120AD7"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 xml:space="preserve">Heils, A., Teufel, A., Petri, S., Stoeber, G., Riederer, P., Bengel, D., &amp; Lesch, K. P. (1996). Allelic variation of human serotonin transporter gene expression. </w:t>
      </w:r>
      <w:r w:rsidRPr="001F26C7">
        <w:rPr>
          <w:rFonts w:eastAsia="Times New Roman"/>
          <w:bCs/>
          <w:i/>
          <w:kern w:val="36"/>
          <w:lang w:eastAsia="en-GB"/>
        </w:rPr>
        <w:t>Journal of Neurochemistry, 66</w:t>
      </w:r>
      <w:r w:rsidRPr="001F26C7">
        <w:rPr>
          <w:rFonts w:eastAsia="Times New Roman"/>
          <w:bCs/>
          <w:kern w:val="36"/>
          <w:lang w:eastAsia="en-GB"/>
        </w:rPr>
        <w:t>, 2621-2624.</w:t>
      </w:r>
    </w:p>
    <w:p w14:paraId="3A0DE0E0" w14:textId="5612EC85" w:rsidR="00B870A0" w:rsidRPr="001F26C7" w:rsidRDefault="00B870A0"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 xml:space="preserve">Hensler, J. G. (2006). Serotonergic modulation of the limbic system. </w:t>
      </w:r>
      <w:r w:rsidRPr="001F26C7">
        <w:rPr>
          <w:rFonts w:eastAsia="Times New Roman"/>
          <w:bCs/>
          <w:i/>
          <w:kern w:val="36"/>
          <w:lang w:eastAsia="en-GB"/>
        </w:rPr>
        <w:t>Neuroscience and Biobehavioral Reviews, 30</w:t>
      </w:r>
      <w:r w:rsidRPr="001F26C7">
        <w:rPr>
          <w:rFonts w:eastAsia="Times New Roman"/>
          <w:bCs/>
          <w:kern w:val="36"/>
          <w:lang w:eastAsia="en-GB"/>
        </w:rPr>
        <w:t xml:space="preserve">, 203–214. </w:t>
      </w:r>
      <w:r w:rsidR="00C83512" w:rsidRPr="001F26C7">
        <w:rPr>
          <w:rFonts w:eastAsia="Times New Roman"/>
          <w:bCs/>
          <w:kern w:val="36"/>
          <w:lang w:eastAsia="en-GB"/>
        </w:rPr>
        <w:t>doi:</w:t>
      </w:r>
      <w:r w:rsidRPr="001F26C7">
        <w:rPr>
          <w:rFonts w:eastAsia="Times New Roman"/>
          <w:bCs/>
          <w:kern w:val="36"/>
          <w:lang w:eastAsia="en-GB"/>
        </w:rPr>
        <w:t>10.1016/j.neubiorev.2005.06.007</w:t>
      </w:r>
    </w:p>
    <w:p w14:paraId="05CC9814" w14:textId="77777777" w:rsidR="00606ED4" w:rsidRPr="001F26C7" w:rsidRDefault="00120AD7" w:rsidP="00964219">
      <w:pPr>
        <w:adjustRightInd w:val="0"/>
        <w:snapToGrid w:val="0"/>
        <w:spacing w:line="480" w:lineRule="exact"/>
        <w:ind w:hanging="720"/>
        <w:rPr>
          <w:rFonts w:eastAsia="Times New Roman"/>
          <w:bCs/>
          <w:kern w:val="36"/>
          <w:lang w:eastAsia="en-GB"/>
        </w:rPr>
      </w:pPr>
      <w:r w:rsidRPr="001F26C7">
        <w:rPr>
          <w:rFonts w:eastAsia="Times New Roman"/>
          <w:bCs/>
          <w:kern w:val="36"/>
          <w:lang w:eastAsia="en-GB"/>
        </w:rPr>
        <w:t>Hu, X., Oroszi, G., Chun, J., Smith, T. L., Goldman, D., &amp; Schuckit, M. A. (2005). An expanded evaluation of the relationship of four alleles to the level of response to alcohol and the alcoholism risk.</w:t>
      </w:r>
      <w:r w:rsidRPr="001F26C7">
        <w:rPr>
          <w:bCs/>
          <w:kern w:val="36"/>
          <w:lang w:eastAsia="en-GB"/>
        </w:rPr>
        <w:t> </w:t>
      </w:r>
      <w:r w:rsidRPr="001F26C7">
        <w:rPr>
          <w:rFonts w:eastAsia="Times New Roman"/>
          <w:bCs/>
          <w:i/>
          <w:kern w:val="36"/>
          <w:lang w:eastAsia="en-GB"/>
        </w:rPr>
        <w:t>Alcoholism: Clinical and Experimental Research,</w:t>
      </w:r>
      <w:r w:rsidRPr="001F26C7">
        <w:rPr>
          <w:bCs/>
          <w:i/>
          <w:kern w:val="36"/>
          <w:lang w:eastAsia="en-GB"/>
        </w:rPr>
        <w:t> </w:t>
      </w:r>
      <w:r w:rsidRPr="001F26C7">
        <w:rPr>
          <w:rFonts w:eastAsia="Times New Roman"/>
          <w:bCs/>
          <w:i/>
          <w:kern w:val="36"/>
          <w:lang w:eastAsia="en-GB"/>
        </w:rPr>
        <w:t>29</w:t>
      </w:r>
      <w:r w:rsidRPr="001F26C7">
        <w:rPr>
          <w:rFonts w:eastAsia="Times New Roman"/>
          <w:bCs/>
          <w:kern w:val="36"/>
          <w:lang w:eastAsia="en-GB"/>
        </w:rPr>
        <w:t>, 8-16.</w:t>
      </w:r>
    </w:p>
    <w:p w14:paraId="77E0C884" w14:textId="173B8CBB" w:rsidR="00023214" w:rsidRPr="001F26C7" w:rsidRDefault="00023214" w:rsidP="00964219">
      <w:pPr>
        <w:adjustRightInd w:val="0"/>
        <w:snapToGrid w:val="0"/>
        <w:spacing w:line="480" w:lineRule="exact"/>
        <w:ind w:hanging="720"/>
        <w:rPr>
          <w:rFonts w:eastAsia="Times New Roman"/>
          <w:bCs/>
          <w:kern w:val="36"/>
          <w:lang w:val="en-GB" w:eastAsia="en-GB"/>
        </w:rPr>
      </w:pPr>
      <w:r w:rsidRPr="001F26C7">
        <w:rPr>
          <w:rFonts w:eastAsia="Times New Roman"/>
          <w:bCs/>
          <w:kern w:val="36"/>
          <w:lang w:val="en-GB" w:eastAsia="en-GB"/>
        </w:rPr>
        <w:t>John, O. P., Naumann, L. P., &amp; Soto, C. J. (2008). Paradigm shift to the integrative Big-Five trait taxonomy: History, measurement, and conceptual issues. In O. P. John, R. W. Robins, &amp; L. A. Pervin (Eds.), </w:t>
      </w:r>
      <w:r w:rsidRPr="001F26C7">
        <w:rPr>
          <w:rFonts w:eastAsia="Times New Roman"/>
          <w:bCs/>
          <w:i/>
          <w:kern w:val="36"/>
          <w:lang w:val="en-GB" w:eastAsia="en-GB"/>
        </w:rPr>
        <w:t>Handbook of personality: Theory and research </w:t>
      </w:r>
      <w:r w:rsidRPr="001F26C7">
        <w:rPr>
          <w:rFonts w:eastAsia="Times New Roman"/>
          <w:bCs/>
          <w:kern w:val="36"/>
          <w:lang w:val="en-GB" w:eastAsia="en-GB"/>
        </w:rPr>
        <w:t>(</w:t>
      </w:r>
      <w:r w:rsidR="001508D9" w:rsidRPr="001F26C7">
        <w:rPr>
          <w:rFonts w:eastAsia="Times New Roman"/>
          <w:bCs/>
          <w:kern w:val="36"/>
          <w:lang w:val="en-GB" w:eastAsia="en-GB"/>
        </w:rPr>
        <w:t>3</w:t>
      </w:r>
      <w:r w:rsidR="001508D9" w:rsidRPr="001F26C7">
        <w:rPr>
          <w:rFonts w:eastAsia="Times New Roman"/>
          <w:bCs/>
          <w:kern w:val="36"/>
          <w:vertAlign w:val="superscript"/>
          <w:lang w:val="en-GB" w:eastAsia="en-GB"/>
        </w:rPr>
        <w:t>rd</w:t>
      </w:r>
      <w:r w:rsidR="001508D9" w:rsidRPr="001F26C7">
        <w:rPr>
          <w:rFonts w:eastAsia="Times New Roman"/>
          <w:bCs/>
          <w:kern w:val="36"/>
          <w:lang w:val="en-GB" w:eastAsia="en-GB"/>
        </w:rPr>
        <w:t xml:space="preserve"> ed., </w:t>
      </w:r>
      <w:r w:rsidRPr="001F26C7">
        <w:rPr>
          <w:rFonts w:eastAsia="Times New Roman"/>
          <w:bCs/>
          <w:kern w:val="36"/>
          <w:lang w:val="en-GB" w:eastAsia="en-GB"/>
        </w:rPr>
        <w:t>pp. 114-158). New York, NY: Guilford Press.</w:t>
      </w:r>
    </w:p>
    <w:p w14:paraId="14F2E81F" w14:textId="77777777" w:rsidR="00606ED4" w:rsidRPr="001F26C7" w:rsidRDefault="00120AD7" w:rsidP="00964219">
      <w:pPr>
        <w:adjustRightInd w:val="0"/>
        <w:snapToGrid w:val="0"/>
        <w:spacing w:line="480" w:lineRule="exact"/>
        <w:ind w:hanging="720"/>
      </w:pPr>
      <w:r w:rsidRPr="001F26C7">
        <w:t xml:space="preserve">John, O. P., &amp; Srivastava, S. (1999). The Big-Five trait taxonomy: History, measurement, and theoretical perspectives. In L. A. Pervin &amp; O. P. John (Eds.), </w:t>
      </w:r>
      <w:r w:rsidRPr="001F26C7">
        <w:rPr>
          <w:i/>
        </w:rPr>
        <w:t xml:space="preserve">Handbook of personality: Theory and research </w:t>
      </w:r>
      <w:r w:rsidRPr="001F26C7">
        <w:t>(Vol. 2, pp. 102-138). New York, NY: Guilford Press.</w:t>
      </w:r>
    </w:p>
    <w:p w14:paraId="45BFBCB8" w14:textId="77777777" w:rsidR="00EA5877" w:rsidRPr="001F26C7" w:rsidRDefault="00120AD7" w:rsidP="00964219">
      <w:pPr>
        <w:adjustRightInd w:val="0"/>
        <w:snapToGrid w:val="0"/>
        <w:spacing w:line="480" w:lineRule="exact"/>
        <w:ind w:hanging="720"/>
      </w:pPr>
      <w:r w:rsidRPr="001F26C7">
        <w:t xml:space="preserve">Johnson, W., Penke, L., &amp; Spinath, F. M. (2011). Heritability in the era of molecular genetics: Some thoughts for understanding genetic influences on behavioural traits. </w:t>
      </w:r>
      <w:r w:rsidRPr="001F26C7">
        <w:rPr>
          <w:i/>
        </w:rPr>
        <w:t>European Journal of Personality, 25</w:t>
      </w:r>
      <w:r w:rsidRPr="001F26C7">
        <w:t>, 254-266. doi:10.1002/per.836</w:t>
      </w:r>
    </w:p>
    <w:p w14:paraId="471A445E" w14:textId="77777777" w:rsidR="00F507F1" w:rsidRPr="001F26C7" w:rsidRDefault="00EA5877" w:rsidP="00964219">
      <w:pPr>
        <w:adjustRightInd w:val="0"/>
        <w:snapToGrid w:val="0"/>
        <w:spacing w:line="480" w:lineRule="exact"/>
        <w:ind w:hanging="720"/>
        <w:rPr>
          <w:rStyle w:val="doi"/>
          <w:bCs/>
        </w:rPr>
      </w:pPr>
      <w:r w:rsidRPr="001F26C7">
        <w:rPr>
          <w:bCs/>
        </w:rPr>
        <w:t xml:space="preserve">Juhl, J., Routledge, C., Arndt, J., Sedikides, C., &amp; Wildschut, T. (2010). Fighting the future with the past: On the death-anxiety buffering function of nostalgia. </w:t>
      </w:r>
      <w:r w:rsidRPr="001F26C7">
        <w:rPr>
          <w:bCs/>
          <w:i/>
        </w:rPr>
        <w:t>Journal of Research in Personality, 44</w:t>
      </w:r>
      <w:r w:rsidRPr="001F26C7">
        <w:rPr>
          <w:bCs/>
        </w:rPr>
        <w:t xml:space="preserve">, 309-314. </w:t>
      </w:r>
      <w:hyperlink r:id="rId13" w:history="1">
        <w:r w:rsidRPr="001F26C7">
          <w:rPr>
            <w:rStyle w:val="Hyperlink"/>
            <w:bCs/>
            <w:color w:val="auto"/>
            <w:u w:val="none"/>
          </w:rPr>
          <w:t>doi:10.1016/j.jrp.2010.02.006</w:t>
        </w:r>
      </w:hyperlink>
      <w:r w:rsidRPr="001F26C7">
        <w:rPr>
          <w:rStyle w:val="doi"/>
          <w:bCs/>
        </w:rPr>
        <w:t>.</w:t>
      </w:r>
    </w:p>
    <w:p w14:paraId="0610BA4D" w14:textId="319FFEE2" w:rsidR="00F507F1" w:rsidRPr="001F26C7" w:rsidRDefault="00F507F1" w:rsidP="00964219">
      <w:pPr>
        <w:adjustRightInd w:val="0"/>
        <w:snapToGrid w:val="0"/>
        <w:spacing w:line="480" w:lineRule="exact"/>
        <w:ind w:hanging="720"/>
      </w:pPr>
      <w:r w:rsidRPr="001F26C7">
        <w:t xml:space="preserve">Käenmäki, M., Tammimäki, A., Myöhänen, T., Pakarinen, K., Amberg, C., Karayiorgou, M., … Männistö, P. T. (2010). Quantitative role of COMT in dopamine clearance in the prefrontal cortex of freely moving mice. </w:t>
      </w:r>
      <w:r w:rsidRPr="001F26C7">
        <w:rPr>
          <w:i/>
          <w:iCs/>
        </w:rPr>
        <w:t>Journal of Neurochemistry</w:t>
      </w:r>
      <w:r w:rsidRPr="001F26C7">
        <w:t xml:space="preserve">, </w:t>
      </w:r>
      <w:r w:rsidRPr="001F26C7">
        <w:rPr>
          <w:i/>
          <w:iCs/>
        </w:rPr>
        <w:t>114</w:t>
      </w:r>
      <w:r w:rsidRPr="001F26C7">
        <w:t xml:space="preserve">, 1745–1755. </w:t>
      </w:r>
      <w:r w:rsidR="005E696B" w:rsidRPr="001F26C7">
        <w:t>doi:</w:t>
      </w:r>
      <w:r w:rsidRPr="001F26C7">
        <w:t>10.1111/j.1471-4159.2010.06889.x</w:t>
      </w:r>
    </w:p>
    <w:p w14:paraId="1AE4E958" w14:textId="77777777" w:rsidR="00E910AF" w:rsidRPr="001F26C7" w:rsidRDefault="00E910AF" w:rsidP="00E910AF">
      <w:pPr>
        <w:adjustRightInd w:val="0"/>
        <w:snapToGrid w:val="0"/>
        <w:spacing w:line="480" w:lineRule="exact"/>
        <w:ind w:hanging="720"/>
      </w:pPr>
      <w:r w:rsidRPr="001F26C7">
        <w:t xml:space="preserve">Kamilar-Britt, P., &amp; Bedi, G. (2015). The prosocial effects of 3,4-methylenedioxymethamphetamine (MDMA): Controlled studies in humans and laboratory animals. </w:t>
      </w:r>
      <w:r w:rsidRPr="001F26C7">
        <w:rPr>
          <w:i/>
          <w:iCs/>
        </w:rPr>
        <w:t>Neuroscience and Biobehavioral Reviews</w:t>
      </w:r>
      <w:r w:rsidRPr="001F26C7">
        <w:t xml:space="preserve">, </w:t>
      </w:r>
      <w:r w:rsidRPr="001F26C7">
        <w:rPr>
          <w:i/>
          <w:iCs/>
        </w:rPr>
        <w:t>57</w:t>
      </w:r>
      <w:r w:rsidRPr="001F26C7">
        <w:t>, 433-446. doi:10/1016/j.neubiorev.2015.08.016</w:t>
      </w:r>
    </w:p>
    <w:p w14:paraId="6ECD6498" w14:textId="5AD8A84A" w:rsidR="00337EBA" w:rsidRPr="001F26C7" w:rsidRDefault="00B2586E" w:rsidP="00E910AF">
      <w:pPr>
        <w:adjustRightInd w:val="0"/>
        <w:snapToGrid w:val="0"/>
        <w:spacing w:line="480" w:lineRule="exact"/>
        <w:ind w:hanging="720"/>
      </w:pPr>
      <w:r w:rsidRPr="001F26C7">
        <w:rPr>
          <w:rFonts w:eastAsia="Calibri"/>
          <w:lang w:eastAsia="en-US"/>
        </w:rPr>
        <w:t xml:space="preserve">Karg, K., Burmeister, M., Shedden, K., &amp; Sen, S. (2011). The serotonin transporter promoter variant (5-HTTLPR), stress, and depression meta-analysis revisited: evidence of genetic moderation. </w:t>
      </w:r>
      <w:r w:rsidRPr="001F26C7">
        <w:rPr>
          <w:rFonts w:eastAsia="Calibri"/>
          <w:i/>
          <w:iCs/>
          <w:lang w:eastAsia="en-US"/>
        </w:rPr>
        <w:t>Archives of General Psychiatry</w:t>
      </w:r>
      <w:r w:rsidRPr="001F26C7">
        <w:rPr>
          <w:rFonts w:eastAsia="Calibri"/>
          <w:lang w:eastAsia="en-US"/>
        </w:rPr>
        <w:t xml:space="preserve">, </w:t>
      </w:r>
      <w:r w:rsidRPr="001F26C7">
        <w:rPr>
          <w:rFonts w:eastAsia="Calibri"/>
          <w:i/>
          <w:iCs/>
          <w:lang w:eastAsia="en-US"/>
        </w:rPr>
        <w:t>68</w:t>
      </w:r>
      <w:r w:rsidRPr="001F26C7">
        <w:rPr>
          <w:rFonts w:eastAsia="Calibri"/>
          <w:lang w:eastAsia="en-US"/>
        </w:rPr>
        <w:t>, 444-454. doi:10.1001/archgenpsychiatry.2010.189</w:t>
      </w:r>
    </w:p>
    <w:p w14:paraId="58991E58" w14:textId="77777777" w:rsidR="00337EBA" w:rsidRPr="001F26C7" w:rsidRDefault="00337EBA" w:rsidP="00964219">
      <w:pPr>
        <w:adjustRightInd w:val="0"/>
        <w:snapToGrid w:val="0"/>
        <w:spacing w:line="480" w:lineRule="exact"/>
        <w:ind w:hanging="720"/>
      </w:pPr>
      <w:r w:rsidRPr="001F26C7">
        <w:t xml:space="preserve">Kenny, D. A., Kashy, D. A., &amp; Cook, W. L. (2006). </w:t>
      </w:r>
      <w:r w:rsidRPr="001F26C7">
        <w:rPr>
          <w:i/>
        </w:rPr>
        <w:t>Dyadic data analysis</w:t>
      </w:r>
      <w:r w:rsidRPr="001F26C7">
        <w:t>. New York, NY: Guilford Press.</w:t>
      </w:r>
    </w:p>
    <w:p w14:paraId="23E21146" w14:textId="1359AA84" w:rsidR="00195C83" w:rsidRPr="001F26C7" w:rsidRDefault="00A61332" w:rsidP="00964219">
      <w:pPr>
        <w:pStyle w:val="EndNoteBibliography"/>
        <w:adjustRightInd w:val="0"/>
        <w:snapToGrid w:val="0"/>
        <w:spacing w:line="480" w:lineRule="exact"/>
        <w:ind w:hanging="720"/>
        <w:rPr>
          <w:color w:val="auto"/>
        </w:rPr>
      </w:pPr>
      <w:r w:rsidRPr="001F26C7">
        <w:rPr>
          <w:color w:val="auto"/>
        </w:rPr>
        <w:t xml:space="preserve">Kenny, D. A., &amp; Ledermann, T. (2010). Detecting, measuring, and testing dyadic patterns in the actor–partner interdependence model. </w:t>
      </w:r>
      <w:r w:rsidRPr="001F26C7">
        <w:rPr>
          <w:i/>
          <w:color w:val="auto"/>
        </w:rPr>
        <w:t>Journal of Family Psychology, 24</w:t>
      </w:r>
      <w:r w:rsidRPr="001F26C7">
        <w:rPr>
          <w:color w:val="auto"/>
        </w:rPr>
        <w:t>, 359-366. doi:10.1037/a0019651</w:t>
      </w:r>
    </w:p>
    <w:p w14:paraId="61E84DC4" w14:textId="77777777" w:rsidR="00F507F1" w:rsidRPr="001F26C7" w:rsidRDefault="00120AD7" w:rsidP="00964219">
      <w:pPr>
        <w:pStyle w:val="EndNoteBibliography"/>
        <w:adjustRightInd w:val="0"/>
        <w:snapToGrid w:val="0"/>
        <w:spacing w:line="480" w:lineRule="exact"/>
        <w:ind w:hanging="720"/>
        <w:rPr>
          <w:color w:val="auto"/>
        </w:rPr>
      </w:pPr>
      <w:r w:rsidRPr="001F26C7">
        <w:rPr>
          <w:color w:val="auto"/>
        </w:rPr>
        <w:t xml:space="preserve">Kim, H. S., Sherman, D. K., Sasaki, J. Y., Xu, J., Chu, T. Q., Ryu, C., . . . Taylor, S. E. (2010). Culture, distress, and oxytocin receptor polymorphism (OXTR) interact to influence emotional support seeking. </w:t>
      </w:r>
      <w:r w:rsidRPr="001F26C7">
        <w:rPr>
          <w:i/>
          <w:color w:val="auto"/>
        </w:rPr>
        <w:t>Proceedings of the National Academy of Sciences, 107</w:t>
      </w:r>
      <w:r w:rsidRPr="001F26C7">
        <w:rPr>
          <w:color w:val="auto"/>
        </w:rPr>
        <w:t>, 15717-15721. doi:10.1073/pnas.1010830107</w:t>
      </w:r>
    </w:p>
    <w:p w14:paraId="049AE0B9" w14:textId="3D29CD8F" w:rsidR="004B560A" w:rsidRPr="001F26C7" w:rsidRDefault="004B560A" w:rsidP="00964219">
      <w:pPr>
        <w:pStyle w:val="EndNoteBibliography"/>
        <w:adjustRightInd w:val="0"/>
        <w:snapToGrid w:val="0"/>
        <w:spacing w:line="480" w:lineRule="exact"/>
        <w:ind w:hanging="720"/>
        <w:rPr>
          <w:color w:val="auto"/>
        </w:rPr>
      </w:pPr>
      <w:r w:rsidRPr="001F26C7">
        <w:rPr>
          <w:color w:val="auto"/>
        </w:rPr>
        <w:t xml:space="preserve">Knutson, B., Wolkowitz, O. M., Cole, S. W., Chan, T., Moore, E. A., Johnson, R. C., , Reus, V. I. (1998). Selective alteration of personality and social behavior by serotonergic intervention. </w:t>
      </w:r>
      <w:r w:rsidRPr="001F26C7">
        <w:rPr>
          <w:i/>
          <w:iCs/>
          <w:color w:val="auto"/>
        </w:rPr>
        <w:t>The American Journal of Psychiatry</w:t>
      </w:r>
      <w:r w:rsidRPr="001F26C7">
        <w:rPr>
          <w:color w:val="auto"/>
        </w:rPr>
        <w:t xml:space="preserve">, </w:t>
      </w:r>
      <w:r w:rsidRPr="001F26C7">
        <w:rPr>
          <w:i/>
          <w:iCs/>
          <w:color w:val="auto"/>
        </w:rPr>
        <w:t>155</w:t>
      </w:r>
      <w:r w:rsidR="00F95895" w:rsidRPr="001F26C7">
        <w:rPr>
          <w:color w:val="auto"/>
        </w:rPr>
        <w:t>, 373-379.</w:t>
      </w:r>
    </w:p>
    <w:p w14:paraId="5F966BCD" w14:textId="1D72A562" w:rsidR="00F507F1" w:rsidRPr="001F26C7" w:rsidRDefault="00F507F1" w:rsidP="00964219">
      <w:pPr>
        <w:pStyle w:val="EndNoteBibliography"/>
        <w:adjustRightInd w:val="0"/>
        <w:snapToGrid w:val="0"/>
        <w:spacing w:line="480" w:lineRule="exact"/>
        <w:ind w:hanging="720"/>
        <w:rPr>
          <w:color w:val="auto"/>
        </w:rPr>
      </w:pPr>
      <w:r w:rsidRPr="001F26C7">
        <w:rPr>
          <w:color w:val="auto"/>
        </w:rPr>
        <w:t xml:space="preserve">Lahti, R. A., Roberts, R. C., Cochrane, E. V., Primus, R. J., Gallager, D. W., Conley, R. R., &amp; Tamminga, C. A. (1998). Direct determination of dopamine D4 receptors in normal and schizophrenic postmortem brain tissue: a [3H]NGD-94-1 study. </w:t>
      </w:r>
      <w:r w:rsidRPr="001F26C7">
        <w:rPr>
          <w:i/>
          <w:iCs/>
          <w:color w:val="auto"/>
        </w:rPr>
        <w:t>Molecular Psychiatry</w:t>
      </w:r>
      <w:r w:rsidRPr="001F26C7">
        <w:rPr>
          <w:color w:val="auto"/>
        </w:rPr>
        <w:t xml:space="preserve">, </w:t>
      </w:r>
      <w:r w:rsidRPr="001F26C7">
        <w:rPr>
          <w:i/>
          <w:iCs/>
          <w:color w:val="auto"/>
        </w:rPr>
        <w:t>3</w:t>
      </w:r>
      <w:r w:rsidRPr="001F26C7">
        <w:rPr>
          <w:color w:val="auto"/>
        </w:rPr>
        <w:t>, 528–533.</w:t>
      </w:r>
    </w:p>
    <w:p w14:paraId="28418D77" w14:textId="2573548B" w:rsidR="007A60C3" w:rsidRPr="001F26C7" w:rsidRDefault="007A60C3" w:rsidP="00964219">
      <w:pPr>
        <w:pStyle w:val="EndNoteBibliography"/>
        <w:adjustRightInd w:val="0"/>
        <w:snapToGrid w:val="0"/>
        <w:spacing w:line="480" w:lineRule="exact"/>
        <w:ind w:hanging="720"/>
        <w:rPr>
          <w:color w:val="auto"/>
        </w:rPr>
      </w:pPr>
      <w:r w:rsidRPr="001F26C7">
        <w:rPr>
          <w:color w:val="auto"/>
        </w:rPr>
        <w:t xml:space="preserve">Li, Y., Zhong, W., Wang, D., Feng, Q., Liu, Z., Zhou, J., … Luo, M. (2016). Serotonin neurons in the dorsal raphe nucleus encode reward signals. </w:t>
      </w:r>
      <w:r w:rsidRPr="001F26C7">
        <w:rPr>
          <w:i/>
          <w:iCs/>
          <w:color w:val="auto"/>
        </w:rPr>
        <w:t>Nature Communications</w:t>
      </w:r>
      <w:r w:rsidRPr="001F26C7">
        <w:rPr>
          <w:color w:val="auto"/>
        </w:rPr>
        <w:t xml:space="preserve">, </w:t>
      </w:r>
      <w:r w:rsidRPr="001F26C7">
        <w:rPr>
          <w:i/>
          <w:iCs/>
          <w:color w:val="auto"/>
        </w:rPr>
        <w:t>7</w:t>
      </w:r>
      <w:r w:rsidRPr="001F26C7">
        <w:rPr>
          <w:color w:val="auto"/>
        </w:rPr>
        <w:t xml:space="preserve">, 10503. </w:t>
      </w:r>
      <w:r w:rsidR="005C1C50" w:rsidRPr="001F26C7">
        <w:rPr>
          <w:color w:val="auto"/>
        </w:rPr>
        <w:t>doi:</w:t>
      </w:r>
      <w:r w:rsidRPr="001F26C7">
        <w:rPr>
          <w:color w:val="auto"/>
        </w:rPr>
        <w:t>10.1038/ncomms10503</w:t>
      </w:r>
    </w:p>
    <w:p w14:paraId="2314AF4E" w14:textId="70AAFEFA" w:rsidR="00811E15" w:rsidRPr="001F26C7" w:rsidRDefault="00811E15" w:rsidP="00964219">
      <w:pPr>
        <w:adjustRightInd w:val="0"/>
        <w:snapToGrid w:val="0"/>
        <w:spacing w:line="480" w:lineRule="exact"/>
        <w:ind w:hanging="720"/>
      </w:pPr>
      <w:r w:rsidRPr="001F26C7">
        <w:t xml:space="preserve">Luo, Y. L. L., Liu, Y., Cai, H., Wildschut, T., &amp; Sedikides, C. (2016). Nostalgia and self-enhancement: Phenotypic and genetic approaches. </w:t>
      </w:r>
      <w:r w:rsidRPr="001F26C7">
        <w:rPr>
          <w:i/>
        </w:rPr>
        <w:t>Social Psychological and Personality Science, 7</w:t>
      </w:r>
      <w:r w:rsidRPr="001F26C7">
        <w:t>, 857-866. doi:10.1177/1948550616660158</w:t>
      </w:r>
    </w:p>
    <w:p w14:paraId="09897F7C" w14:textId="1A559C55" w:rsidR="002E2191" w:rsidRPr="001F26C7" w:rsidRDefault="00120AD7" w:rsidP="00964219">
      <w:pPr>
        <w:adjustRightInd w:val="0"/>
        <w:snapToGrid w:val="0"/>
        <w:spacing w:line="480" w:lineRule="exact"/>
        <w:ind w:hanging="720"/>
      </w:pPr>
      <w:r w:rsidRPr="001F26C7">
        <w:t xml:space="preserve">Munafo, M. R., </w:t>
      </w:r>
      <w:r w:rsidR="00C47FA3" w:rsidRPr="001F26C7">
        <w:t>Freimer, N</w:t>
      </w:r>
      <w:r w:rsidRPr="001F26C7">
        <w:t>.</w:t>
      </w:r>
      <w:r w:rsidR="00C47FA3" w:rsidRPr="001F26C7">
        <w:t xml:space="preserve"> B., Ng, W., Ophoff, R., Veijola, J., Miettunen, J., …</w:t>
      </w:r>
      <w:r w:rsidRPr="001F26C7">
        <w:t xml:space="preserve"> </w:t>
      </w:r>
      <w:r w:rsidR="00C47FA3" w:rsidRPr="001F26C7">
        <w:t xml:space="preserve">Flint, J. </w:t>
      </w:r>
      <w:r w:rsidRPr="001F26C7">
        <w:t>(200</w:t>
      </w:r>
      <w:r w:rsidR="00C47FA3" w:rsidRPr="001F26C7">
        <w:t>9</w:t>
      </w:r>
      <w:r w:rsidRPr="001F26C7">
        <w:t xml:space="preserve">). </w:t>
      </w:r>
      <w:r w:rsidR="002E2191" w:rsidRPr="001F26C7">
        <w:t xml:space="preserve">5-HTTLPR genotype and anxiety-related personality traits: A meta-analysis and new data. </w:t>
      </w:r>
      <w:r w:rsidR="002E2191" w:rsidRPr="001F26C7">
        <w:rPr>
          <w:i/>
        </w:rPr>
        <w:t>American Journal of Medical Genetics Part B, 150</w:t>
      </w:r>
      <w:r w:rsidR="002E2191" w:rsidRPr="001F26C7">
        <w:t xml:space="preserve">, 271-281. doi:10.1002/ajmg.b.30808 </w:t>
      </w:r>
    </w:p>
    <w:p w14:paraId="55E2547F" w14:textId="79CD3534" w:rsidR="00292A6A" w:rsidRPr="001F26C7" w:rsidRDefault="00292A6A" w:rsidP="00964219">
      <w:pPr>
        <w:adjustRightInd w:val="0"/>
        <w:snapToGrid w:val="0"/>
        <w:spacing w:line="480" w:lineRule="exact"/>
        <w:ind w:hanging="720"/>
      </w:pPr>
      <w:r w:rsidRPr="001F26C7">
        <w:t xml:space="preserve">Nobili, A., Latagliata, E. C., Viscomi, M. T., Cavallucci, V., Cutuli, D., Giacovazzo, G., . . . D'Amelio, M. (2017). Dopamine neuronal loss contributes to memory and reward dysfunction in a model of Alzheimer's disease. </w:t>
      </w:r>
      <w:r w:rsidRPr="001F26C7">
        <w:rPr>
          <w:i/>
          <w:iCs/>
        </w:rPr>
        <w:t>Nat</w:t>
      </w:r>
      <w:r w:rsidR="00196A93" w:rsidRPr="001F26C7">
        <w:rPr>
          <w:i/>
          <w:iCs/>
        </w:rPr>
        <w:t>ure</w:t>
      </w:r>
      <w:r w:rsidRPr="001F26C7">
        <w:rPr>
          <w:i/>
          <w:iCs/>
        </w:rPr>
        <w:t xml:space="preserve"> Commun</w:t>
      </w:r>
      <w:r w:rsidR="00196A93" w:rsidRPr="001F26C7">
        <w:rPr>
          <w:i/>
          <w:iCs/>
        </w:rPr>
        <w:t>ications</w:t>
      </w:r>
      <w:r w:rsidRPr="001F26C7">
        <w:rPr>
          <w:i/>
          <w:iCs/>
        </w:rPr>
        <w:t>, 8</w:t>
      </w:r>
      <w:r w:rsidRPr="001F26C7">
        <w:t>, 14727. doi:10.1038/ncomms14727</w:t>
      </w:r>
    </w:p>
    <w:p w14:paraId="1BE85CC3" w14:textId="28884348" w:rsidR="00906AD9" w:rsidRPr="001F26C7" w:rsidRDefault="00906AD9" w:rsidP="00964219">
      <w:pPr>
        <w:adjustRightInd w:val="0"/>
        <w:snapToGrid w:val="0"/>
        <w:spacing w:line="480" w:lineRule="exact"/>
        <w:ind w:hanging="720"/>
      </w:pPr>
      <w:r w:rsidRPr="001F26C7">
        <w:t xml:space="preserve">Oba, K., Noriuchi, M., Atomi, T., Moriguchi, Y., &amp; Kikuchi, Y. (2016). Memory and reward systems coproduce 'nostalgic' experiences in the brain. </w:t>
      </w:r>
      <w:r w:rsidRPr="001F26C7">
        <w:rPr>
          <w:i/>
          <w:iCs/>
        </w:rPr>
        <w:t>Soc</w:t>
      </w:r>
      <w:r w:rsidR="00196A93" w:rsidRPr="001F26C7">
        <w:rPr>
          <w:i/>
          <w:iCs/>
        </w:rPr>
        <w:t>ial</w:t>
      </w:r>
      <w:r w:rsidRPr="001F26C7">
        <w:rPr>
          <w:i/>
          <w:iCs/>
        </w:rPr>
        <w:t xml:space="preserve"> Cogn</w:t>
      </w:r>
      <w:r w:rsidR="00196A93" w:rsidRPr="001F26C7">
        <w:rPr>
          <w:i/>
          <w:iCs/>
        </w:rPr>
        <w:t>itive and</w:t>
      </w:r>
      <w:r w:rsidRPr="001F26C7">
        <w:rPr>
          <w:i/>
          <w:iCs/>
        </w:rPr>
        <w:t xml:space="preserve"> Affect</w:t>
      </w:r>
      <w:r w:rsidR="00196A93" w:rsidRPr="001F26C7">
        <w:rPr>
          <w:i/>
          <w:iCs/>
        </w:rPr>
        <w:t>ive</w:t>
      </w:r>
      <w:r w:rsidRPr="001F26C7">
        <w:rPr>
          <w:i/>
          <w:iCs/>
        </w:rPr>
        <w:t xml:space="preserve"> Neurosci</w:t>
      </w:r>
      <w:r w:rsidR="00196A93" w:rsidRPr="001F26C7">
        <w:rPr>
          <w:i/>
          <w:iCs/>
        </w:rPr>
        <w:t>ence</w:t>
      </w:r>
      <w:r w:rsidRPr="001F26C7">
        <w:rPr>
          <w:i/>
          <w:iCs/>
        </w:rPr>
        <w:t>, 11</w:t>
      </w:r>
      <w:r w:rsidRPr="001F26C7">
        <w:t>, 1069-1077. doi:10.1093/scan/nsv073</w:t>
      </w:r>
    </w:p>
    <w:p w14:paraId="79273A80" w14:textId="789F11C0" w:rsidR="00154752" w:rsidRPr="001F26C7" w:rsidRDefault="00154752" w:rsidP="00796C9F">
      <w:pPr>
        <w:pStyle w:val="EndNoteBibliography"/>
        <w:adjustRightInd w:val="0"/>
        <w:snapToGrid w:val="0"/>
        <w:spacing w:line="480" w:lineRule="exact"/>
        <w:ind w:hanging="720"/>
        <w:rPr>
          <w:color w:val="auto"/>
          <w:lang w:eastAsia="zh-CN"/>
        </w:rPr>
      </w:pPr>
      <w:r w:rsidRPr="001F26C7">
        <w:t xml:space="preserve">Osinsky, R., Reuter, M., Kupper, Y., Schmitz, A., Kozyra, E., Alexander, N., &amp; Hennig, J. (2008). Variation in the serotonin transporter gene modulates selective attention to threat. </w:t>
      </w:r>
      <w:r w:rsidRPr="001F26C7">
        <w:rPr>
          <w:i/>
          <w:iCs/>
        </w:rPr>
        <w:t>Emotion, 8</w:t>
      </w:r>
      <w:r w:rsidRPr="001F26C7">
        <w:t>, 584-588. doi:10.1037/a0012826</w:t>
      </w:r>
    </w:p>
    <w:p w14:paraId="14D3668D" w14:textId="77777777" w:rsidR="00F507F1" w:rsidRPr="001F26C7" w:rsidRDefault="00120AD7" w:rsidP="00964219">
      <w:pPr>
        <w:pStyle w:val="EndNoteBibliography"/>
        <w:adjustRightInd w:val="0"/>
        <w:snapToGrid w:val="0"/>
        <w:spacing w:line="480" w:lineRule="exact"/>
        <w:ind w:hanging="720"/>
        <w:rPr>
          <w:color w:val="auto"/>
        </w:rPr>
      </w:pPr>
      <w:r w:rsidRPr="001F26C7">
        <w:rPr>
          <w:color w:val="auto"/>
        </w:rPr>
        <w:t xml:space="preserve">Preller, K. H., Pokorny, T., Hock, A., Kraehenmann, R., Stampfli, P., Seifritz, E., . . . Vollenweider, F. X. (2016). Effects of serotonin 2A/1A receptor stimulation on social exclusion processing. </w:t>
      </w:r>
      <w:r w:rsidRPr="001F26C7">
        <w:rPr>
          <w:i/>
          <w:color w:val="auto"/>
        </w:rPr>
        <w:t>Proceedings of the National Academy of Sciences, 113</w:t>
      </w:r>
      <w:r w:rsidRPr="001F26C7">
        <w:rPr>
          <w:color w:val="auto"/>
        </w:rPr>
        <w:t>, 5119-5124. doi:10.1073/pnas.1524187113</w:t>
      </w:r>
    </w:p>
    <w:p w14:paraId="4BB31E61" w14:textId="673B1D3E" w:rsidR="00F507F1" w:rsidRPr="001F26C7" w:rsidRDefault="00F507F1" w:rsidP="00245481">
      <w:pPr>
        <w:pStyle w:val="EndNoteBibliography"/>
        <w:adjustRightInd w:val="0"/>
        <w:snapToGrid w:val="0"/>
        <w:spacing w:line="480" w:lineRule="exact"/>
        <w:ind w:hanging="720"/>
        <w:rPr>
          <w:color w:val="auto"/>
        </w:rPr>
      </w:pPr>
      <w:r w:rsidRPr="001F26C7">
        <w:rPr>
          <w:color w:val="auto"/>
        </w:rPr>
        <w:t xml:space="preserve">Primus, R. J., Thurkauf, A., Xu, J., Yevich, E., McInerney, S., Shaw, K., … Gallagher, D. W. (1997). II. Localization and characterization of dopamine D4 binding sites in rat and human brain by use of the novel, D4 receptor-selective ligand [3H]NGD 94-1. </w:t>
      </w:r>
      <w:r w:rsidRPr="001F26C7">
        <w:rPr>
          <w:i/>
          <w:iCs/>
          <w:color w:val="auto"/>
        </w:rPr>
        <w:t>The Journal of Pharmacology and Experimental Therapeutics</w:t>
      </w:r>
      <w:r w:rsidRPr="001F26C7">
        <w:rPr>
          <w:color w:val="auto"/>
        </w:rPr>
        <w:t xml:space="preserve">, </w:t>
      </w:r>
      <w:r w:rsidRPr="001F26C7">
        <w:rPr>
          <w:i/>
          <w:iCs/>
          <w:color w:val="auto"/>
        </w:rPr>
        <w:t>282</w:t>
      </w:r>
      <w:r w:rsidRPr="001F26C7">
        <w:rPr>
          <w:color w:val="auto"/>
        </w:rPr>
        <w:t>, 1020–1027.</w:t>
      </w:r>
    </w:p>
    <w:p w14:paraId="21F02629" w14:textId="77777777" w:rsidR="00B3701E" w:rsidRPr="001F26C7" w:rsidRDefault="00AC5D51" w:rsidP="00E20F3F">
      <w:pPr>
        <w:pStyle w:val="EndNoteBibliography"/>
        <w:adjustRightInd w:val="0"/>
        <w:snapToGrid w:val="0"/>
        <w:spacing w:line="480" w:lineRule="exact"/>
        <w:ind w:hanging="720"/>
        <w:rPr>
          <w:lang w:eastAsia="zh-CN"/>
        </w:rPr>
      </w:pPr>
      <w:r w:rsidRPr="001F26C7">
        <w:rPr>
          <w:color w:val="auto"/>
        </w:rPr>
        <w:t xml:space="preserve">Quilty, L. C., Meusel, L.-A. C., &amp; Bagby, R. M. (2008). Neuroticism as a mediator of treatment response to SSRIs in major depressive disorder. </w:t>
      </w:r>
      <w:r w:rsidRPr="001F26C7">
        <w:rPr>
          <w:i/>
          <w:color w:val="auto"/>
        </w:rPr>
        <w:t>Journal of Affective Disorders, 111</w:t>
      </w:r>
      <w:r w:rsidRPr="001F26C7">
        <w:rPr>
          <w:color w:val="auto"/>
        </w:rPr>
        <w:t xml:space="preserve">, </w:t>
      </w:r>
      <w:r w:rsidR="00FE3751" w:rsidRPr="001F26C7">
        <w:rPr>
          <w:color w:val="auto"/>
        </w:rPr>
        <w:t xml:space="preserve">67-73. </w:t>
      </w:r>
      <w:r w:rsidR="0087598B" w:rsidRPr="001F26C7">
        <w:rPr>
          <w:color w:val="auto"/>
        </w:rPr>
        <w:t>doi:</w:t>
      </w:r>
      <w:r w:rsidR="00FE3751" w:rsidRPr="001F26C7">
        <w:rPr>
          <w:color w:val="auto"/>
        </w:rPr>
        <w:t>10.1016/j.jad.2008.02.006</w:t>
      </w:r>
    </w:p>
    <w:p w14:paraId="6BE39075" w14:textId="14F4A9E5" w:rsidR="00B3701E" w:rsidRPr="001F26C7" w:rsidRDefault="00B3701E" w:rsidP="00E20F3F">
      <w:pPr>
        <w:pStyle w:val="EndNoteBibliography"/>
        <w:adjustRightInd w:val="0"/>
        <w:snapToGrid w:val="0"/>
        <w:spacing w:line="480" w:lineRule="exact"/>
        <w:ind w:hanging="720"/>
      </w:pPr>
      <w:r w:rsidRPr="001F26C7">
        <w:rPr>
          <w:rFonts w:ascii="Times" w:hAnsi="Times" w:cs="Times"/>
        </w:rPr>
        <w:t xml:space="preserve">Reid, C. A., Green, J. D., Wildschut, T., &amp; Sedikides, C. (2015). Scent-evoked nostalgia. </w:t>
      </w:r>
      <w:r w:rsidRPr="001F26C7">
        <w:rPr>
          <w:rFonts w:ascii="Times" w:hAnsi="Times" w:cs="Times"/>
          <w:i/>
        </w:rPr>
        <w:t>Memory</w:t>
      </w:r>
      <w:r w:rsidRPr="001F26C7">
        <w:rPr>
          <w:rFonts w:ascii="Times" w:hAnsi="Times" w:cs="Times"/>
          <w:i/>
          <w:lang w:eastAsia="zh-CN"/>
        </w:rPr>
        <w:t>, 23</w:t>
      </w:r>
      <w:r w:rsidRPr="001F26C7">
        <w:rPr>
          <w:rFonts w:ascii="Times" w:hAnsi="Times" w:cs="Times" w:hint="eastAsia"/>
          <w:lang w:eastAsia="zh-CN"/>
        </w:rPr>
        <w:t>,157-166</w:t>
      </w:r>
      <w:r w:rsidRPr="001F26C7">
        <w:rPr>
          <w:rFonts w:ascii="Times" w:hAnsi="Times" w:cs="Times"/>
        </w:rPr>
        <w:t xml:space="preserve">. </w:t>
      </w:r>
      <w:r w:rsidRPr="001F26C7">
        <w:rPr>
          <w:rFonts w:ascii="Times" w:hAnsi="Times" w:cs="Times"/>
          <w:color w:val="000000" w:themeColor="text1"/>
        </w:rPr>
        <w:t>doi:10.1080/09658211.2013.876048</w:t>
      </w:r>
      <w:r w:rsidRPr="001F26C7">
        <w:rPr>
          <w:rFonts w:ascii="Times" w:hAnsi="Times" w:cs="Times"/>
        </w:rPr>
        <w:t>.</w:t>
      </w:r>
      <w:r w:rsidRPr="001F26C7">
        <w:rPr>
          <w:rFonts w:ascii="MS Mincho" w:eastAsia="MS Mincho" w:hAnsi="MS Mincho" w:cs="MS Mincho"/>
        </w:rPr>
        <w:t> </w:t>
      </w:r>
    </w:p>
    <w:p w14:paraId="4BB9D6BB" w14:textId="77777777" w:rsidR="001538AD" w:rsidRPr="001F26C7" w:rsidRDefault="005F2EF0" w:rsidP="00245481">
      <w:pPr>
        <w:adjustRightInd w:val="0"/>
        <w:snapToGrid w:val="0"/>
        <w:spacing w:line="480" w:lineRule="exact"/>
        <w:ind w:hanging="720"/>
        <w:rPr>
          <w:rStyle w:val="doi"/>
          <w:bCs/>
        </w:rPr>
      </w:pPr>
      <w:r w:rsidRPr="001F26C7">
        <w:rPr>
          <w:bCs/>
        </w:rPr>
        <w:t xml:space="preserve">Routledge, C., Arndt, J., Sedikides, C., &amp; Wildschut, T. (2008). A blast from the past: The terror management function of nostalgia. </w:t>
      </w:r>
      <w:r w:rsidRPr="001F26C7">
        <w:rPr>
          <w:bCs/>
          <w:i/>
        </w:rPr>
        <w:t>Journal of Experimental Social Psychology, 44</w:t>
      </w:r>
      <w:r w:rsidRPr="001F26C7">
        <w:rPr>
          <w:bCs/>
        </w:rPr>
        <w:t xml:space="preserve">, 132-140. </w:t>
      </w:r>
      <w:hyperlink r:id="rId14" w:history="1">
        <w:r w:rsidRPr="001F26C7">
          <w:rPr>
            <w:rStyle w:val="Hyperlink"/>
            <w:bCs/>
            <w:color w:val="auto"/>
            <w:u w:val="none"/>
          </w:rPr>
          <w:t>doi:10.1016/j.jesp.2006.11.001</w:t>
        </w:r>
      </w:hyperlink>
    </w:p>
    <w:p w14:paraId="336F9216" w14:textId="77777777" w:rsidR="001538AD" w:rsidRPr="001F26C7" w:rsidRDefault="001538AD">
      <w:pPr>
        <w:adjustRightInd w:val="0"/>
        <w:snapToGrid w:val="0"/>
        <w:spacing w:line="480" w:lineRule="exact"/>
        <w:ind w:hanging="720"/>
        <w:rPr>
          <w:rFonts w:eastAsia="Times New Roman"/>
          <w:lang w:eastAsia="en-GB"/>
        </w:rPr>
      </w:pPr>
      <w:r w:rsidRPr="001F26C7">
        <w:rPr>
          <w:bCs/>
        </w:rPr>
        <w:t xml:space="preserve">Routledge C., Arndt, J., Wildschut, T., Sedikides, C., Hart, C. M., Juhl, J., Vingerhoets, A. J., &amp; Scholtz, W. (2011). The past makes the present meaningful: Nostalgia as an existential resource. </w:t>
      </w:r>
      <w:r w:rsidRPr="001F26C7">
        <w:rPr>
          <w:bCs/>
          <w:i/>
        </w:rPr>
        <w:t xml:space="preserve">Journal of Personality and Social Psychology, 101, </w:t>
      </w:r>
      <w:r w:rsidRPr="001F26C7">
        <w:rPr>
          <w:bCs/>
        </w:rPr>
        <w:t>638-652.</w:t>
      </w:r>
      <w:r w:rsidRPr="001F26C7">
        <w:rPr>
          <w:rStyle w:val="doi"/>
          <w:bCs/>
        </w:rPr>
        <w:t xml:space="preserve"> </w:t>
      </w:r>
      <w:hyperlink r:id="rId15" w:history="1">
        <w:r w:rsidRPr="001F26C7">
          <w:rPr>
            <w:rStyle w:val="Hyperlink"/>
            <w:bCs/>
            <w:color w:val="auto"/>
            <w:u w:val="none"/>
          </w:rPr>
          <w:t>doi:10.1037/a0024292</w:t>
        </w:r>
      </w:hyperlink>
      <w:r w:rsidRPr="001F26C7">
        <w:rPr>
          <w:rStyle w:val="doi"/>
          <w:bCs/>
        </w:rPr>
        <w:t>.</w:t>
      </w:r>
    </w:p>
    <w:p w14:paraId="5A441AC6" w14:textId="77777777" w:rsidR="009D611C" w:rsidRPr="001F26C7" w:rsidRDefault="009D611C">
      <w:pPr>
        <w:adjustRightInd w:val="0"/>
        <w:snapToGrid w:val="0"/>
        <w:spacing w:line="480" w:lineRule="exact"/>
        <w:ind w:hanging="720"/>
        <w:rPr>
          <w:rFonts w:eastAsia="Times New Roman"/>
        </w:rPr>
      </w:pPr>
      <w:r w:rsidRPr="001F26C7">
        <w:rPr>
          <w:rFonts w:eastAsia="Times New Roman"/>
          <w:bCs/>
          <w:kern w:val="36"/>
          <w:lang w:eastAsia="en-GB"/>
        </w:rPr>
        <w:t>Rucker, D. D., Preacher, K. J., Tormala, Z. L., &amp; Petty, R. E. (2011). Mediation analysis in social psychology: Current practices and new recommendations. </w:t>
      </w:r>
      <w:r w:rsidRPr="001F26C7">
        <w:rPr>
          <w:rFonts w:eastAsia="Times New Roman"/>
          <w:bCs/>
          <w:i/>
          <w:kern w:val="36"/>
          <w:lang w:eastAsia="en-GB"/>
        </w:rPr>
        <w:t>Social and Personality Psychology Compass, 5</w:t>
      </w:r>
      <w:r w:rsidRPr="001F26C7">
        <w:rPr>
          <w:rFonts w:eastAsia="Times New Roman"/>
          <w:bCs/>
          <w:kern w:val="36"/>
          <w:lang w:eastAsia="en-GB"/>
        </w:rPr>
        <w:t>, 359-371.</w:t>
      </w:r>
    </w:p>
    <w:p w14:paraId="7A208CA0" w14:textId="77777777" w:rsidR="0088657C" w:rsidRDefault="00120AD7" w:rsidP="00E20F3F">
      <w:pPr>
        <w:pStyle w:val="EndNoteBibliography"/>
        <w:adjustRightInd w:val="0"/>
        <w:snapToGrid w:val="0"/>
        <w:spacing w:line="480" w:lineRule="exact"/>
        <w:ind w:hanging="720"/>
        <w:rPr>
          <w:color w:val="auto"/>
          <w:lang w:eastAsia="zh-CN"/>
        </w:rPr>
      </w:pPr>
      <w:r w:rsidRPr="001F26C7">
        <w:rPr>
          <w:color w:val="auto"/>
        </w:rPr>
        <w:t xml:space="preserve">Schinka, J. A., Busch, R. M., &amp; Robichaux-Keene, N. (2004). A meta-analysis of the association between the serotonin transporter gene polymorphism (5-HTTLPR) and trait anxiety. </w:t>
      </w:r>
      <w:r w:rsidRPr="001F26C7">
        <w:rPr>
          <w:i/>
          <w:color w:val="auto"/>
        </w:rPr>
        <w:t>Molecular Psychiatry, 9</w:t>
      </w:r>
      <w:r w:rsidRPr="001F26C7">
        <w:rPr>
          <w:color w:val="auto"/>
        </w:rPr>
        <w:t>, 197-202. doi:10.1038/sj.mp.4001405</w:t>
      </w:r>
    </w:p>
    <w:p w14:paraId="1B1CFEAD" w14:textId="05079D5E" w:rsidR="00BF1FE4" w:rsidRPr="00BF1FE4" w:rsidRDefault="00BF1FE4" w:rsidP="00E20F3F">
      <w:pPr>
        <w:pStyle w:val="EndNoteBibliography"/>
        <w:adjustRightInd w:val="0"/>
        <w:snapToGrid w:val="0"/>
        <w:spacing w:line="480" w:lineRule="exact"/>
        <w:ind w:hanging="720"/>
        <w:rPr>
          <w:lang w:eastAsia="zh-CN"/>
        </w:rPr>
      </w:pPr>
      <w:r w:rsidRPr="003128DF">
        <w:t xml:space="preserve">Schoebi, D., Way, B. M., Karney, B. R., &amp; Bradbury, T. N. (2012). Genetic Moderation of Sensitivity to Positive and Negative Affect in Marriage. </w:t>
      </w:r>
      <w:r w:rsidRPr="003128DF">
        <w:rPr>
          <w:i/>
          <w:iCs/>
        </w:rPr>
        <w:t>Emotion, 12</w:t>
      </w:r>
      <w:r w:rsidRPr="003128DF">
        <w:t>, 208-212. doi:10.1037/a0026067</w:t>
      </w:r>
    </w:p>
    <w:p w14:paraId="0F6BE0F0" w14:textId="30AF0495" w:rsidR="0088657C" w:rsidRPr="001F26C7" w:rsidRDefault="0088657C" w:rsidP="00964219">
      <w:pPr>
        <w:pStyle w:val="EndNoteBibliography"/>
        <w:adjustRightInd w:val="0"/>
        <w:snapToGrid w:val="0"/>
        <w:spacing w:line="480" w:lineRule="exact"/>
        <w:ind w:hanging="720"/>
        <w:rPr>
          <w:color w:val="auto"/>
        </w:rPr>
      </w:pPr>
      <w:r w:rsidRPr="001F26C7">
        <w:t xml:space="preserve">Sedikides, C., &amp; Wildschut, T. (2017). Finding meaning in nostalgia. </w:t>
      </w:r>
      <w:r w:rsidRPr="001F26C7">
        <w:rPr>
          <w:i/>
        </w:rPr>
        <w:t>Review of General Psychology</w:t>
      </w:r>
      <w:r w:rsidRPr="001F26C7">
        <w:t>. Advance online publication. doi:</w:t>
      </w:r>
      <w:r w:rsidRPr="001F26C7">
        <w:rPr>
          <w:bCs/>
        </w:rPr>
        <w:t>10.1037/gpr0000109</w:t>
      </w:r>
      <w:r w:rsidRPr="001F26C7">
        <w:t xml:space="preserve"> </w:t>
      </w:r>
    </w:p>
    <w:p w14:paraId="28AB89C9" w14:textId="77777777" w:rsidR="00606ED4" w:rsidRPr="001F26C7" w:rsidRDefault="00120AD7" w:rsidP="00964219">
      <w:pPr>
        <w:pStyle w:val="EndNoteBibliography"/>
        <w:adjustRightInd w:val="0"/>
        <w:snapToGrid w:val="0"/>
        <w:spacing w:line="480" w:lineRule="exact"/>
        <w:ind w:hanging="720"/>
        <w:rPr>
          <w:color w:val="auto"/>
        </w:rPr>
      </w:pPr>
      <w:r w:rsidRPr="001F26C7">
        <w:rPr>
          <w:color w:val="auto"/>
        </w:rPr>
        <w:t xml:space="preserve">Sedikides, C., Wildschut, T., Routledge, C., Arndt, J., Hepper, E. G., &amp; Zhou, X. (2015). To nostalgize: Mixing memory with affect and desire. </w:t>
      </w:r>
      <w:r w:rsidRPr="001F26C7">
        <w:rPr>
          <w:i/>
          <w:color w:val="auto"/>
        </w:rPr>
        <w:t>Advances in Experimental Social Psychology, 51</w:t>
      </w:r>
      <w:r w:rsidRPr="001F26C7">
        <w:rPr>
          <w:color w:val="auto"/>
        </w:rPr>
        <w:t>, 189-273. doi:10.1016/bs.aesp.2014.10.001</w:t>
      </w:r>
    </w:p>
    <w:p w14:paraId="57D1BEE8" w14:textId="77777777" w:rsidR="00B2586E" w:rsidRPr="001F26C7" w:rsidRDefault="00120AD7" w:rsidP="00964219">
      <w:pPr>
        <w:pStyle w:val="EndNoteBibliography"/>
        <w:adjustRightInd w:val="0"/>
        <w:snapToGrid w:val="0"/>
        <w:spacing w:line="480" w:lineRule="exact"/>
        <w:ind w:hanging="720"/>
        <w:rPr>
          <w:rStyle w:val="Hyperlink1"/>
          <w:color w:val="auto"/>
        </w:rPr>
      </w:pPr>
      <w:r w:rsidRPr="001F26C7">
        <w:rPr>
          <w:color w:val="auto"/>
        </w:rPr>
        <w:t xml:space="preserve">Seehusen, J., Cordaro, F., Wildschut, T., Sedikides, C., Routledge, C., Blackhart, G. C., &amp; Epstude, K., &amp; Vingerhoets, A. J. J. M. (2013). Individual differences in nostalgia proneness: The integrating role of the need to belong. </w:t>
      </w:r>
      <w:r w:rsidRPr="001F26C7">
        <w:rPr>
          <w:i/>
          <w:iCs/>
          <w:color w:val="auto"/>
        </w:rPr>
        <w:t>Personality and Individual Differences, 55</w:t>
      </w:r>
      <w:r w:rsidRPr="001F26C7">
        <w:rPr>
          <w:color w:val="auto"/>
        </w:rPr>
        <w:t xml:space="preserve">, 904-908. </w:t>
      </w:r>
      <w:hyperlink r:id="rId16" w:history="1">
        <w:r w:rsidRPr="001F26C7">
          <w:rPr>
            <w:rStyle w:val="Hyperlink1"/>
            <w:color w:val="auto"/>
          </w:rPr>
          <w:t>doi:10.1016/j.paid.2013.07.020</w:t>
        </w:r>
      </w:hyperlink>
    </w:p>
    <w:p w14:paraId="2495B0C9" w14:textId="77777777" w:rsidR="00B2586E" w:rsidRPr="001F26C7" w:rsidRDefault="00B2586E" w:rsidP="00964219">
      <w:pPr>
        <w:pStyle w:val="EndNoteBibliography"/>
        <w:adjustRightInd w:val="0"/>
        <w:snapToGrid w:val="0"/>
        <w:spacing w:line="480" w:lineRule="exact"/>
        <w:ind w:hanging="720"/>
        <w:rPr>
          <w:rStyle w:val="Hyperlink1"/>
          <w:color w:val="auto"/>
        </w:rPr>
      </w:pPr>
      <w:r w:rsidRPr="001F26C7">
        <w:rPr>
          <w:rFonts w:eastAsia="Calibri"/>
          <w:color w:val="auto"/>
        </w:rPr>
        <w:t xml:space="preserve">Sharpley, C. F., Palanisamy, S. K. A., Glyde, N. S., Dillingham, P. W., &amp; Agnew, L. L. (2014). An update on the interaction between the serotonin transporter promoter variant (5-HTTLPR), stress and depression, plus an exploration of non-confirming findings. </w:t>
      </w:r>
      <w:r w:rsidRPr="001F26C7">
        <w:rPr>
          <w:rFonts w:eastAsia="Calibri"/>
          <w:i/>
          <w:iCs/>
          <w:color w:val="auto"/>
        </w:rPr>
        <w:t>Behavioural Brain Research</w:t>
      </w:r>
      <w:r w:rsidRPr="001F26C7">
        <w:rPr>
          <w:rFonts w:eastAsia="Calibri"/>
          <w:color w:val="auto"/>
        </w:rPr>
        <w:t xml:space="preserve">, </w:t>
      </w:r>
      <w:r w:rsidRPr="001F26C7">
        <w:rPr>
          <w:rFonts w:eastAsia="Calibri"/>
          <w:i/>
          <w:iCs/>
          <w:color w:val="auto"/>
        </w:rPr>
        <w:t>273</w:t>
      </w:r>
      <w:r w:rsidRPr="001F26C7">
        <w:rPr>
          <w:rFonts w:eastAsia="Calibri"/>
          <w:color w:val="auto"/>
        </w:rPr>
        <w:t>, 89-105. doi:10.1016/j.bbr.2014.07.030</w:t>
      </w:r>
    </w:p>
    <w:p w14:paraId="641A33BC" w14:textId="63BF428D" w:rsidR="00B2586E" w:rsidRPr="001F26C7" w:rsidRDefault="00FE66DB" w:rsidP="00964219">
      <w:pPr>
        <w:pStyle w:val="EndNoteBibliography"/>
        <w:adjustRightInd w:val="0"/>
        <w:snapToGrid w:val="0"/>
        <w:spacing w:line="480" w:lineRule="exact"/>
        <w:ind w:hanging="720"/>
        <w:rPr>
          <w:bCs/>
          <w:color w:val="auto"/>
        </w:rPr>
      </w:pPr>
      <w:bookmarkStart w:id="1" w:name="_ENREF_43"/>
      <w:r w:rsidRPr="001F26C7">
        <w:rPr>
          <w:bCs/>
          <w:color w:val="auto"/>
        </w:rPr>
        <w:t xml:space="preserve">Stern, C. (1943). </w:t>
      </w:r>
      <w:r w:rsidR="00CA0236" w:rsidRPr="001F26C7">
        <w:rPr>
          <w:bCs/>
          <w:color w:val="auto"/>
        </w:rPr>
        <w:t>The</w:t>
      </w:r>
      <w:r w:rsidRPr="001F26C7">
        <w:rPr>
          <w:bCs/>
          <w:color w:val="auto"/>
        </w:rPr>
        <w:t xml:space="preserve"> Hardy–Weinberg law</w:t>
      </w:r>
      <w:r w:rsidR="00CA0236" w:rsidRPr="001F26C7">
        <w:rPr>
          <w:bCs/>
          <w:color w:val="auto"/>
        </w:rPr>
        <w:t>. </w:t>
      </w:r>
      <w:hyperlink r:id="rId17" w:tooltip="Science (journal)" w:history="1">
        <w:r w:rsidR="00CA0236" w:rsidRPr="001F26C7">
          <w:rPr>
            <w:bCs/>
            <w:i/>
            <w:color w:val="auto"/>
          </w:rPr>
          <w:t>Science</w:t>
        </w:r>
      </w:hyperlink>
      <w:r w:rsidR="00F5163C" w:rsidRPr="001F26C7">
        <w:rPr>
          <w:bCs/>
          <w:i/>
          <w:color w:val="auto"/>
        </w:rPr>
        <w:t>,</w:t>
      </w:r>
      <w:r w:rsidR="00CA0236" w:rsidRPr="001F26C7">
        <w:rPr>
          <w:bCs/>
          <w:i/>
          <w:color w:val="auto"/>
        </w:rPr>
        <w:t> 97</w:t>
      </w:r>
      <w:r w:rsidR="00F5163C" w:rsidRPr="001F26C7">
        <w:rPr>
          <w:bCs/>
          <w:color w:val="auto"/>
        </w:rPr>
        <w:t>, 137</w:t>
      </w:r>
      <w:r w:rsidR="00007B63" w:rsidRPr="001F26C7">
        <w:rPr>
          <w:bCs/>
          <w:color w:val="auto"/>
        </w:rPr>
        <w:t>-</w:t>
      </w:r>
      <w:r w:rsidR="00CA0236" w:rsidRPr="001F26C7">
        <w:rPr>
          <w:bCs/>
          <w:color w:val="auto"/>
        </w:rPr>
        <w:t>138. doi:</w:t>
      </w:r>
      <w:r w:rsidR="003A1D79" w:rsidRPr="001F26C7">
        <w:rPr>
          <w:bCs/>
          <w:color w:val="auto"/>
        </w:rPr>
        <w:t xml:space="preserve"> </w:t>
      </w:r>
      <w:r w:rsidR="00CA0236" w:rsidRPr="001F26C7">
        <w:rPr>
          <w:bCs/>
          <w:color w:val="auto"/>
        </w:rPr>
        <w:t>10.1126/science.97.2510.137</w:t>
      </w:r>
    </w:p>
    <w:p w14:paraId="118CDEEC" w14:textId="62C2C969" w:rsidR="000053E7" w:rsidRPr="001F26C7" w:rsidRDefault="00F17D1D" w:rsidP="00E20F3F">
      <w:pPr>
        <w:pStyle w:val="EndNoteBibliography"/>
        <w:adjustRightInd w:val="0"/>
        <w:snapToGrid w:val="0"/>
        <w:spacing w:line="480" w:lineRule="exact"/>
        <w:ind w:hanging="720"/>
        <w:rPr>
          <w:i/>
          <w:color w:val="auto"/>
          <w:lang w:val="de-DE"/>
        </w:rPr>
      </w:pPr>
      <w:r w:rsidRPr="001F26C7">
        <w:rPr>
          <w:color w:val="auto"/>
        </w:rPr>
        <w:t xml:space="preserve">Sumner, J. A., Vrshek-Schallhorn, S., Mineka, S., Zinbarg, R. E., Craske, M. G., Redei, E. E., . . . Adam, E. K. (2014). Effects of the serotonin transporter polymorphism and history of major depression on overgeneral autobiographical memory. </w:t>
      </w:r>
      <w:r w:rsidRPr="001F26C7">
        <w:rPr>
          <w:i/>
          <w:iCs/>
          <w:color w:val="auto"/>
        </w:rPr>
        <w:t xml:space="preserve">Cognition </w:t>
      </w:r>
      <w:r w:rsidR="00196A93" w:rsidRPr="001F26C7">
        <w:rPr>
          <w:i/>
          <w:iCs/>
          <w:color w:val="auto"/>
        </w:rPr>
        <w:t>and</w:t>
      </w:r>
      <w:r w:rsidRPr="001F26C7">
        <w:rPr>
          <w:i/>
          <w:iCs/>
          <w:color w:val="auto"/>
        </w:rPr>
        <w:t xml:space="preserve"> Emotion, 28</w:t>
      </w:r>
      <w:r w:rsidRPr="001F26C7">
        <w:rPr>
          <w:color w:val="auto"/>
        </w:rPr>
        <w:t>, 947-958. doi:10.1080/02699931.2013.865596</w:t>
      </w:r>
    </w:p>
    <w:p w14:paraId="3E4AB2D9" w14:textId="65B5B129" w:rsidR="009F3D53" w:rsidRPr="001F26C7" w:rsidRDefault="00120AD7" w:rsidP="00E20F3F">
      <w:pPr>
        <w:pStyle w:val="EndNoteBibliography"/>
        <w:adjustRightInd w:val="0"/>
        <w:snapToGrid w:val="0"/>
        <w:spacing w:line="480" w:lineRule="exact"/>
        <w:ind w:hanging="720"/>
        <w:rPr>
          <w:color w:val="auto"/>
          <w:lang w:val="de-DE"/>
        </w:rPr>
      </w:pPr>
      <w:r w:rsidRPr="001F26C7">
        <w:rPr>
          <w:i/>
          <w:color w:val="auto"/>
          <w:lang w:val="de-DE"/>
        </w:rPr>
        <w:t>The New Oxford Dictionary of English.</w:t>
      </w:r>
      <w:r w:rsidRPr="001F26C7">
        <w:rPr>
          <w:color w:val="auto"/>
          <w:lang w:val="de-DE"/>
        </w:rPr>
        <w:t xml:space="preserve"> (1998). (J. Pearsall, Ed.). Oxford, UK: Oxford University </w:t>
      </w:r>
      <w:r w:rsidR="004850E4" w:rsidRPr="001F26C7">
        <w:rPr>
          <w:color w:val="auto"/>
          <w:lang w:val="de-DE"/>
        </w:rPr>
        <w:t xml:space="preserve">         </w:t>
      </w:r>
      <w:r w:rsidRPr="001F26C7">
        <w:rPr>
          <w:color w:val="auto"/>
          <w:lang w:val="de-DE"/>
        </w:rPr>
        <w:t>Press.</w:t>
      </w:r>
    </w:p>
    <w:p w14:paraId="3CF464EA" w14:textId="1018FD84" w:rsidR="009F3D53" w:rsidRPr="001F26C7" w:rsidRDefault="009F3D53" w:rsidP="00964219">
      <w:pPr>
        <w:pStyle w:val="EndNoteBibliography"/>
        <w:adjustRightInd w:val="0"/>
        <w:snapToGrid w:val="0"/>
        <w:spacing w:line="480" w:lineRule="exact"/>
        <w:ind w:hanging="720"/>
        <w:rPr>
          <w:bCs/>
          <w:color w:val="auto"/>
          <w:lang w:val="en-GB"/>
        </w:rPr>
      </w:pPr>
      <w:r w:rsidRPr="001F26C7">
        <w:rPr>
          <w:color w:val="auto"/>
          <w:lang w:val="de-DE"/>
        </w:rPr>
        <w:t xml:space="preserve">Van Dijke, M., Wildschut, T., Leunissen, J., &amp; Sedikides, C. (2015). </w:t>
      </w:r>
      <w:r w:rsidRPr="001F26C7">
        <w:rPr>
          <w:bCs/>
          <w:color w:val="auto"/>
        </w:rPr>
        <w:t xml:space="preserve">Nostalgia buffers the negative impact of low procedural injustice on </w:t>
      </w:r>
      <w:r w:rsidRPr="001F26C7">
        <w:rPr>
          <w:color w:val="auto"/>
        </w:rPr>
        <w:t>c</w:t>
      </w:r>
      <w:r w:rsidRPr="001F26C7">
        <w:rPr>
          <w:bCs/>
          <w:color w:val="auto"/>
        </w:rPr>
        <w:t xml:space="preserve">ooperation. </w:t>
      </w:r>
      <w:r w:rsidRPr="001F26C7">
        <w:rPr>
          <w:bCs/>
          <w:i/>
          <w:color w:val="auto"/>
        </w:rPr>
        <w:t>Organizational Behavior and Human Decision Processes, 127</w:t>
      </w:r>
      <w:r w:rsidRPr="001F26C7">
        <w:rPr>
          <w:color w:val="auto"/>
        </w:rPr>
        <w:t>, 15-29. doi:10.1016/j.obhdp.2014.11.005</w:t>
      </w:r>
    </w:p>
    <w:p w14:paraId="57FFD4E4" w14:textId="491EE837" w:rsidR="00047155" w:rsidRPr="001F26C7" w:rsidRDefault="00047155" w:rsidP="00964219">
      <w:pPr>
        <w:pStyle w:val="EndNoteBibliography"/>
        <w:adjustRightInd w:val="0"/>
        <w:snapToGrid w:val="0"/>
        <w:spacing w:line="480" w:lineRule="exact"/>
        <w:ind w:hanging="720"/>
        <w:rPr>
          <w:rStyle w:val="element-citation"/>
          <w:color w:val="auto"/>
          <w:lang w:val="en"/>
        </w:rPr>
      </w:pPr>
      <w:r w:rsidRPr="001F26C7">
        <w:rPr>
          <w:rStyle w:val="element-citation"/>
          <w:color w:val="auto"/>
          <w:lang w:val="en"/>
        </w:rPr>
        <w:t xml:space="preserve">Vijayendran, M., Beach, S. R. H., Plume, J. M., Brody, G. H., Philibert, R. A. (2012). Effects of genotype and child abuse on DNA methylation and gene expression at the serotonin transporter. </w:t>
      </w:r>
      <w:r w:rsidRPr="001F26C7">
        <w:rPr>
          <w:rStyle w:val="ref-journal"/>
          <w:i/>
          <w:color w:val="auto"/>
          <w:lang w:val="en"/>
        </w:rPr>
        <w:t xml:space="preserve">Frontiers in Psychiatry: Child and Neurodevelopmental Psychiatry, </w:t>
      </w:r>
      <w:r w:rsidRPr="001F26C7">
        <w:rPr>
          <w:rStyle w:val="ref-vol"/>
          <w:i/>
          <w:color w:val="auto"/>
          <w:lang w:val="en"/>
        </w:rPr>
        <w:t>3</w:t>
      </w:r>
      <w:r w:rsidRPr="001F26C7">
        <w:rPr>
          <w:rStyle w:val="ref-vol"/>
          <w:color w:val="auto"/>
          <w:lang w:val="en"/>
        </w:rPr>
        <w:t xml:space="preserve"> (Article 55).</w:t>
      </w:r>
      <w:r w:rsidRPr="001F26C7">
        <w:rPr>
          <w:rStyle w:val="element-citation"/>
          <w:color w:val="auto"/>
          <w:lang w:val="en"/>
        </w:rPr>
        <w:t xml:space="preserve"> </w:t>
      </w:r>
      <w:r w:rsidRPr="001F26C7">
        <w:rPr>
          <w:color w:val="auto"/>
          <w:lang w:val="en"/>
        </w:rPr>
        <w:t>doi:10.3389/fpsyt.2012.00055</w:t>
      </w:r>
      <w:r w:rsidRPr="001F26C7">
        <w:rPr>
          <w:rStyle w:val="element-citation"/>
          <w:color w:val="auto"/>
          <w:lang w:val="en"/>
        </w:rPr>
        <w:t>.</w:t>
      </w:r>
    </w:p>
    <w:p w14:paraId="5735281A" w14:textId="36744BC6" w:rsidR="00212C5D" w:rsidRPr="001F26C7" w:rsidRDefault="00212C5D" w:rsidP="00964219">
      <w:pPr>
        <w:pStyle w:val="EndNoteBibliography"/>
        <w:adjustRightInd w:val="0"/>
        <w:snapToGrid w:val="0"/>
        <w:spacing w:line="480" w:lineRule="exact"/>
        <w:ind w:hanging="720"/>
        <w:rPr>
          <w:color w:val="auto"/>
        </w:rPr>
      </w:pPr>
      <w:r w:rsidRPr="001F26C7">
        <w:rPr>
          <w:color w:val="auto"/>
        </w:rPr>
        <w:t xml:space="preserve">Way, B. M., Lacan, G., Fairbanks, L. A., &amp; Melega, W. P. (2007). Architectonic distribution of the serotonin transporter within the orbitofrontal cortex of the vervet monkey. </w:t>
      </w:r>
      <w:r w:rsidRPr="001F26C7">
        <w:rPr>
          <w:i/>
          <w:iCs/>
          <w:color w:val="auto"/>
        </w:rPr>
        <w:t>Neuroscience, 148</w:t>
      </w:r>
      <w:r w:rsidRPr="001F26C7">
        <w:rPr>
          <w:color w:val="auto"/>
        </w:rPr>
        <w:t>, 937-948. doi:10.1016/j.neuroscience.2007.06.038</w:t>
      </w:r>
    </w:p>
    <w:p w14:paraId="1C50DC29" w14:textId="5D30CD44" w:rsidR="00606ED4" w:rsidRPr="001F26C7" w:rsidRDefault="00120AD7" w:rsidP="00964219">
      <w:pPr>
        <w:pStyle w:val="EndNoteBibliography"/>
        <w:adjustRightInd w:val="0"/>
        <w:snapToGrid w:val="0"/>
        <w:spacing w:line="480" w:lineRule="exact"/>
        <w:ind w:hanging="720"/>
        <w:rPr>
          <w:color w:val="auto"/>
        </w:rPr>
      </w:pPr>
      <w:r w:rsidRPr="001F26C7">
        <w:rPr>
          <w:color w:val="auto"/>
        </w:rPr>
        <w:t>Way, B. M., &amp; Taylor, S. E. (2010)</w:t>
      </w:r>
      <w:r w:rsidR="008357E8" w:rsidRPr="001F26C7">
        <w:rPr>
          <w:color w:val="auto"/>
        </w:rPr>
        <w:t>. Social influences on health: I</w:t>
      </w:r>
      <w:r w:rsidRPr="001F26C7">
        <w:rPr>
          <w:color w:val="auto"/>
        </w:rPr>
        <w:t xml:space="preserve">s serotonin a critical mediator? </w:t>
      </w:r>
      <w:r w:rsidRPr="001F26C7">
        <w:rPr>
          <w:i/>
          <w:color w:val="auto"/>
        </w:rPr>
        <w:t>Psychosomatic Medicine, 72</w:t>
      </w:r>
      <w:r w:rsidRPr="001F26C7">
        <w:rPr>
          <w:color w:val="auto"/>
        </w:rPr>
        <w:t>, 107-112. doi:</w:t>
      </w:r>
      <w:r w:rsidR="00B30707" w:rsidRPr="001F26C7">
        <w:rPr>
          <w:color w:val="auto"/>
        </w:rPr>
        <w:t xml:space="preserve"> </w:t>
      </w:r>
      <w:r w:rsidRPr="001F26C7">
        <w:rPr>
          <w:color w:val="auto"/>
        </w:rPr>
        <w:t>10.1097/PSY.0b013e3181ce6a7d</w:t>
      </w:r>
    </w:p>
    <w:p w14:paraId="651ACA96" w14:textId="3884C615" w:rsidR="00A10601" w:rsidRPr="001F26C7" w:rsidRDefault="00A10601" w:rsidP="00964219">
      <w:pPr>
        <w:pStyle w:val="EndNoteBibliography"/>
        <w:adjustRightInd w:val="0"/>
        <w:snapToGrid w:val="0"/>
        <w:spacing w:line="480" w:lineRule="exact"/>
        <w:ind w:hanging="720"/>
        <w:rPr>
          <w:color w:val="auto"/>
        </w:rPr>
      </w:pPr>
      <w:r w:rsidRPr="001F26C7">
        <w:rPr>
          <w:color w:val="auto"/>
        </w:rPr>
        <w:t xml:space="preserve">Whisman, M. A., Richardson, E. D., &amp; Smolen, A. (2011). Behavioral inhibition and triallelic genotyping of the serotonic transporter promoter (5-HTTLPR) polymorphism. </w:t>
      </w:r>
      <w:r w:rsidRPr="001F26C7">
        <w:rPr>
          <w:i/>
          <w:color w:val="auto"/>
        </w:rPr>
        <w:t>Journal of Research in Personality, 45</w:t>
      </w:r>
      <w:r w:rsidRPr="001F26C7">
        <w:rPr>
          <w:color w:val="auto"/>
        </w:rPr>
        <w:t>, 706-709. doi:</w:t>
      </w:r>
      <w:r w:rsidR="00B30707" w:rsidRPr="001F26C7">
        <w:rPr>
          <w:color w:val="auto"/>
        </w:rPr>
        <w:t xml:space="preserve"> </w:t>
      </w:r>
      <w:r w:rsidRPr="001F26C7">
        <w:rPr>
          <w:color w:val="auto"/>
        </w:rPr>
        <w:t>10.1016/j.jrp.2011.08.009</w:t>
      </w:r>
    </w:p>
    <w:p w14:paraId="3C2E5741" w14:textId="77777777" w:rsidR="00410A32" w:rsidRPr="001F26C7" w:rsidRDefault="00120AD7" w:rsidP="00964219">
      <w:pPr>
        <w:pStyle w:val="EndNoteBibliography"/>
        <w:adjustRightInd w:val="0"/>
        <w:snapToGrid w:val="0"/>
        <w:spacing w:line="480" w:lineRule="exact"/>
        <w:ind w:hanging="720"/>
        <w:rPr>
          <w:color w:val="auto"/>
        </w:rPr>
      </w:pPr>
      <w:r w:rsidRPr="001F26C7">
        <w:rPr>
          <w:color w:val="auto"/>
        </w:rPr>
        <w:t xml:space="preserve">Widiger, T. A. (2009). Neuroticism. In M. R. Leary &amp; R. H. Hoyle (Eds.), </w:t>
      </w:r>
      <w:r w:rsidRPr="001F26C7">
        <w:rPr>
          <w:i/>
          <w:color w:val="auto"/>
        </w:rPr>
        <w:t xml:space="preserve">Handbook of individual differences in social behavior </w:t>
      </w:r>
      <w:r w:rsidRPr="001F26C7">
        <w:rPr>
          <w:color w:val="auto"/>
        </w:rPr>
        <w:t>(pp. 129-146). New York, NY: Guilford.</w:t>
      </w:r>
    </w:p>
    <w:p w14:paraId="772B0E3C" w14:textId="77777777" w:rsidR="002969ED" w:rsidRPr="001F26C7" w:rsidRDefault="00410A32" w:rsidP="00964219">
      <w:pPr>
        <w:pStyle w:val="EndNoteBibliography"/>
        <w:adjustRightInd w:val="0"/>
        <w:snapToGrid w:val="0"/>
        <w:spacing w:line="480" w:lineRule="exact"/>
        <w:ind w:hanging="720"/>
        <w:rPr>
          <w:bCs/>
          <w:color w:val="auto"/>
        </w:rPr>
      </w:pPr>
      <w:r w:rsidRPr="001F26C7">
        <w:rPr>
          <w:bCs/>
          <w:color w:val="auto"/>
          <w:lang w:val="de-DE"/>
        </w:rPr>
        <w:t xml:space="preserve">Wildschut, C., Sedikides, C., &amp; Cordaro, F. (2011). </w:t>
      </w:r>
      <w:r w:rsidRPr="001F26C7">
        <w:rPr>
          <w:bCs/>
          <w:color w:val="auto"/>
        </w:rPr>
        <w:t xml:space="preserve">Self-regulatory interplay between negative and positive emotions: The case of loneliness and nostalgia. In I. Nyklicek, A. J. J. M. Vingerhoets, &amp; M. Zeelenberg (Eds.), </w:t>
      </w:r>
      <w:r w:rsidRPr="001F26C7">
        <w:rPr>
          <w:bCs/>
          <w:i/>
          <w:iCs/>
          <w:color w:val="auto"/>
        </w:rPr>
        <w:t>Emotion regulation and well-being</w:t>
      </w:r>
      <w:r w:rsidRPr="001F26C7">
        <w:rPr>
          <w:bCs/>
          <w:color w:val="auto"/>
        </w:rPr>
        <w:t xml:space="preserve"> (pp. 67-83). New York, NY: Springer.</w:t>
      </w:r>
    </w:p>
    <w:p w14:paraId="58F9A598" w14:textId="77777777" w:rsidR="0088657C" w:rsidRPr="001F26C7" w:rsidRDefault="00120AD7" w:rsidP="00E20F3F">
      <w:pPr>
        <w:pStyle w:val="EndNoteBibliography"/>
        <w:adjustRightInd w:val="0"/>
        <w:snapToGrid w:val="0"/>
        <w:spacing w:line="480" w:lineRule="exact"/>
        <w:ind w:hanging="720"/>
      </w:pPr>
      <w:bookmarkStart w:id="2" w:name="_ENREF_46"/>
      <w:bookmarkEnd w:id="1"/>
      <w:r w:rsidRPr="001F26C7">
        <w:rPr>
          <w:color w:val="auto"/>
        </w:rPr>
        <w:t xml:space="preserve">Zhou, X., Sedikides, C., Wildschut, T., &amp; Gao, D. G. (2008). Counteracting loneliness: On the restorative function of nostalgia. </w:t>
      </w:r>
      <w:r w:rsidRPr="001F26C7">
        <w:rPr>
          <w:i/>
          <w:iCs/>
          <w:color w:val="auto"/>
        </w:rPr>
        <w:t>Psychological Science, 19</w:t>
      </w:r>
      <w:r w:rsidRPr="001F26C7">
        <w:rPr>
          <w:color w:val="auto"/>
        </w:rPr>
        <w:t>, 1023-1029. doi:10.1111/j.1467-9280.2008.02194.x</w:t>
      </w:r>
      <w:bookmarkEnd w:id="2"/>
    </w:p>
    <w:p w14:paraId="1937DAB4" w14:textId="3D47A686" w:rsidR="002A6240" w:rsidRPr="00983598" w:rsidRDefault="0088657C" w:rsidP="00964219">
      <w:pPr>
        <w:spacing w:line="480" w:lineRule="exact"/>
      </w:pPr>
      <w:r w:rsidRPr="001F26C7">
        <w:rPr>
          <w:bCs/>
        </w:rPr>
        <w:t xml:space="preserve">Zou, X., Wildschut, T. Cable, D., &amp; Sedikides, C. (2017). Nostalgia for host culture facilitates repatriation success: The role of self-continuity. </w:t>
      </w:r>
      <w:r w:rsidRPr="001F26C7">
        <w:t>Advance online publication.</w:t>
      </w:r>
      <w:r w:rsidRPr="001F26C7">
        <w:rPr>
          <w:bCs/>
        </w:rPr>
        <w:t xml:space="preserve"> </w:t>
      </w:r>
      <w:r w:rsidRPr="001F26C7">
        <w:rPr>
          <w:bCs/>
          <w:i/>
        </w:rPr>
        <w:t>Self and Identity</w:t>
      </w:r>
      <w:r w:rsidRPr="001F26C7">
        <w:rPr>
          <w:bCs/>
        </w:rPr>
        <w:t>. doi:</w:t>
      </w:r>
      <w:r w:rsidRPr="001F26C7">
        <w:t>10.1080/15298868.2017.1378123.</w:t>
      </w:r>
    </w:p>
    <w:sectPr w:rsidR="002A6240" w:rsidRPr="00983598" w:rsidSect="00A61837">
      <w:footerReference w:type="even" r:id="rId18"/>
      <w:footerReference w:type="default" r:id="rId19"/>
      <w:pgSz w:w="11900" w:h="16840"/>
      <w:pgMar w:top="1440" w:right="146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73F6" w14:textId="77777777" w:rsidR="008668EB" w:rsidRDefault="008668EB">
      <w:r>
        <w:separator/>
      </w:r>
    </w:p>
  </w:endnote>
  <w:endnote w:type="continuationSeparator" w:id="0">
    <w:p w14:paraId="1443A2AE" w14:textId="77777777" w:rsidR="008668EB" w:rsidRDefault="0086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 Pro W3">
    <w:altName w:val="MS Mincho"/>
    <w:charset w:val="80"/>
    <w:family w:val="auto"/>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26FD" w14:textId="77777777" w:rsidR="006670BF" w:rsidRDefault="006670BF" w:rsidP="0046116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15784" w14:textId="77777777" w:rsidR="006670BF" w:rsidRDefault="0066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D88F" w14:textId="7BC0EB55" w:rsidR="006670BF" w:rsidRDefault="006670BF" w:rsidP="0046116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9B0">
      <w:rPr>
        <w:rStyle w:val="PageNumber"/>
        <w:noProof/>
      </w:rPr>
      <w:t>1</w:t>
    </w:r>
    <w:r>
      <w:rPr>
        <w:rStyle w:val="PageNumber"/>
      </w:rPr>
      <w:fldChar w:fldCharType="end"/>
    </w:r>
  </w:p>
  <w:p w14:paraId="568FC914" w14:textId="77777777" w:rsidR="006670BF" w:rsidRDefault="00667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B06F3" w14:textId="77777777" w:rsidR="008668EB" w:rsidRDefault="008668EB">
      <w:r>
        <w:separator/>
      </w:r>
    </w:p>
  </w:footnote>
  <w:footnote w:type="continuationSeparator" w:id="0">
    <w:p w14:paraId="2B551BFF" w14:textId="77777777" w:rsidR="008668EB" w:rsidRDefault="008668EB">
      <w:r>
        <w:continuationSeparator/>
      </w:r>
    </w:p>
  </w:footnote>
  <w:footnote w:id="1">
    <w:p w14:paraId="0AF214CC" w14:textId="2C978D6E" w:rsidR="006670BF" w:rsidRPr="00CE5957" w:rsidRDefault="006670BF">
      <w:pPr>
        <w:pStyle w:val="FootnoteText"/>
        <w:rPr>
          <w:sz w:val="24"/>
          <w:szCs w:val="24"/>
        </w:rPr>
      </w:pPr>
      <w:r w:rsidRPr="00CE5957">
        <w:rPr>
          <w:rStyle w:val="FootnoteReference"/>
        </w:rPr>
        <w:footnoteRef/>
      </w:r>
      <w:r w:rsidRPr="00CE5957">
        <w:rPr>
          <w:sz w:val="24"/>
          <w:szCs w:val="24"/>
        </w:rPr>
        <w:t>Some participants received additional compensation in the form of money or course credit for completing a daily life experience study unrelated to the current research.</w:t>
      </w:r>
    </w:p>
  </w:footnote>
  <w:footnote w:id="2">
    <w:p w14:paraId="041487CA" w14:textId="77777777" w:rsidR="006670BF" w:rsidRPr="00CE5957" w:rsidRDefault="006670BF" w:rsidP="00770EE2">
      <w:r w:rsidRPr="00CE5957">
        <w:rPr>
          <w:rStyle w:val="FootnoteReference"/>
        </w:rPr>
        <w:footnoteRef/>
      </w:r>
      <w:r w:rsidRPr="00CE5957">
        <w:t xml:space="preserve">A </w:t>
      </w:r>
      <w:r w:rsidRPr="00CE5957">
        <w:rPr>
          <w:rFonts w:hint="eastAsia"/>
        </w:rPr>
        <w:t xml:space="preserve">negative </w:t>
      </w:r>
      <w:r w:rsidRPr="00CE5957">
        <w:t xml:space="preserve">intraclass correlation </w:t>
      </w:r>
      <w:r w:rsidRPr="00CE5957">
        <w:rPr>
          <w:rFonts w:hint="eastAsia"/>
        </w:rPr>
        <w:t>indicates that</w:t>
      </w:r>
      <w:r w:rsidRPr="00CE5957">
        <w:t xml:space="preserve"> the variability within dyads exceeds the variability across</w:t>
      </w:r>
      <w:r w:rsidRPr="00CE5957">
        <w:rPr>
          <w:rFonts w:hint="eastAsia"/>
        </w:rPr>
        <w:t xml:space="preserve"> </w:t>
      </w:r>
      <w:r w:rsidRPr="00CE5957">
        <w:t>dyads</w:t>
      </w:r>
      <w:r w:rsidRPr="00CE5957">
        <w:rPr>
          <w:rFonts w:hint="eastAsia"/>
        </w:rPr>
        <w:t>.</w:t>
      </w:r>
    </w:p>
  </w:footnote>
  <w:footnote w:id="3">
    <w:p w14:paraId="22AA1445" w14:textId="35A4C404" w:rsidR="006670BF" w:rsidRPr="00CE5957" w:rsidRDefault="006670BF">
      <w:pPr>
        <w:pStyle w:val="FootnoteText"/>
      </w:pPr>
      <w:r w:rsidRPr="00CE5957">
        <w:rPr>
          <w:rStyle w:val="FootnoteReference"/>
        </w:rPr>
        <w:footnoteRef/>
      </w:r>
      <w:r w:rsidRPr="00CE5957">
        <w:rPr>
          <w:rFonts w:hint="eastAsia"/>
          <w:sz w:val="24"/>
          <w:szCs w:val="24"/>
        </w:rPr>
        <w:t>Before HLM analyses, we tested</w:t>
      </w:r>
      <w:r w:rsidRPr="00CE5957">
        <w:rPr>
          <w:sz w:val="24"/>
          <w:szCs w:val="24"/>
        </w:rPr>
        <w:t xml:space="preserve"> for</w:t>
      </w:r>
      <w:r w:rsidRPr="00CE5957">
        <w:rPr>
          <w:rFonts w:hint="eastAsia"/>
          <w:sz w:val="24"/>
          <w:szCs w:val="24"/>
        </w:rPr>
        <w:t xml:space="preserve"> partner effect</w:t>
      </w:r>
      <w:r w:rsidRPr="00CE5957">
        <w:rPr>
          <w:sz w:val="24"/>
          <w:szCs w:val="24"/>
        </w:rPr>
        <w:t xml:space="preserve"> (</w:t>
      </w:r>
      <w:r w:rsidRPr="00CE5957">
        <w:rPr>
          <w:rFonts w:hint="eastAsia"/>
          <w:sz w:val="24"/>
          <w:szCs w:val="24"/>
        </w:rPr>
        <w:t xml:space="preserve">i.e., </w:t>
      </w:r>
      <w:r w:rsidRPr="00CE5957">
        <w:rPr>
          <w:sz w:val="24"/>
          <w:szCs w:val="24"/>
        </w:rPr>
        <w:t xml:space="preserve">whether </w:t>
      </w:r>
      <w:r w:rsidRPr="00CE5957">
        <w:rPr>
          <w:rFonts w:hint="eastAsia"/>
          <w:sz w:val="24"/>
          <w:szCs w:val="24"/>
        </w:rPr>
        <w:t>one</w:t>
      </w:r>
      <w:r w:rsidRPr="00CE5957">
        <w:rPr>
          <w:sz w:val="24"/>
          <w:szCs w:val="24"/>
        </w:rPr>
        <w:t>’</w:t>
      </w:r>
      <w:r w:rsidRPr="00CE5957">
        <w:rPr>
          <w:rFonts w:hint="eastAsia"/>
          <w:sz w:val="24"/>
          <w:szCs w:val="24"/>
        </w:rPr>
        <w:t>s 5HTTLPR can</w:t>
      </w:r>
      <w:r w:rsidRPr="00CE5957">
        <w:rPr>
          <w:sz w:val="24"/>
          <w:szCs w:val="24"/>
        </w:rPr>
        <w:t xml:space="preserve"> predict her/his partner’s </w:t>
      </w:r>
      <w:r w:rsidRPr="00CE5957">
        <w:rPr>
          <w:rFonts w:hint="eastAsia"/>
          <w:sz w:val="24"/>
          <w:szCs w:val="24"/>
        </w:rPr>
        <w:t xml:space="preserve">nostalgia or </w:t>
      </w:r>
      <w:r w:rsidRPr="00CE5957">
        <w:rPr>
          <w:sz w:val="24"/>
          <w:szCs w:val="24"/>
        </w:rPr>
        <w:t>neuroticism)</w:t>
      </w:r>
      <w:r w:rsidRPr="00CE5957">
        <w:rPr>
          <w:rFonts w:hint="eastAsia"/>
          <w:sz w:val="24"/>
          <w:szCs w:val="24"/>
        </w:rPr>
        <w:t xml:space="preserve">. </w:t>
      </w:r>
      <w:r w:rsidRPr="00CE5957">
        <w:rPr>
          <w:sz w:val="24"/>
          <w:szCs w:val="24"/>
        </w:rPr>
        <w:t>No p</w:t>
      </w:r>
      <w:r w:rsidRPr="00CE5957">
        <w:rPr>
          <w:rFonts w:hint="eastAsia"/>
          <w:sz w:val="24"/>
          <w:szCs w:val="24"/>
        </w:rPr>
        <w:t>artner effect</w:t>
      </w:r>
      <w:r w:rsidRPr="00CE5957">
        <w:rPr>
          <w:sz w:val="24"/>
          <w:szCs w:val="24"/>
        </w:rPr>
        <w:t xml:space="preserve"> emerged </w:t>
      </w:r>
      <w:r w:rsidRPr="00CE5957">
        <w:rPr>
          <w:rFonts w:hint="eastAsia"/>
          <w:sz w:val="24"/>
          <w:szCs w:val="24"/>
        </w:rPr>
        <w:t>for nostalgia (</w:t>
      </w:r>
      <w:r w:rsidRPr="00CE5957">
        <w:rPr>
          <w:i/>
          <w:sz w:val="24"/>
          <w:szCs w:val="24"/>
        </w:rPr>
        <w:t>B</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.17, </w:t>
      </w:r>
      <w:r w:rsidRPr="00CE5957">
        <w:rPr>
          <w:i/>
          <w:sz w:val="24"/>
          <w:szCs w:val="24"/>
        </w:rPr>
        <w:t>SE</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.17, </w:t>
      </w:r>
      <w:r w:rsidRPr="00CE5957">
        <w:rPr>
          <w:i/>
          <w:sz w:val="24"/>
          <w:szCs w:val="24"/>
        </w:rPr>
        <w:t>t</w:t>
      </w:r>
      <w:r w:rsidR="00245481" w:rsidRPr="00CE5957">
        <w:rPr>
          <w:sz w:val="24"/>
          <w:szCs w:val="24"/>
        </w:rPr>
        <w:t>[</w:t>
      </w:r>
      <w:r w:rsidR="002230F1" w:rsidRPr="00CE5957">
        <w:rPr>
          <w:rFonts w:hint="eastAsia"/>
          <w:sz w:val="24"/>
          <w:szCs w:val="24"/>
        </w:rPr>
        <w:t>324.06</w:t>
      </w:r>
      <w:r w:rsidR="00245481" w:rsidRPr="00CE5957">
        <w:rPr>
          <w:sz w:val="24"/>
          <w:szCs w:val="24"/>
        </w:rPr>
        <w:t>]</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.99, </w:t>
      </w:r>
      <w:r w:rsidRPr="00CE5957">
        <w:rPr>
          <w:i/>
          <w:sz w:val="24"/>
          <w:szCs w:val="24"/>
        </w:rPr>
        <w:t>p</w:t>
      </w:r>
      <w:r w:rsidRPr="00CE5957">
        <w:rPr>
          <w:rFonts w:hint="eastAsia"/>
          <w:sz w:val="24"/>
          <w:szCs w:val="24"/>
        </w:rPr>
        <w:t xml:space="preserve"> = .324) </w:t>
      </w:r>
      <w:r w:rsidRPr="00CE5957">
        <w:rPr>
          <w:sz w:val="24"/>
          <w:szCs w:val="24"/>
        </w:rPr>
        <w:t>or</w:t>
      </w:r>
      <w:r w:rsidRPr="00CE5957">
        <w:rPr>
          <w:rFonts w:hint="eastAsia"/>
          <w:sz w:val="24"/>
          <w:szCs w:val="24"/>
        </w:rPr>
        <w:t xml:space="preserve"> neuroticism (</w:t>
      </w:r>
      <w:r w:rsidRPr="00CE5957">
        <w:rPr>
          <w:i/>
          <w:sz w:val="24"/>
          <w:szCs w:val="24"/>
        </w:rPr>
        <w:t>B</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.14, </w:t>
      </w:r>
      <w:r w:rsidRPr="00CE5957">
        <w:rPr>
          <w:i/>
          <w:sz w:val="24"/>
          <w:szCs w:val="24"/>
        </w:rPr>
        <w:t>SE</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.17, </w:t>
      </w:r>
      <w:r w:rsidRPr="00CE5957">
        <w:rPr>
          <w:i/>
          <w:sz w:val="24"/>
          <w:szCs w:val="24"/>
        </w:rPr>
        <w:t>t</w:t>
      </w:r>
      <w:r w:rsidR="00245481" w:rsidRPr="00CE5957">
        <w:rPr>
          <w:sz w:val="24"/>
          <w:szCs w:val="24"/>
        </w:rPr>
        <w:t>[</w:t>
      </w:r>
      <w:r w:rsidR="008E331B" w:rsidRPr="00CE5957">
        <w:rPr>
          <w:rFonts w:hint="eastAsia"/>
          <w:sz w:val="24"/>
          <w:szCs w:val="24"/>
        </w:rPr>
        <w:t>89</w:t>
      </w:r>
      <w:r w:rsidR="002B4102" w:rsidRPr="00CE5957">
        <w:rPr>
          <w:rFonts w:hint="eastAsia"/>
          <w:sz w:val="24"/>
          <w:szCs w:val="24"/>
        </w:rPr>
        <w:t>.00</w:t>
      </w:r>
      <w:r w:rsidR="00245481" w:rsidRPr="00CE5957">
        <w:rPr>
          <w:sz w:val="24"/>
          <w:szCs w:val="24"/>
        </w:rPr>
        <w:t>]</w:t>
      </w:r>
      <w:r w:rsidRPr="00CE5957">
        <w:rPr>
          <w:rFonts w:hint="eastAsia"/>
          <w:sz w:val="24"/>
          <w:szCs w:val="24"/>
        </w:rPr>
        <w:t xml:space="preserve"> = -</w:t>
      </w:r>
      <w:r w:rsidR="008E331B" w:rsidRPr="00CE5957">
        <w:rPr>
          <w:rFonts w:hint="eastAsia"/>
          <w:sz w:val="24"/>
          <w:szCs w:val="24"/>
        </w:rPr>
        <w:t>0</w:t>
      </w:r>
      <w:r w:rsidRPr="00CE5957">
        <w:rPr>
          <w:rFonts w:hint="eastAsia"/>
          <w:sz w:val="24"/>
          <w:szCs w:val="24"/>
        </w:rPr>
        <w:t xml:space="preserve">.80, </w:t>
      </w:r>
      <w:r w:rsidRPr="00CE5957">
        <w:rPr>
          <w:i/>
          <w:sz w:val="24"/>
          <w:szCs w:val="24"/>
        </w:rPr>
        <w:t>p</w:t>
      </w:r>
      <w:r w:rsidRPr="00CE5957">
        <w:rPr>
          <w:rFonts w:hint="eastAsia"/>
          <w:sz w:val="24"/>
          <w:szCs w:val="24"/>
        </w:rPr>
        <w:t xml:space="preserve"> = .425).</w:t>
      </w:r>
    </w:p>
  </w:footnote>
  <w:footnote w:id="4">
    <w:p w14:paraId="71D86445" w14:textId="200A169E" w:rsidR="006670BF" w:rsidRPr="00CE5957" w:rsidRDefault="006670BF">
      <w:pPr>
        <w:pStyle w:val="FootnoteText"/>
        <w:rPr>
          <w:sz w:val="24"/>
          <w:szCs w:val="24"/>
        </w:rPr>
      </w:pPr>
      <w:r w:rsidRPr="00CE5957">
        <w:rPr>
          <w:rStyle w:val="FootnoteReference"/>
        </w:rPr>
        <w:footnoteRef/>
      </w:r>
      <w:r w:rsidRPr="00CE5957">
        <w:rPr>
          <w:sz w:val="24"/>
          <w:szCs w:val="24"/>
        </w:rPr>
        <w:t>We excluded the three singlets</w:t>
      </w:r>
      <w:r w:rsidR="00593779" w:rsidRPr="00CE5957">
        <w:rPr>
          <w:sz w:val="24"/>
          <w:szCs w:val="24"/>
        </w:rPr>
        <w:t xml:space="preserve"> (dyads with data missing from one partner)</w:t>
      </w:r>
      <w:r w:rsidRPr="00CE5957">
        <w:rPr>
          <w:sz w:val="24"/>
          <w:szCs w:val="24"/>
        </w:rPr>
        <w:t xml:space="preserve"> from HLM analyses since they could not be included in the dyadic data structure.</w:t>
      </w:r>
    </w:p>
  </w:footnote>
  <w:footnote w:id="5">
    <w:p w14:paraId="158B96AB" w14:textId="7BB258CC" w:rsidR="006670BF" w:rsidRPr="00CE5957" w:rsidRDefault="006670BF">
      <w:pPr>
        <w:pStyle w:val="FootnoteText"/>
      </w:pPr>
      <w:r w:rsidRPr="00CE5957">
        <w:rPr>
          <w:rStyle w:val="FootnoteReference"/>
        </w:rPr>
        <w:footnoteRef/>
      </w:r>
      <w:r w:rsidRPr="00CE5957">
        <w:rPr>
          <w:sz w:val="24"/>
          <w:szCs w:val="24"/>
        </w:rPr>
        <w:t>It is common for researchers to differentiate dyad members on factors like gender and analyze them as distinguishable dyads, particularly in regards to data from heterosexual couples (Kenny &amp; Ledermann, 2010). Given that not all couples in our study were heterosexual and researchers caution against overemphasizing gender differences in dyadic studies (Ackerman, Donnellan, &amp; Kashy, 2011), we treated all couples in HLM as indistinguishable dyads. However, to examine whether it was necessary to treat couples as distinguishable, we excluded homosexual couples (</w:t>
      </w:r>
      <w:r w:rsidRPr="00CE5957">
        <w:rPr>
          <w:i/>
          <w:sz w:val="24"/>
          <w:szCs w:val="24"/>
        </w:rPr>
        <w:t>N</w:t>
      </w:r>
      <w:r w:rsidRPr="00CE5957">
        <w:rPr>
          <w:sz w:val="24"/>
          <w:szCs w:val="24"/>
        </w:rPr>
        <w:t xml:space="preserve"> = 3) and tested for distinguishability with only heterosexual couples. Following Kenny et al. (2006), we added gender (1 = male, 2 = female) as a level-1 predictor into the HLM (Model 1,</w:t>
      </w:r>
      <w:r w:rsidRPr="00CE5957">
        <w:rPr>
          <w:i/>
          <w:sz w:val="24"/>
          <w:szCs w:val="24"/>
        </w:rPr>
        <w:t xml:space="preserve"> χ</w:t>
      </w:r>
      <w:r w:rsidRPr="00CE5957">
        <w:rPr>
          <w:i/>
          <w:sz w:val="24"/>
          <w:szCs w:val="24"/>
          <w:vertAlign w:val="superscript"/>
        </w:rPr>
        <w:t>2</w:t>
      </w:r>
      <w:r w:rsidRPr="00CE5957">
        <w:rPr>
          <w:sz w:val="24"/>
          <w:szCs w:val="24"/>
        </w:rPr>
        <w:t>[5]</w:t>
      </w:r>
      <w:r w:rsidRPr="00CE5957">
        <w:rPr>
          <w:i/>
          <w:sz w:val="24"/>
          <w:szCs w:val="24"/>
        </w:rPr>
        <w:t xml:space="preserve"> </w:t>
      </w:r>
      <w:r w:rsidRPr="00CE5957">
        <w:rPr>
          <w:sz w:val="24"/>
          <w:szCs w:val="24"/>
        </w:rPr>
        <w:t>= 1146.21, Akaike’s Information Criterion [AIC; Akaike, 1987] = 1150.21). The gender effect was not significant (</w:t>
      </w:r>
      <w:r w:rsidRPr="00CE5957">
        <w:rPr>
          <w:i/>
          <w:sz w:val="24"/>
          <w:szCs w:val="24"/>
        </w:rPr>
        <w:t>B</w:t>
      </w:r>
      <w:r w:rsidRPr="00CE5957">
        <w:rPr>
          <w:sz w:val="24"/>
          <w:szCs w:val="24"/>
        </w:rPr>
        <w:t xml:space="preserve"> = -</w:t>
      </w:r>
      <w:r w:rsidR="004037C0" w:rsidRPr="00CE5957">
        <w:rPr>
          <w:rFonts w:hint="eastAsia"/>
          <w:sz w:val="24"/>
          <w:szCs w:val="24"/>
        </w:rPr>
        <w:t>0</w:t>
      </w:r>
      <w:r w:rsidRPr="00CE5957">
        <w:rPr>
          <w:sz w:val="24"/>
          <w:szCs w:val="24"/>
        </w:rPr>
        <w:t xml:space="preserve">.25, </w:t>
      </w:r>
      <w:r w:rsidRPr="00CE5957">
        <w:rPr>
          <w:i/>
          <w:sz w:val="24"/>
          <w:szCs w:val="24"/>
        </w:rPr>
        <w:t>SE</w:t>
      </w:r>
      <w:r w:rsidRPr="00CE5957">
        <w:rPr>
          <w:sz w:val="24"/>
          <w:szCs w:val="24"/>
        </w:rPr>
        <w:t xml:space="preserve"> = </w:t>
      </w:r>
      <w:r w:rsidR="004037C0" w:rsidRPr="00CE5957">
        <w:rPr>
          <w:rFonts w:hint="eastAsia"/>
          <w:sz w:val="24"/>
          <w:szCs w:val="24"/>
        </w:rPr>
        <w:t>0</w:t>
      </w:r>
      <w:r w:rsidRPr="00CE5957">
        <w:rPr>
          <w:sz w:val="24"/>
          <w:szCs w:val="24"/>
        </w:rPr>
        <w:t xml:space="preserve">.15, </w:t>
      </w:r>
      <w:r w:rsidRPr="00CE5957">
        <w:rPr>
          <w:i/>
          <w:sz w:val="24"/>
          <w:szCs w:val="24"/>
        </w:rPr>
        <w:t>t</w:t>
      </w:r>
      <w:r w:rsidR="00245481" w:rsidRPr="00CE5957">
        <w:rPr>
          <w:sz w:val="24"/>
          <w:szCs w:val="24"/>
        </w:rPr>
        <w:t>[</w:t>
      </w:r>
      <w:r w:rsidR="00525B44" w:rsidRPr="00CE5957">
        <w:rPr>
          <w:rFonts w:hint="eastAsia"/>
          <w:sz w:val="24"/>
          <w:szCs w:val="24"/>
        </w:rPr>
        <w:t>163.12</w:t>
      </w:r>
      <w:r w:rsidR="00245481" w:rsidRPr="00CE5957">
        <w:rPr>
          <w:sz w:val="24"/>
          <w:szCs w:val="24"/>
        </w:rPr>
        <w:t>]</w:t>
      </w:r>
      <w:r w:rsidRPr="00CE5957">
        <w:rPr>
          <w:i/>
          <w:sz w:val="24"/>
          <w:szCs w:val="24"/>
        </w:rPr>
        <w:t xml:space="preserve"> </w:t>
      </w:r>
      <w:r w:rsidRPr="00CE5957">
        <w:rPr>
          <w:sz w:val="24"/>
          <w:szCs w:val="24"/>
        </w:rPr>
        <w:t xml:space="preserve">= -1.68, </w:t>
      </w:r>
      <w:r w:rsidRPr="00CE5957">
        <w:rPr>
          <w:i/>
          <w:sz w:val="24"/>
          <w:szCs w:val="24"/>
        </w:rPr>
        <w:t>p</w:t>
      </w:r>
      <w:r w:rsidRPr="00CE5957">
        <w:rPr>
          <w:sz w:val="24"/>
          <w:szCs w:val="24"/>
        </w:rPr>
        <w:t xml:space="preserve"> = .095), suggesting indistinguishability. The estimate for genetic effect (</w:t>
      </w:r>
      <w:r w:rsidRPr="00CE5957">
        <w:rPr>
          <w:i/>
          <w:sz w:val="24"/>
          <w:szCs w:val="24"/>
        </w:rPr>
        <w:t>B</w:t>
      </w:r>
      <w:r w:rsidRPr="00CE5957">
        <w:rPr>
          <w:sz w:val="24"/>
          <w:szCs w:val="24"/>
        </w:rPr>
        <w:t xml:space="preserve"> = </w:t>
      </w:r>
      <w:r w:rsidR="004037C0" w:rsidRPr="00CE5957">
        <w:rPr>
          <w:rFonts w:hint="eastAsia"/>
          <w:sz w:val="24"/>
          <w:szCs w:val="24"/>
        </w:rPr>
        <w:t>0</w:t>
      </w:r>
      <w:r w:rsidRPr="00CE5957">
        <w:rPr>
          <w:sz w:val="24"/>
          <w:szCs w:val="24"/>
        </w:rPr>
        <w:t xml:space="preserve">.36, </w:t>
      </w:r>
      <w:r w:rsidRPr="00CE5957">
        <w:rPr>
          <w:i/>
          <w:sz w:val="24"/>
          <w:szCs w:val="24"/>
        </w:rPr>
        <w:t>SE</w:t>
      </w:r>
      <w:r w:rsidRPr="00CE5957">
        <w:rPr>
          <w:sz w:val="24"/>
          <w:szCs w:val="24"/>
        </w:rPr>
        <w:t xml:space="preserve"> = </w:t>
      </w:r>
      <w:r w:rsidR="004037C0" w:rsidRPr="00CE5957">
        <w:rPr>
          <w:rFonts w:hint="eastAsia"/>
          <w:sz w:val="24"/>
          <w:szCs w:val="24"/>
        </w:rPr>
        <w:t>0</w:t>
      </w:r>
      <w:r w:rsidRPr="00CE5957">
        <w:rPr>
          <w:sz w:val="24"/>
          <w:szCs w:val="24"/>
        </w:rPr>
        <w:t xml:space="preserve">.18, </w:t>
      </w:r>
      <w:r w:rsidRPr="00CE5957">
        <w:rPr>
          <w:i/>
          <w:sz w:val="24"/>
          <w:szCs w:val="24"/>
        </w:rPr>
        <w:t>t</w:t>
      </w:r>
      <w:r w:rsidR="00245481" w:rsidRPr="00CE5957">
        <w:rPr>
          <w:sz w:val="24"/>
          <w:szCs w:val="24"/>
        </w:rPr>
        <w:t>[</w:t>
      </w:r>
      <w:r w:rsidR="00B937CF" w:rsidRPr="00CE5957">
        <w:rPr>
          <w:rFonts w:hint="eastAsia"/>
          <w:sz w:val="24"/>
          <w:szCs w:val="24"/>
        </w:rPr>
        <w:t>321.53</w:t>
      </w:r>
      <w:r w:rsidR="00245481" w:rsidRPr="00CE5957">
        <w:rPr>
          <w:sz w:val="24"/>
          <w:szCs w:val="24"/>
        </w:rPr>
        <w:t>]</w:t>
      </w:r>
      <w:r w:rsidRPr="00CE5957">
        <w:rPr>
          <w:sz w:val="24"/>
          <w:szCs w:val="24"/>
        </w:rPr>
        <w:t xml:space="preserve"> = 2.00, </w:t>
      </w:r>
      <w:r w:rsidRPr="00CE5957">
        <w:rPr>
          <w:i/>
          <w:sz w:val="24"/>
          <w:szCs w:val="24"/>
        </w:rPr>
        <w:t>p</w:t>
      </w:r>
      <w:r w:rsidRPr="00CE5957">
        <w:rPr>
          <w:sz w:val="24"/>
          <w:szCs w:val="24"/>
        </w:rPr>
        <w:t xml:space="preserve"> = .046) from Model 1 was almost the same as the one from the original HLM, which included all couples and treated them as indistinguishable. Furthermore, based on Model 1, we allowed for different variances across genders in the HLM (Model 2, </w:t>
      </w:r>
      <w:r w:rsidRPr="00CE5957">
        <w:rPr>
          <w:i/>
          <w:sz w:val="24"/>
          <w:szCs w:val="24"/>
        </w:rPr>
        <w:t>χ</w:t>
      </w:r>
      <w:r w:rsidRPr="00CE5957">
        <w:rPr>
          <w:i/>
          <w:sz w:val="24"/>
          <w:szCs w:val="24"/>
          <w:vertAlign w:val="superscript"/>
        </w:rPr>
        <w:t>2</w:t>
      </w:r>
      <w:r w:rsidRPr="00CE5957">
        <w:rPr>
          <w:sz w:val="24"/>
          <w:szCs w:val="24"/>
        </w:rPr>
        <w:t>[6]</w:t>
      </w:r>
      <w:r w:rsidRPr="00CE5957">
        <w:rPr>
          <w:i/>
          <w:sz w:val="24"/>
          <w:szCs w:val="24"/>
        </w:rPr>
        <w:t xml:space="preserve"> </w:t>
      </w:r>
      <w:r w:rsidRPr="00CE5957">
        <w:rPr>
          <w:sz w:val="24"/>
          <w:szCs w:val="24"/>
        </w:rPr>
        <w:t>= 1145.37, AIC = 1151.37). Then, we compared the two models and obtained a non-significant model change,</w:t>
      </w:r>
      <w:r w:rsidRPr="00CE5957">
        <w:rPr>
          <w:i/>
          <w:sz w:val="24"/>
          <w:szCs w:val="24"/>
        </w:rPr>
        <w:t xml:space="preserve"> ∆χ</w:t>
      </w:r>
      <w:r w:rsidRPr="00CE5957">
        <w:rPr>
          <w:i/>
          <w:sz w:val="24"/>
          <w:szCs w:val="24"/>
          <w:vertAlign w:val="superscript"/>
        </w:rPr>
        <w:t>2</w:t>
      </w:r>
      <w:r w:rsidRPr="00CE5957">
        <w:rPr>
          <w:sz w:val="24"/>
          <w:szCs w:val="24"/>
        </w:rPr>
        <w:t>(1)</w:t>
      </w:r>
      <w:r w:rsidRPr="00CE5957">
        <w:rPr>
          <w:i/>
          <w:sz w:val="24"/>
          <w:szCs w:val="24"/>
        </w:rPr>
        <w:t xml:space="preserve"> </w:t>
      </w:r>
      <w:r w:rsidRPr="00CE5957">
        <w:rPr>
          <w:sz w:val="24"/>
          <w:szCs w:val="24"/>
        </w:rPr>
        <w:t xml:space="preserve">= -.842, </w:t>
      </w:r>
      <w:r w:rsidRPr="00CE5957">
        <w:rPr>
          <w:i/>
          <w:sz w:val="24"/>
          <w:szCs w:val="24"/>
        </w:rPr>
        <w:t>p</w:t>
      </w:r>
      <w:r w:rsidRPr="00CE5957">
        <w:rPr>
          <w:sz w:val="24"/>
          <w:szCs w:val="24"/>
        </w:rPr>
        <w:t xml:space="preserve"> = .359. In addition, Model 1 without heterogeneity of variance across genders yielded a lower AIC value, which suggested better fit. Taken together, heterosexual dyad members were indistinguishable, or at least needless to be differentiated.</w:t>
      </w:r>
    </w:p>
  </w:footnote>
  <w:footnote w:id="6">
    <w:p w14:paraId="08226F4E" w14:textId="65E9419B" w:rsidR="00B34FB7" w:rsidRPr="003128DF" w:rsidRDefault="00B34FB7">
      <w:pPr>
        <w:pStyle w:val="FootnoteText"/>
        <w:rPr>
          <w:sz w:val="24"/>
          <w:szCs w:val="24"/>
        </w:rPr>
      </w:pPr>
      <w:r w:rsidRPr="003128DF">
        <w:rPr>
          <w:rStyle w:val="FootnoteReference"/>
          <w:sz w:val="24"/>
          <w:szCs w:val="24"/>
        </w:rPr>
        <w:footnoteRef/>
      </w:r>
      <w:r w:rsidRPr="003128DF">
        <w:rPr>
          <w:sz w:val="24"/>
          <w:szCs w:val="24"/>
        </w:rPr>
        <w:t>We also tested the significance of the genetic effect by including demographic variables</w:t>
      </w:r>
      <w:r w:rsidR="00B96707">
        <w:rPr>
          <w:sz w:val="24"/>
          <w:szCs w:val="24"/>
        </w:rPr>
        <w:t xml:space="preserve"> (</w:t>
      </w:r>
      <w:r w:rsidRPr="003128DF">
        <w:rPr>
          <w:sz w:val="24"/>
          <w:szCs w:val="24"/>
        </w:rPr>
        <w:t>sample, age, and gender</w:t>
      </w:r>
      <w:r w:rsidR="00B96707">
        <w:rPr>
          <w:sz w:val="24"/>
          <w:szCs w:val="24"/>
        </w:rPr>
        <w:t>)</w:t>
      </w:r>
      <w:r w:rsidRPr="003128DF">
        <w:rPr>
          <w:sz w:val="24"/>
          <w:szCs w:val="24"/>
        </w:rPr>
        <w:t xml:space="preserve"> as covariates</w:t>
      </w:r>
      <w:r w:rsidR="00565DA9" w:rsidRPr="003128DF">
        <w:rPr>
          <w:sz w:val="24"/>
          <w:szCs w:val="24"/>
        </w:rPr>
        <w:t xml:space="preserve"> in the HLM</w:t>
      </w:r>
      <w:r w:rsidRPr="003128DF">
        <w:rPr>
          <w:sz w:val="24"/>
          <w:szCs w:val="24"/>
        </w:rPr>
        <w:t xml:space="preserve">. </w:t>
      </w:r>
      <w:r w:rsidR="00AC241D">
        <w:rPr>
          <w:sz w:val="24"/>
          <w:szCs w:val="24"/>
        </w:rPr>
        <w:t>We include t</w:t>
      </w:r>
      <w:r w:rsidRPr="003128DF">
        <w:rPr>
          <w:sz w:val="24"/>
          <w:szCs w:val="24"/>
        </w:rPr>
        <w:t>he result</w:t>
      </w:r>
      <w:r w:rsidR="00E335DA" w:rsidRPr="003128DF">
        <w:rPr>
          <w:sz w:val="24"/>
          <w:szCs w:val="24"/>
        </w:rPr>
        <w:t xml:space="preserve">s </w:t>
      </w:r>
      <w:r w:rsidRPr="003128DF">
        <w:rPr>
          <w:sz w:val="24"/>
          <w:szCs w:val="24"/>
        </w:rPr>
        <w:t>in online Supplementary Materials.</w:t>
      </w:r>
    </w:p>
  </w:footnote>
  <w:footnote w:id="7">
    <w:p w14:paraId="271FCB4E" w14:textId="652A5EB4" w:rsidR="006670BF" w:rsidRPr="00CE5957" w:rsidRDefault="006670BF">
      <w:pPr>
        <w:pStyle w:val="FootnoteText"/>
        <w:rPr>
          <w:sz w:val="24"/>
          <w:szCs w:val="24"/>
        </w:rPr>
      </w:pPr>
      <w:r w:rsidRPr="00CE5957">
        <w:rPr>
          <w:rStyle w:val="FootnoteReference"/>
        </w:rPr>
        <w:footnoteRef/>
      </w:r>
      <w:r w:rsidRPr="00CE5957">
        <w:rPr>
          <w:sz w:val="24"/>
          <w:szCs w:val="24"/>
        </w:rPr>
        <w:t xml:space="preserve">As nostalgia is a way to counteract life stressors, we wondered whether it moderated the relation between </w:t>
      </w:r>
      <w:r w:rsidRPr="00CE5957">
        <w:rPr>
          <w:rFonts w:hint="eastAsia"/>
          <w:sz w:val="24"/>
          <w:szCs w:val="24"/>
        </w:rPr>
        <w:t>5HTTLPR</w:t>
      </w:r>
      <w:r w:rsidRPr="00CE5957">
        <w:rPr>
          <w:sz w:val="24"/>
          <w:szCs w:val="24"/>
        </w:rPr>
        <w:t xml:space="preserve"> and neuroticism. </w:t>
      </w:r>
      <w:r w:rsidRPr="00CE5957">
        <w:rPr>
          <w:rFonts w:hint="eastAsia"/>
          <w:sz w:val="24"/>
          <w:szCs w:val="24"/>
        </w:rPr>
        <w:t>To test this</w:t>
      </w:r>
      <w:r w:rsidRPr="00CE5957">
        <w:rPr>
          <w:sz w:val="24"/>
          <w:szCs w:val="24"/>
        </w:rPr>
        <w:t xml:space="preserve"> alternative hypothesis</w:t>
      </w:r>
      <w:r w:rsidRPr="00CE5957">
        <w:rPr>
          <w:rFonts w:hint="eastAsia"/>
          <w:sz w:val="24"/>
          <w:szCs w:val="24"/>
        </w:rPr>
        <w:t>,</w:t>
      </w:r>
      <w:r w:rsidRPr="00CE5957">
        <w:rPr>
          <w:sz w:val="24"/>
          <w:szCs w:val="24"/>
        </w:rPr>
        <w:t xml:space="preserve"> </w:t>
      </w:r>
      <w:r w:rsidRPr="00CE5957">
        <w:rPr>
          <w:rFonts w:hint="eastAsia"/>
          <w:sz w:val="24"/>
          <w:szCs w:val="24"/>
        </w:rPr>
        <w:t>we ran an additional HLM with nostalgia, 5HTTLPR genotypes, and their interaction as level-1 predictors</w:t>
      </w:r>
      <w:r w:rsidRPr="00CE5957">
        <w:rPr>
          <w:sz w:val="24"/>
          <w:szCs w:val="24"/>
        </w:rPr>
        <w:t>,</w:t>
      </w:r>
      <w:r w:rsidRPr="00CE5957">
        <w:rPr>
          <w:rFonts w:hint="eastAsia"/>
          <w:sz w:val="24"/>
          <w:szCs w:val="24"/>
        </w:rPr>
        <w:t xml:space="preserve"> and </w:t>
      </w:r>
      <w:r w:rsidRPr="00CE5957">
        <w:rPr>
          <w:sz w:val="24"/>
          <w:szCs w:val="24"/>
        </w:rPr>
        <w:t xml:space="preserve">with </w:t>
      </w:r>
      <w:r w:rsidRPr="00CE5957">
        <w:rPr>
          <w:rFonts w:hint="eastAsia"/>
          <w:sz w:val="24"/>
          <w:szCs w:val="24"/>
        </w:rPr>
        <w:t>neuroticism as the outcome. The interaction between nostalgia and 5HTTLPR was not significant (</w:t>
      </w:r>
      <w:r w:rsidRPr="00CE5957">
        <w:rPr>
          <w:i/>
          <w:sz w:val="24"/>
          <w:szCs w:val="24"/>
        </w:rPr>
        <w:t>B</w:t>
      </w:r>
      <w:r w:rsidRPr="00CE5957">
        <w:rPr>
          <w:rFonts w:hint="eastAsia"/>
          <w:sz w:val="24"/>
          <w:szCs w:val="24"/>
        </w:rPr>
        <w:t xml:space="preserve"> = </w:t>
      </w:r>
      <w:r w:rsidR="00EA3CDB" w:rsidRPr="00CE5957">
        <w:rPr>
          <w:rFonts w:hint="eastAsia"/>
          <w:sz w:val="24"/>
          <w:szCs w:val="24"/>
        </w:rPr>
        <w:t>-0</w:t>
      </w:r>
      <w:r w:rsidRPr="00CE5957">
        <w:rPr>
          <w:rFonts w:hint="eastAsia"/>
          <w:sz w:val="24"/>
          <w:szCs w:val="24"/>
        </w:rPr>
        <w:t xml:space="preserve">.05, </w:t>
      </w:r>
      <w:r w:rsidRPr="00CE5957">
        <w:rPr>
          <w:i/>
          <w:sz w:val="24"/>
          <w:szCs w:val="24"/>
        </w:rPr>
        <w:t>SE</w:t>
      </w:r>
      <w:r w:rsidRPr="00CE5957">
        <w:rPr>
          <w:rFonts w:hint="eastAsia"/>
          <w:sz w:val="24"/>
          <w:szCs w:val="24"/>
        </w:rPr>
        <w:t xml:space="preserve"> = </w:t>
      </w:r>
      <w:r w:rsidR="00EA3CDB" w:rsidRPr="00CE5957">
        <w:rPr>
          <w:rFonts w:hint="eastAsia"/>
          <w:sz w:val="24"/>
          <w:szCs w:val="24"/>
        </w:rPr>
        <w:t>0</w:t>
      </w:r>
      <w:r w:rsidRPr="00CE5957">
        <w:rPr>
          <w:rFonts w:hint="eastAsia"/>
          <w:sz w:val="24"/>
          <w:szCs w:val="24"/>
        </w:rPr>
        <w:t xml:space="preserve">.12, </w:t>
      </w:r>
      <w:r w:rsidRPr="00CE5957">
        <w:rPr>
          <w:i/>
          <w:sz w:val="24"/>
          <w:szCs w:val="24"/>
        </w:rPr>
        <w:t>t</w:t>
      </w:r>
      <w:r w:rsidR="00596F94" w:rsidRPr="00CE5957">
        <w:rPr>
          <w:sz w:val="24"/>
          <w:szCs w:val="24"/>
        </w:rPr>
        <w:t>[86.14]</w:t>
      </w:r>
      <w:r w:rsidRPr="00CE5957">
        <w:rPr>
          <w:rFonts w:hint="eastAsia"/>
          <w:sz w:val="24"/>
          <w:szCs w:val="24"/>
        </w:rPr>
        <w:t xml:space="preserve"> = -</w:t>
      </w:r>
      <w:r w:rsidR="00596F94" w:rsidRPr="00CE5957">
        <w:rPr>
          <w:rFonts w:hint="eastAsia"/>
          <w:sz w:val="24"/>
          <w:szCs w:val="24"/>
        </w:rPr>
        <w:t>0</w:t>
      </w:r>
      <w:r w:rsidRPr="00CE5957">
        <w:rPr>
          <w:rFonts w:hint="eastAsia"/>
          <w:sz w:val="24"/>
          <w:szCs w:val="24"/>
        </w:rPr>
        <w:t>.4</w:t>
      </w:r>
      <w:r w:rsidR="00596F94" w:rsidRPr="00CE5957">
        <w:rPr>
          <w:rFonts w:hint="eastAsia"/>
          <w:sz w:val="24"/>
          <w:szCs w:val="24"/>
        </w:rPr>
        <w:t>6</w:t>
      </w:r>
      <w:r w:rsidRPr="00CE5957">
        <w:rPr>
          <w:rFonts w:hint="eastAsia"/>
          <w:sz w:val="24"/>
          <w:szCs w:val="24"/>
        </w:rPr>
        <w:t xml:space="preserve">, </w:t>
      </w:r>
      <w:r w:rsidRPr="00CE5957">
        <w:rPr>
          <w:i/>
          <w:sz w:val="24"/>
          <w:szCs w:val="24"/>
        </w:rPr>
        <w:t>p</w:t>
      </w:r>
      <w:r w:rsidRPr="00CE5957">
        <w:rPr>
          <w:rFonts w:hint="eastAsia"/>
          <w:sz w:val="24"/>
          <w:szCs w:val="24"/>
        </w:rPr>
        <w:t xml:space="preserve"> = .6</w:t>
      </w:r>
      <w:r w:rsidR="00596F94" w:rsidRPr="00CE5957">
        <w:rPr>
          <w:rFonts w:hint="eastAsia"/>
          <w:sz w:val="24"/>
          <w:szCs w:val="24"/>
        </w:rPr>
        <w:t>51</w:t>
      </w:r>
      <w:r w:rsidRPr="00CE5957">
        <w:rPr>
          <w:rFonts w:hint="eastAsia"/>
          <w:sz w:val="24"/>
          <w:szCs w:val="24"/>
        </w:rPr>
        <w:t xml:space="preserve">). </w:t>
      </w:r>
      <w:r w:rsidRPr="00CE5957">
        <w:rPr>
          <w:sz w:val="24"/>
          <w:szCs w:val="24"/>
        </w:rPr>
        <w:t>N</w:t>
      </w:r>
      <w:r w:rsidRPr="00CE5957">
        <w:rPr>
          <w:rFonts w:hint="eastAsia"/>
          <w:sz w:val="24"/>
          <w:szCs w:val="24"/>
        </w:rPr>
        <w:t>ostalgia did not moderate the 5HTTLPR-neuroticism association.</w:t>
      </w:r>
    </w:p>
  </w:footnote>
  <w:footnote w:id="8">
    <w:p w14:paraId="7BEEBCFD" w14:textId="257FFE40" w:rsidR="006670BF" w:rsidRPr="00CE5957" w:rsidRDefault="006670BF">
      <w:pPr>
        <w:pStyle w:val="FootnoteText"/>
        <w:rPr>
          <w:sz w:val="24"/>
          <w:szCs w:val="24"/>
        </w:rPr>
      </w:pPr>
      <w:r w:rsidRPr="00CE5957">
        <w:rPr>
          <w:rStyle w:val="FootnoteReference"/>
          <w:sz w:val="24"/>
          <w:szCs w:val="24"/>
        </w:rPr>
        <w:footnoteRef/>
      </w:r>
      <w:r w:rsidRPr="00CE5957">
        <w:rPr>
          <w:sz w:val="24"/>
          <w:szCs w:val="24"/>
        </w:rPr>
        <w:t xml:space="preserve">For the convenience of comparison, </w:t>
      </w:r>
      <w:r w:rsidRPr="00CE5957">
        <w:rPr>
          <w:i/>
          <w:sz w:val="24"/>
          <w:szCs w:val="24"/>
        </w:rPr>
        <w:t>d</w:t>
      </w:r>
      <w:r w:rsidRPr="00CE5957">
        <w:rPr>
          <w:sz w:val="24"/>
          <w:szCs w:val="24"/>
        </w:rPr>
        <w:t xml:space="preserve"> = 0.18 is equivalent to </w:t>
      </w:r>
      <w:r w:rsidRPr="00CE5957">
        <w:rPr>
          <w:i/>
          <w:sz w:val="24"/>
          <w:szCs w:val="24"/>
        </w:rPr>
        <w:t>r</w:t>
      </w:r>
      <w:r w:rsidRPr="00CE5957">
        <w:rPr>
          <w:sz w:val="24"/>
          <w:szCs w:val="24"/>
        </w:rPr>
        <w:t xml:space="preserve"> = 0.09.</w:t>
      </w:r>
    </w:p>
  </w:footnote>
  <w:footnote w:id="9">
    <w:p w14:paraId="7A506F15" w14:textId="222BD073" w:rsidR="006670BF" w:rsidRPr="00E20F3F" w:rsidRDefault="006670BF" w:rsidP="0029567D">
      <w:pPr>
        <w:rPr>
          <w:rFonts w:eastAsia="Times New Roman"/>
        </w:rPr>
      </w:pPr>
      <w:r w:rsidRPr="00CE5957">
        <w:rPr>
          <w:rStyle w:val="FootnoteReference"/>
        </w:rPr>
        <w:footnoteRef/>
      </w:r>
      <w:r w:rsidRPr="00CE5957">
        <w:rPr>
          <w:rFonts w:eastAsia="Times New Roman"/>
        </w:rPr>
        <w:t>We know that memory, reward, and emotion regulation networks are also modulated by dopamine (Grace, 2016; Nobili et al., 2017). Therefore, it is possible that dopamine is involved in nostalgia. To explore this, we genotyped two polymorphisms in genes related to dopaminergic function: a VNTR in exon 3 of the dopamine receptor D4 gene (DRD4) and a functional SNP in the Catechol-O-methyltransferase gene (COMT, rs4680). Importantly, the DRD4 gene codes for a dopamine receptor (D4) primarily located in the prefrontal cortex (Lahti et al., 1998) and the COMT gene codes for the COMT enzyme, which is the primary means of terminating dopamine signaling in the prefrontal cortex (</w:t>
      </w:r>
      <w:r w:rsidR="00D30486" w:rsidRPr="00CE5957">
        <w:t>Käenmäki</w:t>
      </w:r>
      <w:r w:rsidRPr="00CE5957">
        <w:t xml:space="preserve"> et al., 2010</w:t>
      </w:r>
      <w:r w:rsidRPr="00CE5957">
        <w:rPr>
          <w:rFonts w:ascii="Cambria" w:hAnsiTheme="minorHAnsi"/>
        </w:rPr>
        <w:t>)</w:t>
      </w:r>
      <w:r w:rsidRPr="00CE5957">
        <w:rPr>
          <w:rFonts w:eastAsia="Times New Roman"/>
        </w:rPr>
        <w:t xml:space="preserve">. However, neither of these genes </w:t>
      </w:r>
      <w:r w:rsidR="000053E7" w:rsidRPr="00CE5957">
        <w:rPr>
          <w:rFonts w:eastAsia="Times New Roman"/>
        </w:rPr>
        <w:t xml:space="preserve">was </w:t>
      </w:r>
      <w:r w:rsidRPr="00CE5957">
        <w:rPr>
          <w:rFonts w:eastAsia="Times New Roman"/>
        </w:rPr>
        <w:t>associated with nostalgia (</w:t>
      </w:r>
      <w:r w:rsidRPr="00CE5957">
        <w:rPr>
          <w:rFonts w:eastAsia="Times New Roman"/>
          <w:i/>
        </w:rPr>
        <w:t>t</w:t>
      </w:r>
      <w:r w:rsidRPr="00CE5957">
        <w:rPr>
          <w:rFonts w:eastAsia="Times New Roman"/>
        </w:rPr>
        <w:t xml:space="preserve">s &lt; .9, </w:t>
      </w:r>
      <w:r w:rsidRPr="00CE5957">
        <w:rPr>
          <w:rFonts w:eastAsia="Times New Roman"/>
          <w:i/>
        </w:rPr>
        <w:t>p</w:t>
      </w:r>
      <w:r w:rsidRPr="00CE5957">
        <w:rPr>
          <w:rFonts w:eastAsia="Times New Roman"/>
        </w:rPr>
        <w:t xml:space="preserve">s &gt; .3, </w:t>
      </w:r>
      <w:r w:rsidRPr="00CE5957">
        <w:rPr>
          <w:rFonts w:eastAsia="Times New Roman"/>
          <w:i/>
        </w:rPr>
        <w:t>r</w:t>
      </w:r>
      <w:r w:rsidRPr="00CE5957">
        <w:rPr>
          <w:rFonts w:eastAsia="Times New Roman"/>
        </w:rPr>
        <w:t>s &lt; .05).</w:t>
      </w:r>
    </w:p>
    <w:p w14:paraId="7AC279BA" w14:textId="77777777" w:rsidR="006670BF" w:rsidRPr="006B562A" w:rsidRDefault="006670BF" w:rsidP="0029567D"/>
    <w:p w14:paraId="11C4D394" w14:textId="77777777" w:rsidR="006670BF" w:rsidRDefault="006670BF" w:rsidP="002956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CE6A1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0000002"/>
    <w:multiLevelType w:val="hybridMultilevel"/>
    <w:tmpl w:val="97CE6A1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54E7721F"/>
    <w:multiLevelType w:val="multilevel"/>
    <w:tmpl w:val="4F26E0FC"/>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D4"/>
    <w:rsid w:val="00000651"/>
    <w:rsid w:val="00000747"/>
    <w:rsid w:val="000018E8"/>
    <w:rsid w:val="00001D8A"/>
    <w:rsid w:val="00001EFE"/>
    <w:rsid w:val="00003662"/>
    <w:rsid w:val="00004880"/>
    <w:rsid w:val="000053E7"/>
    <w:rsid w:val="0000643A"/>
    <w:rsid w:val="00007B63"/>
    <w:rsid w:val="00007D3D"/>
    <w:rsid w:val="000106F4"/>
    <w:rsid w:val="0001263F"/>
    <w:rsid w:val="00012F50"/>
    <w:rsid w:val="00013A31"/>
    <w:rsid w:val="00014530"/>
    <w:rsid w:val="000170F2"/>
    <w:rsid w:val="00023214"/>
    <w:rsid w:val="0002346B"/>
    <w:rsid w:val="00027267"/>
    <w:rsid w:val="00030B79"/>
    <w:rsid w:val="000316FB"/>
    <w:rsid w:val="000350FF"/>
    <w:rsid w:val="000374E8"/>
    <w:rsid w:val="0004310B"/>
    <w:rsid w:val="000434CF"/>
    <w:rsid w:val="00045013"/>
    <w:rsid w:val="00045746"/>
    <w:rsid w:val="00045E13"/>
    <w:rsid w:val="00047155"/>
    <w:rsid w:val="00052591"/>
    <w:rsid w:val="000531BF"/>
    <w:rsid w:val="0005520C"/>
    <w:rsid w:val="00057A10"/>
    <w:rsid w:val="00061A25"/>
    <w:rsid w:val="00061A52"/>
    <w:rsid w:val="00065725"/>
    <w:rsid w:val="00070311"/>
    <w:rsid w:val="0007106D"/>
    <w:rsid w:val="00071B52"/>
    <w:rsid w:val="0007420D"/>
    <w:rsid w:val="000807FD"/>
    <w:rsid w:val="0008259D"/>
    <w:rsid w:val="0008465C"/>
    <w:rsid w:val="000923F7"/>
    <w:rsid w:val="000957C0"/>
    <w:rsid w:val="00096E59"/>
    <w:rsid w:val="000A221C"/>
    <w:rsid w:val="000A280F"/>
    <w:rsid w:val="000A3786"/>
    <w:rsid w:val="000A63A9"/>
    <w:rsid w:val="000A6E60"/>
    <w:rsid w:val="000A7328"/>
    <w:rsid w:val="000B047F"/>
    <w:rsid w:val="000B2F47"/>
    <w:rsid w:val="000B442E"/>
    <w:rsid w:val="000B62FE"/>
    <w:rsid w:val="000B69FC"/>
    <w:rsid w:val="000B70E5"/>
    <w:rsid w:val="000C07EB"/>
    <w:rsid w:val="000C1425"/>
    <w:rsid w:val="000C2AFF"/>
    <w:rsid w:val="000C550C"/>
    <w:rsid w:val="000C7F79"/>
    <w:rsid w:val="000D252C"/>
    <w:rsid w:val="000D2883"/>
    <w:rsid w:val="000D473D"/>
    <w:rsid w:val="000D4B97"/>
    <w:rsid w:val="000D7146"/>
    <w:rsid w:val="000E0962"/>
    <w:rsid w:val="000E24F3"/>
    <w:rsid w:val="000E2AA4"/>
    <w:rsid w:val="000E3F23"/>
    <w:rsid w:val="000F2F46"/>
    <w:rsid w:val="000F45C1"/>
    <w:rsid w:val="000F64AB"/>
    <w:rsid w:val="000F68CC"/>
    <w:rsid w:val="001017BF"/>
    <w:rsid w:val="00101F04"/>
    <w:rsid w:val="00104C9B"/>
    <w:rsid w:val="00105900"/>
    <w:rsid w:val="00107335"/>
    <w:rsid w:val="00110BA6"/>
    <w:rsid w:val="00112A3A"/>
    <w:rsid w:val="00114924"/>
    <w:rsid w:val="00116787"/>
    <w:rsid w:val="00116DFF"/>
    <w:rsid w:val="0011759F"/>
    <w:rsid w:val="00120890"/>
    <w:rsid w:val="00120AD7"/>
    <w:rsid w:val="00121465"/>
    <w:rsid w:val="00122EF2"/>
    <w:rsid w:val="00124BE3"/>
    <w:rsid w:val="00124CFC"/>
    <w:rsid w:val="00125226"/>
    <w:rsid w:val="00126B01"/>
    <w:rsid w:val="00127AE2"/>
    <w:rsid w:val="00130898"/>
    <w:rsid w:val="001323EE"/>
    <w:rsid w:val="00132AD2"/>
    <w:rsid w:val="00133F84"/>
    <w:rsid w:val="0013616F"/>
    <w:rsid w:val="00141473"/>
    <w:rsid w:val="00141C9A"/>
    <w:rsid w:val="001441DA"/>
    <w:rsid w:val="001457B9"/>
    <w:rsid w:val="001475A0"/>
    <w:rsid w:val="001508D9"/>
    <w:rsid w:val="00150953"/>
    <w:rsid w:val="00150CB5"/>
    <w:rsid w:val="001538AD"/>
    <w:rsid w:val="001541E0"/>
    <w:rsid w:val="00154752"/>
    <w:rsid w:val="00155842"/>
    <w:rsid w:val="001576D2"/>
    <w:rsid w:val="00161E63"/>
    <w:rsid w:val="001624A4"/>
    <w:rsid w:val="00172778"/>
    <w:rsid w:val="00175021"/>
    <w:rsid w:val="00175F12"/>
    <w:rsid w:val="00181DF3"/>
    <w:rsid w:val="00185913"/>
    <w:rsid w:val="0018676E"/>
    <w:rsid w:val="0019081D"/>
    <w:rsid w:val="00191BE2"/>
    <w:rsid w:val="00192F67"/>
    <w:rsid w:val="00193538"/>
    <w:rsid w:val="0019424D"/>
    <w:rsid w:val="00195C83"/>
    <w:rsid w:val="001961B7"/>
    <w:rsid w:val="00196980"/>
    <w:rsid w:val="00196A93"/>
    <w:rsid w:val="001A0747"/>
    <w:rsid w:val="001A0754"/>
    <w:rsid w:val="001A19C1"/>
    <w:rsid w:val="001A3A83"/>
    <w:rsid w:val="001B66F9"/>
    <w:rsid w:val="001C07BF"/>
    <w:rsid w:val="001C09CA"/>
    <w:rsid w:val="001C1EA2"/>
    <w:rsid w:val="001C2030"/>
    <w:rsid w:val="001C7153"/>
    <w:rsid w:val="001C7F0E"/>
    <w:rsid w:val="001D1A02"/>
    <w:rsid w:val="001D3230"/>
    <w:rsid w:val="001D6537"/>
    <w:rsid w:val="001D7CF7"/>
    <w:rsid w:val="001E1E72"/>
    <w:rsid w:val="001E2E23"/>
    <w:rsid w:val="001E2F67"/>
    <w:rsid w:val="001E3145"/>
    <w:rsid w:val="001E479F"/>
    <w:rsid w:val="001E5CBF"/>
    <w:rsid w:val="001E6C8B"/>
    <w:rsid w:val="001F1182"/>
    <w:rsid w:val="001F26C7"/>
    <w:rsid w:val="001F2C07"/>
    <w:rsid w:val="001F4F86"/>
    <w:rsid w:val="001F5265"/>
    <w:rsid w:val="001F596B"/>
    <w:rsid w:val="001F6AE2"/>
    <w:rsid w:val="001F76E1"/>
    <w:rsid w:val="001F7DFD"/>
    <w:rsid w:val="00205AA6"/>
    <w:rsid w:val="00206FA5"/>
    <w:rsid w:val="00207209"/>
    <w:rsid w:val="00210236"/>
    <w:rsid w:val="0021096B"/>
    <w:rsid w:val="00210A5C"/>
    <w:rsid w:val="00211939"/>
    <w:rsid w:val="00212C5D"/>
    <w:rsid w:val="00215C42"/>
    <w:rsid w:val="002164E9"/>
    <w:rsid w:val="00216BFC"/>
    <w:rsid w:val="002230F1"/>
    <w:rsid w:val="00223BBF"/>
    <w:rsid w:val="00224058"/>
    <w:rsid w:val="00224398"/>
    <w:rsid w:val="0022494C"/>
    <w:rsid w:val="00225074"/>
    <w:rsid w:val="002257F2"/>
    <w:rsid w:val="00226182"/>
    <w:rsid w:val="0022688B"/>
    <w:rsid w:val="00226F4B"/>
    <w:rsid w:val="002274C9"/>
    <w:rsid w:val="002306B2"/>
    <w:rsid w:val="0023076D"/>
    <w:rsid w:val="002335CE"/>
    <w:rsid w:val="00233B9A"/>
    <w:rsid w:val="00234BCD"/>
    <w:rsid w:val="00235191"/>
    <w:rsid w:val="002362AB"/>
    <w:rsid w:val="00240F46"/>
    <w:rsid w:val="00243983"/>
    <w:rsid w:val="00245481"/>
    <w:rsid w:val="00247852"/>
    <w:rsid w:val="002500C8"/>
    <w:rsid w:val="002513FC"/>
    <w:rsid w:val="002517BE"/>
    <w:rsid w:val="002517DE"/>
    <w:rsid w:val="00251A2D"/>
    <w:rsid w:val="00251C73"/>
    <w:rsid w:val="002546DA"/>
    <w:rsid w:val="00254902"/>
    <w:rsid w:val="00255618"/>
    <w:rsid w:val="00256F08"/>
    <w:rsid w:val="00257B8C"/>
    <w:rsid w:val="00261C19"/>
    <w:rsid w:val="002708DF"/>
    <w:rsid w:val="0027675E"/>
    <w:rsid w:val="00277ABE"/>
    <w:rsid w:val="00283819"/>
    <w:rsid w:val="002842DB"/>
    <w:rsid w:val="00285EDF"/>
    <w:rsid w:val="00290B0E"/>
    <w:rsid w:val="002928F7"/>
    <w:rsid w:val="00292A6A"/>
    <w:rsid w:val="0029567D"/>
    <w:rsid w:val="00296334"/>
    <w:rsid w:val="002965D8"/>
    <w:rsid w:val="002969ED"/>
    <w:rsid w:val="002975DA"/>
    <w:rsid w:val="002A434B"/>
    <w:rsid w:val="002A4E3D"/>
    <w:rsid w:val="002A6240"/>
    <w:rsid w:val="002A632D"/>
    <w:rsid w:val="002A6D82"/>
    <w:rsid w:val="002B03D6"/>
    <w:rsid w:val="002B4102"/>
    <w:rsid w:val="002B6121"/>
    <w:rsid w:val="002C4AB7"/>
    <w:rsid w:val="002C5B42"/>
    <w:rsid w:val="002C5E57"/>
    <w:rsid w:val="002C7077"/>
    <w:rsid w:val="002C747B"/>
    <w:rsid w:val="002D1798"/>
    <w:rsid w:val="002D6A27"/>
    <w:rsid w:val="002D7EA4"/>
    <w:rsid w:val="002E04D6"/>
    <w:rsid w:val="002E0A08"/>
    <w:rsid w:val="002E160E"/>
    <w:rsid w:val="002E1A55"/>
    <w:rsid w:val="002E1E14"/>
    <w:rsid w:val="002E2191"/>
    <w:rsid w:val="002E2FF2"/>
    <w:rsid w:val="002E3A66"/>
    <w:rsid w:val="002E656E"/>
    <w:rsid w:val="002E7A1E"/>
    <w:rsid w:val="002E7A25"/>
    <w:rsid w:val="002E7E89"/>
    <w:rsid w:val="002F0620"/>
    <w:rsid w:val="002F080E"/>
    <w:rsid w:val="002F0C29"/>
    <w:rsid w:val="002F0F75"/>
    <w:rsid w:val="002F15F5"/>
    <w:rsid w:val="002F5BA9"/>
    <w:rsid w:val="002F5DDB"/>
    <w:rsid w:val="002F7A06"/>
    <w:rsid w:val="002F7AAC"/>
    <w:rsid w:val="00301CE5"/>
    <w:rsid w:val="00301F58"/>
    <w:rsid w:val="00302CF5"/>
    <w:rsid w:val="0030353F"/>
    <w:rsid w:val="00307253"/>
    <w:rsid w:val="00307290"/>
    <w:rsid w:val="00307779"/>
    <w:rsid w:val="0031146D"/>
    <w:rsid w:val="003119FD"/>
    <w:rsid w:val="003128DF"/>
    <w:rsid w:val="00312B3A"/>
    <w:rsid w:val="003137E7"/>
    <w:rsid w:val="00314400"/>
    <w:rsid w:val="0031481B"/>
    <w:rsid w:val="003179BE"/>
    <w:rsid w:val="00321881"/>
    <w:rsid w:val="00322642"/>
    <w:rsid w:val="00322DE3"/>
    <w:rsid w:val="003236CF"/>
    <w:rsid w:val="0032790E"/>
    <w:rsid w:val="00332782"/>
    <w:rsid w:val="003328A7"/>
    <w:rsid w:val="00335365"/>
    <w:rsid w:val="0033545B"/>
    <w:rsid w:val="00337E72"/>
    <w:rsid w:val="00337EBA"/>
    <w:rsid w:val="00345E80"/>
    <w:rsid w:val="0034776D"/>
    <w:rsid w:val="003513D9"/>
    <w:rsid w:val="00352493"/>
    <w:rsid w:val="003544FA"/>
    <w:rsid w:val="00354B73"/>
    <w:rsid w:val="00354F00"/>
    <w:rsid w:val="0035707D"/>
    <w:rsid w:val="003609B6"/>
    <w:rsid w:val="00360EC9"/>
    <w:rsid w:val="0036231C"/>
    <w:rsid w:val="003637F0"/>
    <w:rsid w:val="003712AB"/>
    <w:rsid w:val="003714AD"/>
    <w:rsid w:val="00371540"/>
    <w:rsid w:val="00372451"/>
    <w:rsid w:val="00372F80"/>
    <w:rsid w:val="00375EC2"/>
    <w:rsid w:val="00376941"/>
    <w:rsid w:val="00380D49"/>
    <w:rsid w:val="003831CF"/>
    <w:rsid w:val="00385A67"/>
    <w:rsid w:val="00385E26"/>
    <w:rsid w:val="003862E2"/>
    <w:rsid w:val="0039002A"/>
    <w:rsid w:val="00390766"/>
    <w:rsid w:val="0039115D"/>
    <w:rsid w:val="0039347E"/>
    <w:rsid w:val="00393726"/>
    <w:rsid w:val="003948FB"/>
    <w:rsid w:val="003953B6"/>
    <w:rsid w:val="003A0862"/>
    <w:rsid w:val="003A17DA"/>
    <w:rsid w:val="003A1D79"/>
    <w:rsid w:val="003A39A3"/>
    <w:rsid w:val="003A4CB5"/>
    <w:rsid w:val="003B4CDF"/>
    <w:rsid w:val="003C3734"/>
    <w:rsid w:val="003C51A8"/>
    <w:rsid w:val="003C5D32"/>
    <w:rsid w:val="003D0222"/>
    <w:rsid w:val="003D172D"/>
    <w:rsid w:val="003D2C17"/>
    <w:rsid w:val="003D4A32"/>
    <w:rsid w:val="003E6533"/>
    <w:rsid w:val="003E6907"/>
    <w:rsid w:val="003F13A9"/>
    <w:rsid w:val="003F2537"/>
    <w:rsid w:val="003F26F6"/>
    <w:rsid w:val="003F35FF"/>
    <w:rsid w:val="003F4184"/>
    <w:rsid w:val="003F6616"/>
    <w:rsid w:val="003F6E7B"/>
    <w:rsid w:val="003F7240"/>
    <w:rsid w:val="004005F1"/>
    <w:rsid w:val="004009FF"/>
    <w:rsid w:val="004037C0"/>
    <w:rsid w:val="00404333"/>
    <w:rsid w:val="00404622"/>
    <w:rsid w:val="0040488D"/>
    <w:rsid w:val="00405378"/>
    <w:rsid w:val="00406F69"/>
    <w:rsid w:val="004077AF"/>
    <w:rsid w:val="00410A32"/>
    <w:rsid w:val="0041136B"/>
    <w:rsid w:val="004132A7"/>
    <w:rsid w:val="00413EE0"/>
    <w:rsid w:val="004143DE"/>
    <w:rsid w:val="00415739"/>
    <w:rsid w:val="00416391"/>
    <w:rsid w:val="00416B98"/>
    <w:rsid w:val="00417DF6"/>
    <w:rsid w:val="00422690"/>
    <w:rsid w:val="00423345"/>
    <w:rsid w:val="00424B97"/>
    <w:rsid w:val="004310D1"/>
    <w:rsid w:val="00433886"/>
    <w:rsid w:val="004368E0"/>
    <w:rsid w:val="004371AA"/>
    <w:rsid w:val="004375C3"/>
    <w:rsid w:val="004413F5"/>
    <w:rsid w:val="00441C7E"/>
    <w:rsid w:val="004420D0"/>
    <w:rsid w:val="00443C8C"/>
    <w:rsid w:val="0044589E"/>
    <w:rsid w:val="0045015E"/>
    <w:rsid w:val="00453DDE"/>
    <w:rsid w:val="00454437"/>
    <w:rsid w:val="00454AF9"/>
    <w:rsid w:val="00455A17"/>
    <w:rsid w:val="00457516"/>
    <w:rsid w:val="00457892"/>
    <w:rsid w:val="00461167"/>
    <w:rsid w:val="004619F3"/>
    <w:rsid w:val="004621BE"/>
    <w:rsid w:val="004629C7"/>
    <w:rsid w:val="00464236"/>
    <w:rsid w:val="0046559A"/>
    <w:rsid w:val="00466042"/>
    <w:rsid w:val="00467A91"/>
    <w:rsid w:val="00470846"/>
    <w:rsid w:val="004734EB"/>
    <w:rsid w:val="00473531"/>
    <w:rsid w:val="00477D72"/>
    <w:rsid w:val="00483588"/>
    <w:rsid w:val="00484CC7"/>
    <w:rsid w:val="004850E4"/>
    <w:rsid w:val="00486AA7"/>
    <w:rsid w:val="00487576"/>
    <w:rsid w:val="00487CD1"/>
    <w:rsid w:val="00491A68"/>
    <w:rsid w:val="00493CBE"/>
    <w:rsid w:val="00496BE8"/>
    <w:rsid w:val="00496D91"/>
    <w:rsid w:val="00496EDE"/>
    <w:rsid w:val="004A0382"/>
    <w:rsid w:val="004A0FBB"/>
    <w:rsid w:val="004A12DA"/>
    <w:rsid w:val="004A1B26"/>
    <w:rsid w:val="004A4208"/>
    <w:rsid w:val="004A49BC"/>
    <w:rsid w:val="004A54D4"/>
    <w:rsid w:val="004A5B5A"/>
    <w:rsid w:val="004B0269"/>
    <w:rsid w:val="004B0DC8"/>
    <w:rsid w:val="004B2D7C"/>
    <w:rsid w:val="004B5116"/>
    <w:rsid w:val="004B560A"/>
    <w:rsid w:val="004B7D60"/>
    <w:rsid w:val="004C1284"/>
    <w:rsid w:val="004C23ED"/>
    <w:rsid w:val="004C2DA4"/>
    <w:rsid w:val="004C3BC7"/>
    <w:rsid w:val="004C58F6"/>
    <w:rsid w:val="004C78FF"/>
    <w:rsid w:val="004D2591"/>
    <w:rsid w:val="004D56AE"/>
    <w:rsid w:val="004D5822"/>
    <w:rsid w:val="004D5FE3"/>
    <w:rsid w:val="004D6BC6"/>
    <w:rsid w:val="004D6BEE"/>
    <w:rsid w:val="004D76C1"/>
    <w:rsid w:val="004E0716"/>
    <w:rsid w:val="004E1356"/>
    <w:rsid w:val="004E1600"/>
    <w:rsid w:val="004E2087"/>
    <w:rsid w:val="004E2510"/>
    <w:rsid w:val="004E425B"/>
    <w:rsid w:val="004E60EA"/>
    <w:rsid w:val="004E7A34"/>
    <w:rsid w:val="004F0B2B"/>
    <w:rsid w:val="004F1B42"/>
    <w:rsid w:val="004F74FD"/>
    <w:rsid w:val="0050335E"/>
    <w:rsid w:val="00507688"/>
    <w:rsid w:val="00510D27"/>
    <w:rsid w:val="00511C3D"/>
    <w:rsid w:val="0051506A"/>
    <w:rsid w:val="00516FF2"/>
    <w:rsid w:val="005201D9"/>
    <w:rsid w:val="00521FC9"/>
    <w:rsid w:val="00522E87"/>
    <w:rsid w:val="005232D8"/>
    <w:rsid w:val="00525B44"/>
    <w:rsid w:val="00533340"/>
    <w:rsid w:val="00540070"/>
    <w:rsid w:val="00541282"/>
    <w:rsid w:val="005422A0"/>
    <w:rsid w:val="00544871"/>
    <w:rsid w:val="00545314"/>
    <w:rsid w:val="0054674F"/>
    <w:rsid w:val="00546BFB"/>
    <w:rsid w:val="00546D9E"/>
    <w:rsid w:val="005471E7"/>
    <w:rsid w:val="00550631"/>
    <w:rsid w:val="00552E40"/>
    <w:rsid w:val="00560056"/>
    <w:rsid w:val="005605C1"/>
    <w:rsid w:val="005635F6"/>
    <w:rsid w:val="00564A27"/>
    <w:rsid w:val="00565B92"/>
    <w:rsid w:val="00565DA9"/>
    <w:rsid w:val="00571D10"/>
    <w:rsid w:val="00573460"/>
    <w:rsid w:val="00575A51"/>
    <w:rsid w:val="00577526"/>
    <w:rsid w:val="0058107E"/>
    <w:rsid w:val="00581FF5"/>
    <w:rsid w:val="00584BF4"/>
    <w:rsid w:val="00585BC7"/>
    <w:rsid w:val="00585CC2"/>
    <w:rsid w:val="00590FD0"/>
    <w:rsid w:val="00593779"/>
    <w:rsid w:val="00595719"/>
    <w:rsid w:val="00596081"/>
    <w:rsid w:val="00596563"/>
    <w:rsid w:val="00596899"/>
    <w:rsid w:val="00596F94"/>
    <w:rsid w:val="005A121B"/>
    <w:rsid w:val="005A2452"/>
    <w:rsid w:val="005A2560"/>
    <w:rsid w:val="005A3CF7"/>
    <w:rsid w:val="005A66BA"/>
    <w:rsid w:val="005B0109"/>
    <w:rsid w:val="005B151C"/>
    <w:rsid w:val="005B3085"/>
    <w:rsid w:val="005B3411"/>
    <w:rsid w:val="005B3821"/>
    <w:rsid w:val="005B39E2"/>
    <w:rsid w:val="005B4197"/>
    <w:rsid w:val="005B55BF"/>
    <w:rsid w:val="005B598A"/>
    <w:rsid w:val="005C04BD"/>
    <w:rsid w:val="005C1C50"/>
    <w:rsid w:val="005C1F89"/>
    <w:rsid w:val="005C3842"/>
    <w:rsid w:val="005C418F"/>
    <w:rsid w:val="005C4308"/>
    <w:rsid w:val="005C4BEF"/>
    <w:rsid w:val="005C7417"/>
    <w:rsid w:val="005D0B5D"/>
    <w:rsid w:val="005D5539"/>
    <w:rsid w:val="005D6585"/>
    <w:rsid w:val="005E2558"/>
    <w:rsid w:val="005E369C"/>
    <w:rsid w:val="005E696B"/>
    <w:rsid w:val="005F0D44"/>
    <w:rsid w:val="005F2EF0"/>
    <w:rsid w:val="005F3B0E"/>
    <w:rsid w:val="005F472E"/>
    <w:rsid w:val="005F5E60"/>
    <w:rsid w:val="005F7365"/>
    <w:rsid w:val="00604404"/>
    <w:rsid w:val="006067D9"/>
    <w:rsid w:val="00606ED4"/>
    <w:rsid w:val="00610480"/>
    <w:rsid w:val="00614365"/>
    <w:rsid w:val="00614DE6"/>
    <w:rsid w:val="00615212"/>
    <w:rsid w:val="006153AB"/>
    <w:rsid w:val="0061575E"/>
    <w:rsid w:val="0062186E"/>
    <w:rsid w:val="0062211E"/>
    <w:rsid w:val="00623E94"/>
    <w:rsid w:val="00625BE4"/>
    <w:rsid w:val="00627F26"/>
    <w:rsid w:val="00631D7C"/>
    <w:rsid w:val="00632943"/>
    <w:rsid w:val="00632EB9"/>
    <w:rsid w:val="00632FB8"/>
    <w:rsid w:val="00634F6A"/>
    <w:rsid w:val="0063755B"/>
    <w:rsid w:val="00640477"/>
    <w:rsid w:val="00642F6A"/>
    <w:rsid w:val="00643D68"/>
    <w:rsid w:val="00650D91"/>
    <w:rsid w:val="00651E87"/>
    <w:rsid w:val="006530D7"/>
    <w:rsid w:val="00654107"/>
    <w:rsid w:val="0065505A"/>
    <w:rsid w:val="00655DB7"/>
    <w:rsid w:val="00656E7D"/>
    <w:rsid w:val="006604BC"/>
    <w:rsid w:val="0066060A"/>
    <w:rsid w:val="00665E23"/>
    <w:rsid w:val="0066693B"/>
    <w:rsid w:val="006670BF"/>
    <w:rsid w:val="00667765"/>
    <w:rsid w:val="006740C8"/>
    <w:rsid w:val="006742A4"/>
    <w:rsid w:val="00682A85"/>
    <w:rsid w:val="00684A3E"/>
    <w:rsid w:val="00685245"/>
    <w:rsid w:val="00685B2D"/>
    <w:rsid w:val="006867A8"/>
    <w:rsid w:val="00687ABD"/>
    <w:rsid w:val="00690A43"/>
    <w:rsid w:val="00694622"/>
    <w:rsid w:val="0069495A"/>
    <w:rsid w:val="00694E90"/>
    <w:rsid w:val="00696929"/>
    <w:rsid w:val="006A0276"/>
    <w:rsid w:val="006A25F2"/>
    <w:rsid w:val="006A310E"/>
    <w:rsid w:val="006A45FE"/>
    <w:rsid w:val="006A7A23"/>
    <w:rsid w:val="006B10AE"/>
    <w:rsid w:val="006B26B8"/>
    <w:rsid w:val="006B3D5E"/>
    <w:rsid w:val="006B50CA"/>
    <w:rsid w:val="006B562A"/>
    <w:rsid w:val="006B5E4B"/>
    <w:rsid w:val="006B7F0A"/>
    <w:rsid w:val="006C0572"/>
    <w:rsid w:val="006C0B8C"/>
    <w:rsid w:val="006C1210"/>
    <w:rsid w:val="006C173C"/>
    <w:rsid w:val="006C1D13"/>
    <w:rsid w:val="006C3765"/>
    <w:rsid w:val="006C3816"/>
    <w:rsid w:val="006C4087"/>
    <w:rsid w:val="006C4E12"/>
    <w:rsid w:val="006C5D8F"/>
    <w:rsid w:val="006C6A78"/>
    <w:rsid w:val="006C6ADE"/>
    <w:rsid w:val="006D1BA2"/>
    <w:rsid w:val="006D5CF4"/>
    <w:rsid w:val="006F2529"/>
    <w:rsid w:val="006F2A5F"/>
    <w:rsid w:val="006F7D7B"/>
    <w:rsid w:val="00700905"/>
    <w:rsid w:val="00702720"/>
    <w:rsid w:val="00703950"/>
    <w:rsid w:val="00704554"/>
    <w:rsid w:val="00705CB8"/>
    <w:rsid w:val="00705CB9"/>
    <w:rsid w:val="00705CF5"/>
    <w:rsid w:val="00710F09"/>
    <w:rsid w:val="0071103F"/>
    <w:rsid w:val="00711A60"/>
    <w:rsid w:val="007129E2"/>
    <w:rsid w:val="00714B5B"/>
    <w:rsid w:val="007150F2"/>
    <w:rsid w:val="007211FB"/>
    <w:rsid w:val="007235F6"/>
    <w:rsid w:val="007243D6"/>
    <w:rsid w:val="00725B7A"/>
    <w:rsid w:val="00726C92"/>
    <w:rsid w:val="00731F23"/>
    <w:rsid w:val="007325E6"/>
    <w:rsid w:val="0073583E"/>
    <w:rsid w:val="0073668F"/>
    <w:rsid w:val="00740F30"/>
    <w:rsid w:val="00742410"/>
    <w:rsid w:val="0074795B"/>
    <w:rsid w:val="00747CD7"/>
    <w:rsid w:val="00750E7C"/>
    <w:rsid w:val="0075340C"/>
    <w:rsid w:val="0075459E"/>
    <w:rsid w:val="00757388"/>
    <w:rsid w:val="007652D5"/>
    <w:rsid w:val="007656E8"/>
    <w:rsid w:val="00767725"/>
    <w:rsid w:val="00770EE2"/>
    <w:rsid w:val="00771622"/>
    <w:rsid w:val="0077218A"/>
    <w:rsid w:val="00772E6A"/>
    <w:rsid w:val="00776654"/>
    <w:rsid w:val="007768F1"/>
    <w:rsid w:val="00777302"/>
    <w:rsid w:val="007806C5"/>
    <w:rsid w:val="00781E53"/>
    <w:rsid w:val="00783524"/>
    <w:rsid w:val="007844E7"/>
    <w:rsid w:val="00785BDA"/>
    <w:rsid w:val="007862CD"/>
    <w:rsid w:val="007863BA"/>
    <w:rsid w:val="00786B12"/>
    <w:rsid w:val="007918BB"/>
    <w:rsid w:val="00792334"/>
    <w:rsid w:val="00796BB9"/>
    <w:rsid w:val="00796C9F"/>
    <w:rsid w:val="007A60C3"/>
    <w:rsid w:val="007A7267"/>
    <w:rsid w:val="007A72BD"/>
    <w:rsid w:val="007B082D"/>
    <w:rsid w:val="007B1201"/>
    <w:rsid w:val="007B1869"/>
    <w:rsid w:val="007B3C2A"/>
    <w:rsid w:val="007B4522"/>
    <w:rsid w:val="007C1707"/>
    <w:rsid w:val="007C71E0"/>
    <w:rsid w:val="007C76F1"/>
    <w:rsid w:val="007D0876"/>
    <w:rsid w:val="007D3C5C"/>
    <w:rsid w:val="007D443D"/>
    <w:rsid w:val="007D4763"/>
    <w:rsid w:val="007D5594"/>
    <w:rsid w:val="007D606A"/>
    <w:rsid w:val="007E13FE"/>
    <w:rsid w:val="007E503D"/>
    <w:rsid w:val="007E5AA5"/>
    <w:rsid w:val="007E6653"/>
    <w:rsid w:val="007E7E0F"/>
    <w:rsid w:val="007F01A0"/>
    <w:rsid w:val="007F209E"/>
    <w:rsid w:val="007F4257"/>
    <w:rsid w:val="0080092C"/>
    <w:rsid w:val="00801812"/>
    <w:rsid w:val="008023DA"/>
    <w:rsid w:val="00806125"/>
    <w:rsid w:val="00810C50"/>
    <w:rsid w:val="00810C95"/>
    <w:rsid w:val="00811E15"/>
    <w:rsid w:val="00814062"/>
    <w:rsid w:val="008142CA"/>
    <w:rsid w:val="00816711"/>
    <w:rsid w:val="0081683F"/>
    <w:rsid w:val="00816B5D"/>
    <w:rsid w:val="00816C00"/>
    <w:rsid w:val="008179B0"/>
    <w:rsid w:val="00822ED9"/>
    <w:rsid w:val="008231D7"/>
    <w:rsid w:val="00823224"/>
    <w:rsid w:val="00823627"/>
    <w:rsid w:val="00824508"/>
    <w:rsid w:val="008272CA"/>
    <w:rsid w:val="008306DD"/>
    <w:rsid w:val="00830E42"/>
    <w:rsid w:val="00834AAC"/>
    <w:rsid w:val="008357E8"/>
    <w:rsid w:val="00840AB4"/>
    <w:rsid w:val="00840C7A"/>
    <w:rsid w:val="008440C6"/>
    <w:rsid w:val="00845A51"/>
    <w:rsid w:val="0084600C"/>
    <w:rsid w:val="0084722E"/>
    <w:rsid w:val="00847C24"/>
    <w:rsid w:val="00852AE6"/>
    <w:rsid w:val="00857B99"/>
    <w:rsid w:val="00860711"/>
    <w:rsid w:val="008649CE"/>
    <w:rsid w:val="0086627C"/>
    <w:rsid w:val="008668EB"/>
    <w:rsid w:val="00866D8D"/>
    <w:rsid w:val="008736EC"/>
    <w:rsid w:val="0087598B"/>
    <w:rsid w:val="00877FF4"/>
    <w:rsid w:val="0088126B"/>
    <w:rsid w:val="00884750"/>
    <w:rsid w:val="00884BF4"/>
    <w:rsid w:val="00885FF8"/>
    <w:rsid w:val="00886021"/>
    <w:rsid w:val="0088657C"/>
    <w:rsid w:val="0088697F"/>
    <w:rsid w:val="008873C1"/>
    <w:rsid w:val="00887A9C"/>
    <w:rsid w:val="00887AFD"/>
    <w:rsid w:val="00890DF2"/>
    <w:rsid w:val="008950C4"/>
    <w:rsid w:val="00897FEB"/>
    <w:rsid w:val="008A2490"/>
    <w:rsid w:val="008A3383"/>
    <w:rsid w:val="008A3DA5"/>
    <w:rsid w:val="008A57FC"/>
    <w:rsid w:val="008A5D9F"/>
    <w:rsid w:val="008B3C2D"/>
    <w:rsid w:val="008B4EB8"/>
    <w:rsid w:val="008C0E5F"/>
    <w:rsid w:val="008C0FA1"/>
    <w:rsid w:val="008C2EEA"/>
    <w:rsid w:val="008C6734"/>
    <w:rsid w:val="008C7E23"/>
    <w:rsid w:val="008D12CD"/>
    <w:rsid w:val="008D4453"/>
    <w:rsid w:val="008D4CA5"/>
    <w:rsid w:val="008E093F"/>
    <w:rsid w:val="008E120D"/>
    <w:rsid w:val="008E2846"/>
    <w:rsid w:val="008E331B"/>
    <w:rsid w:val="008E35A9"/>
    <w:rsid w:val="008E5C5D"/>
    <w:rsid w:val="008F0811"/>
    <w:rsid w:val="008F1E3E"/>
    <w:rsid w:val="008F2B91"/>
    <w:rsid w:val="008F5830"/>
    <w:rsid w:val="008F67D5"/>
    <w:rsid w:val="008F7435"/>
    <w:rsid w:val="00900050"/>
    <w:rsid w:val="0090295A"/>
    <w:rsid w:val="00906AD9"/>
    <w:rsid w:val="00907238"/>
    <w:rsid w:val="00912F9B"/>
    <w:rsid w:val="009133DE"/>
    <w:rsid w:val="00916034"/>
    <w:rsid w:val="00924CD1"/>
    <w:rsid w:val="0092536E"/>
    <w:rsid w:val="009311F0"/>
    <w:rsid w:val="009317DF"/>
    <w:rsid w:val="0093303F"/>
    <w:rsid w:val="0093466B"/>
    <w:rsid w:val="00940A1F"/>
    <w:rsid w:val="00940AB4"/>
    <w:rsid w:val="0095030D"/>
    <w:rsid w:val="00950469"/>
    <w:rsid w:val="00951001"/>
    <w:rsid w:val="009535AE"/>
    <w:rsid w:val="00956347"/>
    <w:rsid w:val="00956B6C"/>
    <w:rsid w:val="00957D69"/>
    <w:rsid w:val="00964219"/>
    <w:rsid w:val="009673B5"/>
    <w:rsid w:val="00972A31"/>
    <w:rsid w:val="00973CEC"/>
    <w:rsid w:val="00977C96"/>
    <w:rsid w:val="00980955"/>
    <w:rsid w:val="009832C5"/>
    <w:rsid w:val="00983598"/>
    <w:rsid w:val="0098428B"/>
    <w:rsid w:val="00984C67"/>
    <w:rsid w:val="0098570B"/>
    <w:rsid w:val="00985B24"/>
    <w:rsid w:val="00987447"/>
    <w:rsid w:val="009930B5"/>
    <w:rsid w:val="00994015"/>
    <w:rsid w:val="009952B4"/>
    <w:rsid w:val="00996A3D"/>
    <w:rsid w:val="0099793C"/>
    <w:rsid w:val="009A3A80"/>
    <w:rsid w:val="009A3FF0"/>
    <w:rsid w:val="009A7596"/>
    <w:rsid w:val="009B1681"/>
    <w:rsid w:val="009B272E"/>
    <w:rsid w:val="009B2935"/>
    <w:rsid w:val="009B62A5"/>
    <w:rsid w:val="009B78C7"/>
    <w:rsid w:val="009C0834"/>
    <w:rsid w:val="009C37E9"/>
    <w:rsid w:val="009C416F"/>
    <w:rsid w:val="009C49F2"/>
    <w:rsid w:val="009C595C"/>
    <w:rsid w:val="009C6B81"/>
    <w:rsid w:val="009C75E5"/>
    <w:rsid w:val="009D165B"/>
    <w:rsid w:val="009D3338"/>
    <w:rsid w:val="009D3F2B"/>
    <w:rsid w:val="009D3F68"/>
    <w:rsid w:val="009D611C"/>
    <w:rsid w:val="009D6632"/>
    <w:rsid w:val="009D763C"/>
    <w:rsid w:val="009E0BCA"/>
    <w:rsid w:val="009E25BC"/>
    <w:rsid w:val="009E3479"/>
    <w:rsid w:val="009E5E2B"/>
    <w:rsid w:val="009E71BA"/>
    <w:rsid w:val="009F0344"/>
    <w:rsid w:val="009F1B4D"/>
    <w:rsid w:val="009F3D53"/>
    <w:rsid w:val="009F3E66"/>
    <w:rsid w:val="00A01C77"/>
    <w:rsid w:val="00A02359"/>
    <w:rsid w:val="00A04239"/>
    <w:rsid w:val="00A10601"/>
    <w:rsid w:val="00A10A64"/>
    <w:rsid w:val="00A11711"/>
    <w:rsid w:val="00A1259C"/>
    <w:rsid w:val="00A126A4"/>
    <w:rsid w:val="00A14082"/>
    <w:rsid w:val="00A14FDB"/>
    <w:rsid w:val="00A154C9"/>
    <w:rsid w:val="00A15D55"/>
    <w:rsid w:val="00A2025F"/>
    <w:rsid w:val="00A2120F"/>
    <w:rsid w:val="00A21BCB"/>
    <w:rsid w:val="00A21BFA"/>
    <w:rsid w:val="00A2523E"/>
    <w:rsid w:val="00A25BE1"/>
    <w:rsid w:val="00A31545"/>
    <w:rsid w:val="00A34B24"/>
    <w:rsid w:val="00A34DF9"/>
    <w:rsid w:val="00A43E9C"/>
    <w:rsid w:val="00A45005"/>
    <w:rsid w:val="00A456C9"/>
    <w:rsid w:val="00A45971"/>
    <w:rsid w:val="00A46216"/>
    <w:rsid w:val="00A46E67"/>
    <w:rsid w:val="00A5044C"/>
    <w:rsid w:val="00A52788"/>
    <w:rsid w:val="00A5363F"/>
    <w:rsid w:val="00A56B99"/>
    <w:rsid w:val="00A60DA4"/>
    <w:rsid w:val="00A6112B"/>
    <w:rsid w:val="00A61332"/>
    <w:rsid w:val="00A61837"/>
    <w:rsid w:val="00A61BFF"/>
    <w:rsid w:val="00A63DFE"/>
    <w:rsid w:val="00A65485"/>
    <w:rsid w:val="00A66F76"/>
    <w:rsid w:val="00A7582E"/>
    <w:rsid w:val="00A82DB0"/>
    <w:rsid w:val="00A83A2E"/>
    <w:rsid w:val="00A876FE"/>
    <w:rsid w:val="00A90D3A"/>
    <w:rsid w:val="00A917E6"/>
    <w:rsid w:val="00A91F9C"/>
    <w:rsid w:val="00A949A4"/>
    <w:rsid w:val="00A94EE1"/>
    <w:rsid w:val="00A9612E"/>
    <w:rsid w:val="00A966AF"/>
    <w:rsid w:val="00A97E46"/>
    <w:rsid w:val="00AA077E"/>
    <w:rsid w:val="00AA17DE"/>
    <w:rsid w:val="00AA336B"/>
    <w:rsid w:val="00AA6210"/>
    <w:rsid w:val="00AA72AE"/>
    <w:rsid w:val="00AB10F0"/>
    <w:rsid w:val="00AB31C3"/>
    <w:rsid w:val="00AB39DD"/>
    <w:rsid w:val="00AB6B96"/>
    <w:rsid w:val="00AC0D90"/>
    <w:rsid w:val="00AC241D"/>
    <w:rsid w:val="00AC3080"/>
    <w:rsid w:val="00AC3081"/>
    <w:rsid w:val="00AC36C5"/>
    <w:rsid w:val="00AC4F1E"/>
    <w:rsid w:val="00AC5D51"/>
    <w:rsid w:val="00AC61E1"/>
    <w:rsid w:val="00AD07BA"/>
    <w:rsid w:val="00AD0D08"/>
    <w:rsid w:val="00AD2F3B"/>
    <w:rsid w:val="00AD4EAC"/>
    <w:rsid w:val="00AD540C"/>
    <w:rsid w:val="00AD64A3"/>
    <w:rsid w:val="00AD73B6"/>
    <w:rsid w:val="00AE2107"/>
    <w:rsid w:val="00AE2799"/>
    <w:rsid w:val="00AE75D0"/>
    <w:rsid w:val="00B0400A"/>
    <w:rsid w:val="00B04B91"/>
    <w:rsid w:val="00B10FAC"/>
    <w:rsid w:val="00B11B80"/>
    <w:rsid w:val="00B12F6A"/>
    <w:rsid w:val="00B13452"/>
    <w:rsid w:val="00B13BCD"/>
    <w:rsid w:val="00B16312"/>
    <w:rsid w:val="00B169E9"/>
    <w:rsid w:val="00B16A26"/>
    <w:rsid w:val="00B179D8"/>
    <w:rsid w:val="00B23327"/>
    <w:rsid w:val="00B23A1E"/>
    <w:rsid w:val="00B2586E"/>
    <w:rsid w:val="00B26241"/>
    <w:rsid w:val="00B30707"/>
    <w:rsid w:val="00B32D7D"/>
    <w:rsid w:val="00B32F37"/>
    <w:rsid w:val="00B34BA0"/>
    <w:rsid w:val="00B34FB7"/>
    <w:rsid w:val="00B3701E"/>
    <w:rsid w:val="00B371DF"/>
    <w:rsid w:val="00B3766A"/>
    <w:rsid w:val="00B40662"/>
    <w:rsid w:val="00B40ABE"/>
    <w:rsid w:val="00B435AA"/>
    <w:rsid w:val="00B46657"/>
    <w:rsid w:val="00B53768"/>
    <w:rsid w:val="00B55EAF"/>
    <w:rsid w:val="00B62429"/>
    <w:rsid w:val="00B635EB"/>
    <w:rsid w:val="00B63C65"/>
    <w:rsid w:val="00B663E1"/>
    <w:rsid w:val="00B67EF4"/>
    <w:rsid w:val="00B7205A"/>
    <w:rsid w:val="00B735C0"/>
    <w:rsid w:val="00B73D1D"/>
    <w:rsid w:val="00B7483B"/>
    <w:rsid w:val="00B76586"/>
    <w:rsid w:val="00B76F53"/>
    <w:rsid w:val="00B77A67"/>
    <w:rsid w:val="00B838C6"/>
    <w:rsid w:val="00B845F7"/>
    <w:rsid w:val="00B870A0"/>
    <w:rsid w:val="00B87963"/>
    <w:rsid w:val="00B937CF"/>
    <w:rsid w:val="00B957D1"/>
    <w:rsid w:val="00B95962"/>
    <w:rsid w:val="00B96707"/>
    <w:rsid w:val="00B96FA4"/>
    <w:rsid w:val="00BA358B"/>
    <w:rsid w:val="00BA3A90"/>
    <w:rsid w:val="00BA560E"/>
    <w:rsid w:val="00BA6746"/>
    <w:rsid w:val="00BA6DBF"/>
    <w:rsid w:val="00BA74C1"/>
    <w:rsid w:val="00BB089C"/>
    <w:rsid w:val="00BB1BD3"/>
    <w:rsid w:val="00BB323B"/>
    <w:rsid w:val="00BB39EA"/>
    <w:rsid w:val="00BB4C96"/>
    <w:rsid w:val="00BB6B2E"/>
    <w:rsid w:val="00BC03AC"/>
    <w:rsid w:val="00BC2F62"/>
    <w:rsid w:val="00BC351E"/>
    <w:rsid w:val="00BC36ED"/>
    <w:rsid w:val="00BC4DBE"/>
    <w:rsid w:val="00BD12A7"/>
    <w:rsid w:val="00BD3BB3"/>
    <w:rsid w:val="00BD4921"/>
    <w:rsid w:val="00BD61F6"/>
    <w:rsid w:val="00BE0261"/>
    <w:rsid w:val="00BE1B39"/>
    <w:rsid w:val="00BE5955"/>
    <w:rsid w:val="00BE5B87"/>
    <w:rsid w:val="00BE6008"/>
    <w:rsid w:val="00BF099A"/>
    <w:rsid w:val="00BF18AB"/>
    <w:rsid w:val="00BF1FE4"/>
    <w:rsid w:val="00BF231C"/>
    <w:rsid w:val="00BF3401"/>
    <w:rsid w:val="00BF60E3"/>
    <w:rsid w:val="00BF6E9D"/>
    <w:rsid w:val="00C04B56"/>
    <w:rsid w:val="00C05C02"/>
    <w:rsid w:val="00C062EC"/>
    <w:rsid w:val="00C073A8"/>
    <w:rsid w:val="00C07561"/>
    <w:rsid w:val="00C109B6"/>
    <w:rsid w:val="00C1178C"/>
    <w:rsid w:val="00C11E90"/>
    <w:rsid w:val="00C14646"/>
    <w:rsid w:val="00C22CB1"/>
    <w:rsid w:val="00C22E9E"/>
    <w:rsid w:val="00C25330"/>
    <w:rsid w:val="00C26506"/>
    <w:rsid w:val="00C27CF7"/>
    <w:rsid w:val="00C3047B"/>
    <w:rsid w:val="00C31F1C"/>
    <w:rsid w:val="00C3341B"/>
    <w:rsid w:val="00C33900"/>
    <w:rsid w:val="00C34557"/>
    <w:rsid w:val="00C37934"/>
    <w:rsid w:val="00C403D0"/>
    <w:rsid w:val="00C41158"/>
    <w:rsid w:val="00C42776"/>
    <w:rsid w:val="00C45BC2"/>
    <w:rsid w:val="00C45FAD"/>
    <w:rsid w:val="00C47FA3"/>
    <w:rsid w:val="00C50DF9"/>
    <w:rsid w:val="00C51B6A"/>
    <w:rsid w:val="00C54026"/>
    <w:rsid w:val="00C562EA"/>
    <w:rsid w:val="00C569D0"/>
    <w:rsid w:val="00C577D7"/>
    <w:rsid w:val="00C606CE"/>
    <w:rsid w:val="00C62733"/>
    <w:rsid w:val="00C62824"/>
    <w:rsid w:val="00C63CB4"/>
    <w:rsid w:val="00C67922"/>
    <w:rsid w:val="00C7216D"/>
    <w:rsid w:val="00C72571"/>
    <w:rsid w:val="00C7279B"/>
    <w:rsid w:val="00C72E77"/>
    <w:rsid w:val="00C75E1F"/>
    <w:rsid w:val="00C77C0A"/>
    <w:rsid w:val="00C807DE"/>
    <w:rsid w:val="00C8152E"/>
    <w:rsid w:val="00C8257C"/>
    <w:rsid w:val="00C82F34"/>
    <w:rsid w:val="00C83512"/>
    <w:rsid w:val="00C8358F"/>
    <w:rsid w:val="00C90EF6"/>
    <w:rsid w:val="00C9161E"/>
    <w:rsid w:val="00C929A3"/>
    <w:rsid w:val="00C9334A"/>
    <w:rsid w:val="00C941AB"/>
    <w:rsid w:val="00C9442D"/>
    <w:rsid w:val="00C95252"/>
    <w:rsid w:val="00C97E88"/>
    <w:rsid w:val="00CA0236"/>
    <w:rsid w:val="00CA5681"/>
    <w:rsid w:val="00CA5905"/>
    <w:rsid w:val="00CA5F41"/>
    <w:rsid w:val="00CA75FA"/>
    <w:rsid w:val="00CB138D"/>
    <w:rsid w:val="00CB2AC4"/>
    <w:rsid w:val="00CB6A85"/>
    <w:rsid w:val="00CC18CD"/>
    <w:rsid w:val="00CC1CC8"/>
    <w:rsid w:val="00CC2208"/>
    <w:rsid w:val="00CC55A0"/>
    <w:rsid w:val="00CC7A05"/>
    <w:rsid w:val="00CD01D7"/>
    <w:rsid w:val="00CD1E56"/>
    <w:rsid w:val="00CD3598"/>
    <w:rsid w:val="00CD4757"/>
    <w:rsid w:val="00CD4EE9"/>
    <w:rsid w:val="00CD5666"/>
    <w:rsid w:val="00CE3543"/>
    <w:rsid w:val="00CE4816"/>
    <w:rsid w:val="00CE5957"/>
    <w:rsid w:val="00CE5985"/>
    <w:rsid w:val="00CF0399"/>
    <w:rsid w:val="00CF14E1"/>
    <w:rsid w:val="00CF17E0"/>
    <w:rsid w:val="00CF2FC4"/>
    <w:rsid w:val="00CF4C6D"/>
    <w:rsid w:val="00CF57FB"/>
    <w:rsid w:val="00D024C0"/>
    <w:rsid w:val="00D04177"/>
    <w:rsid w:val="00D04A2D"/>
    <w:rsid w:val="00D05127"/>
    <w:rsid w:val="00D055EE"/>
    <w:rsid w:val="00D05C21"/>
    <w:rsid w:val="00D070AE"/>
    <w:rsid w:val="00D14922"/>
    <w:rsid w:val="00D150F8"/>
    <w:rsid w:val="00D1717D"/>
    <w:rsid w:val="00D1786F"/>
    <w:rsid w:val="00D23FD9"/>
    <w:rsid w:val="00D269F2"/>
    <w:rsid w:val="00D2737C"/>
    <w:rsid w:val="00D275D4"/>
    <w:rsid w:val="00D27A48"/>
    <w:rsid w:val="00D30486"/>
    <w:rsid w:val="00D32561"/>
    <w:rsid w:val="00D32B59"/>
    <w:rsid w:val="00D33590"/>
    <w:rsid w:val="00D34D12"/>
    <w:rsid w:val="00D46060"/>
    <w:rsid w:val="00D46C96"/>
    <w:rsid w:val="00D52541"/>
    <w:rsid w:val="00D53264"/>
    <w:rsid w:val="00D536AC"/>
    <w:rsid w:val="00D55D50"/>
    <w:rsid w:val="00D56016"/>
    <w:rsid w:val="00D61898"/>
    <w:rsid w:val="00D61917"/>
    <w:rsid w:val="00D61E0C"/>
    <w:rsid w:val="00D62551"/>
    <w:rsid w:val="00D6434B"/>
    <w:rsid w:val="00D646B6"/>
    <w:rsid w:val="00D64837"/>
    <w:rsid w:val="00D64E65"/>
    <w:rsid w:val="00D650FB"/>
    <w:rsid w:val="00D66CF4"/>
    <w:rsid w:val="00D72530"/>
    <w:rsid w:val="00D739B7"/>
    <w:rsid w:val="00D75C2D"/>
    <w:rsid w:val="00D76DC2"/>
    <w:rsid w:val="00D8007F"/>
    <w:rsid w:val="00D850BB"/>
    <w:rsid w:val="00D866C4"/>
    <w:rsid w:val="00D86D97"/>
    <w:rsid w:val="00D90F2B"/>
    <w:rsid w:val="00D917A4"/>
    <w:rsid w:val="00D91BDC"/>
    <w:rsid w:val="00D91EE2"/>
    <w:rsid w:val="00D966B1"/>
    <w:rsid w:val="00D97A0A"/>
    <w:rsid w:val="00DA1214"/>
    <w:rsid w:val="00DA160D"/>
    <w:rsid w:val="00DA2D88"/>
    <w:rsid w:val="00DA3562"/>
    <w:rsid w:val="00DA3758"/>
    <w:rsid w:val="00DA42AE"/>
    <w:rsid w:val="00DA7B28"/>
    <w:rsid w:val="00DA7ECD"/>
    <w:rsid w:val="00DB09EA"/>
    <w:rsid w:val="00DB1DC8"/>
    <w:rsid w:val="00DB430C"/>
    <w:rsid w:val="00DB442F"/>
    <w:rsid w:val="00DB68B7"/>
    <w:rsid w:val="00DC0BFE"/>
    <w:rsid w:val="00DC1423"/>
    <w:rsid w:val="00DC351F"/>
    <w:rsid w:val="00DC5FAD"/>
    <w:rsid w:val="00DD05C3"/>
    <w:rsid w:val="00DD0BC7"/>
    <w:rsid w:val="00DD1537"/>
    <w:rsid w:val="00DD1E3A"/>
    <w:rsid w:val="00DD3420"/>
    <w:rsid w:val="00DD48DD"/>
    <w:rsid w:val="00DD724E"/>
    <w:rsid w:val="00DD788D"/>
    <w:rsid w:val="00DE027A"/>
    <w:rsid w:val="00DE0F49"/>
    <w:rsid w:val="00DE12B9"/>
    <w:rsid w:val="00DE2336"/>
    <w:rsid w:val="00DE3607"/>
    <w:rsid w:val="00DE3773"/>
    <w:rsid w:val="00DE416D"/>
    <w:rsid w:val="00DE4BA8"/>
    <w:rsid w:val="00DF51A8"/>
    <w:rsid w:val="00E0027D"/>
    <w:rsid w:val="00E00E40"/>
    <w:rsid w:val="00E01E73"/>
    <w:rsid w:val="00E05D5A"/>
    <w:rsid w:val="00E06CE2"/>
    <w:rsid w:val="00E06D4B"/>
    <w:rsid w:val="00E11E94"/>
    <w:rsid w:val="00E132C1"/>
    <w:rsid w:val="00E16403"/>
    <w:rsid w:val="00E20A64"/>
    <w:rsid w:val="00E20F3F"/>
    <w:rsid w:val="00E2331E"/>
    <w:rsid w:val="00E313BD"/>
    <w:rsid w:val="00E335DA"/>
    <w:rsid w:val="00E340AB"/>
    <w:rsid w:val="00E3695D"/>
    <w:rsid w:val="00E36BDC"/>
    <w:rsid w:val="00E37469"/>
    <w:rsid w:val="00E40C4F"/>
    <w:rsid w:val="00E41AE6"/>
    <w:rsid w:val="00E42161"/>
    <w:rsid w:val="00E43B75"/>
    <w:rsid w:val="00E4493E"/>
    <w:rsid w:val="00E51553"/>
    <w:rsid w:val="00E531F9"/>
    <w:rsid w:val="00E5364B"/>
    <w:rsid w:val="00E54862"/>
    <w:rsid w:val="00E569B1"/>
    <w:rsid w:val="00E637B7"/>
    <w:rsid w:val="00E66231"/>
    <w:rsid w:val="00E66B71"/>
    <w:rsid w:val="00E66ECB"/>
    <w:rsid w:val="00E72DF3"/>
    <w:rsid w:val="00E75E94"/>
    <w:rsid w:val="00E76B0E"/>
    <w:rsid w:val="00E82560"/>
    <w:rsid w:val="00E8412E"/>
    <w:rsid w:val="00E85812"/>
    <w:rsid w:val="00E86FDE"/>
    <w:rsid w:val="00E87A96"/>
    <w:rsid w:val="00E910AF"/>
    <w:rsid w:val="00E91389"/>
    <w:rsid w:val="00E92087"/>
    <w:rsid w:val="00E9432F"/>
    <w:rsid w:val="00E953B2"/>
    <w:rsid w:val="00EA0C6B"/>
    <w:rsid w:val="00EA3CDB"/>
    <w:rsid w:val="00EA535D"/>
    <w:rsid w:val="00EA5877"/>
    <w:rsid w:val="00EA5E1B"/>
    <w:rsid w:val="00EA6A7F"/>
    <w:rsid w:val="00EB134E"/>
    <w:rsid w:val="00EB295F"/>
    <w:rsid w:val="00EB2D5F"/>
    <w:rsid w:val="00EB3CEF"/>
    <w:rsid w:val="00EB4E72"/>
    <w:rsid w:val="00EB7C9F"/>
    <w:rsid w:val="00EC5E17"/>
    <w:rsid w:val="00EC5F71"/>
    <w:rsid w:val="00EC6915"/>
    <w:rsid w:val="00EC7E38"/>
    <w:rsid w:val="00ED01BE"/>
    <w:rsid w:val="00ED42C9"/>
    <w:rsid w:val="00ED445C"/>
    <w:rsid w:val="00ED46F7"/>
    <w:rsid w:val="00ED4B12"/>
    <w:rsid w:val="00EE0B26"/>
    <w:rsid w:val="00EE112B"/>
    <w:rsid w:val="00EE168D"/>
    <w:rsid w:val="00EE2154"/>
    <w:rsid w:val="00EE61EC"/>
    <w:rsid w:val="00EE7469"/>
    <w:rsid w:val="00EF1716"/>
    <w:rsid w:val="00EF509F"/>
    <w:rsid w:val="00EF619C"/>
    <w:rsid w:val="00EF6372"/>
    <w:rsid w:val="00EF68A8"/>
    <w:rsid w:val="00F00407"/>
    <w:rsid w:val="00F009C8"/>
    <w:rsid w:val="00F012DC"/>
    <w:rsid w:val="00F02900"/>
    <w:rsid w:val="00F048B4"/>
    <w:rsid w:val="00F17D1D"/>
    <w:rsid w:val="00F240C7"/>
    <w:rsid w:val="00F25C33"/>
    <w:rsid w:val="00F269A4"/>
    <w:rsid w:val="00F27248"/>
    <w:rsid w:val="00F30F89"/>
    <w:rsid w:val="00F3155E"/>
    <w:rsid w:val="00F3262E"/>
    <w:rsid w:val="00F351AD"/>
    <w:rsid w:val="00F363D9"/>
    <w:rsid w:val="00F36777"/>
    <w:rsid w:val="00F37592"/>
    <w:rsid w:val="00F40DBC"/>
    <w:rsid w:val="00F43FFC"/>
    <w:rsid w:val="00F45E00"/>
    <w:rsid w:val="00F507F1"/>
    <w:rsid w:val="00F5163C"/>
    <w:rsid w:val="00F5315A"/>
    <w:rsid w:val="00F54F32"/>
    <w:rsid w:val="00F5580C"/>
    <w:rsid w:val="00F56FBB"/>
    <w:rsid w:val="00F6030E"/>
    <w:rsid w:val="00F61C92"/>
    <w:rsid w:val="00F62C31"/>
    <w:rsid w:val="00F6385D"/>
    <w:rsid w:val="00F64F98"/>
    <w:rsid w:val="00F65F34"/>
    <w:rsid w:val="00F66EE9"/>
    <w:rsid w:val="00F72365"/>
    <w:rsid w:val="00F73293"/>
    <w:rsid w:val="00F77262"/>
    <w:rsid w:val="00F82E25"/>
    <w:rsid w:val="00F836D8"/>
    <w:rsid w:val="00F873DB"/>
    <w:rsid w:val="00F900EB"/>
    <w:rsid w:val="00F90EE6"/>
    <w:rsid w:val="00F90F15"/>
    <w:rsid w:val="00F91C2D"/>
    <w:rsid w:val="00F95895"/>
    <w:rsid w:val="00F95CBD"/>
    <w:rsid w:val="00F96315"/>
    <w:rsid w:val="00F96328"/>
    <w:rsid w:val="00FA02FA"/>
    <w:rsid w:val="00FA0A31"/>
    <w:rsid w:val="00FA0B03"/>
    <w:rsid w:val="00FA0C7E"/>
    <w:rsid w:val="00FB1DF6"/>
    <w:rsid w:val="00FC0634"/>
    <w:rsid w:val="00FC594C"/>
    <w:rsid w:val="00FC7F8F"/>
    <w:rsid w:val="00FD3F90"/>
    <w:rsid w:val="00FD5908"/>
    <w:rsid w:val="00FD5F08"/>
    <w:rsid w:val="00FE3751"/>
    <w:rsid w:val="00FE66DB"/>
    <w:rsid w:val="00FE6AD5"/>
    <w:rsid w:val="00FF1C36"/>
    <w:rsid w:val="00FF2824"/>
    <w:rsid w:val="00FF32A1"/>
    <w:rsid w:val="00FF4A37"/>
    <w:rsid w:val="00FF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C5218"/>
  <w15:docId w15:val="{AFCFD7E2-AF58-4A74-88FA-087A2877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SimSu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E4B"/>
    <w:rPr>
      <w:rFonts w:ascii="Times New Roman" w:hAnsi="Times New Roman" w:cs="Times New Roman"/>
    </w:rPr>
  </w:style>
  <w:style w:type="paragraph" w:styleId="Heading8">
    <w:name w:val="heading 8"/>
    <w:basedOn w:val="Normal"/>
    <w:next w:val="Normal"/>
    <w:link w:val="Heading8Char"/>
    <w:qFormat/>
    <w:rsid w:val="005F2EF0"/>
    <w:pPr>
      <w:keepNext/>
      <w:widowControl w:val="0"/>
      <w:ind w:left="720" w:hanging="720"/>
      <w:outlineLvl w:val="7"/>
    </w:pPr>
    <w:rPr>
      <w:rFonts w:ascii="Times" w:eastAsia="Times New Roman" w:hAnsi="Time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pBdr>
        <w:bottom w:val="single" w:sz="6" w:space="1" w:color="auto"/>
      </w:pBdr>
      <w:tabs>
        <w:tab w:val="center" w:pos="4153"/>
        <w:tab w:val="right" w:pos="8306"/>
      </w:tabs>
      <w:snapToGrid w:val="0"/>
      <w:jc w:val="center"/>
    </w:pPr>
    <w:rPr>
      <w:rFonts w:eastAsia="SimSun" w:cs="SimSun"/>
      <w:sz w:val="18"/>
      <w:szCs w:val="18"/>
    </w:rPr>
  </w:style>
  <w:style w:type="character" w:customStyle="1" w:styleId="HeaderChar">
    <w:name w:val="Header Char"/>
    <w:basedOn w:val="DefaultParagraphFont"/>
    <w:link w:val="Header"/>
    <w:uiPriority w:val="99"/>
    <w:rPr>
      <w:rFonts w:ascii="Times New Roman" w:eastAsia="SimSun" w:hAnsi="Times New Roman"/>
      <w:sz w:val="18"/>
      <w:szCs w:val="18"/>
    </w:rPr>
  </w:style>
  <w:style w:type="paragraph" w:styleId="Footer">
    <w:name w:val="footer"/>
    <w:basedOn w:val="Normal"/>
    <w:link w:val="FooterChar"/>
    <w:uiPriority w:val="99"/>
    <w:pPr>
      <w:widowControl w:val="0"/>
      <w:tabs>
        <w:tab w:val="center" w:pos="4153"/>
        <w:tab w:val="right" w:pos="8306"/>
      </w:tabs>
      <w:snapToGrid w:val="0"/>
    </w:pPr>
    <w:rPr>
      <w:rFonts w:eastAsia="SimSun" w:cs="SimSun"/>
      <w:sz w:val="18"/>
      <w:szCs w:val="18"/>
    </w:rPr>
  </w:style>
  <w:style w:type="character" w:customStyle="1" w:styleId="FooterChar">
    <w:name w:val="Footer Char"/>
    <w:basedOn w:val="DefaultParagraphFont"/>
    <w:link w:val="Footer"/>
    <w:uiPriority w:val="99"/>
    <w:rPr>
      <w:rFonts w:ascii="Times New Roman" w:eastAsia="SimSun" w:hAnsi="Times New Roman"/>
      <w:sz w:val="18"/>
      <w:szCs w:val="18"/>
    </w:rPr>
  </w:style>
  <w:style w:type="paragraph" w:styleId="BalloonText">
    <w:name w:val="Balloon Text"/>
    <w:basedOn w:val="Normal"/>
    <w:link w:val="BalloonTextChar"/>
    <w:uiPriority w:val="99"/>
    <w:pPr>
      <w:widowControl w:val="0"/>
      <w:jc w:val="both"/>
    </w:pPr>
    <w:rPr>
      <w:rFonts w:eastAsia="SimSun" w:cs="SimSun"/>
      <w:sz w:val="18"/>
      <w:szCs w:val="18"/>
    </w:rPr>
  </w:style>
  <w:style w:type="character" w:customStyle="1" w:styleId="BalloonTextChar">
    <w:name w:val="Balloon Text Char"/>
    <w:basedOn w:val="DefaultParagraphFont"/>
    <w:link w:val="BalloonText"/>
    <w:uiPriority w:val="99"/>
    <w:rPr>
      <w:rFonts w:ascii="Times New Roman" w:eastAsia="SimSun" w:hAnsi="Times New Roman"/>
      <w:sz w:val="18"/>
      <w:szCs w:val="18"/>
    </w:rPr>
  </w:style>
  <w:style w:type="character" w:styleId="CommentReference">
    <w:name w:val="annotation reference"/>
    <w:basedOn w:val="DefaultParagraphFont"/>
    <w:uiPriority w:val="99"/>
    <w:rPr>
      <w:sz w:val="21"/>
      <w:szCs w:val="21"/>
    </w:rPr>
  </w:style>
  <w:style w:type="paragraph" w:styleId="CommentText">
    <w:name w:val="annotation text"/>
    <w:basedOn w:val="Normal"/>
    <w:link w:val="CommentTextChar"/>
    <w:uiPriority w:val="99"/>
    <w:pPr>
      <w:widowControl w:val="0"/>
    </w:pPr>
    <w:rPr>
      <w:rFonts w:eastAsia="SimSun" w:cs="SimSun"/>
    </w:rPr>
  </w:style>
  <w:style w:type="character" w:customStyle="1" w:styleId="CommentTextChar">
    <w:name w:val="Comment Text Char"/>
    <w:basedOn w:val="DefaultParagraphFont"/>
    <w:link w:val="CommentText"/>
    <w:uiPriority w:val="99"/>
    <w:rPr>
      <w:rFonts w:ascii="Times New Roman" w:eastAsia="SimSun" w:hAnsi="Times New Roman"/>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eastAsia="SimSun" w:hAnsi="Times New Roman"/>
      <w:bCs/>
    </w:rPr>
  </w:style>
  <w:style w:type="character" w:styleId="Hyperlink">
    <w:name w:val="Hyperlink"/>
    <w:basedOn w:val="DefaultParagraphFont"/>
    <w:uiPriority w:val="99"/>
    <w:rPr>
      <w:color w:val="0563C1"/>
      <w:u w:val="single"/>
    </w:rPr>
  </w:style>
  <w:style w:type="paragraph" w:styleId="Revision">
    <w:name w:val="Revision"/>
    <w:uiPriority w:val="99"/>
    <w:rPr>
      <w:rFonts w:ascii="Times New Roman" w:eastAsia="SimSun" w:hAnsi="Times New Roman"/>
    </w:rPr>
  </w:style>
  <w:style w:type="paragraph" w:styleId="ListParagraph">
    <w:name w:val="List Paragraph"/>
    <w:basedOn w:val="Normal"/>
    <w:uiPriority w:val="34"/>
    <w:qFormat/>
    <w:pPr>
      <w:widowControl w:val="0"/>
      <w:ind w:left="720"/>
      <w:contextualSpacing/>
      <w:jc w:val="both"/>
    </w:pPr>
    <w:rPr>
      <w:rFonts w:eastAsia="SimSun" w:cs="SimSun"/>
    </w:rPr>
  </w:style>
  <w:style w:type="paragraph" w:customStyle="1" w:styleId="EndNoteBibliography">
    <w:name w:val="EndNote Bibliography"/>
    <w:basedOn w:val="Normal"/>
    <w:link w:val="EndNoteBibliographyChar"/>
    <w:rPr>
      <w:rFonts w:eastAsia="?????? Pro W3"/>
      <w:noProof/>
      <w:color w:val="000000"/>
      <w:lang w:eastAsia="en-US"/>
    </w:rPr>
  </w:style>
  <w:style w:type="character" w:customStyle="1" w:styleId="EndNoteBibliographyChar">
    <w:name w:val="EndNote Bibliography Char"/>
    <w:basedOn w:val="DefaultParagraphFont"/>
    <w:link w:val="EndNoteBibliography"/>
    <w:rPr>
      <w:rFonts w:ascii="Times New Roman" w:eastAsia="?????? Pro W3" w:hAnsi="Times New Roman" w:cs="Times New Roman"/>
      <w:noProof/>
      <w:color w:val="000000"/>
      <w:lang w:eastAsia="en-US"/>
    </w:rPr>
  </w:style>
  <w:style w:type="character" w:customStyle="1" w:styleId="doi">
    <w:name w:val="doi"/>
  </w:style>
  <w:style w:type="character" w:customStyle="1" w:styleId="apple-converted-space">
    <w:name w:val="apple-converted-space"/>
    <w:basedOn w:val="DefaultParagraphFont"/>
  </w:style>
  <w:style w:type="character" w:customStyle="1" w:styleId="reference-text">
    <w:name w:val="reference-text"/>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Hyperlink1">
    <w:name w:val="Hyperlink.1"/>
    <w:basedOn w:val="DefaultParagraphFont"/>
    <w:rPr>
      <w:color w:val="000000"/>
      <w:sz w:val="24"/>
      <w:szCs w:val="24"/>
      <w:u w:val="none" w:color="000000"/>
    </w:rPr>
  </w:style>
  <w:style w:type="character" w:customStyle="1" w:styleId="tgc">
    <w:name w:val="_tgc"/>
    <w:basedOn w:val="DefaultParagraphFont"/>
  </w:style>
  <w:style w:type="paragraph" w:customStyle="1" w:styleId="EndNoteBibliographyTitle">
    <w:name w:val="EndNote Bibliography Title"/>
    <w:basedOn w:val="Normal"/>
    <w:pPr>
      <w:widowControl w:val="0"/>
      <w:jc w:val="center"/>
    </w:pPr>
    <w:rPr>
      <w:rFonts w:eastAsia="SimSun"/>
    </w:rPr>
  </w:style>
  <w:style w:type="paragraph" w:styleId="Bibliography">
    <w:name w:val="Bibliography"/>
    <w:basedOn w:val="Normal"/>
    <w:next w:val="Normal"/>
    <w:uiPriority w:val="37"/>
    <w:pPr>
      <w:widowControl w:val="0"/>
      <w:jc w:val="both"/>
    </w:pPr>
    <w:rPr>
      <w:rFonts w:eastAsia="SimSun" w:cs="SimSun"/>
    </w:rPr>
  </w:style>
  <w:style w:type="paragraph" w:styleId="NormalWeb">
    <w:name w:val="Normal (Web)"/>
    <w:basedOn w:val="Normal"/>
    <w:uiPriority w:val="99"/>
    <w:pPr>
      <w:spacing w:before="100" w:beforeAutospacing="1" w:after="100" w:afterAutospacing="1"/>
    </w:pPr>
    <w:rPr>
      <w:rFonts w:ascii="Times" w:hAnsi="Times"/>
      <w:sz w:val="20"/>
      <w:szCs w:val="20"/>
      <w:lang w:eastAsia="en-US"/>
    </w:rPr>
  </w:style>
  <w:style w:type="character" w:styleId="FollowedHyperlink">
    <w:name w:val="FollowedHyperlink"/>
    <w:basedOn w:val="DefaultParagraphFont"/>
    <w:uiPriority w:val="99"/>
    <w:rPr>
      <w:color w:val="954F72"/>
      <w:u w:val="singl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customStyle="1" w:styleId="m-1199664936929528453m517318294711120414gmail-p1">
    <w:name w:val="m_-1199664936929528453m_517318294711120414gmail-p1"/>
    <w:basedOn w:val="Normal"/>
    <w:pPr>
      <w:spacing w:before="100" w:beforeAutospacing="1" w:after="100" w:afterAutospacing="1"/>
    </w:pPr>
    <w:rPr>
      <w:rFonts w:eastAsia="Times New Roman"/>
      <w:lang w:eastAsia="en-US"/>
    </w:rPr>
  </w:style>
  <w:style w:type="character" w:styleId="HTMLCite">
    <w:name w:val="HTML Cite"/>
    <w:basedOn w:val="DefaultParagraphFont"/>
    <w:uiPriority w:val="99"/>
    <w:rPr>
      <w:i/>
      <w:iCs/>
    </w:rPr>
  </w:style>
  <w:style w:type="character" w:customStyle="1" w:styleId="rwrro3">
    <w:name w:val="rwrro3"/>
    <w:basedOn w:val="DefaultParagraphFont"/>
    <w:rsid w:val="006C1D13"/>
    <w:rPr>
      <w:strike w:val="0"/>
      <w:dstrike w:val="0"/>
      <w:color w:val="000000"/>
      <w:u w:val="none"/>
      <w:effect w:val="none"/>
    </w:rPr>
  </w:style>
  <w:style w:type="character" w:customStyle="1" w:styleId="Heading8Char">
    <w:name w:val="Heading 8 Char"/>
    <w:basedOn w:val="DefaultParagraphFont"/>
    <w:link w:val="Heading8"/>
    <w:rsid w:val="005F2EF0"/>
    <w:rPr>
      <w:rFonts w:ascii="Times" w:eastAsia="Times New Roman" w:hAnsi="Times" w:cs="Times New Roman"/>
      <w:szCs w:val="20"/>
      <w:lang w:eastAsia="en-GB"/>
    </w:rPr>
  </w:style>
  <w:style w:type="character" w:customStyle="1" w:styleId="element-citation">
    <w:name w:val="element-citation"/>
    <w:basedOn w:val="DefaultParagraphFont"/>
    <w:rsid w:val="00047155"/>
  </w:style>
  <w:style w:type="character" w:customStyle="1" w:styleId="ref-journal">
    <w:name w:val="ref-journal"/>
    <w:basedOn w:val="DefaultParagraphFont"/>
    <w:rsid w:val="00047155"/>
  </w:style>
  <w:style w:type="character" w:customStyle="1" w:styleId="ref-vol">
    <w:name w:val="ref-vol"/>
    <w:basedOn w:val="DefaultParagraphFont"/>
    <w:rsid w:val="00047155"/>
  </w:style>
  <w:style w:type="character" w:customStyle="1" w:styleId="contribdegrees1">
    <w:name w:val="contribdegrees1"/>
    <w:basedOn w:val="DefaultParagraphFont"/>
    <w:rsid w:val="00FF7CD2"/>
  </w:style>
  <w:style w:type="character" w:styleId="PageNumber">
    <w:name w:val="page number"/>
    <w:basedOn w:val="DefaultParagraphFont"/>
    <w:uiPriority w:val="99"/>
    <w:semiHidden/>
    <w:unhideWhenUsed/>
    <w:rsid w:val="004143DE"/>
  </w:style>
  <w:style w:type="character" w:styleId="EndnoteReference">
    <w:name w:val="endnote reference"/>
    <w:basedOn w:val="DefaultParagraphFont"/>
    <w:uiPriority w:val="99"/>
    <w:semiHidden/>
    <w:unhideWhenUsed/>
    <w:rsid w:val="000234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595">
      <w:bodyDiv w:val="1"/>
      <w:marLeft w:val="0"/>
      <w:marRight w:val="0"/>
      <w:marTop w:val="0"/>
      <w:marBottom w:val="0"/>
      <w:divBdr>
        <w:top w:val="none" w:sz="0" w:space="0" w:color="auto"/>
        <w:left w:val="none" w:sz="0" w:space="0" w:color="auto"/>
        <w:bottom w:val="none" w:sz="0" w:space="0" w:color="auto"/>
        <w:right w:val="none" w:sz="0" w:space="0" w:color="auto"/>
      </w:divBdr>
    </w:div>
    <w:div w:id="351298634">
      <w:bodyDiv w:val="1"/>
      <w:marLeft w:val="0"/>
      <w:marRight w:val="0"/>
      <w:marTop w:val="0"/>
      <w:marBottom w:val="0"/>
      <w:divBdr>
        <w:top w:val="none" w:sz="0" w:space="0" w:color="auto"/>
        <w:left w:val="none" w:sz="0" w:space="0" w:color="auto"/>
        <w:bottom w:val="none" w:sz="0" w:space="0" w:color="auto"/>
        <w:right w:val="none" w:sz="0" w:space="0" w:color="auto"/>
      </w:divBdr>
    </w:div>
    <w:div w:id="524289004">
      <w:bodyDiv w:val="1"/>
      <w:marLeft w:val="0"/>
      <w:marRight w:val="0"/>
      <w:marTop w:val="0"/>
      <w:marBottom w:val="0"/>
      <w:divBdr>
        <w:top w:val="none" w:sz="0" w:space="0" w:color="auto"/>
        <w:left w:val="none" w:sz="0" w:space="0" w:color="auto"/>
        <w:bottom w:val="none" w:sz="0" w:space="0" w:color="auto"/>
        <w:right w:val="none" w:sz="0" w:space="0" w:color="auto"/>
      </w:divBdr>
    </w:div>
    <w:div w:id="616958352">
      <w:bodyDiv w:val="1"/>
      <w:marLeft w:val="0"/>
      <w:marRight w:val="0"/>
      <w:marTop w:val="0"/>
      <w:marBottom w:val="0"/>
      <w:divBdr>
        <w:top w:val="none" w:sz="0" w:space="0" w:color="auto"/>
        <w:left w:val="none" w:sz="0" w:space="0" w:color="auto"/>
        <w:bottom w:val="none" w:sz="0" w:space="0" w:color="auto"/>
        <w:right w:val="none" w:sz="0" w:space="0" w:color="auto"/>
      </w:divBdr>
    </w:div>
    <w:div w:id="636451769">
      <w:bodyDiv w:val="1"/>
      <w:marLeft w:val="0"/>
      <w:marRight w:val="0"/>
      <w:marTop w:val="0"/>
      <w:marBottom w:val="0"/>
      <w:divBdr>
        <w:top w:val="none" w:sz="0" w:space="0" w:color="auto"/>
        <w:left w:val="none" w:sz="0" w:space="0" w:color="auto"/>
        <w:bottom w:val="none" w:sz="0" w:space="0" w:color="auto"/>
        <w:right w:val="none" w:sz="0" w:space="0" w:color="auto"/>
      </w:divBdr>
    </w:div>
    <w:div w:id="835923434">
      <w:bodyDiv w:val="1"/>
      <w:marLeft w:val="0"/>
      <w:marRight w:val="0"/>
      <w:marTop w:val="0"/>
      <w:marBottom w:val="0"/>
      <w:divBdr>
        <w:top w:val="none" w:sz="0" w:space="0" w:color="auto"/>
        <w:left w:val="none" w:sz="0" w:space="0" w:color="auto"/>
        <w:bottom w:val="none" w:sz="0" w:space="0" w:color="auto"/>
        <w:right w:val="none" w:sz="0" w:space="0" w:color="auto"/>
      </w:divBdr>
    </w:div>
    <w:div w:id="956177088">
      <w:bodyDiv w:val="1"/>
      <w:marLeft w:val="0"/>
      <w:marRight w:val="0"/>
      <w:marTop w:val="0"/>
      <w:marBottom w:val="0"/>
      <w:divBdr>
        <w:top w:val="none" w:sz="0" w:space="0" w:color="auto"/>
        <w:left w:val="none" w:sz="0" w:space="0" w:color="auto"/>
        <w:bottom w:val="none" w:sz="0" w:space="0" w:color="auto"/>
        <w:right w:val="none" w:sz="0" w:space="0" w:color="auto"/>
      </w:divBdr>
    </w:div>
    <w:div w:id="1153597104">
      <w:bodyDiv w:val="1"/>
      <w:marLeft w:val="0"/>
      <w:marRight w:val="0"/>
      <w:marTop w:val="0"/>
      <w:marBottom w:val="0"/>
      <w:divBdr>
        <w:top w:val="none" w:sz="0" w:space="0" w:color="auto"/>
        <w:left w:val="none" w:sz="0" w:space="0" w:color="auto"/>
        <w:bottom w:val="none" w:sz="0" w:space="0" w:color="auto"/>
        <w:right w:val="none" w:sz="0" w:space="0" w:color="auto"/>
      </w:divBdr>
    </w:div>
    <w:div w:id="1236475663">
      <w:bodyDiv w:val="1"/>
      <w:marLeft w:val="0"/>
      <w:marRight w:val="0"/>
      <w:marTop w:val="0"/>
      <w:marBottom w:val="0"/>
      <w:divBdr>
        <w:top w:val="none" w:sz="0" w:space="0" w:color="auto"/>
        <w:left w:val="none" w:sz="0" w:space="0" w:color="auto"/>
        <w:bottom w:val="none" w:sz="0" w:space="0" w:color="auto"/>
        <w:right w:val="none" w:sz="0" w:space="0" w:color="auto"/>
      </w:divBdr>
      <w:divsChild>
        <w:div w:id="2106532911">
          <w:marLeft w:val="0"/>
          <w:marRight w:val="0"/>
          <w:marTop w:val="0"/>
          <w:marBottom w:val="0"/>
          <w:divBdr>
            <w:top w:val="none" w:sz="0" w:space="0" w:color="auto"/>
            <w:left w:val="none" w:sz="0" w:space="0" w:color="auto"/>
            <w:bottom w:val="none" w:sz="0" w:space="0" w:color="auto"/>
            <w:right w:val="none" w:sz="0" w:space="0" w:color="auto"/>
          </w:divBdr>
        </w:div>
        <w:div w:id="1041247043">
          <w:marLeft w:val="0"/>
          <w:marRight w:val="0"/>
          <w:marTop w:val="0"/>
          <w:marBottom w:val="0"/>
          <w:divBdr>
            <w:top w:val="none" w:sz="0" w:space="0" w:color="auto"/>
            <w:left w:val="none" w:sz="0" w:space="0" w:color="auto"/>
            <w:bottom w:val="none" w:sz="0" w:space="0" w:color="auto"/>
            <w:right w:val="none" w:sz="0" w:space="0" w:color="auto"/>
          </w:divBdr>
        </w:div>
        <w:div w:id="1071582804">
          <w:marLeft w:val="0"/>
          <w:marRight w:val="0"/>
          <w:marTop w:val="0"/>
          <w:marBottom w:val="0"/>
          <w:divBdr>
            <w:top w:val="none" w:sz="0" w:space="0" w:color="auto"/>
            <w:left w:val="none" w:sz="0" w:space="0" w:color="auto"/>
            <w:bottom w:val="none" w:sz="0" w:space="0" w:color="auto"/>
            <w:right w:val="none" w:sz="0" w:space="0" w:color="auto"/>
          </w:divBdr>
          <w:divsChild>
            <w:div w:id="9363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5110">
      <w:bodyDiv w:val="1"/>
      <w:marLeft w:val="0"/>
      <w:marRight w:val="0"/>
      <w:marTop w:val="0"/>
      <w:marBottom w:val="0"/>
      <w:divBdr>
        <w:top w:val="none" w:sz="0" w:space="0" w:color="auto"/>
        <w:left w:val="none" w:sz="0" w:space="0" w:color="auto"/>
        <w:bottom w:val="none" w:sz="0" w:space="0" w:color="auto"/>
        <w:right w:val="none" w:sz="0" w:space="0" w:color="auto"/>
      </w:divBdr>
    </w:div>
    <w:div w:id="1880433955">
      <w:bodyDiv w:val="1"/>
      <w:marLeft w:val="0"/>
      <w:marRight w:val="0"/>
      <w:marTop w:val="0"/>
      <w:marBottom w:val="0"/>
      <w:divBdr>
        <w:top w:val="none" w:sz="0" w:space="0" w:color="auto"/>
        <w:left w:val="none" w:sz="0" w:space="0" w:color="auto"/>
        <w:bottom w:val="none" w:sz="0" w:space="0" w:color="auto"/>
        <w:right w:val="none" w:sz="0" w:space="0" w:color="auto"/>
      </w:divBdr>
    </w:div>
    <w:div w:id="1961450552">
      <w:bodyDiv w:val="1"/>
      <w:marLeft w:val="0"/>
      <w:marRight w:val="0"/>
      <w:marTop w:val="0"/>
      <w:marBottom w:val="0"/>
      <w:divBdr>
        <w:top w:val="none" w:sz="0" w:space="0" w:color="auto"/>
        <w:left w:val="none" w:sz="0" w:space="0" w:color="auto"/>
        <w:bottom w:val="none" w:sz="0" w:space="0" w:color="auto"/>
        <w:right w:val="none" w:sz="0" w:space="0" w:color="auto"/>
      </w:divBdr>
    </w:div>
    <w:div w:id="1996565688">
      <w:bodyDiv w:val="1"/>
      <w:marLeft w:val="0"/>
      <w:marRight w:val="0"/>
      <w:marTop w:val="0"/>
      <w:marBottom w:val="0"/>
      <w:divBdr>
        <w:top w:val="none" w:sz="0" w:space="0" w:color="auto"/>
        <w:left w:val="none" w:sz="0" w:space="0" w:color="auto"/>
        <w:bottom w:val="none" w:sz="0" w:space="0" w:color="auto"/>
        <w:right w:val="none" w:sz="0" w:space="0" w:color="auto"/>
      </w:divBdr>
    </w:div>
    <w:div w:id="2085297643">
      <w:bodyDiv w:val="1"/>
      <w:marLeft w:val="0"/>
      <w:marRight w:val="0"/>
      <w:marTop w:val="0"/>
      <w:marBottom w:val="0"/>
      <w:divBdr>
        <w:top w:val="none" w:sz="0" w:space="0" w:color="auto"/>
        <w:left w:val="none" w:sz="0" w:space="0" w:color="auto"/>
        <w:bottom w:val="none" w:sz="0" w:space="0" w:color="auto"/>
        <w:right w:val="none" w:sz="0" w:space="0" w:color="auto"/>
      </w:divBdr>
      <w:divsChild>
        <w:div w:id="1112214282">
          <w:marLeft w:val="0"/>
          <w:marRight w:val="0"/>
          <w:marTop w:val="0"/>
          <w:marBottom w:val="0"/>
          <w:divBdr>
            <w:top w:val="single" w:sz="2" w:space="0" w:color="2E2E2E"/>
            <w:left w:val="single" w:sz="2" w:space="0" w:color="2E2E2E"/>
            <w:bottom w:val="single" w:sz="2" w:space="0" w:color="2E2E2E"/>
            <w:right w:val="single" w:sz="2" w:space="0" w:color="2E2E2E"/>
          </w:divBdr>
          <w:divsChild>
            <w:div w:id="1737699640">
              <w:marLeft w:val="0"/>
              <w:marRight w:val="0"/>
              <w:marTop w:val="0"/>
              <w:marBottom w:val="0"/>
              <w:divBdr>
                <w:top w:val="single" w:sz="6" w:space="0" w:color="C9C9C9"/>
                <w:left w:val="none" w:sz="0" w:space="0" w:color="auto"/>
                <w:bottom w:val="none" w:sz="0" w:space="0" w:color="auto"/>
                <w:right w:val="none" w:sz="0" w:space="0" w:color="auto"/>
              </w:divBdr>
              <w:divsChild>
                <w:div w:id="1811170872">
                  <w:marLeft w:val="0"/>
                  <w:marRight w:val="0"/>
                  <w:marTop w:val="0"/>
                  <w:marBottom w:val="0"/>
                  <w:divBdr>
                    <w:top w:val="none" w:sz="0" w:space="0" w:color="auto"/>
                    <w:left w:val="none" w:sz="0" w:space="0" w:color="auto"/>
                    <w:bottom w:val="none" w:sz="0" w:space="0" w:color="auto"/>
                    <w:right w:val="none" w:sz="0" w:space="0" w:color="auto"/>
                  </w:divBdr>
                  <w:divsChild>
                    <w:div w:id="459500748">
                      <w:marLeft w:val="0"/>
                      <w:marRight w:val="0"/>
                      <w:marTop w:val="0"/>
                      <w:marBottom w:val="0"/>
                      <w:divBdr>
                        <w:top w:val="none" w:sz="0" w:space="0" w:color="auto"/>
                        <w:left w:val="none" w:sz="0" w:space="0" w:color="auto"/>
                        <w:bottom w:val="none" w:sz="0" w:space="0" w:color="auto"/>
                        <w:right w:val="none" w:sz="0" w:space="0" w:color="auto"/>
                      </w:divBdr>
                      <w:divsChild>
                        <w:div w:id="4723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oy@psych.ac.cn" TargetMode="External"/><Relationship Id="rId13" Type="http://schemas.openxmlformats.org/officeDocument/2006/relationships/hyperlink" Target="http://dx.doi.org/10.1016/j.jrp.2010.02.00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37/a0019006" TargetMode="External"/><Relationship Id="rId17" Type="http://schemas.openxmlformats.org/officeDocument/2006/relationships/hyperlink" Target="https://en.wikipedia.org/wiki/Science_(journal)" TargetMode="External"/><Relationship Id="rId2" Type="http://schemas.openxmlformats.org/officeDocument/2006/relationships/numbering" Target="numbering.xml"/><Relationship Id="rId16" Type="http://schemas.openxmlformats.org/officeDocument/2006/relationships/hyperlink" Target="http://dx.doi.org/10.1016/j.paid.2013.07.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5226552" TargetMode="External"/><Relationship Id="rId5" Type="http://schemas.openxmlformats.org/officeDocument/2006/relationships/webSettings" Target="webSettings.xml"/><Relationship Id="rId15" Type="http://schemas.openxmlformats.org/officeDocument/2006/relationships/hyperlink" Target="http://dx.doi.org/10.1037/a0024292" TargetMode="External"/><Relationship Id="rId10" Type="http://schemas.openxmlformats.org/officeDocument/2006/relationships/hyperlink" Target="https://www.ncbi.nlm.nih.gov/pubmed/?term=Kirschbaum%20C%5BAuthor%5D&amp;cauthor=true&amp;cauthor_uid=252265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bi.nlm.nih.gov/pubmed/?term=Z%C3%A4nkert%20S%5BAuthor%5D&amp;cauthor=true&amp;cauthor_uid=25226552" TargetMode="External"/><Relationship Id="rId14" Type="http://schemas.openxmlformats.org/officeDocument/2006/relationships/hyperlink" Target="http://dx.doi.org/10.1016/j.jesp.2006.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778BA-6C63-47C7-978D-53D92B74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7467</Words>
  <Characters>42567</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Luo</dc:creator>
  <cp:lastModifiedBy>Gordon G.</cp:lastModifiedBy>
  <cp:revision>2</cp:revision>
  <cp:lastPrinted>2017-05-15T11:41:00Z</cp:lastPrinted>
  <dcterms:created xsi:type="dcterms:W3CDTF">2017-12-05T07:28:00Z</dcterms:created>
  <dcterms:modified xsi:type="dcterms:W3CDTF">2017-12-05T07:28:00Z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644045585</vt:i4>
  </property>
  <property fmtid="{D5CDD505-2E9C-101B-9397-08002B2CF9AE}" pid="3" name="_NewReviewCycle">
    <vt:lpwstr/>
  </property>
  <property fmtid="{D5CDD505-2E9C-101B-9397-08002B2CF9AE}" pid="4" name="_EmailSubject">
    <vt:lpwstr>please deposit in PURE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