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20F245" w14:textId="151ED659" w:rsidR="00E932A4" w:rsidRDefault="00E932A4" w:rsidP="003062A0">
      <w:pPr>
        <w:spacing w:after="0" w:line="480" w:lineRule="auto"/>
        <w:contextualSpacing/>
        <w:jc w:val="both"/>
        <w:rPr>
          <w:rFonts w:ascii="Arial" w:hAnsi="Arial" w:cs="Arial"/>
          <w:b/>
          <w:sz w:val="24"/>
          <w:szCs w:val="24"/>
        </w:rPr>
      </w:pPr>
    </w:p>
    <w:p w14:paraId="57385602" w14:textId="77777777" w:rsidR="0094468E" w:rsidRPr="008A7487" w:rsidRDefault="0094468E" w:rsidP="008A7487">
      <w:pPr>
        <w:spacing w:after="0" w:line="240" w:lineRule="auto"/>
        <w:contextualSpacing/>
        <w:jc w:val="center"/>
        <w:rPr>
          <w:rFonts w:ascii="Times New Roman" w:hAnsi="Times New Roman" w:cs="Times New Roman"/>
          <w:sz w:val="24"/>
          <w:szCs w:val="24"/>
        </w:rPr>
      </w:pPr>
      <w:r w:rsidRPr="008A7487">
        <w:rPr>
          <w:rFonts w:ascii="Times New Roman" w:hAnsi="Times New Roman" w:cs="Times New Roman"/>
          <w:sz w:val="24"/>
          <w:szCs w:val="24"/>
        </w:rPr>
        <w:t>Determinants of bank profitability before, during and after the</w:t>
      </w:r>
    </w:p>
    <w:p w14:paraId="27485C53" w14:textId="601AB559" w:rsidR="0094468E" w:rsidRPr="008A7487" w:rsidRDefault="0094468E" w:rsidP="008A7487">
      <w:pPr>
        <w:spacing w:after="0" w:line="240" w:lineRule="auto"/>
        <w:contextualSpacing/>
        <w:jc w:val="center"/>
        <w:rPr>
          <w:rFonts w:ascii="Times New Roman" w:hAnsi="Times New Roman" w:cs="Times New Roman"/>
          <w:sz w:val="24"/>
          <w:szCs w:val="24"/>
        </w:rPr>
      </w:pPr>
      <w:r w:rsidRPr="008A7487">
        <w:rPr>
          <w:rFonts w:ascii="Times New Roman" w:hAnsi="Times New Roman" w:cs="Times New Roman"/>
          <w:sz w:val="24"/>
          <w:szCs w:val="24"/>
        </w:rPr>
        <w:t>financial crisis</w:t>
      </w:r>
      <w:r w:rsidR="0053154D">
        <w:rPr>
          <w:rFonts w:ascii="Times New Roman" w:hAnsi="Times New Roman" w:cs="Times New Roman"/>
          <w:sz w:val="24"/>
          <w:szCs w:val="24"/>
        </w:rPr>
        <w:t>.</w:t>
      </w:r>
    </w:p>
    <w:p w14:paraId="1E0AAE93" w14:textId="77777777" w:rsidR="0094468E" w:rsidRPr="008A7487" w:rsidRDefault="0094468E" w:rsidP="008A7487">
      <w:pPr>
        <w:spacing w:after="0" w:line="240" w:lineRule="auto"/>
        <w:contextualSpacing/>
        <w:jc w:val="center"/>
        <w:rPr>
          <w:rFonts w:ascii="Times New Roman" w:hAnsi="Times New Roman" w:cs="Times New Roman"/>
          <w:sz w:val="24"/>
          <w:szCs w:val="24"/>
        </w:rPr>
      </w:pPr>
    </w:p>
    <w:p w14:paraId="1AD80FC0" w14:textId="77777777" w:rsidR="0094468E" w:rsidRDefault="0094468E" w:rsidP="008A7487">
      <w:pPr>
        <w:spacing w:after="0" w:line="240" w:lineRule="auto"/>
        <w:contextualSpacing/>
        <w:jc w:val="center"/>
        <w:rPr>
          <w:rFonts w:ascii="Arial" w:hAnsi="Arial" w:cs="Arial"/>
          <w:sz w:val="24"/>
          <w:szCs w:val="24"/>
        </w:rPr>
      </w:pPr>
    </w:p>
    <w:p w14:paraId="0C151F93" w14:textId="06476E4A" w:rsidR="00F56666" w:rsidRPr="0094468E" w:rsidRDefault="00F56666" w:rsidP="008A7487">
      <w:pPr>
        <w:spacing w:after="0" w:line="240" w:lineRule="auto"/>
        <w:contextualSpacing/>
        <w:rPr>
          <w:rFonts w:ascii="Times New Roman" w:hAnsi="Times New Roman" w:cs="Times New Roman"/>
          <w:b/>
          <w:sz w:val="24"/>
          <w:szCs w:val="24"/>
        </w:rPr>
      </w:pPr>
      <w:r w:rsidRPr="0094468E">
        <w:rPr>
          <w:rFonts w:ascii="Times New Roman" w:hAnsi="Times New Roman" w:cs="Times New Roman"/>
          <w:b/>
          <w:sz w:val="24"/>
          <w:szCs w:val="24"/>
        </w:rPr>
        <w:t xml:space="preserve">Abstract </w:t>
      </w:r>
    </w:p>
    <w:p w14:paraId="21690CB7" w14:textId="0EE5E4A5" w:rsidR="00C871C0" w:rsidRPr="0094468E" w:rsidRDefault="0053154D" w:rsidP="008A7487">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T</w:t>
      </w:r>
      <w:r w:rsidR="006102BA">
        <w:rPr>
          <w:rFonts w:ascii="Times New Roman" w:hAnsi="Times New Roman" w:cs="Times New Roman"/>
          <w:sz w:val="24"/>
          <w:szCs w:val="24"/>
        </w:rPr>
        <w:t xml:space="preserve">his paper reports the results of an investigation </w:t>
      </w:r>
      <w:r w:rsidR="00480458">
        <w:rPr>
          <w:rFonts w:ascii="Times New Roman" w:hAnsi="Times New Roman" w:cs="Times New Roman"/>
          <w:sz w:val="24"/>
          <w:szCs w:val="24"/>
        </w:rPr>
        <w:t xml:space="preserve">into </w:t>
      </w:r>
      <w:r w:rsidR="006102BA">
        <w:rPr>
          <w:rFonts w:ascii="Times New Roman" w:hAnsi="Times New Roman" w:cs="Times New Roman"/>
          <w:sz w:val="24"/>
          <w:szCs w:val="24"/>
        </w:rPr>
        <w:t>the relationship between</w:t>
      </w:r>
      <w:r w:rsidR="008D6B85" w:rsidRPr="0094468E">
        <w:rPr>
          <w:rFonts w:ascii="Times New Roman" w:hAnsi="Times New Roman" w:cs="Times New Roman"/>
          <w:sz w:val="24"/>
          <w:szCs w:val="24"/>
        </w:rPr>
        <w:t xml:space="preserve"> </w:t>
      </w:r>
      <w:r w:rsidR="004F2617" w:rsidRPr="0094468E">
        <w:rPr>
          <w:rFonts w:ascii="Times New Roman" w:hAnsi="Times New Roman" w:cs="Times New Roman"/>
          <w:sz w:val="24"/>
          <w:szCs w:val="24"/>
        </w:rPr>
        <w:t>bank</w:t>
      </w:r>
      <w:r w:rsidR="00B32C71">
        <w:rPr>
          <w:rFonts w:ascii="Times New Roman" w:hAnsi="Times New Roman" w:cs="Times New Roman"/>
          <w:sz w:val="24"/>
          <w:szCs w:val="24"/>
        </w:rPr>
        <w:t>-</w:t>
      </w:r>
      <w:r w:rsidR="004F2617" w:rsidRPr="0094468E">
        <w:rPr>
          <w:rFonts w:ascii="Times New Roman" w:hAnsi="Times New Roman" w:cs="Times New Roman"/>
          <w:sz w:val="24"/>
          <w:szCs w:val="24"/>
        </w:rPr>
        <w:t>specific</w:t>
      </w:r>
      <w:r w:rsidR="00C871C0" w:rsidRPr="0094468E">
        <w:rPr>
          <w:rFonts w:ascii="Times New Roman" w:hAnsi="Times New Roman" w:cs="Times New Roman"/>
          <w:sz w:val="24"/>
          <w:szCs w:val="24"/>
        </w:rPr>
        <w:t>,</w:t>
      </w:r>
      <w:r w:rsidR="006102BA">
        <w:rPr>
          <w:rFonts w:ascii="Times New Roman" w:hAnsi="Times New Roman" w:cs="Times New Roman"/>
          <w:sz w:val="24"/>
          <w:szCs w:val="24"/>
        </w:rPr>
        <w:t xml:space="preserve"> </w:t>
      </w:r>
      <w:r w:rsidR="004F2617" w:rsidRPr="0094468E">
        <w:rPr>
          <w:rFonts w:ascii="Times New Roman" w:hAnsi="Times New Roman" w:cs="Times New Roman"/>
          <w:sz w:val="24"/>
          <w:szCs w:val="24"/>
        </w:rPr>
        <w:t xml:space="preserve">macroeconomic </w:t>
      </w:r>
      <w:r w:rsidR="006102BA">
        <w:rPr>
          <w:rFonts w:ascii="Times New Roman" w:hAnsi="Times New Roman" w:cs="Times New Roman"/>
          <w:sz w:val="24"/>
          <w:szCs w:val="24"/>
        </w:rPr>
        <w:t>factors and bank profitability before (1999-2006), during (2007-2009) and after (2010</w:t>
      </w:r>
      <w:r w:rsidR="00480458">
        <w:rPr>
          <w:rFonts w:ascii="Times New Roman" w:hAnsi="Times New Roman" w:cs="Times New Roman"/>
          <w:sz w:val="24"/>
          <w:szCs w:val="24"/>
        </w:rPr>
        <w:t>-</w:t>
      </w:r>
      <w:r w:rsidR="006102BA">
        <w:rPr>
          <w:rFonts w:ascii="Times New Roman" w:hAnsi="Times New Roman" w:cs="Times New Roman"/>
          <w:sz w:val="24"/>
          <w:szCs w:val="24"/>
        </w:rPr>
        <w:t>2013) the financial crisis.</w:t>
      </w:r>
      <w:r w:rsidR="004F2617" w:rsidRPr="0094468E">
        <w:rPr>
          <w:rFonts w:ascii="Times New Roman" w:hAnsi="Times New Roman" w:cs="Times New Roman"/>
          <w:sz w:val="24"/>
          <w:szCs w:val="24"/>
        </w:rPr>
        <w:t xml:space="preserve"> </w:t>
      </w:r>
      <w:r w:rsidR="006102BA">
        <w:rPr>
          <w:rFonts w:ascii="Times New Roman" w:hAnsi="Times New Roman" w:cs="Times New Roman"/>
          <w:sz w:val="24"/>
          <w:szCs w:val="24"/>
        </w:rPr>
        <w:t>The results indicate that b</w:t>
      </w:r>
      <w:r w:rsidR="006102BA" w:rsidRPr="0094468E">
        <w:rPr>
          <w:rFonts w:ascii="Times New Roman" w:hAnsi="Times New Roman" w:cs="Times New Roman"/>
          <w:sz w:val="24"/>
          <w:szCs w:val="24"/>
        </w:rPr>
        <w:t xml:space="preserve">anks sustained profitable performance even during the </w:t>
      </w:r>
      <w:r w:rsidR="006102BA">
        <w:rPr>
          <w:rFonts w:ascii="Times New Roman" w:hAnsi="Times New Roman" w:cs="Times New Roman"/>
          <w:sz w:val="24"/>
          <w:szCs w:val="24"/>
        </w:rPr>
        <w:t>financial</w:t>
      </w:r>
      <w:r w:rsidR="006102BA" w:rsidRPr="0094468E">
        <w:rPr>
          <w:rFonts w:ascii="Times New Roman" w:hAnsi="Times New Roman" w:cs="Times New Roman"/>
          <w:sz w:val="24"/>
          <w:szCs w:val="24"/>
        </w:rPr>
        <w:t xml:space="preserve"> crisis despite fall in loans and increasing bank liquidity. </w:t>
      </w:r>
      <w:r w:rsidR="006E2AEE">
        <w:rPr>
          <w:rFonts w:ascii="Times New Roman" w:hAnsi="Times New Roman" w:cs="Times New Roman"/>
          <w:sz w:val="24"/>
          <w:szCs w:val="24"/>
        </w:rPr>
        <w:t>Panel data analyse</w:t>
      </w:r>
      <w:r w:rsidR="006102BA">
        <w:rPr>
          <w:rFonts w:ascii="Times New Roman" w:hAnsi="Times New Roman" w:cs="Times New Roman"/>
          <w:sz w:val="24"/>
          <w:szCs w:val="24"/>
        </w:rPr>
        <w:t xml:space="preserve">s </w:t>
      </w:r>
      <w:r w:rsidR="00480458">
        <w:rPr>
          <w:rFonts w:ascii="Times New Roman" w:hAnsi="Times New Roman" w:cs="Times New Roman"/>
          <w:sz w:val="24"/>
          <w:szCs w:val="24"/>
        </w:rPr>
        <w:t xml:space="preserve">results </w:t>
      </w:r>
      <w:r w:rsidR="009741D1">
        <w:rPr>
          <w:rFonts w:ascii="Times New Roman" w:hAnsi="Times New Roman" w:cs="Times New Roman"/>
          <w:sz w:val="24"/>
          <w:szCs w:val="24"/>
        </w:rPr>
        <w:t xml:space="preserve">show that there is a significant relationship between bank-specific determinants (size, cost management, and liquidity) and bank profitability (ROA) before, during and after the financial crisis. </w:t>
      </w:r>
      <w:r w:rsidR="00B32C71">
        <w:rPr>
          <w:rFonts w:ascii="Times New Roman" w:hAnsi="Times New Roman" w:cs="Times New Roman"/>
          <w:sz w:val="24"/>
          <w:szCs w:val="24"/>
        </w:rPr>
        <w:t xml:space="preserve">However, the relationships between other bank-specific (capital strength, credit risk, </w:t>
      </w:r>
      <w:r w:rsidR="006E2AEE">
        <w:rPr>
          <w:rFonts w:ascii="Times New Roman" w:hAnsi="Times New Roman" w:cs="Times New Roman"/>
          <w:sz w:val="24"/>
          <w:szCs w:val="24"/>
        </w:rPr>
        <w:t>and market</w:t>
      </w:r>
      <w:r w:rsidR="00B32C71">
        <w:rPr>
          <w:rFonts w:ascii="Times New Roman" w:hAnsi="Times New Roman" w:cs="Times New Roman"/>
          <w:sz w:val="24"/>
          <w:szCs w:val="24"/>
        </w:rPr>
        <w:t xml:space="preserve"> power), macroeconomic (GDP </w:t>
      </w:r>
      <w:r w:rsidR="00B32C71">
        <w:rPr>
          <w:rFonts w:ascii="Times New Roman" w:hAnsi="Times New Roman" w:cs="Times New Roman"/>
          <w:sz w:val="24"/>
          <w:szCs w:val="24"/>
        </w:rPr>
        <w:lastRenderedPageBreak/>
        <w:t xml:space="preserve">and inflation) determinants are sensitive to both period of analysis (before, during and after financial crisis) and </w:t>
      </w:r>
      <w:r w:rsidR="006102BA">
        <w:rPr>
          <w:rFonts w:ascii="Times New Roman" w:hAnsi="Times New Roman" w:cs="Times New Roman"/>
          <w:sz w:val="24"/>
          <w:szCs w:val="24"/>
        </w:rPr>
        <w:t>bank profitability measure used</w:t>
      </w:r>
      <w:r w:rsidR="00B32C71">
        <w:rPr>
          <w:rFonts w:ascii="Times New Roman" w:hAnsi="Times New Roman" w:cs="Times New Roman"/>
          <w:sz w:val="24"/>
          <w:szCs w:val="24"/>
        </w:rPr>
        <w:t xml:space="preserve"> (ROA or NIM)</w:t>
      </w:r>
      <w:r w:rsidR="006102BA">
        <w:rPr>
          <w:rFonts w:ascii="Times New Roman" w:hAnsi="Times New Roman" w:cs="Times New Roman"/>
          <w:sz w:val="24"/>
          <w:szCs w:val="24"/>
        </w:rPr>
        <w:t xml:space="preserve">. </w:t>
      </w:r>
      <w:r w:rsidR="00B32C71">
        <w:rPr>
          <w:rFonts w:ascii="Times New Roman" w:hAnsi="Times New Roman" w:cs="Times New Roman"/>
          <w:sz w:val="24"/>
          <w:szCs w:val="24"/>
        </w:rPr>
        <w:t xml:space="preserve">Overall, these results suggest </w:t>
      </w:r>
      <w:r w:rsidR="00CF5BE7">
        <w:rPr>
          <w:rFonts w:ascii="Times New Roman" w:hAnsi="Times New Roman" w:cs="Times New Roman"/>
          <w:sz w:val="24"/>
          <w:szCs w:val="24"/>
        </w:rPr>
        <w:t xml:space="preserve">that </w:t>
      </w:r>
      <w:r w:rsidR="00F85E7D">
        <w:rPr>
          <w:rFonts w:ascii="Times New Roman" w:hAnsi="Times New Roman" w:cs="Times New Roman"/>
          <w:sz w:val="24"/>
          <w:szCs w:val="24"/>
        </w:rPr>
        <w:t xml:space="preserve">the </w:t>
      </w:r>
      <w:r w:rsidR="006E2AEE">
        <w:rPr>
          <w:rFonts w:ascii="Times New Roman" w:hAnsi="Times New Roman" w:cs="Times New Roman"/>
          <w:sz w:val="24"/>
          <w:szCs w:val="24"/>
        </w:rPr>
        <w:t xml:space="preserve">financial crisis did not affect the </w:t>
      </w:r>
      <w:r w:rsidR="00F85E7D">
        <w:rPr>
          <w:rFonts w:ascii="Times New Roman" w:hAnsi="Times New Roman" w:cs="Times New Roman"/>
          <w:sz w:val="24"/>
          <w:szCs w:val="24"/>
        </w:rPr>
        <w:t>relationships between some bank-specific determinants and bank profitability</w:t>
      </w:r>
      <w:r w:rsidR="006E2AEE">
        <w:rPr>
          <w:rFonts w:ascii="Times New Roman" w:hAnsi="Times New Roman" w:cs="Times New Roman"/>
          <w:sz w:val="24"/>
          <w:szCs w:val="24"/>
        </w:rPr>
        <w:t>.</w:t>
      </w:r>
      <w:r w:rsidR="00F85E7D">
        <w:rPr>
          <w:rFonts w:ascii="Times New Roman" w:hAnsi="Times New Roman" w:cs="Times New Roman"/>
          <w:sz w:val="24"/>
          <w:szCs w:val="24"/>
        </w:rPr>
        <w:t xml:space="preserve"> </w:t>
      </w:r>
    </w:p>
    <w:p w14:paraId="561998CD" w14:textId="77777777" w:rsidR="00644B17" w:rsidRPr="0094468E" w:rsidRDefault="00644B17" w:rsidP="008A7487">
      <w:pPr>
        <w:spacing w:after="0" w:line="240" w:lineRule="auto"/>
        <w:jc w:val="both"/>
        <w:rPr>
          <w:rFonts w:ascii="Times New Roman" w:hAnsi="Times New Roman" w:cs="Times New Roman"/>
          <w:b/>
          <w:sz w:val="24"/>
          <w:szCs w:val="24"/>
        </w:rPr>
      </w:pPr>
    </w:p>
    <w:p w14:paraId="2F07E5E3" w14:textId="784A9D19" w:rsidR="002E3600" w:rsidRPr="0094468E" w:rsidRDefault="002E3600" w:rsidP="008A7487">
      <w:pPr>
        <w:spacing w:after="0" w:line="240" w:lineRule="auto"/>
        <w:jc w:val="both"/>
        <w:rPr>
          <w:rFonts w:ascii="Times New Roman" w:hAnsi="Times New Roman" w:cs="Times New Roman"/>
          <w:sz w:val="24"/>
          <w:szCs w:val="24"/>
        </w:rPr>
      </w:pPr>
      <w:r w:rsidRPr="0094468E">
        <w:rPr>
          <w:rFonts w:ascii="Times New Roman" w:hAnsi="Times New Roman" w:cs="Times New Roman"/>
          <w:b/>
          <w:sz w:val="24"/>
          <w:szCs w:val="24"/>
        </w:rPr>
        <w:t>Keywords:</w:t>
      </w:r>
      <w:r w:rsidR="00F56666" w:rsidRPr="0094468E">
        <w:rPr>
          <w:rFonts w:ascii="Times New Roman" w:hAnsi="Times New Roman" w:cs="Times New Roman"/>
          <w:sz w:val="24"/>
          <w:szCs w:val="24"/>
        </w:rPr>
        <w:t xml:space="preserve"> Banks; Profitability; </w:t>
      </w:r>
      <w:r w:rsidR="00D44B6E" w:rsidRPr="0094468E">
        <w:rPr>
          <w:rFonts w:ascii="Times New Roman" w:hAnsi="Times New Roman" w:cs="Times New Roman"/>
          <w:sz w:val="24"/>
          <w:szCs w:val="24"/>
        </w:rPr>
        <w:t xml:space="preserve">International Business; </w:t>
      </w:r>
      <w:r w:rsidRPr="0094468E">
        <w:rPr>
          <w:rFonts w:ascii="Times New Roman" w:hAnsi="Times New Roman" w:cs="Times New Roman"/>
          <w:sz w:val="24"/>
          <w:szCs w:val="24"/>
        </w:rPr>
        <w:t>Economic Community of West African States (ECOWAS)</w:t>
      </w:r>
      <w:r w:rsidR="00F56666" w:rsidRPr="0094468E">
        <w:rPr>
          <w:rFonts w:ascii="Times New Roman" w:hAnsi="Times New Roman" w:cs="Times New Roman"/>
          <w:sz w:val="24"/>
          <w:szCs w:val="24"/>
        </w:rPr>
        <w:t xml:space="preserve">; Macroeconomic environment; </w:t>
      </w:r>
      <w:r w:rsidR="00E83766" w:rsidRPr="0094468E">
        <w:rPr>
          <w:rFonts w:ascii="Times New Roman" w:hAnsi="Times New Roman" w:cs="Times New Roman"/>
          <w:sz w:val="24"/>
          <w:szCs w:val="24"/>
        </w:rPr>
        <w:t xml:space="preserve">Financial crisis. </w:t>
      </w:r>
      <w:r w:rsidRPr="0094468E">
        <w:rPr>
          <w:rFonts w:ascii="Times New Roman" w:hAnsi="Times New Roman" w:cs="Times New Roman"/>
          <w:sz w:val="24"/>
          <w:szCs w:val="24"/>
        </w:rPr>
        <w:t xml:space="preserve"> </w:t>
      </w:r>
    </w:p>
    <w:p w14:paraId="5D0B0124" w14:textId="163030F8" w:rsidR="002E3600" w:rsidRPr="0094468E" w:rsidRDefault="005B064B" w:rsidP="008A7487">
      <w:pPr>
        <w:spacing w:after="0" w:line="240" w:lineRule="auto"/>
        <w:jc w:val="both"/>
        <w:rPr>
          <w:rFonts w:ascii="Times New Roman" w:hAnsi="Times New Roman" w:cs="Times New Roman"/>
          <w:sz w:val="24"/>
          <w:szCs w:val="24"/>
        </w:rPr>
      </w:pPr>
      <w:r w:rsidRPr="0094468E">
        <w:rPr>
          <w:rFonts w:ascii="Times New Roman" w:hAnsi="Times New Roman" w:cs="Times New Roman"/>
          <w:b/>
          <w:sz w:val="24"/>
          <w:szCs w:val="24"/>
        </w:rPr>
        <w:t>JEL:</w:t>
      </w:r>
      <w:r w:rsidR="00D44B6E" w:rsidRPr="0094468E">
        <w:rPr>
          <w:rFonts w:ascii="Times New Roman" w:hAnsi="Times New Roman" w:cs="Times New Roman"/>
          <w:b/>
          <w:sz w:val="24"/>
          <w:szCs w:val="24"/>
        </w:rPr>
        <w:t xml:space="preserve"> </w:t>
      </w:r>
      <w:r w:rsidR="002F4898" w:rsidRPr="0094468E">
        <w:rPr>
          <w:rFonts w:ascii="Times New Roman" w:hAnsi="Times New Roman" w:cs="Times New Roman"/>
          <w:sz w:val="24"/>
          <w:szCs w:val="24"/>
        </w:rPr>
        <w:t>C23,</w:t>
      </w:r>
      <w:r w:rsidR="00250C63" w:rsidRPr="0094468E">
        <w:rPr>
          <w:rFonts w:ascii="Times New Roman" w:hAnsi="Times New Roman" w:cs="Times New Roman"/>
          <w:sz w:val="24"/>
          <w:szCs w:val="24"/>
        </w:rPr>
        <w:t xml:space="preserve"> E44,</w:t>
      </w:r>
      <w:r w:rsidR="002F4898" w:rsidRPr="0094468E">
        <w:rPr>
          <w:rFonts w:ascii="Times New Roman" w:hAnsi="Times New Roman" w:cs="Times New Roman"/>
          <w:sz w:val="24"/>
          <w:szCs w:val="24"/>
        </w:rPr>
        <w:t xml:space="preserve"> </w:t>
      </w:r>
      <w:r w:rsidR="00250C63" w:rsidRPr="0094468E">
        <w:rPr>
          <w:rFonts w:ascii="Times New Roman" w:hAnsi="Times New Roman" w:cs="Times New Roman"/>
          <w:sz w:val="24"/>
          <w:szCs w:val="24"/>
        </w:rPr>
        <w:t xml:space="preserve">F20, G01, G21, L23. </w:t>
      </w:r>
    </w:p>
    <w:p w14:paraId="0A37AD74" w14:textId="77777777" w:rsidR="00F56666" w:rsidRDefault="00F56666" w:rsidP="002E3600">
      <w:pPr>
        <w:ind w:left="426"/>
        <w:jc w:val="both"/>
        <w:rPr>
          <w:rFonts w:ascii="Arial" w:hAnsi="Arial" w:cs="Arial"/>
          <w:b/>
          <w:sz w:val="24"/>
          <w:szCs w:val="24"/>
        </w:rPr>
      </w:pPr>
    </w:p>
    <w:p w14:paraId="1505F9C9" w14:textId="77777777" w:rsidR="00F56666" w:rsidRDefault="00F56666" w:rsidP="002E3600">
      <w:pPr>
        <w:ind w:left="426"/>
        <w:jc w:val="both"/>
        <w:rPr>
          <w:rFonts w:ascii="Arial" w:hAnsi="Arial" w:cs="Arial"/>
          <w:b/>
          <w:sz w:val="24"/>
          <w:szCs w:val="24"/>
        </w:rPr>
      </w:pPr>
    </w:p>
    <w:p w14:paraId="214C41CE" w14:textId="77777777" w:rsidR="00F56666" w:rsidRDefault="00F56666" w:rsidP="002E3600">
      <w:pPr>
        <w:ind w:left="426"/>
        <w:jc w:val="both"/>
        <w:rPr>
          <w:rFonts w:ascii="Arial" w:hAnsi="Arial" w:cs="Arial"/>
          <w:b/>
          <w:sz w:val="24"/>
          <w:szCs w:val="24"/>
        </w:rPr>
      </w:pPr>
    </w:p>
    <w:p w14:paraId="05852EA4" w14:textId="77777777" w:rsidR="00F56666" w:rsidRDefault="00F56666" w:rsidP="002E3600">
      <w:pPr>
        <w:ind w:left="426"/>
        <w:jc w:val="both"/>
        <w:rPr>
          <w:rFonts w:ascii="Arial" w:hAnsi="Arial" w:cs="Arial"/>
          <w:b/>
          <w:sz w:val="24"/>
          <w:szCs w:val="24"/>
        </w:rPr>
      </w:pPr>
    </w:p>
    <w:p w14:paraId="615B02E6" w14:textId="5A0766F9" w:rsidR="00F56666" w:rsidRDefault="00F56666" w:rsidP="002E3600">
      <w:pPr>
        <w:ind w:left="426"/>
        <w:jc w:val="both"/>
        <w:rPr>
          <w:rFonts w:ascii="Arial" w:hAnsi="Arial" w:cs="Arial"/>
          <w:b/>
          <w:sz w:val="24"/>
          <w:szCs w:val="24"/>
        </w:rPr>
      </w:pPr>
    </w:p>
    <w:p w14:paraId="69063D50" w14:textId="5859F4AD" w:rsidR="00003B3A" w:rsidRDefault="00003B3A" w:rsidP="002E3600">
      <w:pPr>
        <w:ind w:left="426"/>
        <w:jc w:val="both"/>
        <w:rPr>
          <w:rFonts w:ascii="Arial" w:hAnsi="Arial" w:cs="Arial"/>
          <w:b/>
          <w:sz w:val="24"/>
          <w:szCs w:val="24"/>
        </w:rPr>
      </w:pPr>
    </w:p>
    <w:p w14:paraId="0E0C69F1" w14:textId="77777777" w:rsidR="00003B3A" w:rsidRDefault="00003B3A" w:rsidP="002E3600">
      <w:pPr>
        <w:ind w:left="426"/>
        <w:jc w:val="both"/>
        <w:rPr>
          <w:rFonts w:ascii="Arial" w:hAnsi="Arial" w:cs="Arial"/>
          <w:b/>
          <w:sz w:val="24"/>
          <w:szCs w:val="24"/>
        </w:rPr>
      </w:pPr>
    </w:p>
    <w:p w14:paraId="31901D07" w14:textId="7BBBC1A9" w:rsidR="00BC342C" w:rsidRDefault="00BC342C" w:rsidP="002E3600">
      <w:pPr>
        <w:ind w:left="426"/>
        <w:jc w:val="both"/>
        <w:rPr>
          <w:rFonts w:ascii="Arial" w:hAnsi="Arial" w:cs="Arial"/>
          <w:b/>
          <w:sz w:val="24"/>
          <w:szCs w:val="24"/>
        </w:rPr>
      </w:pPr>
    </w:p>
    <w:p w14:paraId="6D01765D" w14:textId="2FAC3068" w:rsidR="0094468E" w:rsidRDefault="0094468E" w:rsidP="002E3600">
      <w:pPr>
        <w:ind w:left="426"/>
        <w:jc w:val="both"/>
        <w:rPr>
          <w:rFonts w:ascii="Arial" w:hAnsi="Arial" w:cs="Arial"/>
          <w:b/>
          <w:sz w:val="24"/>
          <w:szCs w:val="24"/>
        </w:rPr>
      </w:pPr>
    </w:p>
    <w:p w14:paraId="7BC9C312" w14:textId="6CA619BF" w:rsidR="0094468E" w:rsidRDefault="0094468E" w:rsidP="002E3600">
      <w:pPr>
        <w:ind w:left="426"/>
        <w:jc w:val="both"/>
        <w:rPr>
          <w:rFonts w:ascii="Arial" w:hAnsi="Arial" w:cs="Arial"/>
          <w:b/>
          <w:sz w:val="24"/>
          <w:szCs w:val="24"/>
        </w:rPr>
      </w:pPr>
    </w:p>
    <w:p w14:paraId="3B369A97" w14:textId="316AC6B1" w:rsidR="0094468E" w:rsidRDefault="0094468E" w:rsidP="002E3600">
      <w:pPr>
        <w:ind w:left="426"/>
        <w:jc w:val="both"/>
        <w:rPr>
          <w:rFonts w:ascii="Arial" w:hAnsi="Arial" w:cs="Arial"/>
          <w:b/>
          <w:sz w:val="24"/>
          <w:szCs w:val="24"/>
        </w:rPr>
      </w:pPr>
    </w:p>
    <w:p w14:paraId="68552F91" w14:textId="03F23378" w:rsidR="0094468E" w:rsidRDefault="0094468E" w:rsidP="002E3600">
      <w:pPr>
        <w:ind w:left="426"/>
        <w:jc w:val="both"/>
        <w:rPr>
          <w:rFonts w:ascii="Arial" w:hAnsi="Arial" w:cs="Arial"/>
          <w:b/>
          <w:sz w:val="24"/>
          <w:szCs w:val="24"/>
        </w:rPr>
      </w:pPr>
    </w:p>
    <w:p w14:paraId="7DAD402E" w14:textId="1FE0A503" w:rsidR="008A7487" w:rsidRDefault="008A7487" w:rsidP="002E3600">
      <w:pPr>
        <w:ind w:left="426"/>
        <w:jc w:val="both"/>
        <w:rPr>
          <w:rFonts w:ascii="Arial" w:hAnsi="Arial" w:cs="Arial"/>
          <w:b/>
          <w:sz w:val="24"/>
          <w:szCs w:val="24"/>
        </w:rPr>
      </w:pPr>
    </w:p>
    <w:p w14:paraId="08273491" w14:textId="2B379739" w:rsidR="008A7487" w:rsidRDefault="008A7487" w:rsidP="002E3600">
      <w:pPr>
        <w:ind w:left="426"/>
        <w:jc w:val="both"/>
        <w:rPr>
          <w:rFonts w:ascii="Arial" w:hAnsi="Arial" w:cs="Arial"/>
          <w:b/>
          <w:sz w:val="24"/>
          <w:szCs w:val="24"/>
        </w:rPr>
      </w:pPr>
    </w:p>
    <w:p w14:paraId="0EB12EEA" w14:textId="6662D949" w:rsidR="008A7487" w:rsidRDefault="008A7487" w:rsidP="002E3600">
      <w:pPr>
        <w:ind w:left="426"/>
        <w:jc w:val="both"/>
        <w:rPr>
          <w:rFonts w:ascii="Arial" w:hAnsi="Arial" w:cs="Arial"/>
          <w:b/>
          <w:sz w:val="24"/>
          <w:szCs w:val="24"/>
        </w:rPr>
      </w:pPr>
    </w:p>
    <w:p w14:paraId="7936A2CD" w14:textId="7DDCD039" w:rsidR="008E4779" w:rsidRDefault="008E4779" w:rsidP="002E3600">
      <w:pPr>
        <w:ind w:left="426"/>
        <w:jc w:val="both"/>
        <w:rPr>
          <w:rFonts w:ascii="Arial" w:hAnsi="Arial" w:cs="Arial"/>
          <w:b/>
          <w:sz w:val="24"/>
          <w:szCs w:val="24"/>
        </w:rPr>
      </w:pPr>
    </w:p>
    <w:p w14:paraId="4BA2F94C" w14:textId="5638EF75" w:rsidR="0094468E" w:rsidRDefault="0094468E" w:rsidP="002E3600">
      <w:pPr>
        <w:ind w:left="426"/>
        <w:jc w:val="both"/>
        <w:rPr>
          <w:rFonts w:ascii="Arial" w:hAnsi="Arial" w:cs="Arial"/>
          <w:b/>
          <w:sz w:val="24"/>
          <w:szCs w:val="24"/>
        </w:rPr>
      </w:pPr>
    </w:p>
    <w:p w14:paraId="750B80B2" w14:textId="66CE6AD6" w:rsidR="00437851" w:rsidRPr="008A7487" w:rsidRDefault="00FD2BA7" w:rsidP="0097246F">
      <w:pPr>
        <w:pStyle w:val="ListParagraph"/>
        <w:numPr>
          <w:ilvl w:val="0"/>
          <w:numId w:val="24"/>
        </w:numPr>
        <w:ind w:left="0" w:firstLine="0"/>
        <w:jc w:val="both"/>
        <w:rPr>
          <w:rFonts w:ascii="Times New Roman" w:hAnsi="Times New Roman" w:cs="Times New Roman"/>
          <w:b/>
          <w:sz w:val="24"/>
          <w:szCs w:val="24"/>
        </w:rPr>
      </w:pPr>
      <w:r w:rsidRPr="008A7487">
        <w:rPr>
          <w:rFonts w:ascii="Times New Roman" w:hAnsi="Times New Roman" w:cs="Times New Roman"/>
          <w:b/>
          <w:sz w:val="24"/>
          <w:szCs w:val="24"/>
        </w:rPr>
        <w:t>Introduction</w:t>
      </w:r>
      <w:r w:rsidR="008C17CD" w:rsidRPr="008A7487">
        <w:rPr>
          <w:rFonts w:ascii="Times New Roman" w:hAnsi="Times New Roman" w:cs="Times New Roman"/>
          <w:b/>
          <w:sz w:val="24"/>
          <w:szCs w:val="24"/>
        </w:rPr>
        <w:t xml:space="preserve"> </w:t>
      </w:r>
    </w:p>
    <w:p w14:paraId="6CE493C8" w14:textId="090EEAF6" w:rsidR="00873580" w:rsidRPr="00873580" w:rsidRDefault="00873580" w:rsidP="00873580">
      <w:pPr>
        <w:spacing w:after="0" w:line="480" w:lineRule="auto"/>
        <w:ind w:firstLine="426"/>
        <w:contextualSpacing/>
        <w:jc w:val="both"/>
        <w:rPr>
          <w:rFonts w:ascii="Times New Roman" w:hAnsi="Times New Roman" w:cs="Times New Roman"/>
          <w:sz w:val="24"/>
          <w:szCs w:val="24"/>
        </w:rPr>
      </w:pPr>
      <w:r w:rsidRPr="00873580">
        <w:rPr>
          <w:rFonts w:ascii="Times New Roman" w:hAnsi="Times New Roman" w:cs="Times New Roman"/>
          <w:sz w:val="24"/>
          <w:szCs w:val="24"/>
        </w:rPr>
        <w:t xml:space="preserve">This study examines the impacts of the financial crisis on the determinants of bank profitability. Previous studies </w:t>
      </w:r>
      <w:r w:rsidRPr="002E5284">
        <w:rPr>
          <w:rFonts w:ascii="Times New Roman" w:hAnsi="Times New Roman" w:cs="Times New Roman"/>
          <w:sz w:val="24"/>
          <w:szCs w:val="24"/>
        </w:rPr>
        <w:t>(</w:t>
      </w:r>
      <w:r w:rsidR="002E5284" w:rsidRPr="002E5284">
        <w:rPr>
          <w:rFonts w:ascii="Times New Roman" w:hAnsi="Times New Roman" w:cs="Times New Roman"/>
          <w:sz w:val="24"/>
          <w:szCs w:val="24"/>
        </w:rPr>
        <w:t xml:space="preserve">Dietrich &amp; Wanzenried, 2011; Flamini et al., 2009; </w:t>
      </w:r>
      <w:r w:rsidR="002E5284" w:rsidRPr="002E5284">
        <w:rPr>
          <w:rFonts w:ascii="Times New Roman" w:hAnsi="Times New Roman" w:cs="Times New Roman"/>
          <w:sz w:val="24"/>
          <w:szCs w:val="24"/>
        </w:rPr>
        <w:lastRenderedPageBreak/>
        <w:t>Athanasoglou et al., 2008;</w:t>
      </w:r>
      <w:r w:rsidR="00B542B2" w:rsidRPr="00B542B2">
        <w:rPr>
          <w:rFonts w:ascii="Times New Roman" w:hAnsi="Times New Roman" w:cs="Times New Roman"/>
          <w:sz w:val="24"/>
          <w:szCs w:val="24"/>
          <w:lang w:val="en-GB"/>
        </w:rPr>
        <w:t xml:space="preserve"> Beckmann</w:t>
      </w:r>
      <w:r w:rsidR="00B542B2">
        <w:rPr>
          <w:rFonts w:ascii="Times New Roman" w:hAnsi="Times New Roman" w:cs="Times New Roman"/>
          <w:sz w:val="24"/>
          <w:szCs w:val="24"/>
          <w:lang w:val="en-GB"/>
        </w:rPr>
        <w:t xml:space="preserve">, 2007; </w:t>
      </w:r>
      <w:r w:rsidRPr="002E5284">
        <w:rPr>
          <w:rFonts w:ascii="Times New Roman" w:hAnsi="Times New Roman" w:cs="Times New Roman"/>
          <w:sz w:val="24"/>
          <w:szCs w:val="24"/>
        </w:rPr>
        <w:t>Pasiouras &amp; Kosmidou, 2007;</w:t>
      </w:r>
      <w:r w:rsidR="002E5284" w:rsidRPr="002E5284">
        <w:rPr>
          <w:rFonts w:ascii="Times New Roman" w:hAnsi="Times New Roman" w:cs="Times New Roman"/>
          <w:sz w:val="24"/>
          <w:szCs w:val="24"/>
        </w:rPr>
        <w:t xml:space="preserve"> </w:t>
      </w:r>
      <w:r w:rsidR="00B542B2">
        <w:rPr>
          <w:rFonts w:ascii="Times New Roman" w:hAnsi="Times New Roman" w:cs="Times New Roman"/>
          <w:sz w:val="24"/>
          <w:szCs w:val="24"/>
        </w:rPr>
        <w:t xml:space="preserve">Aberu and Mendes, 2001; </w:t>
      </w:r>
      <w:r w:rsidR="002E5284" w:rsidRPr="002E5284">
        <w:rPr>
          <w:rFonts w:ascii="Times New Roman" w:hAnsi="Times New Roman" w:cs="Times New Roman"/>
          <w:sz w:val="24"/>
          <w:szCs w:val="24"/>
        </w:rPr>
        <w:t>Molyneux &amp; Thornton, 1992; Bourke, 1989; Short, 1979</w:t>
      </w:r>
      <w:r w:rsidRPr="002E5284">
        <w:rPr>
          <w:rFonts w:ascii="Times New Roman" w:hAnsi="Times New Roman" w:cs="Times New Roman"/>
          <w:sz w:val="24"/>
          <w:szCs w:val="24"/>
        </w:rPr>
        <w:t>)</w:t>
      </w:r>
      <w:r w:rsidRPr="00873580">
        <w:rPr>
          <w:rFonts w:ascii="Times New Roman" w:hAnsi="Times New Roman" w:cs="Times New Roman"/>
          <w:sz w:val="24"/>
          <w:szCs w:val="24"/>
        </w:rPr>
        <w:t xml:space="preserve"> have identified several determinants of bank profitability. These determinants include bank-specific (e.g. size, capital strength, credit risk, cost management, liquidity, and bank’s market power), industry-specific (ownership and concentration), and macroeconomic conditions such as growth in productivity and inflation (Athanasoglou et al., 2014; Dietrich &amp; Wanzenried, 2014; </w:t>
      </w:r>
      <w:r w:rsidR="002E5284" w:rsidRPr="00873580">
        <w:rPr>
          <w:rFonts w:ascii="Times New Roman" w:hAnsi="Times New Roman" w:cs="Times New Roman"/>
          <w:sz w:val="24"/>
          <w:szCs w:val="24"/>
        </w:rPr>
        <w:lastRenderedPageBreak/>
        <w:t>Bolt et al., 2012</w:t>
      </w:r>
      <w:r w:rsidR="002E5284">
        <w:rPr>
          <w:rFonts w:ascii="Times New Roman" w:hAnsi="Times New Roman" w:cs="Times New Roman"/>
          <w:sz w:val="24"/>
          <w:szCs w:val="24"/>
        </w:rPr>
        <w:t xml:space="preserve">; </w:t>
      </w:r>
      <w:r w:rsidR="002E5284" w:rsidRPr="00873580">
        <w:rPr>
          <w:rFonts w:ascii="Times New Roman" w:hAnsi="Times New Roman" w:cs="Times New Roman"/>
          <w:sz w:val="24"/>
          <w:szCs w:val="24"/>
        </w:rPr>
        <w:t>Rumler &amp; Waschiczek, 2010</w:t>
      </w:r>
      <w:r w:rsidR="002E5284">
        <w:rPr>
          <w:rFonts w:ascii="Times New Roman" w:hAnsi="Times New Roman" w:cs="Times New Roman"/>
          <w:sz w:val="24"/>
          <w:szCs w:val="24"/>
        </w:rPr>
        <w:t xml:space="preserve">; </w:t>
      </w:r>
      <w:r w:rsidRPr="00873580">
        <w:rPr>
          <w:rFonts w:ascii="Times New Roman" w:hAnsi="Times New Roman" w:cs="Times New Roman"/>
          <w:sz w:val="24"/>
          <w:szCs w:val="24"/>
        </w:rPr>
        <w:t>Albertazzi &amp; Gamb</w:t>
      </w:r>
      <w:r w:rsidR="002E5284">
        <w:rPr>
          <w:rFonts w:ascii="Times New Roman" w:hAnsi="Times New Roman" w:cs="Times New Roman"/>
          <w:sz w:val="24"/>
          <w:szCs w:val="24"/>
        </w:rPr>
        <w:t>acorta, 2009; Bikker &amp; Hu, 2002</w:t>
      </w:r>
      <w:r w:rsidRPr="00873580">
        <w:rPr>
          <w:rFonts w:ascii="Times New Roman" w:hAnsi="Times New Roman" w:cs="Times New Roman"/>
          <w:sz w:val="24"/>
          <w:szCs w:val="24"/>
        </w:rPr>
        <w:t xml:space="preserve">). According to Dietrich &amp; Wanzenried (2011) these studies are important because of the significance of bank profitability for the stability of the banking industry on the capital markets and the economy as a whole especially in the light of the recent financial crisis. </w:t>
      </w:r>
    </w:p>
    <w:p w14:paraId="18065765" w14:textId="0328C4A8" w:rsidR="00873580" w:rsidRPr="00873580" w:rsidRDefault="00873580" w:rsidP="00873580">
      <w:pPr>
        <w:spacing w:after="0" w:line="480" w:lineRule="auto"/>
        <w:ind w:firstLine="426"/>
        <w:contextualSpacing/>
        <w:jc w:val="both"/>
        <w:rPr>
          <w:rFonts w:ascii="Times New Roman" w:hAnsi="Times New Roman" w:cs="Times New Roman"/>
          <w:sz w:val="24"/>
          <w:szCs w:val="24"/>
        </w:rPr>
      </w:pPr>
      <w:r w:rsidRPr="00873580">
        <w:rPr>
          <w:rFonts w:ascii="Times New Roman" w:hAnsi="Times New Roman" w:cs="Times New Roman"/>
          <w:sz w:val="24"/>
          <w:szCs w:val="24"/>
        </w:rPr>
        <w:t xml:space="preserve">The relationship between bank-specific, macroeconomic factors and bank profitability may differ after the financial crisis compared to the period during or before </w:t>
      </w:r>
      <w:r w:rsidRPr="00873580">
        <w:rPr>
          <w:rFonts w:ascii="Times New Roman" w:hAnsi="Times New Roman" w:cs="Times New Roman"/>
          <w:sz w:val="24"/>
          <w:szCs w:val="24"/>
        </w:rPr>
        <w:lastRenderedPageBreak/>
        <w:t>the crisis because of differences in the banking environments. For example, Ivashina and Scharfstein (2010) report</w:t>
      </w:r>
      <w:r w:rsidR="002E5284">
        <w:rPr>
          <w:rFonts w:ascii="Times New Roman" w:hAnsi="Times New Roman" w:cs="Times New Roman"/>
          <w:sz w:val="24"/>
          <w:szCs w:val="24"/>
        </w:rPr>
        <w:t>ed</w:t>
      </w:r>
      <w:r w:rsidRPr="00873580">
        <w:rPr>
          <w:rFonts w:ascii="Times New Roman" w:hAnsi="Times New Roman" w:cs="Times New Roman"/>
          <w:sz w:val="24"/>
          <w:szCs w:val="24"/>
        </w:rPr>
        <w:t xml:space="preserve"> that during the financial crisis, loans to large borrowers fell by 79% relative to the peak of the credit boom.  In the post financial crisis, Puri</w:t>
      </w:r>
      <w:r w:rsidR="002E5284">
        <w:rPr>
          <w:rFonts w:ascii="Times New Roman" w:hAnsi="Times New Roman" w:cs="Times New Roman"/>
          <w:sz w:val="24"/>
          <w:szCs w:val="24"/>
        </w:rPr>
        <w:t>, Rocholl &amp; Steffen (2011) found</w:t>
      </w:r>
      <w:r w:rsidRPr="00873580">
        <w:rPr>
          <w:rFonts w:ascii="Times New Roman" w:hAnsi="Times New Roman" w:cs="Times New Roman"/>
          <w:sz w:val="24"/>
          <w:szCs w:val="24"/>
        </w:rPr>
        <w:t xml:space="preserve"> that the financial crisis induced a contraction in the supply of retail lending in Germany. More importantly, they found evidence of a significant supply side effect in that the affected banks rejected substantially more loan applications than non-affected banks. This re</w:t>
      </w:r>
      <w:r w:rsidRPr="00873580">
        <w:rPr>
          <w:rFonts w:ascii="Times New Roman" w:hAnsi="Times New Roman" w:cs="Times New Roman"/>
          <w:sz w:val="24"/>
          <w:szCs w:val="24"/>
        </w:rPr>
        <w:lastRenderedPageBreak/>
        <w:t>sult was particularly strong for smaller and more liquidity-constrained banks as well as for mortgage as compared with consumer loans. As a result, it is likely in the post-financial crisis environment</w:t>
      </w:r>
      <w:r w:rsidR="002E5284">
        <w:rPr>
          <w:rFonts w:ascii="Times New Roman" w:hAnsi="Times New Roman" w:cs="Times New Roman"/>
          <w:sz w:val="24"/>
          <w:szCs w:val="24"/>
        </w:rPr>
        <w:t xml:space="preserve"> that</w:t>
      </w:r>
      <w:r w:rsidRPr="00873580">
        <w:rPr>
          <w:rFonts w:ascii="Times New Roman" w:hAnsi="Times New Roman" w:cs="Times New Roman"/>
          <w:sz w:val="24"/>
          <w:szCs w:val="24"/>
        </w:rPr>
        <w:t xml:space="preserve"> factors such as bank size, liquidity, credit risk etc</w:t>
      </w:r>
      <w:r w:rsidR="008F111A">
        <w:rPr>
          <w:rFonts w:ascii="Times New Roman" w:hAnsi="Times New Roman" w:cs="Times New Roman"/>
          <w:sz w:val="24"/>
          <w:szCs w:val="24"/>
        </w:rPr>
        <w:t>.</w:t>
      </w:r>
      <w:r w:rsidRPr="00873580">
        <w:rPr>
          <w:rFonts w:ascii="Times New Roman" w:hAnsi="Times New Roman" w:cs="Times New Roman"/>
          <w:sz w:val="24"/>
          <w:szCs w:val="24"/>
        </w:rPr>
        <w:t xml:space="preserve"> may affect bank profitability differently compared to the pre-and during the financial crisis period.</w:t>
      </w:r>
    </w:p>
    <w:p w14:paraId="0BB03EB5" w14:textId="6790CF10" w:rsidR="00873580" w:rsidRPr="00873580" w:rsidRDefault="00873580" w:rsidP="002E5284">
      <w:pPr>
        <w:spacing w:after="0" w:line="480" w:lineRule="auto"/>
        <w:ind w:firstLine="426"/>
        <w:contextualSpacing/>
        <w:jc w:val="both"/>
        <w:rPr>
          <w:rFonts w:ascii="Times New Roman" w:hAnsi="Times New Roman" w:cs="Times New Roman"/>
          <w:sz w:val="24"/>
          <w:szCs w:val="24"/>
        </w:rPr>
      </w:pPr>
      <w:r w:rsidRPr="00873580">
        <w:rPr>
          <w:rFonts w:ascii="Times New Roman" w:hAnsi="Times New Roman" w:cs="Times New Roman"/>
          <w:sz w:val="24"/>
          <w:szCs w:val="24"/>
        </w:rPr>
        <w:t xml:space="preserve"> The study also differs from existing studies in that it investigates the determinants of bank profitability in a uniquely different context with undeveloped banking system and severe information asymmetry. Moreover, in </w:t>
      </w:r>
      <w:r w:rsidRPr="00873580">
        <w:rPr>
          <w:rFonts w:ascii="Times New Roman" w:hAnsi="Times New Roman" w:cs="Times New Roman"/>
          <w:sz w:val="24"/>
          <w:szCs w:val="24"/>
        </w:rPr>
        <w:lastRenderedPageBreak/>
        <w:t>contrast to many existing studies such as Rumler &amp; Waschiczek (2010) and Dietrich &amp; Wanzenried’s (2011) based one country, albeit important banking contexts</w:t>
      </w:r>
      <w:r w:rsidR="002E5284">
        <w:rPr>
          <w:rFonts w:ascii="Times New Roman" w:hAnsi="Times New Roman" w:cs="Times New Roman"/>
          <w:sz w:val="24"/>
          <w:szCs w:val="24"/>
        </w:rPr>
        <w:t>, our study is based on a cross-</w:t>
      </w:r>
      <w:r w:rsidRPr="00873580">
        <w:rPr>
          <w:rFonts w:ascii="Times New Roman" w:hAnsi="Times New Roman" w:cs="Times New Roman"/>
          <w:sz w:val="24"/>
          <w:szCs w:val="24"/>
        </w:rPr>
        <w:t xml:space="preserve">country analysis which provides additional insights and add to our understanding on the global effects of the crisis on bank profitability. In this sense, this study complements Didier et al. ‘s (2012) work on the resilience and countercyclical behaviour of emerging economies during the financial crisis, and Ghosh’s (2016) cross country analysis of the effects of uncertainty on bank performance. Whilst Ghosh (2016) </w:t>
      </w:r>
      <w:r w:rsidRPr="00873580">
        <w:rPr>
          <w:rFonts w:ascii="Times New Roman" w:hAnsi="Times New Roman" w:cs="Times New Roman"/>
          <w:sz w:val="24"/>
          <w:szCs w:val="24"/>
        </w:rPr>
        <w:lastRenderedPageBreak/>
        <w:t xml:space="preserve">focused on political uncertainty, our primary interest in this study is on the impacts of uncertainty due to the financial crisis on the determinants of bank profitability. </w:t>
      </w:r>
    </w:p>
    <w:p w14:paraId="036267C5" w14:textId="693C1496" w:rsidR="00873580" w:rsidRPr="00873580" w:rsidRDefault="00873580" w:rsidP="00873580">
      <w:pPr>
        <w:spacing w:after="0" w:line="480" w:lineRule="auto"/>
        <w:ind w:firstLine="426"/>
        <w:contextualSpacing/>
        <w:jc w:val="both"/>
        <w:rPr>
          <w:rFonts w:ascii="Times New Roman" w:hAnsi="Times New Roman" w:cs="Times New Roman"/>
          <w:sz w:val="24"/>
          <w:szCs w:val="24"/>
        </w:rPr>
      </w:pPr>
      <w:r w:rsidRPr="00873580">
        <w:rPr>
          <w:rFonts w:ascii="Times New Roman" w:hAnsi="Times New Roman" w:cs="Times New Roman"/>
          <w:sz w:val="24"/>
          <w:szCs w:val="24"/>
        </w:rPr>
        <w:t xml:space="preserve">    The current study contributes to this stream of literature by investigating the determinants of bank profitability before, during and after the financial crisis using data from banks operating in the Economic Community of West African States (ECOWAS). Consistent with the extant literature, this study measures bank profitability as return on assets (ROA) and net interest margin (NIM), and examines whether bank-specific and macroeconomic </w:t>
      </w:r>
      <w:r w:rsidRPr="00873580">
        <w:rPr>
          <w:rFonts w:ascii="Times New Roman" w:hAnsi="Times New Roman" w:cs="Times New Roman"/>
          <w:sz w:val="24"/>
          <w:szCs w:val="24"/>
        </w:rPr>
        <w:lastRenderedPageBreak/>
        <w:t xml:space="preserve">factors explain bank profitability before, during and after the financial crisis. The study used fixed effects panel model to recognize the cross sectional and time series elements in the data, whilst controlling for time-invariant country specific heterogeneity. Using data mainly from the Bankscope </w:t>
      </w:r>
      <w:r w:rsidR="002E5284" w:rsidRPr="00873580">
        <w:rPr>
          <w:rFonts w:ascii="Times New Roman" w:hAnsi="Times New Roman" w:cs="Times New Roman"/>
          <w:sz w:val="24"/>
          <w:szCs w:val="24"/>
        </w:rPr>
        <w:t>database,</w:t>
      </w:r>
      <w:r w:rsidRPr="00873580">
        <w:rPr>
          <w:rFonts w:ascii="Times New Roman" w:hAnsi="Times New Roman" w:cs="Times New Roman"/>
          <w:sz w:val="24"/>
          <w:szCs w:val="24"/>
        </w:rPr>
        <w:t xml:space="preserve"> for all the commercial banks in ECOWAS countries, the study covers 1999 to 2013, which provides 1675 firm year observations. In line with our objective</w:t>
      </w:r>
      <w:r w:rsidR="002E5284" w:rsidRPr="00873580">
        <w:rPr>
          <w:rFonts w:ascii="Times New Roman" w:hAnsi="Times New Roman" w:cs="Times New Roman"/>
          <w:sz w:val="24"/>
          <w:szCs w:val="24"/>
        </w:rPr>
        <w:t>, the</w:t>
      </w:r>
      <w:r w:rsidRPr="00873580">
        <w:rPr>
          <w:rFonts w:ascii="Times New Roman" w:hAnsi="Times New Roman" w:cs="Times New Roman"/>
          <w:sz w:val="24"/>
          <w:szCs w:val="24"/>
        </w:rPr>
        <w:t xml:space="preserve"> study partitions the entire sample into before (1999-2006), during (2007-2010) and after </w:t>
      </w:r>
      <w:r w:rsidRPr="00873580">
        <w:rPr>
          <w:rFonts w:ascii="Times New Roman" w:hAnsi="Times New Roman" w:cs="Times New Roman"/>
          <w:sz w:val="24"/>
          <w:szCs w:val="24"/>
        </w:rPr>
        <w:lastRenderedPageBreak/>
        <w:t>(2011-2013</w:t>
      </w:r>
      <w:r w:rsidR="002E5284" w:rsidRPr="00873580">
        <w:rPr>
          <w:rFonts w:ascii="Times New Roman" w:hAnsi="Times New Roman" w:cs="Times New Roman"/>
          <w:sz w:val="24"/>
          <w:szCs w:val="24"/>
        </w:rPr>
        <w:t>) the</w:t>
      </w:r>
      <w:r w:rsidRPr="00873580">
        <w:rPr>
          <w:rFonts w:ascii="Times New Roman" w:hAnsi="Times New Roman" w:cs="Times New Roman"/>
          <w:sz w:val="24"/>
          <w:szCs w:val="24"/>
        </w:rPr>
        <w:t xml:space="preserve"> financial crisis and reports results based on several panel regression models estimations. </w:t>
      </w:r>
    </w:p>
    <w:p w14:paraId="7133A503" w14:textId="0D280D14" w:rsidR="00873580" w:rsidRPr="00873580" w:rsidRDefault="00873580" w:rsidP="00873580">
      <w:pPr>
        <w:spacing w:after="0" w:line="480" w:lineRule="auto"/>
        <w:ind w:firstLine="426"/>
        <w:contextualSpacing/>
        <w:jc w:val="both"/>
        <w:rPr>
          <w:rFonts w:ascii="Times New Roman" w:hAnsi="Times New Roman" w:cs="Times New Roman"/>
          <w:sz w:val="24"/>
          <w:szCs w:val="24"/>
        </w:rPr>
      </w:pPr>
      <w:r w:rsidRPr="00873580">
        <w:rPr>
          <w:rFonts w:ascii="Times New Roman" w:hAnsi="Times New Roman" w:cs="Times New Roman"/>
          <w:sz w:val="24"/>
          <w:szCs w:val="24"/>
        </w:rPr>
        <w:t xml:space="preserve">            The study documents a sharp fall in bank performance during the crisis period, although banks in the region showed consistent profitable performance over the entire sampled period. These findings confirm anecdotal evidence suggesting that African financial markets were well-protected from the effects of the financial crisis. The results are consistent with recent studies showing that bank profitability is pro-cyclical and therefore sensitive to macroeconomic conditions including productivity </w:t>
      </w:r>
      <w:r w:rsidRPr="00873580">
        <w:rPr>
          <w:rFonts w:ascii="Times New Roman" w:hAnsi="Times New Roman" w:cs="Times New Roman"/>
          <w:sz w:val="24"/>
          <w:szCs w:val="24"/>
        </w:rPr>
        <w:lastRenderedPageBreak/>
        <w:t xml:space="preserve">growth and inflation </w:t>
      </w:r>
      <w:r w:rsidR="002E5284" w:rsidRPr="00873580">
        <w:rPr>
          <w:rFonts w:ascii="Times New Roman" w:hAnsi="Times New Roman" w:cs="Times New Roman"/>
          <w:sz w:val="24"/>
          <w:szCs w:val="24"/>
        </w:rPr>
        <w:t>(Athanasoglou et al., 2014; Dietrich &amp; Wanzenried, 2014; Bolt et al., 2012</w:t>
      </w:r>
      <w:r w:rsidR="002E5284">
        <w:rPr>
          <w:rFonts w:ascii="Times New Roman" w:hAnsi="Times New Roman" w:cs="Times New Roman"/>
          <w:sz w:val="24"/>
          <w:szCs w:val="24"/>
        </w:rPr>
        <w:t xml:space="preserve">; </w:t>
      </w:r>
      <w:r w:rsidR="002E5284" w:rsidRPr="00873580">
        <w:rPr>
          <w:rFonts w:ascii="Times New Roman" w:hAnsi="Times New Roman" w:cs="Times New Roman"/>
          <w:sz w:val="24"/>
          <w:szCs w:val="24"/>
        </w:rPr>
        <w:t>Rumler &amp; Waschiczek, 2010</w:t>
      </w:r>
      <w:r w:rsidR="002E5284">
        <w:rPr>
          <w:rFonts w:ascii="Times New Roman" w:hAnsi="Times New Roman" w:cs="Times New Roman"/>
          <w:sz w:val="24"/>
          <w:szCs w:val="24"/>
        </w:rPr>
        <w:t xml:space="preserve">; </w:t>
      </w:r>
      <w:r w:rsidR="002E5284" w:rsidRPr="00873580">
        <w:rPr>
          <w:rFonts w:ascii="Times New Roman" w:hAnsi="Times New Roman" w:cs="Times New Roman"/>
          <w:sz w:val="24"/>
          <w:szCs w:val="24"/>
        </w:rPr>
        <w:t>Albertazzi &amp; Gamb</w:t>
      </w:r>
      <w:r w:rsidR="002E5284">
        <w:rPr>
          <w:rFonts w:ascii="Times New Roman" w:hAnsi="Times New Roman" w:cs="Times New Roman"/>
          <w:sz w:val="24"/>
          <w:szCs w:val="24"/>
        </w:rPr>
        <w:t>acorta, 2009; Bikker &amp; Hu, 2002</w:t>
      </w:r>
      <w:r w:rsidR="002E5284" w:rsidRPr="00873580">
        <w:rPr>
          <w:rFonts w:ascii="Times New Roman" w:hAnsi="Times New Roman" w:cs="Times New Roman"/>
          <w:sz w:val="24"/>
          <w:szCs w:val="24"/>
        </w:rPr>
        <w:t>)</w:t>
      </w:r>
      <w:r w:rsidRPr="00873580">
        <w:rPr>
          <w:rFonts w:ascii="Times New Roman" w:hAnsi="Times New Roman" w:cs="Times New Roman"/>
          <w:sz w:val="24"/>
          <w:szCs w:val="24"/>
        </w:rPr>
        <w:t xml:space="preserve">. Panel data analysis results reveal a significant relationship between bank-specific determinants (size, cost management, and liquidity) and bank profitability (ROA) before, during and after the financial crisis. The relationships between other bank-specific (capital strength, credit risk, market power), macroeconomic (GDP and inflation) determinants are sensitive to both the period of analysis and bank profitability measure used.  </w:t>
      </w:r>
    </w:p>
    <w:p w14:paraId="0C44D92B" w14:textId="5BBF2B33" w:rsidR="00873580" w:rsidRPr="00873580" w:rsidRDefault="00873580" w:rsidP="00EB638C">
      <w:pPr>
        <w:spacing w:after="0" w:line="480" w:lineRule="auto"/>
        <w:ind w:firstLine="426"/>
        <w:contextualSpacing/>
        <w:jc w:val="both"/>
        <w:rPr>
          <w:rFonts w:ascii="Times New Roman" w:hAnsi="Times New Roman" w:cs="Times New Roman"/>
          <w:sz w:val="24"/>
          <w:szCs w:val="24"/>
        </w:rPr>
      </w:pPr>
      <w:r w:rsidRPr="00873580">
        <w:rPr>
          <w:rFonts w:ascii="Times New Roman" w:hAnsi="Times New Roman" w:cs="Times New Roman"/>
          <w:sz w:val="24"/>
          <w:szCs w:val="24"/>
        </w:rPr>
        <w:lastRenderedPageBreak/>
        <w:t>This study makes a contribution to existing literature and complements the growing number of recent studies examining the effects of the financial crisis on various aspects of banking operations (</w:t>
      </w:r>
      <w:r w:rsidR="002E5284" w:rsidRPr="00873580">
        <w:rPr>
          <w:rFonts w:ascii="Times New Roman" w:hAnsi="Times New Roman" w:cs="Times New Roman"/>
          <w:sz w:val="24"/>
          <w:szCs w:val="24"/>
        </w:rPr>
        <w:t>Vanquez &amp; Federico, 2015</w:t>
      </w:r>
      <w:r w:rsidR="002E5284">
        <w:rPr>
          <w:rFonts w:ascii="Times New Roman" w:hAnsi="Times New Roman" w:cs="Times New Roman"/>
          <w:sz w:val="24"/>
          <w:szCs w:val="24"/>
        </w:rPr>
        <w:t xml:space="preserve">; </w:t>
      </w:r>
      <w:r w:rsidRPr="00873580">
        <w:rPr>
          <w:rFonts w:ascii="Times New Roman" w:hAnsi="Times New Roman" w:cs="Times New Roman"/>
          <w:sz w:val="24"/>
          <w:szCs w:val="24"/>
        </w:rPr>
        <w:t>Athanasoglou et al., 2014; Markman &amp; Venzin, 2014; Haas &amp; Lelyyeld, 2014</w:t>
      </w:r>
      <w:r w:rsidR="002E5284">
        <w:rPr>
          <w:rFonts w:ascii="Times New Roman" w:hAnsi="Times New Roman" w:cs="Times New Roman"/>
          <w:sz w:val="24"/>
          <w:szCs w:val="24"/>
        </w:rPr>
        <w:t>; Albertazzi &amp; Gambacorta, 2009</w:t>
      </w:r>
      <w:r w:rsidRPr="00873580">
        <w:rPr>
          <w:rFonts w:ascii="Times New Roman" w:hAnsi="Times New Roman" w:cs="Times New Roman"/>
          <w:sz w:val="24"/>
          <w:szCs w:val="24"/>
        </w:rPr>
        <w:t xml:space="preserve">). Specifically, it contributes by extending studies such as Rumler &amp; Waschiczek’s (2010), Dietrich &amp; Wanzenried’s (2011) and Ekman et al.’s (2014) which investigated the determinants of bank profitability before and after the financial crisis in Austria and Switzerland. </w:t>
      </w:r>
      <w:r w:rsidRPr="00873580">
        <w:rPr>
          <w:rFonts w:ascii="Times New Roman" w:hAnsi="Times New Roman" w:cs="Times New Roman"/>
          <w:sz w:val="24"/>
          <w:szCs w:val="24"/>
        </w:rPr>
        <w:lastRenderedPageBreak/>
        <w:t>In particular, while existing studies such as Dietrich &amp; Wanzenried (2011) examined the determinants of bank profitability before and during the financial crisis, our study, in addition examines the periods after the financial crisis.</w:t>
      </w:r>
    </w:p>
    <w:p w14:paraId="484BFA52" w14:textId="77777777" w:rsidR="00873580" w:rsidRPr="00873580" w:rsidRDefault="00873580" w:rsidP="00873580">
      <w:pPr>
        <w:spacing w:after="0" w:line="480" w:lineRule="auto"/>
        <w:ind w:firstLine="426"/>
        <w:contextualSpacing/>
        <w:jc w:val="both"/>
        <w:rPr>
          <w:rFonts w:ascii="Times New Roman" w:hAnsi="Times New Roman" w:cs="Times New Roman"/>
          <w:sz w:val="24"/>
          <w:szCs w:val="24"/>
        </w:rPr>
      </w:pPr>
      <w:r w:rsidRPr="00873580">
        <w:rPr>
          <w:rFonts w:ascii="Times New Roman" w:hAnsi="Times New Roman" w:cs="Times New Roman"/>
          <w:sz w:val="24"/>
          <w:szCs w:val="24"/>
        </w:rPr>
        <w:t xml:space="preserve">     The rest of the study is structured as follows: section 2 presents background information about the context – ECOWAS. Section 3 presents the literature review which highlights key findings from existing studies and developed theoretical expectations for the study. Section 4 pre</w:t>
      </w:r>
      <w:r w:rsidRPr="00873580">
        <w:rPr>
          <w:rFonts w:ascii="Times New Roman" w:hAnsi="Times New Roman" w:cs="Times New Roman"/>
          <w:sz w:val="24"/>
          <w:szCs w:val="24"/>
        </w:rPr>
        <w:lastRenderedPageBreak/>
        <w:t xml:space="preserve">sents the methodology and data used in the study. Section 5 presents the results, and the paper concludes in section 6. </w:t>
      </w:r>
    </w:p>
    <w:p w14:paraId="7FE5588D" w14:textId="77777777" w:rsidR="005A7043" w:rsidRPr="005A7043" w:rsidRDefault="005A7043" w:rsidP="005A7043">
      <w:pPr>
        <w:spacing w:after="0" w:line="480" w:lineRule="auto"/>
        <w:ind w:firstLine="426"/>
        <w:contextualSpacing/>
        <w:jc w:val="both"/>
        <w:rPr>
          <w:rFonts w:ascii="Times New Roman" w:hAnsi="Times New Roman" w:cs="Times New Roman"/>
          <w:sz w:val="24"/>
          <w:szCs w:val="24"/>
        </w:rPr>
      </w:pPr>
    </w:p>
    <w:p w14:paraId="6A3EA895" w14:textId="5D585B20" w:rsidR="00757A88" w:rsidRPr="008A7487" w:rsidRDefault="00C82560" w:rsidP="00AC1B76">
      <w:pPr>
        <w:pStyle w:val="ListParagraph"/>
        <w:numPr>
          <w:ilvl w:val="0"/>
          <w:numId w:val="24"/>
        </w:numPr>
        <w:spacing w:after="0" w:line="480" w:lineRule="auto"/>
        <w:ind w:left="0" w:firstLine="0"/>
        <w:jc w:val="both"/>
        <w:rPr>
          <w:rFonts w:ascii="Times New Roman" w:hAnsi="Times New Roman" w:cs="Times New Roman"/>
          <w:b/>
          <w:sz w:val="24"/>
          <w:szCs w:val="24"/>
        </w:rPr>
      </w:pPr>
      <w:r w:rsidRPr="008A7487">
        <w:rPr>
          <w:rFonts w:ascii="Times New Roman" w:hAnsi="Times New Roman" w:cs="Times New Roman"/>
          <w:b/>
          <w:sz w:val="24"/>
          <w:szCs w:val="24"/>
        </w:rPr>
        <w:t xml:space="preserve">The </w:t>
      </w:r>
      <w:r w:rsidR="00691A1D" w:rsidRPr="008A7487">
        <w:rPr>
          <w:rFonts w:ascii="Times New Roman" w:hAnsi="Times New Roman" w:cs="Times New Roman"/>
          <w:b/>
          <w:sz w:val="24"/>
          <w:szCs w:val="24"/>
        </w:rPr>
        <w:t xml:space="preserve">ECOWAS </w:t>
      </w:r>
      <w:r w:rsidRPr="008A7487">
        <w:rPr>
          <w:rFonts w:ascii="Times New Roman" w:hAnsi="Times New Roman" w:cs="Times New Roman"/>
          <w:b/>
          <w:sz w:val="24"/>
          <w:szCs w:val="24"/>
        </w:rPr>
        <w:t>banking environment</w:t>
      </w:r>
      <w:r w:rsidR="00757A88" w:rsidRPr="008A7487">
        <w:rPr>
          <w:rFonts w:ascii="Times New Roman" w:hAnsi="Times New Roman" w:cs="Times New Roman"/>
          <w:b/>
          <w:sz w:val="24"/>
          <w:szCs w:val="24"/>
        </w:rPr>
        <w:t xml:space="preserve"> </w:t>
      </w:r>
    </w:p>
    <w:p w14:paraId="00D65212" w14:textId="3DD17240" w:rsidR="007F7E06" w:rsidRPr="008A7487" w:rsidRDefault="00C82560" w:rsidP="00AC1B76">
      <w:pPr>
        <w:shd w:val="clear" w:color="auto" w:fill="FFFFFF"/>
        <w:spacing w:after="0" w:line="480" w:lineRule="auto"/>
        <w:ind w:firstLine="720"/>
        <w:jc w:val="both"/>
        <w:textAlignment w:val="baseline"/>
        <w:rPr>
          <w:rFonts w:ascii="Times New Roman" w:hAnsi="Times New Roman" w:cs="Times New Roman"/>
          <w:sz w:val="24"/>
          <w:szCs w:val="24"/>
        </w:rPr>
      </w:pPr>
      <w:r w:rsidRPr="008A7487">
        <w:rPr>
          <w:rFonts w:ascii="Times New Roman" w:hAnsi="Times New Roman" w:cs="Times New Roman"/>
          <w:sz w:val="24"/>
          <w:szCs w:val="24"/>
        </w:rPr>
        <w:t xml:space="preserve">The </w:t>
      </w:r>
      <w:r w:rsidR="007F7E06" w:rsidRPr="008A7487">
        <w:rPr>
          <w:rFonts w:ascii="Times New Roman" w:hAnsi="Times New Roman" w:cs="Times New Roman"/>
          <w:sz w:val="24"/>
          <w:szCs w:val="24"/>
        </w:rPr>
        <w:t xml:space="preserve">ECOWAS is a regional economic bloc of countries in West Africa founded in 1975. </w:t>
      </w:r>
      <w:r w:rsidRPr="008A7487">
        <w:rPr>
          <w:rFonts w:ascii="Times New Roman" w:hAnsi="Times New Roman" w:cs="Times New Roman"/>
          <w:sz w:val="24"/>
          <w:szCs w:val="24"/>
        </w:rPr>
        <w:t xml:space="preserve"> Since 1999, the bloc consists of 15 member states (Benin, Burkina Faso, Cape Verde, Cote d’ivoire, The Gambia, Ghana, Guinea, Guines Bissau, Liberia, Mali, Niger, Nigeria, Senegal, Si</w:t>
      </w:r>
      <w:r w:rsidRPr="008A7487">
        <w:rPr>
          <w:rFonts w:ascii="Times New Roman" w:hAnsi="Times New Roman" w:cs="Times New Roman"/>
          <w:sz w:val="24"/>
          <w:szCs w:val="24"/>
        </w:rPr>
        <w:lastRenderedPageBreak/>
        <w:t xml:space="preserve">erra Leone and Togo). </w:t>
      </w:r>
      <w:r w:rsidR="007F7E06" w:rsidRPr="008A7487">
        <w:rPr>
          <w:rFonts w:ascii="Times New Roman" w:hAnsi="Times New Roman" w:cs="Times New Roman"/>
          <w:sz w:val="24"/>
          <w:szCs w:val="24"/>
        </w:rPr>
        <w:t>The main purpose of the organization is to promote economic development through integration</w:t>
      </w:r>
      <w:r w:rsidR="000877B6" w:rsidRPr="008A7487">
        <w:rPr>
          <w:rFonts w:ascii="Times New Roman" w:hAnsi="Times New Roman" w:cs="Times New Roman"/>
          <w:sz w:val="24"/>
          <w:szCs w:val="24"/>
        </w:rPr>
        <w:t>,</w:t>
      </w:r>
      <w:r w:rsidR="007F7E06" w:rsidRPr="008A7487">
        <w:rPr>
          <w:rFonts w:ascii="Times New Roman" w:hAnsi="Times New Roman" w:cs="Times New Roman"/>
          <w:sz w:val="24"/>
          <w:szCs w:val="24"/>
        </w:rPr>
        <w:t xml:space="preserve"> </w:t>
      </w:r>
      <w:r w:rsidR="000877B6" w:rsidRPr="008A7487">
        <w:rPr>
          <w:rFonts w:ascii="Times New Roman" w:hAnsi="Times New Roman" w:cs="Times New Roman"/>
          <w:sz w:val="24"/>
          <w:szCs w:val="24"/>
        </w:rPr>
        <w:t>free</w:t>
      </w:r>
      <w:r w:rsidR="007F7E06" w:rsidRPr="008A7487">
        <w:rPr>
          <w:rFonts w:ascii="Times New Roman" w:hAnsi="Times New Roman" w:cs="Times New Roman"/>
          <w:sz w:val="24"/>
          <w:szCs w:val="24"/>
        </w:rPr>
        <w:t xml:space="preserve"> trade and free move</w:t>
      </w:r>
      <w:r w:rsidR="00715D68" w:rsidRPr="008A7487">
        <w:rPr>
          <w:rFonts w:ascii="Times New Roman" w:hAnsi="Times New Roman" w:cs="Times New Roman"/>
          <w:sz w:val="24"/>
          <w:szCs w:val="24"/>
        </w:rPr>
        <w:t xml:space="preserve">ment of </w:t>
      </w:r>
      <w:r w:rsidR="00B123EE" w:rsidRPr="008A7487">
        <w:rPr>
          <w:rFonts w:ascii="Times New Roman" w:hAnsi="Times New Roman" w:cs="Times New Roman"/>
          <w:sz w:val="24"/>
          <w:szCs w:val="24"/>
        </w:rPr>
        <w:t xml:space="preserve">factors of production </w:t>
      </w:r>
      <w:r w:rsidR="00786D55" w:rsidRPr="008A7487">
        <w:rPr>
          <w:rFonts w:ascii="Times New Roman" w:hAnsi="Times New Roman" w:cs="Times New Roman"/>
          <w:sz w:val="24"/>
          <w:szCs w:val="24"/>
        </w:rPr>
        <w:t>amongst member states</w:t>
      </w:r>
      <w:r w:rsidR="00715D68" w:rsidRPr="008A7487">
        <w:rPr>
          <w:rFonts w:ascii="Times New Roman" w:hAnsi="Times New Roman" w:cs="Times New Roman"/>
          <w:sz w:val="24"/>
          <w:szCs w:val="24"/>
        </w:rPr>
        <w:t xml:space="preserve">. </w:t>
      </w:r>
      <w:r w:rsidR="00B123EE" w:rsidRPr="008A7487">
        <w:rPr>
          <w:rFonts w:ascii="Times New Roman" w:hAnsi="Times New Roman" w:cs="Times New Roman"/>
          <w:sz w:val="24"/>
          <w:szCs w:val="24"/>
        </w:rPr>
        <w:t>T</w:t>
      </w:r>
      <w:r w:rsidR="007F7E06" w:rsidRPr="008A7487">
        <w:rPr>
          <w:rFonts w:ascii="Times New Roman" w:hAnsi="Times New Roman" w:cs="Times New Roman"/>
          <w:sz w:val="24"/>
          <w:szCs w:val="24"/>
        </w:rPr>
        <w:t>he region has an estimated GDP of $721 billion and a total population of approximately 500million as at 2014 (World Bank Development In</w:t>
      </w:r>
      <w:r w:rsidR="006D4511">
        <w:rPr>
          <w:rFonts w:ascii="Times New Roman" w:hAnsi="Times New Roman" w:cs="Times New Roman"/>
          <w:sz w:val="24"/>
          <w:szCs w:val="24"/>
        </w:rPr>
        <w:t>dicator</w:t>
      </w:r>
      <w:r w:rsidR="00AC1B76">
        <w:rPr>
          <w:rFonts w:ascii="Times New Roman" w:hAnsi="Times New Roman" w:cs="Times New Roman"/>
          <w:sz w:val="24"/>
          <w:szCs w:val="24"/>
        </w:rPr>
        <w:t>,</w:t>
      </w:r>
      <w:r w:rsidR="007F7E06" w:rsidRPr="008A7487">
        <w:rPr>
          <w:rFonts w:ascii="Times New Roman" w:hAnsi="Times New Roman" w:cs="Times New Roman"/>
          <w:sz w:val="24"/>
          <w:szCs w:val="24"/>
        </w:rPr>
        <w:t xml:space="preserve"> 2014).</w:t>
      </w:r>
    </w:p>
    <w:p w14:paraId="39172C45" w14:textId="735A686B" w:rsidR="007F7E06" w:rsidRPr="008A7487" w:rsidRDefault="00786D55" w:rsidP="00C82560">
      <w:pPr>
        <w:spacing w:after="0" w:line="480" w:lineRule="auto"/>
        <w:ind w:firstLine="720"/>
        <w:contextualSpacing/>
        <w:jc w:val="both"/>
        <w:rPr>
          <w:rFonts w:ascii="Times New Roman" w:hAnsi="Times New Roman" w:cs="Times New Roman"/>
          <w:sz w:val="24"/>
          <w:szCs w:val="24"/>
        </w:rPr>
      </w:pPr>
      <w:r w:rsidRPr="008A7487">
        <w:rPr>
          <w:rFonts w:ascii="Times New Roman" w:hAnsi="Times New Roman" w:cs="Times New Roman"/>
          <w:sz w:val="24"/>
          <w:szCs w:val="24"/>
        </w:rPr>
        <w:t>D</w:t>
      </w:r>
      <w:r w:rsidR="007F7E06" w:rsidRPr="008A7487">
        <w:rPr>
          <w:rFonts w:ascii="Times New Roman" w:hAnsi="Times New Roman" w:cs="Times New Roman"/>
          <w:sz w:val="24"/>
          <w:szCs w:val="24"/>
        </w:rPr>
        <w:t>espite economic cooperation, countries in the bloc have distinctive characteristics and their levels of financial market development</w:t>
      </w:r>
      <w:r w:rsidR="00B123EE" w:rsidRPr="008A7487">
        <w:rPr>
          <w:rFonts w:ascii="Times New Roman" w:hAnsi="Times New Roman" w:cs="Times New Roman"/>
          <w:sz w:val="24"/>
          <w:szCs w:val="24"/>
        </w:rPr>
        <w:t xml:space="preserve"> are not uniform. C</w:t>
      </w:r>
      <w:r w:rsidR="007F7E06" w:rsidRPr="008A7487">
        <w:rPr>
          <w:rFonts w:ascii="Times New Roman" w:hAnsi="Times New Roman" w:cs="Times New Roman"/>
          <w:sz w:val="24"/>
          <w:szCs w:val="24"/>
        </w:rPr>
        <w:t xml:space="preserve">ountries such as Nigeria, Ghana, and Gambia have relatively high (6, </w:t>
      </w:r>
      <w:r w:rsidR="007F7E06" w:rsidRPr="008A7487">
        <w:rPr>
          <w:rFonts w:ascii="Times New Roman" w:hAnsi="Times New Roman" w:cs="Times New Roman"/>
          <w:sz w:val="24"/>
          <w:szCs w:val="24"/>
        </w:rPr>
        <w:lastRenderedPageBreak/>
        <w:t>6, and 9) ratio of commercial banks branches</w:t>
      </w:r>
      <w:r w:rsidRPr="008A7487">
        <w:rPr>
          <w:rFonts w:ascii="Times New Roman" w:hAnsi="Times New Roman" w:cs="Times New Roman"/>
          <w:sz w:val="24"/>
          <w:szCs w:val="24"/>
        </w:rPr>
        <w:t xml:space="preserve"> per 100,000 adult population compared to </w:t>
      </w:r>
      <w:r w:rsidR="007F7E06" w:rsidRPr="008A7487">
        <w:rPr>
          <w:rFonts w:ascii="Times New Roman" w:hAnsi="Times New Roman" w:cs="Times New Roman"/>
          <w:sz w:val="24"/>
          <w:szCs w:val="24"/>
        </w:rPr>
        <w:t xml:space="preserve">countries such as Niger, Sierra Leone and Guinea, </w:t>
      </w:r>
      <w:r w:rsidRPr="008A7487">
        <w:rPr>
          <w:rFonts w:ascii="Times New Roman" w:hAnsi="Times New Roman" w:cs="Times New Roman"/>
          <w:sz w:val="24"/>
          <w:szCs w:val="24"/>
        </w:rPr>
        <w:t>with</w:t>
      </w:r>
      <w:r w:rsidR="007F7E06" w:rsidRPr="008A7487">
        <w:rPr>
          <w:rFonts w:ascii="Times New Roman" w:hAnsi="Times New Roman" w:cs="Times New Roman"/>
          <w:sz w:val="24"/>
          <w:szCs w:val="24"/>
        </w:rPr>
        <w:t xml:space="preserve"> low (1.5, 3, 2) ratios of commercial banks branches to adult population </w:t>
      </w:r>
      <w:r w:rsidR="009677E9" w:rsidRPr="008A7487">
        <w:rPr>
          <w:rFonts w:ascii="Times New Roman" w:hAnsi="Times New Roman" w:cs="Times New Roman"/>
          <w:sz w:val="24"/>
          <w:szCs w:val="24"/>
        </w:rPr>
        <w:t>against</w:t>
      </w:r>
      <w:r w:rsidR="007F7E06" w:rsidRPr="008A7487">
        <w:rPr>
          <w:rFonts w:ascii="Times New Roman" w:hAnsi="Times New Roman" w:cs="Times New Roman"/>
          <w:sz w:val="24"/>
          <w:szCs w:val="24"/>
        </w:rPr>
        <w:t xml:space="preserve"> the global average of 11 banks (World Bank Financial Market Development Indicator, 2014). </w:t>
      </w:r>
    </w:p>
    <w:p w14:paraId="2AAFBEFA" w14:textId="76BCE59F" w:rsidR="00C82560" w:rsidRPr="008A7487" w:rsidRDefault="002815A4" w:rsidP="002033E7">
      <w:pPr>
        <w:spacing w:after="0" w:line="480" w:lineRule="auto"/>
        <w:ind w:firstLine="720"/>
        <w:contextualSpacing/>
        <w:jc w:val="both"/>
        <w:rPr>
          <w:rFonts w:ascii="Times New Roman" w:hAnsi="Times New Roman" w:cs="Times New Roman"/>
          <w:sz w:val="24"/>
          <w:szCs w:val="24"/>
        </w:rPr>
      </w:pPr>
      <w:r w:rsidRPr="008A7487">
        <w:rPr>
          <w:rFonts w:ascii="Times New Roman" w:hAnsi="Times New Roman" w:cs="Times New Roman"/>
          <w:sz w:val="24"/>
          <w:szCs w:val="24"/>
        </w:rPr>
        <w:t>Based on</w:t>
      </w:r>
      <w:r w:rsidR="002033E7" w:rsidRPr="008A7487">
        <w:rPr>
          <w:rFonts w:ascii="Times New Roman" w:hAnsi="Times New Roman" w:cs="Times New Roman"/>
          <w:sz w:val="24"/>
          <w:szCs w:val="24"/>
        </w:rPr>
        <w:t xml:space="preserve"> the</w:t>
      </w:r>
      <w:r w:rsidR="007F7E06" w:rsidRPr="008A7487">
        <w:rPr>
          <w:rFonts w:ascii="Times New Roman" w:hAnsi="Times New Roman" w:cs="Times New Roman"/>
          <w:sz w:val="24"/>
          <w:szCs w:val="24"/>
        </w:rPr>
        <w:t xml:space="preserve"> Structure-Conduct-Performance (SC</w:t>
      </w:r>
      <w:r w:rsidR="006D4511">
        <w:rPr>
          <w:rFonts w:ascii="Times New Roman" w:hAnsi="Times New Roman" w:cs="Times New Roman"/>
          <w:sz w:val="24"/>
          <w:szCs w:val="24"/>
        </w:rPr>
        <w:t>P) theoretical framework (</w:t>
      </w:r>
      <w:r w:rsidR="00EB638C" w:rsidRPr="008A7487">
        <w:rPr>
          <w:rFonts w:ascii="Times New Roman" w:hAnsi="Times New Roman" w:cs="Times New Roman"/>
          <w:sz w:val="24"/>
          <w:szCs w:val="24"/>
        </w:rPr>
        <w:t>Molyneux et al.</w:t>
      </w:r>
      <w:r w:rsidR="00EB638C">
        <w:rPr>
          <w:rFonts w:ascii="Times New Roman" w:hAnsi="Times New Roman" w:cs="Times New Roman"/>
          <w:sz w:val="24"/>
          <w:szCs w:val="24"/>
        </w:rPr>
        <w:t>,</w:t>
      </w:r>
      <w:r w:rsidR="00EB638C" w:rsidRPr="008A7487">
        <w:rPr>
          <w:rFonts w:ascii="Times New Roman" w:hAnsi="Times New Roman" w:cs="Times New Roman"/>
          <w:sz w:val="24"/>
          <w:szCs w:val="24"/>
        </w:rPr>
        <w:t xml:space="preserve"> 1996</w:t>
      </w:r>
      <w:r w:rsidR="00EB638C">
        <w:rPr>
          <w:rFonts w:ascii="Times New Roman" w:hAnsi="Times New Roman" w:cs="Times New Roman"/>
          <w:sz w:val="24"/>
          <w:szCs w:val="24"/>
        </w:rPr>
        <w:t xml:space="preserve">; </w:t>
      </w:r>
      <w:r w:rsidR="006D4511">
        <w:rPr>
          <w:rFonts w:ascii="Times New Roman" w:hAnsi="Times New Roman" w:cs="Times New Roman"/>
          <w:sz w:val="24"/>
          <w:szCs w:val="24"/>
        </w:rPr>
        <w:t>Short</w:t>
      </w:r>
      <w:r w:rsidR="00AC1B76">
        <w:rPr>
          <w:rFonts w:ascii="Times New Roman" w:hAnsi="Times New Roman" w:cs="Times New Roman"/>
          <w:sz w:val="24"/>
          <w:szCs w:val="24"/>
        </w:rPr>
        <w:t>,</w:t>
      </w:r>
      <w:r w:rsidR="00EB638C">
        <w:rPr>
          <w:rFonts w:ascii="Times New Roman" w:hAnsi="Times New Roman" w:cs="Times New Roman"/>
          <w:sz w:val="24"/>
          <w:szCs w:val="24"/>
        </w:rPr>
        <w:t xml:space="preserve"> 1979</w:t>
      </w:r>
      <w:r w:rsidR="007F7E06" w:rsidRPr="008A7487">
        <w:rPr>
          <w:rFonts w:ascii="Times New Roman" w:hAnsi="Times New Roman" w:cs="Times New Roman"/>
          <w:sz w:val="24"/>
          <w:szCs w:val="24"/>
        </w:rPr>
        <w:t>), African banks have significantly different structure and conduct compare</w:t>
      </w:r>
      <w:r w:rsidR="00EA1463" w:rsidRPr="008A7487">
        <w:rPr>
          <w:rFonts w:ascii="Times New Roman" w:hAnsi="Times New Roman" w:cs="Times New Roman"/>
          <w:sz w:val="24"/>
          <w:szCs w:val="24"/>
        </w:rPr>
        <w:t>d</w:t>
      </w:r>
      <w:r w:rsidR="007F7E06" w:rsidRPr="008A7487">
        <w:rPr>
          <w:rFonts w:ascii="Times New Roman" w:hAnsi="Times New Roman" w:cs="Times New Roman"/>
          <w:sz w:val="24"/>
          <w:szCs w:val="24"/>
        </w:rPr>
        <w:t xml:space="preserve"> to banks in other </w:t>
      </w:r>
      <w:r w:rsidR="00475BFF" w:rsidRPr="008A7487">
        <w:rPr>
          <w:rFonts w:ascii="Times New Roman" w:hAnsi="Times New Roman" w:cs="Times New Roman"/>
          <w:sz w:val="24"/>
          <w:szCs w:val="24"/>
        </w:rPr>
        <w:t>regions reported</w:t>
      </w:r>
      <w:r w:rsidR="0083520E" w:rsidRPr="008A7487">
        <w:rPr>
          <w:rFonts w:ascii="Times New Roman" w:hAnsi="Times New Roman" w:cs="Times New Roman"/>
          <w:sz w:val="24"/>
          <w:szCs w:val="24"/>
        </w:rPr>
        <w:t xml:space="preserve"> in the </w:t>
      </w:r>
      <w:r w:rsidR="00CE50D9" w:rsidRPr="008A7487">
        <w:rPr>
          <w:rFonts w:ascii="Times New Roman" w:hAnsi="Times New Roman" w:cs="Times New Roman"/>
          <w:sz w:val="24"/>
          <w:szCs w:val="24"/>
        </w:rPr>
        <w:t>literature (</w:t>
      </w:r>
      <w:r w:rsidR="00EB638C" w:rsidRPr="008A7487">
        <w:rPr>
          <w:rFonts w:ascii="Times New Roman" w:hAnsi="Times New Roman" w:cs="Times New Roman"/>
          <w:sz w:val="24"/>
          <w:szCs w:val="24"/>
        </w:rPr>
        <w:t>Andrianova et al.</w:t>
      </w:r>
      <w:r w:rsidR="00EB638C">
        <w:rPr>
          <w:rFonts w:ascii="Times New Roman" w:hAnsi="Times New Roman" w:cs="Times New Roman"/>
          <w:sz w:val="24"/>
          <w:szCs w:val="24"/>
        </w:rPr>
        <w:t>,</w:t>
      </w:r>
      <w:r w:rsidR="00EB638C" w:rsidRPr="008A7487">
        <w:rPr>
          <w:rFonts w:ascii="Times New Roman" w:hAnsi="Times New Roman" w:cs="Times New Roman"/>
          <w:sz w:val="24"/>
          <w:szCs w:val="24"/>
        </w:rPr>
        <w:t xml:space="preserve"> 2015</w:t>
      </w:r>
      <w:r w:rsidR="00EB638C">
        <w:rPr>
          <w:rFonts w:ascii="Times New Roman" w:hAnsi="Times New Roman" w:cs="Times New Roman"/>
          <w:sz w:val="24"/>
          <w:szCs w:val="24"/>
        </w:rPr>
        <w:t xml:space="preserve">; </w:t>
      </w:r>
      <w:r w:rsidR="006D4511">
        <w:rPr>
          <w:rFonts w:ascii="Times New Roman" w:hAnsi="Times New Roman" w:cs="Times New Roman"/>
          <w:sz w:val="24"/>
          <w:szCs w:val="24"/>
        </w:rPr>
        <w:lastRenderedPageBreak/>
        <w:t>Ahokpossi</w:t>
      </w:r>
      <w:r w:rsidR="00AC1B76">
        <w:rPr>
          <w:rFonts w:ascii="Times New Roman" w:hAnsi="Times New Roman" w:cs="Times New Roman"/>
          <w:sz w:val="24"/>
          <w:szCs w:val="24"/>
        </w:rPr>
        <w:t>,</w:t>
      </w:r>
      <w:r w:rsidR="00EB638C">
        <w:rPr>
          <w:rFonts w:ascii="Times New Roman" w:hAnsi="Times New Roman" w:cs="Times New Roman"/>
          <w:sz w:val="24"/>
          <w:szCs w:val="24"/>
        </w:rPr>
        <w:t xml:space="preserve"> 2013</w:t>
      </w:r>
      <w:r w:rsidR="00475BFF" w:rsidRPr="008A7487">
        <w:rPr>
          <w:rFonts w:ascii="Times New Roman" w:hAnsi="Times New Roman" w:cs="Times New Roman"/>
          <w:sz w:val="24"/>
          <w:szCs w:val="24"/>
        </w:rPr>
        <w:t>)</w:t>
      </w:r>
      <w:r w:rsidR="007F7E06" w:rsidRPr="008A7487">
        <w:rPr>
          <w:rFonts w:ascii="Times New Roman" w:hAnsi="Times New Roman" w:cs="Times New Roman"/>
          <w:sz w:val="24"/>
          <w:szCs w:val="24"/>
        </w:rPr>
        <w:t xml:space="preserve">. The SCP suggests that banks performance is dependent on their structure (i.e. number of bank and depositors; concentration, and barriers to entry) and conduct (i.e. pricing behavior, legal attitude and tactics). In terms of structure, financial markets in Africa are undeveloped and shallow; bank lending is low because of low financial intermediation </w:t>
      </w:r>
      <w:r w:rsidR="00324F97" w:rsidRPr="008A7487">
        <w:rPr>
          <w:rFonts w:ascii="Times New Roman" w:hAnsi="Times New Roman" w:cs="Times New Roman"/>
          <w:sz w:val="24"/>
          <w:szCs w:val="24"/>
        </w:rPr>
        <w:t xml:space="preserve">and high credit risk </w:t>
      </w:r>
      <w:r w:rsidR="007F7E06" w:rsidRPr="008A7487">
        <w:rPr>
          <w:rFonts w:ascii="Times New Roman" w:hAnsi="Times New Roman" w:cs="Times New Roman"/>
          <w:sz w:val="24"/>
          <w:szCs w:val="24"/>
        </w:rPr>
        <w:t xml:space="preserve">(Allen et </w:t>
      </w:r>
      <w:r w:rsidR="009554E5" w:rsidRPr="008A7487">
        <w:rPr>
          <w:rFonts w:ascii="Times New Roman" w:hAnsi="Times New Roman" w:cs="Times New Roman"/>
          <w:sz w:val="24"/>
          <w:szCs w:val="24"/>
        </w:rPr>
        <w:t>al.</w:t>
      </w:r>
      <w:r w:rsidR="00AC1B76">
        <w:rPr>
          <w:rFonts w:ascii="Times New Roman" w:hAnsi="Times New Roman" w:cs="Times New Roman"/>
          <w:sz w:val="24"/>
          <w:szCs w:val="24"/>
        </w:rPr>
        <w:t>,</w:t>
      </w:r>
      <w:r w:rsidR="007F7E06" w:rsidRPr="008A7487">
        <w:rPr>
          <w:rFonts w:ascii="Times New Roman" w:hAnsi="Times New Roman" w:cs="Times New Roman"/>
          <w:sz w:val="24"/>
          <w:szCs w:val="24"/>
        </w:rPr>
        <w:t xml:space="preserve"> 2011). </w:t>
      </w:r>
    </w:p>
    <w:p w14:paraId="24B790F3" w14:textId="16D65553" w:rsidR="00715D68" w:rsidRPr="008A7487" w:rsidRDefault="007F7E06" w:rsidP="002033E7">
      <w:pPr>
        <w:spacing w:after="0" w:line="480" w:lineRule="auto"/>
        <w:ind w:firstLine="720"/>
        <w:contextualSpacing/>
        <w:jc w:val="both"/>
        <w:rPr>
          <w:rFonts w:ascii="Times New Roman" w:hAnsi="Times New Roman" w:cs="Times New Roman"/>
          <w:sz w:val="24"/>
          <w:szCs w:val="24"/>
        </w:rPr>
      </w:pPr>
      <w:r w:rsidRPr="008A7487">
        <w:rPr>
          <w:rFonts w:ascii="Times New Roman" w:hAnsi="Times New Roman" w:cs="Times New Roman"/>
          <w:sz w:val="24"/>
          <w:szCs w:val="24"/>
        </w:rPr>
        <w:t>African financial markets have one of the lowest ratios of bank branches to population in the world (World Bank Development Indicator</w:t>
      </w:r>
      <w:r w:rsidR="00AC1B76">
        <w:rPr>
          <w:rFonts w:ascii="Times New Roman" w:hAnsi="Times New Roman" w:cs="Times New Roman"/>
          <w:sz w:val="24"/>
          <w:szCs w:val="24"/>
        </w:rPr>
        <w:t>,</w:t>
      </w:r>
      <w:r w:rsidR="0083520E" w:rsidRPr="008A7487">
        <w:rPr>
          <w:rFonts w:ascii="Times New Roman" w:hAnsi="Times New Roman" w:cs="Times New Roman"/>
          <w:sz w:val="24"/>
          <w:szCs w:val="24"/>
        </w:rPr>
        <w:t xml:space="preserve"> 2014) and t</w:t>
      </w:r>
      <w:r w:rsidRPr="008A7487">
        <w:rPr>
          <w:rFonts w:ascii="Times New Roman" w:hAnsi="Times New Roman" w:cs="Times New Roman"/>
          <w:sz w:val="24"/>
          <w:szCs w:val="24"/>
        </w:rPr>
        <w:t xml:space="preserve">here is high </w:t>
      </w:r>
      <w:r w:rsidRPr="008A7487">
        <w:rPr>
          <w:rFonts w:ascii="Times New Roman" w:hAnsi="Times New Roman" w:cs="Times New Roman"/>
          <w:sz w:val="24"/>
          <w:szCs w:val="24"/>
        </w:rPr>
        <w:lastRenderedPageBreak/>
        <w:t>m</w:t>
      </w:r>
      <w:r w:rsidR="0007527C" w:rsidRPr="008A7487">
        <w:rPr>
          <w:rFonts w:ascii="Times New Roman" w:hAnsi="Times New Roman" w:cs="Times New Roman"/>
          <w:sz w:val="24"/>
          <w:szCs w:val="24"/>
        </w:rPr>
        <w:t>arket power because the markets are</w:t>
      </w:r>
      <w:r w:rsidRPr="008A7487">
        <w:rPr>
          <w:rFonts w:ascii="Times New Roman" w:hAnsi="Times New Roman" w:cs="Times New Roman"/>
          <w:sz w:val="24"/>
          <w:szCs w:val="24"/>
        </w:rPr>
        <w:t xml:space="preserve"> highly concentrated resulting in limited competition and enabling large banks to earn abnormal returns due to monopolistic competition</w:t>
      </w:r>
      <w:r w:rsidR="0007527C" w:rsidRPr="008A7487">
        <w:rPr>
          <w:rFonts w:ascii="Times New Roman" w:hAnsi="Times New Roman" w:cs="Times New Roman"/>
          <w:sz w:val="24"/>
          <w:szCs w:val="24"/>
        </w:rPr>
        <w:t>s</w:t>
      </w:r>
      <w:r w:rsidRPr="008A7487">
        <w:rPr>
          <w:rFonts w:ascii="Times New Roman" w:hAnsi="Times New Roman" w:cs="Times New Roman"/>
          <w:sz w:val="24"/>
          <w:szCs w:val="24"/>
        </w:rPr>
        <w:t xml:space="preserve"> (</w:t>
      </w:r>
      <w:r w:rsidR="00EB638C">
        <w:rPr>
          <w:rFonts w:ascii="Times New Roman" w:hAnsi="Times New Roman" w:cs="Times New Roman"/>
          <w:sz w:val="24"/>
          <w:szCs w:val="24"/>
        </w:rPr>
        <w:t>Ahokpossi,</w:t>
      </w:r>
      <w:r w:rsidR="00EB638C" w:rsidRPr="008A7487">
        <w:rPr>
          <w:rFonts w:ascii="Times New Roman" w:hAnsi="Times New Roman" w:cs="Times New Roman"/>
          <w:sz w:val="24"/>
          <w:szCs w:val="24"/>
        </w:rPr>
        <w:t xml:space="preserve"> 2013</w:t>
      </w:r>
      <w:r w:rsidR="00EB638C">
        <w:rPr>
          <w:rFonts w:ascii="Times New Roman" w:hAnsi="Times New Roman" w:cs="Times New Roman"/>
          <w:sz w:val="24"/>
          <w:szCs w:val="24"/>
        </w:rPr>
        <w:t xml:space="preserve">; </w:t>
      </w:r>
      <w:r w:rsidRPr="008A7487">
        <w:rPr>
          <w:rFonts w:ascii="Times New Roman" w:hAnsi="Times New Roman" w:cs="Times New Roman"/>
          <w:sz w:val="24"/>
          <w:szCs w:val="24"/>
        </w:rPr>
        <w:t xml:space="preserve">Flamini et </w:t>
      </w:r>
      <w:r w:rsidR="009554E5" w:rsidRPr="008A7487">
        <w:rPr>
          <w:rFonts w:ascii="Times New Roman" w:hAnsi="Times New Roman" w:cs="Times New Roman"/>
          <w:sz w:val="24"/>
          <w:szCs w:val="24"/>
        </w:rPr>
        <w:t>al.</w:t>
      </w:r>
      <w:r w:rsidR="00AC1B76">
        <w:rPr>
          <w:rFonts w:ascii="Times New Roman" w:hAnsi="Times New Roman" w:cs="Times New Roman"/>
          <w:sz w:val="24"/>
          <w:szCs w:val="24"/>
        </w:rPr>
        <w:t>,</w:t>
      </w:r>
      <w:r w:rsidR="00EB638C">
        <w:rPr>
          <w:rFonts w:ascii="Times New Roman" w:hAnsi="Times New Roman" w:cs="Times New Roman"/>
          <w:sz w:val="24"/>
          <w:szCs w:val="24"/>
        </w:rPr>
        <w:t xml:space="preserve"> 2009</w:t>
      </w:r>
      <w:r w:rsidRPr="008A7487">
        <w:rPr>
          <w:rFonts w:ascii="Times New Roman" w:hAnsi="Times New Roman" w:cs="Times New Roman"/>
          <w:sz w:val="24"/>
          <w:szCs w:val="24"/>
        </w:rPr>
        <w:t xml:space="preserve">). </w:t>
      </w:r>
      <w:r w:rsidR="0083520E" w:rsidRPr="008A7487">
        <w:rPr>
          <w:rFonts w:ascii="Times New Roman" w:hAnsi="Times New Roman" w:cs="Times New Roman"/>
          <w:sz w:val="24"/>
          <w:szCs w:val="24"/>
        </w:rPr>
        <w:t>T</w:t>
      </w:r>
      <w:r w:rsidR="009677E9" w:rsidRPr="008A7487">
        <w:rPr>
          <w:rFonts w:ascii="Times New Roman" w:hAnsi="Times New Roman" w:cs="Times New Roman"/>
          <w:sz w:val="24"/>
          <w:szCs w:val="24"/>
        </w:rPr>
        <w:t>he reasons for high banking market</w:t>
      </w:r>
      <w:r w:rsidR="0007527C" w:rsidRPr="008A7487">
        <w:rPr>
          <w:rFonts w:ascii="Times New Roman" w:hAnsi="Times New Roman" w:cs="Times New Roman"/>
          <w:sz w:val="24"/>
          <w:szCs w:val="24"/>
        </w:rPr>
        <w:t>s</w:t>
      </w:r>
      <w:r w:rsidR="009677E9" w:rsidRPr="008A7487">
        <w:rPr>
          <w:rFonts w:ascii="Times New Roman" w:hAnsi="Times New Roman" w:cs="Times New Roman"/>
          <w:sz w:val="24"/>
          <w:szCs w:val="24"/>
        </w:rPr>
        <w:t xml:space="preserve"> concentration</w:t>
      </w:r>
      <w:r w:rsidR="008D47C2" w:rsidRPr="008A7487">
        <w:rPr>
          <w:rFonts w:ascii="Times New Roman" w:hAnsi="Times New Roman" w:cs="Times New Roman"/>
          <w:sz w:val="24"/>
          <w:szCs w:val="24"/>
        </w:rPr>
        <w:t xml:space="preserve"> in Africa</w:t>
      </w:r>
      <w:r w:rsidR="004C55EC" w:rsidRPr="008A7487">
        <w:rPr>
          <w:rFonts w:ascii="Times New Roman" w:hAnsi="Times New Roman" w:cs="Times New Roman"/>
          <w:sz w:val="24"/>
          <w:szCs w:val="24"/>
        </w:rPr>
        <w:t xml:space="preserve"> </w:t>
      </w:r>
      <w:r w:rsidR="0083520E" w:rsidRPr="008A7487">
        <w:rPr>
          <w:rFonts w:ascii="Times New Roman" w:hAnsi="Times New Roman" w:cs="Times New Roman"/>
          <w:sz w:val="24"/>
          <w:szCs w:val="24"/>
        </w:rPr>
        <w:t>include waves</w:t>
      </w:r>
      <w:r w:rsidR="009677E9" w:rsidRPr="008A7487">
        <w:rPr>
          <w:rFonts w:ascii="Times New Roman" w:hAnsi="Times New Roman" w:cs="Times New Roman"/>
          <w:sz w:val="24"/>
          <w:szCs w:val="24"/>
        </w:rPr>
        <w:t xml:space="preserve"> of privatization</w:t>
      </w:r>
      <w:r w:rsidR="0083520E" w:rsidRPr="008A7487">
        <w:rPr>
          <w:rFonts w:ascii="Times New Roman" w:hAnsi="Times New Roman" w:cs="Times New Roman"/>
          <w:sz w:val="24"/>
          <w:szCs w:val="24"/>
        </w:rPr>
        <w:t xml:space="preserve"> of public enterprises including banks</w:t>
      </w:r>
      <w:r w:rsidR="005E6C10" w:rsidRPr="008A7487">
        <w:rPr>
          <w:rFonts w:ascii="Times New Roman" w:hAnsi="Times New Roman" w:cs="Times New Roman"/>
          <w:sz w:val="24"/>
          <w:szCs w:val="24"/>
        </w:rPr>
        <w:t>,</w:t>
      </w:r>
      <w:r w:rsidR="0083520E" w:rsidRPr="008A7487">
        <w:rPr>
          <w:rFonts w:ascii="Times New Roman" w:hAnsi="Times New Roman" w:cs="Times New Roman"/>
          <w:sz w:val="24"/>
          <w:szCs w:val="24"/>
        </w:rPr>
        <w:t xml:space="preserve"> </w:t>
      </w:r>
      <w:r w:rsidR="002033E7" w:rsidRPr="008A7487">
        <w:rPr>
          <w:rFonts w:ascii="Times New Roman" w:hAnsi="Times New Roman" w:cs="Times New Roman"/>
          <w:sz w:val="24"/>
          <w:szCs w:val="24"/>
        </w:rPr>
        <w:t xml:space="preserve">and the requirements for increased capitalization by banks </w:t>
      </w:r>
      <w:r w:rsidR="00BC4ADF" w:rsidRPr="008A7487">
        <w:rPr>
          <w:rFonts w:ascii="Times New Roman" w:hAnsi="Times New Roman" w:cs="Times New Roman"/>
          <w:sz w:val="24"/>
          <w:szCs w:val="24"/>
        </w:rPr>
        <w:t>to</w:t>
      </w:r>
      <w:r w:rsidR="002033E7" w:rsidRPr="008A7487">
        <w:rPr>
          <w:rFonts w:ascii="Times New Roman" w:hAnsi="Times New Roman" w:cs="Times New Roman"/>
          <w:sz w:val="24"/>
          <w:szCs w:val="24"/>
        </w:rPr>
        <w:t xml:space="preserve"> ensure market resilience</w:t>
      </w:r>
      <w:r w:rsidR="00A86419" w:rsidRPr="008A7487">
        <w:rPr>
          <w:rFonts w:ascii="Times New Roman" w:hAnsi="Times New Roman" w:cs="Times New Roman"/>
          <w:sz w:val="24"/>
          <w:szCs w:val="24"/>
        </w:rPr>
        <w:t xml:space="preserve"> (Tahir et al.</w:t>
      </w:r>
      <w:r w:rsidR="00AC1B76">
        <w:rPr>
          <w:rFonts w:ascii="Times New Roman" w:hAnsi="Times New Roman" w:cs="Times New Roman"/>
          <w:sz w:val="24"/>
          <w:szCs w:val="24"/>
        </w:rPr>
        <w:t>,</w:t>
      </w:r>
      <w:r w:rsidR="00A86419" w:rsidRPr="008A7487">
        <w:rPr>
          <w:rFonts w:ascii="Times New Roman" w:hAnsi="Times New Roman" w:cs="Times New Roman"/>
          <w:sz w:val="24"/>
          <w:szCs w:val="24"/>
        </w:rPr>
        <w:t xml:space="preserve"> 2016)</w:t>
      </w:r>
      <w:r w:rsidR="002033E7" w:rsidRPr="008A7487">
        <w:rPr>
          <w:rFonts w:ascii="Times New Roman" w:hAnsi="Times New Roman" w:cs="Times New Roman"/>
          <w:sz w:val="24"/>
          <w:szCs w:val="24"/>
        </w:rPr>
        <w:t xml:space="preserve">. The latter resulted in several </w:t>
      </w:r>
      <w:r w:rsidR="00BC4ADF" w:rsidRPr="008A7487">
        <w:rPr>
          <w:rFonts w:ascii="Times New Roman" w:hAnsi="Times New Roman" w:cs="Times New Roman"/>
          <w:sz w:val="24"/>
          <w:szCs w:val="24"/>
        </w:rPr>
        <w:t>mergers</w:t>
      </w:r>
      <w:r w:rsidR="002033E7" w:rsidRPr="008A7487">
        <w:rPr>
          <w:rFonts w:ascii="Times New Roman" w:hAnsi="Times New Roman" w:cs="Times New Roman"/>
          <w:sz w:val="24"/>
          <w:szCs w:val="24"/>
        </w:rPr>
        <w:t xml:space="preserve"> and re</w:t>
      </w:r>
      <w:r w:rsidR="002033E7" w:rsidRPr="008A7487">
        <w:rPr>
          <w:rFonts w:ascii="Times New Roman" w:hAnsi="Times New Roman" w:cs="Times New Roman"/>
          <w:sz w:val="24"/>
          <w:szCs w:val="24"/>
        </w:rPr>
        <w:lastRenderedPageBreak/>
        <w:t xml:space="preserve">structuring in the banking sector in many African </w:t>
      </w:r>
      <w:r w:rsidR="00E67014" w:rsidRPr="008A7487">
        <w:rPr>
          <w:rFonts w:ascii="Times New Roman" w:hAnsi="Times New Roman" w:cs="Times New Roman"/>
          <w:sz w:val="24"/>
          <w:szCs w:val="24"/>
        </w:rPr>
        <w:t>countries reducing</w:t>
      </w:r>
      <w:r w:rsidR="002033E7" w:rsidRPr="008A7487">
        <w:rPr>
          <w:rFonts w:ascii="Times New Roman" w:hAnsi="Times New Roman" w:cs="Times New Roman"/>
          <w:sz w:val="24"/>
          <w:szCs w:val="24"/>
        </w:rPr>
        <w:t xml:space="preserve"> the number of banks but improving their capital base and resilience to external shocks. </w:t>
      </w:r>
    </w:p>
    <w:p w14:paraId="31406DC1" w14:textId="0849FDD4" w:rsidR="0082360A" w:rsidRPr="008A7487" w:rsidRDefault="007F7E06" w:rsidP="00715D68">
      <w:pPr>
        <w:spacing w:after="0" w:line="480" w:lineRule="auto"/>
        <w:ind w:firstLine="720"/>
        <w:contextualSpacing/>
        <w:jc w:val="both"/>
        <w:rPr>
          <w:rFonts w:ascii="Times New Roman" w:hAnsi="Times New Roman" w:cs="Times New Roman"/>
          <w:sz w:val="24"/>
          <w:szCs w:val="24"/>
        </w:rPr>
      </w:pPr>
      <w:r w:rsidRPr="008A7487">
        <w:rPr>
          <w:rFonts w:ascii="Times New Roman" w:hAnsi="Times New Roman" w:cs="Times New Roman"/>
          <w:sz w:val="24"/>
          <w:szCs w:val="24"/>
        </w:rPr>
        <w:t>Banking conducts in Africa are also significantly different from popular norms in the literature. For example, the legal structure, institutions and financial policies are emerging and unstable (Demetriades</w:t>
      </w:r>
      <w:r w:rsidR="006D4511">
        <w:rPr>
          <w:rFonts w:ascii="Times New Roman" w:hAnsi="Times New Roman" w:cs="Times New Roman"/>
          <w:sz w:val="24"/>
          <w:szCs w:val="24"/>
        </w:rPr>
        <w:t xml:space="preserve"> </w:t>
      </w:r>
      <w:r w:rsidR="00AC1B76">
        <w:rPr>
          <w:rFonts w:ascii="Times New Roman" w:hAnsi="Times New Roman" w:cs="Times New Roman"/>
          <w:sz w:val="24"/>
          <w:szCs w:val="24"/>
        </w:rPr>
        <w:t>&amp;</w:t>
      </w:r>
      <w:r w:rsidR="006D4511">
        <w:rPr>
          <w:rFonts w:ascii="Times New Roman" w:hAnsi="Times New Roman" w:cs="Times New Roman"/>
          <w:sz w:val="24"/>
          <w:szCs w:val="24"/>
        </w:rPr>
        <w:t xml:space="preserve"> Fielding</w:t>
      </w:r>
      <w:r w:rsidR="00324F97" w:rsidRPr="008A7487">
        <w:rPr>
          <w:rFonts w:ascii="Times New Roman" w:hAnsi="Times New Roman" w:cs="Times New Roman"/>
          <w:sz w:val="24"/>
          <w:szCs w:val="24"/>
        </w:rPr>
        <w:t xml:space="preserve"> 2012). Investor</w:t>
      </w:r>
      <w:r w:rsidRPr="008A7487">
        <w:rPr>
          <w:rFonts w:ascii="Times New Roman" w:hAnsi="Times New Roman" w:cs="Times New Roman"/>
          <w:sz w:val="24"/>
          <w:szCs w:val="24"/>
        </w:rPr>
        <w:t xml:space="preserve"> protection is generally weak </w:t>
      </w:r>
      <w:r w:rsidR="00475BFF" w:rsidRPr="008A7487">
        <w:rPr>
          <w:rFonts w:ascii="Times New Roman" w:hAnsi="Times New Roman" w:cs="Times New Roman"/>
          <w:sz w:val="24"/>
          <w:szCs w:val="24"/>
        </w:rPr>
        <w:t>due to weak judicial system and poor</w:t>
      </w:r>
      <w:r w:rsidR="00E67014" w:rsidRPr="008A7487">
        <w:rPr>
          <w:rFonts w:ascii="Times New Roman" w:hAnsi="Times New Roman" w:cs="Times New Roman"/>
          <w:sz w:val="24"/>
          <w:szCs w:val="24"/>
        </w:rPr>
        <w:t xml:space="preserve"> </w:t>
      </w:r>
      <w:r w:rsidR="00324F97" w:rsidRPr="008A7487">
        <w:rPr>
          <w:rFonts w:ascii="Times New Roman" w:hAnsi="Times New Roman" w:cs="Times New Roman"/>
          <w:sz w:val="24"/>
          <w:szCs w:val="24"/>
        </w:rPr>
        <w:t>enforcement of rules. C</w:t>
      </w:r>
      <w:r w:rsidRPr="008A7487">
        <w:rPr>
          <w:rFonts w:ascii="Times New Roman" w:hAnsi="Times New Roman" w:cs="Times New Roman"/>
          <w:sz w:val="24"/>
          <w:szCs w:val="24"/>
        </w:rPr>
        <w:t>orruption is systemic which heightens banks ri</w:t>
      </w:r>
      <w:r w:rsidR="006D4511">
        <w:rPr>
          <w:rFonts w:ascii="Times New Roman" w:hAnsi="Times New Roman" w:cs="Times New Roman"/>
          <w:sz w:val="24"/>
          <w:szCs w:val="24"/>
        </w:rPr>
        <w:t xml:space="preserve">sk profile (Habib </w:t>
      </w:r>
      <w:r w:rsidR="00AC1B76">
        <w:rPr>
          <w:rFonts w:ascii="Times New Roman" w:hAnsi="Times New Roman" w:cs="Times New Roman"/>
          <w:sz w:val="24"/>
          <w:szCs w:val="24"/>
        </w:rPr>
        <w:t>&amp;</w:t>
      </w:r>
      <w:r w:rsidR="006D4511">
        <w:rPr>
          <w:rFonts w:ascii="Times New Roman" w:hAnsi="Times New Roman" w:cs="Times New Roman"/>
          <w:sz w:val="24"/>
          <w:szCs w:val="24"/>
        </w:rPr>
        <w:t xml:space="preserve"> </w:t>
      </w:r>
      <w:r w:rsidR="006D4511">
        <w:rPr>
          <w:rFonts w:ascii="Times New Roman" w:hAnsi="Times New Roman" w:cs="Times New Roman"/>
          <w:sz w:val="24"/>
          <w:szCs w:val="24"/>
        </w:rPr>
        <w:lastRenderedPageBreak/>
        <w:t>Zurawicki</w:t>
      </w:r>
      <w:r w:rsidR="00AC1B76">
        <w:rPr>
          <w:rFonts w:ascii="Times New Roman" w:hAnsi="Times New Roman" w:cs="Times New Roman"/>
          <w:sz w:val="24"/>
          <w:szCs w:val="24"/>
        </w:rPr>
        <w:t>,</w:t>
      </w:r>
      <w:r w:rsidRPr="008A7487">
        <w:rPr>
          <w:rFonts w:ascii="Times New Roman" w:hAnsi="Times New Roman" w:cs="Times New Roman"/>
          <w:sz w:val="24"/>
          <w:szCs w:val="24"/>
        </w:rPr>
        <w:t xml:space="preserve"> 2002). Low financial intermediation and uncertain banking conducts are likely indicators of the high operating risks that banks in this context face </w:t>
      </w:r>
      <w:r w:rsidR="00693D53" w:rsidRPr="008A7487">
        <w:rPr>
          <w:rFonts w:ascii="Times New Roman" w:hAnsi="Times New Roman" w:cs="Times New Roman"/>
          <w:sz w:val="24"/>
          <w:szCs w:val="24"/>
        </w:rPr>
        <w:t>which</w:t>
      </w:r>
      <w:r w:rsidRPr="008A7487">
        <w:rPr>
          <w:rFonts w:ascii="Times New Roman" w:hAnsi="Times New Roman" w:cs="Times New Roman"/>
          <w:sz w:val="24"/>
          <w:szCs w:val="24"/>
        </w:rPr>
        <w:t xml:space="preserve"> partly explain </w:t>
      </w:r>
      <w:r w:rsidR="00693D53" w:rsidRPr="008A7487">
        <w:rPr>
          <w:rFonts w:ascii="Times New Roman" w:hAnsi="Times New Roman" w:cs="Times New Roman"/>
          <w:sz w:val="24"/>
          <w:szCs w:val="24"/>
        </w:rPr>
        <w:t>why</w:t>
      </w:r>
      <w:r w:rsidRPr="008A7487">
        <w:rPr>
          <w:rFonts w:ascii="Times New Roman" w:hAnsi="Times New Roman" w:cs="Times New Roman"/>
          <w:sz w:val="24"/>
          <w:szCs w:val="24"/>
        </w:rPr>
        <w:t xml:space="preserve"> banks in Africa have the highest net interest margin compare</w:t>
      </w:r>
      <w:r w:rsidR="00715D68" w:rsidRPr="008A7487">
        <w:rPr>
          <w:rFonts w:ascii="Times New Roman" w:hAnsi="Times New Roman" w:cs="Times New Roman"/>
          <w:sz w:val="24"/>
          <w:szCs w:val="24"/>
        </w:rPr>
        <w:t>d</w:t>
      </w:r>
      <w:r w:rsidRPr="008A7487">
        <w:rPr>
          <w:rFonts w:ascii="Times New Roman" w:hAnsi="Times New Roman" w:cs="Times New Roman"/>
          <w:sz w:val="24"/>
          <w:szCs w:val="24"/>
        </w:rPr>
        <w:t xml:space="preserve"> to banks in other regions of the world (</w:t>
      </w:r>
      <w:r w:rsidR="00EB638C">
        <w:rPr>
          <w:rFonts w:ascii="Times New Roman" w:hAnsi="Times New Roman" w:cs="Times New Roman"/>
          <w:sz w:val="24"/>
          <w:szCs w:val="24"/>
        </w:rPr>
        <w:t>Ahokpossi,</w:t>
      </w:r>
      <w:r w:rsidR="00EB638C" w:rsidRPr="008A7487">
        <w:rPr>
          <w:rFonts w:ascii="Times New Roman" w:hAnsi="Times New Roman" w:cs="Times New Roman"/>
          <w:sz w:val="24"/>
          <w:szCs w:val="24"/>
        </w:rPr>
        <w:t xml:space="preserve"> 2013</w:t>
      </w:r>
      <w:r w:rsidR="00EB638C">
        <w:rPr>
          <w:rFonts w:ascii="Times New Roman" w:hAnsi="Times New Roman" w:cs="Times New Roman"/>
          <w:sz w:val="24"/>
          <w:szCs w:val="24"/>
        </w:rPr>
        <w:t xml:space="preserve">; Demetriades &amp; Fielding, 2012; </w:t>
      </w:r>
      <w:r w:rsidRPr="008A7487">
        <w:rPr>
          <w:rFonts w:ascii="Times New Roman" w:hAnsi="Times New Roman" w:cs="Times New Roman"/>
          <w:sz w:val="24"/>
          <w:szCs w:val="24"/>
        </w:rPr>
        <w:t xml:space="preserve">Flamini et </w:t>
      </w:r>
      <w:r w:rsidR="009554E5" w:rsidRPr="008A7487">
        <w:rPr>
          <w:rFonts w:ascii="Times New Roman" w:hAnsi="Times New Roman" w:cs="Times New Roman"/>
          <w:sz w:val="24"/>
          <w:szCs w:val="24"/>
        </w:rPr>
        <w:t>al.</w:t>
      </w:r>
      <w:r w:rsidR="00AC1B76">
        <w:rPr>
          <w:rFonts w:ascii="Times New Roman" w:hAnsi="Times New Roman" w:cs="Times New Roman"/>
          <w:sz w:val="24"/>
          <w:szCs w:val="24"/>
        </w:rPr>
        <w:t>,</w:t>
      </w:r>
      <w:r w:rsidR="00EB638C">
        <w:rPr>
          <w:rFonts w:ascii="Times New Roman" w:hAnsi="Times New Roman" w:cs="Times New Roman"/>
          <w:sz w:val="24"/>
          <w:szCs w:val="24"/>
        </w:rPr>
        <w:t xml:space="preserve"> 2009</w:t>
      </w:r>
      <w:r w:rsidRPr="008A7487">
        <w:rPr>
          <w:rFonts w:ascii="Times New Roman" w:hAnsi="Times New Roman" w:cs="Times New Roman"/>
          <w:sz w:val="24"/>
          <w:szCs w:val="24"/>
        </w:rPr>
        <w:t xml:space="preserve">). </w:t>
      </w:r>
    </w:p>
    <w:p w14:paraId="4A2273E4" w14:textId="1C831741" w:rsidR="007F0221" w:rsidRDefault="007F7E06" w:rsidP="005A7043">
      <w:pPr>
        <w:spacing w:after="0" w:line="480" w:lineRule="auto"/>
        <w:ind w:firstLine="720"/>
        <w:contextualSpacing/>
        <w:jc w:val="both"/>
        <w:rPr>
          <w:rFonts w:ascii="Times New Roman" w:hAnsi="Times New Roman" w:cs="Times New Roman"/>
          <w:sz w:val="24"/>
          <w:szCs w:val="24"/>
        </w:rPr>
      </w:pPr>
      <w:r w:rsidRPr="008A7487">
        <w:rPr>
          <w:rFonts w:ascii="Times New Roman" w:hAnsi="Times New Roman" w:cs="Times New Roman"/>
          <w:sz w:val="24"/>
          <w:szCs w:val="24"/>
        </w:rPr>
        <w:t xml:space="preserve">Furthermore, </w:t>
      </w:r>
      <w:r w:rsidR="00693D53" w:rsidRPr="008A7487">
        <w:rPr>
          <w:rFonts w:ascii="Times New Roman" w:hAnsi="Times New Roman" w:cs="Times New Roman"/>
          <w:sz w:val="24"/>
          <w:szCs w:val="24"/>
        </w:rPr>
        <w:t xml:space="preserve">due to </w:t>
      </w:r>
      <w:r w:rsidR="00E67014" w:rsidRPr="008A7487">
        <w:rPr>
          <w:rFonts w:ascii="Times New Roman" w:hAnsi="Times New Roman" w:cs="Times New Roman"/>
          <w:sz w:val="24"/>
          <w:szCs w:val="24"/>
        </w:rPr>
        <w:t xml:space="preserve">the </w:t>
      </w:r>
      <w:r w:rsidR="00693D53" w:rsidRPr="008A7487">
        <w:rPr>
          <w:rFonts w:ascii="Times New Roman" w:hAnsi="Times New Roman" w:cs="Times New Roman"/>
          <w:sz w:val="24"/>
          <w:szCs w:val="24"/>
        </w:rPr>
        <w:t xml:space="preserve">shallow financial markets, </w:t>
      </w:r>
      <w:r w:rsidRPr="008A7487">
        <w:rPr>
          <w:rFonts w:ascii="Times New Roman" w:hAnsi="Times New Roman" w:cs="Times New Roman"/>
          <w:sz w:val="24"/>
          <w:szCs w:val="24"/>
        </w:rPr>
        <w:t xml:space="preserve">there is a limited number of banking products, and banks revenue are less diversified relying heavily on interest </w:t>
      </w:r>
      <w:r w:rsidR="00BC4ADF" w:rsidRPr="008A7487">
        <w:rPr>
          <w:rFonts w:ascii="Times New Roman" w:hAnsi="Times New Roman" w:cs="Times New Roman"/>
          <w:sz w:val="24"/>
          <w:szCs w:val="24"/>
        </w:rPr>
        <w:t>income</w:t>
      </w:r>
      <w:r w:rsidRPr="008A7487">
        <w:rPr>
          <w:rFonts w:ascii="Times New Roman" w:hAnsi="Times New Roman" w:cs="Times New Roman"/>
          <w:sz w:val="24"/>
          <w:szCs w:val="24"/>
        </w:rPr>
        <w:t xml:space="preserve"> (Allen et </w:t>
      </w:r>
      <w:r w:rsidR="009554E5" w:rsidRPr="008A7487">
        <w:rPr>
          <w:rFonts w:ascii="Times New Roman" w:hAnsi="Times New Roman" w:cs="Times New Roman"/>
          <w:sz w:val="24"/>
          <w:szCs w:val="24"/>
        </w:rPr>
        <w:t>al.</w:t>
      </w:r>
      <w:r w:rsidR="00AC1B76">
        <w:rPr>
          <w:rFonts w:ascii="Times New Roman" w:hAnsi="Times New Roman" w:cs="Times New Roman"/>
          <w:sz w:val="24"/>
          <w:szCs w:val="24"/>
        </w:rPr>
        <w:t>,</w:t>
      </w:r>
      <w:r w:rsidRPr="008A7487">
        <w:rPr>
          <w:rFonts w:ascii="Times New Roman" w:hAnsi="Times New Roman" w:cs="Times New Roman"/>
          <w:sz w:val="24"/>
          <w:szCs w:val="24"/>
        </w:rPr>
        <w:t xml:space="preserve"> 2011). These features make African </w:t>
      </w:r>
      <w:r w:rsidRPr="008A7487">
        <w:rPr>
          <w:rFonts w:ascii="Times New Roman" w:hAnsi="Times New Roman" w:cs="Times New Roman"/>
          <w:sz w:val="24"/>
          <w:szCs w:val="24"/>
        </w:rPr>
        <w:lastRenderedPageBreak/>
        <w:t>banking market distinctive and justify a closer ana</w:t>
      </w:r>
      <w:r w:rsidR="008476F1" w:rsidRPr="008A7487">
        <w:rPr>
          <w:rFonts w:ascii="Times New Roman" w:hAnsi="Times New Roman" w:cs="Times New Roman"/>
          <w:sz w:val="24"/>
          <w:szCs w:val="24"/>
        </w:rPr>
        <w:t xml:space="preserve">lysis of the impacts of the financial crisis on </w:t>
      </w:r>
      <w:r w:rsidR="00BA12CD" w:rsidRPr="008A7487">
        <w:rPr>
          <w:rFonts w:ascii="Times New Roman" w:hAnsi="Times New Roman" w:cs="Times New Roman"/>
          <w:sz w:val="24"/>
          <w:szCs w:val="24"/>
        </w:rPr>
        <w:t xml:space="preserve">the determinants of </w:t>
      </w:r>
      <w:r w:rsidR="008476F1" w:rsidRPr="008A7487">
        <w:rPr>
          <w:rFonts w:ascii="Times New Roman" w:hAnsi="Times New Roman" w:cs="Times New Roman"/>
          <w:sz w:val="24"/>
          <w:szCs w:val="24"/>
        </w:rPr>
        <w:t>bank profitability in the context</w:t>
      </w:r>
      <w:r w:rsidRPr="008A7487">
        <w:rPr>
          <w:rFonts w:ascii="Times New Roman" w:hAnsi="Times New Roman" w:cs="Times New Roman"/>
          <w:sz w:val="24"/>
          <w:szCs w:val="24"/>
        </w:rPr>
        <w:t>. The next sect</w:t>
      </w:r>
      <w:r w:rsidR="006F1BB5" w:rsidRPr="008A7487">
        <w:rPr>
          <w:rFonts w:ascii="Times New Roman" w:hAnsi="Times New Roman" w:cs="Times New Roman"/>
          <w:sz w:val="24"/>
          <w:szCs w:val="24"/>
        </w:rPr>
        <w:t xml:space="preserve">ion reviews the relevant literature and formulates </w:t>
      </w:r>
      <w:r w:rsidR="00324F97" w:rsidRPr="008A7487">
        <w:rPr>
          <w:rFonts w:ascii="Times New Roman" w:hAnsi="Times New Roman" w:cs="Times New Roman"/>
          <w:sz w:val="24"/>
          <w:szCs w:val="24"/>
        </w:rPr>
        <w:t xml:space="preserve">the </w:t>
      </w:r>
      <w:r w:rsidR="006F1BB5" w:rsidRPr="008A7487">
        <w:rPr>
          <w:rFonts w:ascii="Times New Roman" w:hAnsi="Times New Roman" w:cs="Times New Roman"/>
          <w:sz w:val="24"/>
          <w:szCs w:val="24"/>
        </w:rPr>
        <w:t>theoretical predictions addressed in the study.</w:t>
      </w:r>
    </w:p>
    <w:p w14:paraId="6C1FE005" w14:textId="77777777" w:rsidR="005A7043" w:rsidRPr="005A7043" w:rsidRDefault="005A7043" w:rsidP="005A7043">
      <w:pPr>
        <w:spacing w:after="0" w:line="480" w:lineRule="auto"/>
        <w:ind w:firstLine="720"/>
        <w:contextualSpacing/>
        <w:jc w:val="both"/>
        <w:rPr>
          <w:rFonts w:ascii="Times New Roman" w:hAnsi="Times New Roman" w:cs="Times New Roman"/>
          <w:sz w:val="24"/>
          <w:szCs w:val="24"/>
        </w:rPr>
      </w:pPr>
    </w:p>
    <w:p w14:paraId="258F903F" w14:textId="6A7E1B8D" w:rsidR="00E05BE2" w:rsidRPr="008A7487" w:rsidRDefault="00F47D4D" w:rsidP="00CE5A80">
      <w:pPr>
        <w:pStyle w:val="ListParagraph"/>
        <w:numPr>
          <w:ilvl w:val="0"/>
          <w:numId w:val="24"/>
        </w:numPr>
        <w:spacing w:after="0" w:line="480" w:lineRule="auto"/>
        <w:ind w:left="0" w:firstLine="0"/>
        <w:jc w:val="both"/>
        <w:rPr>
          <w:rFonts w:ascii="Times New Roman" w:hAnsi="Times New Roman" w:cs="Times New Roman"/>
          <w:b/>
          <w:sz w:val="24"/>
          <w:szCs w:val="24"/>
        </w:rPr>
      </w:pPr>
      <w:r w:rsidRPr="008A7487">
        <w:rPr>
          <w:rFonts w:ascii="Times New Roman" w:hAnsi="Times New Roman" w:cs="Times New Roman"/>
          <w:b/>
          <w:sz w:val="24"/>
          <w:szCs w:val="24"/>
        </w:rPr>
        <w:t xml:space="preserve">Literature review: </w:t>
      </w:r>
      <w:r w:rsidR="00BF50BD" w:rsidRPr="008A7487">
        <w:rPr>
          <w:rFonts w:ascii="Times New Roman" w:hAnsi="Times New Roman" w:cs="Times New Roman"/>
          <w:b/>
          <w:sz w:val="24"/>
          <w:szCs w:val="24"/>
        </w:rPr>
        <w:t xml:space="preserve">The determinants of </w:t>
      </w:r>
      <w:r w:rsidR="00592717" w:rsidRPr="008A7487">
        <w:rPr>
          <w:rFonts w:ascii="Times New Roman" w:hAnsi="Times New Roman" w:cs="Times New Roman"/>
          <w:b/>
          <w:sz w:val="24"/>
          <w:szCs w:val="24"/>
        </w:rPr>
        <w:t xml:space="preserve">bank </w:t>
      </w:r>
      <w:r w:rsidR="00BF50BD" w:rsidRPr="008A7487">
        <w:rPr>
          <w:rFonts w:ascii="Times New Roman" w:hAnsi="Times New Roman" w:cs="Times New Roman"/>
          <w:b/>
          <w:sz w:val="24"/>
          <w:szCs w:val="24"/>
        </w:rPr>
        <w:t>profitability</w:t>
      </w:r>
      <w:r w:rsidR="00E05BE2" w:rsidRPr="008A7487">
        <w:rPr>
          <w:rFonts w:ascii="Times New Roman" w:hAnsi="Times New Roman" w:cs="Times New Roman"/>
          <w:sz w:val="24"/>
          <w:szCs w:val="24"/>
        </w:rPr>
        <w:t xml:space="preserve"> </w:t>
      </w:r>
    </w:p>
    <w:p w14:paraId="27D07696" w14:textId="729E2E92" w:rsidR="006D24F6" w:rsidRPr="008A7487" w:rsidRDefault="00BF171A" w:rsidP="00CE5A80">
      <w:pPr>
        <w:spacing w:after="0" w:line="480" w:lineRule="auto"/>
        <w:ind w:firstLine="720"/>
        <w:jc w:val="both"/>
        <w:rPr>
          <w:rFonts w:ascii="Times New Roman" w:hAnsi="Times New Roman" w:cs="Times New Roman"/>
          <w:sz w:val="24"/>
          <w:szCs w:val="24"/>
        </w:rPr>
      </w:pPr>
      <w:r w:rsidRPr="008A7487">
        <w:rPr>
          <w:rFonts w:ascii="Times New Roman" w:hAnsi="Times New Roman" w:cs="Times New Roman"/>
          <w:sz w:val="24"/>
          <w:szCs w:val="24"/>
        </w:rPr>
        <w:t xml:space="preserve">This </w:t>
      </w:r>
      <w:r w:rsidR="0032777A" w:rsidRPr="008A7487">
        <w:rPr>
          <w:rFonts w:ascii="Times New Roman" w:hAnsi="Times New Roman" w:cs="Times New Roman"/>
          <w:sz w:val="24"/>
          <w:szCs w:val="24"/>
        </w:rPr>
        <w:t>section reviews the literature on the</w:t>
      </w:r>
      <w:r w:rsidR="008F6335" w:rsidRPr="008A7487">
        <w:rPr>
          <w:rFonts w:ascii="Times New Roman" w:hAnsi="Times New Roman" w:cs="Times New Roman"/>
          <w:sz w:val="24"/>
          <w:szCs w:val="24"/>
        </w:rPr>
        <w:t xml:space="preserve"> determinants of banks profitability. </w:t>
      </w:r>
      <w:r w:rsidR="00366BBD" w:rsidRPr="008A7487">
        <w:rPr>
          <w:rFonts w:ascii="Times New Roman" w:hAnsi="Times New Roman" w:cs="Times New Roman"/>
          <w:sz w:val="24"/>
          <w:szCs w:val="24"/>
        </w:rPr>
        <w:t xml:space="preserve">Specifically, this section reviews </w:t>
      </w:r>
      <w:r w:rsidR="00366BBD" w:rsidRPr="008A7487">
        <w:rPr>
          <w:rFonts w:ascii="Times New Roman" w:hAnsi="Times New Roman" w:cs="Times New Roman"/>
          <w:sz w:val="24"/>
          <w:szCs w:val="24"/>
        </w:rPr>
        <w:lastRenderedPageBreak/>
        <w:t xml:space="preserve">literature on how </w:t>
      </w:r>
      <w:r w:rsidR="007F0598">
        <w:rPr>
          <w:rFonts w:ascii="Times New Roman" w:hAnsi="Times New Roman" w:cs="Times New Roman"/>
          <w:sz w:val="24"/>
          <w:szCs w:val="24"/>
        </w:rPr>
        <w:t>bank-specific</w:t>
      </w:r>
      <w:r w:rsidR="00A72527">
        <w:rPr>
          <w:rFonts w:ascii="Times New Roman" w:hAnsi="Times New Roman" w:cs="Times New Roman"/>
          <w:sz w:val="24"/>
          <w:szCs w:val="24"/>
        </w:rPr>
        <w:t xml:space="preserve"> </w:t>
      </w:r>
      <w:r w:rsidR="00366BBD" w:rsidRPr="008A7487">
        <w:rPr>
          <w:rFonts w:ascii="Times New Roman" w:hAnsi="Times New Roman" w:cs="Times New Roman"/>
          <w:sz w:val="24"/>
          <w:szCs w:val="24"/>
        </w:rPr>
        <w:t>and</w:t>
      </w:r>
      <w:r w:rsidR="00840757" w:rsidRPr="008A7487">
        <w:rPr>
          <w:rFonts w:ascii="Times New Roman" w:hAnsi="Times New Roman" w:cs="Times New Roman"/>
          <w:sz w:val="24"/>
          <w:szCs w:val="24"/>
        </w:rPr>
        <w:t xml:space="preserve"> macro-economic factors </w:t>
      </w:r>
      <w:r w:rsidR="00366BBD" w:rsidRPr="008A7487">
        <w:rPr>
          <w:rFonts w:ascii="Times New Roman" w:hAnsi="Times New Roman" w:cs="Times New Roman"/>
          <w:sz w:val="24"/>
          <w:szCs w:val="24"/>
        </w:rPr>
        <w:t>affect bank profitability</w:t>
      </w:r>
      <w:r w:rsidR="00592717" w:rsidRPr="008A7487">
        <w:rPr>
          <w:rFonts w:ascii="Times New Roman" w:hAnsi="Times New Roman" w:cs="Times New Roman"/>
          <w:sz w:val="24"/>
          <w:szCs w:val="24"/>
        </w:rPr>
        <w:t xml:space="preserve">. </w:t>
      </w:r>
    </w:p>
    <w:p w14:paraId="18BC43BF" w14:textId="77777777" w:rsidR="00592717" w:rsidRPr="008A7487" w:rsidRDefault="00592717" w:rsidP="00CE5A80">
      <w:pPr>
        <w:spacing w:after="0" w:line="480" w:lineRule="auto"/>
        <w:ind w:firstLine="720"/>
        <w:jc w:val="both"/>
        <w:rPr>
          <w:rFonts w:ascii="Times New Roman" w:hAnsi="Times New Roman" w:cs="Times New Roman"/>
          <w:sz w:val="24"/>
          <w:szCs w:val="24"/>
        </w:rPr>
      </w:pPr>
    </w:p>
    <w:p w14:paraId="03622453" w14:textId="706AEFE5" w:rsidR="00BF50BD" w:rsidRPr="008A7487" w:rsidRDefault="00366BBD" w:rsidP="00366BBD">
      <w:pPr>
        <w:spacing w:after="0" w:line="480" w:lineRule="auto"/>
        <w:jc w:val="both"/>
        <w:rPr>
          <w:rFonts w:ascii="Times New Roman" w:hAnsi="Times New Roman" w:cs="Times New Roman"/>
          <w:b/>
          <w:sz w:val="24"/>
          <w:szCs w:val="24"/>
        </w:rPr>
      </w:pPr>
      <w:r w:rsidRPr="008A7487">
        <w:rPr>
          <w:rFonts w:ascii="Times New Roman" w:hAnsi="Times New Roman" w:cs="Times New Roman"/>
          <w:b/>
          <w:sz w:val="24"/>
          <w:szCs w:val="24"/>
        </w:rPr>
        <w:t xml:space="preserve">3.1      </w:t>
      </w:r>
      <w:r w:rsidR="007F0598">
        <w:rPr>
          <w:rFonts w:ascii="Times New Roman" w:hAnsi="Times New Roman" w:cs="Times New Roman"/>
          <w:b/>
          <w:sz w:val="24"/>
          <w:szCs w:val="24"/>
        </w:rPr>
        <w:t>Bank-specific</w:t>
      </w:r>
      <w:r w:rsidR="00A2508B">
        <w:rPr>
          <w:rFonts w:ascii="Times New Roman" w:hAnsi="Times New Roman" w:cs="Times New Roman"/>
          <w:b/>
          <w:sz w:val="24"/>
          <w:szCs w:val="24"/>
        </w:rPr>
        <w:t xml:space="preserve"> </w:t>
      </w:r>
      <w:r w:rsidR="00691A1D" w:rsidRPr="008A7487">
        <w:rPr>
          <w:rFonts w:ascii="Times New Roman" w:hAnsi="Times New Roman" w:cs="Times New Roman"/>
          <w:b/>
          <w:sz w:val="24"/>
          <w:szCs w:val="24"/>
        </w:rPr>
        <w:t>f</w:t>
      </w:r>
      <w:r w:rsidR="00DC244C" w:rsidRPr="008A7487">
        <w:rPr>
          <w:rFonts w:ascii="Times New Roman" w:hAnsi="Times New Roman" w:cs="Times New Roman"/>
          <w:b/>
          <w:sz w:val="24"/>
          <w:szCs w:val="24"/>
        </w:rPr>
        <w:t>actors</w:t>
      </w:r>
    </w:p>
    <w:p w14:paraId="671830BC" w14:textId="24A926AC" w:rsidR="00BF50BD" w:rsidRPr="008A7487" w:rsidRDefault="00BF50BD" w:rsidP="001B7696">
      <w:pPr>
        <w:spacing w:after="0" w:line="480" w:lineRule="auto"/>
        <w:jc w:val="both"/>
        <w:rPr>
          <w:rFonts w:ascii="Times New Roman" w:hAnsi="Times New Roman" w:cs="Times New Roman"/>
          <w:sz w:val="24"/>
          <w:szCs w:val="24"/>
        </w:rPr>
      </w:pPr>
      <w:r w:rsidRPr="008A7487">
        <w:rPr>
          <w:rFonts w:ascii="Times New Roman" w:hAnsi="Times New Roman" w:cs="Times New Roman"/>
          <w:sz w:val="24"/>
          <w:szCs w:val="24"/>
        </w:rPr>
        <w:tab/>
      </w:r>
      <w:r w:rsidR="0032777A" w:rsidRPr="008A7487">
        <w:rPr>
          <w:rFonts w:ascii="Times New Roman" w:hAnsi="Times New Roman" w:cs="Times New Roman"/>
          <w:sz w:val="24"/>
          <w:szCs w:val="24"/>
        </w:rPr>
        <w:t>Previous</w:t>
      </w:r>
      <w:r w:rsidR="00090938" w:rsidRPr="008A7487">
        <w:rPr>
          <w:rFonts w:ascii="Times New Roman" w:hAnsi="Times New Roman" w:cs="Times New Roman"/>
          <w:sz w:val="24"/>
          <w:szCs w:val="24"/>
        </w:rPr>
        <w:t xml:space="preserve"> </w:t>
      </w:r>
      <w:r w:rsidR="006D4511">
        <w:rPr>
          <w:rFonts w:ascii="Times New Roman" w:hAnsi="Times New Roman" w:cs="Times New Roman"/>
          <w:sz w:val="24"/>
          <w:szCs w:val="24"/>
        </w:rPr>
        <w:t>studies (</w:t>
      </w:r>
      <w:r w:rsidR="00EB638C">
        <w:rPr>
          <w:rFonts w:ascii="Times New Roman" w:hAnsi="Times New Roman" w:cs="Times New Roman"/>
          <w:sz w:val="24"/>
          <w:szCs w:val="24"/>
        </w:rPr>
        <w:t xml:space="preserve">Ghosh, 2016; </w:t>
      </w:r>
      <w:r w:rsidR="00EB638C" w:rsidRPr="008A7487">
        <w:rPr>
          <w:rFonts w:ascii="Times New Roman" w:hAnsi="Times New Roman" w:cs="Times New Roman"/>
          <w:sz w:val="24"/>
          <w:szCs w:val="24"/>
        </w:rPr>
        <w:t>Flamini et al.</w:t>
      </w:r>
      <w:r w:rsidR="00EB638C">
        <w:rPr>
          <w:rFonts w:ascii="Times New Roman" w:hAnsi="Times New Roman" w:cs="Times New Roman"/>
          <w:sz w:val="24"/>
          <w:szCs w:val="24"/>
        </w:rPr>
        <w:t>,</w:t>
      </w:r>
      <w:r w:rsidR="00EB638C" w:rsidRPr="008A7487">
        <w:rPr>
          <w:rFonts w:ascii="Times New Roman" w:hAnsi="Times New Roman" w:cs="Times New Roman"/>
          <w:sz w:val="24"/>
          <w:szCs w:val="24"/>
        </w:rPr>
        <w:t xml:space="preserve"> 2009</w:t>
      </w:r>
      <w:r w:rsidR="00EB638C">
        <w:rPr>
          <w:rFonts w:ascii="Times New Roman" w:hAnsi="Times New Roman" w:cs="Times New Roman"/>
          <w:sz w:val="24"/>
          <w:szCs w:val="24"/>
        </w:rPr>
        <w:t>;</w:t>
      </w:r>
      <w:r w:rsidR="00EB638C" w:rsidRPr="00EB638C">
        <w:rPr>
          <w:rFonts w:ascii="Times New Roman" w:hAnsi="Times New Roman" w:cs="Times New Roman"/>
          <w:sz w:val="24"/>
          <w:szCs w:val="24"/>
        </w:rPr>
        <w:t xml:space="preserve"> </w:t>
      </w:r>
      <w:r w:rsidR="00EB638C" w:rsidRPr="008A7487">
        <w:rPr>
          <w:rFonts w:ascii="Times New Roman" w:hAnsi="Times New Roman" w:cs="Times New Roman"/>
          <w:sz w:val="24"/>
          <w:szCs w:val="24"/>
        </w:rPr>
        <w:t>Athanasoglou et al.</w:t>
      </w:r>
      <w:r w:rsidR="00EB638C">
        <w:rPr>
          <w:rFonts w:ascii="Times New Roman" w:hAnsi="Times New Roman" w:cs="Times New Roman"/>
          <w:sz w:val="24"/>
          <w:szCs w:val="24"/>
        </w:rPr>
        <w:t>,</w:t>
      </w:r>
      <w:r w:rsidR="00EB638C" w:rsidRPr="008A7487">
        <w:rPr>
          <w:rFonts w:ascii="Times New Roman" w:hAnsi="Times New Roman" w:cs="Times New Roman"/>
          <w:sz w:val="24"/>
          <w:szCs w:val="24"/>
        </w:rPr>
        <w:t xml:space="preserve"> 2008</w:t>
      </w:r>
      <w:r w:rsidR="008F111A">
        <w:rPr>
          <w:rFonts w:ascii="Times New Roman" w:hAnsi="Times New Roman" w:cs="Times New Roman"/>
          <w:sz w:val="24"/>
          <w:szCs w:val="24"/>
        </w:rPr>
        <w:t>; Pasiouras</w:t>
      </w:r>
      <w:r w:rsidR="006D4511">
        <w:rPr>
          <w:rFonts w:ascii="Times New Roman" w:hAnsi="Times New Roman" w:cs="Times New Roman"/>
          <w:sz w:val="24"/>
          <w:szCs w:val="24"/>
        </w:rPr>
        <w:t xml:space="preserve"> </w:t>
      </w:r>
      <w:r w:rsidR="00AC1B76">
        <w:rPr>
          <w:rFonts w:ascii="Times New Roman" w:hAnsi="Times New Roman" w:cs="Times New Roman"/>
          <w:sz w:val="24"/>
          <w:szCs w:val="24"/>
        </w:rPr>
        <w:t>&amp;</w:t>
      </w:r>
      <w:r w:rsidR="006D4511">
        <w:rPr>
          <w:rFonts w:ascii="Times New Roman" w:hAnsi="Times New Roman" w:cs="Times New Roman"/>
          <w:sz w:val="24"/>
          <w:szCs w:val="24"/>
        </w:rPr>
        <w:t xml:space="preserve"> Kosmidou</w:t>
      </w:r>
      <w:r w:rsidR="00AC1B76">
        <w:rPr>
          <w:rFonts w:ascii="Times New Roman" w:hAnsi="Times New Roman" w:cs="Times New Roman"/>
          <w:sz w:val="24"/>
          <w:szCs w:val="24"/>
        </w:rPr>
        <w:t>,</w:t>
      </w:r>
      <w:r w:rsidR="00090938" w:rsidRPr="008A7487">
        <w:rPr>
          <w:rFonts w:ascii="Times New Roman" w:hAnsi="Times New Roman" w:cs="Times New Roman"/>
          <w:sz w:val="24"/>
          <w:szCs w:val="24"/>
        </w:rPr>
        <w:t xml:space="preserve"> 2007; </w:t>
      </w:r>
      <w:r w:rsidR="00EB638C">
        <w:rPr>
          <w:rFonts w:ascii="Times New Roman" w:hAnsi="Times New Roman" w:cs="Times New Roman"/>
          <w:sz w:val="24"/>
          <w:szCs w:val="24"/>
        </w:rPr>
        <w:t>Carbó &amp; Rodríguez,</w:t>
      </w:r>
      <w:r w:rsidR="00EB638C" w:rsidRPr="008A7487">
        <w:rPr>
          <w:rFonts w:ascii="Times New Roman" w:hAnsi="Times New Roman" w:cs="Times New Roman"/>
          <w:sz w:val="24"/>
          <w:szCs w:val="24"/>
        </w:rPr>
        <w:t xml:space="preserve"> 2007</w:t>
      </w:r>
      <w:r w:rsidR="00EB638C">
        <w:rPr>
          <w:rFonts w:ascii="Times New Roman" w:hAnsi="Times New Roman" w:cs="Times New Roman"/>
          <w:sz w:val="24"/>
          <w:szCs w:val="24"/>
        </w:rPr>
        <w:t xml:space="preserve">; </w:t>
      </w:r>
      <w:r w:rsidR="00EB638C" w:rsidRPr="008A7487">
        <w:rPr>
          <w:rFonts w:ascii="Times New Roman" w:hAnsi="Times New Roman" w:cs="Times New Roman"/>
          <w:sz w:val="24"/>
          <w:szCs w:val="24"/>
        </w:rPr>
        <w:t xml:space="preserve">Molyneux </w:t>
      </w:r>
      <w:r w:rsidR="00EB638C">
        <w:rPr>
          <w:rFonts w:ascii="Times New Roman" w:hAnsi="Times New Roman" w:cs="Times New Roman"/>
          <w:sz w:val="24"/>
          <w:szCs w:val="24"/>
        </w:rPr>
        <w:t>&amp;</w:t>
      </w:r>
      <w:r w:rsidR="00EB638C" w:rsidRPr="008A7487">
        <w:rPr>
          <w:rFonts w:ascii="Times New Roman" w:hAnsi="Times New Roman" w:cs="Times New Roman"/>
          <w:sz w:val="24"/>
          <w:szCs w:val="24"/>
        </w:rPr>
        <w:t xml:space="preserve"> Thornton</w:t>
      </w:r>
      <w:r w:rsidR="00EB638C">
        <w:rPr>
          <w:rFonts w:ascii="Times New Roman" w:hAnsi="Times New Roman" w:cs="Times New Roman"/>
          <w:sz w:val="24"/>
          <w:szCs w:val="24"/>
        </w:rPr>
        <w:t>,</w:t>
      </w:r>
      <w:r w:rsidR="00EB638C" w:rsidRPr="008A7487">
        <w:rPr>
          <w:rFonts w:ascii="Times New Roman" w:hAnsi="Times New Roman" w:cs="Times New Roman"/>
          <w:sz w:val="24"/>
          <w:szCs w:val="24"/>
        </w:rPr>
        <w:t xml:space="preserve"> 1992</w:t>
      </w:r>
      <w:r w:rsidR="00EB638C">
        <w:rPr>
          <w:rFonts w:ascii="Times New Roman" w:hAnsi="Times New Roman" w:cs="Times New Roman"/>
          <w:sz w:val="24"/>
          <w:szCs w:val="24"/>
        </w:rPr>
        <w:t>;</w:t>
      </w:r>
      <w:r w:rsidR="00EB638C" w:rsidRPr="00EB638C">
        <w:rPr>
          <w:rFonts w:ascii="Times New Roman" w:hAnsi="Times New Roman" w:cs="Times New Roman"/>
          <w:sz w:val="24"/>
          <w:szCs w:val="24"/>
        </w:rPr>
        <w:t xml:space="preserve"> </w:t>
      </w:r>
      <w:r w:rsidR="00EB638C" w:rsidRPr="008A7487">
        <w:rPr>
          <w:rFonts w:ascii="Times New Roman" w:hAnsi="Times New Roman" w:cs="Times New Roman"/>
          <w:sz w:val="24"/>
          <w:szCs w:val="24"/>
        </w:rPr>
        <w:t>Bourke</w:t>
      </w:r>
      <w:r w:rsidR="00EB638C">
        <w:rPr>
          <w:rFonts w:ascii="Times New Roman" w:hAnsi="Times New Roman" w:cs="Times New Roman"/>
          <w:sz w:val="24"/>
          <w:szCs w:val="24"/>
        </w:rPr>
        <w:t>,</w:t>
      </w:r>
      <w:r w:rsidR="00EB638C" w:rsidRPr="008A7487">
        <w:rPr>
          <w:rFonts w:ascii="Times New Roman" w:hAnsi="Times New Roman" w:cs="Times New Roman"/>
          <w:sz w:val="24"/>
          <w:szCs w:val="24"/>
        </w:rPr>
        <w:t xml:space="preserve"> 1989</w:t>
      </w:r>
      <w:r w:rsidR="00EB638C">
        <w:rPr>
          <w:rFonts w:ascii="Times New Roman" w:hAnsi="Times New Roman" w:cs="Times New Roman"/>
          <w:sz w:val="24"/>
          <w:szCs w:val="24"/>
        </w:rPr>
        <w:t xml:space="preserve">; </w:t>
      </w:r>
      <w:r w:rsidR="00090938" w:rsidRPr="008A7487">
        <w:rPr>
          <w:rFonts w:ascii="Times New Roman" w:hAnsi="Times New Roman" w:cs="Times New Roman"/>
          <w:sz w:val="24"/>
          <w:szCs w:val="24"/>
        </w:rPr>
        <w:t>Short</w:t>
      </w:r>
      <w:r w:rsidR="00AC1B76">
        <w:rPr>
          <w:rFonts w:ascii="Times New Roman" w:hAnsi="Times New Roman" w:cs="Times New Roman"/>
          <w:sz w:val="24"/>
          <w:szCs w:val="24"/>
        </w:rPr>
        <w:t>,</w:t>
      </w:r>
      <w:r w:rsidR="00EB638C">
        <w:rPr>
          <w:rFonts w:ascii="Times New Roman" w:hAnsi="Times New Roman" w:cs="Times New Roman"/>
          <w:sz w:val="24"/>
          <w:szCs w:val="24"/>
        </w:rPr>
        <w:t xml:space="preserve"> 1979</w:t>
      </w:r>
      <w:r w:rsidR="00090938" w:rsidRPr="008A7487">
        <w:rPr>
          <w:rFonts w:ascii="Times New Roman" w:hAnsi="Times New Roman" w:cs="Times New Roman"/>
          <w:sz w:val="24"/>
          <w:szCs w:val="24"/>
        </w:rPr>
        <w:t xml:space="preserve">) have identified </w:t>
      </w:r>
      <w:r w:rsidR="00B5695E" w:rsidRPr="008A7487">
        <w:rPr>
          <w:rFonts w:ascii="Times New Roman" w:hAnsi="Times New Roman" w:cs="Times New Roman"/>
          <w:sz w:val="24"/>
          <w:szCs w:val="24"/>
        </w:rPr>
        <w:t>several</w:t>
      </w:r>
      <w:r w:rsidR="00090938" w:rsidRPr="008A7487">
        <w:rPr>
          <w:rFonts w:ascii="Times New Roman" w:hAnsi="Times New Roman" w:cs="Times New Roman"/>
          <w:sz w:val="24"/>
          <w:szCs w:val="24"/>
        </w:rPr>
        <w:t xml:space="preserve"> </w:t>
      </w:r>
      <w:r w:rsidR="004234BA" w:rsidRPr="008A7487">
        <w:rPr>
          <w:rFonts w:ascii="Times New Roman" w:hAnsi="Times New Roman" w:cs="Times New Roman"/>
          <w:sz w:val="24"/>
          <w:szCs w:val="24"/>
        </w:rPr>
        <w:t>banks</w:t>
      </w:r>
      <w:r w:rsidR="00090938" w:rsidRPr="008A7487">
        <w:rPr>
          <w:rFonts w:ascii="Times New Roman" w:hAnsi="Times New Roman" w:cs="Times New Roman"/>
          <w:sz w:val="24"/>
          <w:szCs w:val="24"/>
        </w:rPr>
        <w:t xml:space="preserve"> specific determinants of bank profitability including size, </w:t>
      </w:r>
      <w:r w:rsidR="00475BFF" w:rsidRPr="008A7487">
        <w:rPr>
          <w:rFonts w:ascii="Times New Roman" w:hAnsi="Times New Roman" w:cs="Times New Roman"/>
          <w:sz w:val="24"/>
          <w:szCs w:val="24"/>
        </w:rPr>
        <w:t xml:space="preserve">capital strength, credit risk, </w:t>
      </w:r>
      <w:r w:rsidR="00090938" w:rsidRPr="008A7487">
        <w:rPr>
          <w:rFonts w:ascii="Times New Roman" w:hAnsi="Times New Roman" w:cs="Times New Roman"/>
          <w:sz w:val="24"/>
          <w:szCs w:val="24"/>
        </w:rPr>
        <w:t xml:space="preserve">cost management, </w:t>
      </w:r>
      <w:r w:rsidR="00475BFF" w:rsidRPr="008A7487">
        <w:rPr>
          <w:rFonts w:ascii="Times New Roman" w:hAnsi="Times New Roman" w:cs="Times New Roman"/>
          <w:sz w:val="24"/>
          <w:szCs w:val="24"/>
        </w:rPr>
        <w:t>liquidity,</w:t>
      </w:r>
      <w:r w:rsidR="00090938" w:rsidRPr="008A7487">
        <w:rPr>
          <w:rFonts w:ascii="Times New Roman" w:hAnsi="Times New Roman" w:cs="Times New Roman"/>
          <w:sz w:val="24"/>
          <w:szCs w:val="24"/>
        </w:rPr>
        <w:t xml:space="preserve"> and bank</w:t>
      </w:r>
      <w:r w:rsidR="00D31551" w:rsidRPr="008A7487">
        <w:rPr>
          <w:rFonts w:ascii="Times New Roman" w:hAnsi="Times New Roman" w:cs="Times New Roman"/>
          <w:sz w:val="24"/>
          <w:szCs w:val="24"/>
        </w:rPr>
        <w:t>’s market power</w:t>
      </w:r>
      <w:r w:rsidR="00366BBD" w:rsidRPr="008A7487">
        <w:rPr>
          <w:rFonts w:ascii="Times New Roman" w:hAnsi="Times New Roman" w:cs="Times New Roman"/>
          <w:sz w:val="24"/>
          <w:szCs w:val="24"/>
        </w:rPr>
        <w:t>.</w:t>
      </w:r>
      <w:r w:rsidR="00090938" w:rsidRPr="008A7487">
        <w:rPr>
          <w:rFonts w:ascii="Times New Roman" w:hAnsi="Times New Roman" w:cs="Times New Roman"/>
          <w:sz w:val="24"/>
          <w:szCs w:val="24"/>
        </w:rPr>
        <w:t xml:space="preserve"> </w:t>
      </w:r>
    </w:p>
    <w:p w14:paraId="45051C32" w14:textId="77777777" w:rsidR="00366BBD" w:rsidRPr="008A7487" w:rsidRDefault="00366BBD" w:rsidP="001B7696">
      <w:pPr>
        <w:spacing w:after="0" w:line="480" w:lineRule="auto"/>
        <w:jc w:val="both"/>
        <w:rPr>
          <w:rFonts w:ascii="Times New Roman" w:hAnsi="Times New Roman" w:cs="Times New Roman"/>
          <w:sz w:val="24"/>
          <w:szCs w:val="24"/>
        </w:rPr>
      </w:pPr>
    </w:p>
    <w:p w14:paraId="43AC09D7" w14:textId="77777777" w:rsidR="00366BBD" w:rsidRPr="008A7487" w:rsidRDefault="00821E1C" w:rsidP="00366BBD">
      <w:pPr>
        <w:spacing w:after="0" w:line="480" w:lineRule="auto"/>
        <w:jc w:val="both"/>
        <w:rPr>
          <w:rFonts w:ascii="Times New Roman" w:hAnsi="Times New Roman" w:cs="Times New Roman"/>
          <w:i/>
          <w:sz w:val="24"/>
          <w:szCs w:val="24"/>
        </w:rPr>
      </w:pPr>
      <w:r w:rsidRPr="008A7487">
        <w:rPr>
          <w:rFonts w:ascii="Times New Roman" w:hAnsi="Times New Roman" w:cs="Times New Roman"/>
          <w:i/>
          <w:sz w:val="24"/>
          <w:szCs w:val="24"/>
        </w:rPr>
        <w:t>Size</w:t>
      </w:r>
    </w:p>
    <w:p w14:paraId="2612790F" w14:textId="7C32DFB3" w:rsidR="00D66388" w:rsidRPr="008A7487" w:rsidRDefault="00821E1C" w:rsidP="00366BBD">
      <w:pPr>
        <w:spacing w:after="0" w:line="480" w:lineRule="auto"/>
        <w:ind w:firstLine="720"/>
        <w:jc w:val="both"/>
        <w:rPr>
          <w:rFonts w:ascii="Times New Roman" w:hAnsi="Times New Roman" w:cs="Times New Roman"/>
          <w:sz w:val="24"/>
          <w:szCs w:val="24"/>
        </w:rPr>
      </w:pPr>
      <w:r w:rsidRPr="008A7487">
        <w:rPr>
          <w:rFonts w:ascii="Times New Roman" w:hAnsi="Times New Roman" w:cs="Times New Roman"/>
          <w:b/>
          <w:sz w:val="24"/>
          <w:szCs w:val="24"/>
        </w:rPr>
        <w:t xml:space="preserve"> </w:t>
      </w:r>
      <w:r w:rsidR="001F35F4" w:rsidRPr="008A7487">
        <w:rPr>
          <w:rFonts w:ascii="Times New Roman" w:hAnsi="Times New Roman" w:cs="Times New Roman"/>
          <w:sz w:val="24"/>
          <w:szCs w:val="24"/>
        </w:rPr>
        <w:t>Many</w:t>
      </w:r>
      <w:r w:rsidR="003F52A2" w:rsidRPr="008A7487">
        <w:rPr>
          <w:rFonts w:ascii="Times New Roman" w:hAnsi="Times New Roman" w:cs="Times New Roman"/>
          <w:sz w:val="24"/>
          <w:szCs w:val="24"/>
        </w:rPr>
        <w:t xml:space="preserve"> studies</w:t>
      </w:r>
      <w:r w:rsidR="008F6335" w:rsidRPr="008A7487">
        <w:rPr>
          <w:rFonts w:ascii="Times New Roman" w:hAnsi="Times New Roman" w:cs="Times New Roman"/>
          <w:sz w:val="24"/>
          <w:szCs w:val="24"/>
        </w:rPr>
        <w:t xml:space="preserve"> </w:t>
      </w:r>
      <w:r w:rsidR="001F35F4" w:rsidRPr="008A7487">
        <w:rPr>
          <w:rFonts w:ascii="Times New Roman" w:hAnsi="Times New Roman" w:cs="Times New Roman"/>
          <w:sz w:val="24"/>
          <w:szCs w:val="24"/>
        </w:rPr>
        <w:t xml:space="preserve">suggest that the relationship between bank size and profitability can either be positive or negative </w:t>
      </w:r>
      <w:r w:rsidR="008F6335" w:rsidRPr="008A7487">
        <w:rPr>
          <w:rFonts w:ascii="Times New Roman" w:hAnsi="Times New Roman" w:cs="Times New Roman"/>
          <w:sz w:val="24"/>
          <w:szCs w:val="24"/>
        </w:rPr>
        <w:t>(</w:t>
      </w:r>
      <w:r w:rsidR="001F35F4" w:rsidRPr="008A7487">
        <w:rPr>
          <w:rFonts w:ascii="Times New Roman" w:hAnsi="Times New Roman" w:cs="Times New Roman"/>
          <w:sz w:val="24"/>
          <w:szCs w:val="24"/>
        </w:rPr>
        <w:t xml:space="preserve">e.g., </w:t>
      </w:r>
      <w:r w:rsidR="00EB638C" w:rsidRPr="008A7487">
        <w:rPr>
          <w:rFonts w:ascii="Times New Roman" w:hAnsi="Times New Roman" w:cs="Times New Roman"/>
          <w:sz w:val="24"/>
          <w:szCs w:val="24"/>
        </w:rPr>
        <w:t xml:space="preserve">Dietrich </w:t>
      </w:r>
      <w:r w:rsidR="00EB638C">
        <w:rPr>
          <w:rFonts w:ascii="Times New Roman" w:hAnsi="Times New Roman" w:cs="Times New Roman"/>
          <w:sz w:val="24"/>
          <w:szCs w:val="24"/>
        </w:rPr>
        <w:t>&amp;</w:t>
      </w:r>
      <w:r w:rsidR="00EB638C" w:rsidRPr="008A7487">
        <w:rPr>
          <w:rFonts w:ascii="Times New Roman" w:hAnsi="Times New Roman" w:cs="Times New Roman"/>
          <w:sz w:val="24"/>
          <w:szCs w:val="24"/>
        </w:rPr>
        <w:t xml:space="preserve"> Wanzenrid</w:t>
      </w:r>
      <w:r w:rsidR="00EB638C">
        <w:rPr>
          <w:rFonts w:ascii="Times New Roman" w:hAnsi="Times New Roman" w:cs="Times New Roman"/>
          <w:sz w:val="24"/>
          <w:szCs w:val="24"/>
        </w:rPr>
        <w:t>,</w:t>
      </w:r>
      <w:r w:rsidR="00EB638C" w:rsidRPr="008A7487">
        <w:rPr>
          <w:rFonts w:ascii="Times New Roman" w:hAnsi="Times New Roman" w:cs="Times New Roman"/>
          <w:sz w:val="24"/>
          <w:szCs w:val="24"/>
        </w:rPr>
        <w:t xml:space="preserve"> 2</w:t>
      </w:r>
      <w:r w:rsidR="00EB638C">
        <w:rPr>
          <w:rFonts w:ascii="Times New Roman" w:hAnsi="Times New Roman" w:cs="Times New Roman"/>
          <w:sz w:val="24"/>
          <w:szCs w:val="24"/>
        </w:rPr>
        <w:t xml:space="preserve">014; </w:t>
      </w:r>
      <w:r w:rsidR="00EB638C" w:rsidRPr="008A7487">
        <w:rPr>
          <w:rFonts w:ascii="Times New Roman" w:hAnsi="Times New Roman" w:cs="Times New Roman"/>
          <w:sz w:val="24"/>
          <w:szCs w:val="24"/>
        </w:rPr>
        <w:t>Flamini et al.</w:t>
      </w:r>
      <w:r w:rsidR="00EB638C">
        <w:rPr>
          <w:rFonts w:ascii="Times New Roman" w:hAnsi="Times New Roman" w:cs="Times New Roman"/>
          <w:sz w:val="24"/>
          <w:szCs w:val="24"/>
        </w:rPr>
        <w:t>,</w:t>
      </w:r>
      <w:r w:rsidR="00EB638C" w:rsidRPr="008A7487">
        <w:rPr>
          <w:rFonts w:ascii="Times New Roman" w:hAnsi="Times New Roman" w:cs="Times New Roman"/>
          <w:sz w:val="24"/>
          <w:szCs w:val="24"/>
        </w:rPr>
        <w:t xml:space="preserve"> 2009</w:t>
      </w:r>
      <w:r w:rsidR="00EB638C">
        <w:rPr>
          <w:rFonts w:ascii="Times New Roman" w:hAnsi="Times New Roman" w:cs="Times New Roman"/>
          <w:sz w:val="24"/>
          <w:szCs w:val="24"/>
        </w:rPr>
        <w:t>;</w:t>
      </w:r>
      <w:r w:rsidR="00EB638C" w:rsidRPr="00EB638C">
        <w:rPr>
          <w:rFonts w:ascii="Times New Roman" w:hAnsi="Times New Roman" w:cs="Times New Roman"/>
          <w:sz w:val="24"/>
          <w:szCs w:val="24"/>
        </w:rPr>
        <w:t xml:space="preserve"> </w:t>
      </w:r>
      <w:r w:rsidR="00EB638C" w:rsidRPr="008A7487">
        <w:rPr>
          <w:rFonts w:ascii="Times New Roman" w:hAnsi="Times New Roman" w:cs="Times New Roman"/>
          <w:sz w:val="24"/>
          <w:szCs w:val="24"/>
        </w:rPr>
        <w:t>Athanasoglou et al.</w:t>
      </w:r>
      <w:r w:rsidR="00EB638C">
        <w:rPr>
          <w:rFonts w:ascii="Times New Roman" w:hAnsi="Times New Roman" w:cs="Times New Roman"/>
          <w:sz w:val="24"/>
          <w:szCs w:val="24"/>
        </w:rPr>
        <w:t>,</w:t>
      </w:r>
      <w:r w:rsidR="00EB638C" w:rsidRPr="008A7487">
        <w:rPr>
          <w:rFonts w:ascii="Times New Roman" w:hAnsi="Times New Roman" w:cs="Times New Roman"/>
          <w:sz w:val="24"/>
          <w:szCs w:val="24"/>
        </w:rPr>
        <w:t xml:space="preserve"> 2008</w:t>
      </w:r>
      <w:r w:rsidR="00EB638C">
        <w:rPr>
          <w:rFonts w:ascii="Times New Roman" w:hAnsi="Times New Roman" w:cs="Times New Roman"/>
          <w:sz w:val="24"/>
          <w:szCs w:val="24"/>
        </w:rPr>
        <w:t>; Micco et al., 2007; Goddard</w:t>
      </w:r>
      <w:r w:rsidR="00EB638C" w:rsidRPr="008A7487">
        <w:rPr>
          <w:rFonts w:ascii="Times New Roman" w:hAnsi="Times New Roman" w:cs="Times New Roman"/>
          <w:sz w:val="24"/>
          <w:szCs w:val="24"/>
        </w:rPr>
        <w:t xml:space="preserve"> et al.</w:t>
      </w:r>
      <w:r w:rsidR="00EB638C">
        <w:rPr>
          <w:rFonts w:ascii="Times New Roman" w:hAnsi="Times New Roman" w:cs="Times New Roman"/>
          <w:sz w:val="24"/>
          <w:szCs w:val="24"/>
        </w:rPr>
        <w:t>,</w:t>
      </w:r>
      <w:r w:rsidR="00EB638C" w:rsidRPr="008A7487">
        <w:rPr>
          <w:rFonts w:ascii="Times New Roman" w:hAnsi="Times New Roman" w:cs="Times New Roman"/>
          <w:sz w:val="24"/>
          <w:szCs w:val="24"/>
        </w:rPr>
        <w:t xml:space="preserve"> 2004</w:t>
      </w:r>
      <w:r w:rsidR="00EB638C">
        <w:rPr>
          <w:rFonts w:ascii="Times New Roman" w:hAnsi="Times New Roman" w:cs="Times New Roman"/>
          <w:sz w:val="24"/>
          <w:szCs w:val="24"/>
        </w:rPr>
        <w:t xml:space="preserve">; </w:t>
      </w:r>
      <w:r w:rsidR="00EB638C" w:rsidRPr="008A7487">
        <w:rPr>
          <w:rFonts w:ascii="Times New Roman" w:hAnsi="Times New Roman" w:cs="Times New Roman"/>
          <w:sz w:val="24"/>
          <w:szCs w:val="24"/>
        </w:rPr>
        <w:t xml:space="preserve">Molyneux </w:t>
      </w:r>
      <w:r w:rsidR="00EB638C">
        <w:rPr>
          <w:rFonts w:ascii="Times New Roman" w:hAnsi="Times New Roman" w:cs="Times New Roman"/>
          <w:sz w:val="24"/>
          <w:szCs w:val="24"/>
        </w:rPr>
        <w:t>&amp;</w:t>
      </w:r>
      <w:r w:rsidR="00EB638C" w:rsidRPr="008A7487">
        <w:rPr>
          <w:rFonts w:ascii="Times New Roman" w:hAnsi="Times New Roman" w:cs="Times New Roman"/>
          <w:sz w:val="24"/>
          <w:szCs w:val="24"/>
        </w:rPr>
        <w:t xml:space="preserve"> Thornton</w:t>
      </w:r>
      <w:r w:rsidR="00EB638C">
        <w:rPr>
          <w:rFonts w:ascii="Times New Roman" w:hAnsi="Times New Roman" w:cs="Times New Roman"/>
          <w:sz w:val="24"/>
          <w:szCs w:val="24"/>
        </w:rPr>
        <w:t>,</w:t>
      </w:r>
      <w:r w:rsidR="00EB638C" w:rsidRPr="008A7487">
        <w:rPr>
          <w:rFonts w:ascii="Times New Roman" w:hAnsi="Times New Roman" w:cs="Times New Roman"/>
          <w:sz w:val="24"/>
          <w:szCs w:val="24"/>
        </w:rPr>
        <w:t xml:space="preserve"> 1992</w:t>
      </w:r>
      <w:r w:rsidR="00EB638C">
        <w:rPr>
          <w:rFonts w:ascii="Times New Roman" w:hAnsi="Times New Roman" w:cs="Times New Roman"/>
          <w:sz w:val="24"/>
          <w:szCs w:val="24"/>
        </w:rPr>
        <w:t xml:space="preserve">; </w:t>
      </w:r>
      <w:r w:rsidR="00EB638C" w:rsidRPr="008A7487">
        <w:rPr>
          <w:rFonts w:ascii="Times New Roman" w:hAnsi="Times New Roman" w:cs="Times New Roman"/>
          <w:sz w:val="24"/>
          <w:szCs w:val="24"/>
        </w:rPr>
        <w:t>Bourke</w:t>
      </w:r>
      <w:r w:rsidR="00EB638C">
        <w:rPr>
          <w:rFonts w:ascii="Times New Roman" w:hAnsi="Times New Roman" w:cs="Times New Roman"/>
          <w:sz w:val="24"/>
          <w:szCs w:val="24"/>
        </w:rPr>
        <w:t>,</w:t>
      </w:r>
      <w:r w:rsidR="00EB638C" w:rsidRPr="008A7487">
        <w:rPr>
          <w:rFonts w:ascii="Times New Roman" w:hAnsi="Times New Roman" w:cs="Times New Roman"/>
          <w:sz w:val="24"/>
          <w:szCs w:val="24"/>
        </w:rPr>
        <w:t xml:space="preserve"> 1989</w:t>
      </w:r>
      <w:r w:rsidR="00EB638C">
        <w:rPr>
          <w:rFonts w:ascii="Times New Roman" w:hAnsi="Times New Roman" w:cs="Times New Roman"/>
          <w:sz w:val="24"/>
          <w:szCs w:val="24"/>
        </w:rPr>
        <w:t xml:space="preserve">; </w:t>
      </w:r>
      <w:r w:rsidR="008F6335" w:rsidRPr="008A7487">
        <w:rPr>
          <w:rFonts w:ascii="Times New Roman" w:hAnsi="Times New Roman" w:cs="Times New Roman"/>
          <w:sz w:val="24"/>
          <w:szCs w:val="24"/>
        </w:rPr>
        <w:t>Short</w:t>
      </w:r>
      <w:r w:rsidR="00AC1B76">
        <w:rPr>
          <w:rFonts w:ascii="Times New Roman" w:hAnsi="Times New Roman" w:cs="Times New Roman"/>
          <w:sz w:val="24"/>
          <w:szCs w:val="24"/>
        </w:rPr>
        <w:t>,</w:t>
      </w:r>
      <w:r w:rsidR="008F6335" w:rsidRPr="008A7487">
        <w:rPr>
          <w:rFonts w:ascii="Times New Roman" w:hAnsi="Times New Roman" w:cs="Times New Roman"/>
          <w:sz w:val="24"/>
          <w:szCs w:val="24"/>
        </w:rPr>
        <w:t xml:space="preserve"> 1979)</w:t>
      </w:r>
      <w:r w:rsidR="001F35F4" w:rsidRPr="008A7487">
        <w:rPr>
          <w:rFonts w:ascii="Times New Roman" w:hAnsi="Times New Roman" w:cs="Times New Roman"/>
          <w:sz w:val="24"/>
          <w:szCs w:val="24"/>
        </w:rPr>
        <w:t>. Those arguing for a positive relationship suggest that size is associated with economies of scale (</w:t>
      </w:r>
      <w:r w:rsidR="00EB638C" w:rsidRPr="008A7487">
        <w:rPr>
          <w:rFonts w:ascii="Times New Roman" w:hAnsi="Times New Roman" w:cs="Times New Roman"/>
          <w:sz w:val="24"/>
          <w:szCs w:val="24"/>
        </w:rPr>
        <w:t>Flamini et al.</w:t>
      </w:r>
      <w:r w:rsidR="00EB638C">
        <w:rPr>
          <w:rFonts w:ascii="Times New Roman" w:hAnsi="Times New Roman" w:cs="Times New Roman"/>
          <w:sz w:val="24"/>
          <w:szCs w:val="24"/>
        </w:rPr>
        <w:t>,</w:t>
      </w:r>
      <w:r w:rsidR="00EB638C" w:rsidRPr="008A7487">
        <w:rPr>
          <w:rFonts w:ascii="Times New Roman" w:hAnsi="Times New Roman" w:cs="Times New Roman"/>
          <w:sz w:val="24"/>
          <w:szCs w:val="24"/>
        </w:rPr>
        <w:t xml:space="preserve"> 2009</w:t>
      </w:r>
      <w:r w:rsidR="00EB638C">
        <w:rPr>
          <w:rFonts w:ascii="Times New Roman" w:hAnsi="Times New Roman" w:cs="Times New Roman"/>
          <w:sz w:val="24"/>
          <w:szCs w:val="24"/>
        </w:rPr>
        <w:t xml:space="preserve">; </w:t>
      </w:r>
      <w:r w:rsidR="00EB638C" w:rsidRPr="008A7487">
        <w:rPr>
          <w:rFonts w:ascii="Times New Roman" w:hAnsi="Times New Roman" w:cs="Times New Roman"/>
          <w:sz w:val="24"/>
          <w:szCs w:val="24"/>
        </w:rPr>
        <w:t>Athanasoglou et al.</w:t>
      </w:r>
      <w:r w:rsidR="00EB638C">
        <w:rPr>
          <w:rFonts w:ascii="Times New Roman" w:hAnsi="Times New Roman" w:cs="Times New Roman"/>
          <w:sz w:val="24"/>
          <w:szCs w:val="24"/>
        </w:rPr>
        <w:t>,</w:t>
      </w:r>
      <w:r w:rsidR="00EB638C" w:rsidRPr="008A7487">
        <w:rPr>
          <w:rFonts w:ascii="Times New Roman" w:hAnsi="Times New Roman" w:cs="Times New Roman"/>
          <w:sz w:val="24"/>
          <w:szCs w:val="24"/>
        </w:rPr>
        <w:t xml:space="preserve"> 2008</w:t>
      </w:r>
      <w:r w:rsidR="00EB638C">
        <w:rPr>
          <w:rFonts w:ascii="Times New Roman" w:hAnsi="Times New Roman" w:cs="Times New Roman"/>
          <w:sz w:val="24"/>
          <w:szCs w:val="24"/>
        </w:rPr>
        <w:t xml:space="preserve">; </w:t>
      </w:r>
      <w:r w:rsidR="00EB638C" w:rsidRPr="008A7487">
        <w:rPr>
          <w:rFonts w:ascii="Times New Roman" w:hAnsi="Times New Roman" w:cs="Times New Roman"/>
          <w:sz w:val="24"/>
          <w:szCs w:val="24"/>
        </w:rPr>
        <w:t xml:space="preserve">Molyneux </w:t>
      </w:r>
      <w:r w:rsidR="00EB638C">
        <w:rPr>
          <w:rFonts w:ascii="Times New Roman" w:hAnsi="Times New Roman" w:cs="Times New Roman"/>
          <w:sz w:val="24"/>
          <w:szCs w:val="24"/>
        </w:rPr>
        <w:t>&amp;</w:t>
      </w:r>
      <w:r w:rsidR="00EB638C" w:rsidRPr="008A7487">
        <w:rPr>
          <w:rFonts w:ascii="Times New Roman" w:hAnsi="Times New Roman" w:cs="Times New Roman"/>
          <w:sz w:val="24"/>
          <w:szCs w:val="24"/>
        </w:rPr>
        <w:t xml:space="preserve"> Thornton</w:t>
      </w:r>
      <w:r w:rsidR="00EB638C">
        <w:rPr>
          <w:rFonts w:ascii="Times New Roman" w:hAnsi="Times New Roman" w:cs="Times New Roman"/>
          <w:sz w:val="24"/>
          <w:szCs w:val="24"/>
        </w:rPr>
        <w:t>,</w:t>
      </w:r>
      <w:r w:rsidR="00EB638C" w:rsidRPr="008A7487">
        <w:rPr>
          <w:rFonts w:ascii="Times New Roman" w:hAnsi="Times New Roman" w:cs="Times New Roman"/>
          <w:sz w:val="24"/>
          <w:szCs w:val="24"/>
        </w:rPr>
        <w:t xml:space="preserve"> 1992</w:t>
      </w:r>
      <w:r w:rsidR="00EB638C">
        <w:rPr>
          <w:rFonts w:ascii="Times New Roman" w:hAnsi="Times New Roman" w:cs="Times New Roman"/>
          <w:sz w:val="24"/>
          <w:szCs w:val="24"/>
        </w:rPr>
        <w:t xml:space="preserve">; </w:t>
      </w:r>
      <w:r w:rsidR="001F35F4" w:rsidRPr="008A7487">
        <w:rPr>
          <w:rFonts w:ascii="Times New Roman" w:hAnsi="Times New Roman" w:cs="Times New Roman"/>
          <w:sz w:val="24"/>
          <w:szCs w:val="24"/>
        </w:rPr>
        <w:t>Bourke</w:t>
      </w:r>
      <w:r w:rsidR="00AC1B76">
        <w:rPr>
          <w:rFonts w:ascii="Times New Roman" w:hAnsi="Times New Roman" w:cs="Times New Roman"/>
          <w:sz w:val="24"/>
          <w:szCs w:val="24"/>
        </w:rPr>
        <w:t>,</w:t>
      </w:r>
      <w:r w:rsidR="001F35F4" w:rsidRPr="008A7487">
        <w:rPr>
          <w:rFonts w:ascii="Times New Roman" w:hAnsi="Times New Roman" w:cs="Times New Roman"/>
          <w:sz w:val="24"/>
          <w:szCs w:val="24"/>
        </w:rPr>
        <w:t xml:space="preserve"> 1989;</w:t>
      </w:r>
      <w:r w:rsidR="00EB638C">
        <w:rPr>
          <w:rFonts w:ascii="Times New Roman" w:hAnsi="Times New Roman" w:cs="Times New Roman"/>
          <w:sz w:val="24"/>
          <w:szCs w:val="24"/>
        </w:rPr>
        <w:t xml:space="preserve"> </w:t>
      </w:r>
      <w:r w:rsidR="00EB638C" w:rsidRPr="008A7487">
        <w:rPr>
          <w:rFonts w:ascii="Times New Roman" w:hAnsi="Times New Roman" w:cs="Times New Roman"/>
          <w:sz w:val="24"/>
          <w:szCs w:val="24"/>
        </w:rPr>
        <w:lastRenderedPageBreak/>
        <w:t>Short</w:t>
      </w:r>
      <w:r w:rsidR="00EB638C">
        <w:rPr>
          <w:rFonts w:ascii="Times New Roman" w:hAnsi="Times New Roman" w:cs="Times New Roman"/>
          <w:sz w:val="24"/>
          <w:szCs w:val="24"/>
        </w:rPr>
        <w:t>, 1979</w:t>
      </w:r>
      <w:r w:rsidR="001F35F4" w:rsidRPr="008A7487">
        <w:rPr>
          <w:rFonts w:ascii="Times New Roman" w:hAnsi="Times New Roman" w:cs="Times New Roman"/>
          <w:sz w:val="24"/>
          <w:szCs w:val="24"/>
        </w:rPr>
        <w:t>) leading banks becoming more profitable as they become larger. However, some have suggested that as</w:t>
      </w:r>
      <w:r w:rsidR="00314BB2" w:rsidRPr="008A7487">
        <w:rPr>
          <w:rFonts w:ascii="Times New Roman" w:hAnsi="Times New Roman" w:cs="Times New Roman"/>
          <w:sz w:val="24"/>
          <w:szCs w:val="24"/>
        </w:rPr>
        <w:t xml:space="preserve"> banks expand in size through entry into new markets or the building of new branches, they incur additional operating costs, which erode profits</w:t>
      </w:r>
      <w:r w:rsidR="001F35F4" w:rsidRPr="008A7487">
        <w:rPr>
          <w:rFonts w:ascii="Times New Roman" w:hAnsi="Times New Roman" w:cs="Times New Roman"/>
          <w:sz w:val="24"/>
          <w:szCs w:val="24"/>
        </w:rPr>
        <w:t xml:space="preserve"> (Dietrich</w:t>
      </w:r>
      <w:r w:rsidR="00674B46">
        <w:rPr>
          <w:rFonts w:ascii="Times New Roman" w:hAnsi="Times New Roman" w:cs="Times New Roman"/>
          <w:sz w:val="24"/>
          <w:szCs w:val="24"/>
        </w:rPr>
        <w:t xml:space="preserve"> </w:t>
      </w:r>
      <w:r w:rsidR="00AC1B76">
        <w:rPr>
          <w:rFonts w:ascii="Times New Roman" w:hAnsi="Times New Roman" w:cs="Times New Roman"/>
          <w:sz w:val="24"/>
          <w:szCs w:val="24"/>
        </w:rPr>
        <w:t>&amp;</w:t>
      </w:r>
      <w:r w:rsidR="001965EC">
        <w:rPr>
          <w:rFonts w:ascii="Times New Roman" w:hAnsi="Times New Roman" w:cs="Times New Roman"/>
          <w:sz w:val="24"/>
          <w:szCs w:val="24"/>
        </w:rPr>
        <w:t xml:space="preserve"> Wanzenrid, 2014; Micco et al.</w:t>
      </w:r>
      <w:r w:rsidR="00AC1B76">
        <w:rPr>
          <w:rFonts w:ascii="Times New Roman" w:hAnsi="Times New Roman" w:cs="Times New Roman"/>
          <w:sz w:val="24"/>
          <w:szCs w:val="24"/>
        </w:rPr>
        <w:t>,</w:t>
      </w:r>
      <w:r w:rsidR="001F35F4" w:rsidRPr="008A7487">
        <w:rPr>
          <w:rFonts w:ascii="Times New Roman" w:hAnsi="Times New Roman" w:cs="Times New Roman"/>
          <w:sz w:val="24"/>
          <w:szCs w:val="24"/>
        </w:rPr>
        <w:t xml:space="preserve"> 2007)</w:t>
      </w:r>
      <w:r w:rsidR="00314BB2" w:rsidRPr="008A7487">
        <w:rPr>
          <w:rFonts w:ascii="Times New Roman" w:hAnsi="Times New Roman" w:cs="Times New Roman"/>
          <w:sz w:val="24"/>
          <w:szCs w:val="24"/>
        </w:rPr>
        <w:t xml:space="preserve">. </w:t>
      </w:r>
      <w:r w:rsidR="00AB3F4A" w:rsidRPr="008A7487">
        <w:rPr>
          <w:rFonts w:ascii="Times New Roman" w:hAnsi="Times New Roman" w:cs="Times New Roman"/>
          <w:sz w:val="24"/>
          <w:szCs w:val="24"/>
        </w:rPr>
        <w:t>Godda</w:t>
      </w:r>
      <w:r w:rsidR="001965EC">
        <w:rPr>
          <w:rFonts w:ascii="Times New Roman" w:hAnsi="Times New Roman" w:cs="Times New Roman"/>
          <w:sz w:val="24"/>
          <w:szCs w:val="24"/>
        </w:rPr>
        <w:t>rd</w:t>
      </w:r>
      <w:r w:rsidR="00D102AA" w:rsidRPr="008A7487">
        <w:rPr>
          <w:rFonts w:ascii="Times New Roman" w:hAnsi="Times New Roman" w:cs="Times New Roman"/>
          <w:sz w:val="24"/>
          <w:szCs w:val="24"/>
        </w:rPr>
        <w:t xml:space="preserve"> et </w:t>
      </w:r>
      <w:r w:rsidR="009554E5" w:rsidRPr="008A7487">
        <w:rPr>
          <w:rFonts w:ascii="Times New Roman" w:hAnsi="Times New Roman" w:cs="Times New Roman"/>
          <w:sz w:val="24"/>
          <w:szCs w:val="24"/>
        </w:rPr>
        <w:t>al.</w:t>
      </w:r>
      <w:r w:rsidR="001965EC">
        <w:rPr>
          <w:rFonts w:ascii="Times New Roman" w:hAnsi="Times New Roman" w:cs="Times New Roman"/>
          <w:sz w:val="24"/>
          <w:szCs w:val="24"/>
        </w:rPr>
        <w:t xml:space="preserve"> (2004,</w:t>
      </w:r>
      <w:r w:rsidR="00D102AA" w:rsidRPr="008A7487">
        <w:rPr>
          <w:rFonts w:ascii="Times New Roman" w:hAnsi="Times New Roman" w:cs="Times New Roman"/>
          <w:sz w:val="24"/>
          <w:szCs w:val="24"/>
        </w:rPr>
        <w:t xml:space="preserve"> p. 378) state </w:t>
      </w:r>
      <w:r w:rsidR="007C752F" w:rsidRPr="008A7487">
        <w:rPr>
          <w:rFonts w:ascii="Times New Roman" w:hAnsi="Times New Roman" w:cs="Times New Roman"/>
          <w:sz w:val="24"/>
          <w:szCs w:val="24"/>
        </w:rPr>
        <w:t>that “</w:t>
      </w:r>
      <w:r w:rsidR="00B5695E" w:rsidRPr="008A7487">
        <w:rPr>
          <w:rFonts w:ascii="Times New Roman" w:hAnsi="Times New Roman" w:cs="Times New Roman"/>
          <w:sz w:val="24"/>
          <w:szCs w:val="24"/>
        </w:rPr>
        <w:t>t</w:t>
      </w:r>
      <w:r w:rsidR="00AB3F4A" w:rsidRPr="008A7487">
        <w:rPr>
          <w:rFonts w:ascii="Times New Roman" w:hAnsi="Times New Roman" w:cs="Times New Roman"/>
          <w:sz w:val="24"/>
          <w:szCs w:val="24"/>
        </w:rPr>
        <w:t>here is some evidence of a significant size-profitability relationship in some of the estimators, but overall the evidence for any systematic relationship between size and</w:t>
      </w:r>
      <w:r w:rsidR="00D102AA" w:rsidRPr="008A7487">
        <w:rPr>
          <w:rFonts w:ascii="Times New Roman" w:hAnsi="Times New Roman" w:cs="Times New Roman"/>
          <w:sz w:val="24"/>
          <w:szCs w:val="24"/>
        </w:rPr>
        <w:t xml:space="preserve"> performance is unconvincing.” </w:t>
      </w:r>
    </w:p>
    <w:p w14:paraId="795F7759" w14:textId="357FEBBA" w:rsidR="00DE171B" w:rsidRPr="008A7487" w:rsidRDefault="00615990" w:rsidP="00C81D52">
      <w:pPr>
        <w:spacing w:after="0" w:line="480" w:lineRule="auto"/>
        <w:ind w:firstLine="720"/>
        <w:jc w:val="both"/>
        <w:rPr>
          <w:rFonts w:ascii="Times New Roman" w:hAnsi="Times New Roman" w:cs="Times New Roman"/>
          <w:sz w:val="24"/>
          <w:szCs w:val="24"/>
        </w:rPr>
      </w:pPr>
      <w:r w:rsidRPr="008A7487">
        <w:rPr>
          <w:rFonts w:ascii="Times New Roman" w:hAnsi="Times New Roman" w:cs="Times New Roman"/>
          <w:sz w:val="24"/>
          <w:szCs w:val="24"/>
        </w:rPr>
        <w:lastRenderedPageBreak/>
        <w:t>B</w:t>
      </w:r>
      <w:r w:rsidR="00D66388" w:rsidRPr="008A7487">
        <w:rPr>
          <w:rFonts w:ascii="Times New Roman" w:hAnsi="Times New Roman" w:cs="Times New Roman"/>
          <w:sz w:val="24"/>
          <w:szCs w:val="24"/>
        </w:rPr>
        <w:t>anks in Africa face high operating costs typically due to high information a</w:t>
      </w:r>
      <w:r w:rsidR="00836343" w:rsidRPr="008A7487">
        <w:rPr>
          <w:rFonts w:ascii="Times New Roman" w:hAnsi="Times New Roman" w:cs="Times New Roman"/>
          <w:sz w:val="24"/>
          <w:szCs w:val="24"/>
        </w:rPr>
        <w:t>symmetry</w:t>
      </w:r>
      <w:r w:rsidR="00D66388" w:rsidRPr="008A7487">
        <w:rPr>
          <w:rFonts w:ascii="Times New Roman" w:hAnsi="Times New Roman" w:cs="Times New Roman"/>
          <w:sz w:val="24"/>
          <w:szCs w:val="24"/>
        </w:rPr>
        <w:t xml:space="preserve"> </w:t>
      </w:r>
      <w:r w:rsidR="007C182F" w:rsidRPr="008A7487">
        <w:rPr>
          <w:rFonts w:ascii="Times New Roman" w:hAnsi="Times New Roman" w:cs="Times New Roman"/>
          <w:sz w:val="24"/>
          <w:szCs w:val="24"/>
        </w:rPr>
        <w:t xml:space="preserve">(Allen et </w:t>
      </w:r>
      <w:r w:rsidR="009554E5" w:rsidRPr="008A7487">
        <w:rPr>
          <w:rFonts w:ascii="Times New Roman" w:hAnsi="Times New Roman" w:cs="Times New Roman"/>
          <w:sz w:val="24"/>
          <w:szCs w:val="24"/>
        </w:rPr>
        <w:t>al.</w:t>
      </w:r>
      <w:r w:rsidR="00AC1B76">
        <w:rPr>
          <w:rFonts w:ascii="Times New Roman" w:hAnsi="Times New Roman" w:cs="Times New Roman"/>
          <w:sz w:val="24"/>
          <w:szCs w:val="24"/>
        </w:rPr>
        <w:t>,</w:t>
      </w:r>
      <w:r w:rsidR="007C182F" w:rsidRPr="008A7487">
        <w:rPr>
          <w:rFonts w:ascii="Times New Roman" w:hAnsi="Times New Roman" w:cs="Times New Roman"/>
          <w:sz w:val="24"/>
          <w:szCs w:val="24"/>
        </w:rPr>
        <w:t xml:space="preserve"> 2011)</w:t>
      </w:r>
      <w:r w:rsidR="00CF28CA" w:rsidRPr="008A7487">
        <w:rPr>
          <w:rFonts w:ascii="Times New Roman" w:hAnsi="Times New Roman" w:cs="Times New Roman"/>
          <w:sz w:val="24"/>
          <w:szCs w:val="24"/>
        </w:rPr>
        <w:t xml:space="preserve"> which are likely to be accentuated during crisis</w:t>
      </w:r>
      <w:r w:rsidR="00632F7A" w:rsidRPr="008A7487">
        <w:rPr>
          <w:rFonts w:ascii="Times New Roman" w:hAnsi="Times New Roman" w:cs="Times New Roman"/>
          <w:sz w:val="24"/>
          <w:szCs w:val="24"/>
        </w:rPr>
        <w:t xml:space="preserve"> due to lack of market confidence</w:t>
      </w:r>
      <w:r w:rsidR="00D66388" w:rsidRPr="008A7487">
        <w:rPr>
          <w:rFonts w:ascii="Times New Roman" w:hAnsi="Times New Roman" w:cs="Times New Roman"/>
          <w:sz w:val="24"/>
          <w:szCs w:val="24"/>
        </w:rPr>
        <w:t>.</w:t>
      </w:r>
      <w:r w:rsidR="007C182F" w:rsidRPr="008A7487">
        <w:rPr>
          <w:rFonts w:ascii="Times New Roman" w:hAnsi="Times New Roman" w:cs="Times New Roman"/>
          <w:sz w:val="24"/>
          <w:szCs w:val="24"/>
        </w:rPr>
        <w:t xml:space="preserve"> </w:t>
      </w:r>
      <w:r w:rsidR="00D66388" w:rsidRPr="008A7487">
        <w:rPr>
          <w:rFonts w:ascii="Times New Roman" w:hAnsi="Times New Roman" w:cs="Times New Roman"/>
          <w:sz w:val="24"/>
          <w:szCs w:val="24"/>
        </w:rPr>
        <w:t xml:space="preserve">Consequently, the initial cost of product development, diversification and branch expansion may be prohibitive (Shehzad et </w:t>
      </w:r>
      <w:r w:rsidR="009554E5" w:rsidRPr="008A7487">
        <w:rPr>
          <w:rFonts w:ascii="Times New Roman" w:hAnsi="Times New Roman" w:cs="Times New Roman"/>
          <w:sz w:val="24"/>
          <w:szCs w:val="24"/>
        </w:rPr>
        <w:t>al.</w:t>
      </w:r>
      <w:r w:rsidR="00AC1B76">
        <w:rPr>
          <w:rFonts w:ascii="Times New Roman" w:hAnsi="Times New Roman" w:cs="Times New Roman"/>
          <w:sz w:val="24"/>
          <w:szCs w:val="24"/>
        </w:rPr>
        <w:t>,</w:t>
      </w:r>
      <w:r w:rsidR="001965EC">
        <w:rPr>
          <w:rFonts w:ascii="Times New Roman" w:hAnsi="Times New Roman" w:cs="Times New Roman"/>
          <w:sz w:val="24"/>
          <w:szCs w:val="24"/>
        </w:rPr>
        <w:t xml:space="preserve"> 2013; Ahokpossi</w:t>
      </w:r>
      <w:r w:rsidR="00AC1B76">
        <w:rPr>
          <w:rFonts w:ascii="Times New Roman" w:hAnsi="Times New Roman" w:cs="Times New Roman"/>
          <w:sz w:val="24"/>
          <w:szCs w:val="24"/>
        </w:rPr>
        <w:t>,</w:t>
      </w:r>
      <w:r w:rsidR="00D66388" w:rsidRPr="008A7487">
        <w:rPr>
          <w:rFonts w:ascii="Times New Roman" w:hAnsi="Times New Roman" w:cs="Times New Roman"/>
          <w:sz w:val="24"/>
          <w:szCs w:val="24"/>
        </w:rPr>
        <w:t xml:space="preserve"> 2013). Higher market imperfection and uncertainty </w:t>
      </w:r>
      <w:r w:rsidR="00CF28CA" w:rsidRPr="008A7487">
        <w:rPr>
          <w:rFonts w:ascii="Times New Roman" w:hAnsi="Times New Roman" w:cs="Times New Roman"/>
          <w:sz w:val="24"/>
          <w:szCs w:val="24"/>
        </w:rPr>
        <w:t xml:space="preserve">caused by the crisis </w:t>
      </w:r>
      <w:r w:rsidR="00D66388" w:rsidRPr="008A7487">
        <w:rPr>
          <w:rFonts w:ascii="Times New Roman" w:hAnsi="Times New Roman" w:cs="Times New Roman"/>
          <w:sz w:val="24"/>
          <w:szCs w:val="24"/>
        </w:rPr>
        <w:t xml:space="preserve">may also affect cost recovery. Thus, the expected economies of scale may not materialize, resulting in a negative relationship between banks size and profitability. </w:t>
      </w:r>
    </w:p>
    <w:p w14:paraId="7A89FD30" w14:textId="6F119E46" w:rsidR="00A35031" w:rsidRPr="008A7487" w:rsidRDefault="00D66388" w:rsidP="00054D13">
      <w:pPr>
        <w:spacing w:after="0" w:line="480" w:lineRule="auto"/>
        <w:ind w:firstLine="720"/>
        <w:jc w:val="both"/>
        <w:rPr>
          <w:rFonts w:ascii="Times New Roman" w:hAnsi="Times New Roman" w:cs="Times New Roman"/>
          <w:i/>
          <w:sz w:val="24"/>
          <w:szCs w:val="24"/>
        </w:rPr>
      </w:pPr>
      <w:r w:rsidRPr="008A7487">
        <w:rPr>
          <w:rFonts w:ascii="Times New Roman" w:hAnsi="Times New Roman" w:cs="Times New Roman"/>
          <w:sz w:val="24"/>
          <w:szCs w:val="24"/>
        </w:rPr>
        <w:lastRenderedPageBreak/>
        <w:t xml:space="preserve">On the other hand, following </w:t>
      </w:r>
      <w:r w:rsidR="00C81D52" w:rsidRPr="008A7487">
        <w:rPr>
          <w:rFonts w:ascii="Times New Roman" w:hAnsi="Times New Roman" w:cs="Times New Roman"/>
          <w:sz w:val="24"/>
          <w:szCs w:val="24"/>
        </w:rPr>
        <w:t xml:space="preserve">evidence from </w:t>
      </w:r>
      <w:r w:rsidRPr="008A7487">
        <w:rPr>
          <w:rFonts w:ascii="Times New Roman" w:hAnsi="Times New Roman" w:cs="Times New Roman"/>
          <w:sz w:val="24"/>
          <w:szCs w:val="24"/>
        </w:rPr>
        <w:t xml:space="preserve">Flamini et </w:t>
      </w:r>
      <w:r w:rsidR="009554E5" w:rsidRPr="008A7487">
        <w:rPr>
          <w:rFonts w:ascii="Times New Roman" w:hAnsi="Times New Roman" w:cs="Times New Roman"/>
          <w:sz w:val="24"/>
          <w:szCs w:val="24"/>
        </w:rPr>
        <w:t>al.</w:t>
      </w:r>
      <w:r w:rsidRPr="008A7487">
        <w:rPr>
          <w:rFonts w:ascii="Times New Roman" w:hAnsi="Times New Roman" w:cs="Times New Roman"/>
          <w:sz w:val="24"/>
          <w:szCs w:val="24"/>
        </w:rPr>
        <w:t xml:space="preserve"> (2009), large banks have the tendency to make abnormal profit in a monopolistic competition</w:t>
      </w:r>
      <w:r w:rsidR="00442CB2" w:rsidRPr="008A7487">
        <w:rPr>
          <w:rFonts w:ascii="Times New Roman" w:hAnsi="Times New Roman" w:cs="Times New Roman"/>
          <w:sz w:val="24"/>
          <w:szCs w:val="24"/>
        </w:rPr>
        <w:t>, more so during uncertainty,</w:t>
      </w:r>
      <w:r w:rsidRPr="008A7487">
        <w:rPr>
          <w:rFonts w:ascii="Times New Roman" w:hAnsi="Times New Roman" w:cs="Times New Roman"/>
          <w:sz w:val="24"/>
          <w:szCs w:val="24"/>
        </w:rPr>
        <w:t xml:space="preserve"> because they can charge higher lending rate and incur lower borrowin</w:t>
      </w:r>
      <w:r w:rsidR="00C86367" w:rsidRPr="008A7487">
        <w:rPr>
          <w:rFonts w:ascii="Times New Roman" w:hAnsi="Times New Roman" w:cs="Times New Roman"/>
          <w:sz w:val="24"/>
          <w:szCs w:val="24"/>
        </w:rPr>
        <w:t>g costs</w:t>
      </w:r>
      <w:r w:rsidR="006661DE" w:rsidRPr="008A7487">
        <w:rPr>
          <w:rFonts w:ascii="Times New Roman" w:hAnsi="Times New Roman" w:cs="Times New Roman"/>
          <w:sz w:val="24"/>
          <w:szCs w:val="24"/>
        </w:rPr>
        <w:t xml:space="preserve"> (Allen et </w:t>
      </w:r>
      <w:r w:rsidR="009554E5" w:rsidRPr="008A7487">
        <w:rPr>
          <w:rFonts w:ascii="Times New Roman" w:hAnsi="Times New Roman" w:cs="Times New Roman"/>
          <w:sz w:val="24"/>
          <w:szCs w:val="24"/>
        </w:rPr>
        <w:t>al.</w:t>
      </w:r>
      <w:r w:rsidR="00AC1B76">
        <w:rPr>
          <w:rFonts w:ascii="Times New Roman" w:hAnsi="Times New Roman" w:cs="Times New Roman"/>
          <w:sz w:val="24"/>
          <w:szCs w:val="24"/>
        </w:rPr>
        <w:t>,</w:t>
      </w:r>
      <w:r w:rsidR="006661DE" w:rsidRPr="008A7487">
        <w:rPr>
          <w:rFonts w:ascii="Times New Roman" w:hAnsi="Times New Roman" w:cs="Times New Roman"/>
          <w:sz w:val="24"/>
          <w:szCs w:val="24"/>
        </w:rPr>
        <w:t xml:space="preserve"> 2011)</w:t>
      </w:r>
      <w:r w:rsidR="00C86367" w:rsidRPr="008A7487">
        <w:rPr>
          <w:rFonts w:ascii="Times New Roman" w:hAnsi="Times New Roman" w:cs="Times New Roman"/>
          <w:sz w:val="24"/>
          <w:szCs w:val="24"/>
        </w:rPr>
        <w:t>.</w:t>
      </w:r>
      <w:r w:rsidR="004C048A" w:rsidRPr="008A7487">
        <w:rPr>
          <w:rFonts w:ascii="Times New Roman" w:hAnsi="Times New Roman" w:cs="Times New Roman"/>
          <w:sz w:val="24"/>
          <w:szCs w:val="24"/>
        </w:rPr>
        <w:t xml:space="preserve"> The</w:t>
      </w:r>
      <w:r w:rsidR="00D5577D" w:rsidRPr="008A7487">
        <w:rPr>
          <w:rFonts w:ascii="Times New Roman" w:hAnsi="Times New Roman" w:cs="Times New Roman"/>
          <w:sz w:val="24"/>
          <w:szCs w:val="24"/>
        </w:rPr>
        <w:t>s</w:t>
      </w:r>
      <w:r w:rsidR="004C048A" w:rsidRPr="008A7487">
        <w:rPr>
          <w:rFonts w:ascii="Times New Roman" w:hAnsi="Times New Roman" w:cs="Times New Roman"/>
          <w:sz w:val="24"/>
          <w:szCs w:val="24"/>
        </w:rPr>
        <w:t>e</w:t>
      </w:r>
      <w:r w:rsidR="00D5577D" w:rsidRPr="008A7487">
        <w:rPr>
          <w:rFonts w:ascii="Times New Roman" w:hAnsi="Times New Roman" w:cs="Times New Roman"/>
          <w:sz w:val="24"/>
          <w:szCs w:val="24"/>
        </w:rPr>
        <w:t xml:space="preserve"> ad</w:t>
      </w:r>
      <w:r w:rsidR="00CF28CA" w:rsidRPr="008A7487">
        <w:rPr>
          <w:rFonts w:ascii="Times New Roman" w:hAnsi="Times New Roman" w:cs="Times New Roman"/>
          <w:sz w:val="24"/>
          <w:szCs w:val="24"/>
        </w:rPr>
        <w:t>vantage</w:t>
      </w:r>
      <w:r w:rsidR="004C048A" w:rsidRPr="008A7487">
        <w:rPr>
          <w:rFonts w:ascii="Times New Roman" w:hAnsi="Times New Roman" w:cs="Times New Roman"/>
          <w:sz w:val="24"/>
          <w:szCs w:val="24"/>
        </w:rPr>
        <w:t>s</w:t>
      </w:r>
      <w:r w:rsidR="00CF28CA" w:rsidRPr="008A7487">
        <w:rPr>
          <w:rFonts w:ascii="Times New Roman" w:hAnsi="Times New Roman" w:cs="Times New Roman"/>
          <w:sz w:val="24"/>
          <w:szCs w:val="24"/>
        </w:rPr>
        <w:t xml:space="preserve"> may</w:t>
      </w:r>
      <w:r w:rsidR="008E6C72" w:rsidRPr="008A7487">
        <w:rPr>
          <w:rFonts w:ascii="Times New Roman" w:hAnsi="Times New Roman" w:cs="Times New Roman"/>
          <w:sz w:val="24"/>
          <w:szCs w:val="24"/>
        </w:rPr>
        <w:t xml:space="preserve"> imply higher profitability during the crisis resulting in positive relationship between bank size and profitability. </w:t>
      </w:r>
      <w:r w:rsidR="00DE171B" w:rsidRPr="008A7487">
        <w:rPr>
          <w:rFonts w:ascii="Times New Roman" w:hAnsi="Times New Roman" w:cs="Times New Roman"/>
          <w:sz w:val="24"/>
          <w:szCs w:val="24"/>
        </w:rPr>
        <w:t xml:space="preserve">The </w:t>
      </w:r>
      <w:r w:rsidR="005E6C10" w:rsidRPr="008A7487">
        <w:rPr>
          <w:rFonts w:ascii="Times New Roman" w:hAnsi="Times New Roman" w:cs="Times New Roman"/>
          <w:sz w:val="24"/>
          <w:szCs w:val="24"/>
        </w:rPr>
        <w:t>arguments above show that the effect of size on bank profitability is</w:t>
      </w:r>
      <w:r w:rsidR="003F3574" w:rsidRPr="008A7487">
        <w:rPr>
          <w:rFonts w:ascii="Times New Roman" w:hAnsi="Times New Roman" w:cs="Times New Roman"/>
          <w:sz w:val="24"/>
          <w:szCs w:val="24"/>
        </w:rPr>
        <w:t xml:space="preserve"> an empirical issue. The conjecture in this study is that large banks, given their resources and scale advantages, have </w:t>
      </w:r>
      <w:r w:rsidR="003F3574" w:rsidRPr="008A7487">
        <w:rPr>
          <w:rFonts w:ascii="Times New Roman" w:hAnsi="Times New Roman" w:cs="Times New Roman"/>
          <w:sz w:val="24"/>
          <w:szCs w:val="24"/>
        </w:rPr>
        <w:lastRenderedPageBreak/>
        <w:t xml:space="preserve">higher propensity to return to pre-crisis performance level </w:t>
      </w:r>
      <w:r w:rsidR="000E08FA" w:rsidRPr="008A7487">
        <w:rPr>
          <w:rFonts w:ascii="Times New Roman" w:hAnsi="Times New Roman" w:cs="Times New Roman"/>
          <w:sz w:val="24"/>
          <w:szCs w:val="24"/>
        </w:rPr>
        <w:t xml:space="preserve">therefore more profitable </w:t>
      </w:r>
      <w:r w:rsidR="003F3574" w:rsidRPr="008A7487">
        <w:rPr>
          <w:rFonts w:ascii="Times New Roman" w:hAnsi="Times New Roman" w:cs="Times New Roman"/>
          <w:sz w:val="24"/>
          <w:szCs w:val="24"/>
        </w:rPr>
        <w:t xml:space="preserve">than smaller banks. </w:t>
      </w:r>
    </w:p>
    <w:p w14:paraId="29386B19" w14:textId="77777777" w:rsidR="00054D13" w:rsidRPr="008A7487" w:rsidRDefault="00054D13" w:rsidP="002F5E68">
      <w:pPr>
        <w:spacing w:after="0" w:line="480" w:lineRule="auto"/>
        <w:ind w:left="720" w:hanging="720"/>
        <w:jc w:val="both"/>
        <w:rPr>
          <w:rFonts w:ascii="Times New Roman" w:hAnsi="Times New Roman" w:cs="Times New Roman"/>
          <w:i/>
          <w:sz w:val="24"/>
          <w:szCs w:val="24"/>
        </w:rPr>
      </w:pPr>
    </w:p>
    <w:p w14:paraId="1C5DEDC3" w14:textId="7FB17DE1" w:rsidR="002F5E68" w:rsidRPr="008A7487" w:rsidRDefault="00A35031" w:rsidP="002F5E68">
      <w:pPr>
        <w:spacing w:after="0" w:line="480" w:lineRule="auto"/>
        <w:ind w:left="720" w:hanging="720"/>
        <w:jc w:val="both"/>
        <w:rPr>
          <w:rFonts w:ascii="Times New Roman" w:hAnsi="Times New Roman" w:cs="Times New Roman"/>
          <w:i/>
          <w:sz w:val="24"/>
          <w:szCs w:val="24"/>
        </w:rPr>
      </w:pPr>
      <w:r w:rsidRPr="008A7487">
        <w:rPr>
          <w:rFonts w:ascii="Times New Roman" w:hAnsi="Times New Roman" w:cs="Times New Roman"/>
          <w:i/>
          <w:sz w:val="24"/>
          <w:szCs w:val="24"/>
        </w:rPr>
        <w:t>Capital strength</w:t>
      </w:r>
    </w:p>
    <w:p w14:paraId="324FEB56" w14:textId="41AF8855" w:rsidR="00170B26" w:rsidRPr="008A7487" w:rsidRDefault="00170B26" w:rsidP="00170B26">
      <w:pPr>
        <w:spacing w:after="0" w:line="480" w:lineRule="auto"/>
        <w:ind w:firstLine="720"/>
        <w:jc w:val="both"/>
        <w:rPr>
          <w:rFonts w:ascii="Times New Roman" w:hAnsi="Times New Roman" w:cs="Times New Roman"/>
          <w:sz w:val="24"/>
          <w:szCs w:val="24"/>
        </w:rPr>
      </w:pPr>
      <w:r w:rsidRPr="008A7487">
        <w:rPr>
          <w:rFonts w:ascii="Times New Roman" w:hAnsi="Times New Roman" w:cs="Times New Roman"/>
          <w:sz w:val="24"/>
          <w:szCs w:val="24"/>
        </w:rPr>
        <w:t>The capital strength of a bank indicates its capacity to meet deposit demand and sends signals to bank customers about its stability and ability to protect their savings especially during periods of uncertainty such as the financ</w:t>
      </w:r>
      <w:r w:rsidR="001965EC">
        <w:rPr>
          <w:rFonts w:ascii="Times New Roman" w:hAnsi="Times New Roman" w:cs="Times New Roman"/>
          <w:sz w:val="24"/>
          <w:szCs w:val="24"/>
        </w:rPr>
        <w:t>ial crisis (Ghosh</w:t>
      </w:r>
      <w:r w:rsidR="00AC1B76">
        <w:rPr>
          <w:rFonts w:ascii="Times New Roman" w:hAnsi="Times New Roman" w:cs="Times New Roman"/>
          <w:sz w:val="24"/>
          <w:szCs w:val="24"/>
        </w:rPr>
        <w:t>,</w:t>
      </w:r>
      <w:r w:rsidR="001965EC">
        <w:rPr>
          <w:rFonts w:ascii="Times New Roman" w:hAnsi="Times New Roman" w:cs="Times New Roman"/>
          <w:sz w:val="24"/>
          <w:szCs w:val="24"/>
        </w:rPr>
        <w:t xml:space="preserve"> 2016; Berger</w:t>
      </w:r>
      <w:r w:rsidR="00AC1B76">
        <w:rPr>
          <w:rFonts w:ascii="Times New Roman" w:hAnsi="Times New Roman" w:cs="Times New Roman"/>
          <w:sz w:val="24"/>
          <w:szCs w:val="24"/>
        </w:rPr>
        <w:t>,</w:t>
      </w:r>
      <w:r w:rsidRPr="008A7487">
        <w:rPr>
          <w:rFonts w:ascii="Times New Roman" w:hAnsi="Times New Roman" w:cs="Times New Roman"/>
          <w:sz w:val="24"/>
          <w:szCs w:val="24"/>
        </w:rPr>
        <w:t xml:space="preserve"> 1995b). Many existing studies including Bourke (1989), Demirguc-Kunt </w:t>
      </w:r>
      <w:r w:rsidR="00AC1B76">
        <w:rPr>
          <w:rFonts w:ascii="Times New Roman" w:hAnsi="Times New Roman" w:cs="Times New Roman"/>
          <w:sz w:val="24"/>
          <w:szCs w:val="24"/>
        </w:rPr>
        <w:t>&amp;</w:t>
      </w:r>
      <w:r w:rsidRPr="008A7487">
        <w:rPr>
          <w:rFonts w:ascii="Times New Roman" w:hAnsi="Times New Roman" w:cs="Times New Roman"/>
          <w:sz w:val="24"/>
          <w:szCs w:val="24"/>
        </w:rPr>
        <w:t xml:space="preserve"> </w:t>
      </w:r>
      <w:r w:rsidRPr="008A7487">
        <w:rPr>
          <w:rFonts w:ascii="Times New Roman" w:hAnsi="Times New Roman" w:cs="Times New Roman"/>
          <w:sz w:val="24"/>
          <w:szCs w:val="24"/>
        </w:rPr>
        <w:lastRenderedPageBreak/>
        <w:t>Huizinga (1999), and Goddard et al. (2004) report positive relationships between capital strength and banks profitability. A plausible explanation for these findings could be that well capitalized banks are in a better position to exploit market opportunities and enjoy more deposit with the potential for increased interest income and improved earning</w:t>
      </w:r>
      <w:r w:rsidR="00475BFF" w:rsidRPr="008A7487">
        <w:rPr>
          <w:rFonts w:ascii="Times New Roman" w:hAnsi="Times New Roman" w:cs="Times New Roman"/>
          <w:sz w:val="24"/>
          <w:szCs w:val="24"/>
        </w:rPr>
        <w:t>s</w:t>
      </w:r>
      <w:r w:rsidRPr="008A7487">
        <w:rPr>
          <w:rFonts w:ascii="Times New Roman" w:hAnsi="Times New Roman" w:cs="Times New Roman"/>
          <w:sz w:val="24"/>
          <w:szCs w:val="24"/>
        </w:rPr>
        <w:t xml:space="preserve"> diversification.  They can also raise cheaper capital due to their size (Athanasoglou et al.</w:t>
      </w:r>
      <w:r w:rsidR="00AC1B76">
        <w:rPr>
          <w:rFonts w:ascii="Times New Roman" w:hAnsi="Times New Roman" w:cs="Times New Roman"/>
          <w:sz w:val="24"/>
          <w:szCs w:val="24"/>
        </w:rPr>
        <w:t>,</w:t>
      </w:r>
      <w:r w:rsidRPr="008A7487">
        <w:rPr>
          <w:rFonts w:ascii="Times New Roman" w:hAnsi="Times New Roman" w:cs="Times New Roman"/>
          <w:sz w:val="24"/>
          <w:szCs w:val="24"/>
        </w:rPr>
        <w:t xml:space="preserve"> 2008), and according to Aebi et al.</w:t>
      </w:r>
      <w:r w:rsidR="003449BB">
        <w:rPr>
          <w:rFonts w:ascii="Times New Roman" w:hAnsi="Times New Roman" w:cs="Times New Roman"/>
          <w:sz w:val="24"/>
          <w:szCs w:val="24"/>
        </w:rPr>
        <w:t xml:space="preserve"> (2012</w:t>
      </w:r>
      <w:r w:rsidR="00E33169" w:rsidRPr="008A7487">
        <w:rPr>
          <w:rFonts w:ascii="Times New Roman" w:hAnsi="Times New Roman" w:cs="Times New Roman"/>
          <w:sz w:val="24"/>
          <w:szCs w:val="24"/>
        </w:rPr>
        <w:t>:3218</w:t>
      </w:r>
      <w:r w:rsidRPr="008A7487">
        <w:rPr>
          <w:rFonts w:ascii="Times New Roman" w:hAnsi="Times New Roman" w:cs="Times New Roman"/>
          <w:sz w:val="24"/>
          <w:szCs w:val="24"/>
        </w:rPr>
        <w:t>)’</w:t>
      </w:r>
      <w:r w:rsidR="000E08FA" w:rsidRPr="008A7487">
        <w:rPr>
          <w:rFonts w:ascii="Times New Roman" w:hAnsi="Times New Roman" w:cs="Times New Roman"/>
          <w:sz w:val="24"/>
          <w:szCs w:val="24"/>
        </w:rPr>
        <w:t>…. a</w:t>
      </w:r>
      <w:r w:rsidRPr="008A7487">
        <w:rPr>
          <w:rFonts w:ascii="Times New Roman" w:hAnsi="Times New Roman" w:cs="Times New Roman"/>
          <w:sz w:val="24"/>
          <w:szCs w:val="24"/>
        </w:rPr>
        <w:t xml:space="preserve"> bank with more capital would suffer less from t</w:t>
      </w:r>
      <w:r w:rsidR="001965EC">
        <w:rPr>
          <w:rFonts w:ascii="Times New Roman" w:hAnsi="Times New Roman" w:cs="Times New Roman"/>
          <w:sz w:val="24"/>
          <w:szCs w:val="24"/>
        </w:rPr>
        <w:t>he debt overhang problem (Myers</w:t>
      </w:r>
      <w:r w:rsidR="00AC1B76">
        <w:rPr>
          <w:rFonts w:ascii="Times New Roman" w:hAnsi="Times New Roman" w:cs="Times New Roman"/>
          <w:sz w:val="24"/>
          <w:szCs w:val="24"/>
        </w:rPr>
        <w:t>,</w:t>
      </w:r>
      <w:r w:rsidRPr="008A7487">
        <w:rPr>
          <w:rFonts w:ascii="Times New Roman" w:hAnsi="Times New Roman" w:cs="Times New Roman"/>
          <w:sz w:val="24"/>
          <w:szCs w:val="24"/>
        </w:rPr>
        <w:t xml:space="preserve"> 1977) and would have more </w:t>
      </w:r>
      <w:r w:rsidRPr="008A7487">
        <w:rPr>
          <w:rFonts w:ascii="Times New Roman" w:hAnsi="Times New Roman" w:cs="Times New Roman"/>
          <w:sz w:val="24"/>
          <w:szCs w:val="24"/>
        </w:rPr>
        <w:lastRenderedPageBreak/>
        <w:t xml:space="preserve">flexibility to respond to adverse shocks.’  However, Ahokpossi (2013:8) argued that “well-capitalized banks face lower costs of borrowing and low risk of bankruptcy” suggesting that these factors may make then charge lower margin implying lower profitability. </w:t>
      </w:r>
    </w:p>
    <w:p w14:paraId="647A82F8" w14:textId="59DCDC9C" w:rsidR="00B43A91" w:rsidRPr="008A7487" w:rsidRDefault="00170B26" w:rsidP="00170B26">
      <w:pPr>
        <w:spacing w:after="0" w:line="480" w:lineRule="auto"/>
        <w:ind w:firstLine="720"/>
        <w:jc w:val="both"/>
        <w:rPr>
          <w:rFonts w:ascii="Times New Roman" w:hAnsi="Times New Roman" w:cs="Times New Roman"/>
          <w:sz w:val="24"/>
          <w:szCs w:val="24"/>
        </w:rPr>
      </w:pPr>
      <w:r w:rsidRPr="008A7487">
        <w:rPr>
          <w:rFonts w:ascii="Times New Roman" w:hAnsi="Times New Roman" w:cs="Times New Roman"/>
          <w:sz w:val="24"/>
          <w:szCs w:val="24"/>
        </w:rPr>
        <w:t>Increased bank capitalization is a recurring theme in many African financial markets with the primary aim of enhancing bank resilience (Tahir et al.</w:t>
      </w:r>
      <w:r w:rsidR="00AC1B76">
        <w:rPr>
          <w:rFonts w:ascii="Times New Roman" w:hAnsi="Times New Roman" w:cs="Times New Roman"/>
          <w:sz w:val="24"/>
          <w:szCs w:val="24"/>
        </w:rPr>
        <w:t>,</w:t>
      </w:r>
      <w:r w:rsidRPr="008A7487">
        <w:rPr>
          <w:rFonts w:ascii="Times New Roman" w:hAnsi="Times New Roman" w:cs="Times New Roman"/>
          <w:sz w:val="24"/>
          <w:szCs w:val="24"/>
        </w:rPr>
        <w:t xml:space="preserve"> 2016). The regulatory requirement to increase bank capital base could have impact on banks’ profitability (Ahokpossi</w:t>
      </w:r>
      <w:r w:rsidR="00AC1B76">
        <w:rPr>
          <w:rFonts w:ascii="Times New Roman" w:hAnsi="Times New Roman" w:cs="Times New Roman"/>
          <w:sz w:val="24"/>
          <w:szCs w:val="24"/>
        </w:rPr>
        <w:t>,</w:t>
      </w:r>
      <w:r w:rsidRPr="008A7487">
        <w:rPr>
          <w:rFonts w:ascii="Times New Roman" w:hAnsi="Times New Roman" w:cs="Times New Roman"/>
          <w:sz w:val="24"/>
          <w:szCs w:val="24"/>
        </w:rPr>
        <w:t xml:space="preserve"> 2013). </w:t>
      </w:r>
      <w:r w:rsidRPr="008A7487">
        <w:rPr>
          <w:rFonts w:ascii="Times New Roman" w:hAnsi="Times New Roman" w:cs="Times New Roman"/>
          <w:sz w:val="24"/>
          <w:szCs w:val="24"/>
        </w:rPr>
        <w:lastRenderedPageBreak/>
        <w:t>Ghosh (2016:377) suggested that “if higher capital represents a regulatory cost on banks, then we would expect a positive relationship to the extent that such costs are partly passed on to customers”. In other words, the impact of regulation induced bank capital depends on banks’ ability to pass on such increase to their customers. Ghosh’s (2016) argument is particularly relevant in the African banking sector where banks have been regularly required to increase their capital (Tahir et al.</w:t>
      </w:r>
      <w:r w:rsidR="00AC1B76">
        <w:rPr>
          <w:rFonts w:ascii="Times New Roman" w:hAnsi="Times New Roman" w:cs="Times New Roman"/>
          <w:sz w:val="24"/>
          <w:szCs w:val="24"/>
        </w:rPr>
        <w:t>,</w:t>
      </w:r>
      <w:r w:rsidRPr="008A7487">
        <w:rPr>
          <w:rFonts w:ascii="Times New Roman" w:hAnsi="Times New Roman" w:cs="Times New Roman"/>
          <w:sz w:val="24"/>
          <w:szCs w:val="24"/>
        </w:rPr>
        <w:t xml:space="preserve"> 2016). Both Ahokpossi (2013) and Flamini et al. (2009) report posi</w:t>
      </w:r>
      <w:r w:rsidRPr="008A7487">
        <w:rPr>
          <w:rFonts w:ascii="Times New Roman" w:hAnsi="Times New Roman" w:cs="Times New Roman"/>
          <w:sz w:val="24"/>
          <w:szCs w:val="24"/>
        </w:rPr>
        <w:lastRenderedPageBreak/>
        <w:t>tive relationship between capital strength and profitability in their studies on banks in sub-Saharan Africa suggesting the p</w:t>
      </w:r>
      <w:r w:rsidR="003449BB">
        <w:rPr>
          <w:rFonts w:ascii="Times New Roman" w:hAnsi="Times New Roman" w:cs="Times New Roman"/>
          <w:sz w:val="24"/>
          <w:szCs w:val="24"/>
        </w:rPr>
        <w:t>ossibility that banks in Africa</w:t>
      </w:r>
      <w:r w:rsidRPr="008A7487">
        <w:rPr>
          <w:rFonts w:ascii="Times New Roman" w:hAnsi="Times New Roman" w:cs="Times New Roman"/>
          <w:sz w:val="24"/>
          <w:szCs w:val="24"/>
        </w:rPr>
        <w:t xml:space="preserve"> can pass on the cost of regulation induced capital based to their customers. However, they did not explore this issue during the financial crisis period. </w:t>
      </w:r>
    </w:p>
    <w:p w14:paraId="226B891B" w14:textId="768BC8E2" w:rsidR="00226D45" w:rsidRPr="008A7487" w:rsidRDefault="006E64E4" w:rsidP="00170B26">
      <w:pPr>
        <w:spacing w:after="0" w:line="480" w:lineRule="auto"/>
        <w:ind w:firstLine="720"/>
        <w:jc w:val="both"/>
        <w:rPr>
          <w:rFonts w:ascii="Times New Roman" w:hAnsi="Times New Roman" w:cs="Times New Roman"/>
          <w:sz w:val="24"/>
          <w:szCs w:val="24"/>
        </w:rPr>
      </w:pPr>
      <w:r w:rsidRPr="008A7487">
        <w:rPr>
          <w:rFonts w:ascii="Times New Roman" w:hAnsi="Times New Roman" w:cs="Times New Roman"/>
          <w:sz w:val="24"/>
          <w:szCs w:val="24"/>
        </w:rPr>
        <w:t>The effect</w:t>
      </w:r>
      <w:r w:rsidR="007A4DE3" w:rsidRPr="008A7487">
        <w:rPr>
          <w:rFonts w:ascii="Times New Roman" w:hAnsi="Times New Roman" w:cs="Times New Roman"/>
          <w:sz w:val="24"/>
          <w:szCs w:val="24"/>
        </w:rPr>
        <w:t>s</w:t>
      </w:r>
      <w:r w:rsidRPr="008A7487">
        <w:rPr>
          <w:rFonts w:ascii="Times New Roman" w:hAnsi="Times New Roman" w:cs="Times New Roman"/>
          <w:sz w:val="24"/>
          <w:szCs w:val="24"/>
        </w:rPr>
        <w:t xml:space="preserve"> of the financial crisis on the relationship between banks capital strength and profitability</w:t>
      </w:r>
      <w:r w:rsidR="007A4DE3" w:rsidRPr="008A7487">
        <w:rPr>
          <w:rFonts w:ascii="Times New Roman" w:hAnsi="Times New Roman" w:cs="Times New Roman"/>
          <w:sz w:val="24"/>
          <w:szCs w:val="24"/>
        </w:rPr>
        <w:t xml:space="preserve"> seem </w:t>
      </w:r>
      <w:r w:rsidRPr="008A7487">
        <w:rPr>
          <w:rFonts w:ascii="Times New Roman" w:hAnsi="Times New Roman" w:cs="Times New Roman"/>
          <w:sz w:val="24"/>
          <w:szCs w:val="24"/>
        </w:rPr>
        <w:t>ambiguous.</w:t>
      </w:r>
      <w:r w:rsidRPr="008A7487">
        <w:rPr>
          <w:rFonts w:ascii="Times New Roman" w:hAnsi="Times New Roman" w:cs="Times New Roman"/>
          <w:b/>
          <w:sz w:val="24"/>
          <w:szCs w:val="24"/>
        </w:rPr>
        <w:t xml:space="preserve"> </w:t>
      </w:r>
      <w:r w:rsidRPr="008A7487">
        <w:rPr>
          <w:rFonts w:ascii="Times New Roman" w:hAnsi="Times New Roman" w:cs="Times New Roman"/>
          <w:sz w:val="24"/>
          <w:szCs w:val="24"/>
        </w:rPr>
        <w:t>Although well</w:t>
      </w:r>
      <w:r w:rsidR="003C0AB4">
        <w:rPr>
          <w:rFonts w:ascii="Times New Roman" w:hAnsi="Times New Roman" w:cs="Times New Roman"/>
          <w:sz w:val="24"/>
          <w:szCs w:val="24"/>
        </w:rPr>
        <w:t>-</w:t>
      </w:r>
      <w:r w:rsidRPr="008A7487">
        <w:rPr>
          <w:rFonts w:ascii="Times New Roman" w:hAnsi="Times New Roman" w:cs="Times New Roman"/>
          <w:sz w:val="24"/>
          <w:szCs w:val="24"/>
        </w:rPr>
        <w:t xml:space="preserve">capitalized banks may signal confidence and stability to their customers, additional capital </w:t>
      </w:r>
      <w:r w:rsidR="00B43A91" w:rsidRPr="008A7487">
        <w:rPr>
          <w:rFonts w:ascii="Times New Roman" w:hAnsi="Times New Roman" w:cs="Times New Roman"/>
          <w:sz w:val="24"/>
          <w:szCs w:val="24"/>
        </w:rPr>
        <w:t xml:space="preserve">requirement during crisis </w:t>
      </w:r>
      <w:r w:rsidRPr="008A7487">
        <w:rPr>
          <w:rFonts w:ascii="Times New Roman" w:hAnsi="Times New Roman" w:cs="Times New Roman"/>
          <w:sz w:val="24"/>
          <w:szCs w:val="24"/>
        </w:rPr>
        <w:t xml:space="preserve">may be at higher cost </w:t>
      </w:r>
      <w:r w:rsidRPr="008A7487">
        <w:rPr>
          <w:rFonts w:ascii="Times New Roman" w:hAnsi="Times New Roman" w:cs="Times New Roman"/>
          <w:sz w:val="24"/>
          <w:szCs w:val="24"/>
        </w:rPr>
        <w:lastRenderedPageBreak/>
        <w:t>and with adverse effects on</w:t>
      </w:r>
      <w:r w:rsidR="00B43A91" w:rsidRPr="008A7487">
        <w:rPr>
          <w:rFonts w:ascii="Times New Roman" w:hAnsi="Times New Roman" w:cs="Times New Roman"/>
          <w:sz w:val="24"/>
          <w:szCs w:val="24"/>
        </w:rPr>
        <w:t xml:space="preserve"> bank</w:t>
      </w:r>
      <w:r w:rsidRPr="008A7487">
        <w:rPr>
          <w:rFonts w:ascii="Times New Roman" w:hAnsi="Times New Roman" w:cs="Times New Roman"/>
          <w:sz w:val="24"/>
          <w:szCs w:val="24"/>
        </w:rPr>
        <w:t xml:space="preserve"> profitability. </w:t>
      </w:r>
      <w:r w:rsidR="00B43A91" w:rsidRPr="008A7487">
        <w:rPr>
          <w:rFonts w:ascii="Times New Roman" w:hAnsi="Times New Roman" w:cs="Times New Roman"/>
          <w:sz w:val="24"/>
          <w:szCs w:val="24"/>
        </w:rPr>
        <w:t xml:space="preserve">Furthermore, the macro-prudential regulatory </w:t>
      </w:r>
      <w:r w:rsidR="007A4DE3" w:rsidRPr="008A7487">
        <w:rPr>
          <w:rFonts w:ascii="Times New Roman" w:hAnsi="Times New Roman" w:cs="Times New Roman"/>
          <w:sz w:val="24"/>
          <w:szCs w:val="24"/>
        </w:rPr>
        <w:t>framework initiated during the crisis is</w:t>
      </w:r>
      <w:r w:rsidR="00B43A91" w:rsidRPr="008A7487">
        <w:rPr>
          <w:rFonts w:ascii="Times New Roman" w:hAnsi="Times New Roman" w:cs="Times New Roman"/>
          <w:sz w:val="24"/>
          <w:szCs w:val="24"/>
        </w:rPr>
        <w:t xml:space="preserve"> likely to continue</w:t>
      </w:r>
      <w:r w:rsidR="005E6C10" w:rsidRPr="008A7487">
        <w:rPr>
          <w:rFonts w:ascii="Times New Roman" w:hAnsi="Times New Roman" w:cs="Times New Roman"/>
          <w:sz w:val="24"/>
          <w:szCs w:val="24"/>
        </w:rPr>
        <w:t xml:space="preserve"> well</w:t>
      </w:r>
      <w:r w:rsidR="00B43A91" w:rsidRPr="008A7487">
        <w:rPr>
          <w:rFonts w:ascii="Times New Roman" w:hAnsi="Times New Roman" w:cs="Times New Roman"/>
          <w:sz w:val="24"/>
          <w:szCs w:val="24"/>
        </w:rPr>
        <w:t xml:space="preserve"> after the crisis. The implications of these being that whilst the </w:t>
      </w:r>
      <w:r w:rsidR="00CE3DBA" w:rsidRPr="008A7487">
        <w:rPr>
          <w:rFonts w:ascii="Times New Roman" w:hAnsi="Times New Roman" w:cs="Times New Roman"/>
          <w:sz w:val="24"/>
          <w:szCs w:val="24"/>
        </w:rPr>
        <w:t>findings</w:t>
      </w:r>
      <w:r w:rsidR="00B43A91" w:rsidRPr="008A7487">
        <w:rPr>
          <w:rFonts w:ascii="Times New Roman" w:hAnsi="Times New Roman" w:cs="Times New Roman"/>
          <w:sz w:val="24"/>
          <w:szCs w:val="24"/>
        </w:rPr>
        <w:t xml:space="preserve"> on the relationship between capital </w:t>
      </w:r>
      <w:r w:rsidR="007E277E" w:rsidRPr="008A7487">
        <w:rPr>
          <w:rFonts w:ascii="Times New Roman" w:hAnsi="Times New Roman" w:cs="Times New Roman"/>
          <w:sz w:val="24"/>
          <w:szCs w:val="24"/>
        </w:rPr>
        <w:t xml:space="preserve">strength </w:t>
      </w:r>
      <w:r w:rsidR="00B43A91" w:rsidRPr="008A7487">
        <w:rPr>
          <w:rFonts w:ascii="Times New Roman" w:hAnsi="Times New Roman" w:cs="Times New Roman"/>
          <w:sz w:val="24"/>
          <w:szCs w:val="24"/>
        </w:rPr>
        <w:t>and bank profitability</w:t>
      </w:r>
      <w:r w:rsidR="005B702A" w:rsidRPr="008A7487">
        <w:rPr>
          <w:rFonts w:ascii="Times New Roman" w:hAnsi="Times New Roman" w:cs="Times New Roman"/>
          <w:sz w:val="24"/>
          <w:szCs w:val="24"/>
        </w:rPr>
        <w:t xml:space="preserve"> </w:t>
      </w:r>
      <w:r w:rsidR="00CE3DBA" w:rsidRPr="008A7487">
        <w:rPr>
          <w:rFonts w:ascii="Times New Roman" w:hAnsi="Times New Roman" w:cs="Times New Roman"/>
          <w:sz w:val="24"/>
          <w:szCs w:val="24"/>
        </w:rPr>
        <w:t xml:space="preserve">before the </w:t>
      </w:r>
      <w:r w:rsidR="007E277E" w:rsidRPr="008A7487">
        <w:rPr>
          <w:rFonts w:ascii="Times New Roman" w:hAnsi="Times New Roman" w:cs="Times New Roman"/>
          <w:sz w:val="24"/>
          <w:szCs w:val="24"/>
        </w:rPr>
        <w:t xml:space="preserve">financial </w:t>
      </w:r>
      <w:r w:rsidR="00CE3DBA" w:rsidRPr="008A7487">
        <w:rPr>
          <w:rFonts w:ascii="Times New Roman" w:hAnsi="Times New Roman" w:cs="Times New Roman"/>
          <w:sz w:val="24"/>
          <w:szCs w:val="24"/>
        </w:rPr>
        <w:t>crisis is mixed</w:t>
      </w:r>
      <w:r w:rsidR="005B702A" w:rsidRPr="008A7487">
        <w:rPr>
          <w:rFonts w:ascii="Times New Roman" w:hAnsi="Times New Roman" w:cs="Times New Roman"/>
          <w:sz w:val="24"/>
          <w:szCs w:val="24"/>
        </w:rPr>
        <w:t xml:space="preserve">, the </w:t>
      </w:r>
      <w:r w:rsidR="00B43A91" w:rsidRPr="008A7487">
        <w:rPr>
          <w:rFonts w:ascii="Times New Roman" w:hAnsi="Times New Roman" w:cs="Times New Roman"/>
          <w:sz w:val="24"/>
          <w:szCs w:val="24"/>
        </w:rPr>
        <w:t>relationship</w:t>
      </w:r>
      <w:r w:rsidR="001B1C7C" w:rsidRPr="008A7487">
        <w:rPr>
          <w:rFonts w:ascii="Times New Roman" w:hAnsi="Times New Roman" w:cs="Times New Roman"/>
          <w:sz w:val="24"/>
          <w:szCs w:val="24"/>
        </w:rPr>
        <w:t>s</w:t>
      </w:r>
      <w:r w:rsidR="005B702A" w:rsidRPr="008A7487">
        <w:rPr>
          <w:rFonts w:ascii="Times New Roman" w:hAnsi="Times New Roman" w:cs="Times New Roman"/>
          <w:sz w:val="24"/>
          <w:szCs w:val="24"/>
        </w:rPr>
        <w:t xml:space="preserve"> between these variables during and after the financial crisis are profoundly uncertain. </w:t>
      </w:r>
    </w:p>
    <w:p w14:paraId="35036FA2" w14:textId="6D41DE40" w:rsidR="00054D13" w:rsidRPr="008A7487" w:rsidRDefault="00226D45" w:rsidP="00054D13">
      <w:pPr>
        <w:spacing w:after="0" w:line="480" w:lineRule="auto"/>
        <w:ind w:firstLine="720"/>
        <w:contextualSpacing/>
        <w:jc w:val="both"/>
        <w:rPr>
          <w:rFonts w:ascii="Times New Roman" w:hAnsi="Times New Roman" w:cs="Times New Roman"/>
          <w:b/>
          <w:sz w:val="24"/>
          <w:szCs w:val="24"/>
        </w:rPr>
      </w:pPr>
      <w:r w:rsidRPr="008A7487">
        <w:rPr>
          <w:rFonts w:ascii="Times New Roman" w:hAnsi="Times New Roman" w:cs="Times New Roman"/>
          <w:sz w:val="24"/>
          <w:szCs w:val="24"/>
        </w:rPr>
        <w:t xml:space="preserve">Based on the arguments above, this study anticipates that irrespective of the additional costs that banks may incur in meeting the capital adequacy regulations during </w:t>
      </w:r>
      <w:r w:rsidRPr="008A7487">
        <w:rPr>
          <w:rFonts w:ascii="Times New Roman" w:hAnsi="Times New Roman" w:cs="Times New Roman"/>
          <w:sz w:val="24"/>
          <w:szCs w:val="24"/>
        </w:rPr>
        <w:lastRenderedPageBreak/>
        <w:t>and after the crisis, well</w:t>
      </w:r>
      <w:r w:rsidR="003C0AB4">
        <w:rPr>
          <w:rFonts w:ascii="Times New Roman" w:hAnsi="Times New Roman" w:cs="Times New Roman"/>
          <w:sz w:val="24"/>
          <w:szCs w:val="24"/>
        </w:rPr>
        <w:t>-</w:t>
      </w:r>
      <w:r w:rsidRPr="008A7487">
        <w:rPr>
          <w:rFonts w:ascii="Times New Roman" w:hAnsi="Times New Roman" w:cs="Times New Roman"/>
          <w:sz w:val="24"/>
          <w:szCs w:val="24"/>
        </w:rPr>
        <w:t xml:space="preserve">capitalized banks are likely to be more profitable than less capitalized banks before, during and after the financial crisis. </w:t>
      </w:r>
    </w:p>
    <w:p w14:paraId="7F918BDF" w14:textId="747153E1" w:rsidR="007A4DE3" w:rsidRPr="008A7487" w:rsidRDefault="007A4DE3" w:rsidP="00054D13">
      <w:pPr>
        <w:spacing w:after="0" w:line="480" w:lineRule="auto"/>
        <w:ind w:firstLine="720"/>
        <w:jc w:val="both"/>
        <w:rPr>
          <w:rFonts w:ascii="Times New Roman" w:hAnsi="Times New Roman" w:cs="Times New Roman"/>
          <w:sz w:val="24"/>
          <w:szCs w:val="24"/>
        </w:rPr>
      </w:pPr>
    </w:p>
    <w:p w14:paraId="216C3332" w14:textId="20CBD5AE" w:rsidR="007E277E" w:rsidRPr="008A7487" w:rsidRDefault="007E277E" w:rsidP="007E277E">
      <w:pPr>
        <w:spacing w:after="0" w:line="480" w:lineRule="auto"/>
        <w:jc w:val="both"/>
        <w:rPr>
          <w:rFonts w:ascii="Times New Roman" w:hAnsi="Times New Roman" w:cs="Times New Roman"/>
          <w:i/>
          <w:sz w:val="24"/>
          <w:szCs w:val="24"/>
        </w:rPr>
      </w:pPr>
      <w:r w:rsidRPr="008A7487">
        <w:rPr>
          <w:rFonts w:ascii="Times New Roman" w:hAnsi="Times New Roman" w:cs="Times New Roman"/>
          <w:i/>
          <w:sz w:val="24"/>
          <w:szCs w:val="24"/>
        </w:rPr>
        <w:t>Credit risk</w:t>
      </w:r>
    </w:p>
    <w:p w14:paraId="2E1BDA17" w14:textId="7E487E8C" w:rsidR="00170B26" w:rsidRPr="008A7487" w:rsidRDefault="00170B26" w:rsidP="00170B26">
      <w:pPr>
        <w:spacing w:after="0" w:line="480" w:lineRule="auto"/>
        <w:ind w:firstLine="720"/>
        <w:jc w:val="both"/>
        <w:rPr>
          <w:rFonts w:ascii="Times New Roman" w:hAnsi="Times New Roman" w:cs="Times New Roman"/>
          <w:sz w:val="24"/>
          <w:szCs w:val="24"/>
        </w:rPr>
      </w:pPr>
      <w:r w:rsidRPr="008A7487">
        <w:rPr>
          <w:rFonts w:ascii="Times New Roman" w:hAnsi="Times New Roman" w:cs="Times New Roman"/>
          <w:sz w:val="24"/>
          <w:szCs w:val="24"/>
        </w:rPr>
        <w:t>Banks encounter credit risk</w:t>
      </w:r>
      <w:r w:rsidR="007E277E" w:rsidRPr="008A7487">
        <w:rPr>
          <w:rFonts w:ascii="Times New Roman" w:hAnsi="Times New Roman" w:cs="Times New Roman"/>
          <w:sz w:val="24"/>
          <w:szCs w:val="24"/>
        </w:rPr>
        <w:t>s in two main ways:</w:t>
      </w:r>
      <w:r w:rsidRPr="008A7487">
        <w:rPr>
          <w:rFonts w:ascii="Times New Roman" w:hAnsi="Times New Roman" w:cs="Times New Roman"/>
          <w:sz w:val="24"/>
          <w:szCs w:val="24"/>
        </w:rPr>
        <w:t xml:space="preserve"> 1) when they experience significant default rates on loans (bad debts) and 2) when they are unable to meet the cash requirement of depositors due to inadequate reserves or inability to raise short-term funding (insolvency). Previ</w:t>
      </w:r>
      <w:r w:rsidRPr="008A7487">
        <w:rPr>
          <w:rFonts w:ascii="Times New Roman" w:hAnsi="Times New Roman" w:cs="Times New Roman"/>
          <w:sz w:val="24"/>
          <w:szCs w:val="24"/>
        </w:rPr>
        <w:lastRenderedPageBreak/>
        <w:t xml:space="preserve">ous studies report mixed findings on the relationship between credit risk and bank profitability. Studies </w:t>
      </w:r>
      <w:r w:rsidR="001965EC">
        <w:rPr>
          <w:rFonts w:ascii="Times New Roman" w:hAnsi="Times New Roman" w:cs="Times New Roman"/>
          <w:sz w:val="24"/>
          <w:szCs w:val="24"/>
        </w:rPr>
        <w:t>(</w:t>
      </w:r>
      <w:r w:rsidR="00EB638C">
        <w:rPr>
          <w:rFonts w:ascii="Times New Roman" w:hAnsi="Times New Roman" w:cs="Times New Roman"/>
          <w:sz w:val="24"/>
          <w:szCs w:val="24"/>
        </w:rPr>
        <w:t>Ahokpossi,</w:t>
      </w:r>
      <w:r w:rsidR="00EB638C" w:rsidRPr="008A7487">
        <w:rPr>
          <w:rFonts w:ascii="Times New Roman" w:hAnsi="Times New Roman" w:cs="Times New Roman"/>
          <w:sz w:val="24"/>
          <w:szCs w:val="24"/>
        </w:rPr>
        <w:t xml:space="preserve"> 2013</w:t>
      </w:r>
      <w:r w:rsidR="00EB638C">
        <w:rPr>
          <w:rFonts w:ascii="Times New Roman" w:hAnsi="Times New Roman" w:cs="Times New Roman"/>
          <w:sz w:val="24"/>
          <w:szCs w:val="24"/>
        </w:rPr>
        <w:t xml:space="preserve">; </w:t>
      </w:r>
      <w:r w:rsidR="001965EC">
        <w:rPr>
          <w:rFonts w:ascii="Times New Roman" w:hAnsi="Times New Roman" w:cs="Times New Roman"/>
          <w:sz w:val="24"/>
          <w:szCs w:val="24"/>
        </w:rPr>
        <w:t>Flamini et al.</w:t>
      </w:r>
      <w:r w:rsidR="00AC1B76">
        <w:rPr>
          <w:rFonts w:ascii="Times New Roman" w:hAnsi="Times New Roman" w:cs="Times New Roman"/>
          <w:sz w:val="24"/>
          <w:szCs w:val="24"/>
        </w:rPr>
        <w:t>,</w:t>
      </w:r>
      <w:r w:rsidR="00EB638C">
        <w:rPr>
          <w:rFonts w:ascii="Times New Roman" w:hAnsi="Times New Roman" w:cs="Times New Roman"/>
          <w:sz w:val="24"/>
          <w:szCs w:val="24"/>
        </w:rPr>
        <w:t xml:space="preserve"> 2009</w:t>
      </w:r>
      <w:r w:rsidRPr="008A7487">
        <w:rPr>
          <w:rFonts w:ascii="Times New Roman" w:hAnsi="Times New Roman" w:cs="Times New Roman"/>
          <w:sz w:val="24"/>
          <w:szCs w:val="24"/>
        </w:rPr>
        <w:t>) reporting positive relationship argue that it reflects the simple log</w:t>
      </w:r>
      <w:r w:rsidR="003449BB">
        <w:rPr>
          <w:rFonts w:ascii="Times New Roman" w:hAnsi="Times New Roman" w:cs="Times New Roman"/>
          <w:sz w:val="24"/>
          <w:szCs w:val="24"/>
        </w:rPr>
        <w:t>ic of higher risk-</w:t>
      </w:r>
      <w:r w:rsidRPr="008A7487">
        <w:rPr>
          <w:rFonts w:ascii="Times New Roman" w:hAnsi="Times New Roman" w:cs="Times New Roman"/>
          <w:sz w:val="24"/>
          <w:szCs w:val="24"/>
        </w:rPr>
        <w:t xml:space="preserve">higher return. Thus, banks adjust their charges to reflect the calculated risk they are exposed to. Consequently, they demand higher collaterals and charge higher interest rates for </w:t>
      </w:r>
      <w:r w:rsidR="008273FE" w:rsidRPr="008A7487">
        <w:rPr>
          <w:rFonts w:ascii="Times New Roman" w:hAnsi="Times New Roman" w:cs="Times New Roman"/>
          <w:sz w:val="24"/>
          <w:szCs w:val="24"/>
        </w:rPr>
        <w:t>high-risk</w:t>
      </w:r>
      <w:r w:rsidRPr="008A7487">
        <w:rPr>
          <w:rFonts w:ascii="Times New Roman" w:hAnsi="Times New Roman" w:cs="Times New Roman"/>
          <w:sz w:val="24"/>
          <w:szCs w:val="24"/>
        </w:rPr>
        <w:t xml:space="preserve"> transactions, and in context with high information asymmetry. </w:t>
      </w:r>
    </w:p>
    <w:p w14:paraId="60780AA0" w14:textId="62800FB1" w:rsidR="00EB17E2" w:rsidRPr="008A7487" w:rsidRDefault="00170B26" w:rsidP="00054D13">
      <w:pPr>
        <w:spacing w:after="0" w:line="480" w:lineRule="auto"/>
        <w:ind w:firstLine="720"/>
        <w:jc w:val="both"/>
        <w:rPr>
          <w:rFonts w:ascii="Times New Roman" w:hAnsi="Times New Roman" w:cs="Times New Roman"/>
          <w:sz w:val="24"/>
          <w:szCs w:val="24"/>
        </w:rPr>
      </w:pPr>
      <w:r w:rsidRPr="008A7487">
        <w:rPr>
          <w:rFonts w:ascii="Times New Roman" w:hAnsi="Times New Roman" w:cs="Times New Roman"/>
          <w:sz w:val="24"/>
          <w:szCs w:val="24"/>
        </w:rPr>
        <w:t>However, Bourke (1989), Molyneux</w:t>
      </w:r>
      <w:r w:rsidR="00AC1B76">
        <w:rPr>
          <w:rFonts w:ascii="Times New Roman" w:hAnsi="Times New Roman" w:cs="Times New Roman"/>
          <w:sz w:val="24"/>
          <w:szCs w:val="24"/>
        </w:rPr>
        <w:t xml:space="preserve"> &amp;</w:t>
      </w:r>
      <w:r w:rsidRPr="008A7487">
        <w:rPr>
          <w:rFonts w:ascii="Times New Roman" w:hAnsi="Times New Roman" w:cs="Times New Roman"/>
          <w:sz w:val="24"/>
          <w:szCs w:val="24"/>
        </w:rPr>
        <w:t xml:space="preserve"> Thornton (1992) </w:t>
      </w:r>
      <w:r w:rsidR="003449BB">
        <w:rPr>
          <w:rFonts w:ascii="Times New Roman" w:hAnsi="Times New Roman" w:cs="Times New Roman"/>
          <w:sz w:val="24"/>
          <w:szCs w:val="24"/>
        </w:rPr>
        <w:t xml:space="preserve">and </w:t>
      </w:r>
      <w:r w:rsidRPr="008A7487">
        <w:rPr>
          <w:rFonts w:ascii="Times New Roman" w:hAnsi="Times New Roman" w:cs="Times New Roman"/>
          <w:sz w:val="24"/>
          <w:szCs w:val="24"/>
        </w:rPr>
        <w:t xml:space="preserve">Athanasoglou et al. (2008) conclude that </w:t>
      </w:r>
      <w:r w:rsidRPr="008A7487">
        <w:rPr>
          <w:rFonts w:ascii="Times New Roman" w:hAnsi="Times New Roman" w:cs="Times New Roman"/>
          <w:sz w:val="24"/>
          <w:szCs w:val="24"/>
        </w:rPr>
        <w:lastRenderedPageBreak/>
        <w:t>credit risk has a significant negative effect on banks profitability. A plausible explanation for this finding could be that hi</w:t>
      </w:r>
      <w:r w:rsidR="003449BB">
        <w:rPr>
          <w:rFonts w:ascii="Times New Roman" w:hAnsi="Times New Roman" w:cs="Times New Roman"/>
          <w:sz w:val="24"/>
          <w:szCs w:val="24"/>
        </w:rPr>
        <w:t>gh credit risk potentially implies</w:t>
      </w:r>
      <w:r w:rsidRPr="008A7487">
        <w:rPr>
          <w:rFonts w:ascii="Times New Roman" w:hAnsi="Times New Roman" w:cs="Times New Roman"/>
          <w:sz w:val="24"/>
          <w:szCs w:val="24"/>
        </w:rPr>
        <w:t xml:space="preserve"> high bad debt which effectively means less interest income for banks, in addition to the increased cost of credit control. The rate of default is likely to be higher during the</w:t>
      </w:r>
      <w:r w:rsidR="006E157F" w:rsidRPr="008A7487">
        <w:rPr>
          <w:rFonts w:ascii="Times New Roman" w:hAnsi="Times New Roman" w:cs="Times New Roman"/>
          <w:sz w:val="24"/>
          <w:szCs w:val="24"/>
        </w:rPr>
        <w:t xml:space="preserve"> crisis</w:t>
      </w:r>
      <w:r w:rsidRPr="008A7487">
        <w:rPr>
          <w:rFonts w:ascii="Times New Roman" w:hAnsi="Times New Roman" w:cs="Times New Roman"/>
          <w:sz w:val="24"/>
          <w:szCs w:val="24"/>
        </w:rPr>
        <w:t xml:space="preserve"> </w:t>
      </w:r>
      <w:r w:rsidR="006E157F" w:rsidRPr="008A7487">
        <w:rPr>
          <w:rFonts w:ascii="Times New Roman" w:hAnsi="Times New Roman" w:cs="Times New Roman"/>
          <w:sz w:val="24"/>
          <w:szCs w:val="24"/>
        </w:rPr>
        <w:t xml:space="preserve">thus </w:t>
      </w:r>
      <w:r w:rsidRPr="008A7487">
        <w:rPr>
          <w:rFonts w:ascii="Times New Roman" w:hAnsi="Times New Roman" w:cs="Times New Roman"/>
          <w:sz w:val="24"/>
          <w:szCs w:val="24"/>
        </w:rPr>
        <w:t>aggravating banking risks (Didier et al.</w:t>
      </w:r>
      <w:r w:rsidR="00AC1B76">
        <w:rPr>
          <w:rFonts w:ascii="Times New Roman" w:hAnsi="Times New Roman" w:cs="Times New Roman"/>
          <w:sz w:val="24"/>
          <w:szCs w:val="24"/>
        </w:rPr>
        <w:t>,</w:t>
      </w:r>
      <w:r w:rsidR="007E277E" w:rsidRPr="008A7487">
        <w:rPr>
          <w:rFonts w:ascii="Times New Roman" w:hAnsi="Times New Roman" w:cs="Times New Roman"/>
          <w:sz w:val="24"/>
          <w:szCs w:val="24"/>
        </w:rPr>
        <w:t xml:space="preserve"> </w:t>
      </w:r>
      <w:r w:rsidRPr="008A7487">
        <w:rPr>
          <w:rFonts w:ascii="Times New Roman" w:hAnsi="Times New Roman" w:cs="Times New Roman"/>
          <w:sz w:val="24"/>
          <w:szCs w:val="24"/>
        </w:rPr>
        <w:t>2012)</w:t>
      </w:r>
      <w:r w:rsidR="006E157F" w:rsidRPr="008A7487">
        <w:rPr>
          <w:rFonts w:ascii="Times New Roman" w:hAnsi="Times New Roman" w:cs="Times New Roman"/>
          <w:sz w:val="24"/>
          <w:szCs w:val="24"/>
        </w:rPr>
        <w:t>.  Banks re</w:t>
      </w:r>
      <w:r w:rsidR="003449BB">
        <w:rPr>
          <w:rFonts w:ascii="Times New Roman" w:hAnsi="Times New Roman" w:cs="Times New Roman"/>
          <w:sz w:val="24"/>
          <w:szCs w:val="24"/>
        </w:rPr>
        <w:t>spond to the perceived increase</w:t>
      </w:r>
      <w:r w:rsidR="006E157F" w:rsidRPr="008A7487">
        <w:rPr>
          <w:rFonts w:ascii="Times New Roman" w:hAnsi="Times New Roman" w:cs="Times New Roman"/>
          <w:sz w:val="24"/>
          <w:szCs w:val="24"/>
        </w:rPr>
        <w:t xml:space="preserve"> in credit risk by becoming circumspect about</w:t>
      </w:r>
      <w:r w:rsidR="005C61F0" w:rsidRPr="008A7487">
        <w:rPr>
          <w:rFonts w:ascii="Times New Roman" w:hAnsi="Times New Roman" w:cs="Times New Roman"/>
          <w:sz w:val="24"/>
          <w:szCs w:val="24"/>
        </w:rPr>
        <w:t xml:space="preserve"> extending</w:t>
      </w:r>
      <w:r w:rsidR="006E157F" w:rsidRPr="008A7487">
        <w:rPr>
          <w:rFonts w:ascii="Times New Roman" w:hAnsi="Times New Roman" w:cs="Times New Roman"/>
          <w:sz w:val="24"/>
          <w:szCs w:val="24"/>
        </w:rPr>
        <w:t xml:space="preserve"> </w:t>
      </w:r>
      <w:r w:rsidR="005C61F0" w:rsidRPr="008A7487">
        <w:rPr>
          <w:rFonts w:ascii="Times New Roman" w:hAnsi="Times New Roman" w:cs="Times New Roman"/>
          <w:sz w:val="24"/>
          <w:szCs w:val="24"/>
        </w:rPr>
        <w:t>loan and credit</w:t>
      </w:r>
      <w:r w:rsidR="006E157F" w:rsidRPr="008A7487">
        <w:rPr>
          <w:rFonts w:ascii="Times New Roman" w:hAnsi="Times New Roman" w:cs="Times New Roman"/>
          <w:sz w:val="24"/>
          <w:szCs w:val="24"/>
        </w:rPr>
        <w:t xml:space="preserve"> to customers. This was the case in many banks in the developed economies </w:t>
      </w:r>
      <w:r w:rsidR="00357AA1" w:rsidRPr="008A7487">
        <w:rPr>
          <w:rFonts w:ascii="Times New Roman" w:hAnsi="Times New Roman" w:cs="Times New Roman"/>
          <w:sz w:val="24"/>
          <w:szCs w:val="24"/>
        </w:rPr>
        <w:t>affected by</w:t>
      </w:r>
      <w:r w:rsidR="006E157F" w:rsidRPr="008A7487">
        <w:rPr>
          <w:rFonts w:ascii="Times New Roman" w:hAnsi="Times New Roman" w:cs="Times New Roman"/>
          <w:sz w:val="24"/>
          <w:szCs w:val="24"/>
        </w:rPr>
        <w:t xml:space="preserve"> the crisis, and it is taking a while </w:t>
      </w:r>
      <w:r w:rsidR="006E157F" w:rsidRPr="008A7487">
        <w:rPr>
          <w:rFonts w:ascii="Times New Roman" w:hAnsi="Times New Roman" w:cs="Times New Roman"/>
          <w:sz w:val="24"/>
          <w:szCs w:val="24"/>
        </w:rPr>
        <w:lastRenderedPageBreak/>
        <w:t>to get lending back to pre-crisis period.</w:t>
      </w:r>
      <w:r w:rsidR="00AE61C9" w:rsidRPr="008A7487">
        <w:rPr>
          <w:rFonts w:ascii="Times New Roman" w:hAnsi="Times New Roman" w:cs="Times New Roman"/>
          <w:sz w:val="24"/>
          <w:szCs w:val="24"/>
        </w:rPr>
        <w:t xml:space="preserve"> Thus, the relationship between credit risk and bank profitability during the crisis may be prolonged </w:t>
      </w:r>
      <w:r w:rsidR="00357AA1" w:rsidRPr="008A7487">
        <w:rPr>
          <w:rFonts w:ascii="Times New Roman" w:hAnsi="Times New Roman" w:cs="Times New Roman"/>
          <w:sz w:val="24"/>
          <w:szCs w:val="24"/>
        </w:rPr>
        <w:t xml:space="preserve">well </w:t>
      </w:r>
      <w:r w:rsidR="00AE61C9" w:rsidRPr="008A7487">
        <w:rPr>
          <w:rFonts w:ascii="Times New Roman" w:hAnsi="Times New Roman" w:cs="Times New Roman"/>
          <w:sz w:val="24"/>
          <w:szCs w:val="24"/>
        </w:rPr>
        <w:t xml:space="preserve">after the </w:t>
      </w:r>
      <w:r w:rsidR="006E157F" w:rsidRPr="008A7487">
        <w:rPr>
          <w:rFonts w:ascii="Times New Roman" w:hAnsi="Times New Roman" w:cs="Times New Roman"/>
          <w:sz w:val="24"/>
          <w:szCs w:val="24"/>
        </w:rPr>
        <w:t>crisis.  Based on the arguments above, theoretically</w:t>
      </w:r>
      <w:r w:rsidRPr="008A7487">
        <w:rPr>
          <w:rFonts w:ascii="Times New Roman" w:hAnsi="Times New Roman" w:cs="Times New Roman"/>
          <w:sz w:val="24"/>
          <w:szCs w:val="24"/>
        </w:rPr>
        <w:t>, this study predicts a negative relationship between bank credit risk and profitability</w:t>
      </w:r>
      <w:r w:rsidR="006E22D6" w:rsidRPr="008A7487">
        <w:rPr>
          <w:rFonts w:ascii="Times New Roman" w:hAnsi="Times New Roman" w:cs="Times New Roman"/>
          <w:sz w:val="24"/>
          <w:szCs w:val="24"/>
        </w:rPr>
        <w:t xml:space="preserve"> during and after the crisis</w:t>
      </w:r>
      <w:r w:rsidR="005C61F0" w:rsidRPr="008A7487">
        <w:rPr>
          <w:rFonts w:ascii="Times New Roman" w:hAnsi="Times New Roman" w:cs="Times New Roman"/>
          <w:sz w:val="24"/>
          <w:szCs w:val="24"/>
        </w:rPr>
        <w:t xml:space="preserve"> but not before.</w:t>
      </w:r>
      <w:r w:rsidR="00EB17E2" w:rsidRPr="008A7487">
        <w:rPr>
          <w:rFonts w:ascii="Times New Roman" w:hAnsi="Times New Roman" w:cs="Times New Roman"/>
          <w:sz w:val="24"/>
          <w:szCs w:val="24"/>
        </w:rPr>
        <w:t xml:space="preserve"> </w:t>
      </w:r>
    </w:p>
    <w:p w14:paraId="6A33B427" w14:textId="77777777" w:rsidR="00054D13" w:rsidRPr="008A7487" w:rsidRDefault="00054D13" w:rsidP="007E277E">
      <w:pPr>
        <w:spacing w:after="0" w:line="480" w:lineRule="auto"/>
        <w:jc w:val="both"/>
        <w:rPr>
          <w:rFonts w:ascii="Times New Roman" w:hAnsi="Times New Roman" w:cs="Times New Roman"/>
          <w:i/>
          <w:sz w:val="24"/>
          <w:szCs w:val="24"/>
        </w:rPr>
      </w:pPr>
    </w:p>
    <w:p w14:paraId="06A0ED36" w14:textId="77777777" w:rsidR="00054D13" w:rsidRPr="008A7487" w:rsidRDefault="007E277E" w:rsidP="007E277E">
      <w:pPr>
        <w:spacing w:after="0" w:line="480" w:lineRule="auto"/>
        <w:jc w:val="both"/>
        <w:rPr>
          <w:rFonts w:ascii="Times New Roman" w:hAnsi="Times New Roman" w:cs="Times New Roman"/>
          <w:i/>
          <w:sz w:val="24"/>
          <w:szCs w:val="24"/>
        </w:rPr>
      </w:pPr>
      <w:r w:rsidRPr="008A7487">
        <w:rPr>
          <w:rFonts w:ascii="Times New Roman" w:hAnsi="Times New Roman" w:cs="Times New Roman"/>
          <w:i/>
          <w:sz w:val="24"/>
          <w:szCs w:val="24"/>
        </w:rPr>
        <w:t>Cost</w:t>
      </w:r>
    </w:p>
    <w:p w14:paraId="15B38DAB" w14:textId="6BD15F67" w:rsidR="00EB17E2" w:rsidRPr="008A7487" w:rsidRDefault="007E277E" w:rsidP="00054D13">
      <w:pPr>
        <w:spacing w:after="0" w:line="480" w:lineRule="auto"/>
        <w:jc w:val="both"/>
        <w:rPr>
          <w:rFonts w:ascii="Times New Roman" w:hAnsi="Times New Roman" w:cs="Times New Roman"/>
          <w:i/>
          <w:sz w:val="24"/>
          <w:szCs w:val="24"/>
        </w:rPr>
      </w:pPr>
      <w:r w:rsidRPr="008A7487">
        <w:rPr>
          <w:rFonts w:ascii="Times New Roman" w:hAnsi="Times New Roman" w:cs="Times New Roman"/>
          <w:sz w:val="24"/>
          <w:szCs w:val="24"/>
        </w:rPr>
        <w:t>S</w:t>
      </w:r>
      <w:r w:rsidR="00AB3F4A" w:rsidRPr="008A7487">
        <w:rPr>
          <w:rFonts w:ascii="Times New Roman" w:hAnsi="Times New Roman" w:cs="Times New Roman"/>
          <w:sz w:val="24"/>
          <w:szCs w:val="24"/>
        </w:rPr>
        <w:t>tudies have consistent</w:t>
      </w:r>
      <w:r w:rsidR="00257F85" w:rsidRPr="008A7487">
        <w:rPr>
          <w:rFonts w:ascii="Times New Roman" w:hAnsi="Times New Roman" w:cs="Times New Roman"/>
          <w:sz w:val="24"/>
          <w:szCs w:val="24"/>
        </w:rPr>
        <w:t>ly</w:t>
      </w:r>
      <w:r w:rsidR="00AB3F4A" w:rsidRPr="008A7487">
        <w:rPr>
          <w:rFonts w:ascii="Times New Roman" w:hAnsi="Times New Roman" w:cs="Times New Roman"/>
          <w:sz w:val="24"/>
          <w:szCs w:val="24"/>
        </w:rPr>
        <w:t xml:space="preserve"> report</w:t>
      </w:r>
      <w:r w:rsidR="00257F85" w:rsidRPr="008A7487">
        <w:rPr>
          <w:rFonts w:ascii="Times New Roman" w:hAnsi="Times New Roman" w:cs="Times New Roman"/>
          <w:sz w:val="24"/>
          <w:szCs w:val="24"/>
        </w:rPr>
        <w:t>ed</w:t>
      </w:r>
      <w:r w:rsidR="00AB3F4A" w:rsidRPr="008A7487">
        <w:rPr>
          <w:rFonts w:ascii="Times New Roman" w:hAnsi="Times New Roman" w:cs="Times New Roman"/>
          <w:sz w:val="24"/>
          <w:szCs w:val="24"/>
        </w:rPr>
        <w:t xml:space="preserve"> </w:t>
      </w:r>
      <w:r w:rsidR="002311D6" w:rsidRPr="008A7487">
        <w:rPr>
          <w:rFonts w:ascii="Times New Roman" w:hAnsi="Times New Roman" w:cs="Times New Roman"/>
          <w:sz w:val="24"/>
          <w:szCs w:val="24"/>
        </w:rPr>
        <w:t xml:space="preserve">significant </w:t>
      </w:r>
      <w:r w:rsidR="00AB3F4A" w:rsidRPr="008A7487">
        <w:rPr>
          <w:rFonts w:ascii="Times New Roman" w:hAnsi="Times New Roman" w:cs="Times New Roman"/>
          <w:sz w:val="24"/>
          <w:szCs w:val="24"/>
        </w:rPr>
        <w:t xml:space="preserve">negative relationship between bank profitability and </w:t>
      </w:r>
      <w:r w:rsidR="00C81D52" w:rsidRPr="008A7487">
        <w:rPr>
          <w:rFonts w:ascii="Times New Roman" w:hAnsi="Times New Roman" w:cs="Times New Roman"/>
          <w:sz w:val="24"/>
          <w:szCs w:val="24"/>
        </w:rPr>
        <w:t>operating cost</w:t>
      </w:r>
      <w:r w:rsidR="007F0598">
        <w:rPr>
          <w:rFonts w:ascii="Times New Roman" w:hAnsi="Times New Roman" w:cs="Times New Roman"/>
          <w:sz w:val="24"/>
          <w:szCs w:val="24"/>
        </w:rPr>
        <w:t>s</w:t>
      </w:r>
      <w:r w:rsidR="00C81D52" w:rsidRPr="008A7487">
        <w:rPr>
          <w:rFonts w:ascii="Times New Roman" w:hAnsi="Times New Roman" w:cs="Times New Roman"/>
          <w:sz w:val="24"/>
          <w:szCs w:val="24"/>
        </w:rPr>
        <w:t xml:space="preserve"> (</w:t>
      </w:r>
      <w:r w:rsidR="00EA378A" w:rsidRPr="008A7487">
        <w:rPr>
          <w:rFonts w:ascii="Times New Roman" w:hAnsi="Times New Roman" w:cs="Times New Roman"/>
          <w:sz w:val="24"/>
          <w:szCs w:val="24"/>
        </w:rPr>
        <w:t xml:space="preserve">Athanasoglou et </w:t>
      </w:r>
      <w:r w:rsidR="009554E5" w:rsidRPr="008A7487">
        <w:rPr>
          <w:rFonts w:ascii="Times New Roman" w:hAnsi="Times New Roman" w:cs="Times New Roman"/>
          <w:sz w:val="24"/>
          <w:szCs w:val="24"/>
        </w:rPr>
        <w:t>al.</w:t>
      </w:r>
      <w:r w:rsidR="00AC1B76">
        <w:rPr>
          <w:rFonts w:ascii="Times New Roman" w:hAnsi="Times New Roman" w:cs="Times New Roman"/>
          <w:sz w:val="24"/>
          <w:szCs w:val="24"/>
        </w:rPr>
        <w:t>,</w:t>
      </w:r>
      <w:r w:rsidR="00EA378A" w:rsidRPr="008A7487">
        <w:rPr>
          <w:rFonts w:ascii="Times New Roman" w:hAnsi="Times New Roman" w:cs="Times New Roman"/>
          <w:sz w:val="24"/>
          <w:szCs w:val="24"/>
        </w:rPr>
        <w:t xml:space="preserve"> 2008;</w:t>
      </w:r>
      <w:r w:rsidR="00EB638C" w:rsidRPr="00EB638C">
        <w:rPr>
          <w:rFonts w:ascii="Times New Roman" w:hAnsi="Times New Roman" w:cs="Times New Roman"/>
          <w:sz w:val="24"/>
          <w:szCs w:val="24"/>
        </w:rPr>
        <w:t xml:space="preserve"> </w:t>
      </w:r>
      <w:r w:rsidR="00EB638C" w:rsidRPr="008A7487">
        <w:rPr>
          <w:rFonts w:ascii="Times New Roman" w:hAnsi="Times New Roman" w:cs="Times New Roman"/>
          <w:sz w:val="24"/>
          <w:szCs w:val="24"/>
        </w:rPr>
        <w:t xml:space="preserve">Molyneux </w:t>
      </w:r>
      <w:r w:rsidR="00EB638C">
        <w:rPr>
          <w:rFonts w:ascii="Times New Roman" w:hAnsi="Times New Roman" w:cs="Times New Roman"/>
          <w:sz w:val="24"/>
          <w:szCs w:val="24"/>
        </w:rPr>
        <w:t>&amp;</w:t>
      </w:r>
      <w:r w:rsidR="00EB638C" w:rsidRPr="008A7487">
        <w:rPr>
          <w:rFonts w:ascii="Times New Roman" w:hAnsi="Times New Roman" w:cs="Times New Roman"/>
          <w:sz w:val="24"/>
          <w:szCs w:val="24"/>
        </w:rPr>
        <w:t xml:space="preserve"> Thornton</w:t>
      </w:r>
      <w:r w:rsidR="00EB638C">
        <w:rPr>
          <w:rFonts w:ascii="Times New Roman" w:hAnsi="Times New Roman" w:cs="Times New Roman"/>
          <w:sz w:val="24"/>
          <w:szCs w:val="24"/>
        </w:rPr>
        <w:t>,</w:t>
      </w:r>
      <w:r w:rsidR="00EB638C" w:rsidRPr="008A7487">
        <w:rPr>
          <w:rFonts w:ascii="Times New Roman" w:hAnsi="Times New Roman" w:cs="Times New Roman"/>
          <w:sz w:val="24"/>
          <w:szCs w:val="24"/>
        </w:rPr>
        <w:t xml:space="preserve"> </w:t>
      </w:r>
      <w:r w:rsidR="00EB638C" w:rsidRPr="008A7487">
        <w:rPr>
          <w:rFonts w:ascii="Times New Roman" w:hAnsi="Times New Roman" w:cs="Times New Roman"/>
          <w:sz w:val="24"/>
          <w:szCs w:val="24"/>
        </w:rPr>
        <w:lastRenderedPageBreak/>
        <w:t>1992</w:t>
      </w:r>
      <w:r w:rsidR="00EB638C">
        <w:rPr>
          <w:rFonts w:ascii="Times New Roman" w:hAnsi="Times New Roman" w:cs="Times New Roman"/>
          <w:sz w:val="24"/>
          <w:szCs w:val="24"/>
        </w:rPr>
        <w:t>;</w:t>
      </w:r>
      <w:r w:rsidR="00EA378A" w:rsidRPr="008A7487">
        <w:rPr>
          <w:rFonts w:ascii="Times New Roman" w:hAnsi="Times New Roman" w:cs="Times New Roman"/>
          <w:sz w:val="24"/>
          <w:szCs w:val="24"/>
        </w:rPr>
        <w:t xml:space="preserve"> </w:t>
      </w:r>
      <w:r w:rsidR="00C81D52" w:rsidRPr="008A7487">
        <w:rPr>
          <w:rFonts w:ascii="Times New Roman" w:hAnsi="Times New Roman" w:cs="Times New Roman"/>
          <w:sz w:val="24"/>
          <w:szCs w:val="24"/>
        </w:rPr>
        <w:t>Bourke</w:t>
      </w:r>
      <w:r w:rsidR="00AC1B76">
        <w:rPr>
          <w:rFonts w:ascii="Times New Roman" w:hAnsi="Times New Roman" w:cs="Times New Roman"/>
          <w:sz w:val="24"/>
          <w:szCs w:val="24"/>
        </w:rPr>
        <w:t>,</w:t>
      </w:r>
      <w:r w:rsidR="00EB638C">
        <w:rPr>
          <w:rFonts w:ascii="Times New Roman" w:hAnsi="Times New Roman" w:cs="Times New Roman"/>
          <w:sz w:val="24"/>
          <w:szCs w:val="24"/>
        </w:rPr>
        <w:t xml:space="preserve"> 1989</w:t>
      </w:r>
      <w:r w:rsidR="00AB3F4A" w:rsidRPr="008A7487">
        <w:rPr>
          <w:rFonts w:ascii="Times New Roman" w:hAnsi="Times New Roman" w:cs="Times New Roman"/>
          <w:sz w:val="24"/>
          <w:szCs w:val="24"/>
        </w:rPr>
        <w:t>)</w:t>
      </w:r>
      <w:r w:rsidR="00257F85" w:rsidRPr="008A7487">
        <w:rPr>
          <w:rFonts w:ascii="Times New Roman" w:hAnsi="Times New Roman" w:cs="Times New Roman"/>
          <w:sz w:val="24"/>
          <w:szCs w:val="24"/>
        </w:rPr>
        <w:t xml:space="preserve"> based</w:t>
      </w:r>
      <w:r w:rsidR="00AB3F4A" w:rsidRPr="008A7487">
        <w:rPr>
          <w:rFonts w:ascii="Times New Roman" w:hAnsi="Times New Roman" w:cs="Times New Roman"/>
          <w:sz w:val="24"/>
          <w:szCs w:val="24"/>
        </w:rPr>
        <w:t xml:space="preserve"> on the argument that cost erode</w:t>
      </w:r>
      <w:r w:rsidR="00C81D52" w:rsidRPr="008A7487">
        <w:rPr>
          <w:rFonts w:ascii="Times New Roman" w:hAnsi="Times New Roman" w:cs="Times New Roman"/>
          <w:sz w:val="24"/>
          <w:szCs w:val="24"/>
        </w:rPr>
        <w:t>s</w:t>
      </w:r>
      <w:r w:rsidR="00AB3F4A" w:rsidRPr="008A7487">
        <w:rPr>
          <w:rFonts w:ascii="Times New Roman" w:hAnsi="Times New Roman" w:cs="Times New Roman"/>
          <w:sz w:val="24"/>
          <w:szCs w:val="24"/>
        </w:rPr>
        <w:t xml:space="preserve"> profit and is negatively related to performance. </w:t>
      </w:r>
      <w:r w:rsidR="00422A45" w:rsidRPr="008A7487">
        <w:rPr>
          <w:rFonts w:ascii="Times New Roman" w:hAnsi="Times New Roman" w:cs="Times New Roman"/>
          <w:sz w:val="24"/>
          <w:szCs w:val="24"/>
        </w:rPr>
        <w:t>Banks with high cost to income ratio are likely to report low profits, and signal management inefficie</w:t>
      </w:r>
      <w:r w:rsidR="00190133" w:rsidRPr="008A7487">
        <w:rPr>
          <w:rFonts w:ascii="Times New Roman" w:hAnsi="Times New Roman" w:cs="Times New Roman"/>
          <w:sz w:val="24"/>
          <w:szCs w:val="24"/>
        </w:rPr>
        <w:t>ncy with adverse consequences for</w:t>
      </w:r>
      <w:r w:rsidR="00422A45" w:rsidRPr="008A7487">
        <w:rPr>
          <w:rFonts w:ascii="Times New Roman" w:hAnsi="Times New Roman" w:cs="Times New Roman"/>
          <w:sz w:val="24"/>
          <w:szCs w:val="24"/>
        </w:rPr>
        <w:t xml:space="preserve"> profitability</w:t>
      </w:r>
      <w:r w:rsidR="00422A45" w:rsidRPr="008A7487">
        <w:rPr>
          <w:rFonts w:ascii="Times New Roman" w:hAnsi="Times New Roman" w:cs="Times New Roman"/>
        </w:rPr>
        <w:t xml:space="preserve"> (</w:t>
      </w:r>
      <w:r w:rsidR="00007F3A" w:rsidRPr="008A7487">
        <w:rPr>
          <w:rFonts w:ascii="Times New Roman" w:hAnsi="Times New Roman" w:cs="Times New Roman"/>
          <w:sz w:val="24"/>
          <w:szCs w:val="24"/>
        </w:rPr>
        <w:t xml:space="preserve">Pasiouras </w:t>
      </w:r>
      <w:r w:rsidR="00AC1B76">
        <w:rPr>
          <w:rFonts w:ascii="Times New Roman" w:hAnsi="Times New Roman" w:cs="Times New Roman"/>
          <w:sz w:val="24"/>
          <w:szCs w:val="24"/>
        </w:rPr>
        <w:t>&amp;</w:t>
      </w:r>
      <w:r w:rsidR="00007F3A" w:rsidRPr="008A7487">
        <w:rPr>
          <w:rFonts w:ascii="Times New Roman" w:hAnsi="Times New Roman" w:cs="Times New Roman"/>
          <w:sz w:val="24"/>
          <w:szCs w:val="24"/>
        </w:rPr>
        <w:t xml:space="preserve"> Ko</w:t>
      </w:r>
      <w:r w:rsidR="001965EC">
        <w:rPr>
          <w:rFonts w:ascii="Times New Roman" w:hAnsi="Times New Roman" w:cs="Times New Roman"/>
          <w:sz w:val="24"/>
          <w:szCs w:val="24"/>
        </w:rPr>
        <w:t>smidou</w:t>
      </w:r>
      <w:r w:rsidR="00AC1B76">
        <w:rPr>
          <w:rFonts w:ascii="Times New Roman" w:hAnsi="Times New Roman" w:cs="Times New Roman"/>
          <w:sz w:val="24"/>
          <w:szCs w:val="24"/>
        </w:rPr>
        <w:t>,</w:t>
      </w:r>
      <w:r w:rsidR="00422A45" w:rsidRPr="008A7487">
        <w:rPr>
          <w:rFonts w:ascii="Times New Roman" w:hAnsi="Times New Roman" w:cs="Times New Roman"/>
          <w:sz w:val="24"/>
          <w:szCs w:val="24"/>
        </w:rPr>
        <w:t xml:space="preserve"> 2007).</w:t>
      </w:r>
      <w:r w:rsidR="00DC2ACF" w:rsidRPr="008A7487">
        <w:rPr>
          <w:rFonts w:ascii="Times New Roman" w:hAnsi="Times New Roman" w:cs="Times New Roman"/>
          <w:sz w:val="24"/>
          <w:szCs w:val="24"/>
        </w:rPr>
        <w:t xml:space="preserve"> This effect may become exacerbated </w:t>
      </w:r>
      <w:r w:rsidR="00B5695E" w:rsidRPr="008A7487">
        <w:rPr>
          <w:rFonts w:ascii="Times New Roman" w:hAnsi="Times New Roman" w:cs="Times New Roman"/>
          <w:sz w:val="24"/>
          <w:szCs w:val="24"/>
        </w:rPr>
        <w:t xml:space="preserve">during the financial crisis because of uncertainty which could affect operating cost, </w:t>
      </w:r>
      <w:r w:rsidR="00DC2ACF" w:rsidRPr="008A7487">
        <w:rPr>
          <w:rFonts w:ascii="Times New Roman" w:hAnsi="Times New Roman" w:cs="Times New Roman"/>
          <w:sz w:val="24"/>
          <w:szCs w:val="24"/>
        </w:rPr>
        <w:t xml:space="preserve">in context with high </w:t>
      </w:r>
      <w:r w:rsidR="00B5695E" w:rsidRPr="008A7487">
        <w:rPr>
          <w:rFonts w:ascii="Times New Roman" w:hAnsi="Times New Roman" w:cs="Times New Roman"/>
          <w:sz w:val="24"/>
          <w:szCs w:val="24"/>
        </w:rPr>
        <w:t xml:space="preserve">information asymmetry; </w:t>
      </w:r>
      <w:r w:rsidR="00422A45" w:rsidRPr="008A7487">
        <w:rPr>
          <w:rFonts w:ascii="Times New Roman" w:hAnsi="Times New Roman" w:cs="Times New Roman"/>
          <w:sz w:val="24"/>
          <w:szCs w:val="24"/>
        </w:rPr>
        <w:t>consequently</w:t>
      </w:r>
      <w:r w:rsidR="007C182F" w:rsidRPr="008A7487">
        <w:rPr>
          <w:rFonts w:ascii="Times New Roman" w:hAnsi="Times New Roman" w:cs="Times New Roman"/>
          <w:sz w:val="24"/>
          <w:szCs w:val="24"/>
        </w:rPr>
        <w:t>,</w:t>
      </w:r>
      <w:r w:rsidR="00422A45" w:rsidRPr="008A7487">
        <w:rPr>
          <w:rFonts w:ascii="Times New Roman" w:hAnsi="Times New Roman" w:cs="Times New Roman"/>
          <w:sz w:val="24"/>
          <w:szCs w:val="24"/>
        </w:rPr>
        <w:t xml:space="preserve"> </w:t>
      </w:r>
      <w:r w:rsidR="00C86367" w:rsidRPr="008A7487">
        <w:rPr>
          <w:rFonts w:ascii="Times New Roman" w:hAnsi="Times New Roman" w:cs="Times New Roman"/>
          <w:sz w:val="24"/>
          <w:szCs w:val="24"/>
        </w:rPr>
        <w:t>theoretically</w:t>
      </w:r>
      <w:r w:rsidR="007C182F" w:rsidRPr="008A7487">
        <w:rPr>
          <w:rFonts w:ascii="Times New Roman" w:hAnsi="Times New Roman" w:cs="Times New Roman"/>
          <w:sz w:val="24"/>
          <w:szCs w:val="24"/>
        </w:rPr>
        <w:t>,</w:t>
      </w:r>
      <w:r w:rsidR="00C86367" w:rsidRPr="008A7487">
        <w:rPr>
          <w:rFonts w:ascii="Times New Roman" w:hAnsi="Times New Roman" w:cs="Times New Roman"/>
          <w:sz w:val="24"/>
          <w:szCs w:val="24"/>
        </w:rPr>
        <w:t xml:space="preserve"> </w:t>
      </w:r>
      <w:r w:rsidR="00422A45" w:rsidRPr="008A7487">
        <w:rPr>
          <w:rFonts w:ascii="Times New Roman" w:hAnsi="Times New Roman" w:cs="Times New Roman"/>
          <w:sz w:val="24"/>
          <w:szCs w:val="24"/>
        </w:rPr>
        <w:t xml:space="preserve">this study </w:t>
      </w:r>
      <w:r w:rsidR="00BD79E8" w:rsidRPr="008A7487">
        <w:rPr>
          <w:rFonts w:ascii="Times New Roman" w:hAnsi="Times New Roman" w:cs="Times New Roman"/>
          <w:sz w:val="24"/>
          <w:szCs w:val="24"/>
        </w:rPr>
        <w:t>expects a negative relationship between cost and bank profitability</w:t>
      </w:r>
      <w:r w:rsidR="004555BE" w:rsidRPr="008A7487">
        <w:rPr>
          <w:rFonts w:ascii="Times New Roman" w:hAnsi="Times New Roman" w:cs="Times New Roman"/>
          <w:sz w:val="24"/>
          <w:szCs w:val="24"/>
        </w:rPr>
        <w:t xml:space="preserve"> before, during and after the crisis</w:t>
      </w:r>
      <w:r w:rsidR="00BD79E8" w:rsidRPr="008A7487">
        <w:rPr>
          <w:rFonts w:ascii="Times New Roman" w:hAnsi="Times New Roman" w:cs="Times New Roman"/>
          <w:sz w:val="24"/>
          <w:szCs w:val="24"/>
        </w:rPr>
        <w:t xml:space="preserve">. </w:t>
      </w:r>
    </w:p>
    <w:p w14:paraId="28AA0CA7" w14:textId="77777777" w:rsidR="004C0D78" w:rsidRPr="008A7487" w:rsidRDefault="004C0D78" w:rsidP="004C0D78">
      <w:pPr>
        <w:spacing w:after="0" w:line="480" w:lineRule="auto"/>
        <w:jc w:val="both"/>
        <w:rPr>
          <w:rFonts w:ascii="Times New Roman" w:hAnsi="Times New Roman" w:cs="Times New Roman"/>
          <w:b/>
          <w:sz w:val="24"/>
          <w:szCs w:val="24"/>
        </w:rPr>
      </w:pPr>
    </w:p>
    <w:p w14:paraId="400B89D5" w14:textId="1EB4255B" w:rsidR="00EB17E2" w:rsidRPr="008A7487" w:rsidRDefault="004C0D78" w:rsidP="004C0D78">
      <w:pPr>
        <w:spacing w:after="0" w:line="480" w:lineRule="auto"/>
        <w:jc w:val="both"/>
        <w:rPr>
          <w:rFonts w:ascii="Times New Roman" w:hAnsi="Times New Roman" w:cs="Times New Roman"/>
          <w:i/>
          <w:color w:val="FF0000"/>
          <w:sz w:val="24"/>
          <w:szCs w:val="24"/>
        </w:rPr>
      </w:pPr>
      <w:r w:rsidRPr="008A7487">
        <w:rPr>
          <w:rFonts w:ascii="Times New Roman" w:hAnsi="Times New Roman" w:cs="Times New Roman"/>
          <w:i/>
          <w:sz w:val="24"/>
          <w:szCs w:val="24"/>
        </w:rPr>
        <w:t>Liquidity</w:t>
      </w:r>
    </w:p>
    <w:p w14:paraId="434FA5BD" w14:textId="58B658BF" w:rsidR="00D66388" w:rsidRPr="008A7487" w:rsidRDefault="00AB3F4A" w:rsidP="00C81D52">
      <w:pPr>
        <w:spacing w:after="0" w:line="480" w:lineRule="auto"/>
        <w:ind w:firstLine="720"/>
        <w:jc w:val="both"/>
        <w:rPr>
          <w:rFonts w:ascii="Times New Roman" w:hAnsi="Times New Roman" w:cs="Times New Roman"/>
          <w:sz w:val="24"/>
          <w:szCs w:val="24"/>
        </w:rPr>
      </w:pPr>
      <w:r w:rsidRPr="008A7487">
        <w:rPr>
          <w:rFonts w:ascii="Times New Roman" w:hAnsi="Times New Roman" w:cs="Times New Roman"/>
          <w:sz w:val="24"/>
          <w:szCs w:val="24"/>
        </w:rPr>
        <w:t>Poor liquidity management exposes bank</w:t>
      </w:r>
      <w:r w:rsidR="00615990" w:rsidRPr="008A7487">
        <w:rPr>
          <w:rFonts w:ascii="Times New Roman" w:hAnsi="Times New Roman" w:cs="Times New Roman"/>
          <w:sz w:val="24"/>
          <w:szCs w:val="24"/>
        </w:rPr>
        <w:t>s</w:t>
      </w:r>
      <w:r w:rsidRPr="008A7487">
        <w:rPr>
          <w:rFonts w:ascii="Times New Roman" w:hAnsi="Times New Roman" w:cs="Times New Roman"/>
          <w:sz w:val="24"/>
          <w:szCs w:val="24"/>
        </w:rPr>
        <w:t xml:space="preserve"> to bankruptcy </w:t>
      </w:r>
      <w:r w:rsidR="00C81D52" w:rsidRPr="008A7487">
        <w:rPr>
          <w:rFonts w:ascii="Times New Roman" w:hAnsi="Times New Roman" w:cs="Times New Roman"/>
          <w:sz w:val="24"/>
          <w:szCs w:val="24"/>
        </w:rPr>
        <w:t>(</w:t>
      </w:r>
      <w:r w:rsidR="00D66388" w:rsidRPr="008A7487">
        <w:rPr>
          <w:rFonts w:ascii="Times New Roman" w:hAnsi="Times New Roman" w:cs="Times New Roman"/>
          <w:sz w:val="24"/>
          <w:szCs w:val="24"/>
        </w:rPr>
        <w:t xml:space="preserve">Moyer et </w:t>
      </w:r>
      <w:r w:rsidR="009554E5" w:rsidRPr="008A7487">
        <w:rPr>
          <w:rFonts w:ascii="Times New Roman" w:hAnsi="Times New Roman" w:cs="Times New Roman"/>
          <w:sz w:val="24"/>
          <w:szCs w:val="24"/>
        </w:rPr>
        <w:t>al.</w:t>
      </w:r>
      <w:r w:rsidR="00AC1B76">
        <w:rPr>
          <w:rFonts w:ascii="Times New Roman" w:hAnsi="Times New Roman" w:cs="Times New Roman"/>
          <w:sz w:val="24"/>
          <w:szCs w:val="24"/>
        </w:rPr>
        <w:t>,</w:t>
      </w:r>
      <w:r w:rsidR="00C65016" w:rsidRPr="008A7487">
        <w:rPr>
          <w:rFonts w:ascii="Times New Roman" w:hAnsi="Times New Roman" w:cs="Times New Roman"/>
          <w:sz w:val="24"/>
          <w:szCs w:val="24"/>
        </w:rPr>
        <w:t xml:space="preserve"> 2005</w:t>
      </w:r>
      <w:r w:rsidR="00D66388" w:rsidRPr="008A7487">
        <w:rPr>
          <w:rFonts w:ascii="Times New Roman" w:hAnsi="Times New Roman" w:cs="Times New Roman"/>
          <w:sz w:val="24"/>
          <w:szCs w:val="24"/>
        </w:rPr>
        <w:t>)</w:t>
      </w:r>
      <w:r w:rsidR="00147D1C" w:rsidRPr="008A7487">
        <w:rPr>
          <w:rFonts w:ascii="Times New Roman" w:hAnsi="Times New Roman" w:cs="Times New Roman"/>
          <w:sz w:val="24"/>
          <w:szCs w:val="24"/>
        </w:rPr>
        <w:t>. H</w:t>
      </w:r>
      <w:r w:rsidRPr="008A7487">
        <w:rPr>
          <w:rFonts w:ascii="Times New Roman" w:hAnsi="Times New Roman" w:cs="Times New Roman"/>
          <w:sz w:val="24"/>
          <w:szCs w:val="24"/>
        </w:rPr>
        <w:t xml:space="preserve">igh bank liquidity may </w:t>
      </w:r>
      <w:r w:rsidR="00117F66" w:rsidRPr="008A7487">
        <w:rPr>
          <w:rFonts w:ascii="Times New Roman" w:hAnsi="Times New Roman" w:cs="Times New Roman"/>
          <w:sz w:val="24"/>
          <w:szCs w:val="24"/>
        </w:rPr>
        <w:t>suggest</w:t>
      </w:r>
      <w:r w:rsidR="00C81D52" w:rsidRPr="008A7487">
        <w:rPr>
          <w:rFonts w:ascii="Times New Roman" w:hAnsi="Times New Roman" w:cs="Times New Roman"/>
          <w:sz w:val="24"/>
          <w:szCs w:val="24"/>
        </w:rPr>
        <w:t xml:space="preserve"> lack of </w:t>
      </w:r>
      <w:r w:rsidR="00117F66" w:rsidRPr="008A7487">
        <w:rPr>
          <w:rFonts w:ascii="Times New Roman" w:hAnsi="Times New Roman" w:cs="Times New Roman"/>
          <w:sz w:val="24"/>
          <w:szCs w:val="24"/>
        </w:rPr>
        <w:t xml:space="preserve">suitable </w:t>
      </w:r>
      <w:r w:rsidR="00C81D52" w:rsidRPr="008A7487">
        <w:rPr>
          <w:rFonts w:ascii="Times New Roman" w:hAnsi="Times New Roman" w:cs="Times New Roman"/>
          <w:sz w:val="24"/>
          <w:szCs w:val="24"/>
        </w:rPr>
        <w:t>investment opportunities</w:t>
      </w:r>
      <w:r w:rsidRPr="008A7487">
        <w:rPr>
          <w:rFonts w:ascii="Times New Roman" w:hAnsi="Times New Roman" w:cs="Times New Roman"/>
          <w:sz w:val="24"/>
          <w:szCs w:val="24"/>
        </w:rPr>
        <w:t xml:space="preserve"> and may </w:t>
      </w:r>
      <w:r w:rsidR="00295D3F" w:rsidRPr="008A7487">
        <w:rPr>
          <w:rFonts w:ascii="Times New Roman" w:hAnsi="Times New Roman" w:cs="Times New Roman"/>
          <w:sz w:val="24"/>
          <w:szCs w:val="24"/>
        </w:rPr>
        <w:t xml:space="preserve">lead </w:t>
      </w:r>
      <w:r w:rsidR="00C86367" w:rsidRPr="008A7487">
        <w:rPr>
          <w:rFonts w:ascii="Times New Roman" w:hAnsi="Times New Roman" w:cs="Times New Roman"/>
          <w:sz w:val="24"/>
          <w:szCs w:val="24"/>
        </w:rPr>
        <w:t>to poor bank</w:t>
      </w:r>
      <w:r w:rsidRPr="008A7487">
        <w:rPr>
          <w:rFonts w:ascii="Times New Roman" w:hAnsi="Times New Roman" w:cs="Times New Roman"/>
          <w:sz w:val="24"/>
          <w:szCs w:val="24"/>
        </w:rPr>
        <w:t xml:space="preserve"> </w:t>
      </w:r>
      <w:r w:rsidR="00D66388" w:rsidRPr="008A7487">
        <w:rPr>
          <w:rFonts w:ascii="Times New Roman" w:hAnsi="Times New Roman" w:cs="Times New Roman"/>
          <w:sz w:val="24"/>
          <w:szCs w:val="24"/>
        </w:rPr>
        <w:t>performance (</w:t>
      </w:r>
      <w:r w:rsidR="001965EC">
        <w:rPr>
          <w:rFonts w:ascii="Times New Roman" w:hAnsi="Times New Roman" w:cs="Times New Roman"/>
          <w:sz w:val="24"/>
          <w:szCs w:val="24"/>
        </w:rPr>
        <w:t>Ghosh</w:t>
      </w:r>
      <w:r w:rsidR="00AC1B76">
        <w:rPr>
          <w:rFonts w:ascii="Times New Roman" w:hAnsi="Times New Roman" w:cs="Times New Roman"/>
          <w:sz w:val="24"/>
          <w:szCs w:val="24"/>
        </w:rPr>
        <w:t>,</w:t>
      </w:r>
      <w:r w:rsidR="003D3953" w:rsidRPr="008A7487">
        <w:rPr>
          <w:rFonts w:ascii="Times New Roman" w:hAnsi="Times New Roman" w:cs="Times New Roman"/>
          <w:sz w:val="24"/>
          <w:szCs w:val="24"/>
        </w:rPr>
        <w:t xml:space="preserve"> 2016; </w:t>
      </w:r>
      <w:r w:rsidR="001965EC">
        <w:rPr>
          <w:rFonts w:ascii="Times New Roman" w:hAnsi="Times New Roman" w:cs="Times New Roman"/>
          <w:sz w:val="24"/>
          <w:szCs w:val="24"/>
        </w:rPr>
        <w:t xml:space="preserve">Carbó </w:t>
      </w:r>
      <w:r w:rsidR="00AC1B76">
        <w:rPr>
          <w:rFonts w:ascii="Times New Roman" w:hAnsi="Times New Roman" w:cs="Times New Roman"/>
          <w:sz w:val="24"/>
          <w:szCs w:val="24"/>
        </w:rPr>
        <w:t>&amp;</w:t>
      </w:r>
      <w:r w:rsidR="001965EC">
        <w:rPr>
          <w:rFonts w:ascii="Times New Roman" w:hAnsi="Times New Roman" w:cs="Times New Roman"/>
          <w:sz w:val="24"/>
          <w:szCs w:val="24"/>
        </w:rPr>
        <w:t xml:space="preserve"> Rodríguez</w:t>
      </w:r>
      <w:r w:rsidR="00AC1B76">
        <w:rPr>
          <w:rFonts w:ascii="Times New Roman" w:hAnsi="Times New Roman" w:cs="Times New Roman"/>
          <w:sz w:val="24"/>
          <w:szCs w:val="24"/>
        </w:rPr>
        <w:t>,</w:t>
      </w:r>
      <w:r w:rsidR="00D66388" w:rsidRPr="008A7487">
        <w:rPr>
          <w:rFonts w:ascii="Times New Roman" w:hAnsi="Times New Roman" w:cs="Times New Roman"/>
          <w:sz w:val="24"/>
          <w:szCs w:val="24"/>
        </w:rPr>
        <w:t xml:space="preserve"> 2007)</w:t>
      </w:r>
      <w:r w:rsidRPr="008A7487">
        <w:rPr>
          <w:rFonts w:ascii="Times New Roman" w:hAnsi="Times New Roman" w:cs="Times New Roman"/>
          <w:sz w:val="24"/>
          <w:szCs w:val="24"/>
        </w:rPr>
        <w:t xml:space="preserve">. </w:t>
      </w:r>
      <w:r w:rsidR="00E05509" w:rsidRPr="008A7487">
        <w:rPr>
          <w:rFonts w:ascii="Times New Roman" w:hAnsi="Times New Roman" w:cs="Times New Roman"/>
          <w:sz w:val="24"/>
          <w:szCs w:val="24"/>
        </w:rPr>
        <w:t>The literature reports mix</w:t>
      </w:r>
      <w:r w:rsidR="00EF728D" w:rsidRPr="008A7487">
        <w:rPr>
          <w:rFonts w:ascii="Times New Roman" w:hAnsi="Times New Roman" w:cs="Times New Roman"/>
          <w:sz w:val="24"/>
          <w:szCs w:val="24"/>
        </w:rPr>
        <w:t>ed findings</w:t>
      </w:r>
      <w:r w:rsidR="00117F66" w:rsidRPr="008A7487">
        <w:rPr>
          <w:rFonts w:ascii="Times New Roman" w:hAnsi="Times New Roman" w:cs="Times New Roman"/>
          <w:sz w:val="24"/>
          <w:szCs w:val="24"/>
        </w:rPr>
        <w:t xml:space="preserve"> on the relationship between liquidity and bank profitability</w:t>
      </w:r>
      <w:r w:rsidR="00EF728D" w:rsidRPr="008A7487">
        <w:rPr>
          <w:rFonts w:ascii="Times New Roman" w:hAnsi="Times New Roman" w:cs="Times New Roman"/>
          <w:sz w:val="24"/>
          <w:szCs w:val="24"/>
        </w:rPr>
        <w:t xml:space="preserve">. For example, </w:t>
      </w:r>
      <w:r w:rsidR="00D66388" w:rsidRPr="008A7487">
        <w:rPr>
          <w:rFonts w:ascii="Times New Roman" w:hAnsi="Times New Roman" w:cs="Times New Roman"/>
          <w:sz w:val="24"/>
          <w:szCs w:val="24"/>
        </w:rPr>
        <w:t xml:space="preserve">Kosmidou et </w:t>
      </w:r>
      <w:r w:rsidR="009554E5" w:rsidRPr="008A7487">
        <w:rPr>
          <w:rFonts w:ascii="Times New Roman" w:hAnsi="Times New Roman" w:cs="Times New Roman"/>
          <w:sz w:val="24"/>
          <w:szCs w:val="24"/>
        </w:rPr>
        <w:t>al.</w:t>
      </w:r>
      <w:r w:rsidR="00D66388" w:rsidRPr="008A7487">
        <w:rPr>
          <w:rFonts w:ascii="Times New Roman" w:hAnsi="Times New Roman" w:cs="Times New Roman"/>
          <w:sz w:val="24"/>
          <w:szCs w:val="24"/>
        </w:rPr>
        <w:t xml:space="preserve"> (2007) did not find any significant relationship in their study of Greek banks operating abroad</w:t>
      </w:r>
      <w:r w:rsidR="0026756A" w:rsidRPr="008A7487">
        <w:rPr>
          <w:rFonts w:ascii="Times New Roman" w:hAnsi="Times New Roman" w:cs="Times New Roman"/>
          <w:sz w:val="24"/>
          <w:szCs w:val="24"/>
        </w:rPr>
        <w:t>,</w:t>
      </w:r>
      <w:r w:rsidR="00EF728D" w:rsidRPr="008A7487">
        <w:rPr>
          <w:rFonts w:ascii="Times New Roman" w:hAnsi="Times New Roman" w:cs="Times New Roman"/>
          <w:sz w:val="24"/>
          <w:szCs w:val="24"/>
        </w:rPr>
        <w:t xml:space="preserve"> but</w:t>
      </w:r>
      <w:r w:rsidR="006661DE" w:rsidRPr="008A7487">
        <w:rPr>
          <w:rFonts w:ascii="Times New Roman" w:hAnsi="Times New Roman" w:cs="Times New Roman"/>
          <w:sz w:val="24"/>
          <w:szCs w:val="24"/>
        </w:rPr>
        <w:t xml:space="preserve"> </w:t>
      </w:r>
      <w:r w:rsidR="00D66388" w:rsidRPr="008A7487">
        <w:rPr>
          <w:rFonts w:ascii="Times New Roman" w:hAnsi="Times New Roman" w:cs="Times New Roman"/>
          <w:sz w:val="24"/>
          <w:szCs w:val="24"/>
        </w:rPr>
        <w:t xml:space="preserve">Molyneux </w:t>
      </w:r>
      <w:r w:rsidR="00AC1B76">
        <w:rPr>
          <w:rFonts w:ascii="Times New Roman" w:hAnsi="Times New Roman" w:cs="Times New Roman"/>
          <w:sz w:val="24"/>
          <w:szCs w:val="24"/>
        </w:rPr>
        <w:t>&amp;</w:t>
      </w:r>
      <w:r w:rsidR="00D66388" w:rsidRPr="008A7487">
        <w:rPr>
          <w:rFonts w:ascii="Times New Roman" w:hAnsi="Times New Roman" w:cs="Times New Roman"/>
          <w:sz w:val="24"/>
          <w:szCs w:val="24"/>
        </w:rPr>
        <w:t xml:space="preserve"> Thornton </w:t>
      </w:r>
      <w:r w:rsidR="00D66388" w:rsidRPr="008A7487">
        <w:rPr>
          <w:rFonts w:ascii="Times New Roman" w:hAnsi="Times New Roman" w:cs="Times New Roman"/>
          <w:sz w:val="24"/>
          <w:szCs w:val="24"/>
        </w:rPr>
        <w:lastRenderedPageBreak/>
        <w:t xml:space="preserve">(1992), Pasiouras </w:t>
      </w:r>
      <w:r w:rsidR="00AC1B76">
        <w:rPr>
          <w:rFonts w:ascii="Times New Roman" w:hAnsi="Times New Roman" w:cs="Times New Roman"/>
          <w:sz w:val="24"/>
          <w:szCs w:val="24"/>
        </w:rPr>
        <w:t>&amp;</w:t>
      </w:r>
      <w:r w:rsidR="00D66388" w:rsidRPr="008A7487">
        <w:rPr>
          <w:rFonts w:ascii="Times New Roman" w:hAnsi="Times New Roman" w:cs="Times New Roman"/>
          <w:sz w:val="24"/>
          <w:szCs w:val="24"/>
        </w:rPr>
        <w:t xml:space="preserve"> Kosmidou (2007) report negative relationships, </w:t>
      </w:r>
      <w:r w:rsidR="0026756A" w:rsidRPr="008A7487">
        <w:rPr>
          <w:rFonts w:ascii="Times New Roman" w:hAnsi="Times New Roman" w:cs="Times New Roman"/>
          <w:sz w:val="24"/>
          <w:szCs w:val="24"/>
        </w:rPr>
        <w:t>while</w:t>
      </w:r>
      <w:r w:rsidR="00D66388" w:rsidRPr="008A7487">
        <w:rPr>
          <w:rFonts w:ascii="Times New Roman" w:hAnsi="Times New Roman" w:cs="Times New Roman"/>
          <w:sz w:val="24"/>
          <w:szCs w:val="24"/>
        </w:rPr>
        <w:t xml:space="preserve"> Bourke (1989) reports positive relationships between </w:t>
      </w:r>
      <w:r w:rsidR="00767B98" w:rsidRPr="008A7487">
        <w:rPr>
          <w:rFonts w:ascii="Times New Roman" w:hAnsi="Times New Roman" w:cs="Times New Roman"/>
          <w:sz w:val="24"/>
          <w:szCs w:val="24"/>
        </w:rPr>
        <w:t>the</w:t>
      </w:r>
      <w:r w:rsidR="001B1C7C" w:rsidRPr="008A7487">
        <w:rPr>
          <w:rFonts w:ascii="Times New Roman" w:hAnsi="Times New Roman" w:cs="Times New Roman"/>
          <w:sz w:val="24"/>
          <w:szCs w:val="24"/>
        </w:rPr>
        <w:t>se</w:t>
      </w:r>
      <w:r w:rsidR="00767B98" w:rsidRPr="008A7487">
        <w:rPr>
          <w:rFonts w:ascii="Times New Roman" w:hAnsi="Times New Roman" w:cs="Times New Roman"/>
          <w:sz w:val="24"/>
          <w:szCs w:val="24"/>
        </w:rPr>
        <w:t xml:space="preserve"> variables</w:t>
      </w:r>
      <w:r w:rsidR="00D66388" w:rsidRPr="008A7487">
        <w:rPr>
          <w:rFonts w:ascii="Times New Roman" w:hAnsi="Times New Roman" w:cs="Times New Roman"/>
          <w:sz w:val="24"/>
          <w:szCs w:val="24"/>
        </w:rPr>
        <w:t xml:space="preserve">. </w:t>
      </w:r>
    </w:p>
    <w:p w14:paraId="7D9C80B3" w14:textId="383875EE" w:rsidR="00F33E7A" w:rsidRPr="008A7487" w:rsidRDefault="00422A45" w:rsidP="00054D13">
      <w:pPr>
        <w:spacing w:after="0" w:line="480" w:lineRule="auto"/>
        <w:ind w:firstLine="720"/>
        <w:jc w:val="both"/>
        <w:rPr>
          <w:rFonts w:ascii="Times New Roman" w:hAnsi="Times New Roman" w:cs="Times New Roman"/>
          <w:sz w:val="24"/>
          <w:szCs w:val="24"/>
        </w:rPr>
      </w:pPr>
      <w:r w:rsidRPr="008A7487">
        <w:rPr>
          <w:rFonts w:ascii="Times New Roman" w:hAnsi="Times New Roman" w:cs="Times New Roman"/>
          <w:sz w:val="24"/>
          <w:szCs w:val="24"/>
        </w:rPr>
        <w:t xml:space="preserve">Liquidity management </w:t>
      </w:r>
      <w:r w:rsidR="00B07E59" w:rsidRPr="008A7487">
        <w:rPr>
          <w:rFonts w:ascii="Times New Roman" w:hAnsi="Times New Roman" w:cs="Times New Roman"/>
          <w:sz w:val="24"/>
          <w:szCs w:val="24"/>
        </w:rPr>
        <w:t>will most likely pose</w:t>
      </w:r>
      <w:r w:rsidRPr="008A7487">
        <w:rPr>
          <w:rFonts w:ascii="Times New Roman" w:hAnsi="Times New Roman" w:cs="Times New Roman"/>
          <w:sz w:val="24"/>
          <w:szCs w:val="24"/>
        </w:rPr>
        <w:t xml:space="preserve"> additional</w:t>
      </w:r>
      <w:r w:rsidR="00B07E59" w:rsidRPr="008A7487">
        <w:rPr>
          <w:rFonts w:ascii="Times New Roman" w:hAnsi="Times New Roman" w:cs="Times New Roman"/>
          <w:sz w:val="24"/>
          <w:szCs w:val="24"/>
        </w:rPr>
        <w:t xml:space="preserve"> risk</w:t>
      </w:r>
      <w:r w:rsidRPr="008A7487">
        <w:rPr>
          <w:rFonts w:ascii="Times New Roman" w:hAnsi="Times New Roman" w:cs="Times New Roman"/>
          <w:sz w:val="24"/>
          <w:szCs w:val="24"/>
        </w:rPr>
        <w:t xml:space="preserve"> to banks</w:t>
      </w:r>
      <w:r w:rsidR="00B07E59" w:rsidRPr="008A7487">
        <w:rPr>
          <w:rFonts w:ascii="Times New Roman" w:hAnsi="Times New Roman" w:cs="Times New Roman"/>
          <w:sz w:val="24"/>
          <w:szCs w:val="24"/>
        </w:rPr>
        <w:t xml:space="preserve"> during the financial </w:t>
      </w:r>
      <w:r w:rsidR="00A3346F" w:rsidRPr="008A7487">
        <w:rPr>
          <w:rFonts w:ascii="Times New Roman" w:hAnsi="Times New Roman" w:cs="Times New Roman"/>
          <w:sz w:val="24"/>
          <w:szCs w:val="24"/>
        </w:rPr>
        <w:t xml:space="preserve">crisis </w:t>
      </w:r>
      <w:r w:rsidR="00B07E59" w:rsidRPr="008A7487">
        <w:rPr>
          <w:rFonts w:ascii="Times New Roman" w:hAnsi="Times New Roman" w:cs="Times New Roman"/>
          <w:sz w:val="24"/>
          <w:szCs w:val="24"/>
        </w:rPr>
        <w:t>and especially for banks</w:t>
      </w:r>
      <w:r w:rsidRPr="008A7487">
        <w:rPr>
          <w:rFonts w:ascii="Times New Roman" w:hAnsi="Times New Roman" w:cs="Times New Roman"/>
          <w:sz w:val="24"/>
          <w:szCs w:val="24"/>
        </w:rPr>
        <w:t xml:space="preserve"> in Africa </w:t>
      </w:r>
      <w:r w:rsidR="00B07E59" w:rsidRPr="008A7487">
        <w:rPr>
          <w:rFonts w:ascii="Times New Roman" w:hAnsi="Times New Roman" w:cs="Times New Roman"/>
          <w:sz w:val="24"/>
          <w:szCs w:val="24"/>
        </w:rPr>
        <w:t>due to</w:t>
      </w:r>
      <w:r w:rsidRPr="008A7487">
        <w:rPr>
          <w:rFonts w:ascii="Times New Roman" w:hAnsi="Times New Roman" w:cs="Times New Roman"/>
          <w:sz w:val="24"/>
          <w:szCs w:val="24"/>
        </w:rPr>
        <w:t xml:space="preserve"> significant information asymmetry</w:t>
      </w:r>
      <w:r w:rsidR="00B07E59" w:rsidRPr="008A7487">
        <w:rPr>
          <w:rFonts w:ascii="Times New Roman" w:hAnsi="Times New Roman" w:cs="Times New Roman"/>
          <w:sz w:val="24"/>
          <w:szCs w:val="24"/>
        </w:rPr>
        <w:t>,</w:t>
      </w:r>
      <w:r w:rsidRPr="008A7487">
        <w:rPr>
          <w:rFonts w:ascii="Times New Roman" w:hAnsi="Times New Roman" w:cs="Times New Roman"/>
          <w:sz w:val="24"/>
          <w:szCs w:val="24"/>
        </w:rPr>
        <w:t xml:space="preserve"> suggesting high liquidity </w:t>
      </w:r>
      <w:r w:rsidR="00C81D52" w:rsidRPr="008A7487">
        <w:rPr>
          <w:rFonts w:ascii="Times New Roman" w:hAnsi="Times New Roman" w:cs="Times New Roman"/>
          <w:sz w:val="24"/>
          <w:szCs w:val="24"/>
        </w:rPr>
        <w:t>risks (Allen</w:t>
      </w:r>
      <w:r w:rsidR="00D66388" w:rsidRPr="008A7487">
        <w:rPr>
          <w:rFonts w:ascii="Times New Roman" w:hAnsi="Times New Roman" w:cs="Times New Roman"/>
          <w:sz w:val="24"/>
          <w:szCs w:val="24"/>
        </w:rPr>
        <w:t xml:space="preserve"> et </w:t>
      </w:r>
      <w:r w:rsidR="009554E5" w:rsidRPr="008A7487">
        <w:rPr>
          <w:rFonts w:ascii="Times New Roman" w:hAnsi="Times New Roman" w:cs="Times New Roman"/>
          <w:sz w:val="24"/>
          <w:szCs w:val="24"/>
        </w:rPr>
        <w:t>al.</w:t>
      </w:r>
      <w:r w:rsidR="00AC1B76">
        <w:rPr>
          <w:rFonts w:ascii="Times New Roman" w:hAnsi="Times New Roman" w:cs="Times New Roman"/>
          <w:sz w:val="24"/>
          <w:szCs w:val="24"/>
        </w:rPr>
        <w:t>,</w:t>
      </w:r>
      <w:r w:rsidR="00D66388" w:rsidRPr="008A7487">
        <w:rPr>
          <w:rFonts w:ascii="Times New Roman" w:hAnsi="Times New Roman" w:cs="Times New Roman"/>
          <w:sz w:val="24"/>
          <w:szCs w:val="24"/>
        </w:rPr>
        <w:t xml:space="preserve"> 2011)</w:t>
      </w:r>
      <w:r w:rsidRPr="008A7487">
        <w:rPr>
          <w:rFonts w:ascii="Times New Roman" w:hAnsi="Times New Roman" w:cs="Times New Roman"/>
          <w:sz w:val="24"/>
          <w:szCs w:val="24"/>
        </w:rPr>
        <w:t>. These also imply</w:t>
      </w:r>
      <w:r w:rsidR="004C048A" w:rsidRPr="008A7487">
        <w:rPr>
          <w:rFonts w:ascii="Times New Roman" w:hAnsi="Times New Roman" w:cs="Times New Roman"/>
          <w:sz w:val="24"/>
          <w:szCs w:val="24"/>
        </w:rPr>
        <w:t xml:space="preserve"> concern</w:t>
      </w:r>
      <w:r w:rsidR="00CF28CA" w:rsidRPr="008A7487">
        <w:rPr>
          <w:rFonts w:ascii="Times New Roman" w:hAnsi="Times New Roman" w:cs="Times New Roman"/>
          <w:sz w:val="24"/>
          <w:szCs w:val="24"/>
        </w:rPr>
        <w:t xml:space="preserve"> for</w:t>
      </w:r>
      <w:r w:rsidRPr="008A7487">
        <w:rPr>
          <w:rFonts w:ascii="Times New Roman" w:hAnsi="Times New Roman" w:cs="Times New Roman"/>
          <w:sz w:val="24"/>
          <w:szCs w:val="24"/>
        </w:rPr>
        <w:t xml:space="preserve"> higher propensity to default on loans and advances </w:t>
      </w:r>
      <w:r w:rsidR="00B07E59" w:rsidRPr="008A7487">
        <w:rPr>
          <w:rFonts w:ascii="Times New Roman" w:hAnsi="Times New Roman" w:cs="Times New Roman"/>
          <w:sz w:val="24"/>
          <w:szCs w:val="24"/>
        </w:rPr>
        <w:t xml:space="preserve">during the crisis than otherwise </w:t>
      </w:r>
      <w:r w:rsidRPr="008A7487">
        <w:rPr>
          <w:rFonts w:ascii="Times New Roman" w:hAnsi="Times New Roman" w:cs="Times New Roman"/>
          <w:sz w:val="24"/>
          <w:szCs w:val="24"/>
        </w:rPr>
        <w:t xml:space="preserve">(Andrianova et </w:t>
      </w:r>
      <w:r w:rsidR="009554E5" w:rsidRPr="008A7487">
        <w:rPr>
          <w:rFonts w:ascii="Times New Roman" w:hAnsi="Times New Roman" w:cs="Times New Roman"/>
          <w:sz w:val="24"/>
          <w:szCs w:val="24"/>
        </w:rPr>
        <w:t>al.</w:t>
      </w:r>
      <w:r w:rsidR="00AC1B76">
        <w:rPr>
          <w:rFonts w:ascii="Times New Roman" w:hAnsi="Times New Roman" w:cs="Times New Roman"/>
          <w:sz w:val="24"/>
          <w:szCs w:val="24"/>
        </w:rPr>
        <w:t>,</w:t>
      </w:r>
      <w:r w:rsidRPr="008A7487">
        <w:rPr>
          <w:rFonts w:ascii="Times New Roman" w:hAnsi="Times New Roman" w:cs="Times New Roman"/>
          <w:sz w:val="24"/>
          <w:szCs w:val="24"/>
        </w:rPr>
        <w:t xml:space="preserve"> 2015).</w:t>
      </w:r>
      <w:r w:rsidR="006661DE" w:rsidRPr="008A7487">
        <w:rPr>
          <w:rFonts w:ascii="Times New Roman" w:hAnsi="Times New Roman" w:cs="Times New Roman"/>
          <w:sz w:val="24"/>
          <w:szCs w:val="24"/>
        </w:rPr>
        <w:t xml:space="preserve"> </w:t>
      </w:r>
      <w:r w:rsidR="004E299B" w:rsidRPr="008A7487">
        <w:rPr>
          <w:rFonts w:ascii="Times New Roman" w:hAnsi="Times New Roman" w:cs="Times New Roman"/>
          <w:sz w:val="24"/>
          <w:szCs w:val="24"/>
        </w:rPr>
        <w:t>Consequently, banks in</w:t>
      </w:r>
      <w:r w:rsidR="006661DE" w:rsidRPr="008A7487">
        <w:rPr>
          <w:rFonts w:ascii="Times New Roman" w:hAnsi="Times New Roman" w:cs="Times New Roman"/>
          <w:sz w:val="24"/>
          <w:szCs w:val="24"/>
        </w:rPr>
        <w:t xml:space="preserve"> this region </w:t>
      </w:r>
      <w:r w:rsidRPr="008A7487">
        <w:rPr>
          <w:rFonts w:ascii="Times New Roman" w:hAnsi="Times New Roman" w:cs="Times New Roman"/>
          <w:sz w:val="24"/>
          <w:szCs w:val="24"/>
        </w:rPr>
        <w:t xml:space="preserve">may have to </w:t>
      </w:r>
      <w:r w:rsidR="00767B98" w:rsidRPr="008A7487">
        <w:rPr>
          <w:rFonts w:ascii="Times New Roman" w:hAnsi="Times New Roman" w:cs="Times New Roman"/>
          <w:sz w:val="24"/>
          <w:szCs w:val="24"/>
        </w:rPr>
        <w:t>maintain high liquidity</w:t>
      </w:r>
      <w:r w:rsidRPr="008A7487">
        <w:rPr>
          <w:rFonts w:ascii="Times New Roman" w:hAnsi="Times New Roman" w:cs="Times New Roman"/>
          <w:sz w:val="24"/>
          <w:szCs w:val="24"/>
        </w:rPr>
        <w:t xml:space="preserve"> to meet </w:t>
      </w:r>
      <w:r w:rsidRPr="008A7487">
        <w:rPr>
          <w:rFonts w:ascii="Times New Roman" w:hAnsi="Times New Roman" w:cs="Times New Roman"/>
          <w:sz w:val="24"/>
          <w:szCs w:val="24"/>
        </w:rPr>
        <w:lastRenderedPageBreak/>
        <w:t>depositors’ demand in a shallow financial market with limited opportunity for diversified income</w:t>
      </w:r>
      <w:r w:rsidR="00B07E59" w:rsidRPr="008A7487">
        <w:rPr>
          <w:rFonts w:ascii="Times New Roman" w:hAnsi="Times New Roman" w:cs="Times New Roman"/>
          <w:sz w:val="24"/>
          <w:szCs w:val="24"/>
        </w:rPr>
        <w:t xml:space="preserve"> during period of uncertainty</w:t>
      </w:r>
      <w:r w:rsidRPr="008A7487">
        <w:rPr>
          <w:rFonts w:ascii="Times New Roman" w:hAnsi="Times New Roman" w:cs="Times New Roman"/>
          <w:sz w:val="24"/>
          <w:szCs w:val="24"/>
        </w:rPr>
        <w:t xml:space="preserve">.  Banks in this region </w:t>
      </w:r>
      <w:r w:rsidR="004C048A" w:rsidRPr="008A7487">
        <w:rPr>
          <w:rFonts w:ascii="Times New Roman" w:hAnsi="Times New Roman" w:cs="Times New Roman"/>
          <w:sz w:val="24"/>
          <w:szCs w:val="24"/>
        </w:rPr>
        <w:t xml:space="preserve">seem to respond to these risks </w:t>
      </w:r>
      <w:r w:rsidRPr="008A7487">
        <w:rPr>
          <w:rFonts w:ascii="Times New Roman" w:hAnsi="Times New Roman" w:cs="Times New Roman"/>
          <w:sz w:val="24"/>
          <w:szCs w:val="24"/>
        </w:rPr>
        <w:t>through high lending rates</w:t>
      </w:r>
      <w:r w:rsidR="00CF28CA" w:rsidRPr="008A7487">
        <w:rPr>
          <w:rFonts w:ascii="Times New Roman" w:hAnsi="Times New Roman" w:cs="Times New Roman"/>
          <w:sz w:val="24"/>
          <w:szCs w:val="24"/>
        </w:rPr>
        <w:t xml:space="preserve"> to cover for the additional </w:t>
      </w:r>
      <w:r w:rsidR="0026756A" w:rsidRPr="008A7487">
        <w:rPr>
          <w:rFonts w:ascii="Times New Roman" w:hAnsi="Times New Roman" w:cs="Times New Roman"/>
          <w:sz w:val="24"/>
          <w:szCs w:val="24"/>
        </w:rPr>
        <w:t>risk</w:t>
      </w:r>
      <w:r w:rsidR="00767B98" w:rsidRPr="008A7487">
        <w:rPr>
          <w:rFonts w:ascii="Times New Roman" w:hAnsi="Times New Roman" w:cs="Times New Roman"/>
          <w:sz w:val="24"/>
          <w:szCs w:val="24"/>
        </w:rPr>
        <w:t>s</w:t>
      </w:r>
      <w:r w:rsidR="0094142C">
        <w:rPr>
          <w:rFonts w:ascii="Times New Roman" w:hAnsi="Times New Roman" w:cs="Times New Roman"/>
          <w:sz w:val="24"/>
          <w:szCs w:val="24"/>
        </w:rPr>
        <w:t xml:space="preserve"> (</w:t>
      </w:r>
      <w:r w:rsidR="00EB638C" w:rsidRPr="008A7487">
        <w:rPr>
          <w:rFonts w:ascii="Times New Roman" w:hAnsi="Times New Roman" w:cs="Times New Roman"/>
          <w:sz w:val="24"/>
          <w:szCs w:val="24"/>
        </w:rPr>
        <w:t>Andrianova et al.</w:t>
      </w:r>
      <w:r w:rsidR="00EB638C">
        <w:rPr>
          <w:rFonts w:ascii="Times New Roman" w:hAnsi="Times New Roman" w:cs="Times New Roman"/>
          <w:sz w:val="24"/>
          <w:szCs w:val="24"/>
        </w:rPr>
        <w:t>,</w:t>
      </w:r>
      <w:r w:rsidR="00EB638C" w:rsidRPr="008A7487">
        <w:rPr>
          <w:rFonts w:ascii="Times New Roman" w:hAnsi="Times New Roman" w:cs="Times New Roman"/>
          <w:sz w:val="24"/>
          <w:szCs w:val="24"/>
        </w:rPr>
        <w:t xml:space="preserve"> 2015</w:t>
      </w:r>
      <w:r w:rsidR="00EB638C">
        <w:rPr>
          <w:rFonts w:ascii="Times New Roman" w:hAnsi="Times New Roman" w:cs="Times New Roman"/>
          <w:sz w:val="24"/>
          <w:szCs w:val="24"/>
        </w:rPr>
        <w:t xml:space="preserve">; </w:t>
      </w:r>
      <w:r w:rsidR="0094142C">
        <w:rPr>
          <w:rFonts w:ascii="Times New Roman" w:hAnsi="Times New Roman" w:cs="Times New Roman"/>
          <w:sz w:val="24"/>
          <w:szCs w:val="24"/>
        </w:rPr>
        <w:t>Fosu</w:t>
      </w:r>
      <w:r w:rsidR="00AC1B76">
        <w:rPr>
          <w:rFonts w:ascii="Times New Roman" w:hAnsi="Times New Roman" w:cs="Times New Roman"/>
          <w:sz w:val="24"/>
          <w:szCs w:val="24"/>
        </w:rPr>
        <w:t>,</w:t>
      </w:r>
      <w:r w:rsidR="0026756A" w:rsidRPr="008A7487">
        <w:rPr>
          <w:rFonts w:ascii="Times New Roman" w:hAnsi="Times New Roman" w:cs="Times New Roman"/>
          <w:sz w:val="24"/>
          <w:szCs w:val="24"/>
        </w:rPr>
        <w:t xml:space="preserve"> 2013)</w:t>
      </w:r>
      <w:r w:rsidR="00117F66" w:rsidRPr="008A7487">
        <w:rPr>
          <w:rFonts w:ascii="Times New Roman" w:hAnsi="Times New Roman" w:cs="Times New Roman"/>
          <w:sz w:val="24"/>
          <w:szCs w:val="24"/>
        </w:rPr>
        <w:t>. They also concentrate</w:t>
      </w:r>
      <w:r w:rsidRPr="008A7487">
        <w:rPr>
          <w:rFonts w:ascii="Times New Roman" w:hAnsi="Times New Roman" w:cs="Times New Roman"/>
          <w:sz w:val="24"/>
          <w:szCs w:val="24"/>
        </w:rPr>
        <w:t xml:space="preserve"> on short term lending with the attendant negative effects on financial market deepening and capital market development (</w:t>
      </w:r>
      <w:r w:rsidR="000516A9" w:rsidRPr="008A7487">
        <w:rPr>
          <w:rFonts w:ascii="Times New Roman" w:hAnsi="Times New Roman" w:cs="Times New Roman"/>
          <w:sz w:val="24"/>
          <w:szCs w:val="24"/>
        </w:rPr>
        <w:t xml:space="preserve">Allen et </w:t>
      </w:r>
      <w:r w:rsidR="009554E5" w:rsidRPr="008A7487">
        <w:rPr>
          <w:rFonts w:ascii="Times New Roman" w:hAnsi="Times New Roman" w:cs="Times New Roman"/>
          <w:sz w:val="24"/>
          <w:szCs w:val="24"/>
        </w:rPr>
        <w:t>al.</w:t>
      </w:r>
      <w:r w:rsidR="00AC1B76">
        <w:rPr>
          <w:rFonts w:ascii="Times New Roman" w:hAnsi="Times New Roman" w:cs="Times New Roman"/>
          <w:sz w:val="24"/>
          <w:szCs w:val="24"/>
        </w:rPr>
        <w:t>,</w:t>
      </w:r>
      <w:r w:rsidR="000516A9" w:rsidRPr="008A7487">
        <w:rPr>
          <w:rFonts w:ascii="Times New Roman" w:hAnsi="Times New Roman" w:cs="Times New Roman"/>
          <w:sz w:val="24"/>
          <w:szCs w:val="24"/>
        </w:rPr>
        <w:t xml:space="preserve"> 2011; </w:t>
      </w:r>
      <w:r w:rsidRPr="008A7487">
        <w:rPr>
          <w:rFonts w:ascii="Times New Roman" w:hAnsi="Times New Roman" w:cs="Times New Roman"/>
          <w:sz w:val="24"/>
          <w:szCs w:val="24"/>
        </w:rPr>
        <w:t xml:space="preserve">Saunders </w:t>
      </w:r>
      <w:r w:rsidR="00AC1B76">
        <w:rPr>
          <w:rFonts w:ascii="Times New Roman" w:hAnsi="Times New Roman" w:cs="Times New Roman"/>
          <w:sz w:val="24"/>
          <w:szCs w:val="24"/>
        </w:rPr>
        <w:t>&amp;</w:t>
      </w:r>
      <w:r w:rsidRPr="008A7487">
        <w:rPr>
          <w:rFonts w:ascii="Times New Roman" w:hAnsi="Times New Roman" w:cs="Times New Roman"/>
          <w:sz w:val="24"/>
          <w:szCs w:val="24"/>
        </w:rPr>
        <w:t xml:space="preserve"> Schumacher</w:t>
      </w:r>
      <w:r w:rsidR="00AC1B76">
        <w:rPr>
          <w:rFonts w:ascii="Times New Roman" w:hAnsi="Times New Roman" w:cs="Times New Roman"/>
          <w:sz w:val="24"/>
          <w:szCs w:val="24"/>
        </w:rPr>
        <w:t>,</w:t>
      </w:r>
      <w:r w:rsidRPr="008A7487">
        <w:rPr>
          <w:rFonts w:ascii="Times New Roman" w:hAnsi="Times New Roman" w:cs="Times New Roman"/>
          <w:sz w:val="24"/>
          <w:szCs w:val="24"/>
        </w:rPr>
        <w:t xml:space="preserve"> 2000). Since liquid assets are associated with lower returns</w:t>
      </w:r>
      <w:r w:rsidR="00CF28CA" w:rsidRPr="008A7487">
        <w:rPr>
          <w:rFonts w:ascii="Times New Roman" w:hAnsi="Times New Roman" w:cs="Times New Roman"/>
          <w:sz w:val="24"/>
          <w:szCs w:val="24"/>
        </w:rPr>
        <w:t>,</w:t>
      </w:r>
      <w:r w:rsidRPr="008A7487">
        <w:rPr>
          <w:rFonts w:ascii="Times New Roman" w:hAnsi="Times New Roman" w:cs="Times New Roman"/>
          <w:sz w:val="24"/>
          <w:szCs w:val="24"/>
        </w:rPr>
        <w:t xml:space="preserve"> and </w:t>
      </w:r>
      <w:r w:rsidR="00CF28CA" w:rsidRPr="008A7487">
        <w:rPr>
          <w:rFonts w:ascii="Times New Roman" w:hAnsi="Times New Roman" w:cs="Times New Roman"/>
          <w:sz w:val="24"/>
          <w:szCs w:val="24"/>
        </w:rPr>
        <w:t xml:space="preserve">given that </w:t>
      </w:r>
      <w:r w:rsidRPr="008A7487">
        <w:rPr>
          <w:rFonts w:ascii="Times New Roman" w:hAnsi="Times New Roman" w:cs="Times New Roman"/>
          <w:sz w:val="24"/>
          <w:szCs w:val="24"/>
        </w:rPr>
        <w:t xml:space="preserve">banks in Africa maintain high liquidity to ensure financial stability, </w:t>
      </w:r>
      <w:r w:rsidR="00C86367" w:rsidRPr="008A7487">
        <w:rPr>
          <w:rFonts w:ascii="Times New Roman" w:hAnsi="Times New Roman" w:cs="Times New Roman"/>
          <w:sz w:val="24"/>
          <w:szCs w:val="24"/>
        </w:rPr>
        <w:lastRenderedPageBreak/>
        <w:t>theoretically</w:t>
      </w:r>
      <w:r w:rsidR="004E299B" w:rsidRPr="008A7487">
        <w:rPr>
          <w:rFonts w:ascii="Times New Roman" w:hAnsi="Times New Roman" w:cs="Times New Roman"/>
          <w:sz w:val="24"/>
          <w:szCs w:val="24"/>
        </w:rPr>
        <w:t>,</w:t>
      </w:r>
      <w:r w:rsidR="00C86367" w:rsidRPr="008A7487">
        <w:rPr>
          <w:rFonts w:ascii="Times New Roman" w:hAnsi="Times New Roman" w:cs="Times New Roman"/>
          <w:sz w:val="24"/>
          <w:szCs w:val="24"/>
        </w:rPr>
        <w:t xml:space="preserve"> </w:t>
      </w:r>
      <w:r w:rsidRPr="008A7487">
        <w:rPr>
          <w:rFonts w:ascii="Times New Roman" w:hAnsi="Times New Roman" w:cs="Times New Roman"/>
          <w:sz w:val="24"/>
          <w:szCs w:val="24"/>
        </w:rPr>
        <w:t xml:space="preserve">this study </w:t>
      </w:r>
      <w:r w:rsidR="000516A9" w:rsidRPr="008A7487">
        <w:rPr>
          <w:rFonts w:ascii="Times New Roman" w:hAnsi="Times New Roman" w:cs="Times New Roman"/>
          <w:sz w:val="24"/>
          <w:szCs w:val="24"/>
        </w:rPr>
        <w:t>predicts</w:t>
      </w:r>
      <w:r w:rsidRPr="008A7487">
        <w:rPr>
          <w:rFonts w:ascii="Times New Roman" w:hAnsi="Times New Roman" w:cs="Times New Roman"/>
          <w:sz w:val="24"/>
          <w:szCs w:val="24"/>
        </w:rPr>
        <w:t xml:space="preserve"> a negative relationship between liquidity and profitability</w:t>
      </w:r>
      <w:r w:rsidR="00D0282F" w:rsidRPr="008A7487">
        <w:rPr>
          <w:rFonts w:ascii="Times New Roman" w:hAnsi="Times New Roman" w:cs="Times New Roman"/>
          <w:sz w:val="24"/>
          <w:szCs w:val="24"/>
        </w:rPr>
        <w:t xml:space="preserve"> during and after the crisis</w:t>
      </w:r>
      <w:r w:rsidR="00F33E7A" w:rsidRPr="008A7487">
        <w:rPr>
          <w:rFonts w:ascii="Times New Roman" w:hAnsi="Times New Roman" w:cs="Times New Roman"/>
          <w:sz w:val="24"/>
          <w:szCs w:val="24"/>
        </w:rPr>
        <w:t xml:space="preserve"> due to the heightened banking risk</w:t>
      </w:r>
      <w:r w:rsidR="00707445" w:rsidRPr="008A7487">
        <w:rPr>
          <w:rFonts w:ascii="Times New Roman" w:hAnsi="Times New Roman" w:cs="Times New Roman"/>
          <w:sz w:val="24"/>
          <w:szCs w:val="24"/>
        </w:rPr>
        <w:t>. However, we cannot predict the direct</w:t>
      </w:r>
      <w:r w:rsidR="001B1C7C" w:rsidRPr="008A7487">
        <w:rPr>
          <w:rFonts w:ascii="Times New Roman" w:hAnsi="Times New Roman" w:cs="Times New Roman"/>
          <w:sz w:val="24"/>
          <w:szCs w:val="24"/>
        </w:rPr>
        <w:t>ion</w:t>
      </w:r>
      <w:r w:rsidR="00707445" w:rsidRPr="008A7487">
        <w:rPr>
          <w:rFonts w:ascii="Times New Roman" w:hAnsi="Times New Roman" w:cs="Times New Roman"/>
          <w:sz w:val="24"/>
          <w:szCs w:val="24"/>
        </w:rPr>
        <w:t xml:space="preserve"> of the relation</w:t>
      </w:r>
      <w:r w:rsidR="001B1C7C" w:rsidRPr="008A7487">
        <w:rPr>
          <w:rFonts w:ascii="Times New Roman" w:hAnsi="Times New Roman" w:cs="Times New Roman"/>
          <w:sz w:val="24"/>
          <w:szCs w:val="24"/>
        </w:rPr>
        <w:t>ship before the financial crisis</w:t>
      </w:r>
      <w:r w:rsidR="00707445" w:rsidRPr="008A7487">
        <w:rPr>
          <w:rFonts w:ascii="Times New Roman" w:hAnsi="Times New Roman" w:cs="Times New Roman"/>
          <w:sz w:val="24"/>
          <w:szCs w:val="24"/>
        </w:rPr>
        <w:t>.</w:t>
      </w:r>
      <w:r w:rsidR="00F33E7A" w:rsidRPr="008A7487">
        <w:rPr>
          <w:rFonts w:ascii="Times New Roman" w:hAnsi="Times New Roman" w:cs="Times New Roman"/>
          <w:sz w:val="24"/>
          <w:szCs w:val="24"/>
        </w:rPr>
        <w:t xml:space="preserve"> </w:t>
      </w:r>
    </w:p>
    <w:p w14:paraId="6C276823" w14:textId="77777777" w:rsidR="00707445" w:rsidRPr="008A7487" w:rsidRDefault="00707445" w:rsidP="00D0282F">
      <w:pPr>
        <w:spacing w:after="0" w:line="480" w:lineRule="auto"/>
        <w:ind w:firstLine="720"/>
        <w:jc w:val="both"/>
        <w:rPr>
          <w:rFonts w:ascii="Times New Roman" w:hAnsi="Times New Roman" w:cs="Times New Roman"/>
          <w:sz w:val="24"/>
          <w:szCs w:val="24"/>
        </w:rPr>
      </w:pPr>
    </w:p>
    <w:p w14:paraId="3ED2EAD2" w14:textId="2CD05D63" w:rsidR="00707445" w:rsidRPr="008A7487" w:rsidRDefault="00707445" w:rsidP="00054D13">
      <w:pPr>
        <w:spacing w:after="0" w:line="480" w:lineRule="auto"/>
        <w:jc w:val="both"/>
        <w:rPr>
          <w:rFonts w:ascii="Times New Roman" w:hAnsi="Times New Roman" w:cs="Times New Roman"/>
          <w:i/>
          <w:sz w:val="24"/>
          <w:szCs w:val="24"/>
        </w:rPr>
      </w:pPr>
      <w:r w:rsidRPr="008A7487">
        <w:rPr>
          <w:rFonts w:ascii="Times New Roman" w:hAnsi="Times New Roman" w:cs="Times New Roman"/>
          <w:i/>
          <w:sz w:val="24"/>
          <w:szCs w:val="24"/>
        </w:rPr>
        <w:t xml:space="preserve">Market power  </w:t>
      </w:r>
    </w:p>
    <w:p w14:paraId="1C7BFC19" w14:textId="5B41DC90" w:rsidR="00427360" w:rsidRPr="008A7487" w:rsidRDefault="00707445" w:rsidP="00054D13">
      <w:pPr>
        <w:spacing w:after="0" w:line="480" w:lineRule="auto"/>
        <w:ind w:firstLine="720"/>
        <w:jc w:val="both"/>
        <w:rPr>
          <w:rFonts w:ascii="Times New Roman" w:hAnsi="Times New Roman" w:cs="Times New Roman"/>
          <w:sz w:val="24"/>
          <w:szCs w:val="24"/>
        </w:rPr>
      </w:pPr>
      <w:r w:rsidRPr="008A7487">
        <w:rPr>
          <w:rFonts w:ascii="Times New Roman" w:hAnsi="Times New Roman" w:cs="Times New Roman"/>
          <w:sz w:val="24"/>
          <w:szCs w:val="24"/>
        </w:rPr>
        <w:t>L</w:t>
      </w:r>
      <w:r w:rsidR="00F87193" w:rsidRPr="008A7487">
        <w:rPr>
          <w:rFonts w:ascii="Times New Roman" w:hAnsi="Times New Roman" w:cs="Times New Roman"/>
          <w:sz w:val="24"/>
          <w:szCs w:val="24"/>
        </w:rPr>
        <w:t>iterature</w:t>
      </w:r>
      <w:r w:rsidR="0008249D" w:rsidRPr="008A7487">
        <w:rPr>
          <w:rFonts w:ascii="Times New Roman" w:hAnsi="Times New Roman" w:cs="Times New Roman"/>
          <w:sz w:val="24"/>
          <w:szCs w:val="24"/>
        </w:rPr>
        <w:t xml:space="preserve"> </w:t>
      </w:r>
      <w:r w:rsidR="00F87193" w:rsidRPr="008A7487">
        <w:rPr>
          <w:rFonts w:ascii="Times New Roman" w:hAnsi="Times New Roman" w:cs="Times New Roman"/>
          <w:sz w:val="24"/>
          <w:szCs w:val="24"/>
        </w:rPr>
        <w:t>(</w:t>
      </w:r>
      <w:r w:rsidR="00EB638C" w:rsidRPr="008A7487">
        <w:rPr>
          <w:rFonts w:ascii="Times New Roman" w:hAnsi="Times New Roman" w:cs="Times New Roman"/>
          <w:sz w:val="24"/>
          <w:szCs w:val="24"/>
        </w:rPr>
        <w:t>Flamini et al.</w:t>
      </w:r>
      <w:r w:rsidR="00EB638C">
        <w:rPr>
          <w:rFonts w:ascii="Times New Roman" w:hAnsi="Times New Roman" w:cs="Times New Roman"/>
          <w:sz w:val="24"/>
          <w:szCs w:val="24"/>
        </w:rPr>
        <w:t>,</w:t>
      </w:r>
      <w:r w:rsidR="00EB638C" w:rsidRPr="008A7487">
        <w:rPr>
          <w:rFonts w:ascii="Times New Roman" w:hAnsi="Times New Roman" w:cs="Times New Roman"/>
          <w:sz w:val="24"/>
          <w:szCs w:val="24"/>
        </w:rPr>
        <w:t xml:space="preserve"> 2009</w:t>
      </w:r>
      <w:r w:rsidR="00EB638C">
        <w:rPr>
          <w:rFonts w:ascii="Times New Roman" w:hAnsi="Times New Roman" w:cs="Times New Roman"/>
          <w:sz w:val="24"/>
          <w:szCs w:val="24"/>
        </w:rPr>
        <w:t xml:space="preserve">; </w:t>
      </w:r>
      <w:r w:rsidR="0008249D" w:rsidRPr="008A7487">
        <w:rPr>
          <w:rFonts w:ascii="Times New Roman" w:hAnsi="Times New Roman" w:cs="Times New Roman"/>
          <w:sz w:val="24"/>
          <w:szCs w:val="24"/>
        </w:rPr>
        <w:t>Athanasogl</w:t>
      </w:r>
      <w:r w:rsidR="00EF728D" w:rsidRPr="008A7487">
        <w:rPr>
          <w:rFonts w:ascii="Times New Roman" w:hAnsi="Times New Roman" w:cs="Times New Roman"/>
          <w:sz w:val="24"/>
          <w:szCs w:val="24"/>
        </w:rPr>
        <w:t>o</w:t>
      </w:r>
      <w:r w:rsidR="0008249D" w:rsidRPr="008A7487">
        <w:rPr>
          <w:rFonts w:ascii="Times New Roman" w:hAnsi="Times New Roman" w:cs="Times New Roman"/>
          <w:sz w:val="24"/>
          <w:szCs w:val="24"/>
        </w:rPr>
        <w:t xml:space="preserve">u et </w:t>
      </w:r>
      <w:r w:rsidR="009554E5" w:rsidRPr="008A7487">
        <w:rPr>
          <w:rFonts w:ascii="Times New Roman" w:hAnsi="Times New Roman" w:cs="Times New Roman"/>
          <w:sz w:val="24"/>
          <w:szCs w:val="24"/>
        </w:rPr>
        <w:t>al.</w:t>
      </w:r>
      <w:r w:rsidR="00AC1B76">
        <w:rPr>
          <w:rFonts w:ascii="Times New Roman" w:hAnsi="Times New Roman" w:cs="Times New Roman"/>
          <w:sz w:val="24"/>
          <w:szCs w:val="24"/>
        </w:rPr>
        <w:t>,</w:t>
      </w:r>
      <w:r w:rsidR="0094142C">
        <w:rPr>
          <w:rFonts w:ascii="Times New Roman" w:hAnsi="Times New Roman" w:cs="Times New Roman"/>
          <w:sz w:val="24"/>
          <w:szCs w:val="24"/>
        </w:rPr>
        <w:t xml:space="preserve"> 2008; Molyneux </w:t>
      </w:r>
      <w:r w:rsidR="00AC1B76">
        <w:rPr>
          <w:rFonts w:ascii="Times New Roman" w:hAnsi="Times New Roman" w:cs="Times New Roman"/>
          <w:sz w:val="24"/>
          <w:szCs w:val="24"/>
        </w:rPr>
        <w:t>&amp;</w:t>
      </w:r>
      <w:r w:rsidR="0094142C">
        <w:rPr>
          <w:rFonts w:ascii="Times New Roman" w:hAnsi="Times New Roman" w:cs="Times New Roman"/>
          <w:sz w:val="24"/>
          <w:szCs w:val="24"/>
        </w:rPr>
        <w:t xml:space="preserve"> Thornton</w:t>
      </w:r>
      <w:r w:rsidR="00AC1B76">
        <w:rPr>
          <w:rFonts w:ascii="Times New Roman" w:hAnsi="Times New Roman" w:cs="Times New Roman"/>
          <w:sz w:val="24"/>
          <w:szCs w:val="24"/>
        </w:rPr>
        <w:t>,</w:t>
      </w:r>
      <w:r w:rsidR="0008249D" w:rsidRPr="008A7487">
        <w:rPr>
          <w:rFonts w:ascii="Times New Roman" w:hAnsi="Times New Roman" w:cs="Times New Roman"/>
          <w:sz w:val="24"/>
          <w:szCs w:val="24"/>
        </w:rPr>
        <w:t xml:space="preserve"> 1992</w:t>
      </w:r>
      <w:r w:rsidR="00565C3B" w:rsidRPr="008A7487">
        <w:rPr>
          <w:rFonts w:ascii="Times New Roman" w:hAnsi="Times New Roman" w:cs="Times New Roman"/>
          <w:sz w:val="24"/>
          <w:szCs w:val="24"/>
        </w:rPr>
        <w:t>;</w:t>
      </w:r>
      <w:r w:rsidR="00EB638C" w:rsidRPr="00EB638C">
        <w:rPr>
          <w:rFonts w:ascii="Times New Roman" w:hAnsi="Times New Roman" w:cs="Times New Roman"/>
          <w:sz w:val="24"/>
          <w:szCs w:val="24"/>
        </w:rPr>
        <w:t xml:space="preserve"> </w:t>
      </w:r>
      <w:r w:rsidR="00EB638C">
        <w:rPr>
          <w:rFonts w:ascii="Times New Roman" w:hAnsi="Times New Roman" w:cs="Times New Roman"/>
          <w:sz w:val="24"/>
          <w:szCs w:val="24"/>
        </w:rPr>
        <w:t>Berger,</w:t>
      </w:r>
      <w:r w:rsidR="00EB638C" w:rsidRPr="008A7487">
        <w:rPr>
          <w:rFonts w:ascii="Times New Roman" w:hAnsi="Times New Roman" w:cs="Times New Roman"/>
          <w:sz w:val="24"/>
          <w:szCs w:val="24"/>
        </w:rPr>
        <w:t xml:space="preserve"> 1995b</w:t>
      </w:r>
      <w:r w:rsidR="00F87193" w:rsidRPr="008A7487">
        <w:rPr>
          <w:rFonts w:ascii="Times New Roman" w:hAnsi="Times New Roman" w:cs="Times New Roman"/>
          <w:sz w:val="24"/>
          <w:szCs w:val="24"/>
        </w:rPr>
        <w:t>)</w:t>
      </w:r>
      <w:r w:rsidR="004E299B" w:rsidRPr="008A7487">
        <w:rPr>
          <w:rFonts w:ascii="Times New Roman" w:hAnsi="Times New Roman" w:cs="Times New Roman"/>
          <w:sz w:val="24"/>
          <w:szCs w:val="24"/>
        </w:rPr>
        <w:t xml:space="preserve"> </w:t>
      </w:r>
      <w:r w:rsidRPr="008A7487">
        <w:rPr>
          <w:rFonts w:ascii="Times New Roman" w:hAnsi="Times New Roman" w:cs="Times New Roman"/>
          <w:sz w:val="24"/>
          <w:szCs w:val="24"/>
        </w:rPr>
        <w:t>reports mixed findings i</w:t>
      </w:r>
      <w:r w:rsidR="00F87193" w:rsidRPr="008A7487">
        <w:rPr>
          <w:rFonts w:ascii="Times New Roman" w:hAnsi="Times New Roman" w:cs="Times New Roman"/>
          <w:sz w:val="24"/>
          <w:szCs w:val="24"/>
        </w:rPr>
        <w:t xml:space="preserve">n the </w:t>
      </w:r>
      <w:r w:rsidR="006B52A4" w:rsidRPr="008A7487">
        <w:rPr>
          <w:rFonts w:ascii="Times New Roman" w:hAnsi="Times New Roman" w:cs="Times New Roman"/>
          <w:sz w:val="24"/>
          <w:szCs w:val="24"/>
        </w:rPr>
        <w:t xml:space="preserve">relationship between </w:t>
      </w:r>
      <w:r w:rsidR="008D688A" w:rsidRPr="008A7487">
        <w:rPr>
          <w:rFonts w:ascii="Times New Roman" w:hAnsi="Times New Roman" w:cs="Times New Roman"/>
          <w:sz w:val="24"/>
          <w:szCs w:val="24"/>
        </w:rPr>
        <w:t xml:space="preserve">market </w:t>
      </w:r>
      <w:r w:rsidR="008D688A" w:rsidRPr="008A7487">
        <w:rPr>
          <w:rFonts w:ascii="Times New Roman" w:hAnsi="Times New Roman" w:cs="Times New Roman"/>
          <w:sz w:val="24"/>
          <w:szCs w:val="24"/>
        </w:rPr>
        <w:lastRenderedPageBreak/>
        <w:t>power</w:t>
      </w:r>
      <w:r w:rsidR="006B52A4" w:rsidRPr="008A7487">
        <w:rPr>
          <w:rFonts w:ascii="Times New Roman" w:hAnsi="Times New Roman" w:cs="Times New Roman"/>
          <w:sz w:val="24"/>
          <w:szCs w:val="24"/>
        </w:rPr>
        <w:t xml:space="preserve"> and bank profitability.</w:t>
      </w:r>
      <w:r w:rsidR="00D0282F" w:rsidRPr="008A7487">
        <w:rPr>
          <w:rFonts w:ascii="Times New Roman" w:hAnsi="Times New Roman" w:cs="Times New Roman"/>
          <w:sz w:val="24"/>
          <w:szCs w:val="24"/>
        </w:rPr>
        <w:t xml:space="preserve"> </w:t>
      </w:r>
      <w:r w:rsidR="00F87193" w:rsidRPr="008A7487">
        <w:rPr>
          <w:rFonts w:ascii="Times New Roman" w:hAnsi="Times New Roman" w:cs="Times New Roman"/>
          <w:sz w:val="24"/>
          <w:szCs w:val="24"/>
        </w:rPr>
        <w:t xml:space="preserve">Flamini et </w:t>
      </w:r>
      <w:r w:rsidR="009554E5" w:rsidRPr="008A7487">
        <w:rPr>
          <w:rFonts w:ascii="Times New Roman" w:hAnsi="Times New Roman" w:cs="Times New Roman"/>
          <w:sz w:val="24"/>
          <w:szCs w:val="24"/>
        </w:rPr>
        <w:t>al.</w:t>
      </w:r>
      <w:r w:rsidR="00F87193" w:rsidRPr="008A7487">
        <w:rPr>
          <w:rFonts w:ascii="Times New Roman" w:hAnsi="Times New Roman" w:cs="Times New Roman"/>
          <w:sz w:val="24"/>
          <w:szCs w:val="24"/>
        </w:rPr>
        <w:t xml:space="preserve"> (2009)</w:t>
      </w:r>
      <w:r w:rsidR="00F36886" w:rsidRPr="008A7487">
        <w:rPr>
          <w:rFonts w:ascii="Times New Roman" w:hAnsi="Times New Roman" w:cs="Times New Roman"/>
          <w:sz w:val="24"/>
          <w:szCs w:val="24"/>
        </w:rPr>
        <w:t xml:space="preserve"> argued that</w:t>
      </w:r>
      <w:r w:rsidR="00F87193" w:rsidRPr="008A7487">
        <w:rPr>
          <w:rFonts w:ascii="Times New Roman" w:hAnsi="Times New Roman" w:cs="Times New Roman"/>
          <w:sz w:val="24"/>
          <w:szCs w:val="24"/>
        </w:rPr>
        <w:t xml:space="preserve"> high market concentration should allow banks with higher market power to protect their earning even during unfavour</w:t>
      </w:r>
      <w:r w:rsidR="00F36886" w:rsidRPr="008A7487">
        <w:rPr>
          <w:rFonts w:ascii="Times New Roman" w:hAnsi="Times New Roman" w:cs="Times New Roman"/>
          <w:sz w:val="24"/>
          <w:szCs w:val="24"/>
        </w:rPr>
        <w:t>able macro</w:t>
      </w:r>
      <w:r w:rsidR="00DF5ACD" w:rsidRPr="008A7487">
        <w:rPr>
          <w:rFonts w:ascii="Times New Roman" w:hAnsi="Times New Roman" w:cs="Times New Roman"/>
          <w:sz w:val="24"/>
          <w:szCs w:val="24"/>
        </w:rPr>
        <w:t>-</w:t>
      </w:r>
      <w:r w:rsidR="00F36886" w:rsidRPr="008A7487">
        <w:rPr>
          <w:rFonts w:ascii="Times New Roman" w:hAnsi="Times New Roman" w:cs="Times New Roman"/>
          <w:sz w:val="24"/>
          <w:szCs w:val="24"/>
        </w:rPr>
        <w:t>economic conditions</w:t>
      </w:r>
      <w:r w:rsidR="006021C4" w:rsidRPr="008A7487">
        <w:rPr>
          <w:rFonts w:ascii="Times New Roman" w:hAnsi="Times New Roman" w:cs="Times New Roman"/>
          <w:sz w:val="24"/>
          <w:szCs w:val="24"/>
        </w:rPr>
        <w:t xml:space="preserve"> and possibly during the financial crisis,</w:t>
      </w:r>
      <w:r w:rsidR="00F36886" w:rsidRPr="008A7487">
        <w:rPr>
          <w:rFonts w:ascii="Times New Roman" w:hAnsi="Times New Roman" w:cs="Times New Roman"/>
          <w:sz w:val="24"/>
          <w:szCs w:val="24"/>
        </w:rPr>
        <w:t xml:space="preserve"> s</w:t>
      </w:r>
      <w:r w:rsidR="00F87193" w:rsidRPr="008A7487">
        <w:rPr>
          <w:rFonts w:ascii="Times New Roman" w:hAnsi="Times New Roman" w:cs="Times New Roman"/>
          <w:sz w:val="24"/>
          <w:szCs w:val="24"/>
        </w:rPr>
        <w:t>ince they can control their operating cost</w:t>
      </w:r>
      <w:r w:rsidR="007F0598">
        <w:rPr>
          <w:rFonts w:ascii="Times New Roman" w:hAnsi="Times New Roman" w:cs="Times New Roman"/>
          <w:sz w:val="24"/>
          <w:szCs w:val="24"/>
        </w:rPr>
        <w:t>s</w:t>
      </w:r>
      <w:r w:rsidR="00F87193" w:rsidRPr="008A7487">
        <w:rPr>
          <w:rFonts w:ascii="Times New Roman" w:hAnsi="Times New Roman" w:cs="Times New Roman"/>
          <w:sz w:val="24"/>
          <w:szCs w:val="24"/>
        </w:rPr>
        <w:t xml:space="preserve"> whilst being able to determine</w:t>
      </w:r>
      <w:r w:rsidR="00F36886" w:rsidRPr="008A7487">
        <w:rPr>
          <w:rFonts w:ascii="Times New Roman" w:hAnsi="Times New Roman" w:cs="Times New Roman"/>
          <w:sz w:val="24"/>
          <w:szCs w:val="24"/>
        </w:rPr>
        <w:t xml:space="preserve"> their revenue</w:t>
      </w:r>
      <w:r w:rsidR="00F87193" w:rsidRPr="008A7487">
        <w:rPr>
          <w:rFonts w:ascii="Times New Roman" w:hAnsi="Times New Roman" w:cs="Times New Roman"/>
          <w:sz w:val="24"/>
          <w:szCs w:val="24"/>
        </w:rPr>
        <w:t xml:space="preserve">. </w:t>
      </w:r>
      <w:r w:rsidR="006B52A4" w:rsidRPr="008A7487">
        <w:rPr>
          <w:rFonts w:ascii="Times New Roman" w:hAnsi="Times New Roman" w:cs="Times New Roman"/>
          <w:sz w:val="24"/>
          <w:szCs w:val="24"/>
        </w:rPr>
        <w:t xml:space="preserve">However, Ahokpossi (2013) notes that an inverse relationship is also possible if </w:t>
      </w:r>
      <w:r w:rsidR="00C0026C" w:rsidRPr="008A7487">
        <w:rPr>
          <w:rFonts w:ascii="Times New Roman" w:hAnsi="Times New Roman" w:cs="Times New Roman"/>
          <w:sz w:val="24"/>
          <w:szCs w:val="24"/>
        </w:rPr>
        <w:t xml:space="preserve">banks with high market power temporarily deliberately reduce their price to evict </w:t>
      </w:r>
      <w:r w:rsidR="00F36886" w:rsidRPr="008A7487">
        <w:rPr>
          <w:rFonts w:ascii="Times New Roman" w:hAnsi="Times New Roman" w:cs="Times New Roman"/>
          <w:sz w:val="24"/>
          <w:szCs w:val="24"/>
        </w:rPr>
        <w:t>other competitor</w:t>
      </w:r>
      <w:r w:rsidR="007334F2" w:rsidRPr="008A7487">
        <w:rPr>
          <w:rFonts w:ascii="Times New Roman" w:hAnsi="Times New Roman" w:cs="Times New Roman"/>
          <w:sz w:val="24"/>
          <w:szCs w:val="24"/>
        </w:rPr>
        <w:t>s</w:t>
      </w:r>
      <w:r w:rsidR="00F36886" w:rsidRPr="008A7487">
        <w:rPr>
          <w:rFonts w:ascii="Times New Roman" w:hAnsi="Times New Roman" w:cs="Times New Roman"/>
          <w:sz w:val="24"/>
          <w:szCs w:val="24"/>
        </w:rPr>
        <w:t xml:space="preserve"> or if they use</w:t>
      </w:r>
      <w:r w:rsidR="00C0026C" w:rsidRPr="008A7487">
        <w:rPr>
          <w:rFonts w:ascii="Times New Roman" w:hAnsi="Times New Roman" w:cs="Times New Roman"/>
          <w:sz w:val="24"/>
          <w:szCs w:val="24"/>
        </w:rPr>
        <w:t xml:space="preserve"> inte</w:t>
      </w:r>
      <w:r w:rsidR="006021C4" w:rsidRPr="008A7487">
        <w:rPr>
          <w:rFonts w:ascii="Times New Roman" w:hAnsi="Times New Roman" w:cs="Times New Roman"/>
          <w:sz w:val="24"/>
          <w:szCs w:val="24"/>
        </w:rPr>
        <w:t xml:space="preserve">rest income as a loss leader. </w:t>
      </w:r>
      <w:r w:rsidR="007E75A2" w:rsidRPr="008A7487">
        <w:rPr>
          <w:rFonts w:ascii="Times New Roman" w:hAnsi="Times New Roman" w:cs="Times New Roman"/>
          <w:sz w:val="24"/>
          <w:szCs w:val="24"/>
        </w:rPr>
        <w:t>This study anticipates</w:t>
      </w:r>
      <w:r w:rsidR="00E80162" w:rsidRPr="008A7487">
        <w:rPr>
          <w:rFonts w:ascii="Times New Roman" w:hAnsi="Times New Roman" w:cs="Times New Roman"/>
          <w:sz w:val="24"/>
          <w:szCs w:val="24"/>
        </w:rPr>
        <w:t xml:space="preserve"> a positive relationship </w:t>
      </w:r>
      <w:r w:rsidR="00E80162" w:rsidRPr="008A7487">
        <w:rPr>
          <w:rFonts w:ascii="Times New Roman" w:hAnsi="Times New Roman" w:cs="Times New Roman"/>
          <w:sz w:val="24"/>
          <w:szCs w:val="24"/>
        </w:rPr>
        <w:lastRenderedPageBreak/>
        <w:t xml:space="preserve">between </w:t>
      </w:r>
      <w:r w:rsidR="008D688A" w:rsidRPr="008A7487">
        <w:rPr>
          <w:rFonts w:ascii="Times New Roman" w:hAnsi="Times New Roman" w:cs="Times New Roman"/>
          <w:sz w:val="24"/>
          <w:szCs w:val="24"/>
        </w:rPr>
        <w:t>market power</w:t>
      </w:r>
      <w:r w:rsidR="00BB05EA" w:rsidRPr="008A7487">
        <w:rPr>
          <w:rFonts w:ascii="Times New Roman" w:hAnsi="Times New Roman" w:cs="Times New Roman"/>
          <w:sz w:val="24"/>
          <w:szCs w:val="24"/>
        </w:rPr>
        <w:t xml:space="preserve"> and bank profitability befo</w:t>
      </w:r>
      <w:r w:rsidR="00F33E7A" w:rsidRPr="008A7487">
        <w:rPr>
          <w:rFonts w:ascii="Times New Roman" w:hAnsi="Times New Roman" w:cs="Times New Roman"/>
          <w:sz w:val="24"/>
          <w:szCs w:val="24"/>
        </w:rPr>
        <w:t xml:space="preserve">re, during and after the crisis because market power could allow a bank greater efficiency and higher revenue especially in a monopolistic market and during period of uncertainty due to their resource advantage. </w:t>
      </w:r>
    </w:p>
    <w:p w14:paraId="22556319" w14:textId="77777777" w:rsidR="00054D13" w:rsidRPr="008A7487" w:rsidRDefault="00054D13" w:rsidP="00707445">
      <w:pPr>
        <w:spacing w:after="0" w:line="480" w:lineRule="auto"/>
        <w:jc w:val="both"/>
        <w:rPr>
          <w:rFonts w:ascii="Times New Roman" w:hAnsi="Times New Roman" w:cs="Times New Roman"/>
          <w:b/>
          <w:sz w:val="24"/>
          <w:szCs w:val="24"/>
        </w:rPr>
      </w:pPr>
    </w:p>
    <w:p w14:paraId="3EB4DF86" w14:textId="6C667AA2" w:rsidR="00E73B69" w:rsidRPr="008A7487" w:rsidRDefault="00D37378" w:rsidP="00707445">
      <w:pPr>
        <w:spacing w:after="0" w:line="480" w:lineRule="auto"/>
        <w:jc w:val="both"/>
        <w:rPr>
          <w:rFonts w:ascii="Times New Roman" w:hAnsi="Times New Roman" w:cs="Times New Roman"/>
          <w:b/>
          <w:sz w:val="24"/>
          <w:szCs w:val="24"/>
        </w:rPr>
      </w:pPr>
      <w:r w:rsidRPr="008A7487">
        <w:rPr>
          <w:rFonts w:ascii="Times New Roman" w:hAnsi="Times New Roman" w:cs="Times New Roman"/>
          <w:b/>
          <w:sz w:val="24"/>
          <w:szCs w:val="24"/>
        </w:rPr>
        <w:t>3</w:t>
      </w:r>
      <w:r w:rsidR="0097246F" w:rsidRPr="008A7487">
        <w:rPr>
          <w:rFonts w:ascii="Times New Roman" w:hAnsi="Times New Roman" w:cs="Times New Roman"/>
          <w:b/>
          <w:sz w:val="24"/>
          <w:szCs w:val="24"/>
        </w:rPr>
        <w:t>.2</w:t>
      </w:r>
      <w:r w:rsidR="00563D46" w:rsidRPr="008A7487">
        <w:rPr>
          <w:rFonts w:ascii="Times New Roman" w:hAnsi="Times New Roman" w:cs="Times New Roman"/>
          <w:b/>
          <w:sz w:val="24"/>
          <w:szCs w:val="24"/>
        </w:rPr>
        <w:tab/>
      </w:r>
      <w:r w:rsidR="00691A1D" w:rsidRPr="008A7487">
        <w:rPr>
          <w:rFonts w:ascii="Times New Roman" w:hAnsi="Times New Roman" w:cs="Times New Roman"/>
          <w:b/>
          <w:sz w:val="24"/>
          <w:szCs w:val="24"/>
        </w:rPr>
        <w:t>Macroeconomic f</w:t>
      </w:r>
      <w:r w:rsidR="00BA1CC8" w:rsidRPr="008A7487">
        <w:rPr>
          <w:rFonts w:ascii="Times New Roman" w:hAnsi="Times New Roman" w:cs="Times New Roman"/>
          <w:b/>
          <w:sz w:val="24"/>
          <w:szCs w:val="24"/>
        </w:rPr>
        <w:t>actors</w:t>
      </w:r>
    </w:p>
    <w:p w14:paraId="3BEFE48F" w14:textId="3AC669C3" w:rsidR="00F04449" w:rsidRPr="008A7487" w:rsidRDefault="00EE025E" w:rsidP="00743D98">
      <w:pPr>
        <w:spacing w:after="0" w:line="480" w:lineRule="auto"/>
        <w:ind w:firstLine="720"/>
        <w:jc w:val="both"/>
        <w:rPr>
          <w:rFonts w:ascii="Times New Roman" w:hAnsi="Times New Roman" w:cs="Times New Roman"/>
          <w:sz w:val="24"/>
          <w:szCs w:val="24"/>
        </w:rPr>
      </w:pPr>
      <w:r w:rsidRPr="008A7487">
        <w:rPr>
          <w:rFonts w:ascii="Times New Roman" w:hAnsi="Times New Roman" w:cs="Times New Roman"/>
          <w:sz w:val="24"/>
          <w:szCs w:val="24"/>
        </w:rPr>
        <w:t>This</w:t>
      </w:r>
      <w:r w:rsidR="00DC3059" w:rsidRPr="008A7487">
        <w:rPr>
          <w:rFonts w:ascii="Times New Roman" w:hAnsi="Times New Roman" w:cs="Times New Roman"/>
          <w:sz w:val="24"/>
          <w:szCs w:val="24"/>
        </w:rPr>
        <w:t xml:space="preserve"> </w:t>
      </w:r>
      <w:r w:rsidR="00ED52A2" w:rsidRPr="008A7487">
        <w:rPr>
          <w:rFonts w:ascii="Times New Roman" w:hAnsi="Times New Roman" w:cs="Times New Roman"/>
          <w:sz w:val="24"/>
          <w:szCs w:val="24"/>
        </w:rPr>
        <w:t>section presents the literature on the macro</w:t>
      </w:r>
      <w:r w:rsidR="009C550A" w:rsidRPr="008A7487">
        <w:rPr>
          <w:rFonts w:ascii="Times New Roman" w:hAnsi="Times New Roman" w:cs="Times New Roman"/>
          <w:sz w:val="24"/>
          <w:szCs w:val="24"/>
        </w:rPr>
        <w:t>-</w:t>
      </w:r>
      <w:r w:rsidR="00ED52A2" w:rsidRPr="008A7487">
        <w:rPr>
          <w:rFonts w:ascii="Times New Roman" w:hAnsi="Times New Roman" w:cs="Times New Roman"/>
          <w:sz w:val="24"/>
          <w:szCs w:val="24"/>
        </w:rPr>
        <w:t xml:space="preserve">economic determinants of bank profitability. </w:t>
      </w:r>
    </w:p>
    <w:p w14:paraId="03A8A1D9" w14:textId="77777777" w:rsidR="00707445" w:rsidRPr="008A7487" w:rsidRDefault="00707445" w:rsidP="00707445">
      <w:pPr>
        <w:spacing w:after="0" w:line="480" w:lineRule="auto"/>
        <w:jc w:val="both"/>
        <w:rPr>
          <w:rFonts w:ascii="Times New Roman" w:hAnsi="Times New Roman" w:cs="Times New Roman"/>
          <w:b/>
          <w:sz w:val="24"/>
          <w:szCs w:val="24"/>
        </w:rPr>
      </w:pPr>
    </w:p>
    <w:p w14:paraId="23B3A84B" w14:textId="77777777" w:rsidR="00707445" w:rsidRPr="008A7487" w:rsidRDefault="00EE025E" w:rsidP="00707445">
      <w:pPr>
        <w:spacing w:after="0" w:line="480" w:lineRule="auto"/>
        <w:jc w:val="both"/>
        <w:rPr>
          <w:rFonts w:ascii="Times New Roman" w:hAnsi="Times New Roman" w:cs="Times New Roman"/>
          <w:i/>
          <w:sz w:val="24"/>
          <w:szCs w:val="24"/>
        </w:rPr>
      </w:pPr>
      <w:r w:rsidRPr="008A7487">
        <w:rPr>
          <w:rFonts w:ascii="Times New Roman" w:hAnsi="Times New Roman" w:cs="Times New Roman"/>
          <w:i/>
          <w:sz w:val="24"/>
          <w:szCs w:val="24"/>
        </w:rPr>
        <w:t xml:space="preserve">Growth in </w:t>
      </w:r>
      <w:r w:rsidR="00691A1D" w:rsidRPr="008A7487">
        <w:rPr>
          <w:rFonts w:ascii="Times New Roman" w:hAnsi="Times New Roman" w:cs="Times New Roman"/>
          <w:i/>
          <w:sz w:val="24"/>
          <w:szCs w:val="24"/>
        </w:rPr>
        <w:t>gross domestic p</w:t>
      </w:r>
      <w:r w:rsidR="00821E1C" w:rsidRPr="008A7487">
        <w:rPr>
          <w:rFonts w:ascii="Times New Roman" w:hAnsi="Times New Roman" w:cs="Times New Roman"/>
          <w:i/>
          <w:sz w:val="24"/>
          <w:szCs w:val="24"/>
        </w:rPr>
        <w:t xml:space="preserve">roduct (GDP):  </w:t>
      </w:r>
    </w:p>
    <w:p w14:paraId="7F180B59" w14:textId="09374087" w:rsidR="00F536E1" w:rsidRPr="008A7487" w:rsidRDefault="002C4C72" w:rsidP="00186488">
      <w:pPr>
        <w:spacing w:after="0" w:line="480" w:lineRule="auto"/>
        <w:ind w:firstLine="720"/>
        <w:jc w:val="both"/>
        <w:rPr>
          <w:rFonts w:ascii="Times New Roman" w:hAnsi="Times New Roman" w:cs="Times New Roman"/>
          <w:sz w:val="24"/>
          <w:szCs w:val="24"/>
        </w:rPr>
      </w:pPr>
      <w:r w:rsidRPr="008A7487">
        <w:rPr>
          <w:rFonts w:ascii="Times New Roman" w:hAnsi="Times New Roman" w:cs="Times New Roman"/>
          <w:sz w:val="24"/>
          <w:szCs w:val="24"/>
        </w:rPr>
        <w:lastRenderedPageBreak/>
        <w:t>The</w:t>
      </w:r>
      <w:r w:rsidR="00457FC7" w:rsidRPr="008A7487">
        <w:rPr>
          <w:rFonts w:ascii="Times New Roman" w:hAnsi="Times New Roman" w:cs="Times New Roman"/>
          <w:sz w:val="24"/>
          <w:szCs w:val="24"/>
        </w:rPr>
        <w:t xml:space="preserve">re </w:t>
      </w:r>
      <w:r w:rsidR="00EC4A9C" w:rsidRPr="008A7487">
        <w:rPr>
          <w:rFonts w:ascii="Times New Roman" w:hAnsi="Times New Roman" w:cs="Times New Roman"/>
          <w:sz w:val="24"/>
          <w:szCs w:val="24"/>
        </w:rPr>
        <w:t>is an</w:t>
      </w:r>
      <w:r w:rsidR="00ED52A2" w:rsidRPr="008A7487">
        <w:rPr>
          <w:rFonts w:ascii="Times New Roman" w:hAnsi="Times New Roman" w:cs="Times New Roman"/>
          <w:sz w:val="24"/>
          <w:szCs w:val="24"/>
        </w:rPr>
        <w:t xml:space="preserve"> expectation of </w:t>
      </w:r>
      <w:r w:rsidR="00457FC7" w:rsidRPr="008A7487">
        <w:rPr>
          <w:rFonts w:ascii="Times New Roman" w:hAnsi="Times New Roman" w:cs="Times New Roman"/>
          <w:sz w:val="24"/>
          <w:szCs w:val="24"/>
        </w:rPr>
        <w:t xml:space="preserve">a positive </w:t>
      </w:r>
      <w:r w:rsidR="008D688A" w:rsidRPr="008A7487">
        <w:rPr>
          <w:rFonts w:ascii="Times New Roman" w:hAnsi="Times New Roman" w:cs="Times New Roman"/>
          <w:sz w:val="24"/>
          <w:szCs w:val="24"/>
        </w:rPr>
        <w:t>relationship</w:t>
      </w:r>
      <w:r w:rsidR="00457FC7" w:rsidRPr="008A7487">
        <w:rPr>
          <w:rFonts w:ascii="Times New Roman" w:hAnsi="Times New Roman" w:cs="Times New Roman"/>
          <w:sz w:val="24"/>
          <w:szCs w:val="24"/>
        </w:rPr>
        <w:t xml:space="preserve"> between </w:t>
      </w:r>
      <w:r w:rsidR="00ED52A2" w:rsidRPr="008A7487">
        <w:rPr>
          <w:rFonts w:ascii="Times New Roman" w:hAnsi="Times New Roman" w:cs="Times New Roman"/>
          <w:sz w:val="24"/>
          <w:szCs w:val="24"/>
        </w:rPr>
        <w:t>bank</w:t>
      </w:r>
      <w:r w:rsidR="00A543AE" w:rsidRPr="008A7487">
        <w:rPr>
          <w:rFonts w:ascii="Times New Roman" w:hAnsi="Times New Roman" w:cs="Times New Roman"/>
          <w:sz w:val="24"/>
          <w:szCs w:val="24"/>
        </w:rPr>
        <w:t xml:space="preserve"> profitability</w:t>
      </w:r>
      <w:r w:rsidRPr="008A7487">
        <w:rPr>
          <w:rFonts w:ascii="Times New Roman" w:hAnsi="Times New Roman" w:cs="Times New Roman"/>
          <w:sz w:val="24"/>
          <w:szCs w:val="24"/>
        </w:rPr>
        <w:t xml:space="preserve"> </w:t>
      </w:r>
      <w:r w:rsidR="00457FC7" w:rsidRPr="008A7487">
        <w:rPr>
          <w:rFonts w:ascii="Times New Roman" w:hAnsi="Times New Roman" w:cs="Times New Roman"/>
          <w:sz w:val="24"/>
          <w:szCs w:val="24"/>
        </w:rPr>
        <w:t xml:space="preserve">and the </w:t>
      </w:r>
      <w:r w:rsidR="00EE025E" w:rsidRPr="008A7487">
        <w:rPr>
          <w:rFonts w:ascii="Times New Roman" w:hAnsi="Times New Roman" w:cs="Times New Roman"/>
          <w:sz w:val="24"/>
          <w:szCs w:val="24"/>
        </w:rPr>
        <w:t xml:space="preserve">growth in </w:t>
      </w:r>
      <w:r w:rsidR="00457FC7" w:rsidRPr="008A7487">
        <w:rPr>
          <w:rFonts w:ascii="Times New Roman" w:hAnsi="Times New Roman" w:cs="Times New Roman"/>
          <w:sz w:val="24"/>
          <w:szCs w:val="24"/>
        </w:rPr>
        <w:t>GDP</w:t>
      </w:r>
      <w:r w:rsidR="00EE025E" w:rsidRPr="008A7487">
        <w:rPr>
          <w:rFonts w:ascii="Times New Roman" w:hAnsi="Times New Roman" w:cs="Times New Roman"/>
          <w:sz w:val="24"/>
          <w:szCs w:val="24"/>
        </w:rPr>
        <w:t xml:space="preserve"> (</w:t>
      </w:r>
      <w:r w:rsidR="007372EF" w:rsidRPr="008A7487">
        <w:rPr>
          <w:rFonts w:ascii="Times New Roman" w:hAnsi="Times New Roman" w:cs="Times New Roman"/>
          <w:sz w:val="24"/>
          <w:szCs w:val="24"/>
        </w:rPr>
        <w:t>Athanasoglou et al.</w:t>
      </w:r>
      <w:r w:rsidR="00AC1B76">
        <w:rPr>
          <w:rFonts w:ascii="Times New Roman" w:hAnsi="Times New Roman" w:cs="Times New Roman"/>
          <w:sz w:val="24"/>
          <w:szCs w:val="24"/>
        </w:rPr>
        <w:t>,</w:t>
      </w:r>
      <w:r w:rsidR="005A041B" w:rsidRPr="008A7487">
        <w:rPr>
          <w:rFonts w:ascii="Times New Roman" w:hAnsi="Times New Roman" w:cs="Times New Roman"/>
          <w:sz w:val="24"/>
          <w:szCs w:val="24"/>
        </w:rPr>
        <w:t xml:space="preserve"> 2014; </w:t>
      </w:r>
      <w:r w:rsidR="0094142C">
        <w:rPr>
          <w:rFonts w:ascii="Times New Roman" w:hAnsi="Times New Roman" w:cs="Times New Roman"/>
          <w:sz w:val="24"/>
          <w:szCs w:val="24"/>
        </w:rPr>
        <w:t xml:space="preserve">Albertazzi </w:t>
      </w:r>
      <w:r w:rsidR="00AC1B76">
        <w:rPr>
          <w:rFonts w:ascii="Times New Roman" w:hAnsi="Times New Roman" w:cs="Times New Roman"/>
          <w:sz w:val="24"/>
          <w:szCs w:val="24"/>
        </w:rPr>
        <w:t>&amp;</w:t>
      </w:r>
      <w:r w:rsidR="0094142C">
        <w:rPr>
          <w:rFonts w:ascii="Times New Roman" w:hAnsi="Times New Roman" w:cs="Times New Roman"/>
          <w:sz w:val="24"/>
          <w:szCs w:val="24"/>
        </w:rPr>
        <w:t xml:space="preserve"> Gambacorta</w:t>
      </w:r>
      <w:r w:rsidR="00AC1B76">
        <w:rPr>
          <w:rFonts w:ascii="Times New Roman" w:hAnsi="Times New Roman" w:cs="Times New Roman"/>
          <w:sz w:val="24"/>
          <w:szCs w:val="24"/>
        </w:rPr>
        <w:t>,</w:t>
      </w:r>
      <w:r w:rsidR="0094142C">
        <w:rPr>
          <w:rFonts w:ascii="Times New Roman" w:hAnsi="Times New Roman" w:cs="Times New Roman"/>
          <w:sz w:val="24"/>
          <w:szCs w:val="24"/>
        </w:rPr>
        <w:t xml:space="preserve"> 2009; Bikker </w:t>
      </w:r>
      <w:r w:rsidR="00AC1B76">
        <w:rPr>
          <w:rFonts w:ascii="Times New Roman" w:hAnsi="Times New Roman" w:cs="Times New Roman"/>
          <w:sz w:val="24"/>
          <w:szCs w:val="24"/>
        </w:rPr>
        <w:t>&amp;</w:t>
      </w:r>
      <w:r w:rsidR="0094142C">
        <w:rPr>
          <w:rFonts w:ascii="Times New Roman" w:hAnsi="Times New Roman" w:cs="Times New Roman"/>
          <w:sz w:val="24"/>
          <w:szCs w:val="24"/>
        </w:rPr>
        <w:t xml:space="preserve"> Hu</w:t>
      </w:r>
      <w:r w:rsidR="00AC1B76">
        <w:rPr>
          <w:rFonts w:ascii="Times New Roman" w:hAnsi="Times New Roman" w:cs="Times New Roman"/>
          <w:sz w:val="24"/>
          <w:szCs w:val="24"/>
        </w:rPr>
        <w:t>,</w:t>
      </w:r>
      <w:r w:rsidR="008656F3" w:rsidRPr="008A7487">
        <w:rPr>
          <w:rFonts w:ascii="Times New Roman" w:hAnsi="Times New Roman" w:cs="Times New Roman"/>
          <w:sz w:val="24"/>
          <w:szCs w:val="24"/>
        </w:rPr>
        <w:t xml:space="preserve"> 2002</w:t>
      </w:r>
      <w:r w:rsidR="00EE025E" w:rsidRPr="008A7487">
        <w:rPr>
          <w:rFonts w:ascii="Times New Roman" w:hAnsi="Times New Roman" w:cs="Times New Roman"/>
          <w:sz w:val="24"/>
          <w:szCs w:val="24"/>
        </w:rPr>
        <w:t xml:space="preserve">). </w:t>
      </w:r>
      <w:r w:rsidR="006021C4" w:rsidRPr="008A7487">
        <w:rPr>
          <w:rFonts w:ascii="Times New Roman" w:hAnsi="Times New Roman" w:cs="Times New Roman"/>
          <w:sz w:val="24"/>
          <w:szCs w:val="24"/>
        </w:rPr>
        <w:t xml:space="preserve">This expectation is plausible during </w:t>
      </w:r>
      <w:r w:rsidR="00707445" w:rsidRPr="008A7487">
        <w:rPr>
          <w:rFonts w:ascii="Times New Roman" w:hAnsi="Times New Roman" w:cs="Times New Roman"/>
          <w:sz w:val="24"/>
          <w:szCs w:val="24"/>
        </w:rPr>
        <w:t xml:space="preserve">a </w:t>
      </w:r>
      <w:r w:rsidR="006021C4" w:rsidRPr="008A7487">
        <w:rPr>
          <w:rFonts w:ascii="Times New Roman" w:hAnsi="Times New Roman" w:cs="Times New Roman"/>
          <w:sz w:val="24"/>
          <w:szCs w:val="24"/>
        </w:rPr>
        <w:t>period of relative economic stability</w:t>
      </w:r>
      <w:r w:rsidR="008D688A" w:rsidRPr="008A7487">
        <w:rPr>
          <w:rFonts w:ascii="Times New Roman" w:hAnsi="Times New Roman" w:cs="Times New Roman"/>
          <w:sz w:val="24"/>
          <w:szCs w:val="24"/>
        </w:rPr>
        <w:t xml:space="preserve"> and growth</w:t>
      </w:r>
      <w:r w:rsidR="006021C4" w:rsidRPr="008A7487">
        <w:rPr>
          <w:rFonts w:ascii="Times New Roman" w:hAnsi="Times New Roman" w:cs="Times New Roman"/>
          <w:sz w:val="24"/>
          <w:szCs w:val="24"/>
        </w:rPr>
        <w:t xml:space="preserve">. </w:t>
      </w:r>
      <w:r w:rsidR="00EE025E" w:rsidRPr="008A7487">
        <w:rPr>
          <w:rFonts w:ascii="Times New Roman" w:hAnsi="Times New Roman" w:cs="Times New Roman"/>
          <w:sz w:val="24"/>
          <w:szCs w:val="24"/>
        </w:rPr>
        <w:t>This is because</w:t>
      </w:r>
      <w:r w:rsidR="00AC07FF" w:rsidRPr="008A7487">
        <w:rPr>
          <w:rFonts w:ascii="Times New Roman" w:hAnsi="Times New Roman" w:cs="Times New Roman"/>
          <w:sz w:val="24"/>
          <w:szCs w:val="24"/>
        </w:rPr>
        <w:t xml:space="preserve"> </w:t>
      </w:r>
      <w:r w:rsidR="00EE025E" w:rsidRPr="008A7487">
        <w:rPr>
          <w:rFonts w:ascii="Times New Roman" w:hAnsi="Times New Roman" w:cs="Times New Roman"/>
          <w:sz w:val="24"/>
          <w:szCs w:val="24"/>
        </w:rPr>
        <w:t>a</w:t>
      </w:r>
      <w:r w:rsidR="00DC3059" w:rsidRPr="008A7487">
        <w:rPr>
          <w:rFonts w:ascii="Times New Roman" w:hAnsi="Times New Roman" w:cs="Times New Roman"/>
          <w:sz w:val="24"/>
          <w:szCs w:val="24"/>
        </w:rPr>
        <w:t>n increase in productivity</w:t>
      </w:r>
      <w:r w:rsidR="002D3915" w:rsidRPr="008A7487">
        <w:rPr>
          <w:rFonts w:ascii="Times New Roman" w:hAnsi="Times New Roman" w:cs="Times New Roman"/>
          <w:sz w:val="24"/>
          <w:szCs w:val="24"/>
        </w:rPr>
        <w:t xml:space="preserve"> level</w:t>
      </w:r>
      <w:r w:rsidR="00DC3059" w:rsidRPr="008A7487">
        <w:rPr>
          <w:rFonts w:ascii="Times New Roman" w:hAnsi="Times New Roman" w:cs="Times New Roman"/>
          <w:sz w:val="24"/>
          <w:szCs w:val="24"/>
        </w:rPr>
        <w:t xml:space="preserve"> in a count</w:t>
      </w:r>
      <w:r w:rsidR="00707445" w:rsidRPr="008A7487">
        <w:rPr>
          <w:rFonts w:ascii="Times New Roman" w:hAnsi="Times New Roman" w:cs="Times New Roman"/>
          <w:sz w:val="24"/>
          <w:szCs w:val="24"/>
        </w:rPr>
        <w:t>r</w:t>
      </w:r>
      <w:r w:rsidR="00DC3059" w:rsidRPr="008A7487">
        <w:rPr>
          <w:rFonts w:ascii="Times New Roman" w:hAnsi="Times New Roman" w:cs="Times New Roman"/>
          <w:sz w:val="24"/>
          <w:szCs w:val="24"/>
        </w:rPr>
        <w:t>y</w:t>
      </w:r>
      <w:r w:rsidR="000876C9" w:rsidRPr="008A7487">
        <w:rPr>
          <w:rFonts w:ascii="Times New Roman" w:hAnsi="Times New Roman" w:cs="Times New Roman"/>
          <w:sz w:val="24"/>
          <w:szCs w:val="24"/>
        </w:rPr>
        <w:t>, all thing</w:t>
      </w:r>
      <w:r w:rsidR="003449BB">
        <w:rPr>
          <w:rFonts w:ascii="Times New Roman" w:hAnsi="Times New Roman" w:cs="Times New Roman"/>
          <w:sz w:val="24"/>
          <w:szCs w:val="24"/>
        </w:rPr>
        <w:t>s</w:t>
      </w:r>
      <w:r w:rsidR="000876C9" w:rsidRPr="008A7487">
        <w:rPr>
          <w:rFonts w:ascii="Times New Roman" w:hAnsi="Times New Roman" w:cs="Times New Roman"/>
          <w:sz w:val="24"/>
          <w:szCs w:val="24"/>
        </w:rPr>
        <w:t xml:space="preserve"> being equal</w:t>
      </w:r>
      <w:r w:rsidR="000516A9" w:rsidRPr="008A7487">
        <w:rPr>
          <w:rFonts w:ascii="Times New Roman" w:hAnsi="Times New Roman" w:cs="Times New Roman"/>
          <w:sz w:val="24"/>
          <w:szCs w:val="24"/>
        </w:rPr>
        <w:t>,</w:t>
      </w:r>
      <w:r w:rsidR="000876C9" w:rsidRPr="008A7487">
        <w:rPr>
          <w:rFonts w:ascii="Times New Roman" w:hAnsi="Times New Roman" w:cs="Times New Roman"/>
          <w:sz w:val="24"/>
          <w:szCs w:val="24"/>
        </w:rPr>
        <w:t xml:space="preserve"> should</w:t>
      </w:r>
      <w:r w:rsidR="00DC3059" w:rsidRPr="008A7487">
        <w:rPr>
          <w:rFonts w:ascii="Times New Roman" w:hAnsi="Times New Roman" w:cs="Times New Roman"/>
          <w:sz w:val="24"/>
          <w:szCs w:val="24"/>
        </w:rPr>
        <w:t xml:space="preserve"> lead to increase in disposable income </w:t>
      </w:r>
      <w:r w:rsidR="006021C4" w:rsidRPr="008A7487">
        <w:rPr>
          <w:rFonts w:ascii="Times New Roman" w:hAnsi="Times New Roman" w:cs="Times New Roman"/>
          <w:sz w:val="24"/>
          <w:szCs w:val="24"/>
        </w:rPr>
        <w:t>and</w:t>
      </w:r>
      <w:r w:rsidR="00DC3059" w:rsidRPr="008A7487">
        <w:rPr>
          <w:rFonts w:ascii="Times New Roman" w:hAnsi="Times New Roman" w:cs="Times New Roman"/>
          <w:sz w:val="24"/>
          <w:szCs w:val="24"/>
        </w:rPr>
        <w:t xml:space="preserve"> create conducive atmosphere for personal and corporate investment leading to </w:t>
      </w:r>
      <w:r w:rsidR="00A543AE" w:rsidRPr="008A7487">
        <w:rPr>
          <w:rFonts w:ascii="Times New Roman" w:hAnsi="Times New Roman" w:cs="Times New Roman"/>
          <w:sz w:val="24"/>
          <w:szCs w:val="24"/>
        </w:rPr>
        <w:t xml:space="preserve">increase in bank profitability due to increase in loan and credit </w:t>
      </w:r>
      <w:r w:rsidR="00EC4A9C" w:rsidRPr="008A7487">
        <w:rPr>
          <w:rFonts w:ascii="Times New Roman" w:hAnsi="Times New Roman" w:cs="Times New Roman"/>
          <w:sz w:val="24"/>
          <w:szCs w:val="24"/>
        </w:rPr>
        <w:t>(</w:t>
      </w:r>
      <w:r w:rsidR="007372EF" w:rsidRPr="008A7487">
        <w:rPr>
          <w:rFonts w:ascii="Times New Roman" w:hAnsi="Times New Roman" w:cs="Times New Roman"/>
          <w:sz w:val="24"/>
          <w:szCs w:val="24"/>
        </w:rPr>
        <w:t>Ath</w:t>
      </w:r>
      <w:r w:rsidR="007372EF" w:rsidRPr="008A7487">
        <w:rPr>
          <w:rFonts w:ascii="Times New Roman" w:hAnsi="Times New Roman" w:cs="Times New Roman"/>
          <w:sz w:val="24"/>
          <w:szCs w:val="24"/>
        </w:rPr>
        <w:lastRenderedPageBreak/>
        <w:t>anasoglou et al.</w:t>
      </w:r>
      <w:r w:rsidR="00AC1B76">
        <w:rPr>
          <w:rFonts w:ascii="Times New Roman" w:hAnsi="Times New Roman" w:cs="Times New Roman"/>
          <w:sz w:val="24"/>
          <w:szCs w:val="24"/>
        </w:rPr>
        <w:t>,</w:t>
      </w:r>
      <w:r w:rsidR="00CB2381" w:rsidRPr="008A7487">
        <w:rPr>
          <w:rFonts w:ascii="Times New Roman" w:hAnsi="Times New Roman" w:cs="Times New Roman"/>
          <w:sz w:val="24"/>
          <w:szCs w:val="24"/>
        </w:rPr>
        <w:t xml:space="preserve"> 2014)</w:t>
      </w:r>
      <w:r w:rsidR="000876C9" w:rsidRPr="008A7487">
        <w:rPr>
          <w:rFonts w:ascii="Times New Roman" w:hAnsi="Times New Roman" w:cs="Times New Roman"/>
          <w:sz w:val="24"/>
          <w:szCs w:val="24"/>
        </w:rPr>
        <w:t xml:space="preserve">. </w:t>
      </w:r>
      <w:r w:rsidR="00DC3059" w:rsidRPr="008A7487">
        <w:rPr>
          <w:rFonts w:ascii="Times New Roman" w:hAnsi="Times New Roman" w:cs="Times New Roman"/>
          <w:sz w:val="24"/>
          <w:szCs w:val="24"/>
        </w:rPr>
        <w:t xml:space="preserve">Previous studies that report positive relationship between </w:t>
      </w:r>
      <w:r w:rsidR="000876C9" w:rsidRPr="008A7487">
        <w:rPr>
          <w:rFonts w:ascii="Times New Roman" w:hAnsi="Times New Roman" w:cs="Times New Roman"/>
          <w:sz w:val="24"/>
          <w:szCs w:val="24"/>
        </w:rPr>
        <w:t xml:space="preserve">growth in </w:t>
      </w:r>
      <w:r w:rsidR="00DC3059" w:rsidRPr="008A7487">
        <w:rPr>
          <w:rFonts w:ascii="Times New Roman" w:hAnsi="Times New Roman" w:cs="Times New Roman"/>
          <w:sz w:val="24"/>
          <w:szCs w:val="24"/>
        </w:rPr>
        <w:t xml:space="preserve">GDP and bank profitability </w:t>
      </w:r>
      <w:r w:rsidR="00A543AE" w:rsidRPr="008A7487">
        <w:rPr>
          <w:rFonts w:ascii="Times New Roman" w:hAnsi="Times New Roman" w:cs="Times New Roman"/>
          <w:sz w:val="24"/>
          <w:szCs w:val="24"/>
        </w:rPr>
        <w:t xml:space="preserve">include </w:t>
      </w:r>
      <w:r w:rsidR="00DC3059" w:rsidRPr="008A7487">
        <w:rPr>
          <w:rFonts w:ascii="Times New Roman" w:hAnsi="Times New Roman" w:cs="Times New Roman"/>
          <w:sz w:val="24"/>
          <w:szCs w:val="24"/>
        </w:rPr>
        <w:t xml:space="preserve">Pasiouras </w:t>
      </w:r>
      <w:r w:rsidR="00CE6410">
        <w:rPr>
          <w:rFonts w:ascii="Times New Roman" w:hAnsi="Times New Roman" w:cs="Times New Roman"/>
          <w:sz w:val="24"/>
          <w:szCs w:val="24"/>
        </w:rPr>
        <w:t>&amp;</w:t>
      </w:r>
      <w:r w:rsidR="00DC3059" w:rsidRPr="008A7487">
        <w:rPr>
          <w:rFonts w:ascii="Times New Roman" w:hAnsi="Times New Roman" w:cs="Times New Roman"/>
          <w:sz w:val="24"/>
          <w:szCs w:val="24"/>
        </w:rPr>
        <w:t xml:space="preserve"> Kosmidou </w:t>
      </w:r>
      <w:r w:rsidR="00743D98" w:rsidRPr="008A7487">
        <w:rPr>
          <w:rFonts w:ascii="Times New Roman" w:hAnsi="Times New Roman" w:cs="Times New Roman"/>
          <w:sz w:val="24"/>
          <w:szCs w:val="24"/>
        </w:rPr>
        <w:t>(</w:t>
      </w:r>
      <w:r w:rsidR="00DC3059" w:rsidRPr="008A7487">
        <w:rPr>
          <w:rFonts w:ascii="Times New Roman" w:hAnsi="Times New Roman" w:cs="Times New Roman"/>
          <w:sz w:val="24"/>
          <w:szCs w:val="24"/>
        </w:rPr>
        <w:t>2007</w:t>
      </w:r>
      <w:r w:rsidR="00743D98" w:rsidRPr="008A7487">
        <w:rPr>
          <w:rFonts w:ascii="Times New Roman" w:hAnsi="Times New Roman" w:cs="Times New Roman"/>
          <w:sz w:val="24"/>
          <w:szCs w:val="24"/>
        </w:rPr>
        <w:t xml:space="preserve">), </w:t>
      </w:r>
      <w:r w:rsidR="007372EF" w:rsidRPr="008A7487">
        <w:rPr>
          <w:rFonts w:ascii="Times New Roman" w:hAnsi="Times New Roman" w:cs="Times New Roman"/>
          <w:sz w:val="24"/>
          <w:szCs w:val="24"/>
        </w:rPr>
        <w:t>Athanasoglou et al.</w:t>
      </w:r>
      <w:r w:rsidR="00EF728D" w:rsidRPr="008A7487">
        <w:rPr>
          <w:rFonts w:ascii="Times New Roman" w:hAnsi="Times New Roman" w:cs="Times New Roman"/>
          <w:sz w:val="24"/>
          <w:szCs w:val="24"/>
        </w:rPr>
        <w:t xml:space="preserve"> (2008)</w:t>
      </w:r>
      <w:r w:rsidR="00CB2381" w:rsidRPr="008A7487">
        <w:rPr>
          <w:rFonts w:ascii="Times New Roman" w:hAnsi="Times New Roman" w:cs="Times New Roman"/>
          <w:sz w:val="24"/>
          <w:szCs w:val="24"/>
        </w:rPr>
        <w:t xml:space="preserve"> </w:t>
      </w:r>
      <w:r w:rsidR="006F1BB5" w:rsidRPr="008A7487">
        <w:rPr>
          <w:rFonts w:ascii="Times New Roman" w:hAnsi="Times New Roman" w:cs="Times New Roman"/>
          <w:sz w:val="24"/>
          <w:szCs w:val="24"/>
        </w:rPr>
        <w:t>and Dietrich</w:t>
      </w:r>
      <w:r w:rsidR="00DC3059" w:rsidRPr="008A7487">
        <w:rPr>
          <w:rFonts w:ascii="Times New Roman" w:hAnsi="Times New Roman" w:cs="Times New Roman"/>
          <w:sz w:val="24"/>
          <w:szCs w:val="24"/>
        </w:rPr>
        <w:t xml:space="preserve"> </w:t>
      </w:r>
      <w:r w:rsidR="00AC1B76">
        <w:rPr>
          <w:rFonts w:ascii="Times New Roman" w:hAnsi="Times New Roman" w:cs="Times New Roman"/>
          <w:sz w:val="24"/>
          <w:szCs w:val="24"/>
        </w:rPr>
        <w:t>&amp;</w:t>
      </w:r>
      <w:r w:rsidR="00DC3059" w:rsidRPr="008A7487">
        <w:rPr>
          <w:rFonts w:ascii="Times New Roman" w:hAnsi="Times New Roman" w:cs="Times New Roman"/>
          <w:sz w:val="24"/>
          <w:szCs w:val="24"/>
        </w:rPr>
        <w:t xml:space="preserve"> W</w:t>
      </w:r>
      <w:r w:rsidR="00F536E1" w:rsidRPr="008A7487">
        <w:rPr>
          <w:rFonts w:ascii="Times New Roman" w:hAnsi="Times New Roman" w:cs="Times New Roman"/>
          <w:sz w:val="24"/>
          <w:szCs w:val="24"/>
        </w:rPr>
        <w:t>anzenried (2014).</w:t>
      </w:r>
    </w:p>
    <w:p w14:paraId="47EE1598" w14:textId="16A4D94C" w:rsidR="00FF2AE1" w:rsidRPr="008A7487" w:rsidRDefault="00F536E1" w:rsidP="00054D13">
      <w:pPr>
        <w:spacing w:after="0" w:line="480" w:lineRule="auto"/>
        <w:ind w:firstLine="720"/>
        <w:jc w:val="both"/>
        <w:rPr>
          <w:rFonts w:ascii="Times New Roman" w:hAnsi="Times New Roman" w:cs="Times New Roman"/>
          <w:i/>
          <w:sz w:val="24"/>
          <w:szCs w:val="24"/>
        </w:rPr>
      </w:pPr>
      <w:r w:rsidRPr="008A7487">
        <w:rPr>
          <w:rFonts w:ascii="Times New Roman" w:hAnsi="Times New Roman" w:cs="Times New Roman"/>
          <w:sz w:val="24"/>
          <w:szCs w:val="24"/>
        </w:rPr>
        <w:t xml:space="preserve">This relationship may </w:t>
      </w:r>
      <w:r w:rsidR="00FF2AE1" w:rsidRPr="008A7487">
        <w:rPr>
          <w:rFonts w:ascii="Times New Roman" w:hAnsi="Times New Roman" w:cs="Times New Roman"/>
          <w:sz w:val="24"/>
          <w:szCs w:val="24"/>
        </w:rPr>
        <w:t xml:space="preserve">become ambiguous </w:t>
      </w:r>
      <w:r w:rsidRPr="008A7487">
        <w:rPr>
          <w:rFonts w:ascii="Times New Roman" w:hAnsi="Times New Roman" w:cs="Times New Roman"/>
          <w:sz w:val="24"/>
          <w:szCs w:val="24"/>
        </w:rPr>
        <w:t>during the crisis period as national productivity falls in response to the crisis</w:t>
      </w:r>
      <w:r w:rsidR="00357AA1" w:rsidRPr="008A7487">
        <w:rPr>
          <w:rFonts w:ascii="Times New Roman" w:hAnsi="Times New Roman" w:cs="Times New Roman"/>
          <w:sz w:val="24"/>
          <w:szCs w:val="24"/>
        </w:rPr>
        <w:t>,</w:t>
      </w:r>
      <w:r w:rsidRPr="008A7487">
        <w:rPr>
          <w:rFonts w:ascii="Times New Roman" w:hAnsi="Times New Roman" w:cs="Times New Roman"/>
          <w:sz w:val="24"/>
          <w:szCs w:val="24"/>
        </w:rPr>
        <w:t xml:space="preserve"> and to reduction in bank lending. This cautious attitude</w:t>
      </w:r>
      <w:r w:rsidR="008E1253" w:rsidRPr="008A7487">
        <w:rPr>
          <w:rFonts w:ascii="Times New Roman" w:hAnsi="Times New Roman" w:cs="Times New Roman"/>
          <w:sz w:val="24"/>
          <w:szCs w:val="24"/>
        </w:rPr>
        <w:t xml:space="preserve"> seems</w:t>
      </w:r>
      <w:r w:rsidRPr="008A7487">
        <w:rPr>
          <w:rFonts w:ascii="Times New Roman" w:hAnsi="Times New Roman" w:cs="Times New Roman"/>
          <w:sz w:val="24"/>
          <w:szCs w:val="24"/>
        </w:rPr>
        <w:t xml:space="preserve"> to persist </w:t>
      </w:r>
      <w:r w:rsidR="00573E83" w:rsidRPr="008A7487">
        <w:rPr>
          <w:rFonts w:ascii="Times New Roman" w:hAnsi="Times New Roman" w:cs="Times New Roman"/>
          <w:sz w:val="24"/>
          <w:szCs w:val="24"/>
        </w:rPr>
        <w:t xml:space="preserve">well </w:t>
      </w:r>
      <w:r w:rsidRPr="008A7487">
        <w:rPr>
          <w:rFonts w:ascii="Times New Roman" w:hAnsi="Times New Roman" w:cs="Times New Roman"/>
          <w:sz w:val="24"/>
          <w:szCs w:val="24"/>
        </w:rPr>
        <w:t>after the crisis</w:t>
      </w:r>
      <w:r w:rsidR="00FF2AE1" w:rsidRPr="008A7487">
        <w:rPr>
          <w:rFonts w:ascii="Times New Roman" w:hAnsi="Times New Roman" w:cs="Times New Roman"/>
          <w:sz w:val="24"/>
          <w:szCs w:val="24"/>
        </w:rPr>
        <w:t xml:space="preserve"> </w:t>
      </w:r>
      <w:r w:rsidR="001B1C7C" w:rsidRPr="008A7487">
        <w:rPr>
          <w:rFonts w:ascii="Times New Roman" w:hAnsi="Times New Roman" w:cs="Times New Roman"/>
          <w:sz w:val="24"/>
          <w:szCs w:val="24"/>
        </w:rPr>
        <w:t>and may lead</w:t>
      </w:r>
      <w:r w:rsidR="00FF2AE1" w:rsidRPr="008A7487">
        <w:rPr>
          <w:rFonts w:ascii="Times New Roman" w:hAnsi="Times New Roman" w:cs="Times New Roman"/>
          <w:sz w:val="24"/>
          <w:szCs w:val="24"/>
        </w:rPr>
        <w:t xml:space="preserve"> to fall in bank profitability during and after the crisis</w:t>
      </w:r>
      <w:r w:rsidRPr="008A7487">
        <w:rPr>
          <w:rFonts w:ascii="Times New Roman" w:hAnsi="Times New Roman" w:cs="Times New Roman"/>
          <w:sz w:val="24"/>
          <w:szCs w:val="24"/>
        </w:rPr>
        <w:t xml:space="preserve">. </w:t>
      </w:r>
      <w:r w:rsidRPr="008A7487">
        <w:rPr>
          <w:rFonts w:ascii="Times New Roman" w:hAnsi="Times New Roman" w:cs="Times New Roman"/>
          <w:sz w:val="24"/>
          <w:szCs w:val="24"/>
        </w:rPr>
        <w:lastRenderedPageBreak/>
        <w:t>Consequently, this study anticipates a positive relationship between growth in GDP and bank profitability before</w:t>
      </w:r>
      <w:r w:rsidR="00FF2AE1" w:rsidRPr="008A7487">
        <w:rPr>
          <w:rFonts w:ascii="Times New Roman" w:hAnsi="Times New Roman" w:cs="Times New Roman"/>
          <w:sz w:val="24"/>
          <w:szCs w:val="24"/>
        </w:rPr>
        <w:t xml:space="preserve">, during and after the financial crisis. </w:t>
      </w:r>
      <w:r w:rsidRPr="008A7487">
        <w:rPr>
          <w:rFonts w:ascii="Times New Roman" w:hAnsi="Times New Roman" w:cs="Times New Roman"/>
          <w:sz w:val="24"/>
          <w:szCs w:val="24"/>
        </w:rPr>
        <w:t xml:space="preserve"> </w:t>
      </w:r>
    </w:p>
    <w:p w14:paraId="1D32C581" w14:textId="77777777" w:rsidR="00707445" w:rsidRPr="008A7487" w:rsidRDefault="00707445" w:rsidP="00707445">
      <w:pPr>
        <w:spacing w:after="0" w:line="480" w:lineRule="auto"/>
        <w:jc w:val="both"/>
        <w:rPr>
          <w:rFonts w:ascii="Times New Roman" w:hAnsi="Times New Roman" w:cs="Times New Roman"/>
          <w:b/>
          <w:sz w:val="24"/>
          <w:szCs w:val="24"/>
        </w:rPr>
      </w:pPr>
    </w:p>
    <w:p w14:paraId="47CA5A4B" w14:textId="650997A4" w:rsidR="00FF2AE1" w:rsidRPr="008A7487" w:rsidRDefault="00707445" w:rsidP="00707445">
      <w:pPr>
        <w:spacing w:after="0" w:line="480" w:lineRule="auto"/>
        <w:jc w:val="both"/>
        <w:rPr>
          <w:rFonts w:ascii="Times New Roman" w:hAnsi="Times New Roman" w:cs="Times New Roman"/>
          <w:i/>
          <w:sz w:val="24"/>
          <w:szCs w:val="24"/>
        </w:rPr>
      </w:pPr>
      <w:r w:rsidRPr="008A7487">
        <w:rPr>
          <w:rFonts w:ascii="Times New Roman" w:hAnsi="Times New Roman" w:cs="Times New Roman"/>
          <w:i/>
          <w:sz w:val="24"/>
          <w:szCs w:val="24"/>
        </w:rPr>
        <w:t>Inflation rate</w:t>
      </w:r>
    </w:p>
    <w:p w14:paraId="5EFEB5AD" w14:textId="37316D92" w:rsidR="008E1253" w:rsidRPr="008A7487" w:rsidRDefault="00221173" w:rsidP="00054D13">
      <w:pPr>
        <w:spacing w:after="0" w:line="480" w:lineRule="auto"/>
        <w:ind w:firstLine="720"/>
        <w:jc w:val="both"/>
        <w:rPr>
          <w:rFonts w:ascii="Times New Roman" w:hAnsi="Times New Roman" w:cs="Times New Roman"/>
          <w:i/>
          <w:sz w:val="24"/>
          <w:szCs w:val="24"/>
        </w:rPr>
      </w:pPr>
      <w:r w:rsidRPr="008A7487">
        <w:rPr>
          <w:rFonts w:ascii="Times New Roman" w:hAnsi="Times New Roman" w:cs="Times New Roman"/>
          <w:sz w:val="24"/>
          <w:szCs w:val="24"/>
        </w:rPr>
        <w:t xml:space="preserve">Empirical evidence </w:t>
      </w:r>
      <w:r w:rsidR="000876C9" w:rsidRPr="008A7487">
        <w:rPr>
          <w:rFonts w:ascii="Times New Roman" w:hAnsi="Times New Roman" w:cs="Times New Roman"/>
          <w:sz w:val="24"/>
          <w:szCs w:val="24"/>
        </w:rPr>
        <w:t>on</w:t>
      </w:r>
      <w:r w:rsidRPr="008A7487">
        <w:rPr>
          <w:rFonts w:ascii="Times New Roman" w:hAnsi="Times New Roman" w:cs="Times New Roman"/>
          <w:sz w:val="24"/>
          <w:szCs w:val="24"/>
        </w:rPr>
        <w:t xml:space="preserve"> the relationsh</w:t>
      </w:r>
      <w:r w:rsidR="00FA0E46" w:rsidRPr="008A7487">
        <w:rPr>
          <w:rFonts w:ascii="Times New Roman" w:hAnsi="Times New Roman" w:cs="Times New Roman"/>
          <w:sz w:val="24"/>
          <w:szCs w:val="24"/>
        </w:rPr>
        <w:t xml:space="preserve">ip between inflation </w:t>
      </w:r>
      <w:r w:rsidR="0096661A" w:rsidRPr="008A7487">
        <w:rPr>
          <w:rFonts w:ascii="Times New Roman" w:hAnsi="Times New Roman" w:cs="Times New Roman"/>
          <w:sz w:val="24"/>
          <w:szCs w:val="24"/>
        </w:rPr>
        <w:t>rate and</w:t>
      </w:r>
      <w:r w:rsidR="00A543AE" w:rsidRPr="008A7487">
        <w:rPr>
          <w:rFonts w:ascii="Times New Roman" w:hAnsi="Times New Roman" w:cs="Times New Roman"/>
          <w:sz w:val="24"/>
          <w:szCs w:val="24"/>
        </w:rPr>
        <w:t xml:space="preserve"> bank profitability </w:t>
      </w:r>
      <w:r w:rsidR="00FC77BB" w:rsidRPr="008A7487">
        <w:rPr>
          <w:rFonts w:ascii="Times New Roman" w:hAnsi="Times New Roman" w:cs="Times New Roman"/>
          <w:sz w:val="24"/>
          <w:szCs w:val="24"/>
        </w:rPr>
        <w:t>is</w:t>
      </w:r>
      <w:r w:rsidR="00A543AE" w:rsidRPr="008A7487">
        <w:rPr>
          <w:rFonts w:ascii="Times New Roman" w:hAnsi="Times New Roman" w:cs="Times New Roman"/>
          <w:sz w:val="24"/>
          <w:szCs w:val="24"/>
        </w:rPr>
        <w:t xml:space="preserve"> mixed. </w:t>
      </w:r>
      <w:r w:rsidR="00743D98" w:rsidRPr="008A7487">
        <w:rPr>
          <w:rFonts w:ascii="Times New Roman" w:hAnsi="Times New Roman" w:cs="Times New Roman"/>
          <w:sz w:val="24"/>
          <w:szCs w:val="24"/>
        </w:rPr>
        <w:t>While</w:t>
      </w:r>
      <w:r w:rsidR="00ED52A2" w:rsidRPr="008A7487">
        <w:rPr>
          <w:rFonts w:ascii="Times New Roman" w:hAnsi="Times New Roman" w:cs="Times New Roman"/>
          <w:sz w:val="24"/>
          <w:szCs w:val="24"/>
        </w:rPr>
        <w:t xml:space="preserve"> studies such as </w:t>
      </w:r>
      <w:r w:rsidR="00387BB7" w:rsidRPr="008A7487">
        <w:rPr>
          <w:rFonts w:ascii="Times New Roman" w:hAnsi="Times New Roman" w:cs="Times New Roman"/>
          <w:sz w:val="24"/>
          <w:szCs w:val="24"/>
        </w:rPr>
        <w:t xml:space="preserve">Dietrich </w:t>
      </w:r>
      <w:r w:rsidR="0045782E">
        <w:rPr>
          <w:rFonts w:ascii="Times New Roman" w:hAnsi="Times New Roman" w:cs="Times New Roman"/>
          <w:sz w:val="24"/>
          <w:szCs w:val="24"/>
        </w:rPr>
        <w:t>&amp;</w:t>
      </w:r>
      <w:r w:rsidR="0094142C">
        <w:rPr>
          <w:rFonts w:ascii="Times New Roman" w:hAnsi="Times New Roman" w:cs="Times New Roman"/>
          <w:sz w:val="24"/>
          <w:szCs w:val="24"/>
        </w:rPr>
        <w:t xml:space="preserve"> Wanzenried</w:t>
      </w:r>
      <w:r w:rsidR="005D4521" w:rsidRPr="008A7487">
        <w:rPr>
          <w:rFonts w:ascii="Times New Roman" w:hAnsi="Times New Roman" w:cs="Times New Roman"/>
          <w:sz w:val="24"/>
          <w:szCs w:val="24"/>
        </w:rPr>
        <w:t xml:space="preserve"> </w:t>
      </w:r>
      <w:r w:rsidR="00ED52A2" w:rsidRPr="008A7487">
        <w:rPr>
          <w:rFonts w:ascii="Times New Roman" w:hAnsi="Times New Roman" w:cs="Times New Roman"/>
          <w:sz w:val="24"/>
          <w:szCs w:val="24"/>
        </w:rPr>
        <w:t>(</w:t>
      </w:r>
      <w:r w:rsidR="0096661A" w:rsidRPr="008A7487">
        <w:rPr>
          <w:rFonts w:ascii="Times New Roman" w:hAnsi="Times New Roman" w:cs="Times New Roman"/>
          <w:sz w:val="24"/>
          <w:szCs w:val="24"/>
        </w:rPr>
        <w:t>2014</w:t>
      </w:r>
      <w:r w:rsidR="00ED52A2" w:rsidRPr="008A7487">
        <w:rPr>
          <w:rFonts w:ascii="Times New Roman" w:hAnsi="Times New Roman" w:cs="Times New Roman"/>
          <w:sz w:val="24"/>
          <w:szCs w:val="24"/>
        </w:rPr>
        <w:t xml:space="preserve">), </w:t>
      </w:r>
      <w:r w:rsidR="0096661A" w:rsidRPr="008A7487">
        <w:rPr>
          <w:rFonts w:ascii="Times New Roman" w:hAnsi="Times New Roman" w:cs="Times New Roman"/>
          <w:sz w:val="24"/>
          <w:szCs w:val="24"/>
        </w:rPr>
        <w:t>Ahokpossi</w:t>
      </w:r>
      <w:r w:rsidR="00FA0E46" w:rsidRPr="008A7487">
        <w:rPr>
          <w:rFonts w:ascii="Times New Roman" w:hAnsi="Times New Roman" w:cs="Times New Roman"/>
          <w:sz w:val="24"/>
          <w:szCs w:val="24"/>
        </w:rPr>
        <w:t xml:space="preserve"> </w:t>
      </w:r>
      <w:r w:rsidR="00ED52A2" w:rsidRPr="008A7487">
        <w:rPr>
          <w:rFonts w:ascii="Times New Roman" w:hAnsi="Times New Roman" w:cs="Times New Roman"/>
          <w:sz w:val="24"/>
          <w:szCs w:val="24"/>
        </w:rPr>
        <w:t>(</w:t>
      </w:r>
      <w:r w:rsidR="00DB05BE" w:rsidRPr="008A7487">
        <w:rPr>
          <w:rFonts w:ascii="Times New Roman" w:hAnsi="Times New Roman" w:cs="Times New Roman"/>
          <w:sz w:val="24"/>
          <w:szCs w:val="24"/>
        </w:rPr>
        <w:t>2013</w:t>
      </w:r>
      <w:r w:rsidR="00EC4A9C" w:rsidRPr="008A7487">
        <w:rPr>
          <w:rFonts w:ascii="Times New Roman" w:hAnsi="Times New Roman" w:cs="Times New Roman"/>
          <w:sz w:val="24"/>
          <w:szCs w:val="24"/>
        </w:rPr>
        <w:t>)</w:t>
      </w:r>
      <w:r w:rsidR="00ED52A2" w:rsidRPr="008A7487">
        <w:rPr>
          <w:rFonts w:ascii="Times New Roman" w:hAnsi="Times New Roman" w:cs="Times New Roman"/>
          <w:sz w:val="24"/>
          <w:szCs w:val="24"/>
        </w:rPr>
        <w:t xml:space="preserve"> and Flamini</w:t>
      </w:r>
      <w:r w:rsidR="00FA0E46" w:rsidRPr="008A7487">
        <w:rPr>
          <w:rFonts w:ascii="Times New Roman" w:hAnsi="Times New Roman" w:cs="Times New Roman"/>
          <w:sz w:val="24"/>
          <w:szCs w:val="24"/>
        </w:rPr>
        <w:t xml:space="preserve"> et </w:t>
      </w:r>
      <w:r w:rsidR="009554E5" w:rsidRPr="008A7487">
        <w:rPr>
          <w:rFonts w:ascii="Times New Roman" w:hAnsi="Times New Roman" w:cs="Times New Roman"/>
          <w:sz w:val="24"/>
          <w:szCs w:val="24"/>
        </w:rPr>
        <w:t>al.</w:t>
      </w:r>
      <w:r w:rsidR="00FA0E46" w:rsidRPr="008A7487">
        <w:rPr>
          <w:rFonts w:ascii="Times New Roman" w:hAnsi="Times New Roman" w:cs="Times New Roman"/>
          <w:sz w:val="24"/>
          <w:szCs w:val="24"/>
        </w:rPr>
        <w:t xml:space="preserve"> </w:t>
      </w:r>
      <w:r w:rsidR="00ED52A2" w:rsidRPr="008A7487">
        <w:rPr>
          <w:rFonts w:ascii="Times New Roman" w:hAnsi="Times New Roman" w:cs="Times New Roman"/>
          <w:sz w:val="24"/>
          <w:szCs w:val="24"/>
        </w:rPr>
        <w:t>(</w:t>
      </w:r>
      <w:r w:rsidR="00FA0E46" w:rsidRPr="008A7487">
        <w:rPr>
          <w:rFonts w:ascii="Times New Roman" w:hAnsi="Times New Roman" w:cs="Times New Roman"/>
          <w:sz w:val="24"/>
          <w:szCs w:val="24"/>
        </w:rPr>
        <w:t>2009</w:t>
      </w:r>
      <w:r w:rsidR="00DB05BE" w:rsidRPr="008A7487">
        <w:rPr>
          <w:rFonts w:ascii="Times New Roman" w:hAnsi="Times New Roman" w:cs="Times New Roman"/>
          <w:sz w:val="24"/>
          <w:szCs w:val="24"/>
        </w:rPr>
        <w:t>)</w:t>
      </w:r>
      <w:r w:rsidR="00ED52A2" w:rsidRPr="008A7487">
        <w:rPr>
          <w:rFonts w:ascii="Times New Roman" w:hAnsi="Times New Roman" w:cs="Times New Roman"/>
          <w:sz w:val="24"/>
          <w:szCs w:val="24"/>
        </w:rPr>
        <w:t xml:space="preserve"> report positive relationship, </w:t>
      </w:r>
      <w:r w:rsidR="002F15C8" w:rsidRPr="008A7487">
        <w:rPr>
          <w:rFonts w:ascii="Times New Roman" w:hAnsi="Times New Roman" w:cs="Times New Roman"/>
          <w:sz w:val="24"/>
          <w:szCs w:val="24"/>
        </w:rPr>
        <w:t xml:space="preserve">Goddard et </w:t>
      </w:r>
      <w:r w:rsidR="009554E5" w:rsidRPr="008A7487">
        <w:rPr>
          <w:rFonts w:ascii="Times New Roman" w:hAnsi="Times New Roman" w:cs="Times New Roman"/>
          <w:sz w:val="24"/>
          <w:szCs w:val="24"/>
        </w:rPr>
        <w:t>al.</w:t>
      </w:r>
      <w:r w:rsidR="002F15C8" w:rsidRPr="008A7487">
        <w:rPr>
          <w:rFonts w:ascii="Times New Roman" w:hAnsi="Times New Roman" w:cs="Times New Roman"/>
          <w:sz w:val="24"/>
          <w:szCs w:val="24"/>
        </w:rPr>
        <w:t xml:space="preserve"> </w:t>
      </w:r>
      <w:r w:rsidR="00B96156" w:rsidRPr="008A7487">
        <w:rPr>
          <w:rFonts w:ascii="Times New Roman" w:hAnsi="Times New Roman" w:cs="Times New Roman"/>
          <w:sz w:val="24"/>
          <w:szCs w:val="24"/>
        </w:rPr>
        <w:t>(2011)</w:t>
      </w:r>
      <w:r w:rsidR="00ED52A2" w:rsidRPr="008A7487">
        <w:rPr>
          <w:rFonts w:ascii="Times New Roman" w:hAnsi="Times New Roman" w:cs="Times New Roman"/>
          <w:sz w:val="24"/>
          <w:szCs w:val="24"/>
        </w:rPr>
        <w:t xml:space="preserve"> </w:t>
      </w:r>
      <w:r w:rsidR="001A1D41" w:rsidRPr="008A7487">
        <w:rPr>
          <w:rFonts w:ascii="Times New Roman" w:hAnsi="Times New Roman" w:cs="Times New Roman"/>
          <w:sz w:val="24"/>
          <w:szCs w:val="24"/>
        </w:rPr>
        <w:t>indicate</w:t>
      </w:r>
      <w:r w:rsidR="00ED52A2" w:rsidRPr="008A7487">
        <w:rPr>
          <w:rFonts w:ascii="Times New Roman" w:hAnsi="Times New Roman" w:cs="Times New Roman"/>
          <w:sz w:val="24"/>
          <w:szCs w:val="24"/>
        </w:rPr>
        <w:t xml:space="preserve"> an insignificant relation</w:t>
      </w:r>
      <w:r w:rsidR="001A1D41" w:rsidRPr="008A7487">
        <w:rPr>
          <w:rFonts w:ascii="Times New Roman" w:hAnsi="Times New Roman" w:cs="Times New Roman"/>
          <w:sz w:val="24"/>
          <w:szCs w:val="24"/>
        </w:rPr>
        <w:t>ship</w:t>
      </w:r>
      <w:r w:rsidR="00ED52A2" w:rsidRPr="008A7487">
        <w:rPr>
          <w:rFonts w:ascii="Times New Roman" w:hAnsi="Times New Roman" w:cs="Times New Roman"/>
          <w:sz w:val="24"/>
          <w:szCs w:val="24"/>
        </w:rPr>
        <w:t xml:space="preserve"> in </w:t>
      </w:r>
      <w:r w:rsidR="00681011" w:rsidRPr="008A7487">
        <w:rPr>
          <w:rFonts w:ascii="Times New Roman" w:hAnsi="Times New Roman" w:cs="Times New Roman"/>
          <w:sz w:val="24"/>
          <w:szCs w:val="24"/>
        </w:rPr>
        <w:t>their study</w:t>
      </w:r>
      <w:r w:rsidR="00B96156" w:rsidRPr="008A7487">
        <w:rPr>
          <w:rFonts w:ascii="Times New Roman" w:hAnsi="Times New Roman" w:cs="Times New Roman"/>
          <w:sz w:val="24"/>
          <w:szCs w:val="24"/>
        </w:rPr>
        <w:t xml:space="preserve"> into the persistence of bank profits</w:t>
      </w:r>
      <w:r w:rsidR="008D688A" w:rsidRPr="008A7487">
        <w:rPr>
          <w:rFonts w:ascii="Times New Roman" w:hAnsi="Times New Roman" w:cs="Times New Roman"/>
          <w:sz w:val="24"/>
          <w:szCs w:val="24"/>
        </w:rPr>
        <w:t xml:space="preserve">. </w:t>
      </w:r>
      <w:r w:rsidR="00AB1E52" w:rsidRPr="008A7487">
        <w:rPr>
          <w:rFonts w:ascii="Times New Roman" w:hAnsi="Times New Roman" w:cs="Times New Roman"/>
          <w:sz w:val="24"/>
          <w:szCs w:val="24"/>
        </w:rPr>
        <w:lastRenderedPageBreak/>
        <w:t xml:space="preserve">Extant literature </w:t>
      </w:r>
      <w:r w:rsidR="008E1253" w:rsidRPr="008A7487">
        <w:rPr>
          <w:rFonts w:ascii="Times New Roman" w:hAnsi="Times New Roman" w:cs="Times New Roman"/>
          <w:sz w:val="24"/>
          <w:szCs w:val="24"/>
        </w:rPr>
        <w:t xml:space="preserve">also </w:t>
      </w:r>
      <w:r w:rsidR="00AB1E52" w:rsidRPr="008A7487">
        <w:rPr>
          <w:rFonts w:ascii="Times New Roman" w:hAnsi="Times New Roman" w:cs="Times New Roman"/>
          <w:sz w:val="24"/>
          <w:szCs w:val="24"/>
        </w:rPr>
        <w:t>notes that the effects of inflation on ba</w:t>
      </w:r>
      <w:r w:rsidR="005C23CA" w:rsidRPr="008A7487">
        <w:rPr>
          <w:rFonts w:ascii="Times New Roman" w:hAnsi="Times New Roman" w:cs="Times New Roman"/>
          <w:sz w:val="24"/>
          <w:szCs w:val="24"/>
        </w:rPr>
        <w:t>nk profitability depend</w:t>
      </w:r>
      <w:r w:rsidR="00AB1E52" w:rsidRPr="008A7487">
        <w:rPr>
          <w:rFonts w:ascii="Times New Roman" w:hAnsi="Times New Roman" w:cs="Times New Roman"/>
          <w:sz w:val="24"/>
          <w:szCs w:val="24"/>
        </w:rPr>
        <w:t xml:space="preserve"> on the extent to which inflation can be accurately anticipated and passed on to customers (</w:t>
      </w:r>
      <w:r w:rsidR="00F1113F" w:rsidRPr="008A7487">
        <w:rPr>
          <w:rFonts w:ascii="Times New Roman" w:hAnsi="Times New Roman" w:cs="Times New Roman"/>
          <w:sz w:val="24"/>
          <w:szCs w:val="24"/>
        </w:rPr>
        <w:t>Flamini et al.</w:t>
      </w:r>
      <w:r w:rsidR="00F1113F">
        <w:rPr>
          <w:rFonts w:ascii="Times New Roman" w:hAnsi="Times New Roman" w:cs="Times New Roman"/>
          <w:sz w:val="24"/>
          <w:szCs w:val="24"/>
        </w:rPr>
        <w:t>, 2009;</w:t>
      </w:r>
      <w:r w:rsidR="00F1113F" w:rsidRPr="008A7487">
        <w:rPr>
          <w:rFonts w:ascii="Times New Roman" w:hAnsi="Times New Roman" w:cs="Times New Roman"/>
          <w:sz w:val="24"/>
          <w:szCs w:val="24"/>
        </w:rPr>
        <w:t xml:space="preserve"> </w:t>
      </w:r>
      <w:r w:rsidR="00AB1E52" w:rsidRPr="008A7487">
        <w:rPr>
          <w:rFonts w:ascii="Times New Roman" w:hAnsi="Times New Roman" w:cs="Times New Roman"/>
          <w:sz w:val="24"/>
          <w:szCs w:val="24"/>
        </w:rPr>
        <w:t xml:space="preserve">Athanasoglou et </w:t>
      </w:r>
      <w:r w:rsidR="009554E5" w:rsidRPr="008A7487">
        <w:rPr>
          <w:rFonts w:ascii="Times New Roman" w:hAnsi="Times New Roman" w:cs="Times New Roman"/>
          <w:sz w:val="24"/>
          <w:szCs w:val="24"/>
        </w:rPr>
        <w:t>al.</w:t>
      </w:r>
      <w:r w:rsidR="0045782E">
        <w:rPr>
          <w:rFonts w:ascii="Times New Roman" w:hAnsi="Times New Roman" w:cs="Times New Roman"/>
          <w:sz w:val="24"/>
          <w:szCs w:val="24"/>
        </w:rPr>
        <w:t>,</w:t>
      </w:r>
      <w:r w:rsidR="00F1113F">
        <w:rPr>
          <w:rFonts w:ascii="Times New Roman" w:hAnsi="Times New Roman" w:cs="Times New Roman"/>
          <w:sz w:val="24"/>
          <w:szCs w:val="24"/>
        </w:rPr>
        <w:t xml:space="preserve"> 2008)</w:t>
      </w:r>
      <w:r w:rsidR="005029B3" w:rsidRPr="008A7487">
        <w:rPr>
          <w:rFonts w:ascii="Times New Roman" w:hAnsi="Times New Roman" w:cs="Times New Roman"/>
          <w:sz w:val="24"/>
          <w:szCs w:val="24"/>
        </w:rPr>
        <w:t xml:space="preserve"> and this is likely to be poor during periods of uncertaint</w:t>
      </w:r>
      <w:r w:rsidR="00D52ECB" w:rsidRPr="008A7487">
        <w:rPr>
          <w:rFonts w:ascii="Times New Roman" w:hAnsi="Times New Roman" w:cs="Times New Roman"/>
          <w:sz w:val="24"/>
          <w:szCs w:val="24"/>
        </w:rPr>
        <w:t>y such as the financial crisis.</w:t>
      </w:r>
      <w:r w:rsidR="008E1253" w:rsidRPr="008A7487">
        <w:rPr>
          <w:rFonts w:ascii="Times New Roman" w:hAnsi="Times New Roman" w:cs="Times New Roman"/>
          <w:sz w:val="24"/>
          <w:szCs w:val="24"/>
        </w:rPr>
        <w:t xml:space="preserve"> This implies that banks </w:t>
      </w:r>
      <w:r w:rsidR="00573E83" w:rsidRPr="008A7487">
        <w:rPr>
          <w:rFonts w:ascii="Times New Roman" w:hAnsi="Times New Roman" w:cs="Times New Roman"/>
          <w:sz w:val="24"/>
          <w:szCs w:val="24"/>
        </w:rPr>
        <w:t xml:space="preserve">may </w:t>
      </w:r>
      <w:r w:rsidR="008E1253" w:rsidRPr="008A7487">
        <w:rPr>
          <w:rFonts w:ascii="Times New Roman" w:hAnsi="Times New Roman" w:cs="Times New Roman"/>
          <w:sz w:val="24"/>
          <w:szCs w:val="24"/>
        </w:rPr>
        <w:t>have to bear the increase in operating costs due to inflation. On the other hand, there may be</w:t>
      </w:r>
      <w:r w:rsidR="003449BB">
        <w:rPr>
          <w:rFonts w:ascii="Times New Roman" w:hAnsi="Times New Roman" w:cs="Times New Roman"/>
          <w:sz w:val="24"/>
          <w:szCs w:val="24"/>
        </w:rPr>
        <w:t xml:space="preserve"> an</w:t>
      </w:r>
      <w:r w:rsidR="008E1253" w:rsidRPr="008A7487">
        <w:rPr>
          <w:rFonts w:ascii="Times New Roman" w:hAnsi="Times New Roman" w:cs="Times New Roman"/>
          <w:sz w:val="24"/>
          <w:szCs w:val="24"/>
        </w:rPr>
        <w:t xml:space="preserve"> incr</w:t>
      </w:r>
      <w:r w:rsidR="00573E83" w:rsidRPr="008A7487">
        <w:rPr>
          <w:rFonts w:ascii="Times New Roman" w:hAnsi="Times New Roman" w:cs="Times New Roman"/>
          <w:sz w:val="24"/>
          <w:szCs w:val="24"/>
        </w:rPr>
        <w:t>ease in productive</w:t>
      </w:r>
      <w:r w:rsidR="008E1253" w:rsidRPr="008A7487">
        <w:rPr>
          <w:rFonts w:ascii="Times New Roman" w:hAnsi="Times New Roman" w:cs="Times New Roman"/>
          <w:sz w:val="24"/>
          <w:szCs w:val="24"/>
        </w:rPr>
        <w:t xml:space="preserve"> activity during inflationary periods as entrepreneur may be able to make more profits. Increase in productive activity is generally a positive trend for banks in terms of </w:t>
      </w:r>
      <w:r w:rsidR="008E1253" w:rsidRPr="008A7487">
        <w:rPr>
          <w:rFonts w:ascii="Times New Roman" w:hAnsi="Times New Roman" w:cs="Times New Roman"/>
          <w:sz w:val="24"/>
          <w:szCs w:val="24"/>
        </w:rPr>
        <w:lastRenderedPageBreak/>
        <w:t>loan and the</w:t>
      </w:r>
      <w:r w:rsidR="00F47D4D" w:rsidRPr="008A7487">
        <w:rPr>
          <w:rFonts w:ascii="Times New Roman" w:hAnsi="Times New Roman" w:cs="Times New Roman"/>
          <w:sz w:val="24"/>
          <w:szCs w:val="24"/>
        </w:rPr>
        <w:t xml:space="preserve">refore increased profitability. </w:t>
      </w:r>
      <w:r w:rsidR="00FC77BB" w:rsidRPr="008A7487">
        <w:rPr>
          <w:rFonts w:ascii="Times New Roman" w:hAnsi="Times New Roman" w:cs="Times New Roman"/>
          <w:sz w:val="24"/>
          <w:szCs w:val="24"/>
        </w:rPr>
        <w:t>Consequently,</w:t>
      </w:r>
      <w:r w:rsidR="00CF0978" w:rsidRPr="008A7487">
        <w:rPr>
          <w:rFonts w:ascii="Times New Roman" w:hAnsi="Times New Roman" w:cs="Times New Roman"/>
          <w:sz w:val="24"/>
          <w:szCs w:val="24"/>
        </w:rPr>
        <w:t xml:space="preserve"> the</w:t>
      </w:r>
      <w:r w:rsidR="007E75A2" w:rsidRPr="008A7487">
        <w:rPr>
          <w:rFonts w:ascii="Times New Roman" w:hAnsi="Times New Roman" w:cs="Times New Roman"/>
          <w:sz w:val="24"/>
          <w:szCs w:val="24"/>
        </w:rPr>
        <w:t xml:space="preserve"> study</w:t>
      </w:r>
      <w:r w:rsidR="00FC77BB" w:rsidRPr="008A7487">
        <w:rPr>
          <w:rFonts w:ascii="Times New Roman" w:hAnsi="Times New Roman" w:cs="Times New Roman"/>
          <w:sz w:val="24"/>
          <w:szCs w:val="24"/>
        </w:rPr>
        <w:t xml:space="preserve"> expect</w:t>
      </w:r>
      <w:r w:rsidR="007E75A2" w:rsidRPr="008A7487">
        <w:rPr>
          <w:rFonts w:ascii="Times New Roman" w:hAnsi="Times New Roman" w:cs="Times New Roman"/>
          <w:sz w:val="24"/>
          <w:szCs w:val="24"/>
        </w:rPr>
        <w:t>s</w:t>
      </w:r>
      <w:r w:rsidR="00FC77BB" w:rsidRPr="008A7487">
        <w:rPr>
          <w:rFonts w:ascii="Times New Roman" w:hAnsi="Times New Roman" w:cs="Times New Roman"/>
          <w:sz w:val="24"/>
          <w:szCs w:val="24"/>
        </w:rPr>
        <w:t xml:space="preserve"> a positive relationship between the</w:t>
      </w:r>
      <w:r w:rsidR="00CF0978" w:rsidRPr="008A7487">
        <w:rPr>
          <w:rFonts w:ascii="Times New Roman" w:hAnsi="Times New Roman" w:cs="Times New Roman"/>
          <w:sz w:val="24"/>
          <w:szCs w:val="24"/>
        </w:rPr>
        <w:t>se</w:t>
      </w:r>
      <w:r w:rsidR="00FC77BB" w:rsidRPr="008A7487">
        <w:rPr>
          <w:rFonts w:ascii="Times New Roman" w:hAnsi="Times New Roman" w:cs="Times New Roman"/>
          <w:sz w:val="24"/>
          <w:szCs w:val="24"/>
        </w:rPr>
        <w:t xml:space="preserve"> variables</w:t>
      </w:r>
      <w:r w:rsidR="008E1253" w:rsidRPr="008A7487">
        <w:rPr>
          <w:rFonts w:ascii="Times New Roman" w:hAnsi="Times New Roman" w:cs="Times New Roman"/>
          <w:sz w:val="24"/>
          <w:szCs w:val="24"/>
        </w:rPr>
        <w:t xml:space="preserve">. </w:t>
      </w:r>
    </w:p>
    <w:p w14:paraId="10270253" w14:textId="603B4E5E" w:rsidR="00004E5E" w:rsidRPr="008A7487" w:rsidRDefault="00004E5E" w:rsidP="008E1253">
      <w:pPr>
        <w:spacing w:after="0" w:line="480" w:lineRule="auto"/>
        <w:ind w:firstLine="720"/>
        <w:jc w:val="both"/>
        <w:rPr>
          <w:rFonts w:ascii="Times New Roman" w:hAnsi="Times New Roman" w:cs="Times New Roman"/>
          <w:color w:val="FF0000"/>
          <w:sz w:val="24"/>
          <w:szCs w:val="24"/>
        </w:rPr>
      </w:pPr>
    </w:p>
    <w:p w14:paraId="4390D383" w14:textId="77777777" w:rsidR="009B7888" w:rsidRPr="008A7487" w:rsidRDefault="00691A1D" w:rsidP="0097246F">
      <w:pPr>
        <w:pStyle w:val="ListParagraph"/>
        <w:numPr>
          <w:ilvl w:val="0"/>
          <w:numId w:val="24"/>
        </w:numPr>
        <w:spacing w:after="0" w:line="480" w:lineRule="auto"/>
        <w:ind w:left="0" w:firstLine="0"/>
        <w:jc w:val="both"/>
        <w:rPr>
          <w:rFonts w:ascii="Times New Roman" w:hAnsi="Times New Roman" w:cs="Times New Roman"/>
          <w:sz w:val="24"/>
          <w:szCs w:val="24"/>
        </w:rPr>
      </w:pPr>
      <w:r w:rsidRPr="008A7487">
        <w:rPr>
          <w:rFonts w:ascii="Times New Roman" w:hAnsi="Times New Roman" w:cs="Times New Roman"/>
          <w:b/>
          <w:sz w:val="24"/>
          <w:szCs w:val="24"/>
        </w:rPr>
        <w:t>Data and m</w:t>
      </w:r>
      <w:r w:rsidR="009B7888" w:rsidRPr="008A7487">
        <w:rPr>
          <w:rFonts w:ascii="Times New Roman" w:hAnsi="Times New Roman" w:cs="Times New Roman"/>
          <w:b/>
          <w:sz w:val="24"/>
          <w:szCs w:val="24"/>
        </w:rPr>
        <w:t xml:space="preserve">ethodology </w:t>
      </w:r>
    </w:p>
    <w:p w14:paraId="260F2C9F" w14:textId="76959362" w:rsidR="006F3536" w:rsidRPr="008A7487" w:rsidRDefault="00C65016" w:rsidP="00E932EB">
      <w:pPr>
        <w:spacing w:after="0" w:line="480" w:lineRule="auto"/>
        <w:ind w:firstLine="720"/>
        <w:jc w:val="both"/>
        <w:rPr>
          <w:rFonts w:ascii="Times New Roman" w:hAnsi="Times New Roman" w:cs="Times New Roman"/>
          <w:sz w:val="24"/>
          <w:szCs w:val="24"/>
        </w:rPr>
      </w:pPr>
      <w:r w:rsidRPr="008A7487">
        <w:rPr>
          <w:rFonts w:ascii="Times New Roman" w:hAnsi="Times New Roman" w:cs="Times New Roman"/>
          <w:sz w:val="24"/>
          <w:szCs w:val="24"/>
        </w:rPr>
        <w:t xml:space="preserve">This section explains </w:t>
      </w:r>
      <w:r w:rsidR="00F47D4D" w:rsidRPr="008A7487">
        <w:rPr>
          <w:rFonts w:ascii="Times New Roman" w:hAnsi="Times New Roman" w:cs="Times New Roman"/>
          <w:sz w:val="24"/>
          <w:szCs w:val="24"/>
        </w:rPr>
        <w:t xml:space="preserve">the </w:t>
      </w:r>
      <w:r w:rsidRPr="008A7487">
        <w:rPr>
          <w:rFonts w:ascii="Times New Roman" w:hAnsi="Times New Roman" w:cs="Times New Roman"/>
          <w:sz w:val="24"/>
          <w:szCs w:val="24"/>
        </w:rPr>
        <w:t xml:space="preserve">sources of the data and the methodology used in this study. </w:t>
      </w:r>
    </w:p>
    <w:p w14:paraId="08205E65" w14:textId="77777777" w:rsidR="007E37CD" w:rsidRPr="008A7487" w:rsidRDefault="007E37CD" w:rsidP="007E37CD">
      <w:pPr>
        <w:jc w:val="both"/>
        <w:rPr>
          <w:rFonts w:ascii="Times New Roman" w:hAnsi="Times New Roman" w:cs="Times New Roman"/>
          <w:b/>
          <w:sz w:val="24"/>
          <w:szCs w:val="24"/>
        </w:rPr>
      </w:pPr>
    </w:p>
    <w:p w14:paraId="2F2F960C" w14:textId="35EE0AC8" w:rsidR="009B7888" w:rsidRPr="008A7487" w:rsidRDefault="007E37CD" w:rsidP="007E37CD">
      <w:pPr>
        <w:jc w:val="both"/>
        <w:rPr>
          <w:rFonts w:ascii="Times New Roman" w:hAnsi="Times New Roman" w:cs="Times New Roman"/>
          <w:sz w:val="24"/>
          <w:szCs w:val="24"/>
        </w:rPr>
      </w:pPr>
      <w:r w:rsidRPr="008A7487">
        <w:rPr>
          <w:rFonts w:ascii="Times New Roman" w:hAnsi="Times New Roman" w:cs="Times New Roman"/>
          <w:b/>
          <w:sz w:val="24"/>
          <w:szCs w:val="24"/>
        </w:rPr>
        <w:t>4</w:t>
      </w:r>
      <w:r w:rsidR="009B7888" w:rsidRPr="008A7487">
        <w:rPr>
          <w:rFonts w:ascii="Times New Roman" w:hAnsi="Times New Roman" w:cs="Times New Roman"/>
          <w:b/>
          <w:sz w:val="24"/>
          <w:szCs w:val="24"/>
        </w:rPr>
        <w:t>.</w:t>
      </w:r>
      <w:r w:rsidRPr="008A7487">
        <w:rPr>
          <w:rFonts w:ascii="Times New Roman" w:hAnsi="Times New Roman" w:cs="Times New Roman"/>
          <w:b/>
          <w:sz w:val="24"/>
          <w:szCs w:val="24"/>
        </w:rPr>
        <w:t>1</w:t>
      </w:r>
      <w:r w:rsidR="00563D46" w:rsidRPr="008A7487">
        <w:rPr>
          <w:rFonts w:ascii="Times New Roman" w:hAnsi="Times New Roman" w:cs="Times New Roman"/>
          <w:b/>
          <w:sz w:val="24"/>
          <w:szCs w:val="24"/>
        </w:rPr>
        <w:tab/>
      </w:r>
      <w:r w:rsidR="009B7888" w:rsidRPr="008A7487">
        <w:rPr>
          <w:rFonts w:ascii="Times New Roman" w:hAnsi="Times New Roman" w:cs="Times New Roman"/>
          <w:b/>
          <w:sz w:val="24"/>
          <w:szCs w:val="24"/>
        </w:rPr>
        <w:t>Data</w:t>
      </w:r>
    </w:p>
    <w:p w14:paraId="30937353" w14:textId="2C5181AB" w:rsidR="00C44B09" w:rsidRDefault="00C65016" w:rsidP="007F64B3">
      <w:pPr>
        <w:spacing w:after="0" w:line="480" w:lineRule="auto"/>
        <w:ind w:firstLine="720"/>
        <w:jc w:val="both"/>
        <w:rPr>
          <w:rFonts w:ascii="Times New Roman" w:hAnsi="Times New Roman" w:cs="Times New Roman"/>
          <w:sz w:val="24"/>
          <w:szCs w:val="24"/>
        </w:rPr>
      </w:pPr>
      <w:r w:rsidRPr="008A7487">
        <w:rPr>
          <w:rFonts w:ascii="Times New Roman" w:hAnsi="Times New Roman" w:cs="Times New Roman"/>
          <w:sz w:val="24"/>
          <w:szCs w:val="24"/>
        </w:rPr>
        <w:t>The analysis in this study is based on the f</w:t>
      </w:r>
      <w:r w:rsidR="009B7888" w:rsidRPr="008A7487">
        <w:rPr>
          <w:rFonts w:ascii="Times New Roman" w:hAnsi="Times New Roman" w:cs="Times New Roman"/>
          <w:sz w:val="24"/>
          <w:szCs w:val="24"/>
        </w:rPr>
        <w:t>inancial data for banks in the ECOWAS regi</w:t>
      </w:r>
      <w:r w:rsidR="00004E5E" w:rsidRPr="008A7487">
        <w:rPr>
          <w:rFonts w:ascii="Times New Roman" w:hAnsi="Times New Roman" w:cs="Times New Roman"/>
          <w:sz w:val="24"/>
          <w:szCs w:val="24"/>
        </w:rPr>
        <w:t xml:space="preserve">on obtained from the </w:t>
      </w:r>
      <w:r w:rsidR="00004E5E" w:rsidRPr="008A7487">
        <w:rPr>
          <w:rFonts w:ascii="Times New Roman" w:hAnsi="Times New Roman" w:cs="Times New Roman"/>
          <w:sz w:val="24"/>
          <w:szCs w:val="24"/>
        </w:rPr>
        <w:lastRenderedPageBreak/>
        <w:t>Bankscope d</w:t>
      </w:r>
      <w:r w:rsidR="009B7888" w:rsidRPr="008A7487">
        <w:rPr>
          <w:rFonts w:ascii="Times New Roman" w:hAnsi="Times New Roman" w:cs="Times New Roman"/>
          <w:sz w:val="24"/>
          <w:szCs w:val="24"/>
        </w:rPr>
        <w:t>atabase</w:t>
      </w:r>
      <w:r w:rsidR="000710C8" w:rsidRPr="008A7487">
        <w:rPr>
          <w:rFonts w:ascii="Times New Roman" w:hAnsi="Times New Roman" w:cs="Times New Roman"/>
          <w:sz w:val="24"/>
          <w:szCs w:val="24"/>
        </w:rPr>
        <w:t xml:space="preserve"> which</w:t>
      </w:r>
      <w:r w:rsidR="009B7888" w:rsidRPr="008A7487">
        <w:rPr>
          <w:rFonts w:ascii="Times New Roman" w:hAnsi="Times New Roman" w:cs="Times New Roman"/>
          <w:sz w:val="24"/>
          <w:szCs w:val="24"/>
        </w:rPr>
        <w:t xml:space="preserve"> is a reliable and trusted database of</w:t>
      </w:r>
      <w:r w:rsidRPr="008A7487">
        <w:rPr>
          <w:rFonts w:ascii="Times New Roman" w:hAnsi="Times New Roman" w:cs="Times New Roman"/>
          <w:sz w:val="24"/>
          <w:szCs w:val="24"/>
        </w:rPr>
        <w:t xml:space="preserve"> </w:t>
      </w:r>
      <w:r w:rsidR="003D523E" w:rsidRPr="008A7487">
        <w:rPr>
          <w:rFonts w:ascii="Times New Roman" w:hAnsi="Times New Roman" w:cs="Times New Roman"/>
          <w:sz w:val="24"/>
          <w:szCs w:val="24"/>
        </w:rPr>
        <w:t>banks’</w:t>
      </w:r>
      <w:r w:rsidR="009B7888" w:rsidRPr="008A7487">
        <w:rPr>
          <w:rFonts w:ascii="Times New Roman" w:hAnsi="Times New Roman" w:cs="Times New Roman"/>
          <w:sz w:val="24"/>
          <w:szCs w:val="24"/>
        </w:rPr>
        <w:t xml:space="preserve"> balance sheets, income statements and relevant financial </w:t>
      </w:r>
      <w:r w:rsidR="00D9695D" w:rsidRPr="008A7487">
        <w:rPr>
          <w:rFonts w:ascii="Times New Roman" w:hAnsi="Times New Roman" w:cs="Times New Roman"/>
          <w:sz w:val="24"/>
          <w:szCs w:val="24"/>
        </w:rPr>
        <w:t xml:space="preserve">and non-financial information </w:t>
      </w:r>
      <w:r w:rsidR="009B7888" w:rsidRPr="008A7487">
        <w:rPr>
          <w:rFonts w:ascii="Times New Roman" w:hAnsi="Times New Roman" w:cs="Times New Roman"/>
          <w:sz w:val="24"/>
          <w:szCs w:val="24"/>
        </w:rPr>
        <w:t xml:space="preserve">of </w:t>
      </w:r>
      <w:r w:rsidR="007B26CF" w:rsidRPr="008A7487">
        <w:rPr>
          <w:rFonts w:ascii="Times New Roman" w:hAnsi="Times New Roman" w:cs="Times New Roman"/>
          <w:sz w:val="24"/>
          <w:szCs w:val="24"/>
        </w:rPr>
        <w:t>thousands</w:t>
      </w:r>
      <w:r w:rsidR="009B7888" w:rsidRPr="008A7487">
        <w:rPr>
          <w:rFonts w:ascii="Times New Roman" w:hAnsi="Times New Roman" w:cs="Times New Roman"/>
          <w:sz w:val="24"/>
          <w:szCs w:val="24"/>
        </w:rPr>
        <w:t xml:space="preserve"> of banks</w:t>
      </w:r>
      <w:r w:rsidR="00E32FCB" w:rsidRPr="008A7487">
        <w:rPr>
          <w:rFonts w:ascii="Times New Roman" w:hAnsi="Times New Roman" w:cs="Times New Roman"/>
          <w:sz w:val="24"/>
          <w:szCs w:val="24"/>
        </w:rPr>
        <w:t xml:space="preserve"> world</w:t>
      </w:r>
      <w:r w:rsidR="00E409A6" w:rsidRPr="008A7487">
        <w:rPr>
          <w:rFonts w:ascii="Times New Roman" w:hAnsi="Times New Roman" w:cs="Times New Roman"/>
          <w:sz w:val="24"/>
          <w:szCs w:val="24"/>
        </w:rPr>
        <w:t>wide</w:t>
      </w:r>
      <w:r w:rsidR="007863F2" w:rsidRPr="008A7487">
        <w:rPr>
          <w:rFonts w:ascii="Times New Roman" w:hAnsi="Times New Roman" w:cs="Times New Roman"/>
          <w:sz w:val="24"/>
          <w:szCs w:val="24"/>
        </w:rPr>
        <w:t xml:space="preserve">. </w:t>
      </w:r>
      <w:r w:rsidRPr="008A7487">
        <w:rPr>
          <w:rFonts w:ascii="Times New Roman" w:hAnsi="Times New Roman" w:cs="Times New Roman"/>
          <w:sz w:val="24"/>
          <w:szCs w:val="24"/>
        </w:rPr>
        <w:t>The</w:t>
      </w:r>
      <w:r w:rsidR="009B7888" w:rsidRPr="008A7487">
        <w:rPr>
          <w:rFonts w:ascii="Times New Roman" w:hAnsi="Times New Roman" w:cs="Times New Roman"/>
          <w:sz w:val="24"/>
          <w:szCs w:val="24"/>
        </w:rPr>
        <w:t xml:space="preserve"> </w:t>
      </w:r>
      <w:r w:rsidR="007F64B3" w:rsidRPr="008A7487">
        <w:rPr>
          <w:rFonts w:ascii="Times New Roman" w:hAnsi="Times New Roman" w:cs="Times New Roman"/>
          <w:sz w:val="24"/>
          <w:szCs w:val="24"/>
        </w:rPr>
        <w:t>data for m</w:t>
      </w:r>
      <w:r w:rsidR="009B7888" w:rsidRPr="008A7487">
        <w:rPr>
          <w:rFonts w:ascii="Times New Roman" w:hAnsi="Times New Roman" w:cs="Times New Roman"/>
          <w:sz w:val="24"/>
          <w:szCs w:val="24"/>
        </w:rPr>
        <w:t>acro</w:t>
      </w:r>
      <w:r w:rsidR="00E932EB" w:rsidRPr="008A7487">
        <w:rPr>
          <w:rFonts w:ascii="Times New Roman" w:hAnsi="Times New Roman" w:cs="Times New Roman"/>
          <w:sz w:val="24"/>
          <w:szCs w:val="24"/>
        </w:rPr>
        <w:t>-</w:t>
      </w:r>
      <w:r w:rsidR="009B7888" w:rsidRPr="008A7487">
        <w:rPr>
          <w:rFonts w:ascii="Times New Roman" w:hAnsi="Times New Roman" w:cs="Times New Roman"/>
          <w:sz w:val="24"/>
          <w:szCs w:val="24"/>
        </w:rPr>
        <w:t xml:space="preserve">economic </w:t>
      </w:r>
      <w:r w:rsidR="007F64B3" w:rsidRPr="008A7487">
        <w:rPr>
          <w:rFonts w:ascii="Times New Roman" w:hAnsi="Times New Roman" w:cs="Times New Roman"/>
          <w:sz w:val="24"/>
          <w:szCs w:val="24"/>
        </w:rPr>
        <w:t xml:space="preserve">variables were </w:t>
      </w:r>
      <w:r w:rsidR="00004E5E" w:rsidRPr="008A7487">
        <w:rPr>
          <w:rFonts w:ascii="Times New Roman" w:hAnsi="Times New Roman" w:cs="Times New Roman"/>
          <w:sz w:val="24"/>
          <w:szCs w:val="24"/>
        </w:rPr>
        <w:t>obtained from the World Bank.</w:t>
      </w:r>
      <w:r w:rsidR="009B7888" w:rsidRPr="008A7487">
        <w:rPr>
          <w:rFonts w:ascii="Times New Roman" w:hAnsi="Times New Roman" w:cs="Times New Roman"/>
          <w:sz w:val="24"/>
          <w:szCs w:val="24"/>
        </w:rPr>
        <w:t xml:space="preserve"> </w:t>
      </w:r>
      <w:r w:rsidR="00234A65" w:rsidRPr="008A7487">
        <w:rPr>
          <w:rFonts w:ascii="Times New Roman" w:hAnsi="Times New Roman" w:cs="Times New Roman"/>
          <w:sz w:val="24"/>
          <w:szCs w:val="24"/>
        </w:rPr>
        <w:t xml:space="preserve">The sample </w:t>
      </w:r>
      <w:r w:rsidR="00A30D72" w:rsidRPr="008A7487">
        <w:rPr>
          <w:rFonts w:ascii="Times New Roman" w:hAnsi="Times New Roman" w:cs="Times New Roman"/>
          <w:sz w:val="24"/>
          <w:szCs w:val="24"/>
        </w:rPr>
        <w:t>for this study comprised all 123</w:t>
      </w:r>
      <w:r w:rsidR="00234A65" w:rsidRPr="008A7487">
        <w:rPr>
          <w:rFonts w:ascii="Times New Roman" w:hAnsi="Times New Roman" w:cs="Times New Roman"/>
          <w:sz w:val="24"/>
          <w:szCs w:val="24"/>
        </w:rPr>
        <w:t xml:space="preserve"> commercial banks in the ECOWAS member states available on Bankscope for </w:t>
      </w:r>
      <w:r w:rsidR="0049768C" w:rsidRPr="008A7487">
        <w:rPr>
          <w:rFonts w:ascii="Times New Roman" w:hAnsi="Times New Roman" w:cs="Times New Roman"/>
          <w:sz w:val="24"/>
          <w:szCs w:val="24"/>
        </w:rPr>
        <w:t xml:space="preserve">the </w:t>
      </w:r>
      <w:r w:rsidR="00E41FD8" w:rsidRPr="008A7487">
        <w:rPr>
          <w:rFonts w:ascii="Times New Roman" w:hAnsi="Times New Roman" w:cs="Times New Roman"/>
          <w:sz w:val="24"/>
          <w:szCs w:val="24"/>
        </w:rPr>
        <w:t xml:space="preserve">period covering </w:t>
      </w:r>
      <w:r w:rsidR="005C23CA" w:rsidRPr="008A7487">
        <w:rPr>
          <w:rFonts w:ascii="Times New Roman" w:hAnsi="Times New Roman" w:cs="Times New Roman"/>
          <w:sz w:val="24"/>
          <w:szCs w:val="24"/>
        </w:rPr>
        <w:t>1999-201</w:t>
      </w:r>
      <w:r w:rsidR="0038364A" w:rsidRPr="008A7487">
        <w:rPr>
          <w:rFonts w:ascii="Times New Roman" w:hAnsi="Times New Roman" w:cs="Times New Roman"/>
          <w:sz w:val="24"/>
          <w:szCs w:val="24"/>
        </w:rPr>
        <w:t>3</w:t>
      </w:r>
      <w:r w:rsidR="00E41FD8" w:rsidRPr="008A7487">
        <w:rPr>
          <w:rFonts w:ascii="Times New Roman" w:hAnsi="Times New Roman" w:cs="Times New Roman"/>
          <w:sz w:val="24"/>
          <w:szCs w:val="24"/>
        </w:rPr>
        <w:t xml:space="preserve">, </w:t>
      </w:r>
      <w:r w:rsidR="00234A65" w:rsidRPr="008A7487">
        <w:rPr>
          <w:rFonts w:ascii="Times New Roman" w:hAnsi="Times New Roman" w:cs="Times New Roman"/>
          <w:sz w:val="24"/>
          <w:szCs w:val="24"/>
        </w:rPr>
        <w:t xml:space="preserve">resulting in </w:t>
      </w:r>
      <w:r w:rsidR="009C550A" w:rsidRPr="008A7487">
        <w:rPr>
          <w:rFonts w:ascii="Times New Roman" w:hAnsi="Times New Roman" w:cs="Times New Roman"/>
          <w:sz w:val="24"/>
          <w:szCs w:val="24"/>
        </w:rPr>
        <w:t>an unbalanced</w:t>
      </w:r>
      <w:r w:rsidR="002335D8">
        <w:rPr>
          <w:rFonts w:ascii="Times New Roman" w:hAnsi="Times New Roman" w:cs="Times New Roman"/>
          <w:sz w:val="24"/>
          <w:szCs w:val="24"/>
        </w:rPr>
        <w:t xml:space="preserve"> panel of 1672 firm-</w:t>
      </w:r>
      <w:r w:rsidR="00234A65" w:rsidRPr="008A7487">
        <w:rPr>
          <w:rFonts w:ascii="Times New Roman" w:hAnsi="Times New Roman" w:cs="Times New Roman"/>
          <w:sz w:val="24"/>
          <w:szCs w:val="24"/>
        </w:rPr>
        <w:t xml:space="preserve">year observations. </w:t>
      </w:r>
      <w:r w:rsidR="009C0C1C" w:rsidRPr="009C0C1C">
        <w:rPr>
          <w:rFonts w:ascii="Times New Roman" w:hAnsi="Times New Roman" w:cs="Times New Roman"/>
          <w:sz w:val="24"/>
          <w:szCs w:val="24"/>
        </w:rPr>
        <w:t xml:space="preserve">The panel is unbalanced because some countries’ information are not available on Bankscope for the earlier years (before the </w:t>
      </w:r>
      <w:r w:rsidR="009C0C1C" w:rsidRPr="009C0C1C">
        <w:rPr>
          <w:rFonts w:ascii="Times New Roman" w:hAnsi="Times New Roman" w:cs="Times New Roman"/>
          <w:sz w:val="24"/>
          <w:szCs w:val="24"/>
        </w:rPr>
        <w:lastRenderedPageBreak/>
        <w:t>crisis) and banks with incomplete information in the subsequent years were removed</w:t>
      </w:r>
      <w:r w:rsidR="009C0C1C">
        <w:rPr>
          <w:rFonts w:ascii="Times New Roman" w:hAnsi="Times New Roman" w:cs="Times New Roman"/>
          <w:sz w:val="24"/>
          <w:szCs w:val="24"/>
        </w:rPr>
        <w:t xml:space="preserve">. </w:t>
      </w:r>
      <w:r w:rsidR="00F05BA0">
        <w:rPr>
          <w:rFonts w:ascii="Times New Roman" w:hAnsi="Times New Roman" w:cs="Times New Roman"/>
          <w:sz w:val="24"/>
          <w:szCs w:val="24"/>
        </w:rPr>
        <w:t xml:space="preserve">The sample composition is presented in Table 1. </w:t>
      </w:r>
      <w:r w:rsidR="009B7888" w:rsidRPr="008A7487">
        <w:rPr>
          <w:rFonts w:ascii="Times New Roman" w:hAnsi="Times New Roman" w:cs="Times New Roman"/>
          <w:sz w:val="24"/>
          <w:szCs w:val="24"/>
        </w:rPr>
        <w:t xml:space="preserve">The </w:t>
      </w:r>
      <w:r w:rsidR="00DB4A83" w:rsidRPr="008A7487">
        <w:rPr>
          <w:rFonts w:ascii="Times New Roman" w:hAnsi="Times New Roman" w:cs="Times New Roman"/>
          <w:sz w:val="24"/>
          <w:szCs w:val="24"/>
        </w:rPr>
        <w:t xml:space="preserve">scope of the study </w:t>
      </w:r>
      <w:r w:rsidR="009B7888" w:rsidRPr="008A7487">
        <w:rPr>
          <w:rFonts w:ascii="Times New Roman" w:hAnsi="Times New Roman" w:cs="Times New Roman"/>
          <w:sz w:val="24"/>
          <w:szCs w:val="24"/>
        </w:rPr>
        <w:t>was chosen based on data availability</w:t>
      </w:r>
      <w:r w:rsidR="00234A65" w:rsidRPr="008A7487">
        <w:rPr>
          <w:rFonts w:ascii="Times New Roman" w:hAnsi="Times New Roman" w:cs="Times New Roman"/>
          <w:sz w:val="24"/>
          <w:szCs w:val="24"/>
        </w:rPr>
        <w:t>,</w:t>
      </w:r>
      <w:r w:rsidR="009B7888" w:rsidRPr="008A7487">
        <w:rPr>
          <w:rFonts w:ascii="Times New Roman" w:hAnsi="Times New Roman" w:cs="Times New Roman"/>
          <w:sz w:val="24"/>
          <w:szCs w:val="24"/>
        </w:rPr>
        <w:t xml:space="preserve"> </w:t>
      </w:r>
      <w:r w:rsidR="00E06FB4" w:rsidRPr="008A7487">
        <w:rPr>
          <w:rFonts w:ascii="Times New Roman" w:hAnsi="Times New Roman" w:cs="Times New Roman"/>
          <w:sz w:val="24"/>
          <w:szCs w:val="24"/>
        </w:rPr>
        <w:t>and</w:t>
      </w:r>
      <w:r w:rsidR="00DB4A83" w:rsidRPr="008A7487">
        <w:rPr>
          <w:rFonts w:ascii="Times New Roman" w:hAnsi="Times New Roman" w:cs="Times New Roman"/>
          <w:sz w:val="24"/>
          <w:szCs w:val="24"/>
        </w:rPr>
        <w:t xml:space="preserve"> </w:t>
      </w:r>
      <w:r w:rsidR="0031653A" w:rsidRPr="008A7487">
        <w:rPr>
          <w:rFonts w:ascii="Times New Roman" w:hAnsi="Times New Roman" w:cs="Times New Roman"/>
          <w:sz w:val="24"/>
          <w:szCs w:val="24"/>
        </w:rPr>
        <w:t>to cover</w:t>
      </w:r>
      <w:r w:rsidR="00DB4A83" w:rsidRPr="008A7487">
        <w:rPr>
          <w:rFonts w:ascii="Times New Roman" w:hAnsi="Times New Roman" w:cs="Times New Roman"/>
          <w:sz w:val="24"/>
          <w:szCs w:val="24"/>
        </w:rPr>
        <w:t xml:space="preserve"> </w:t>
      </w:r>
      <w:r w:rsidR="009B7888" w:rsidRPr="008A7487">
        <w:rPr>
          <w:rFonts w:ascii="Times New Roman" w:hAnsi="Times New Roman" w:cs="Times New Roman"/>
          <w:sz w:val="24"/>
          <w:szCs w:val="24"/>
        </w:rPr>
        <w:t xml:space="preserve">the </w:t>
      </w:r>
      <w:r w:rsidR="00004E5E" w:rsidRPr="008A7487">
        <w:rPr>
          <w:rFonts w:ascii="Times New Roman" w:hAnsi="Times New Roman" w:cs="Times New Roman"/>
          <w:sz w:val="24"/>
          <w:szCs w:val="24"/>
        </w:rPr>
        <w:t>periods before</w:t>
      </w:r>
      <w:r w:rsidR="009C550A" w:rsidRPr="008A7487">
        <w:rPr>
          <w:rFonts w:ascii="Times New Roman" w:hAnsi="Times New Roman" w:cs="Times New Roman"/>
          <w:sz w:val="24"/>
          <w:szCs w:val="24"/>
        </w:rPr>
        <w:t xml:space="preserve">, </w:t>
      </w:r>
      <w:r w:rsidR="00A30D72" w:rsidRPr="008A7487">
        <w:rPr>
          <w:rFonts w:ascii="Times New Roman" w:hAnsi="Times New Roman" w:cs="Times New Roman"/>
          <w:sz w:val="24"/>
          <w:szCs w:val="24"/>
        </w:rPr>
        <w:t>during and</w:t>
      </w:r>
      <w:r w:rsidR="00004E5E" w:rsidRPr="008A7487">
        <w:rPr>
          <w:rFonts w:ascii="Times New Roman" w:hAnsi="Times New Roman" w:cs="Times New Roman"/>
          <w:sz w:val="24"/>
          <w:szCs w:val="24"/>
        </w:rPr>
        <w:t xml:space="preserve"> after the </w:t>
      </w:r>
      <w:r w:rsidR="009C550A" w:rsidRPr="008A7487">
        <w:rPr>
          <w:rFonts w:ascii="Times New Roman" w:hAnsi="Times New Roman" w:cs="Times New Roman"/>
          <w:sz w:val="24"/>
          <w:szCs w:val="24"/>
        </w:rPr>
        <w:t>financial crisis</w:t>
      </w:r>
      <w:r w:rsidR="002A0DF6" w:rsidRPr="008A7487">
        <w:rPr>
          <w:rFonts w:ascii="Times New Roman" w:hAnsi="Times New Roman" w:cs="Times New Roman"/>
          <w:sz w:val="24"/>
          <w:szCs w:val="24"/>
        </w:rPr>
        <w:t>, to allow deeper understanding of the</w:t>
      </w:r>
      <w:r w:rsidR="00004E5E" w:rsidRPr="008A7487">
        <w:rPr>
          <w:rFonts w:ascii="Times New Roman" w:hAnsi="Times New Roman" w:cs="Times New Roman"/>
          <w:sz w:val="24"/>
          <w:szCs w:val="24"/>
        </w:rPr>
        <w:t xml:space="preserve"> impacts of the</w:t>
      </w:r>
      <w:r w:rsidR="002A0DF6" w:rsidRPr="008A7487">
        <w:rPr>
          <w:rFonts w:ascii="Times New Roman" w:hAnsi="Times New Roman" w:cs="Times New Roman"/>
          <w:sz w:val="24"/>
          <w:szCs w:val="24"/>
        </w:rPr>
        <w:t xml:space="preserve"> crisis on </w:t>
      </w:r>
      <w:r w:rsidR="00DC244C" w:rsidRPr="008A7487">
        <w:rPr>
          <w:rFonts w:ascii="Times New Roman" w:hAnsi="Times New Roman" w:cs="Times New Roman"/>
          <w:sz w:val="24"/>
          <w:szCs w:val="24"/>
        </w:rPr>
        <w:t xml:space="preserve">the determinants of </w:t>
      </w:r>
      <w:r w:rsidR="002A0DF6" w:rsidRPr="008A7487">
        <w:rPr>
          <w:rFonts w:ascii="Times New Roman" w:hAnsi="Times New Roman" w:cs="Times New Roman"/>
          <w:sz w:val="24"/>
          <w:szCs w:val="24"/>
        </w:rPr>
        <w:t>bank profitability</w:t>
      </w:r>
      <w:r w:rsidR="00651F43">
        <w:rPr>
          <w:rFonts w:ascii="Times New Roman" w:hAnsi="Times New Roman" w:cs="Times New Roman"/>
          <w:sz w:val="24"/>
          <w:szCs w:val="24"/>
        </w:rPr>
        <w:t>,</w:t>
      </w:r>
      <w:r w:rsidR="002A0DF6" w:rsidRPr="008A7487">
        <w:rPr>
          <w:rFonts w:ascii="Times New Roman" w:hAnsi="Times New Roman" w:cs="Times New Roman"/>
          <w:sz w:val="24"/>
          <w:szCs w:val="24"/>
        </w:rPr>
        <w:t xml:space="preserve"> which is rarely covered in </w:t>
      </w:r>
      <w:r w:rsidR="00573E83" w:rsidRPr="008A7487">
        <w:rPr>
          <w:rFonts w:ascii="Times New Roman" w:hAnsi="Times New Roman" w:cs="Times New Roman"/>
          <w:sz w:val="24"/>
          <w:szCs w:val="24"/>
        </w:rPr>
        <w:t xml:space="preserve">the </w:t>
      </w:r>
      <w:r w:rsidR="002A0DF6" w:rsidRPr="008A7487">
        <w:rPr>
          <w:rFonts w:ascii="Times New Roman" w:hAnsi="Times New Roman" w:cs="Times New Roman"/>
          <w:sz w:val="24"/>
          <w:szCs w:val="24"/>
        </w:rPr>
        <w:t>extant literature.</w:t>
      </w:r>
      <w:r w:rsidR="00A1661B" w:rsidRPr="008A7487">
        <w:rPr>
          <w:rFonts w:ascii="Times New Roman" w:hAnsi="Times New Roman" w:cs="Times New Roman"/>
          <w:sz w:val="24"/>
          <w:szCs w:val="24"/>
        </w:rPr>
        <w:t xml:space="preserve"> </w:t>
      </w:r>
      <w:r w:rsidR="00234A65" w:rsidRPr="008A7487">
        <w:rPr>
          <w:rFonts w:ascii="Times New Roman" w:hAnsi="Times New Roman" w:cs="Times New Roman"/>
          <w:sz w:val="24"/>
          <w:szCs w:val="24"/>
        </w:rPr>
        <w:t>The analysis is restricted to commercial banks to enhance comparability</w:t>
      </w:r>
      <w:r w:rsidR="00565C3B" w:rsidRPr="008A7487">
        <w:rPr>
          <w:rFonts w:ascii="Times New Roman" w:hAnsi="Times New Roman" w:cs="Times New Roman"/>
          <w:sz w:val="24"/>
          <w:szCs w:val="24"/>
        </w:rPr>
        <w:t>,</w:t>
      </w:r>
      <w:r w:rsidR="00234A65" w:rsidRPr="008A7487">
        <w:rPr>
          <w:rFonts w:ascii="Times New Roman" w:hAnsi="Times New Roman" w:cs="Times New Roman"/>
          <w:sz w:val="24"/>
          <w:szCs w:val="24"/>
        </w:rPr>
        <w:t xml:space="preserve"> and to avoid </w:t>
      </w:r>
      <w:r w:rsidR="00565C3B" w:rsidRPr="008A7487">
        <w:rPr>
          <w:rFonts w:ascii="Times New Roman" w:hAnsi="Times New Roman" w:cs="Times New Roman"/>
          <w:sz w:val="24"/>
          <w:szCs w:val="24"/>
        </w:rPr>
        <w:t xml:space="preserve">the </w:t>
      </w:r>
      <w:r w:rsidR="00234A65" w:rsidRPr="008A7487">
        <w:rPr>
          <w:rFonts w:ascii="Times New Roman" w:hAnsi="Times New Roman" w:cs="Times New Roman"/>
          <w:sz w:val="24"/>
          <w:szCs w:val="24"/>
        </w:rPr>
        <w:t xml:space="preserve">bias that </w:t>
      </w:r>
      <w:r w:rsidR="00E41FD8" w:rsidRPr="008A7487">
        <w:rPr>
          <w:rFonts w:ascii="Times New Roman" w:hAnsi="Times New Roman" w:cs="Times New Roman"/>
          <w:sz w:val="24"/>
          <w:szCs w:val="24"/>
        </w:rPr>
        <w:t>other type of</w:t>
      </w:r>
      <w:r w:rsidR="00234A65" w:rsidRPr="008A7487">
        <w:rPr>
          <w:rFonts w:ascii="Times New Roman" w:hAnsi="Times New Roman" w:cs="Times New Roman"/>
          <w:sz w:val="24"/>
          <w:szCs w:val="24"/>
        </w:rPr>
        <w:t xml:space="preserve"> banks </w:t>
      </w:r>
      <w:r w:rsidR="0038364A" w:rsidRPr="008A7487">
        <w:rPr>
          <w:rFonts w:ascii="Times New Roman" w:hAnsi="Times New Roman" w:cs="Times New Roman"/>
          <w:sz w:val="24"/>
          <w:szCs w:val="24"/>
        </w:rPr>
        <w:t xml:space="preserve">such as development or industrial banks </w:t>
      </w:r>
      <w:r w:rsidR="00573E83" w:rsidRPr="008A7487">
        <w:rPr>
          <w:rFonts w:ascii="Times New Roman" w:hAnsi="Times New Roman" w:cs="Times New Roman"/>
          <w:sz w:val="24"/>
          <w:szCs w:val="24"/>
        </w:rPr>
        <w:t>may introduce</w:t>
      </w:r>
      <w:r w:rsidR="00234A65" w:rsidRPr="008A7487">
        <w:rPr>
          <w:rFonts w:ascii="Times New Roman" w:hAnsi="Times New Roman" w:cs="Times New Roman"/>
          <w:sz w:val="24"/>
          <w:szCs w:val="24"/>
        </w:rPr>
        <w:t xml:space="preserve">. </w:t>
      </w:r>
    </w:p>
    <w:p w14:paraId="6489198B" w14:textId="77777777" w:rsidR="00F430F1" w:rsidRDefault="00F430F1" w:rsidP="007F64B3">
      <w:pPr>
        <w:spacing w:after="0" w:line="480" w:lineRule="auto"/>
        <w:ind w:firstLine="720"/>
        <w:jc w:val="both"/>
        <w:rPr>
          <w:rFonts w:ascii="Times New Roman" w:hAnsi="Times New Roman" w:cs="Times New Roman"/>
          <w:sz w:val="24"/>
          <w:szCs w:val="24"/>
        </w:rPr>
      </w:pPr>
    </w:p>
    <w:p w14:paraId="6300F0F8" w14:textId="77777777" w:rsidR="00F430F1" w:rsidRPr="008A7487" w:rsidRDefault="00F430F1" w:rsidP="00F430F1">
      <w:pPr>
        <w:jc w:val="center"/>
        <w:rPr>
          <w:rFonts w:ascii="Times New Roman" w:hAnsi="Times New Roman" w:cs="Times New Roman"/>
          <w:b/>
          <w:sz w:val="20"/>
          <w:szCs w:val="20"/>
          <w:lang w:val="en-GB"/>
        </w:rPr>
      </w:pPr>
      <w:r w:rsidRPr="008A7487">
        <w:rPr>
          <w:rFonts w:ascii="Times New Roman" w:hAnsi="Times New Roman" w:cs="Times New Roman"/>
          <w:b/>
          <w:sz w:val="20"/>
          <w:szCs w:val="20"/>
          <w:lang w:val="en-GB"/>
        </w:rPr>
        <w:t>[INSERT TABLE 1 ABOUT HERE]</w:t>
      </w:r>
    </w:p>
    <w:p w14:paraId="3C019CC7" w14:textId="7D3D0BA8" w:rsidR="00F430F1" w:rsidRDefault="00F430F1" w:rsidP="007F64B3">
      <w:pPr>
        <w:spacing w:after="0" w:line="480" w:lineRule="auto"/>
        <w:ind w:firstLine="720"/>
        <w:jc w:val="both"/>
        <w:rPr>
          <w:rFonts w:ascii="Times New Roman" w:hAnsi="Times New Roman" w:cs="Times New Roman"/>
          <w:sz w:val="24"/>
          <w:szCs w:val="24"/>
        </w:rPr>
      </w:pPr>
    </w:p>
    <w:p w14:paraId="29F53022" w14:textId="77777777" w:rsidR="00F430F1" w:rsidRPr="008A7487" w:rsidRDefault="00F430F1" w:rsidP="007F64B3">
      <w:pPr>
        <w:spacing w:after="0" w:line="480" w:lineRule="auto"/>
        <w:ind w:firstLine="720"/>
        <w:jc w:val="both"/>
        <w:rPr>
          <w:rFonts w:ascii="Times New Roman" w:hAnsi="Times New Roman" w:cs="Times New Roman"/>
          <w:sz w:val="24"/>
          <w:szCs w:val="24"/>
        </w:rPr>
      </w:pPr>
    </w:p>
    <w:p w14:paraId="23BC16B0" w14:textId="77777777" w:rsidR="00143CCD" w:rsidRPr="008A7487" w:rsidRDefault="00143CCD" w:rsidP="00143CCD">
      <w:pPr>
        <w:spacing w:after="0" w:line="240" w:lineRule="auto"/>
        <w:contextualSpacing/>
        <w:rPr>
          <w:rFonts w:ascii="Times New Roman" w:hAnsi="Times New Roman" w:cs="Times New Roman"/>
          <w:b/>
          <w:sz w:val="24"/>
          <w:szCs w:val="24"/>
        </w:rPr>
      </w:pPr>
    </w:p>
    <w:p w14:paraId="01BF281F" w14:textId="77777777" w:rsidR="00B43C13" w:rsidRPr="008A7487" w:rsidRDefault="00B43C13" w:rsidP="00143CCD">
      <w:pPr>
        <w:spacing w:after="0" w:line="240" w:lineRule="auto"/>
        <w:contextualSpacing/>
        <w:jc w:val="center"/>
        <w:rPr>
          <w:rFonts w:ascii="Times New Roman" w:hAnsi="Times New Roman" w:cs="Times New Roman"/>
          <w:b/>
          <w:sz w:val="24"/>
          <w:szCs w:val="24"/>
        </w:rPr>
      </w:pPr>
    </w:p>
    <w:p w14:paraId="1D72D9FF" w14:textId="058F4E45" w:rsidR="00DB4A83" w:rsidRPr="008A7487" w:rsidRDefault="007E37CD" w:rsidP="007E37CD">
      <w:pPr>
        <w:spacing w:after="0" w:line="480" w:lineRule="auto"/>
        <w:jc w:val="both"/>
        <w:rPr>
          <w:rFonts w:ascii="Times New Roman" w:hAnsi="Times New Roman" w:cs="Times New Roman"/>
          <w:b/>
          <w:sz w:val="24"/>
          <w:szCs w:val="24"/>
        </w:rPr>
      </w:pPr>
      <w:r w:rsidRPr="008A7487">
        <w:rPr>
          <w:rFonts w:ascii="Times New Roman" w:hAnsi="Times New Roman" w:cs="Times New Roman"/>
          <w:b/>
          <w:sz w:val="24"/>
          <w:szCs w:val="24"/>
        </w:rPr>
        <w:t xml:space="preserve">4.2 </w:t>
      </w:r>
      <w:r w:rsidR="00DB4A83" w:rsidRPr="008A7487">
        <w:rPr>
          <w:rFonts w:ascii="Times New Roman" w:hAnsi="Times New Roman" w:cs="Times New Roman"/>
          <w:b/>
          <w:sz w:val="24"/>
          <w:szCs w:val="24"/>
        </w:rPr>
        <w:t>Methodology</w:t>
      </w:r>
    </w:p>
    <w:p w14:paraId="5A21CFF9" w14:textId="7720AFE9" w:rsidR="00DB4A83" w:rsidRPr="008A7487" w:rsidRDefault="00E41FD8" w:rsidP="00DB4A83">
      <w:pPr>
        <w:spacing w:after="0" w:line="480" w:lineRule="auto"/>
        <w:ind w:firstLine="720"/>
        <w:jc w:val="both"/>
        <w:rPr>
          <w:rFonts w:ascii="Times New Roman" w:hAnsi="Times New Roman" w:cs="Times New Roman"/>
          <w:sz w:val="24"/>
          <w:szCs w:val="24"/>
        </w:rPr>
      </w:pPr>
      <w:r w:rsidRPr="008A7487">
        <w:rPr>
          <w:rFonts w:ascii="Times New Roman" w:hAnsi="Times New Roman" w:cs="Times New Roman"/>
          <w:sz w:val="24"/>
          <w:szCs w:val="24"/>
        </w:rPr>
        <w:t xml:space="preserve">To investigate the effects of the financial crisis on </w:t>
      </w:r>
      <w:r w:rsidR="007B26CF" w:rsidRPr="008A7487">
        <w:rPr>
          <w:rFonts w:ascii="Times New Roman" w:hAnsi="Times New Roman" w:cs="Times New Roman"/>
          <w:sz w:val="24"/>
          <w:szCs w:val="24"/>
        </w:rPr>
        <w:t xml:space="preserve">the determinants of </w:t>
      </w:r>
      <w:r w:rsidRPr="008A7487">
        <w:rPr>
          <w:rFonts w:ascii="Times New Roman" w:hAnsi="Times New Roman" w:cs="Times New Roman"/>
          <w:sz w:val="24"/>
          <w:szCs w:val="24"/>
        </w:rPr>
        <w:t xml:space="preserve">bank profitability for commercial banks in ECOWAS, this study followed </w:t>
      </w:r>
      <w:r w:rsidR="00864674" w:rsidRPr="008A7487">
        <w:rPr>
          <w:rFonts w:ascii="Times New Roman" w:hAnsi="Times New Roman" w:cs="Times New Roman"/>
          <w:sz w:val="24"/>
          <w:szCs w:val="24"/>
        </w:rPr>
        <w:t xml:space="preserve">the </w:t>
      </w:r>
      <w:r w:rsidRPr="008A7487">
        <w:rPr>
          <w:rFonts w:ascii="Times New Roman" w:hAnsi="Times New Roman" w:cs="Times New Roman"/>
          <w:sz w:val="24"/>
          <w:szCs w:val="24"/>
        </w:rPr>
        <w:t>approach in Pasiouras</w:t>
      </w:r>
      <w:r w:rsidR="00FC0501" w:rsidRPr="008A7487">
        <w:rPr>
          <w:rFonts w:ascii="Times New Roman" w:hAnsi="Times New Roman" w:cs="Times New Roman"/>
          <w:sz w:val="24"/>
          <w:szCs w:val="24"/>
        </w:rPr>
        <w:t xml:space="preserve"> </w:t>
      </w:r>
      <w:r w:rsidR="0045782E">
        <w:rPr>
          <w:rFonts w:ascii="Times New Roman" w:hAnsi="Times New Roman" w:cs="Times New Roman"/>
          <w:sz w:val="24"/>
          <w:szCs w:val="24"/>
        </w:rPr>
        <w:t xml:space="preserve">&amp; </w:t>
      </w:r>
      <w:r w:rsidR="00FC0501" w:rsidRPr="008A7487">
        <w:rPr>
          <w:rFonts w:ascii="Times New Roman" w:hAnsi="Times New Roman" w:cs="Times New Roman"/>
          <w:sz w:val="24"/>
          <w:szCs w:val="24"/>
        </w:rPr>
        <w:t>Kosmidou</w:t>
      </w:r>
      <w:r w:rsidR="00CB34A3" w:rsidRPr="008A7487">
        <w:rPr>
          <w:rFonts w:ascii="Times New Roman" w:hAnsi="Times New Roman" w:cs="Times New Roman"/>
          <w:sz w:val="24"/>
          <w:szCs w:val="24"/>
        </w:rPr>
        <w:t xml:space="preserve"> </w:t>
      </w:r>
      <w:r w:rsidRPr="008A7487">
        <w:rPr>
          <w:rFonts w:ascii="Times New Roman" w:hAnsi="Times New Roman" w:cs="Times New Roman"/>
          <w:sz w:val="24"/>
          <w:szCs w:val="24"/>
        </w:rPr>
        <w:t>(</w:t>
      </w:r>
      <w:r w:rsidR="00CB34A3" w:rsidRPr="008A7487">
        <w:rPr>
          <w:rFonts w:ascii="Times New Roman" w:hAnsi="Times New Roman" w:cs="Times New Roman"/>
          <w:sz w:val="24"/>
          <w:szCs w:val="24"/>
        </w:rPr>
        <w:t>2007</w:t>
      </w:r>
      <w:r w:rsidR="00FC0501" w:rsidRPr="008A7487">
        <w:rPr>
          <w:rFonts w:ascii="Times New Roman" w:hAnsi="Times New Roman" w:cs="Times New Roman"/>
          <w:sz w:val="24"/>
          <w:szCs w:val="24"/>
        </w:rPr>
        <w:t>) and Ahokpossi</w:t>
      </w:r>
      <w:r w:rsidRPr="008A7487">
        <w:rPr>
          <w:rFonts w:ascii="Times New Roman" w:hAnsi="Times New Roman" w:cs="Times New Roman"/>
          <w:sz w:val="24"/>
          <w:szCs w:val="24"/>
        </w:rPr>
        <w:t xml:space="preserve"> (2013)</w:t>
      </w:r>
      <w:r w:rsidR="00F1759B" w:rsidRPr="008A7487">
        <w:rPr>
          <w:rFonts w:ascii="Times New Roman" w:hAnsi="Times New Roman" w:cs="Times New Roman"/>
          <w:sz w:val="24"/>
          <w:szCs w:val="24"/>
        </w:rPr>
        <w:t xml:space="preserve"> by using panel data analysis</w:t>
      </w:r>
      <w:r w:rsidRPr="008A7487">
        <w:rPr>
          <w:rFonts w:ascii="Times New Roman" w:hAnsi="Times New Roman" w:cs="Times New Roman"/>
          <w:sz w:val="24"/>
          <w:szCs w:val="24"/>
        </w:rPr>
        <w:t xml:space="preserve">. </w:t>
      </w:r>
      <w:r w:rsidR="0031653A" w:rsidRPr="008A7487">
        <w:rPr>
          <w:rFonts w:ascii="Times New Roman" w:hAnsi="Times New Roman" w:cs="Times New Roman"/>
          <w:sz w:val="24"/>
          <w:szCs w:val="24"/>
        </w:rPr>
        <w:t xml:space="preserve"> </w:t>
      </w:r>
      <w:r w:rsidR="000710C8" w:rsidRPr="008A7487">
        <w:rPr>
          <w:rFonts w:ascii="Times New Roman" w:hAnsi="Times New Roman" w:cs="Times New Roman"/>
          <w:sz w:val="24"/>
          <w:szCs w:val="24"/>
        </w:rPr>
        <w:t xml:space="preserve">The </w:t>
      </w:r>
      <w:r w:rsidR="00E06FB4" w:rsidRPr="008A7487">
        <w:rPr>
          <w:rFonts w:ascii="Times New Roman" w:hAnsi="Times New Roman" w:cs="Times New Roman"/>
          <w:sz w:val="24"/>
          <w:szCs w:val="24"/>
        </w:rPr>
        <w:t xml:space="preserve">fixed effect </w:t>
      </w:r>
      <w:r w:rsidR="004B196F" w:rsidRPr="008A7487">
        <w:rPr>
          <w:rFonts w:ascii="Times New Roman" w:hAnsi="Times New Roman" w:cs="Times New Roman"/>
          <w:sz w:val="24"/>
          <w:szCs w:val="24"/>
        </w:rPr>
        <w:t xml:space="preserve">panel </w:t>
      </w:r>
      <w:r w:rsidR="000710C8" w:rsidRPr="008A7487">
        <w:rPr>
          <w:rFonts w:ascii="Times New Roman" w:hAnsi="Times New Roman" w:cs="Times New Roman"/>
          <w:sz w:val="24"/>
          <w:szCs w:val="24"/>
        </w:rPr>
        <w:t xml:space="preserve">model </w:t>
      </w:r>
      <w:r w:rsidR="007B26CF" w:rsidRPr="008A7487">
        <w:rPr>
          <w:rFonts w:ascii="Times New Roman" w:hAnsi="Times New Roman" w:cs="Times New Roman"/>
          <w:sz w:val="24"/>
          <w:szCs w:val="24"/>
        </w:rPr>
        <w:lastRenderedPageBreak/>
        <w:t xml:space="preserve">used </w:t>
      </w:r>
      <w:r w:rsidR="000710C8" w:rsidRPr="008A7487">
        <w:rPr>
          <w:rFonts w:ascii="Times New Roman" w:hAnsi="Times New Roman" w:cs="Times New Roman"/>
          <w:sz w:val="24"/>
          <w:szCs w:val="24"/>
        </w:rPr>
        <w:t>r</w:t>
      </w:r>
      <w:r w:rsidR="007B26CF" w:rsidRPr="008A7487">
        <w:rPr>
          <w:rFonts w:ascii="Times New Roman" w:hAnsi="Times New Roman" w:cs="Times New Roman"/>
          <w:sz w:val="24"/>
          <w:szCs w:val="24"/>
        </w:rPr>
        <w:t>ecognizes</w:t>
      </w:r>
      <w:r w:rsidR="00DB4A83" w:rsidRPr="008A7487">
        <w:rPr>
          <w:rFonts w:ascii="Times New Roman" w:hAnsi="Times New Roman" w:cs="Times New Roman"/>
          <w:sz w:val="24"/>
          <w:szCs w:val="24"/>
        </w:rPr>
        <w:t xml:space="preserve"> </w:t>
      </w:r>
      <w:r w:rsidR="00A30D72" w:rsidRPr="008A7487">
        <w:rPr>
          <w:rFonts w:ascii="Times New Roman" w:hAnsi="Times New Roman" w:cs="Times New Roman"/>
          <w:sz w:val="24"/>
          <w:szCs w:val="24"/>
        </w:rPr>
        <w:t>bank</w:t>
      </w:r>
      <w:r w:rsidR="007F0598">
        <w:rPr>
          <w:rFonts w:ascii="Times New Roman" w:hAnsi="Times New Roman" w:cs="Times New Roman"/>
          <w:sz w:val="24"/>
          <w:szCs w:val="24"/>
        </w:rPr>
        <w:t>-</w:t>
      </w:r>
      <w:r w:rsidR="00DB4A83" w:rsidRPr="008A7487">
        <w:rPr>
          <w:rFonts w:ascii="Times New Roman" w:hAnsi="Times New Roman" w:cs="Times New Roman"/>
          <w:sz w:val="24"/>
          <w:szCs w:val="24"/>
        </w:rPr>
        <w:t>specific</w:t>
      </w:r>
      <w:r w:rsidR="002A0DF6" w:rsidRPr="008A7487">
        <w:rPr>
          <w:rFonts w:ascii="Times New Roman" w:hAnsi="Times New Roman" w:cs="Times New Roman"/>
          <w:sz w:val="24"/>
          <w:szCs w:val="24"/>
        </w:rPr>
        <w:t>, industry</w:t>
      </w:r>
      <w:r w:rsidR="00DB4A83" w:rsidRPr="008A7487">
        <w:rPr>
          <w:rFonts w:ascii="Times New Roman" w:hAnsi="Times New Roman" w:cs="Times New Roman"/>
          <w:sz w:val="24"/>
          <w:szCs w:val="24"/>
        </w:rPr>
        <w:t xml:space="preserve"> and macro-economic factors</w:t>
      </w:r>
      <w:r w:rsidR="004B196F" w:rsidRPr="008A7487">
        <w:rPr>
          <w:rFonts w:ascii="Times New Roman" w:hAnsi="Times New Roman" w:cs="Times New Roman"/>
          <w:sz w:val="24"/>
          <w:szCs w:val="24"/>
        </w:rPr>
        <w:t xml:space="preserve"> for each bank in each country across the years. </w:t>
      </w:r>
      <w:r w:rsidR="00A30D72" w:rsidRPr="008A7487">
        <w:rPr>
          <w:rFonts w:ascii="Times New Roman" w:hAnsi="Times New Roman" w:cs="Times New Roman"/>
          <w:sz w:val="24"/>
          <w:szCs w:val="24"/>
        </w:rPr>
        <w:t>The model allows more observations and ensures that only time varying variables account for the changes in the dependent variable. All the time invariant unobservable factors are all accounted for in the intercept, also referred to as the fixed effect (Hil</w:t>
      </w:r>
      <w:r w:rsidR="0094142C">
        <w:rPr>
          <w:rFonts w:ascii="Times New Roman" w:hAnsi="Times New Roman" w:cs="Times New Roman"/>
          <w:sz w:val="24"/>
          <w:szCs w:val="24"/>
        </w:rPr>
        <w:t>l et al.</w:t>
      </w:r>
      <w:r w:rsidR="0045782E">
        <w:rPr>
          <w:rFonts w:ascii="Times New Roman" w:hAnsi="Times New Roman" w:cs="Times New Roman"/>
          <w:sz w:val="24"/>
          <w:szCs w:val="24"/>
        </w:rPr>
        <w:t xml:space="preserve">, </w:t>
      </w:r>
      <w:r w:rsidR="0094142C">
        <w:rPr>
          <w:rFonts w:ascii="Times New Roman" w:hAnsi="Times New Roman" w:cs="Times New Roman"/>
          <w:sz w:val="24"/>
          <w:szCs w:val="24"/>
        </w:rPr>
        <w:t>2012; Baltagi</w:t>
      </w:r>
      <w:r w:rsidR="0045782E">
        <w:rPr>
          <w:rFonts w:ascii="Times New Roman" w:hAnsi="Times New Roman" w:cs="Times New Roman"/>
          <w:sz w:val="24"/>
          <w:szCs w:val="24"/>
        </w:rPr>
        <w:t>,</w:t>
      </w:r>
      <w:r w:rsidR="00A30D72" w:rsidRPr="008A7487">
        <w:rPr>
          <w:rFonts w:ascii="Times New Roman" w:hAnsi="Times New Roman" w:cs="Times New Roman"/>
          <w:sz w:val="24"/>
          <w:szCs w:val="24"/>
        </w:rPr>
        <w:t xml:space="preserve"> 2012). </w:t>
      </w:r>
      <w:r w:rsidR="004B196F" w:rsidRPr="008A7487">
        <w:rPr>
          <w:rFonts w:ascii="Times New Roman" w:hAnsi="Times New Roman" w:cs="Times New Roman"/>
          <w:sz w:val="24"/>
          <w:szCs w:val="24"/>
        </w:rPr>
        <w:t>The subscript for the country has been omitted for simplicity</w:t>
      </w:r>
      <w:r w:rsidR="00A30D72" w:rsidRPr="008A7487">
        <w:rPr>
          <w:rFonts w:ascii="Times New Roman" w:hAnsi="Times New Roman" w:cs="Times New Roman"/>
          <w:sz w:val="24"/>
          <w:szCs w:val="24"/>
        </w:rPr>
        <w:t>. The fixed effect model is specified below</w:t>
      </w:r>
      <w:r w:rsidR="00DB4A83" w:rsidRPr="008A7487">
        <w:rPr>
          <w:rFonts w:ascii="Times New Roman" w:hAnsi="Times New Roman" w:cs="Times New Roman"/>
          <w:sz w:val="24"/>
          <w:szCs w:val="24"/>
        </w:rPr>
        <w:t>:</w:t>
      </w:r>
    </w:p>
    <w:p w14:paraId="7B8F1938" w14:textId="519DB2BA" w:rsidR="000710C8" w:rsidRPr="008A7487" w:rsidRDefault="001843F4" w:rsidP="00DB4A83">
      <w:pPr>
        <w:jc w:val="both"/>
        <w:rPr>
          <w:rFonts w:ascii="Times New Roman" w:eastAsiaTheme="minorEastAsia" w:hAnsi="Times New Roman" w:cs="Times New Roman"/>
          <w:sz w:val="24"/>
          <w:szCs w:val="24"/>
        </w:rPr>
      </w:pPr>
      <w:r w:rsidRPr="008A7487">
        <w:rPr>
          <w:rFonts w:ascii="Times New Roman" w:eastAsiaTheme="minorEastAsia" w:hAnsi="Times New Roman" w:cs="Times New Roman"/>
          <w:b/>
          <w:sz w:val="28"/>
          <w:szCs w:val="28"/>
        </w:rPr>
        <w:t xml:space="preserve">  </w:t>
      </w:r>
      <w:r w:rsidRPr="008A7487">
        <w:rPr>
          <w:rFonts w:ascii="Times New Roman" w:eastAsiaTheme="minorEastAsia" w:hAnsi="Times New Roman" w:cs="Times New Roman"/>
          <w:sz w:val="28"/>
          <w:szCs w:val="28"/>
        </w:rPr>
        <w:t xml:space="preserve"> </w:t>
      </w:r>
      <m:oMath>
        <m:sSub>
          <m:sSubPr>
            <m:ctrlPr>
              <w:rPr>
                <w:rFonts w:ascii="Cambria Math" w:hAnsi="Cambria Math" w:cs="Times New Roman"/>
                <w:i/>
                <w:sz w:val="28"/>
                <w:szCs w:val="28"/>
              </w:rPr>
            </m:ctrlPr>
          </m:sSubPr>
          <m:e>
            <m:r>
              <w:rPr>
                <w:rFonts w:ascii="Cambria Math" w:hAnsi="Cambria Math" w:cs="Times New Roman"/>
                <w:sz w:val="28"/>
                <w:szCs w:val="28"/>
              </w:rPr>
              <m:t>y</m:t>
            </m:r>
          </m:e>
          <m:sub>
            <m:r>
              <w:rPr>
                <w:rFonts w:ascii="Cambria Math" w:hAnsi="Cambria Math" w:cs="Times New Roman"/>
                <w:sz w:val="28"/>
                <w:szCs w:val="28"/>
              </w:rPr>
              <m:t>it</m:t>
            </m:r>
          </m:sub>
        </m:sSub>
        <m:r>
          <w:rPr>
            <w:rFonts w:ascii="Cambria Math" w:hAnsi="Cambria Math" w:cs="Times New Roman"/>
            <w:sz w:val="28"/>
            <w:szCs w:val="28"/>
          </w:rPr>
          <m:t xml:space="preserve">= </m:t>
        </m:r>
        <m:sSub>
          <m:sSubPr>
            <m:ctrlPr>
              <w:rPr>
                <w:rFonts w:ascii="Cambria Math" w:hAnsi="Cambria Math" w:cs="Times New Roman"/>
                <w:i/>
                <w:sz w:val="28"/>
                <w:szCs w:val="28"/>
              </w:rPr>
            </m:ctrlPr>
          </m:sSubPr>
          <m:e>
            <m:r>
              <w:rPr>
                <w:rFonts w:ascii="Cambria Math" w:hAnsi="Cambria Math" w:cs="Times New Roman"/>
                <w:sz w:val="28"/>
                <w:szCs w:val="28"/>
              </w:rPr>
              <m:t>μ</m:t>
            </m:r>
          </m:e>
          <m:sub>
            <m:r>
              <w:rPr>
                <w:rFonts w:ascii="Cambria Math" w:hAnsi="Cambria Math" w:cs="Times New Roman"/>
                <w:sz w:val="28"/>
                <w:szCs w:val="28"/>
              </w:rPr>
              <m:t>i</m:t>
            </m:r>
          </m:sub>
        </m:sSub>
        <m:r>
          <w:rPr>
            <w:rFonts w:ascii="Cambria Math" w:hAnsi="Cambria Math" w:cs="Times New Roman"/>
            <w:sz w:val="28"/>
            <w:szCs w:val="28"/>
          </w:rPr>
          <m:t xml:space="preserve">+ </m:t>
        </m:r>
        <m:sSub>
          <m:sSubPr>
            <m:ctrlPr>
              <w:rPr>
                <w:rFonts w:ascii="Cambria Math" w:hAnsi="Cambria Math" w:cs="Times New Roman"/>
                <w:i/>
                <w:sz w:val="28"/>
                <w:szCs w:val="28"/>
              </w:rPr>
            </m:ctrlPr>
          </m:sSubPr>
          <m:e>
            <m:r>
              <w:rPr>
                <w:rFonts w:ascii="Cambria Math" w:hAnsi="Cambria Math" w:cs="Times New Roman"/>
                <w:sz w:val="28"/>
                <w:szCs w:val="28"/>
              </w:rPr>
              <m:t>β</m:t>
            </m:r>
          </m:e>
          <m:sub>
            <m:r>
              <w:rPr>
                <w:rFonts w:ascii="Cambria Math" w:hAnsi="Cambria Math" w:cs="Times New Roman"/>
                <w:sz w:val="28"/>
                <w:szCs w:val="28"/>
              </w:rPr>
              <m:t>b</m:t>
            </m:r>
          </m:sub>
        </m:sSub>
        <m:sSub>
          <m:sSubPr>
            <m:ctrlPr>
              <w:rPr>
                <w:rFonts w:ascii="Cambria Math" w:hAnsi="Cambria Math"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bit</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β</m:t>
            </m:r>
          </m:e>
          <m:sub>
            <m:r>
              <w:rPr>
                <w:rFonts w:ascii="Cambria Math" w:hAnsi="Cambria Math" w:cs="Times New Roman"/>
                <w:sz w:val="28"/>
                <w:szCs w:val="28"/>
              </w:rPr>
              <m:t>d</m:t>
            </m:r>
          </m:sub>
        </m:sSub>
        <m:r>
          <w:rPr>
            <w:rFonts w:ascii="Cambria Math" w:hAnsi="Cambria Math" w:cs="Times New Roman"/>
            <w:sz w:val="28"/>
            <w:szCs w:val="28"/>
          </w:rPr>
          <m:t xml:space="preserve"> </m:t>
        </m:r>
        <m:sSub>
          <m:sSubPr>
            <m:ctrlPr>
              <w:rPr>
                <w:rFonts w:ascii="Cambria Math" w:hAnsi="Cambria Math"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dit</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β</m:t>
            </m:r>
          </m:e>
          <m:sub>
            <m:r>
              <w:rPr>
                <w:rFonts w:ascii="Cambria Math" w:hAnsi="Cambria Math" w:cs="Times New Roman"/>
                <w:sz w:val="28"/>
                <w:szCs w:val="28"/>
              </w:rPr>
              <m:t>m</m:t>
            </m:r>
          </m:sub>
        </m:sSub>
        <m:sSub>
          <m:sSubPr>
            <m:ctrlPr>
              <w:rPr>
                <w:rFonts w:ascii="Cambria Math" w:hAnsi="Cambria Math"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mit</m:t>
            </m:r>
          </m:sub>
        </m:sSub>
        <m:r>
          <w:rPr>
            <w:rFonts w:ascii="Cambria Math" w:hAnsi="Cambria Math" w:cs="Times New Roman"/>
            <w:sz w:val="28"/>
            <w:szCs w:val="28"/>
          </w:rPr>
          <m:t xml:space="preserve">+ </m:t>
        </m:r>
        <m:sSub>
          <m:sSubPr>
            <m:ctrlPr>
              <w:rPr>
                <w:rFonts w:ascii="Cambria Math" w:hAnsi="Cambria Math" w:cs="Times New Roman"/>
                <w:i/>
                <w:sz w:val="28"/>
                <w:szCs w:val="28"/>
              </w:rPr>
            </m:ctrlPr>
          </m:sSubPr>
          <m:e>
            <m:r>
              <w:rPr>
                <w:rFonts w:ascii="Cambria Math" w:hAnsi="Cambria Math" w:cs="Times New Roman"/>
                <w:sz w:val="28"/>
                <w:szCs w:val="28"/>
              </w:rPr>
              <m:t>ε</m:t>
            </m:r>
          </m:e>
          <m:sub>
            <m:r>
              <w:rPr>
                <w:rFonts w:ascii="Cambria Math" w:hAnsi="Cambria Math" w:cs="Times New Roman"/>
                <w:sz w:val="28"/>
                <w:szCs w:val="28"/>
              </w:rPr>
              <m:t>it</m:t>
            </m:r>
          </m:sub>
        </m:sSub>
      </m:oMath>
      <w:r w:rsidR="00A11811" w:rsidRPr="008A7487">
        <w:rPr>
          <w:rFonts w:ascii="Times New Roman" w:eastAsiaTheme="minorEastAsia" w:hAnsi="Times New Roman" w:cs="Times New Roman"/>
          <w:sz w:val="28"/>
          <w:szCs w:val="28"/>
        </w:rPr>
        <w:t xml:space="preserve"> </w:t>
      </w:r>
      <w:r w:rsidRPr="008A7487">
        <w:rPr>
          <w:rFonts w:ascii="Times New Roman" w:eastAsiaTheme="minorEastAsia" w:hAnsi="Times New Roman" w:cs="Times New Roman"/>
          <w:sz w:val="28"/>
          <w:szCs w:val="28"/>
        </w:rPr>
        <w:t xml:space="preserve">                        (1)</w:t>
      </w:r>
    </w:p>
    <w:p w14:paraId="766144C4" w14:textId="40DF351B" w:rsidR="00CC5DED" w:rsidRPr="008A7487" w:rsidRDefault="00DB4A83" w:rsidP="00E072E3">
      <w:pPr>
        <w:spacing w:after="0" w:line="480" w:lineRule="auto"/>
        <w:ind w:firstLine="720"/>
        <w:contextualSpacing/>
        <w:rPr>
          <w:rFonts w:ascii="Times New Roman" w:eastAsiaTheme="minorEastAsia" w:hAnsi="Times New Roman" w:cs="Times New Roman"/>
          <w:sz w:val="24"/>
          <w:szCs w:val="24"/>
        </w:rPr>
      </w:pPr>
      <w:r w:rsidRPr="008A7487">
        <w:rPr>
          <w:rFonts w:ascii="Times New Roman" w:eastAsiaTheme="minorEastAsia" w:hAnsi="Times New Roman" w:cs="Times New Roman"/>
          <w:sz w:val="24"/>
          <w:szCs w:val="24"/>
        </w:rPr>
        <w:lastRenderedPageBreak/>
        <w:t xml:space="preserve">Where </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y</m:t>
            </m:r>
          </m:e>
          <m:sub>
            <m:r>
              <w:rPr>
                <w:rFonts w:ascii="Cambria Math" w:eastAsiaTheme="minorEastAsia" w:hAnsi="Cambria Math" w:cs="Times New Roman"/>
                <w:sz w:val="28"/>
                <w:szCs w:val="28"/>
              </w:rPr>
              <m:t>it</m:t>
            </m:r>
          </m:sub>
        </m:sSub>
      </m:oMath>
      <w:r w:rsidRPr="008A7487">
        <w:rPr>
          <w:rFonts w:ascii="Times New Roman" w:eastAsiaTheme="minorEastAsia" w:hAnsi="Times New Roman" w:cs="Times New Roman"/>
          <w:sz w:val="24"/>
          <w:szCs w:val="24"/>
        </w:rPr>
        <w:t xml:space="preserve"> is the dependent variable</w:t>
      </w:r>
      <w:r w:rsidR="00FC0501" w:rsidRPr="008A7487">
        <w:rPr>
          <w:rFonts w:ascii="Times New Roman" w:eastAsiaTheme="minorEastAsia" w:hAnsi="Times New Roman" w:cs="Times New Roman"/>
          <w:sz w:val="24"/>
          <w:szCs w:val="24"/>
        </w:rPr>
        <w:t>, representing bank profitability</w:t>
      </w:r>
      <w:r w:rsidRPr="008A7487">
        <w:rPr>
          <w:rFonts w:ascii="Times New Roman" w:eastAsiaTheme="minorEastAsia" w:hAnsi="Times New Roman" w:cs="Times New Roman"/>
          <w:sz w:val="24"/>
          <w:szCs w:val="24"/>
        </w:rPr>
        <w:t xml:space="preserve"> of the </w:t>
      </w:r>
      <w:r w:rsidRPr="008A7487">
        <w:rPr>
          <w:rFonts w:ascii="Times New Roman" w:eastAsiaTheme="minorEastAsia" w:hAnsi="Times New Roman" w:cs="Times New Roman"/>
          <w:i/>
          <w:sz w:val="24"/>
          <w:szCs w:val="24"/>
        </w:rPr>
        <w:t>i</w:t>
      </w:r>
      <w:r w:rsidRPr="008A7487">
        <w:rPr>
          <w:rFonts w:ascii="Times New Roman" w:eastAsiaTheme="minorEastAsia" w:hAnsi="Times New Roman" w:cs="Times New Roman"/>
          <w:sz w:val="24"/>
          <w:szCs w:val="24"/>
        </w:rPr>
        <w:t>th</w:t>
      </w:r>
      <w:r w:rsidR="00DC244C" w:rsidRPr="008A7487">
        <w:rPr>
          <w:rFonts w:ascii="Times New Roman" w:eastAsiaTheme="minorEastAsia" w:hAnsi="Times New Roman" w:cs="Times New Roman"/>
          <w:sz w:val="24"/>
          <w:szCs w:val="24"/>
        </w:rPr>
        <w:t xml:space="preserve"> bank at time t and the vectors</w:t>
      </w:r>
      <w:r w:rsidR="008F111A">
        <w:rPr>
          <w:rFonts w:ascii="Times New Roman" w:eastAsiaTheme="minorEastAsia" w:hAnsi="Times New Roman" w:cs="Times New Roman"/>
          <w:sz w:val="24"/>
          <w:szCs w:val="24"/>
        </w:rPr>
        <w:t xml:space="preserve"> </w:t>
      </w:r>
      <w:r w:rsidRPr="008A7487">
        <w:rPr>
          <w:rFonts w:ascii="Times New Roman" w:eastAsiaTheme="minorEastAsia" w:hAnsi="Times New Roman" w:cs="Times New Roman"/>
          <w:sz w:val="24"/>
          <w:szCs w:val="24"/>
        </w:rPr>
        <w:t xml:space="preserve"> </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X'</m:t>
            </m:r>
          </m:e>
          <m:sub>
            <m:r>
              <w:rPr>
                <w:rFonts w:ascii="Cambria Math" w:eastAsiaTheme="minorEastAsia" w:hAnsi="Cambria Math" w:cs="Times New Roman"/>
                <w:sz w:val="28"/>
                <w:szCs w:val="28"/>
              </w:rPr>
              <m:t>b</m:t>
            </m:r>
          </m:sub>
        </m:sSub>
      </m:oMath>
      <w:r w:rsidRPr="008A7487">
        <w:rPr>
          <w:rFonts w:ascii="Times New Roman" w:eastAsiaTheme="minorEastAsia" w:hAnsi="Times New Roman" w:cs="Times New Roman"/>
          <w:sz w:val="24"/>
          <w:szCs w:val="24"/>
        </w:rPr>
        <w:t xml:space="preserve"> </w:t>
      </w:r>
      <w:r w:rsidR="001843F4" w:rsidRPr="008A7487">
        <w:rPr>
          <w:rFonts w:ascii="Times New Roman" w:eastAsiaTheme="minorEastAsia" w:hAnsi="Times New Roman" w:cs="Times New Roman"/>
          <w:sz w:val="24"/>
          <w:szCs w:val="24"/>
        </w:rPr>
        <w:t xml:space="preserve">, </w:t>
      </w:r>
      <m:oMath>
        <m:sSub>
          <m:sSubPr>
            <m:ctrlPr>
              <w:rPr>
                <w:rFonts w:ascii="Cambria Math" w:hAnsi="Cambria Math"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d</m:t>
            </m:r>
          </m:sub>
        </m:sSub>
        <m:r>
          <w:rPr>
            <w:rFonts w:ascii="Cambria Math" w:hAnsi="Cambria Math" w:cs="Times New Roman"/>
            <w:sz w:val="28"/>
            <w:szCs w:val="28"/>
          </w:rPr>
          <m:t xml:space="preserve"> </m:t>
        </m:r>
      </m:oMath>
      <w:r w:rsidRPr="008A7487">
        <w:rPr>
          <w:rFonts w:ascii="Times New Roman" w:eastAsiaTheme="minorEastAsia" w:hAnsi="Times New Roman" w:cs="Times New Roman"/>
          <w:sz w:val="24"/>
          <w:szCs w:val="24"/>
        </w:rPr>
        <w:t xml:space="preserve">and </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X'</m:t>
            </m:r>
          </m:e>
          <m:sub>
            <m:r>
              <w:rPr>
                <w:rFonts w:ascii="Cambria Math" w:eastAsiaTheme="minorEastAsia" w:hAnsi="Cambria Math" w:cs="Times New Roman"/>
                <w:sz w:val="28"/>
                <w:szCs w:val="28"/>
              </w:rPr>
              <m:t>m</m:t>
            </m:r>
          </m:sub>
        </m:sSub>
      </m:oMath>
      <w:r w:rsidR="007F0598">
        <w:rPr>
          <w:rFonts w:ascii="Times New Roman" w:eastAsiaTheme="minorEastAsia" w:hAnsi="Times New Roman" w:cs="Times New Roman"/>
          <w:sz w:val="24"/>
          <w:szCs w:val="24"/>
        </w:rPr>
        <w:t xml:space="preserve"> represent bank-</w:t>
      </w:r>
      <w:r w:rsidRPr="008A7487">
        <w:rPr>
          <w:rFonts w:ascii="Times New Roman" w:eastAsiaTheme="minorEastAsia" w:hAnsi="Times New Roman" w:cs="Times New Roman"/>
          <w:sz w:val="24"/>
          <w:szCs w:val="24"/>
        </w:rPr>
        <w:t>specific</w:t>
      </w:r>
      <w:r w:rsidR="001843F4" w:rsidRPr="008A7487">
        <w:rPr>
          <w:rFonts w:ascii="Times New Roman" w:eastAsiaTheme="minorEastAsia" w:hAnsi="Times New Roman" w:cs="Times New Roman"/>
          <w:sz w:val="24"/>
          <w:szCs w:val="24"/>
        </w:rPr>
        <w:t>, industry</w:t>
      </w:r>
      <w:r w:rsidRPr="008A7487">
        <w:rPr>
          <w:rFonts w:ascii="Times New Roman" w:eastAsiaTheme="minorEastAsia" w:hAnsi="Times New Roman" w:cs="Times New Roman"/>
          <w:sz w:val="24"/>
          <w:szCs w:val="24"/>
        </w:rPr>
        <w:t xml:space="preserve"> </w:t>
      </w:r>
      <w:r w:rsidR="00A11811" w:rsidRPr="008A7487">
        <w:rPr>
          <w:rFonts w:ascii="Times New Roman" w:eastAsiaTheme="minorEastAsia" w:hAnsi="Times New Roman" w:cs="Times New Roman"/>
          <w:sz w:val="24"/>
          <w:szCs w:val="24"/>
        </w:rPr>
        <w:t>and macroeconomic</w:t>
      </w:r>
      <w:r w:rsidRPr="008A7487">
        <w:rPr>
          <w:rFonts w:ascii="Times New Roman" w:eastAsiaTheme="minorEastAsia" w:hAnsi="Times New Roman" w:cs="Times New Roman"/>
          <w:sz w:val="24"/>
          <w:szCs w:val="24"/>
        </w:rPr>
        <w:t xml:space="preserve"> factors respectively</w:t>
      </w:r>
      <w:r w:rsidR="009C550A" w:rsidRPr="008A7487">
        <w:rPr>
          <w:rFonts w:ascii="Times New Roman" w:eastAsiaTheme="minorEastAsia" w:hAnsi="Times New Roman" w:cs="Times New Roman"/>
          <w:sz w:val="24"/>
          <w:szCs w:val="24"/>
        </w:rPr>
        <w:t xml:space="preserve"> as </w:t>
      </w:r>
      <w:r w:rsidR="00CC5DED" w:rsidRPr="008A7487">
        <w:rPr>
          <w:rFonts w:ascii="Times New Roman" w:eastAsiaTheme="minorEastAsia" w:hAnsi="Times New Roman" w:cs="Times New Roman"/>
          <w:sz w:val="24"/>
          <w:szCs w:val="24"/>
        </w:rPr>
        <w:t>defined</w:t>
      </w:r>
      <w:r w:rsidR="009C550A" w:rsidRPr="008A7487">
        <w:rPr>
          <w:rFonts w:ascii="Times New Roman" w:eastAsiaTheme="minorEastAsia" w:hAnsi="Times New Roman" w:cs="Times New Roman"/>
          <w:sz w:val="24"/>
          <w:szCs w:val="24"/>
        </w:rPr>
        <w:t xml:space="preserve"> in Table </w:t>
      </w:r>
      <w:r w:rsidR="00651F43">
        <w:rPr>
          <w:rFonts w:ascii="Times New Roman" w:eastAsiaTheme="minorEastAsia" w:hAnsi="Times New Roman" w:cs="Times New Roman"/>
          <w:sz w:val="24"/>
          <w:szCs w:val="24"/>
        </w:rPr>
        <w:t>2</w:t>
      </w:r>
      <w:r w:rsidR="009C550A" w:rsidRPr="008A7487">
        <w:rPr>
          <w:rFonts w:ascii="Times New Roman" w:eastAsiaTheme="minorEastAsia" w:hAnsi="Times New Roman" w:cs="Times New Roman"/>
          <w:sz w:val="24"/>
          <w:szCs w:val="24"/>
        </w:rPr>
        <w:t xml:space="preserve"> below</w:t>
      </w:r>
      <w:r w:rsidR="00CC5DED" w:rsidRPr="008A7487">
        <w:rPr>
          <w:rFonts w:ascii="Times New Roman" w:eastAsiaTheme="minorEastAsia" w:hAnsi="Times New Roman" w:cs="Times New Roman"/>
          <w:sz w:val="24"/>
          <w:szCs w:val="24"/>
        </w:rPr>
        <w:t xml:space="preserve">. </w:t>
      </w:r>
      <w:r w:rsidRPr="008A7487">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μ</m:t>
            </m:r>
          </m:e>
          <m:sub>
            <m:r>
              <w:rPr>
                <w:rFonts w:ascii="Cambria Math" w:eastAsiaTheme="minorEastAsia" w:hAnsi="Cambria Math" w:cs="Times New Roman"/>
                <w:sz w:val="28"/>
                <w:szCs w:val="28"/>
              </w:rPr>
              <m:t>i</m:t>
            </m:r>
          </m:sub>
        </m:sSub>
      </m:oMath>
      <w:r w:rsidRPr="008A7487">
        <w:rPr>
          <w:rFonts w:ascii="Times New Roman" w:eastAsiaTheme="minorEastAsia" w:hAnsi="Times New Roman" w:cs="Times New Roman"/>
          <w:b/>
          <w:sz w:val="28"/>
          <w:szCs w:val="28"/>
        </w:rPr>
        <w:t xml:space="preserve"> </w:t>
      </w:r>
      <w:r w:rsidR="00FC0501" w:rsidRPr="008A7487">
        <w:rPr>
          <w:rFonts w:ascii="Times New Roman" w:eastAsiaTheme="minorEastAsia" w:hAnsi="Times New Roman" w:cs="Times New Roman"/>
          <w:sz w:val="24"/>
          <w:szCs w:val="24"/>
        </w:rPr>
        <w:t>i</w:t>
      </w:r>
      <w:r w:rsidR="00CC5DED" w:rsidRPr="008A7487">
        <w:rPr>
          <w:rFonts w:ascii="Times New Roman" w:eastAsiaTheme="minorEastAsia" w:hAnsi="Times New Roman" w:cs="Times New Roman"/>
          <w:sz w:val="24"/>
          <w:szCs w:val="24"/>
        </w:rPr>
        <w:t>s</w:t>
      </w:r>
      <w:r w:rsidRPr="008A7487">
        <w:rPr>
          <w:rFonts w:ascii="Times New Roman" w:eastAsiaTheme="minorEastAsia" w:hAnsi="Times New Roman" w:cs="Times New Roman"/>
          <w:sz w:val="24"/>
          <w:szCs w:val="24"/>
        </w:rPr>
        <w:t xml:space="preserve"> the fixed effect and  </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ε</m:t>
            </m:r>
          </m:e>
          <m:sub>
            <m:r>
              <w:rPr>
                <w:rFonts w:ascii="Cambria Math" w:eastAsiaTheme="minorEastAsia" w:hAnsi="Cambria Math" w:cs="Times New Roman"/>
                <w:sz w:val="28"/>
                <w:szCs w:val="28"/>
              </w:rPr>
              <m:t>it</m:t>
            </m:r>
          </m:sub>
        </m:sSub>
      </m:oMath>
      <w:r w:rsidRPr="008A7487">
        <w:rPr>
          <w:rFonts w:ascii="Times New Roman" w:eastAsiaTheme="minorEastAsia" w:hAnsi="Times New Roman" w:cs="Times New Roman"/>
          <w:sz w:val="28"/>
          <w:szCs w:val="28"/>
        </w:rPr>
        <w:t xml:space="preserve"> </w:t>
      </w:r>
      <w:r w:rsidR="00203E36" w:rsidRPr="008A7487">
        <w:rPr>
          <w:rFonts w:ascii="Times New Roman" w:eastAsiaTheme="minorEastAsia" w:hAnsi="Times New Roman" w:cs="Times New Roman"/>
          <w:sz w:val="24"/>
          <w:szCs w:val="24"/>
        </w:rPr>
        <w:t xml:space="preserve">represents the error term, with </w:t>
      </w:r>
      <w:r w:rsidR="00FC0501" w:rsidRPr="008A7487">
        <w:rPr>
          <w:rFonts w:ascii="Times New Roman" w:eastAsiaTheme="minorEastAsia" w:hAnsi="Times New Roman" w:cs="Times New Roman"/>
          <w:sz w:val="24"/>
          <w:szCs w:val="24"/>
        </w:rPr>
        <w:t xml:space="preserve">the </w:t>
      </w:r>
      <w:r w:rsidR="00203E36" w:rsidRPr="008A7487">
        <w:rPr>
          <w:rFonts w:ascii="Times New Roman" w:eastAsiaTheme="minorEastAsia" w:hAnsi="Times New Roman" w:cs="Times New Roman"/>
          <w:sz w:val="24"/>
          <w:szCs w:val="24"/>
        </w:rPr>
        <w:t>standard assumptions of the error term</w:t>
      </w:r>
      <w:r w:rsidR="00D1350D" w:rsidRPr="008A7487">
        <w:rPr>
          <w:rFonts w:ascii="Times New Roman" w:eastAsiaTheme="minorEastAsia" w:hAnsi="Times New Roman" w:cs="Times New Roman"/>
          <w:sz w:val="24"/>
          <w:szCs w:val="24"/>
        </w:rPr>
        <w:t xml:space="preserve"> (i.e. E(</w:t>
      </w:r>
      <m:oMath>
        <m:sSub>
          <m:sSubPr>
            <m:ctrlPr>
              <w:rPr>
                <w:rFonts w:ascii="Cambria Math" w:hAnsi="Cambria Math" w:cs="Times New Roman"/>
                <w:i/>
                <w:sz w:val="28"/>
                <w:szCs w:val="28"/>
              </w:rPr>
            </m:ctrlPr>
          </m:sSubPr>
          <m:e>
            <m:r>
              <w:rPr>
                <w:rFonts w:ascii="Cambria Math" w:hAnsi="Cambria Math" w:cs="Times New Roman"/>
                <w:sz w:val="28"/>
                <w:szCs w:val="28"/>
              </w:rPr>
              <m:t>ε</m:t>
            </m:r>
          </m:e>
          <m:sub>
            <m:r>
              <w:rPr>
                <w:rFonts w:ascii="Cambria Math" w:hAnsi="Cambria Math" w:cs="Times New Roman"/>
                <w:sz w:val="28"/>
                <w:szCs w:val="28"/>
              </w:rPr>
              <m:t>it</m:t>
            </m:r>
          </m:sub>
        </m:sSub>
        <m:r>
          <w:rPr>
            <w:rFonts w:ascii="Cambria Math" w:hAnsi="Cambria Math" w:cs="Times New Roman"/>
            <w:sz w:val="28"/>
            <w:szCs w:val="28"/>
          </w:rPr>
          <m:t>=0);var</m:t>
        </m:r>
        <m:d>
          <m:dPr>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ε</m:t>
                </m:r>
              </m:e>
              <m:sub>
                <m:r>
                  <w:rPr>
                    <w:rFonts w:ascii="Cambria Math" w:hAnsi="Cambria Math" w:cs="Times New Roman"/>
                    <w:sz w:val="28"/>
                    <w:szCs w:val="28"/>
                  </w:rPr>
                  <m:t>it</m:t>
                </m:r>
              </m:sub>
            </m:sSub>
          </m:e>
        </m:d>
        <m:r>
          <w:rPr>
            <w:rFonts w:ascii="Cambria Math" w:hAnsi="Cambria Math" w:cs="Times New Roman"/>
            <w:sz w:val="28"/>
            <w:szCs w:val="28"/>
          </w:rPr>
          <m:t xml:space="preserve">= </m:t>
        </m:r>
        <m:sSup>
          <m:sSupPr>
            <m:ctrlPr>
              <w:rPr>
                <w:rFonts w:ascii="Cambria Math" w:hAnsi="Cambria Math" w:cs="Times New Roman"/>
                <w:i/>
                <w:sz w:val="28"/>
                <w:szCs w:val="28"/>
              </w:rPr>
            </m:ctrlPr>
          </m:sSupPr>
          <m:e>
            <m:sSub>
              <m:sSubPr>
                <m:ctrlPr>
                  <w:rPr>
                    <w:rFonts w:ascii="Cambria Math" w:hAnsi="Cambria Math" w:cs="Times New Roman"/>
                    <w:i/>
                    <w:sz w:val="28"/>
                    <w:szCs w:val="28"/>
                  </w:rPr>
                </m:ctrlPr>
              </m:sSubPr>
              <m:e>
                <m:r>
                  <w:rPr>
                    <w:rFonts w:ascii="Cambria Math" w:hAnsi="Cambria Math" w:cs="Times New Roman"/>
                    <w:sz w:val="28"/>
                    <w:szCs w:val="28"/>
                  </w:rPr>
                  <m:t>σ</m:t>
                </m:r>
              </m:e>
              <m:sub>
                <m:r>
                  <w:rPr>
                    <w:rFonts w:ascii="Cambria Math" w:hAnsi="Cambria Math" w:cs="Times New Roman"/>
                    <w:sz w:val="28"/>
                    <w:szCs w:val="28"/>
                  </w:rPr>
                  <m:t>it</m:t>
                </m:r>
              </m:sub>
            </m:sSub>
          </m:e>
          <m:sup>
            <m:r>
              <w:rPr>
                <w:rFonts w:ascii="Cambria Math" w:hAnsi="Cambria Math" w:cs="Times New Roman"/>
                <w:sz w:val="28"/>
                <w:szCs w:val="28"/>
              </w:rPr>
              <m:t>2</m:t>
            </m:r>
          </m:sup>
        </m:sSup>
      </m:oMath>
      <w:r w:rsidR="00203E36" w:rsidRPr="008A7487">
        <w:rPr>
          <w:rFonts w:ascii="Times New Roman" w:eastAsiaTheme="minorEastAsia" w:hAnsi="Times New Roman" w:cs="Times New Roman"/>
          <w:sz w:val="24"/>
          <w:szCs w:val="24"/>
        </w:rPr>
        <w:t xml:space="preserve"> </w:t>
      </w:r>
      <w:r w:rsidR="00D1350D" w:rsidRPr="008A7487">
        <w:rPr>
          <w:rFonts w:ascii="Times New Roman" w:eastAsiaTheme="minorEastAsia" w:hAnsi="Times New Roman" w:cs="Times New Roman"/>
          <w:sz w:val="24"/>
          <w:szCs w:val="24"/>
        </w:rPr>
        <w:t xml:space="preserve">). </w:t>
      </w:r>
      <w:r w:rsidR="006C6BFF" w:rsidRPr="008A7487">
        <w:rPr>
          <w:rFonts w:ascii="Times New Roman" w:eastAsiaTheme="minorEastAsia" w:hAnsi="Times New Roman" w:cs="Times New Roman"/>
          <w:sz w:val="24"/>
          <w:szCs w:val="24"/>
        </w:rPr>
        <w:t xml:space="preserve"> </w:t>
      </w:r>
      <w:r w:rsidR="00661C9F" w:rsidRPr="008A7487">
        <w:rPr>
          <w:rFonts w:ascii="Times New Roman" w:eastAsiaTheme="minorEastAsia" w:hAnsi="Times New Roman" w:cs="Times New Roman"/>
          <w:sz w:val="24"/>
          <w:szCs w:val="24"/>
        </w:rPr>
        <w:t xml:space="preserve">The study </w:t>
      </w:r>
      <w:r w:rsidR="007E37CD" w:rsidRPr="008A7487">
        <w:rPr>
          <w:rFonts w:ascii="Times New Roman" w:eastAsiaTheme="minorEastAsia" w:hAnsi="Times New Roman" w:cs="Times New Roman"/>
          <w:sz w:val="24"/>
          <w:szCs w:val="24"/>
        </w:rPr>
        <w:t>also uses</w:t>
      </w:r>
      <w:r w:rsidR="006A6F59" w:rsidRPr="008A7487">
        <w:rPr>
          <w:rFonts w:ascii="Times New Roman" w:eastAsiaTheme="minorEastAsia" w:hAnsi="Times New Roman" w:cs="Times New Roman"/>
          <w:sz w:val="24"/>
          <w:szCs w:val="24"/>
        </w:rPr>
        <w:t xml:space="preserve"> th</w:t>
      </w:r>
      <w:r w:rsidR="00E072E3">
        <w:rPr>
          <w:rFonts w:ascii="Times New Roman" w:eastAsiaTheme="minorEastAsia" w:hAnsi="Times New Roman" w:cs="Times New Roman"/>
          <w:sz w:val="24"/>
          <w:szCs w:val="24"/>
        </w:rPr>
        <w:t>e random effect model, given as equation 1 above but w</w:t>
      </w:r>
      <w:r w:rsidR="006D578B" w:rsidRPr="008A7487">
        <w:rPr>
          <w:rFonts w:ascii="Times New Roman" w:eastAsiaTheme="minorEastAsia" w:hAnsi="Times New Roman" w:cs="Times New Roman"/>
          <w:sz w:val="24"/>
          <w:szCs w:val="24"/>
        </w:rPr>
        <w:t xml:space="preserve">here </w:t>
      </w:r>
      <m:oMath>
        <m:sSub>
          <m:sSubPr>
            <m:ctrlPr>
              <w:rPr>
                <w:rFonts w:ascii="Cambria Math" w:hAnsi="Cambria Math" w:cs="Times New Roman"/>
                <w:sz w:val="24"/>
                <w:szCs w:val="24"/>
              </w:rPr>
            </m:ctrlPr>
          </m:sSubPr>
          <m:e>
            <m:r>
              <m:rPr>
                <m:sty m:val="p"/>
              </m:rPr>
              <w:rPr>
                <w:rFonts w:ascii="Cambria Math" w:hAnsi="Cambria Math" w:cs="Times New Roman"/>
                <w:sz w:val="24"/>
                <w:szCs w:val="24"/>
              </w:rPr>
              <m:t>μ</m:t>
            </m:r>
          </m:e>
          <m:sub>
            <m:r>
              <m:rPr>
                <m:sty m:val="p"/>
              </m:rPr>
              <w:rPr>
                <w:rFonts w:ascii="Cambria Math" w:hAnsi="Cambria Math" w:cs="Times New Roman"/>
                <w:sz w:val="24"/>
                <w:szCs w:val="24"/>
              </w:rPr>
              <m:t>i</m:t>
            </m:r>
          </m:sub>
        </m:sSub>
      </m:oMath>
      <w:r w:rsidR="00FC0501" w:rsidRPr="008A7487">
        <w:rPr>
          <w:rFonts w:ascii="Times New Roman" w:eastAsiaTheme="minorEastAsia" w:hAnsi="Times New Roman" w:cs="Times New Roman"/>
          <w:sz w:val="24"/>
          <w:szCs w:val="24"/>
        </w:rPr>
        <w:t>=</w:t>
      </w:r>
      <m:oMath>
        <m:sSub>
          <m:sSubPr>
            <m:ctrlPr>
              <w:rPr>
                <w:rFonts w:ascii="Cambria Math" w:hAnsi="Cambria Math" w:cs="Times New Roman"/>
                <w:sz w:val="24"/>
                <w:szCs w:val="24"/>
              </w:rPr>
            </m:ctrlPr>
          </m:sSubPr>
          <m:e>
            <m:bar>
              <m:barPr>
                <m:pos m:val="top"/>
                <m:ctrlPr>
                  <w:rPr>
                    <w:rFonts w:ascii="Cambria Math" w:hAnsi="Cambria Math" w:cs="Times New Roman"/>
                    <w:sz w:val="24"/>
                    <w:szCs w:val="24"/>
                  </w:rPr>
                </m:ctrlPr>
              </m:barPr>
              <m:e>
                <m:r>
                  <m:rPr>
                    <m:sty m:val="p"/>
                  </m:rPr>
                  <w:rPr>
                    <w:rFonts w:ascii="Cambria Math" w:eastAsiaTheme="minorEastAsia" w:hAnsi="Cambria Math" w:cs="Times New Roman"/>
                    <w:sz w:val="24"/>
                    <w:szCs w:val="24"/>
                  </w:rPr>
                  <m:t>μ</m:t>
                </m:r>
              </m:e>
            </m:bar>
          </m:e>
          <m:sub>
            <m:r>
              <m:rPr>
                <m:sty m:val="p"/>
              </m:rPr>
              <w:rPr>
                <w:rFonts w:ascii="Cambria Math" w:hAnsi="Cambria Math" w:cs="Times New Roman"/>
                <w:sz w:val="24"/>
                <w:szCs w:val="24"/>
              </w:rPr>
              <m:t>1</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u</m:t>
            </m:r>
          </m:e>
          <m:sub>
            <m:r>
              <m:rPr>
                <m:sty m:val="p"/>
              </m:rPr>
              <w:rPr>
                <w:rFonts w:ascii="Cambria Math" w:hAnsi="Cambria Math" w:cs="Times New Roman"/>
                <w:sz w:val="24"/>
                <w:szCs w:val="24"/>
              </w:rPr>
              <m:t>i</m:t>
            </m:r>
          </m:sub>
        </m:sSub>
      </m:oMath>
      <w:r w:rsidR="00D1350D" w:rsidRPr="008A7487">
        <w:rPr>
          <w:rFonts w:ascii="Times New Roman" w:eastAsiaTheme="minorEastAsia" w:hAnsi="Times New Roman" w:cs="Times New Roman"/>
          <w:sz w:val="24"/>
          <w:szCs w:val="24"/>
        </w:rPr>
        <w:t xml:space="preserve">, and </w:t>
      </w:r>
      <m:oMath>
        <m:sSub>
          <m:sSubPr>
            <m:ctrlPr>
              <w:rPr>
                <w:rFonts w:ascii="Cambria Math" w:hAnsi="Cambria Math" w:cs="Times New Roman"/>
                <w:sz w:val="24"/>
                <w:szCs w:val="24"/>
              </w:rPr>
            </m:ctrlPr>
          </m:sSubPr>
          <m:e>
            <m:bar>
              <m:barPr>
                <m:pos m:val="top"/>
                <m:ctrlPr>
                  <w:rPr>
                    <w:rFonts w:ascii="Cambria Math" w:hAnsi="Cambria Math" w:cs="Times New Roman"/>
                    <w:sz w:val="24"/>
                    <w:szCs w:val="24"/>
                  </w:rPr>
                </m:ctrlPr>
              </m:barPr>
              <m:e>
                <m:r>
                  <m:rPr>
                    <m:sty m:val="p"/>
                  </m:rPr>
                  <w:rPr>
                    <w:rFonts w:ascii="Cambria Math" w:eastAsiaTheme="minorEastAsia" w:hAnsi="Cambria Math" w:cs="Times New Roman"/>
                    <w:sz w:val="24"/>
                    <w:szCs w:val="24"/>
                  </w:rPr>
                  <m:t>μ</m:t>
                </m:r>
              </m:e>
            </m:bar>
          </m:e>
          <m:sub>
            <m:r>
              <m:rPr>
                <m:sty m:val="p"/>
              </m:rPr>
              <w:rPr>
                <w:rFonts w:ascii="Cambria Math" w:hAnsi="Cambria Math" w:cs="Times New Roman"/>
                <w:sz w:val="24"/>
                <w:szCs w:val="24"/>
              </w:rPr>
              <m:t>1</m:t>
            </m:r>
          </m:sub>
        </m:sSub>
        <m:r>
          <m:rPr>
            <m:sty m:val="p"/>
          </m:rPr>
          <w:rPr>
            <w:rFonts w:ascii="Cambria Math" w:hAnsi="Cambria Math" w:cs="Times New Roman"/>
            <w:sz w:val="24"/>
            <w:szCs w:val="24"/>
          </w:rPr>
          <m:t xml:space="preserve"> and </m:t>
        </m:r>
      </m:oMath>
      <w:r w:rsidR="00D1350D" w:rsidRPr="008A7487">
        <w:rPr>
          <w:rFonts w:ascii="Times New Roman" w:eastAsiaTheme="minorEastAsia" w:hAnsi="Times New Roman" w:cs="Times New Roman"/>
          <w:sz w:val="24"/>
          <w:szCs w:val="24"/>
        </w:rPr>
        <w:t xml:space="preserve"> </w:t>
      </w:r>
      <m:oMath>
        <m:sSub>
          <m:sSubPr>
            <m:ctrlPr>
              <w:rPr>
                <w:rFonts w:ascii="Cambria Math" w:hAnsi="Cambria Math" w:cs="Times New Roman"/>
                <w:sz w:val="24"/>
                <w:szCs w:val="24"/>
              </w:rPr>
            </m:ctrlPr>
          </m:sSubPr>
          <m:e>
            <m:r>
              <m:rPr>
                <m:sty m:val="p"/>
              </m:rPr>
              <w:rPr>
                <w:rFonts w:ascii="Cambria Math" w:hAnsi="Cambria Math" w:cs="Times New Roman"/>
                <w:sz w:val="24"/>
                <w:szCs w:val="24"/>
              </w:rPr>
              <m:t>u</m:t>
            </m:r>
          </m:e>
          <m:sub>
            <m:r>
              <m:rPr>
                <m:sty m:val="p"/>
              </m:rPr>
              <w:rPr>
                <w:rFonts w:ascii="Cambria Math" w:hAnsi="Cambria Math" w:cs="Times New Roman"/>
                <w:sz w:val="24"/>
                <w:szCs w:val="24"/>
              </w:rPr>
              <m:t>i</m:t>
            </m:r>
          </m:sub>
        </m:sSub>
      </m:oMath>
      <w:r w:rsidR="00D1350D" w:rsidRPr="008A7487">
        <w:rPr>
          <w:rFonts w:ascii="Times New Roman" w:eastAsiaTheme="minorEastAsia" w:hAnsi="Times New Roman" w:cs="Times New Roman"/>
          <w:sz w:val="24"/>
          <w:szCs w:val="24"/>
        </w:rPr>
        <w:t xml:space="preserve"> </w:t>
      </w:r>
      <w:r w:rsidR="00A30D72" w:rsidRPr="008A7487">
        <w:rPr>
          <w:rFonts w:ascii="Times New Roman" w:eastAsiaTheme="minorEastAsia" w:hAnsi="Times New Roman" w:cs="Times New Roman"/>
          <w:sz w:val="24"/>
          <w:szCs w:val="24"/>
        </w:rPr>
        <w:t xml:space="preserve">are the population mean intercept and the </w:t>
      </w:r>
      <w:r w:rsidR="00D1350D" w:rsidRPr="008A7487">
        <w:rPr>
          <w:rFonts w:ascii="Times New Roman" w:eastAsiaTheme="minorEastAsia" w:hAnsi="Times New Roman" w:cs="Times New Roman"/>
          <w:sz w:val="24"/>
          <w:szCs w:val="24"/>
        </w:rPr>
        <w:t xml:space="preserve">random effect </w:t>
      </w:r>
      <w:r w:rsidR="00D1350D" w:rsidRPr="008A7487">
        <w:rPr>
          <w:rFonts w:ascii="Times New Roman" w:eastAsiaTheme="minorEastAsia" w:hAnsi="Times New Roman" w:cs="Times New Roman"/>
          <w:sz w:val="24"/>
          <w:szCs w:val="24"/>
        </w:rPr>
        <w:lastRenderedPageBreak/>
        <w:t>element in the model</w:t>
      </w:r>
      <w:r w:rsidR="00A30D72" w:rsidRPr="008A7487">
        <w:rPr>
          <w:rFonts w:ascii="Times New Roman" w:eastAsiaTheme="minorEastAsia" w:hAnsi="Times New Roman" w:cs="Times New Roman"/>
          <w:sz w:val="24"/>
          <w:szCs w:val="24"/>
        </w:rPr>
        <w:t xml:space="preserve"> respectively</w:t>
      </w:r>
      <w:r w:rsidR="007863F2" w:rsidRPr="008A7487">
        <w:rPr>
          <w:rFonts w:ascii="Times New Roman" w:eastAsiaTheme="minorEastAsia" w:hAnsi="Times New Roman" w:cs="Times New Roman"/>
          <w:sz w:val="24"/>
          <w:szCs w:val="24"/>
        </w:rPr>
        <w:t xml:space="preserve">. </w:t>
      </w:r>
      <w:r w:rsidR="00D1350D" w:rsidRPr="008A7487">
        <w:rPr>
          <w:rFonts w:ascii="Times New Roman" w:eastAsiaTheme="minorEastAsia" w:hAnsi="Times New Roman" w:cs="Times New Roman"/>
          <w:sz w:val="24"/>
          <w:szCs w:val="24"/>
        </w:rPr>
        <w:t xml:space="preserve"> </w:t>
      </w:r>
      <m:oMath>
        <m:sSub>
          <m:sSubPr>
            <m:ctrlPr>
              <w:rPr>
                <w:rFonts w:ascii="Cambria Math" w:hAnsi="Cambria Math" w:cs="Times New Roman"/>
                <w:sz w:val="24"/>
                <w:szCs w:val="24"/>
              </w:rPr>
            </m:ctrlPr>
          </m:sSubPr>
          <m:e>
            <m:r>
              <m:rPr>
                <m:sty m:val="p"/>
              </m:rPr>
              <w:rPr>
                <w:rFonts w:ascii="Cambria Math" w:hAnsi="Cambria Math" w:cs="Times New Roman"/>
                <w:sz w:val="24"/>
                <w:szCs w:val="24"/>
              </w:rPr>
              <m:t>u</m:t>
            </m:r>
          </m:e>
          <m:sub>
            <m:r>
              <m:rPr>
                <m:sty m:val="p"/>
              </m:rPr>
              <w:rPr>
                <w:rFonts w:ascii="Cambria Math" w:hAnsi="Cambria Math" w:cs="Times New Roman"/>
                <w:sz w:val="24"/>
                <w:szCs w:val="24"/>
              </w:rPr>
              <m:t>i</m:t>
            </m:r>
          </m:sub>
        </m:sSub>
      </m:oMath>
      <w:r w:rsidR="00D1350D" w:rsidRPr="008A7487">
        <w:rPr>
          <w:rFonts w:ascii="Times New Roman" w:eastAsiaTheme="minorEastAsia" w:hAnsi="Times New Roman" w:cs="Times New Roman"/>
          <w:sz w:val="24"/>
          <w:szCs w:val="24"/>
        </w:rPr>
        <w:t xml:space="preserve"> has the same standard assumption</w:t>
      </w:r>
      <w:r w:rsidR="00CC5DED" w:rsidRPr="008A7487">
        <w:rPr>
          <w:rFonts w:ascii="Times New Roman" w:eastAsiaTheme="minorEastAsia" w:hAnsi="Times New Roman" w:cs="Times New Roman"/>
          <w:sz w:val="24"/>
          <w:szCs w:val="24"/>
        </w:rPr>
        <w:t xml:space="preserve">s of the error term as </w:t>
      </w:r>
      <w:r w:rsidR="00FC0501" w:rsidRPr="008A7487">
        <w:rPr>
          <w:rFonts w:ascii="Times New Roman" w:eastAsiaTheme="minorEastAsia" w:hAnsi="Times New Roman" w:cs="Times New Roman"/>
          <w:sz w:val="24"/>
          <w:szCs w:val="24"/>
        </w:rPr>
        <w:t>stated earlier</w:t>
      </w:r>
      <w:r w:rsidR="00D1350D" w:rsidRPr="008A7487">
        <w:rPr>
          <w:rFonts w:ascii="Times New Roman" w:eastAsiaTheme="minorEastAsia" w:hAnsi="Times New Roman" w:cs="Times New Roman"/>
          <w:sz w:val="24"/>
          <w:szCs w:val="24"/>
        </w:rPr>
        <w:t xml:space="preserve">. Hence the random effect model is </w:t>
      </w:r>
      <w:r w:rsidR="00A8750B">
        <w:rPr>
          <w:rFonts w:ascii="Times New Roman" w:eastAsiaTheme="minorEastAsia" w:hAnsi="Times New Roman" w:cs="Times New Roman"/>
          <w:sz w:val="24"/>
          <w:szCs w:val="24"/>
        </w:rPr>
        <w:t>restated in (2</w:t>
      </w:r>
      <w:r w:rsidR="00CC5DED" w:rsidRPr="008A7487">
        <w:rPr>
          <w:rFonts w:ascii="Times New Roman" w:eastAsiaTheme="minorEastAsia" w:hAnsi="Times New Roman" w:cs="Times New Roman"/>
          <w:sz w:val="24"/>
          <w:szCs w:val="24"/>
        </w:rPr>
        <w:t xml:space="preserve">) </w:t>
      </w:r>
      <w:r w:rsidR="00FC0501" w:rsidRPr="008A7487">
        <w:rPr>
          <w:rFonts w:ascii="Times New Roman" w:eastAsiaTheme="minorEastAsia" w:hAnsi="Times New Roman" w:cs="Times New Roman"/>
          <w:sz w:val="24"/>
          <w:szCs w:val="24"/>
        </w:rPr>
        <w:t>as</w:t>
      </w:r>
      <w:r w:rsidR="00CC5DED" w:rsidRPr="008A7487">
        <w:rPr>
          <w:rFonts w:ascii="Times New Roman" w:eastAsiaTheme="minorEastAsia" w:hAnsi="Times New Roman" w:cs="Times New Roman"/>
          <w:sz w:val="24"/>
          <w:szCs w:val="24"/>
        </w:rPr>
        <w:t xml:space="preserve">: </w:t>
      </w:r>
    </w:p>
    <w:p w14:paraId="729107F5" w14:textId="0168E820" w:rsidR="00F7528E" w:rsidRPr="008A7487" w:rsidRDefault="00CC5DED" w:rsidP="00CC5DED">
      <w:pPr>
        <w:jc w:val="both"/>
        <w:rPr>
          <w:rFonts w:ascii="Times New Roman" w:eastAsiaTheme="minorEastAsia" w:hAnsi="Times New Roman" w:cs="Times New Roman"/>
          <w:sz w:val="24"/>
          <w:szCs w:val="24"/>
        </w:rPr>
      </w:pPr>
      <w:r w:rsidRPr="008A7487">
        <w:rPr>
          <w:rFonts w:ascii="Times New Roman" w:eastAsiaTheme="minorEastAsia" w:hAnsi="Times New Roman" w:cs="Times New Roman"/>
          <w:sz w:val="28"/>
          <w:szCs w:val="28"/>
        </w:rPr>
        <w:t xml:space="preserve"> </w:t>
      </w:r>
      <m:oMath>
        <m:sSub>
          <m:sSubPr>
            <m:ctrlPr>
              <w:rPr>
                <w:rFonts w:ascii="Cambria Math" w:hAnsi="Cambria Math" w:cs="Times New Roman"/>
                <w:i/>
                <w:sz w:val="28"/>
                <w:szCs w:val="28"/>
              </w:rPr>
            </m:ctrlPr>
          </m:sSubPr>
          <m:e>
            <m:r>
              <w:rPr>
                <w:rFonts w:ascii="Cambria Math" w:hAnsi="Cambria Math" w:cs="Times New Roman"/>
                <w:sz w:val="28"/>
                <w:szCs w:val="28"/>
              </w:rPr>
              <m:t>y</m:t>
            </m:r>
          </m:e>
          <m:sub>
            <m:r>
              <w:rPr>
                <w:rFonts w:ascii="Cambria Math" w:hAnsi="Cambria Math" w:cs="Times New Roman"/>
                <w:sz w:val="28"/>
                <w:szCs w:val="28"/>
              </w:rPr>
              <m:t>it</m:t>
            </m:r>
          </m:sub>
        </m:sSub>
        <m:r>
          <w:rPr>
            <w:rFonts w:ascii="Cambria Math" w:hAnsi="Cambria Math" w:cs="Times New Roman"/>
            <w:sz w:val="28"/>
            <w:szCs w:val="28"/>
          </w:rPr>
          <m:t xml:space="preserve">= </m:t>
        </m:r>
        <m:sSub>
          <m:sSubPr>
            <m:ctrlPr>
              <w:rPr>
                <w:rFonts w:ascii="Cambria Math" w:hAnsi="Cambria Math" w:cs="Times New Roman"/>
                <w:i/>
                <w:sz w:val="28"/>
                <w:szCs w:val="28"/>
              </w:rPr>
            </m:ctrlPr>
          </m:sSubPr>
          <m:e>
            <m:bar>
              <m:barPr>
                <m:pos m:val="top"/>
                <m:ctrlPr>
                  <w:rPr>
                    <w:rFonts w:ascii="Cambria Math" w:hAnsi="Cambria Math" w:cs="Times New Roman"/>
                    <w:i/>
                    <w:sz w:val="28"/>
                    <w:szCs w:val="28"/>
                  </w:rPr>
                </m:ctrlPr>
              </m:barPr>
              <m:e>
                <m:r>
                  <w:rPr>
                    <w:rFonts w:ascii="Cambria Math" w:eastAsiaTheme="minorEastAsia" w:hAnsi="Cambria Math" w:cs="Times New Roman"/>
                    <w:sz w:val="28"/>
                    <w:szCs w:val="28"/>
                  </w:rPr>
                  <m:t>μ</m:t>
                </m:r>
              </m:e>
            </m:bar>
          </m:e>
          <m:sub>
            <m:r>
              <w:rPr>
                <w:rFonts w:ascii="Cambria Math" w:hAnsi="Cambria Math" w:cs="Times New Roman"/>
                <w:sz w:val="28"/>
                <w:szCs w:val="28"/>
              </w:rPr>
              <m:t>1</m:t>
            </m:r>
          </m:sub>
        </m:sSub>
        <m:r>
          <w:rPr>
            <w:rFonts w:ascii="Cambria Math" w:hAnsi="Cambria Math" w:cs="Times New Roman"/>
            <w:sz w:val="28"/>
            <w:szCs w:val="28"/>
          </w:rPr>
          <m:t xml:space="preserve">+ </m:t>
        </m:r>
        <m:sSub>
          <m:sSubPr>
            <m:ctrlPr>
              <w:rPr>
                <w:rFonts w:ascii="Cambria Math" w:hAnsi="Cambria Math" w:cs="Times New Roman"/>
                <w:i/>
                <w:sz w:val="28"/>
                <w:szCs w:val="28"/>
              </w:rPr>
            </m:ctrlPr>
          </m:sSubPr>
          <m:e>
            <m:r>
              <w:rPr>
                <w:rFonts w:ascii="Cambria Math" w:hAnsi="Cambria Math" w:cs="Times New Roman"/>
                <w:sz w:val="28"/>
                <w:szCs w:val="28"/>
              </w:rPr>
              <m:t>β</m:t>
            </m:r>
          </m:e>
          <m:sub>
            <m:r>
              <w:rPr>
                <w:rFonts w:ascii="Cambria Math" w:hAnsi="Cambria Math" w:cs="Times New Roman"/>
                <w:sz w:val="28"/>
                <w:szCs w:val="28"/>
              </w:rPr>
              <m:t>b</m:t>
            </m:r>
          </m:sub>
        </m:sSub>
        <m:sSub>
          <m:sSubPr>
            <m:ctrlPr>
              <w:rPr>
                <w:rFonts w:ascii="Cambria Math" w:hAnsi="Cambria Math"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bit</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β</m:t>
            </m:r>
          </m:e>
          <m:sub>
            <m:r>
              <w:rPr>
                <w:rFonts w:ascii="Cambria Math" w:hAnsi="Cambria Math" w:cs="Times New Roman"/>
                <w:sz w:val="28"/>
                <w:szCs w:val="28"/>
              </w:rPr>
              <m:t>d</m:t>
            </m:r>
          </m:sub>
        </m:sSub>
        <m:r>
          <w:rPr>
            <w:rFonts w:ascii="Cambria Math" w:hAnsi="Cambria Math" w:cs="Times New Roman"/>
            <w:sz w:val="28"/>
            <w:szCs w:val="28"/>
          </w:rPr>
          <m:t xml:space="preserve"> </m:t>
        </m:r>
        <m:sSub>
          <m:sSubPr>
            <m:ctrlPr>
              <w:rPr>
                <w:rFonts w:ascii="Cambria Math" w:hAnsi="Cambria Math"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dit</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β</m:t>
            </m:r>
          </m:e>
          <m:sub>
            <m:r>
              <w:rPr>
                <w:rFonts w:ascii="Cambria Math" w:hAnsi="Cambria Math" w:cs="Times New Roman"/>
                <w:sz w:val="28"/>
                <w:szCs w:val="28"/>
              </w:rPr>
              <m:t>m</m:t>
            </m:r>
          </m:sub>
        </m:sSub>
        <m:sSub>
          <m:sSubPr>
            <m:ctrlPr>
              <w:rPr>
                <w:rFonts w:ascii="Cambria Math" w:hAnsi="Cambria Math"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mit</m:t>
            </m:r>
          </m:sub>
        </m:sSub>
        <m:r>
          <w:rPr>
            <w:rFonts w:ascii="Cambria Math" w:hAnsi="Cambria Math" w:cs="Times New Roman"/>
            <w:sz w:val="28"/>
            <w:szCs w:val="28"/>
          </w:rPr>
          <m:t xml:space="preserve">+ </m:t>
        </m:r>
        <m:sSub>
          <m:sSubPr>
            <m:ctrlPr>
              <w:rPr>
                <w:rFonts w:ascii="Cambria Math" w:hAnsi="Cambria Math" w:cs="Times New Roman"/>
                <w:i/>
                <w:sz w:val="28"/>
                <w:szCs w:val="28"/>
              </w:rPr>
            </m:ctrlPr>
          </m:sSubPr>
          <m:e>
            <m:r>
              <w:rPr>
                <w:rFonts w:ascii="Cambria Math" w:hAnsi="Cambria Math" w:cs="Times New Roman"/>
                <w:sz w:val="28"/>
                <w:szCs w:val="28"/>
              </w:rPr>
              <m:t>v</m:t>
            </m:r>
          </m:e>
          <m:sub>
            <m:r>
              <w:rPr>
                <w:rFonts w:ascii="Cambria Math" w:hAnsi="Cambria Math" w:cs="Times New Roman"/>
                <w:sz w:val="28"/>
                <w:szCs w:val="28"/>
              </w:rPr>
              <m:t>it</m:t>
            </m:r>
          </m:sub>
        </m:sSub>
      </m:oMath>
      <w:r w:rsidR="00F7528E" w:rsidRPr="008A7487">
        <w:rPr>
          <w:rFonts w:ascii="Times New Roman" w:eastAsiaTheme="minorEastAsia" w:hAnsi="Times New Roman" w:cs="Times New Roman"/>
          <w:sz w:val="28"/>
          <w:szCs w:val="28"/>
        </w:rPr>
        <w:t xml:space="preserve">                         (</w:t>
      </w:r>
      <w:r w:rsidR="00E072E3">
        <w:rPr>
          <w:rFonts w:ascii="Times New Roman" w:eastAsiaTheme="minorEastAsia" w:hAnsi="Times New Roman" w:cs="Times New Roman"/>
          <w:sz w:val="28"/>
          <w:szCs w:val="28"/>
        </w:rPr>
        <w:t>2</w:t>
      </w:r>
      <w:r w:rsidR="00F7528E" w:rsidRPr="008A7487">
        <w:rPr>
          <w:rFonts w:ascii="Times New Roman" w:eastAsiaTheme="minorEastAsia" w:hAnsi="Times New Roman" w:cs="Times New Roman"/>
          <w:sz w:val="28"/>
          <w:szCs w:val="28"/>
        </w:rPr>
        <w:t>)</w:t>
      </w:r>
    </w:p>
    <w:p w14:paraId="21A2E467" w14:textId="52044719" w:rsidR="00235D58" w:rsidRPr="008A7487" w:rsidRDefault="006D578B" w:rsidP="00235D58">
      <w:pPr>
        <w:spacing w:after="0" w:line="480" w:lineRule="auto"/>
        <w:contextualSpacing/>
        <w:rPr>
          <w:rFonts w:ascii="Times New Roman" w:eastAsiaTheme="minorEastAsia" w:hAnsi="Times New Roman" w:cs="Times New Roman"/>
          <w:sz w:val="24"/>
          <w:szCs w:val="24"/>
        </w:rPr>
      </w:pPr>
      <w:r w:rsidRPr="008A7487">
        <w:rPr>
          <w:rFonts w:ascii="Times New Roman" w:eastAsiaTheme="minorEastAsia" w:hAnsi="Times New Roman" w:cs="Times New Roman"/>
          <w:sz w:val="24"/>
          <w:szCs w:val="24"/>
        </w:rPr>
        <w:t>Where</w:t>
      </w:r>
      <m:oMath>
        <m:r>
          <w:rPr>
            <w:rFonts w:ascii="Cambria Math" w:eastAsiaTheme="minorEastAsia" w:hAnsi="Cambria Math" w:cs="Times New Roman"/>
            <w:sz w:val="24"/>
            <w:szCs w:val="24"/>
          </w:rPr>
          <m:t xml:space="preserve"> </m:t>
        </m:r>
        <m:sSub>
          <m:sSubPr>
            <m:ctrlPr>
              <w:rPr>
                <w:rFonts w:ascii="Cambria Math" w:hAnsi="Cambria Math" w:cs="Times New Roman"/>
                <w:i/>
                <w:sz w:val="28"/>
                <w:szCs w:val="28"/>
              </w:rPr>
            </m:ctrlPr>
          </m:sSubPr>
          <m:e>
            <m:r>
              <w:rPr>
                <w:rFonts w:ascii="Cambria Math" w:hAnsi="Cambria Math" w:cs="Times New Roman"/>
                <w:sz w:val="28"/>
                <w:szCs w:val="28"/>
              </w:rPr>
              <m:t>v</m:t>
            </m:r>
          </m:e>
          <m:sub>
            <m:r>
              <w:rPr>
                <w:rFonts w:ascii="Cambria Math" w:hAnsi="Cambria Math" w:cs="Times New Roman"/>
                <w:sz w:val="28"/>
                <w:szCs w:val="28"/>
              </w:rPr>
              <m:t>it</m:t>
            </m:r>
          </m:sub>
        </m:sSub>
        <m:r>
          <w:rPr>
            <w:rFonts w:ascii="Cambria Math" w:hAnsi="Cambria Math" w:cs="Times New Roman"/>
            <w:sz w:val="28"/>
            <w:szCs w:val="28"/>
          </w:rPr>
          <m:t xml:space="preserve">= </m:t>
        </m:r>
        <m:sSub>
          <m:sSubPr>
            <m:ctrlPr>
              <w:rPr>
                <w:rFonts w:ascii="Cambria Math" w:hAnsi="Cambria Math" w:cs="Times New Roman"/>
                <w:i/>
                <w:sz w:val="28"/>
                <w:szCs w:val="28"/>
              </w:rPr>
            </m:ctrlPr>
          </m:sSubPr>
          <m:e>
            <m:r>
              <w:rPr>
                <w:rFonts w:ascii="Cambria Math" w:hAnsi="Cambria Math" w:cs="Times New Roman"/>
                <w:sz w:val="28"/>
                <w:szCs w:val="28"/>
              </w:rPr>
              <m:t>u</m:t>
            </m:r>
          </m:e>
          <m:sub>
            <m:r>
              <w:rPr>
                <w:rFonts w:ascii="Cambria Math" w:hAnsi="Cambria Math" w:cs="Times New Roman"/>
                <w:sz w:val="28"/>
                <w:szCs w:val="28"/>
              </w:rPr>
              <m:t>it</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ε</m:t>
            </m:r>
          </m:e>
          <m:sub>
            <m:r>
              <w:rPr>
                <w:rFonts w:ascii="Cambria Math" w:hAnsi="Cambria Math" w:cs="Times New Roman"/>
                <w:sz w:val="28"/>
                <w:szCs w:val="28"/>
              </w:rPr>
              <m:t>it</m:t>
            </m:r>
          </m:sub>
        </m:sSub>
      </m:oMath>
      <w:r w:rsidR="00FC0501" w:rsidRPr="008A7487">
        <w:rPr>
          <w:rFonts w:ascii="Times New Roman" w:eastAsiaTheme="minorEastAsia" w:hAnsi="Times New Roman" w:cs="Times New Roman"/>
          <w:sz w:val="28"/>
          <w:szCs w:val="28"/>
        </w:rPr>
        <w:t xml:space="preserve">, </w:t>
      </w:r>
      <w:r w:rsidR="00FC0501" w:rsidRPr="008A7487">
        <w:rPr>
          <w:rFonts w:ascii="Times New Roman" w:eastAsiaTheme="minorEastAsia" w:hAnsi="Times New Roman" w:cs="Times New Roman"/>
          <w:sz w:val="24"/>
          <w:szCs w:val="24"/>
        </w:rPr>
        <w:t xml:space="preserve">and both error terms are not correlated with any of the explanatory variables. </w:t>
      </w:r>
      <w:r w:rsidR="00235D58" w:rsidRPr="008A7487">
        <w:rPr>
          <w:rFonts w:ascii="Times New Roman" w:eastAsiaTheme="minorEastAsia" w:hAnsi="Times New Roman" w:cs="Times New Roman"/>
          <w:sz w:val="24"/>
          <w:szCs w:val="24"/>
        </w:rPr>
        <w:t xml:space="preserve"> </w:t>
      </w:r>
    </w:p>
    <w:p w14:paraId="3FAB5A55" w14:textId="77777777" w:rsidR="007E37CD" w:rsidRPr="008A7487" w:rsidRDefault="007E37CD" w:rsidP="00235D58">
      <w:pPr>
        <w:spacing w:after="0" w:line="480" w:lineRule="auto"/>
        <w:contextualSpacing/>
        <w:rPr>
          <w:rFonts w:ascii="Times New Roman" w:eastAsiaTheme="minorEastAsia" w:hAnsi="Times New Roman" w:cs="Times New Roman"/>
          <w:sz w:val="24"/>
          <w:szCs w:val="24"/>
        </w:rPr>
      </w:pPr>
    </w:p>
    <w:p w14:paraId="7F72A137" w14:textId="77777777" w:rsidR="007E37CD" w:rsidRPr="008A7487" w:rsidRDefault="007E37CD" w:rsidP="00235D58">
      <w:pPr>
        <w:spacing w:after="0" w:line="480" w:lineRule="auto"/>
        <w:contextualSpacing/>
        <w:rPr>
          <w:rFonts w:ascii="Times New Roman" w:eastAsiaTheme="minorEastAsia" w:hAnsi="Times New Roman" w:cs="Times New Roman"/>
          <w:sz w:val="24"/>
          <w:szCs w:val="24"/>
        </w:rPr>
      </w:pPr>
    </w:p>
    <w:p w14:paraId="4220CD59" w14:textId="474D664D" w:rsidR="007E37CD" w:rsidRPr="008A7487" w:rsidRDefault="007E37CD" w:rsidP="007E37CD">
      <w:pPr>
        <w:jc w:val="center"/>
        <w:rPr>
          <w:rFonts w:ascii="Times New Roman" w:hAnsi="Times New Roman" w:cs="Times New Roman"/>
          <w:b/>
          <w:sz w:val="20"/>
          <w:szCs w:val="20"/>
          <w:lang w:val="en-GB"/>
        </w:rPr>
      </w:pPr>
      <w:r w:rsidRPr="008A7487">
        <w:rPr>
          <w:rFonts w:ascii="Times New Roman" w:hAnsi="Times New Roman" w:cs="Times New Roman"/>
          <w:b/>
          <w:sz w:val="20"/>
          <w:szCs w:val="20"/>
          <w:lang w:val="en-GB"/>
        </w:rPr>
        <w:t xml:space="preserve">[INSERT TABLE </w:t>
      </w:r>
      <w:r w:rsidR="00F430F1">
        <w:rPr>
          <w:rFonts w:ascii="Times New Roman" w:hAnsi="Times New Roman" w:cs="Times New Roman"/>
          <w:b/>
          <w:sz w:val="20"/>
          <w:szCs w:val="20"/>
          <w:lang w:val="en-GB"/>
        </w:rPr>
        <w:t>2</w:t>
      </w:r>
      <w:r w:rsidRPr="008A7487">
        <w:rPr>
          <w:rFonts w:ascii="Times New Roman" w:hAnsi="Times New Roman" w:cs="Times New Roman"/>
          <w:b/>
          <w:sz w:val="20"/>
          <w:szCs w:val="20"/>
          <w:lang w:val="en-GB"/>
        </w:rPr>
        <w:t xml:space="preserve"> ABOUT HERE]</w:t>
      </w:r>
    </w:p>
    <w:p w14:paraId="2BB5499E" w14:textId="77777777" w:rsidR="007E37CD" w:rsidRPr="008A7487" w:rsidRDefault="007E37CD" w:rsidP="00235D58">
      <w:pPr>
        <w:spacing w:after="0" w:line="480" w:lineRule="auto"/>
        <w:contextualSpacing/>
        <w:rPr>
          <w:rFonts w:ascii="Times New Roman" w:eastAsiaTheme="minorEastAsia" w:hAnsi="Times New Roman" w:cs="Times New Roman"/>
          <w:sz w:val="24"/>
          <w:szCs w:val="24"/>
        </w:rPr>
      </w:pPr>
    </w:p>
    <w:p w14:paraId="6B9FC05A" w14:textId="77777777" w:rsidR="007E37CD" w:rsidRPr="008A7487" w:rsidRDefault="007E37CD" w:rsidP="00235D58">
      <w:pPr>
        <w:spacing w:after="0" w:line="480" w:lineRule="auto"/>
        <w:contextualSpacing/>
        <w:rPr>
          <w:rFonts w:ascii="Times New Roman" w:eastAsiaTheme="minorEastAsia" w:hAnsi="Times New Roman" w:cs="Times New Roman"/>
          <w:sz w:val="24"/>
          <w:szCs w:val="24"/>
        </w:rPr>
      </w:pPr>
    </w:p>
    <w:p w14:paraId="3BC778A6" w14:textId="0DEDF002" w:rsidR="00DB4A83" w:rsidRPr="008A7487" w:rsidRDefault="006C6BFF" w:rsidP="00BA1CC8">
      <w:pPr>
        <w:spacing w:after="0" w:line="480" w:lineRule="auto"/>
        <w:ind w:firstLine="720"/>
        <w:contextualSpacing/>
        <w:rPr>
          <w:rFonts w:ascii="Times New Roman" w:hAnsi="Times New Roman" w:cs="Times New Roman"/>
          <w:sz w:val="24"/>
          <w:szCs w:val="24"/>
        </w:rPr>
      </w:pPr>
      <w:r w:rsidRPr="008A7487">
        <w:rPr>
          <w:rFonts w:ascii="Times New Roman" w:eastAsiaTheme="minorEastAsia" w:hAnsi="Times New Roman" w:cs="Times New Roman"/>
          <w:sz w:val="24"/>
          <w:szCs w:val="24"/>
        </w:rPr>
        <w:lastRenderedPageBreak/>
        <w:t>The study</w:t>
      </w:r>
      <w:r w:rsidR="00897BA4" w:rsidRPr="008A7487">
        <w:rPr>
          <w:rFonts w:ascii="Times New Roman" w:eastAsiaTheme="minorEastAsia" w:hAnsi="Times New Roman" w:cs="Times New Roman"/>
          <w:sz w:val="24"/>
          <w:szCs w:val="24"/>
        </w:rPr>
        <w:t xml:space="preserve"> report</w:t>
      </w:r>
      <w:r w:rsidRPr="008A7487">
        <w:rPr>
          <w:rFonts w:ascii="Times New Roman" w:eastAsiaTheme="minorEastAsia" w:hAnsi="Times New Roman" w:cs="Times New Roman"/>
          <w:sz w:val="24"/>
          <w:szCs w:val="24"/>
        </w:rPr>
        <w:t>s</w:t>
      </w:r>
      <w:r w:rsidR="00897BA4" w:rsidRPr="008A7487">
        <w:rPr>
          <w:rFonts w:ascii="Times New Roman" w:eastAsiaTheme="minorEastAsia" w:hAnsi="Times New Roman" w:cs="Times New Roman"/>
          <w:sz w:val="24"/>
          <w:szCs w:val="24"/>
        </w:rPr>
        <w:t xml:space="preserve"> the results of both the fixed an</w:t>
      </w:r>
      <w:r w:rsidR="00661C9F" w:rsidRPr="008A7487">
        <w:rPr>
          <w:rFonts w:ascii="Times New Roman" w:eastAsiaTheme="minorEastAsia" w:hAnsi="Times New Roman" w:cs="Times New Roman"/>
          <w:sz w:val="24"/>
          <w:szCs w:val="24"/>
        </w:rPr>
        <w:t>d random effect models and used the Hausman test to decide the appropriate</w:t>
      </w:r>
      <w:r w:rsidR="00DC244C" w:rsidRPr="008A7487">
        <w:rPr>
          <w:rFonts w:ascii="Times New Roman" w:eastAsiaTheme="minorEastAsia" w:hAnsi="Times New Roman" w:cs="Times New Roman"/>
          <w:sz w:val="24"/>
          <w:szCs w:val="24"/>
        </w:rPr>
        <w:t xml:space="preserve"> model to rely on in the analyse</w:t>
      </w:r>
      <w:r w:rsidR="00661C9F" w:rsidRPr="008A7487">
        <w:rPr>
          <w:rFonts w:ascii="Times New Roman" w:eastAsiaTheme="minorEastAsia" w:hAnsi="Times New Roman" w:cs="Times New Roman"/>
          <w:sz w:val="24"/>
          <w:szCs w:val="24"/>
        </w:rPr>
        <w:t xml:space="preserve">s. </w:t>
      </w:r>
      <w:r w:rsidR="00661C9F" w:rsidRPr="008A7487">
        <w:rPr>
          <w:rFonts w:ascii="Times New Roman" w:hAnsi="Times New Roman" w:cs="Times New Roman"/>
          <w:sz w:val="24"/>
          <w:szCs w:val="24"/>
        </w:rPr>
        <w:t>The test compares the coefficient estimates from the fixed and random effects models and assumes that in both models there is no correlation between the error term and any of the explanatory variables. Thus, in large samples, the estimates of the coefficients are consistent. When this assumption is violated, random effects estimates are no longer consistent whilst fixed effects esti</w:t>
      </w:r>
      <w:r w:rsidR="00661C9F" w:rsidRPr="008A7487">
        <w:rPr>
          <w:rFonts w:ascii="Times New Roman" w:hAnsi="Times New Roman" w:cs="Times New Roman"/>
          <w:sz w:val="24"/>
          <w:szCs w:val="24"/>
        </w:rPr>
        <w:lastRenderedPageBreak/>
        <w:t>mates are</w:t>
      </w:r>
      <w:r w:rsidR="00C15CE3" w:rsidRPr="008A7487">
        <w:rPr>
          <w:rFonts w:ascii="Times New Roman" w:hAnsi="Times New Roman" w:cs="Times New Roman"/>
          <w:sz w:val="24"/>
          <w:szCs w:val="24"/>
        </w:rPr>
        <w:t>,</w:t>
      </w:r>
      <w:r w:rsidR="003A4B27" w:rsidRPr="008A7487">
        <w:rPr>
          <w:rFonts w:ascii="Times New Roman" w:hAnsi="Times New Roman" w:cs="Times New Roman"/>
          <w:sz w:val="24"/>
          <w:szCs w:val="24"/>
        </w:rPr>
        <w:t xml:space="preserve"> thus</w:t>
      </w:r>
      <w:r w:rsidR="00661C9F" w:rsidRPr="008A7487">
        <w:rPr>
          <w:rFonts w:ascii="Times New Roman" w:hAnsi="Times New Roman" w:cs="Times New Roman"/>
          <w:sz w:val="24"/>
          <w:szCs w:val="24"/>
        </w:rPr>
        <w:t xml:space="preserve"> converge to the true value of the parameters. Rejecting the null hypothesis </w:t>
      </w:r>
      <w:r w:rsidR="007426BF" w:rsidRPr="008A7487">
        <w:rPr>
          <w:rFonts w:ascii="Times New Roman" w:hAnsi="Times New Roman" w:cs="Times New Roman"/>
          <w:sz w:val="24"/>
          <w:szCs w:val="24"/>
        </w:rPr>
        <w:t>of no correlation between the error term and the explanatory variable</w:t>
      </w:r>
      <w:r w:rsidR="003A105E" w:rsidRPr="008A7487">
        <w:rPr>
          <w:rFonts w:ascii="Times New Roman" w:hAnsi="Times New Roman" w:cs="Times New Roman"/>
          <w:sz w:val="24"/>
          <w:szCs w:val="24"/>
        </w:rPr>
        <w:t>s</w:t>
      </w:r>
      <w:r w:rsidR="007426BF" w:rsidRPr="008A7487">
        <w:rPr>
          <w:rFonts w:ascii="Times New Roman" w:hAnsi="Times New Roman" w:cs="Times New Roman"/>
          <w:sz w:val="24"/>
          <w:szCs w:val="24"/>
        </w:rPr>
        <w:t xml:space="preserve"> </w:t>
      </w:r>
      <w:r w:rsidR="00661C9F" w:rsidRPr="008A7487">
        <w:rPr>
          <w:rFonts w:ascii="Times New Roman" w:hAnsi="Times New Roman" w:cs="Times New Roman"/>
          <w:sz w:val="24"/>
          <w:szCs w:val="24"/>
        </w:rPr>
        <w:t>therefore supports the use of the fixed effect model (Hill et al.</w:t>
      </w:r>
      <w:r w:rsidR="0045782E">
        <w:rPr>
          <w:rFonts w:ascii="Times New Roman" w:hAnsi="Times New Roman" w:cs="Times New Roman"/>
          <w:sz w:val="24"/>
          <w:szCs w:val="24"/>
        </w:rPr>
        <w:t xml:space="preserve">, </w:t>
      </w:r>
      <w:r w:rsidR="00661C9F" w:rsidRPr="008A7487">
        <w:rPr>
          <w:rFonts w:ascii="Times New Roman" w:hAnsi="Times New Roman" w:cs="Times New Roman"/>
          <w:sz w:val="24"/>
          <w:szCs w:val="24"/>
        </w:rPr>
        <w:t xml:space="preserve">2012; </w:t>
      </w:r>
      <w:r w:rsidR="0094142C">
        <w:rPr>
          <w:rFonts w:ascii="Times New Roman" w:hAnsi="Times New Roman" w:cs="Times New Roman"/>
          <w:sz w:val="24"/>
          <w:szCs w:val="24"/>
        </w:rPr>
        <w:t>Baltagi</w:t>
      </w:r>
      <w:r w:rsidR="0045782E">
        <w:rPr>
          <w:rFonts w:ascii="Times New Roman" w:hAnsi="Times New Roman" w:cs="Times New Roman"/>
          <w:sz w:val="24"/>
          <w:szCs w:val="24"/>
        </w:rPr>
        <w:t>,</w:t>
      </w:r>
      <w:r w:rsidR="00BA1CC8" w:rsidRPr="008A7487">
        <w:rPr>
          <w:rFonts w:ascii="Times New Roman" w:hAnsi="Times New Roman" w:cs="Times New Roman"/>
          <w:sz w:val="24"/>
          <w:szCs w:val="24"/>
        </w:rPr>
        <w:t xml:space="preserve"> 2012</w:t>
      </w:r>
      <w:r w:rsidR="00661C9F" w:rsidRPr="008A7487">
        <w:rPr>
          <w:rFonts w:ascii="Times New Roman" w:hAnsi="Times New Roman" w:cs="Times New Roman"/>
          <w:sz w:val="24"/>
          <w:szCs w:val="24"/>
        </w:rPr>
        <w:t>)</w:t>
      </w:r>
      <w:r w:rsidR="00BA1CC8" w:rsidRPr="008A7487">
        <w:rPr>
          <w:rFonts w:ascii="Times New Roman" w:hAnsi="Times New Roman" w:cs="Times New Roman"/>
          <w:sz w:val="24"/>
          <w:szCs w:val="24"/>
        </w:rPr>
        <w:t xml:space="preserve">. </w:t>
      </w:r>
      <w:r w:rsidR="00DD0685">
        <w:rPr>
          <w:rFonts w:ascii="Times New Roman" w:hAnsi="Times New Roman" w:cs="Times New Roman"/>
          <w:sz w:val="24"/>
          <w:szCs w:val="24"/>
        </w:rPr>
        <w:t xml:space="preserve">See appendix </w:t>
      </w:r>
      <w:r w:rsidR="00B5565F">
        <w:rPr>
          <w:rFonts w:ascii="Times New Roman" w:hAnsi="Times New Roman" w:cs="Times New Roman"/>
          <w:sz w:val="24"/>
          <w:szCs w:val="24"/>
        </w:rPr>
        <w:t>1</w:t>
      </w:r>
      <w:r w:rsidR="00057550">
        <w:rPr>
          <w:rFonts w:ascii="Times New Roman" w:hAnsi="Times New Roman" w:cs="Times New Roman"/>
          <w:sz w:val="24"/>
          <w:szCs w:val="24"/>
        </w:rPr>
        <w:t xml:space="preserve"> </w:t>
      </w:r>
      <w:r w:rsidR="00DD0685">
        <w:rPr>
          <w:rFonts w:ascii="Times New Roman" w:hAnsi="Times New Roman" w:cs="Times New Roman"/>
          <w:sz w:val="24"/>
          <w:szCs w:val="24"/>
        </w:rPr>
        <w:t>for t</w:t>
      </w:r>
      <w:r w:rsidR="00B5565F">
        <w:rPr>
          <w:rFonts w:ascii="Times New Roman" w:hAnsi="Times New Roman" w:cs="Times New Roman"/>
          <w:sz w:val="24"/>
          <w:szCs w:val="24"/>
        </w:rPr>
        <w:t>he t</w:t>
      </w:r>
      <w:r w:rsidR="00DD0685">
        <w:rPr>
          <w:rFonts w:ascii="Times New Roman" w:hAnsi="Times New Roman" w:cs="Times New Roman"/>
          <w:sz w:val="24"/>
          <w:szCs w:val="24"/>
        </w:rPr>
        <w:t xml:space="preserve">est result. </w:t>
      </w:r>
      <w:r w:rsidR="00BA1CC8" w:rsidRPr="008A7487">
        <w:rPr>
          <w:rFonts w:ascii="Times New Roman" w:hAnsi="Times New Roman" w:cs="Times New Roman"/>
          <w:sz w:val="24"/>
          <w:szCs w:val="24"/>
        </w:rPr>
        <w:t xml:space="preserve"> </w:t>
      </w:r>
      <w:r w:rsidR="00573E83" w:rsidRPr="008A7487">
        <w:rPr>
          <w:rFonts w:ascii="Times New Roman" w:hAnsi="Times New Roman" w:cs="Times New Roman"/>
          <w:sz w:val="24"/>
          <w:szCs w:val="24"/>
        </w:rPr>
        <w:t>The next section presents and discusses the results.</w:t>
      </w:r>
    </w:p>
    <w:p w14:paraId="2B19A2C2" w14:textId="77777777" w:rsidR="00E932EB" w:rsidRPr="008A7487" w:rsidRDefault="00E932EB" w:rsidP="00BA1CC8">
      <w:pPr>
        <w:spacing w:after="0" w:line="480" w:lineRule="auto"/>
        <w:ind w:firstLine="720"/>
        <w:contextualSpacing/>
        <w:rPr>
          <w:rFonts w:ascii="Times New Roman" w:hAnsi="Times New Roman" w:cs="Times New Roman"/>
          <w:sz w:val="24"/>
          <w:szCs w:val="24"/>
        </w:rPr>
      </w:pPr>
    </w:p>
    <w:p w14:paraId="3A28DFAD" w14:textId="5DB26974" w:rsidR="008904F3" w:rsidRPr="008A7487" w:rsidRDefault="00563D46" w:rsidP="0097246F">
      <w:pPr>
        <w:pStyle w:val="ListParagraph"/>
        <w:numPr>
          <w:ilvl w:val="0"/>
          <w:numId w:val="24"/>
        </w:numPr>
        <w:spacing w:after="0" w:line="480" w:lineRule="auto"/>
        <w:ind w:left="0" w:firstLine="0"/>
        <w:jc w:val="both"/>
        <w:rPr>
          <w:rFonts w:ascii="Times New Roman" w:hAnsi="Times New Roman" w:cs="Times New Roman"/>
          <w:b/>
          <w:sz w:val="24"/>
          <w:szCs w:val="24"/>
        </w:rPr>
      </w:pPr>
      <w:r w:rsidRPr="008A7487">
        <w:rPr>
          <w:rFonts w:ascii="Times New Roman" w:hAnsi="Times New Roman" w:cs="Times New Roman"/>
          <w:b/>
          <w:sz w:val="24"/>
          <w:szCs w:val="24"/>
        </w:rPr>
        <w:t>R</w:t>
      </w:r>
      <w:r w:rsidR="00BA1CC8" w:rsidRPr="008A7487">
        <w:rPr>
          <w:rFonts w:ascii="Times New Roman" w:hAnsi="Times New Roman" w:cs="Times New Roman"/>
          <w:b/>
          <w:sz w:val="24"/>
          <w:szCs w:val="24"/>
        </w:rPr>
        <w:t>esults</w:t>
      </w:r>
      <w:r w:rsidR="00885950" w:rsidRPr="008A7487">
        <w:rPr>
          <w:rFonts w:ascii="Times New Roman" w:hAnsi="Times New Roman" w:cs="Times New Roman"/>
          <w:b/>
          <w:sz w:val="24"/>
          <w:szCs w:val="24"/>
        </w:rPr>
        <w:t xml:space="preserve"> and discussion</w:t>
      </w:r>
    </w:p>
    <w:p w14:paraId="7091FFA9" w14:textId="00CD43E5" w:rsidR="002D0C8A" w:rsidRPr="008A7487" w:rsidRDefault="00885950" w:rsidP="00885950">
      <w:pPr>
        <w:spacing w:after="0" w:line="480" w:lineRule="auto"/>
        <w:contextualSpacing/>
        <w:rPr>
          <w:rFonts w:ascii="Times New Roman" w:hAnsi="Times New Roman" w:cs="Times New Roman"/>
          <w:i/>
          <w:sz w:val="24"/>
          <w:szCs w:val="24"/>
        </w:rPr>
      </w:pPr>
      <w:r w:rsidRPr="008A7487">
        <w:rPr>
          <w:rFonts w:ascii="Times New Roman" w:hAnsi="Times New Roman" w:cs="Times New Roman"/>
          <w:i/>
          <w:sz w:val="24"/>
          <w:szCs w:val="24"/>
        </w:rPr>
        <w:t xml:space="preserve">5.1     </w:t>
      </w:r>
      <w:r w:rsidR="007E37CD" w:rsidRPr="008A7487">
        <w:rPr>
          <w:rFonts w:ascii="Times New Roman" w:hAnsi="Times New Roman" w:cs="Times New Roman"/>
          <w:i/>
          <w:sz w:val="24"/>
          <w:szCs w:val="24"/>
        </w:rPr>
        <w:t>D</w:t>
      </w:r>
      <w:r w:rsidR="002D0C8A" w:rsidRPr="008A7487">
        <w:rPr>
          <w:rFonts w:ascii="Times New Roman" w:hAnsi="Times New Roman" w:cs="Times New Roman"/>
          <w:i/>
          <w:sz w:val="24"/>
          <w:szCs w:val="24"/>
        </w:rPr>
        <w:t xml:space="preserve">escriptive statistics </w:t>
      </w:r>
    </w:p>
    <w:p w14:paraId="53A04E54" w14:textId="497217BA" w:rsidR="00C23EC9" w:rsidRPr="008A7487" w:rsidRDefault="002D0C8A" w:rsidP="007E37CD">
      <w:pPr>
        <w:spacing w:after="0" w:line="480" w:lineRule="auto"/>
        <w:ind w:firstLine="720"/>
        <w:contextualSpacing/>
        <w:jc w:val="both"/>
        <w:rPr>
          <w:rFonts w:ascii="Times New Roman" w:hAnsi="Times New Roman" w:cs="Times New Roman"/>
          <w:sz w:val="24"/>
          <w:szCs w:val="24"/>
        </w:rPr>
      </w:pPr>
      <w:r w:rsidRPr="008A7487">
        <w:rPr>
          <w:rFonts w:ascii="Times New Roman" w:hAnsi="Times New Roman" w:cs="Times New Roman"/>
          <w:sz w:val="24"/>
          <w:szCs w:val="24"/>
        </w:rPr>
        <w:t xml:space="preserve">Table </w:t>
      </w:r>
      <w:r w:rsidR="00F430F1">
        <w:rPr>
          <w:rFonts w:ascii="Times New Roman" w:hAnsi="Times New Roman" w:cs="Times New Roman"/>
          <w:sz w:val="24"/>
          <w:szCs w:val="24"/>
        </w:rPr>
        <w:t>3</w:t>
      </w:r>
      <w:r w:rsidRPr="008A7487">
        <w:rPr>
          <w:rFonts w:ascii="Times New Roman" w:hAnsi="Times New Roman" w:cs="Times New Roman"/>
          <w:sz w:val="24"/>
          <w:szCs w:val="24"/>
        </w:rPr>
        <w:t xml:space="preserve"> presents the descriptive statistics</w:t>
      </w:r>
      <w:r w:rsidR="00C23EC9" w:rsidRPr="008A7487">
        <w:rPr>
          <w:rFonts w:ascii="Times New Roman" w:hAnsi="Times New Roman" w:cs="Times New Roman"/>
          <w:sz w:val="24"/>
          <w:szCs w:val="24"/>
        </w:rPr>
        <w:t xml:space="preserve"> which are also shown in graph form in Figure 1</w:t>
      </w:r>
      <w:r w:rsidRPr="008A7487">
        <w:rPr>
          <w:rFonts w:ascii="Times New Roman" w:hAnsi="Times New Roman" w:cs="Times New Roman"/>
          <w:sz w:val="24"/>
          <w:szCs w:val="24"/>
        </w:rPr>
        <w:t xml:space="preserve">. </w:t>
      </w:r>
      <w:r w:rsidR="00C23EC9" w:rsidRPr="008A7487">
        <w:rPr>
          <w:rFonts w:ascii="Times New Roman" w:hAnsi="Times New Roman" w:cs="Times New Roman"/>
          <w:sz w:val="24"/>
          <w:szCs w:val="24"/>
        </w:rPr>
        <w:t xml:space="preserve">Table </w:t>
      </w:r>
      <w:r w:rsidR="00F430F1">
        <w:rPr>
          <w:rFonts w:ascii="Times New Roman" w:hAnsi="Times New Roman" w:cs="Times New Roman"/>
          <w:sz w:val="24"/>
          <w:szCs w:val="24"/>
        </w:rPr>
        <w:t>3</w:t>
      </w:r>
      <w:r w:rsidR="00C23EC9" w:rsidRPr="008A7487">
        <w:rPr>
          <w:rFonts w:ascii="Times New Roman" w:hAnsi="Times New Roman" w:cs="Times New Roman"/>
          <w:sz w:val="24"/>
          <w:szCs w:val="24"/>
        </w:rPr>
        <w:t xml:space="preserve"> </w:t>
      </w:r>
      <w:r w:rsidRPr="008A7487">
        <w:rPr>
          <w:rFonts w:ascii="Times New Roman" w:hAnsi="Times New Roman" w:cs="Times New Roman"/>
          <w:sz w:val="24"/>
          <w:szCs w:val="24"/>
        </w:rPr>
        <w:t>show</w:t>
      </w:r>
      <w:r w:rsidR="00C23EC9" w:rsidRPr="008A7487">
        <w:rPr>
          <w:rFonts w:ascii="Times New Roman" w:hAnsi="Times New Roman" w:cs="Times New Roman"/>
          <w:sz w:val="24"/>
          <w:szCs w:val="24"/>
        </w:rPr>
        <w:t xml:space="preserve">s </w:t>
      </w:r>
      <w:r w:rsidRPr="008A7487">
        <w:rPr>
          <w:rFonts w:ascii="Times New Roman" w:hAnsi="Times New Roman" w:cs="Times New Roman"/>
          <w:sz w:val="24"/>
          <w:szCs w:val="24"/>
        </w:rPr>
        <w:t xml:space="preserve">that </w:t>
      </w:r>
      <w:r w:rsidRPr="008A7487">
        <w:rPr>
          <w:rFonts w:ascii="Times New Roman" w:hAnsi="Times New Roman" w:cs="Times New Roman"/>
          <w:sz w:val="24"/>
          <w:szCs w:val="24"/>
        </w:rPr>
        <w:lastRenderedPageBreak/>
        <w:t xml:space="preserve">there </w:t>
      </w:r>
      <w:r w:rsidR="00F40EE0" w:rsidRPr="008A7487">
        <w:rPr>
          <w:rFonts w:ascii="Times New Roman" w:hAnsi="Times New Roman" w:cs="Times New Roman"/>
          <w:sz w:val="24"/>
          <w:szCs w:val="24"/>
        </w:rPr>
        <w:t>is</w:t>
      </w:r>
      <w:r w:rsidR="00D40DFC" w:rsidRPr="008A7487">
        <w:rPr>
          <w:rFonts w:ascii="Times New Roman" w:hAnsi="Times New Roman" w:cs="Times New Roman"/>
          <w:sz w:val="24"/>
          <w:szCs w:val="24"/>
        </w:rPr>
        <w:t xml:space="preserve"> considerable variation</w:t>
      </w:r>
      <w:r w:rsidRPr="008A7487">
        <w:rPr>
          <w:rFonts w:ascii="Times New Roman" w:hAnsi="Times New Roman" w:cs="Times New Roman"/>
          <w:sz w:val="24"/>
          <w:szCs w:val="24"/>
        </w:rPr>
        <w:t xml:space="preserve"> in both the dependent and independent va</w:t>
      </w:r>
      <w:r w:rsidR="00C23EC9" w:rsidRPr="008A7487">
        <w:rPr>
          <w:rFonts w:ascii="Times New Roman" w:hAnsi="Times New Roman" w:cs="Times New Roman"/>
          <w:sz w:val="24"/>
          <w:szCs w:val="24"/>
        </w:rPr>
        <w:t>r</w:t>
      </w:r>
      <w:r w:rsidRPr="008A7487">
        <w:rPr>
          <w:rFonts w:ascii="Times New Roman" w:hAnsi="Times New Roman" w:cs="Times New Roman"/>
          <w:sz w:val="24"/>
          <w:szCs w:val="24"/>
        </w:rPr>
        <w:t>iables</w:t>
      </w:r>
      <w:r w:rsidR="00C23EC9" w:rsidRPr="008A7487">
        <w:rPr>
          <w:rFonts w:ascii="Times New Roman" w:hAnsi="Times New Roman" w:cs="Times New Roman"/>
          <w:sz w:val="24"/>
          <w:szCs w:val="24"/>
        </w:rPr>
        <w:t xml:space="preserve"> statistics</w:t>
      </w:r>
      <w:r w:rsidR="007E37CD" w:rsidRPr="008A7487">
        <w:rPr>
          <w:rFonts w:ascii="Times New Roman" w:hAnsi="Times New Roman" w:cs="Times New Roman"/>
          <w:sz w:val="24"/>
          <w:szCs w:val="24"/>
        </w:rPr>
        <w:t>.</w:t>
      </w:r>
      <w:r w:rsidR="00C46A05" w:rsidRPr="008A7487">
        <w:rPr>
          <w:rFonts w:ascii="Times New Roman" w:hAnsi="Times New Roman" w:cs="Times New Roman"/>
          <w:sz w:val="24"/>
          <w:szCs w:val="24"/>
        </w:rPr>
        <w:t xml:space="preserve"> The features of the sample </w:t>
      </w:r>
      <w:r w:rsidR="008437F2" w:rsidRPr="008A7487">
        <w:rPr>
          <w:rFonts w:ascii="Times New Roman" w:hAnsi="Times New Roman" w:cs="Times New Roman"/>
          <w:sz w:val="24"/>
          <w:szCs w:val="24"/>
        </w:rPr>
        <w:t xml:space="preserve">as indicated in the descriptive statistics in Table </w:t>
      </w:r>
      <w:r w:rsidR="00F430F1">
        <w:rPr>
          <w:rFonts w:ascii="Times New Roman" w:hAnsi="Times New Roman" w:cs="Times New Roman"/>
          <w:sz w:val="24"/>
          <w:szCs w:val="24"/>
        </w:rPr>
        <w:t>3</w:t>
      </w:r>
      <w:r w:rsidR="008437F2" w:rsidRPr="008A7487">
        <w:rPr>
          <w:rFonts w:ascii="Times New Roman" w:hAnsi="Times New Roman" w:cs="Times New Roman"/>
          <w:sz w:val="24"/>
          <w:szCs w:val="24"/>
        </w:rPr>
        <w:t xml:space="preserve"> </w:t>
      </w:r>
      <w:r w:rsidR="00C46A05" w:rsidRPr="008A7487">
        <w:rPr>
          <w:rFonts w:ascii="Times New Roman" w:hAnsi="Times New Roman" w:cs="Times New Roman"/>
          <w:sz w:val="24"/>
          <w:szCs w:val="24"/>
        </w:rPr>
        <w:t xml:space="preserve">are </w:t>
      </w:r>
      <w:r w:rsidR="00103AFD">
        <w:rPr>
          <w:rFonts w:ascii="Times New Roman" w:hAnsi="Times New Roman" w:cs="Times New Roman"/>
          <w:sz w:val="24"/>
          <w:szCs w:val="24"/>
        </w:rPr>
        <w:t>mainly</w:t>
      </w:r>
      <w:r w:rsidR="00C46A05" w:rsidRPr="008A7487">
        <w:rPr>
          <w:rFonts w:ascii="Times New Roman" w:hAnsi="Times New Roman" w:cs="Times New Roman"/>
          <w:sz w:val="24"/>
          <w:szCs w:val="24"/>
        </w:rPr>
        <w:t xml:space="preserve"> similar </w:t>
      </w:r>
      <w:r w:rsidR="008437F2" w:rsidRPr="008A7487">
        <w:rPr>
          <w:rFonts w:ascii="Times New Roman" w:hAnsi="Times New Roman" w:cs="Times New Roman"/>
          <w:sz w:val="24"/>
          <w:szCs w:val="24"/>
        </w:rPr>
        <w:t xml:space="preserve">to those in </w:t>
      </w:r>
      <w:r w:rsidR="00C46A05" w:rsidRPr="008A7487">
        <w:rPr>
          <w:rFonts w:ascii="Times New Roman" w:hAnsi="Times New Roman" w:cs="Times New Roman"/>
          <w:sz w:val="24"/>
          <w:szCs w:val="24"/>
        </w:rPr>
        <w:t xml:space="preserve">previous studies </w:t>
      </w:r>
      <w:r w:rsidR="008437F2" w:rsidRPr="008A7487">
        <w:rPr>
          <w:rFonts w:ascii="Times New Roman" w:hAnsi="Times New Roman" w:cs="Times New Roman"/>
          <w:sz w:val="24"/>
          <w:szCs w:val="24"/>
        </w:rPr>
        <w:t>(Flamini et al.</w:t>
      </w:r>
      <w:r w:rsidR="0045782E">
        <w:rPr>
          <w:rFonts w:ascii="Times New Roman" w:hAnsi="Times New Roman" w:cs="Times New Roman"/>
          <w:sz w:val="24"/>
          <w:szCs w:val="24"/>
        </w:rPr>
        <w:t>,</w:t>
      </w:r>
      <w:r w:rsidR="008437F2" w:rsidRPr="008A7487">
        <w:rPr>
          <w:rFonts w:ascii="Times New Roman" w:hAnsi="Times New Roman" w:cs="Times New Roman"/>
          <w:sz w:val="24"/>
          <w:szCs w:val="24"/>
        </w:rPr>
        <w:t xml:space="preserve"> 2009; Ahokpossi</w:t>
      </w:r>
      <w:r w:rsidR="0045782E">
        <w:rPr>
          <w:rFonts w:ascii="Times New Roman" w:hAnsi="Times New Roman" w:cs="Times New Roman"/>
          <w:sz w:val="24"/>
          <w:szCs w:val="24"/>
        </w:rPr>
        <w:t>,</w:t>
      </w:r>
      <w:r w:rsidR="008437F2" w:rsidRPr="008A7487">
        <w:rPr>
          <w:rFonts w:ascii="Times New Roman" w:hAnsi="Times New Roman" w:cs="Times New Roman"/>
          <w:sz w:val="24"/>
          <w:szCs w:val="24"/>
        </w:rPr>
        <w:t xml:space="preserve"> 2013) </w:t>
      </w:r>
      <w:r w:rsidR="00C46A05" w:rsidRPr="008A7487">
        <w:rPr>
          <w:rFonts w:ascii="Times New Roman" w:hAnsi="Times New Roman" w:cs="Times New Roman"/>
          <w:sz w:val="24"/>
          <w:szCs w:val="24"/>
        </w:rPr>
        <w:t xml:space="preserve">from the same context with few exceptions due mainly to the fact that this current </w:t>
      </w:r>
      <w:r w:rsidR="007F0598">
        <w:rPr>
          <w:rFonts w:ascii="Times New Roman" w:hAnsi="Times New Roman" w:cs="Times New Roman"/>
          <w:sz w:val="24"/>
          <w:szCs w:val="24"/>
        </w:rPr>
        <w:t>study focuses on the ECOWAS sub-</w:t>
      </w:r>
      <w:r w:rsidR="00C46A05" w:rsidRPr="008A7487">
        <w:rPr>
          <w:rFonts w:ascii="Times New Roman" w:hAnsi="Times New Roman" w:cs="Times New Roman"/>
          <w:sz w:val="24"/>
          <w:szCs w:val="24"/>
        </w:rPr>
        <w:t xml:space="preserve">region. For example, the </w:t>
      </w:r>
      <w:r w:rsidR="00DF7BEF" w:rsidRPr="008A7487">
        <w:rPr>
          <w:rFonts w:ascii="Times New Roman" w:hAnsi="Times New Roman" w:cs="Times New Roman"/>
          <w:sz w:val="24"/>
          <w:szCs w:val="24"/>
        </w:rPr>
        <w:t>mean (</w:t>
      </w:r>
      <w:r w:rsidR="00C46A05" w:rsidRPr="008A7487">
        <w:rPr>
          <w:rFonts w:ascii="Times New Roman" w:hAnsi="Times New Roman" w:cs="Times New Roman"/>
          <w:sz w:val="24"/>
          <w:szCs w:val="24"/>
        </w:rPr>
        <w:t>standard deviation) for ROA of 3.36 (4.21) is similar to the 2.35(3.00) reported in Flamini et al. (2009)</w:t>
      </w:r>
      <w:r w:rsidR="00DF7BEF" w:rsidRPr="008A7487">
        <w:rPr>
          <w:rFonts w:ascii="Times New Roman" w:hAnsi="Times New Roman" w:cs="Times New Roman"/>
          <w:sz w:val="24"/>
          <w:szCs w:val="24"/>
        </w:rPr>
        <w:t xml:space="preserve">. Banks in the region </w:t>
      </w:r>
      <w:r w:rsidR="008437F2" w:rsidRPr="008A7487">
        <w:rPr>
          <w:rFonts w:ascii="Times New Roman" w:hAnsi="Times New Roman" w:cs="Times New Roman"/>
          <w:sz w:val="24"/>
          <w:szCs w:val="24"/>
        </w:rPr>
        <w:t xml:space="preserve">seem to </w:t>
      </w:r>
      <w:r w:rsidR="00DF7BEF" w:rsidRPr="008A7487">
        <w:rPr>
          <w:rFonts w:ascii="Times New Roman" w:hAnsi="Times New Roman" w:cs="Times New Roman"/>
          <w:sz w:val="24"/>
          <w:szCs w:val="24"/>
        </w:rPr>
        <w:t>face high credit risk (CR)</w:t>
      </w:r>
      <w:r w:rsidR="008437F2" w:rsidRPr="008A7487">
        <w:rPr>
          <w:rFonts w:ascii="Times New Roman" w:hAnsi="Times New Roman" w:cs="Times New Roman"/>
          <w:sz w:val="24"/>
          <w:szCs w:val="24"/>
        </w:rPr>
        <w:t xml:space="preserve"> as indicated in the</w:t>
      </w:r>
      <w:r w:rsidR="00DF7BEF" w:rsidRPr="008A7487">
        <w:rPr>
          <w:rFonts w:ascii="Times New Roman" w:hAnsi="Times New Roman" w:cs="Times New Roman"/>
          <w:sz w:val="24"/>
          <w:szCs w:val="24"/>
        </w:rPr>
        <w:t xml:space="preserve"> mean (standard deviation) value for </w:t>
      </w:r>
      <w:r w:rsidR="008437F2" w:rsidRPr="008A7487">
        <w:rPr>
          <w:rFonts w:ascii="Times New Roman" w:hAnsi="Times New Roman" w:cs="Times New Roman"/>
          <w:sz w:val="24"/>
          <w:szCs w:val="24"/>
        </w:rPr>
        <w:t xml:space="preserve">CR </w:t>
      </w:r>
      <w:r w:rsidR="008437F2" w:rsidRPr="008A7487">
        <w:rPr>
          <w:rFonts w:ascii="Times New Roman" w:hAnsi="Times New Roman" w:cs="Times New Roman"/>
          <w:sz w:val="24"/>
          <w:szCs w:val="24"/>
        </w:rPr>
        <w:lastRenderedPageBreak/>
        <w:t>of</w:t>
      </w:r>
      <w:r w:rsidR="00DF7BEF" w:rsidRPr="008A7487">
        <w:rPr>
          <w:rFonts w:ascii="Times New Roman" w:hAnsi="Times New Roman" w:cs="Times New Roman"/>
          <w:sz w:val="24"/>
          <w:szCs w:val="24"/>
        </w:rPr>
        <w:t xml:space="preserve"> 30.94</w:t>
      </w:r>
      <w:r w:rsidR="0045782E">
        <w:rPr>
          <w:rFonts w:ascii="Times New Roman" w:hAnsi="Times New Roman" w:cs="Times New Roman"/>
          <w:sz w:val="24"/>
          <w:szCs w:val="24"/>
        </w:rPr>
        <w:t xml:space="preserve">  </w:t>
      </w:r>
      <w:r w:rsidR="00DF7BEF" w:rsidRPr="008A7487">
        <w:rPr>
          <w:rFonts w:ascii="Times New Roman" w:hAnsi="Times New Roman" w:cs="Times New Roman"/>
          <w:sz w:val="24"/>
          <w:szCs w:val="24"/>
        </w:rPr>
        <w:t>(33.48) which compares well with the reported figures in Flamini et al</w:t>
      </w:r>
      <w:r w:rsidR="0045782E">
        <w:rPr>
          <w:rFonts w:ascii="Times New Roman" w:hAnsi="Times New Roman" w:cs="Times New Roman"/>
          <w:sz w:val="24"/>
          <w:szCs w:val="24"/>
        </w:rPr>
        <w:t>.</w:t>
      </w:r>
      <w:r w:rsidR="00DF7BEF" w:rsidRPr="008A7487">
        <w:rPr>
          <w:rFonts w:ascii="Times New Roman" w:hAnsi="Times New Roman" w:cs="Times New Roman"/>
          <w:sz w:val="24"/>
          <w:szCs w:val="24"/>
        </w:rPr>
        <w:t xml:space="preserve"> (2009) 57.40</w:t>
      </w:r>
      <w:r w:rsidR="0045782E">
        <w:rPr>
          <w:rFonts w:ascii="Times New Roman" w:hAnsi="Times New Roman" w:cs="Times New Roman"/>
          <w:sz w:val="24"/>
          <w:szCs w:val="24"/>
        </w:rPr>
        <w:t xml:space="preserve"> </w:t>
      </w:r>
      <w:r w:rsidR="00DF7BEF" w:rsidRPr="008A7487">
        <w:rPr>
          <w:rFonts w:ascii="Times New Roman" w:hAnsi="Times New Roman" w:cs="Times New Roman"/>
          <w:sz w:val="24"/>
          <w:szCs w:val="24"/>
        </w:rPr>
        <w:t>(26.80) and Ahokpossi (2013) 63.53</w:t>
      </w:r>
      <w:r w:rsidR="0045782E">
        <w:rPr>
          <w:rFonts w:ascii="Times New Roman" w:hAnsi="Times New Roman" w:cs="Times New Roman"/>
          <w:sz w:val="24"/>
          <w:szCs w:val="24"/>
        </w:rPr>
        <w:t xml:space="preserve"> </w:t>
      </w:r>
      <w:r w:rsidR="00DF7BEF" w:rsidRPr="008A7487">
        <w:rPr>
          <w:rFonts w:ascii="Times New Roman" w:hAnsi="Times New Roman" w:cs="Times New Roman"/>
          <w:sz w:val="24"/>
          <w:szCs w:val="24"/>
        </w:rPr>
        <w:t>(57.94).</w:t>
      </w:r>
      <w:r w:rsidR="003F1A0D" w:rsidRPr="008A7487">
        <w:rPr>
          <w:rFonts w:ascii="Times New Roman" w:hAnsi="Times New Roman" w:cs="Times New Roman"/>
          <w:sz w:val="24"/>
          <w:szCs w:val="24"/>
        </w:rPr>
        <w:t xml:space="preserve"> </w:t>
      </w:r>
      <w:r w:rsidR="008437F2" w:rsidRPr="008A7487">
        <w:rPr>
          <w:rFonts w:ascii="Times New Roman" w:hAnsi="Times New Roman" w:cs="Times New Roman"/>
          <w:sz w:val="24"/>
          <w:szCs w:val="24"/>
        </w:rPr>
        <w:t>The banks in the sample are also similar in size given the mean value of 10.99 compare</w:t>
      </w:r>
      <w:r w:rsidR="00103AFD">
        <w:rPr>
          <w:rFonts w:ascii="Times New Roman" w:hAnsi="Times New Roman" w:cs="Times New Roman"/>
          <w:sz w:val="24"/>
          <w:szCs w:val="24"/>
        </w:rPr>
        <w:t>d</w:t>
      </w:r>
      <w:r w:rsidR="008437F2" w:rsidRPr="008A7487">
        <w:rPr>
          <w:rFonts w:ascii="Times New Roman" w:hAnsi="Times New Roman" w:cs="Times New Roman"/>
          <w:sz w:val="24"/>
          <w:szCs w:val="24"/>
        </w:rPr>
        <w:t xml:space="preserve"> to 11.70 in Flamini et al. (2009)</w:t>
      </w:r>
      <w:r w:rsidR="00715803" w:rsidRPr="008A7487">
        <w:rPr>
          <w:rFonts w:ascii="Times New Roman" w:hAnsi="Times New Roman" w:cs="Times New Roman"/>
          <w:sz w:val="24"/>
          <w:szCs w:val="24"/>
        </w:rPr>
        <w:t xml:space="preserve"> </w:t>
      </w:r>
      <w:r w:rsidR="00B83CDB" w:rsidRPr="008A7487">
        <w:rPr>
          <w:rFonts w:ascii="Times New Roman" w:hAnsi="Times New Roman" w:cs="Times New Roman"/>
          <w:sz w:val="24"/>
          <w:szCs w:val="24"/>
        </w:rPr>
        <w:t>although their variation</w:t>
      </w:r>
      <w:r w:rsidR="008437F2" w:rsidRPr="008A7487">
        <w:rPr>
          <w:rFonts w:ascii="Times New Roman" w:hAnsi="Times New Roman" w:cs="Times New Roman"/>
          <w:sz w:val="24"/>
          <w:szCs w:val="24"/>
        </w:rPr>
        <w:t xml:space="preserve"> and range are different. </w:t>
      </w:r>
      <w:r w:rsidR="00715803" w:rsidRPr="008A7487">
        <w:rPr>
          <w:rFonts w:ascii="Times New Roman" w:hAnsi="Times New Roman" w:cs="Times New Roman"/>
          <w:sz w:val="24"/>
          <w:szCs w:val="24"/>
        </w:rPr>
        <w:t>It is</w:t>
      </w:r>
      <w:r w:rsidR="00B83CDB" w:rsidRPr="008A7487">
        <w:rPr>
          <w:rFonts w:ascii="Times New Roman" w:hAnsi="Times New Roman" w:cs="Times New Roman"/>
          <w:sz w:val="24"/>
          <w:szCs w:val="24"/>
        </w:rPr>
        <w:t xml:space="preserve"> also</w:t>
      </w:r>
      <w:r w:rsidR="00715803" w:rsidRPr="008A7487">
        <w:rPr>
          <w:rFonts w:ascii="Times New Roman" w:hAnsi="Times New Roman" w:cs="Times New Roman"/>
          <w:sz w:val="24"/>
          <w:szCs w:val="24"/>
        </w:rPr>
        <w:t xml:space="preserve"> </w:t>
      </w:r>
      <w:r w:rsidR="007E37CD" w:rsidRPr="008A7487">
        <w:rPr>
          <w:rFonts w:ascii="Times New Roman" w:hAnsi="Times New Roman" w:cs="Times New Roman"/>
          <w:sz w:val="24"/>
          <w:szCs w:val="24"/>
        </w:rPr>
        <w:t>important</w:t>
      </w:r>
      <w:r w:rsidR="00715803" w:rsidRPr="008A7487">
        <w:rPr>
          <w:rFonts w:ascii="Times New Roman" w:hAnsi="Times New Roman" w:cs="Times New Roman"/>
          <w:sz w:val="24"/>
          <w:szCs w:val="24"/>
        </w:rPr>
        <w:t xml:space="preserve"> to note </w:t>
      </w:r>
      <w:r w:rsidR="00C23EC9" w:rsidRPr="008A7487">
        <w:rPr>
          <w:rFonts w:ascii="Times New Roman" w:hAnsi="Times New Roman" w:cs="Times New Roman"/>
          <w:sz w:val="24"/>
          <w:szCs w:val="24"/>
        </w:rPr>
        <w:t xml:space="preserve">in Figure 1 the </w:t>
      </w:r>
      <w:r w:rsidR="00C15CE3" w:rsidRPr="008A7487">
        <w:rPr>
          <w:rFonts w:ascii="Times New Roman" w:hAnsi="Times New Roman" w:cs="Times New Roman"/>
          <w:sz w:val="24"/>
          <w:szCs w:val="24"/>
        </w:rPr>
        <w:t>increase</w:t>
      </w:r>
      <w:r w:rsidR="00715803" w:rsidRPr="008A7487">
        <w:rPr>
          <w:rFonts w:ascii="Times New Roman" w:hAnsi="Times New Roman" w:cs="Times New Roman"/>
          <w:sz w:val="24"/>
          <w:szCs w:val="24"/>
        </w:rPr>
        <w:t xml:space="preserve"> in CM, CR and LQ around 2007-2009 and the sharp drop in GDP and </w:t>
      </w:r>
      <w:r w:rsidR="008D47C2" w:rsidRPr="008A7487">
        <w:rPr>
          <w:rFonts w:ascii="Times New Roman" w:hAnsi="Times New Roman" w:cs="Times New Roman"/>
          <w:sz w:val="24"/>
          <w:szCs w:val="24"/>
        </w:rPr>
        <w:t>ROA</w:t>
      </w:r>
      <w:r w:rsidR="00715803" w:rsidRPr="008A7487">
        <w:rPr>
          <w:rFonts w:ascii="Times New Roman" w:hAnsi="Times New Roman" w:cs="Times New Roman"/>
          <w:sz w:val="24"/>
          <w:szCs w:val="24"/>
        </w:rPr>
        <w:t xml:space="preserve"> about the same period while inflation is generally rising. Figure 1 also shows a general rise in bank size and capital strength. </w:t>
      </w:r>
    </w:p>
    <w:p w14:paraId="1F6219BF" w14:textId="77777777" w:rsidR="00010186" w:rsidRPr="008A7487" w:rsidRDefault="00010186" w:rsidP="007E37CD">
      <w:pPr>
        <w:spacing w:after="0" w:line="480" w:lineRule="auto"/>
        <w:ind w:firstLine="720"/>
        <w:contextualSpacing/>
        <w:jc w:val="both"/>
        <w:rPr>
          <w:rFonts w:ascii="Times New Roman" w:hAnsi="Times New Roman" w:cs="Times New Roman"/>
          <w:sz w:val="24"/>
          <w:szCs w:val="24"/>
        </w:rPr>
      </w:pPr>
    </w:p>
    <w:p w14:paraId="29CAD4C3" w14:textId="61AB706F" w:rsidR="00010186" w:rsidRPr="008A7487" w:rsidRDefault="00010186" w:rsidP="00010186">
      <w:pPr>
        <w:autoSpaceDE w:val="0"/>
        <w:autoSpaceDN w:val="0"/>
        <w:adjustRightInd w:val="0"/>
        <w:spacing w:after="0" w:line="240" w:lineRule="auto"/>
        <w:jc w:val="center"/>
        <w:rPr>
          <w:rFonts w:ascii="Times New Roman" w:hAnsi="Times New Roman" w:cs="Times New Roman"/>
          <w:b/>
          <w:sz w:val="24"/>
          <w:szCs w:val="24"/>
          <w:lang w:val="en-GB"/>
        </w:rPr>
      </w:pPr>
      <w:r w:rsidRPr="008A7487">
        <w:rPr>
          <w:rFonts w:ascii="Times New Roman" w:hAnsi="Times New Roman" w:cs="Times New Roman"/>
          <w:b/>
          <w:sz w:val="24"/>
          <w:szCs w:val="24"/>
          <w:lang w:val="en-GB"/>
        </w:rPr>
        <w:t xml:space="preserve">[INSERT TABLE </w:t>
      </w:r>
      <w:r w:rsidR="00F430F1">
        <w:rPr>
          <w:rFonts w:ascii="Times New Roman" w:hAnsi="Times New Roman" w:cs="Times New Roman"/>
          <w:b/>
          <w:sz w:val="24"/>
          <w:szCs w:val="24"/>
          <w:lang w:val="en-GB"/>
        </w:rPr>
        <w:t>3</w:t>
      </w:r>
      <w:r w:rsidRPr="008A7487">
        <w:rPr>
          <w:rFonts w:ascii="Times New Roman" w:hAnsi="Times New Roman" w:cs="Times New Roman"/>
          <w:b/>
          <w:sz w:val="24"/>
          <w:szCs w:val="24"/>
          <w:lang w:val="en-GB"/>
        </w:rPr>
        <w:t xml:space="preserve"> ABOUT HERE]</w:t>
      </w:r>
    </w:p>
    <w:p w14:paraId="6551110F" w14:textId="77777777" w:rsidR="00010186" w:rsidRPr="008A7487" w:rsidRDefault="00010186" w:rsidP="00010186">
      <w:pPr>
        <w:autoSpaceDE w:val="0"/>
        <w:autoSpaceDN w:val="0"/>
        <w:adjustRightInd w:val="0"/>
        <w:spacing w:after="0" w:line="240" w:lineRule="auto"/>
        <w:rPr>
          <w:rFonts w:ascii="Times New Roman" w:hAnsi="Times New Roman" w:cs="Times New Roman"/>
          <w:b/>
          <w:sz w:val="24"/>
          <w:szCs w:val="24"/>
          <w:lang w:val="en-GB"/>
        </w:rPr>
      </w:pPr>
    </w:p>
    <w:p w14:paraId="72084C94" w14:textId="77777777" w:rsidR="00010186" w:rsidRPr="008A7487" w:rsidRDefault="00010186" w:rsidP="00010186">
      <w:pPr>
        <w:spacing w:after="0" w:line="480" w:lineRule="auto"/>
        <w:ind w:firstLine="720"/>
        <w:contextualSpacing/>
        <w:rPr>
          <w:rFonts w:ascii="Times New Roman" w:hAnsi="Times New Roman" w:cs="Times New Roman"/>
          <w:sz w:val="24"/>
          <w:szCs w:val="24"/>
        </w:rPr>
      </w:pPr>
    </w:p>
    <w:p w14:paraId="436ECBB1" w14:textId="77777777" w:rsidR="00010186" w:rsidRPr="008A7487" w:rsidRDefault="00010186" w:rsidP="00010186">
      <w:pPr>
        <w:spacing w:after="0" w:line="480" w:lineRule="auto"/>
        <w:ind w:firstLine="720"/>
        <w:contextualSpacing/>
        <w:rPr>
          <w:rFonts w:ascii="Times New Roman" w:hAnsi="Times New Roman" w:cs="Times New Roman"/>
          <w:b/>
          <w:sz w:val="24"/>
          <w:szCs w:val="24"/>
        </w:rPr>
      </w:pPr>
      <w:r w:rsidRPr="008A7487">
        <w:rPr>
          <w:rFonts w:ascii="Times New Roman" w:hAnsi="Times New Roman" w:cs="Times New Roman"/>
          <w:b/>
          <w:sz w:val="24"/>
          <w:szCs w:val="24"/>
        </w:rPr>
        <w:t xml:space="preserve">                             [INSERT FIGURE 1 ABOUT HERE]</w:t>
      </w:r>
    </w:p>
    <w:p w14:paraId="53FC8DC4" w14:textId="77777777" w:rsidR="00010186" w:rsidRPr="008A7487" w:rsidRDefault="00010186" w:rsidP="007E37CD">
      <w:pPr>
        <w:spacing w:after="0" w:line="480" w:lineRule="auto"/>
        <w:ind w:firstLine="720"/>
        <w:contextualSpacing/>
        <w:jc w:val="both"/>
        <w:rPr>
          <w:rFonts w:ascii="Times New Roman" w:hAnsi="Times New Roman" w:cs="Times New Roman"/>
          <w:sz w:val="24"/>
          <w:szCs w:val="24"/>
        </w:rPr>
      </w:pPr>
    </w:p>
    <w:p w14:paraId="20846900" w14:textId="74C90F76" w:rsidR="00885950" w:rsidRPr="008A7487" w:rsidRDefault="00885950" w:rsidP="00885950">
      <w:pPr>
        <w:spacing w:after="0" w:line="480" w:lineRule="auto"/>
        <w:contextualSpacing/>
        <w:jc w:val="both"/>
        <w:rPr>
          <w:rFonts w:ascii="Times New Roman" w:hAnsi="Times New Roman" w:cs="Times New Roman"/>
          <w:i/>
          <w:sz w:val="24"/>
          <w:szCs w:val="24"/>
        </w:rPr>
      </w:pPr>
      <w:r w:rsidRPr="008A7487">
        <w:rPr>
          <w:rFonts w:ascii="Times New Roman" w:hAnsi="Times New Roman" w:cs="Times New Roman"/>
          <w:i/>
          <w:sz w:val="24"/>
          <w:szCs w:val="24"/>
        </w:rPr>
        <w:t xml:space="preserve">5.2 </w:t>
      </w:r>
      <w:r w:rsidRPr="008A7487">
        <w:rPr>
          <w:rFonts w:ascii="Times New Roman" w:hAnsi="Times New Roman" w:cs="Times New Roman"/>
          <w:i/>
          <w:sz w:val="24"/>
          <w:szCs w:val="24"/>
        </w:rPr>
        <w:tab/>
        <w:t>Correlation analysis</w:t>
      </w:r>
    </w:p>
    <w:p w14:paraId="2C09E3B7" w14:textId="5B31508C" w:rsidR="009F283B" w:rsidRPr="008A7487" w:rsidRDefault="009F283B" w:rsidP="007E37CD">
      <w:pPr>
        <w:spacing w:after="0" w:line="480" w:lineRule="auto"/>
        <w:ind w:firstLine="720"/>
        <w:contextualSpacing/>
        <w:jc w:val="both"/>
        <w:rPr>
          <w:rFonts w:ascii="Times New Roman" w:hAnsi="Times New Roman" w:cs="Times New Roman"/>
          <w:sz w:val="24"/>
          <w:szCs w:val="24"/>
        </w:rPr>
      </w:pPr>
      <w:r w:rsidRPr="008A7487">
        <w:rPr>
          <w:rFonts w:ascii="Times New Roman" w:hAnsi="Times New Roman" w:cs="Times New Roman"/>
          <w:sz w:val="24"/>
          <w:szCs w:val="24"/>
        </w:rPr>
        <w:t xml:space="preserve">Table </w:t>
      </w:r>
      <w:r w:rsidR="00F430F1">
        <w:rPr>
          <w:rFonts w:ascii="Times New Roman" w:hAnsi="Times New Roman" w:cs="Times New Roman"/>
          <w:sz w:val="24"/>
          <w:szCs w:val="24"/>
        </w:rPr>
        <w:t>4</w:t>
      </w:r>
      <w:r w:rsidRPr="008A7487">
        <w:rPr>
          <w:rFonts w:ascii="Times New Roman" w:hAnsi="Times New Roman" w:cs="Times New Roman"/>
          <w:sz w:val="24"/>
          <w:szCs w:val="24"/>
        </w:rPr>
        <w:t xml:space="preserve"> presents the correlation analysis. None of the variables are highly correlated, the highest correlation between bank size and capital strength </w:t>
      </w:r>
      <w:r w:rsidR="00C23EC9" w:rsidRPr="008A7487">
        <w:rPr>
          <w:rFonts w:ascii="Times New Roman" w:hAnsi="Times New Roman" w:cs="Times New Roman"/>
          <w:sz w:val="24"/>
          <w:szCs w:val="24"/>
        </w:rPr>
        <w:t>is</w:t>
      </w:r>
      <w:r w:rsidRPr="008A7487">
        <w:rPr>
          <w:rFonts w:ascii="Times New Roman" w:hAnsi="Times New Roman" w:cs="Times New Roman"/>
          <w:sz w:val="24"/>
          <w:szCs w:val="24"/>
        </w:rPr>
        <w:t xml:space="preserve"> at 0.55 which is far lower than the 0.80 threshold (Hair et </w:t>
      </w:r>
      <w:r w:rsidR="009554E5" w:rsidRPr="008A7487">
        <w:rPr>
          <w:rFonts w:ascii="Times New Roman" w:hAnsi="Times New Roman" w:cs="Times New Roman"/>
          <w:sz w:val="24"/>
          <w:szCs w:val="24"/>
        </w:rPr>
        <w:t>al.</w:t>
      </w:r>
      <w:r w:rsidR="0045782E">
        <w:rPr>
          <w:rFonts w:ascii="Times New Roman" w:hAnsi="Times New Roman" w:cs="Times New Roman"/>
          <w:sz w:val="24"/>
          <w:szCs w:val="24"/>
        </w:rPr>
        <w:t>,</w:t>
      </w:r>
      <w:r w:rsidRPr="008A7487">
        <w:rPr>
          <w:rFonts w:ascii="Times New Roman" w:hAnsi="Times New Roman" w:cs="Times New Roman"/>
          <w:sz w:val="24"/>
          <w:szCs w:val="24"/>
        </w:rPr>
        <w:t xml:space="preserve"> 1995). </w:t>
      </w:r>
      <w:r w:rsidR="00F40EE0" w:rsidRPr="008A7487">
        <w:rPr>
          <w:rFonts w:ascii="Times New Roman" w:hAnsi="Times New Roman" w:cs="Times New Roman"/>
          <w:sz w:val="24"/>
          <w:szCs w:val="24"/>
        </w:rPr>
        <w:lastRenderedPageBreak/>
        <w:t>Many</w:t>
      </w:r>
      <w:r w:rsidR="00004E5E" w:rsidRPr="008A7487">
        <w:rPr>
          <w:rFonts w:ascii="Times New Roman" w:hAnsi="Times New Roman" w:cs="Times New Roman"/>
          <w:sz w:val="24"/>
          <w:szCs w:val="24"/>
        </w:rPr>
        <w:t xml:space="preserve"> variables including cost</w:t>
      </w:r>
      <w:r w:rsidRPr="008A7487">
        <w:rPr>
          <w:rFonts w:ascii="Times New Roman" w:hAnsi="Times New Roman" w:cs="Times New Roman"/>
          <w:sz w:val="24"/>
          <w:szCs w:val="24"/>
        </w:rPr>
        <w:t xml:space="preserve"> are negatively correlated with the dependent variables.</w:t>
      </w:r>
      <w:r w:rsidR="00B83CDB" w:rsidRPr="008A7487">
        <w:rPr>
          <w:rFonts w:ascii="Times New Roman" w:hAnsi="Times New Roman" w:cs="Times New Roman"/>
          <w:sz w:val="24"/>
          <w:szCs w:val="24"/>
        </w:rPr>
        <w:t xml:space="preserve"> Larger banks are also likely to have higher credit risk and higher operating cost</w:t>
      </w:r>
      <w:r w:rsidR="007F0598">
        <w:rPr>
          <w:rFonts w:ascii="Times New Roman" w:hAnsi="Times New Roman" w:cs="Times New Roman"/>
          <w:sz w:val="24"/>
          <w:szCs w:val="24"/>
        </w:rPr>
        <w:t>s</w:t>
      </w:r>
      <w:r w:rsidR="00B83CDB" w:rsidRPr="008A7487">
        <w:rPr>
          <w:rFonts w:ascii="Times New Roman" w:hAnsi="Times New Roman" w:cs="Times New Roman"/>
          <w:sz w:val="24"/>
          <w:szCs w:val="24"/>
        </w:rPr>
        <w:t xml:space="preserve"> as indicated </w:t>
      </w:r>
      <w:r w:rsidR="00103AFD">
        <w:rPr>
          <w:rFonts w:ascii="Times New Roman" w:hAnsi="Times New Roman" w:cs="Times New Roman"/>
          <w:sz w:val="24"/>
          <w:szCs w:val="24"/>
        </w:rPr>
        <w:t xml:space="preserve">in </w:t>
      </w:r>
      <w:r w:rsidR="00B83CDB" w:rsidRPr="008A7487">
        <w:rPr>
          <w:rFonts w:ascii="Times New Roman" w:hAnsi="Times New Roman" w:cs="Times New Roman"/>
          <w:sz w:val="24"/>
          <w:szCs w:val="24"/>
        </w:rPr>
        <w:t xml:space="preserve">the positive correlation of 0.84 and 0.39 respectively. ROA is negatively correlated with operating </w:t>
      </w:r>
      <w:r w:rsidR="00B83CDB" w:rsidRPr="0053154D">
        <w:rPr>
          <w:rFonts w:ascii="Times New Roman" w:hAnsi="Times New Roman" w:cs="Times New Roman"/>
          <w:sz w:val="24"/>
          <w:szCs w:val="24"/>
        </w:rPr>
        <w:t>cost</w:t>
      </w:r>
      <w:r w:rsidR="007F0598" w:rsidRPr="0053154D">
        <w:rPr>
          <w:rFonts w:ascii="Times New Roman" w:hAnsi="Times New Roman" w:cs="Times New Roman"/>
          <w:sz w:val="24"/>
          <w:szCs w:val="24"/>
        </w:rPr>
        <w:t>s</w:t>
      </w:r>
      <w:r w:rsidR="00B83CDB" w:rsidRPr="0053154D">
        <w:rPr>
          <w:rFonts w:ascii="Times New Roman" w:hAnsi="Times New Roman" w:cs="Times New Roman"/>
          <w:sz w:val="24"/>
          <w:szCs w:val="24"/>
        </w:rPr>
        <w:t xml:space="preserve"> (-0.24) indicating that higher operating inefficiency is associated with lower operating profit. </w:t>
      </w:r>
      <w:r w:rsidR="00B17ECE">
        <w:rPr>
          <w:rFonts w:ascii="Times New Roman" w:hAnsi="Times New Roman" w:cs="Times New Roman"/>
          <w:sz w:val="24"/>
          <w:szCs w:val="24"/>
        </w:rPr>
        <w:t xml:space="preserve"> The low correlation in Table 4</w:t>
      </w:r>
      <w:r w:rsidRPr="008A7487">
        <w:rPr>
          <w:rFonts w:ascii="Times New Roman" w:hAnsi="Times New Roman" w:cs="Times New Roman"/>
          <w:sz w:val="24"/>
          <w:szCs w:val="24"/>
        </w:rPr>
        <w:t xml:space="preserve"> removes any </w:t>
      </w:r>
      <w:r w:rsidR="005C020A" w:rsidRPr="008A7487">
        <w:rPr>
          <w:rFonts w:ascii="Times New Roman" w:hAnsi="Times New Roman" w:cs="Times New Roman"/>
          <w:sz w:val="24"/>
          <w:szCs w:val="24"/>
        </w:rPr>
        <w:t>concern</w:t>
      </w:r>
      <w:r w:rsidRPr="008A7487">
        <w:rPr>
          <w:rFonts w:ascii="Times New Roman" w:hAnsi="Times New Roman" w:cs="Times New Roman"/>
          <w:sz w:val="24"/>
          <w:szCs w:val="24"/>
        </w:rPr>
        <w:t xml:space="preserve"> about potential multicollinearity in the investigation.</w:t>
      </w:r>
      <w:r w:rsidR="00B83CDB" w:rsidRPr="008A7487">
        <w:rPr>
          <w:rFonts w:ascii="Times New Roman" w:hAnsi="Times New Roman" w:cs="Times New Roman"/>
          <w:sz w:val="24"/>
          <w:szCs w:val="24"/>
        </w:rPr>
        <w:t xml:space="preserve"> Notwithstanding, we compute the variance inflation factor for the </w:t>
      </w:r>
      <w:r w:rsidR="00EA6298" w:rsidRPr="008A7487">
        <w:rPr>
          <w:rFonts w:ascii="Times New Roman" w:hAnsi="Times New Roman" w:cs="Times New Roman"/>
          <w:sz w:val="24"/>
          <w:szCs w:val="24"/>
        </w:rPr>
        <w:t xml:space="preserve">independent </w:t>
      </w:r>
      <w:r w:rsidR="00DD0685">
        <w:rPr>
          <w:rFonts w:ascii="Times New Roman" w:hAnsi="Times New Roman" w:cs="Times New Roman"/>
          <w:sz w:val="24"/>
          <w:szCs w:val="24"/>
        </w:rPr>
        <w:t>variab</w:t>
      </w:r>
      <w:r w:rsidR="00B5565F">
        <w:rPr>
          <w:rFonts w:ascii="Times New Roman" w:hAnsi="Times New Roman" w:cs="Times New Roman"/>
          <w:sz w:val="24"/>
          <w:szCs w:val="24"/>
        </w:rPr>
        <w:t>les in the model (see appendix 2</w:t>
      </w:r>
      <w:r w:rsidR="00DD0685">
        <w:rPr>
          <w:rFonts w:ascii="Times New Roman" w:hAnsi="Times New Roman" w:cs="Times New Roman"/>
          <w:sz w:val="24"/>
          <w:szCs w:val="24"/>
        </w:rPr>
        <w:t xml:space="preserve"> for the </w:t>
      </w:r>
      <w:r w:rsidR="00DD0685">
        <w:rPr>
          <w:rFonts w:ascii="Times New Roman" w:hAnsi="Times New Roman" w:cs="Times New Roman"/>
          <w:sz w:val="24"/>
          <w:szCs w:val="24"/>
        </w:rPr>
        <w:lastRenderedPageBreak/>
        <w:t xml:space="preserve">tabulated result) </w:t>
      </w:r>
      <w:r w:rsidR="00B83CDB" w:rsidRPr="008A7487">
        <w:rPr>
          <w:rFonts w:ascii="Times New Roman" w:hAnsi="Times New Roman" w:cs="Times New Roman"/>
          <w:sz w:val="24"/>
          <w:szCs w:val="24"/>
        </w:rPr>
        <w:t xml:space="preserve">and the figures showed a highest </w:t>
      </w:r>
      <w:r w:rsidR="00DD0685">
        <w:rPr>
          <w:rFonts w:ascii="Times New Roman" w:hAnsi="Times New Roman" w:cs="Times New Roman"/>
          <w:sz w:val="24"/>
          <w:szCs w:val="24"/>
        </w:rPr>
        <w:t>of 3.53</w:t>
      </w:r>
      <w:r w:rsidR="00EA6298" w:rsidRPr="008A7487">
        <w:rPr>
          <w:rFonts w:ascii="Times New Roman" w:hAnsi="Times New Roman" w:cs="Times New Roman"/>
          <w:sz w:val="24"/>
          <w:szCs w:val="24"/>
        </w:rPr>
        <w:t xml:space="preserve"> for bank size </w:t>
      </w:r>
      <w:r w:rsidR="00B83CDB" w:rsidRPr="008A7487">
        <w:rPr>
          <w:rFonts w:ascii="Times New Roman" w:hAnsi="Times New Roman" w:cs="Times New Roman"/>
          <w:sz w:val="24"/>
          <w:szCs w:val="24"/>
        </w:rPr>
        <w:t>and lowest value of</w:t>
      </w:r>
      <w:r w:rsidR="00DD0685">
        <w:rPr>
          <w:rFonts w:ascii="Times New Roman" w:hAnsi="Times New Roman" w:cs="Times New Roman"/>
          <w:sz w:val="24"/>
          <w:szCs w:val="24"/>
        </w:rPr>
        <w:t xml:space="preserve"> 1.18</w:t>
      </w:r>
      <w:r w:rsidR="00EA6298" w:rsidRPr="008A7487">
        <w:rPr>
          <w:rFonts w:ascii="Times New Roman" w:hAnsi="Times New Roman" w:cs="Times New Roman"/>
          <w:sz w:val="24"/>
          <w:szCs w:val="24"/>
        </w:rPr>
        <w:t xml:space="preserve"> for </w:t>
      </w:r>
      <w:r w:rsidR="00DD0685">
        <w:rPr>
          <w:rFonts w:ascii="Times New Roman" w:hAnsi="Times New Roman" w:cs="Times New Roman"/>
          <w:sz w:val="24"/>
          <w:szCs w:val="24"/>
        </w:rPr>
        <w:t>inflation</w:t>
      </w:r>
      <w:r w:rsidR="00EA6298" w:rsidRPr="008A7487">
        <w:rPr>
          <w:rFonts w:ascii="Times New Roman" w:hAnsi="Times New Roman" w:cs="Times New Roman"/>
          <w:sz w:val="24"/>
          <w:szCs w:val="24"/>
        </w:rPr>
        <w:t xml:space="preserve"> wit</w:t>
      </w:r>
      <w:r w:rsidR="00DD0685">
        <w:rPr>
          <w:rFonts w:ascii="Times New Roman" w:hAnsi="Times New Roman" w:cs="Times New Roman"/>
          <w:sz w:val="24"/>
          <w:szCs w:val="24"/>
        </w:rPr>
        <w:t>h an average value of 1.98</w:t>
      </w:r>
      <w:r w:rsidR="00EA6298" w:rsidRPr="008A7487">
        <w:rPr>
          <w:rFonts w:ascii="Times New Roman" w:hAnsi="Times New Roman" w:cs="Times New Roman"/>
          <w:sz w:val="24"/>
          <w:szCs w:val="24"/>
        </w:rPr>
        <w:t xml:space="preserve"> lower that the popular threshold of 10 (Hair et al.</w:t>
      </w:r>
      <w:r w:rsidR="004F2EB7">
        <w:rPr>
          <w:rFonts w:ascii="Times New Roman" w:hAnsi="Times New Roman" w:cs="Times New Roman"/>
          <w:sz w:val="24"/>
          <w:szCs w:val="24"/>
        </w:rPr>
        <w:t>,</w:t>
      </w:r>
      <w:r w:rsidR="00EA6298" w:rsidRPr="008A7487">
        <w:rPr>
          <w:rFonts w:ascii="Times New Roman" w:hAnsi="Times New Roman" w:cs="Times New Roman"/>
          <w:sz w:val="24"/>
          <w:szCs w:val="24"/>
        </w:rPr>
        <w:t xml:space="preserve"> 1995) which may indicate concern for multicollinearity</w:t>
      </w:r>
      <w:r w:rsidR="00B83CDB" w:rsidRPr="008A7487">
        <w:rPr>
          <w:rFonts w:ascii="Times New Roman" w:hAnsi="Times New Roman" w:cs="Times New Roman"/>
          <w:sz w:val="24"/>
          <w:szCs w:val="24"/>
        </w:rPr>
        <w:t xml:space="preserve">. </w:t>
      </w:r>
    </w:p>
    <w:p w14:paraId="5829C387" w14:textId="77777777" w:rsidR="00384411" w:rsidRPr="008A7487" w:rsidRDefault="00384411" w:rsidP="009F283B">
      <w:pPr>
        <w:spacing w:after="0" w:line="480" w:lineRule="auto"/>
        <w:ind w:firstLine="720"/>
        <w:contextualSpacing/>
        <w:rPr>
          <w:rFonts w:ascii="Times New Roman" w:hAnsi="Times New Roman" w:cs="Times New Roman"/>
          <w:sz w:val="24"/>
          <w:szCs w:val="24"/>
        </w:rPr>
      </w:pPr>
    </w:p>
    <w:p w14:paraId="7440D842" w14:textId="77777777" w:rsidR="00010186" w:rsidRPr="008A7487" w:rsidRDefault="00010186" w:rsidP="00010186">
      <w:pPr>
        <w:autoSpaceDE w:val="0"/>
        <w:autoSpaceDN w:val="0"/>
        <w:adjustRightInd w:val="0"/>
        <w:spacing w:after="0" w:line="240" w:lineRule="auto"/>
        <w:rPr>
          <w:rFonts w:ascii="Times New Roman" w:hAnsi="Times New Roman" w:cs="Times New Roman"/>
          <w:sz w:val="18"/>
          <w:szCs w:val="18"/>
          <w:lang w:val="en-GB"/>
        </w:rPr>
      </w:pPr>
    </w:p>
    <w:p w14:paraId="76B562FF" w14:textId="77777777" w:rsidR="00010186" w:rsidRPr="008A7487" w:rsidRDefault="00010186" w:rsidP="00010186">
      <w:pPr>
        <w:autoSpaceDE w:val="0"/>
        <w:autoSpaceDN w:val="0"/>
        <w:adjustRightInd w:val="0"/>
        <w:spacing w:after="0" w:line="240" w:lineRule="auto"/>
        <w:rPr>
          <w:rFonts w:ascii="Times New Roman" w:hAnsi="Times New Roman" w:cs="Times New Roman"/>
          <w:b/>
          <w:sz w:val="24"/>
          <w:szCs w:val="24"/>
          <w:lang w:val="en-GB"/>
        </w:rPr>
      </w:pPr>
    </w:p>
    <w:p w14:paraId="27A3B6C4" w14:textId="54C215A3" w:rsidR="00010186" w:rsidRPr="008A7487" w:rsidRDefault="00010186" w:rsidP="00010186">
      <w:pPr>
        <w:autoSpaceDE w:val="0"/>
        <w:autoSpaceDN w:val="0"/>
        <w:adjustRightInd w:val="0"/>
        <w:spacing w:after="0" w:line="240" w:lineRule="auto"/>
        <w:jc w:val="center"/>
        <w:rPr>
          <w:rFonts w:ascii="Times New Roman" w:hAnsi="Times New Roman" w:cs="Times New Roman"/>
          <w:b/>
          <w:sz w:val="24"/>
          <w:szCs w:val="24"/>
          <w:lang w:val="en-GB"/>
        </w:rPr>
      </w:pPr>
      <w:r w:rsidRPr="008A7487">
        <w:rPr>
          <w:rFonts w:ascii="Times New Roman" w:hAnsi="Times New Roman" w:cs="Times New Roman"/>
          <w:b/>
          <w:sz w:val="24"/>
          <w:szCs w:val="24"/>
          <w:lang w:val="en-GB"/>
        </w:rPr>
        <w:t xml:space="preserve">[INSERT TABLE </w:t>
      </w:r>
      <w:r w:rsidR="00F430F1">
        <w:rPr>
          <w:rFonts w:ascii="Times New Roman" w:hAnsi="Times New Roman" w:cs="Times New Roman"/>
          <w:b/>
          <w:sz w:val="24"/>
          <w:szCs w:val="24"/>
          <w:lang w:val="en-GB"/>
        </w:rPr>
        <w:t>4</w:t>
      </w:r>
      <w:r w:rsidRPr="008A7487">
        <w:rPr>
          <w:rFonts w:ascii="Times New Roman" w:hAnsi="Times New Roman" w:cs="Times New Roman"/>
          <w:b/>
          <w:sz w:val="24"/>
          <w:szCs w:val="24"/>
          <w:lang w:val="en-GB"/>
        </w:rPr>
        <w:t xml:space="preserve"> ABOUT HERE]</w:t>
      </w:r>
    </w:p>
    <w:p w14:paraId="4EA746DB" w14:textId="77777777" w:rsidR="00010186" w:rsidRPr="008A7487" w:rsidRDefault="00010186" w:rsidP="00010186">
      <w:pPr>
        <w:autoSpaceDE w:val="0"/>
        <w:autoSpaceDN w:val="0"/>
        <w:adjustRightInd w:val="0"/>
        <w:spacing w:after="0" w:line="240" w:lineRule="auto"/>
        <w:rPr>
          <w:rFonts w:ascii="Times New Roman" w:hAnsi="Times New Roman" w:cs="Times New Roman"/>
          <w:b/>
          <w:sz w:val="24"/>
          <w:szCs w:val="24"/>
          <w:lang w:val="en-GB"/>
        </w:rPr>
      </w:pPr>
    </w:p>
    <w:p w14:paraId="160C6AC8" w14:textId="77777777" w:rsidR="008D4A69" w:rsidRPr="008A7487" w:rsidRDefault="008D4A69" w:rsidP="00285000">
      <w:pPr>
        <w:spacing w:after="0" w:line="480" w:lineRule="auto"/>
        <w:ind w:firstLine="720"/>
        <w:contextualSpacing/>
        <w:jc w:val="center"/>
        <w:rPr>
          <w:rFonts w:ascii="Times New Roman" w:hAnsi="Times New Roman" w:cs="Times New Roman"/>
          <w:b/>
          <w:sz w:val="24"/>
          <w:szCs w:val="24"/>
        </w:rPr>
      </w:pPr>
    </w:p>
    <w:p w14:paraId="3D4A376A" w14:textId="77777777" w:rsidR="008D4A69" w:rsidRPr="008A7487" w:rsidRDefault="008D4A69" w:rsidP="00285000">
      <w:pPr>
        <w:spacing w:after="0" w:line="480" w:lineRule="auto"/>
        <w:ind w:firstLine="720"/>
        <w:contextualSpacing/>
        <w:jc w:val="center"/>
        <w:rPr>
          <w:rFonts w:ascii="Times New Roman" w:hAnsi="Times New Roman" w:cs="Times New Roman"/>
          <w:b/>
          <w:sz w:val="24"/>
          <w:szCs w:val="24"/>
        </w:rPr>
      </w:pPr>
    </w:p>
    <w:p w14:paraId="2A1B3209" w14:textId="214FFED9" w:rsidR="00563D46" w:rsidRPr="008A7487" w:rsidRDefault="00573E83" w:rsidP="00885950">
      <w:pPr>
        <w:spacing w:after="0" w:line="480" w:lineRule="auto"/>
        <w:contextualSpacing/>
        <w:rPr>
          <w:rFonts w:ascii="Times New Roman" w:hAnsi="Times New Roman" w:cs="Times New Roman"/>
          <w:i/>
          <w:sz w:val="24"/>
          <w:szCs w:val="24"/>
        </w:rPr>
      </w:pPr>
      <w:r w:rsidRPr="008A7487">
        <w:rPr>
          <w:rFonts w:ascii="Times New Roman" w:hAnsi="Times New Roman" w:cs="Times New Roman"/>
          <w:i/>
          <w:sz w:val="24"/>
          <w:szCs w:val="24"/>
        </w:rPr>
        <w:t xml:space="preserve">5.3 </w:t>
      </w:r>
      <w:r w:rsidRPr="008A7487">
        <w:rPr>
          <w:rFonts w:ascii="Times New Roman" w:hAnsi="Times New Roman" w:cs="Times New Roman"/>
          <w:i/>
          <w:sz w:val="24"/>
          <w:szCs w:val="24"/>
        </w:rPr>
        <w:tab/>
      </w:r>
      <w:r w:rsidR="00563D46" w:rsidRPr="008A7487">
        <w:rPr>
          <w:rFonts w:ascii="Times New Roman" w:hAnsi="Times New Roman" w:cs="Times New Roman"/>
          <w:i/>
          <w:sz w:val="24"/>
          <w:szCs w:val="24"/>
        </w:rPr>
        <w:t>Regression results</w:t>
      </w:r>
    </w:p>
    <w:p w14:paraId="7A79779B" w14:textId="233BE24F" w:rsidR="00361C22" w:rsidRPr="008A7487" w:rsidRDefault="00563D46" w:rsidP="0009698E">
      <w:pPr>
        <w:spacing w:after="0" w:line="480" w:lineRule="auto"/>
        <w:ind w:firstLine="720"/>
        <w:contextualSpacing/>
        <w:jc w:val="both"/>
        <w:rPr>
          <w:rFonts w:ascii="Times New Roman" w:hAnsi="Times New Roman" w:cs="Times New Roman"/>
          <w:sz w:val="24"/>
          <w:szCs w:val="24"/>
        </w:rPr>
      </w:pPr>
      <w:r w:rsidRPr="008A7487">
        <w:rPr>
          <w:rFonts w:ascii="Times New Roman" w:hAnsi="Times New Roman" w:cs="Times New Roman"/>
          <w:sz w:val="24"/>
          <w:szCs w:val="24"/>
        </w:rPr>
        <w:lastRenderedPageBreak/>
        <w:t xml:space="preserve">This section presents the regression results </w:t>
      </w:r>
      <w:r w:rsidR="0009698E" w:rsidRPr="008A7487">
        <w:rPr>
          <w:rFonts w:ascii="Times New Roman" w:hAnsi="Times New Roman" w:cs="Times New Roman"/>
          <w:sz w:val="24"/>
          <w:szCs w:val="24"/>
        </w:rPr>
        <w:t>o</w:t>
      </w:r>
      <w:r w:rsidR="007F0598">
        <w:rPr>
          <w:rFonts w:ascii="Times New Roman" w:hAnsi="Times New Roman" w:cs="Times New Roman"/>
          <w:sz w:val="24"/>
          <w:szCs w:val="24"/>
        </w:rPr>
        <w:t>f the relationship between bank-</w:t>
      </w:r>
      <w:r w:rsidR="0009698E" w:rsidRPr="008A7487">
        <w:rPr>
          <w:rFonts w:ascii="Times New Roman" w:hAnsi="Times New Roman" w:cs="Times New Roman"/>
          <w:sz w:val="24"/>
          <w:szCs w:val="24"/>
        </w:rPr>
        <w:t>specific, macro-economic and bank profitability.</w:t>
      </w:r>
      <w:r w:rsidRPr="008A7487">
        <w:rPr>
          <w:rFonts w:ascii="Times New Roman" w:hAnsi="Times New Roman" w:cs="Times New Roman"/>
          <w:sz w:val="24"/>
          <w:szCs w:val="24"/>
        </w:rPr>
        <w:t xml:space="preserve"> Each of the Tables </w:t>
      </w:r>
      <w:r w:rsidR="00F430F1">
        <w:rPr>
          <w:rFonts w:ascii="Times New Roman" w:hAnsi="Times New Roman" w:cs="Times New Roman"/>
          <w:sz w:val="24"/>
          <w:szCs w:val="24"/>
        </w:rPr>
        <w:t>5</w:t>
      </w:r>
      <w:r w:rsidR="000C48EB" w:rsidRPr="008A7487">
        <w:rPr>
          <w:rFonts w:ascii="Times New Roman" w:hAnsi="Times New Roman" w:cs="Times New Roman"/>
          <w:sz w:val="24"/>
          <w:szCs w:val="24"/>
        </w:rPr>
        <w:t>-</w:t>
      </w:r>
      <w:r w:rsidR="00F430F1">
        <w:rPr>
          <w:rFonts w:ascii="Times New Roman" w:hAnsi="Times New Roman" w:cs="Times New Roman"/>
          <w:sz w:val="24"/>
          <w:szCs w:val="24"/>
        </w:rPr>
        <w:t>7</w:t>
      </w:r>
      <w:r w:rsidRPr="008A7487">
        <w:rPr>
          <w:rFonts w:ascii="Times New Roman" w:hAnsi="Times New Roman" w:cs="Times New Roman"/>
          <w:sz w:val="24"/>
          <w:szCs w:val="24"/>
        </w:rPr>
        <w:t xml:space="preserve"> has</w:t>
      </w:r>
      <w:r w:rsidR="00C8723D" w:rsidRPr="008A7487">
        <w:rPr>
          <w:rFonts w:ascii="Times New Roman" w:hAnsi="Times New Roman" w:cs="Times New Roman"/>
          <w:sz w:val="24"/>
          <w:szCs w:val="24"/>
        </w:rPr>
        <w:t xml:space="preserve"> three</w:t>
      </w:r>
      <w:r w:rsidRPr="008A7487">
        <w:rPr>
          <w:rFonts w:ascii="Times New Roman" w:hAnsi="Times New Roman" w:cs="Times New Roman"/>
          <w:sz w:val="24"/>
          <w:szCs w:val="24"/>
        </w:rPr>
        <w:t xml:space="preserve"> columns</w:t>
      </w:r>
      <w:r w:rsidR="00BB7CA3" w:rsidRPr="008A7487">
        <w:rPr>
          <w:rFonts w:ascii="Times New Roman" w:hAnsi="Times New Roman" w:cs="Times New Roman"/>
          <w:sz w:val="24"/>
          <w:szCs w:val="24"/>
        </w:rPr>
        <w:t xml:space="preserve"> each for a distinct regression model</w:t>
      </w:r>
      <w:r w:rsidRPr="008A7487">
        <w:rPr>
          <w:rFonts w:ascii="Times New Roman" w:hAnsi="Times New Roman" w:cs="Times New Roman"/>
          <w:sz w:val="24"/>
          <w:szCs w:val="24"/>
        </w:rPr>
        <w:t xml:space="preserve">. </w:t>
      </w:r>
      <w:r w:rsidR="000C48EB" w:rsidRPr="008A7487">
        <w:rPr>
          <w:rFonts w:ascii="Times New Roman" w:hAnsi="Times New Roman" w:cs="Times New Roman"/>
          <w:sz w:val="24"/>
          <w:szCs w:val="24"/>
        </w:rPr>
        <w:t xml:space="preserve">The results in Table </w:t>
      </w:r>
      <w:r w:rsidR="00F430F1">
        <w:rPr>
          <w:rFonts w:ascii="Times New Roman" w:hAnsi="Times New Roman" w:cs="Times New Roman"/>
          <w:sz w:val="24"/>
          <w:szCs w:val="24"/>
        </w:rPr>
        <w:t>5</w:t>
      </w:r>
      <w:r w:rsidR="008F657B" w:rsidRPr="008A7487">
        <w:rPr>
          <w:rFonts w:ascii="Times New Roman" w:hAnsi="Times New Roman" w:cs="Times New Roman"/>
          <w:sz w:val="24"/>
          <w:szCs w:val="24"/>
        </w:rPr>
        <w:t xml:space="preserve"> is for the entire sample wi</w:t>
      </w:r>
      <w:r w:rsidR="007F0598">
        <w:rPr>
          <w:rFonts w:ascii="Times New Roman" w:hAnsi="Times New Roman" w:cs="Times New Roman"/>
          <w:sz w:val="24"/>
          <w:szCs w:val="24"/>
        </w:rPr>
        <w:t>th column 1</w:t>
      </w:r>
      <w:r w:rsidR="008F657B" w:rsidRPr="008A7487">
        <w:rPr>
          <w:rFonts w:ascii="Times New Roman" w:hAnsi="Times New Roman" w:cs="Times New Roman"/>
          <w:sz w:val="24"/>
          <w:szCs w:val="24"/>
        </w:rPr>
        <w:t xml:space="preserve"> for </w:t>
      </w:r>
      <w:r w:rsidR="008D47C2" w:rsidRPr="008A7487">
        <w:rPr>
          <w:rFonts w:ascii="Times New Roman" w:hAnsi="Times New Roman" w:cs="Times New Roman"/>
          <w:sz w:val="24"/>
          <w:szCs w:val="24"/>
        </w:rPr>
        <w:t>ROA</w:t>
      </w:r>
      <w:r w:rsidR="008F657B" w:rsidRPr="008A7487">
        <w:rPr>
          <w:rFonts w:ascii="Times New Roman" w:hAnsi="Times New Roman" w:cs="Times New Roman"/>
          <w:sz w:val="24"/>
          <w:szCs w:val="24"/>
        </w:rPr>
        <w:t xml:space="preserve"> fixed effect model, column 2 for </w:t>
      </w:r>
      <w:r w:rsidR="008D47C2" w:rsidRPr="008A7487">
        <w:rPr>
          <w:rFonts w:ascii="Times New Roman" w:hAnsi="Times New Roman" w:cs="Times New Roman"/>
          <w:sz w:val="24"/>
          <w:szCs w:val="24"/>
        </w:rPr>
        <w:t>ROA</w:t>
      </w:r>
      <w:r w:rsidR="008F657B" w:rsidRPr="008A7487">
        <w:rPr>
          <w:rFonts w:ascii="Times New Roman" w:hAnsi="Times New Roman" w:cs="Times New Roman"/>
          <w:sz w:val="24"/>
          <w:szCs w:val="24"/>
        </w:rPr>
        <w:t xml:space="preserve"> random effect model and column 3 for NIM fixed effect model. Fixed effect estimation results are presented for the other tables because the Hausman test supports fixed effect models. </w:t>
      </w:r>
      <w:r w:rsidR="000C48EB" w:rsidRPr="008A7487">
        <w:rPr>
          <w:rFonts w:ascii="Times New Roman" w:hAnsi="Times New Roman" w:cs="Times New Roman"/>
          <w:sz w:val="24"/>
          <w:szCs w:val="24"/>
        </w:rPr>
        <w:t>As indicated i</w:t>
      </w:r>
      <w:r w:rsidRPr="008A7487">
        <w:rPr>
          <w:rFonts w:ascii="Times New Roman" w:hAnsi="Times New Roman" w:cs="Times New Roman"/>
          <w:sz w:val="24"/>
          <w:szCs w:val="24"/>
        </w:rPr>
        <w:t>n each of the</w:t>
      </w:r>
      <w:r w:rsidR="007560C4" w:rsidRPr="008A7487">
        <w:rPr>
          <w:rFonts w:ascii="Times New Roman" w:hAnsi="Times New Roman" w:cs="Times New Roman"/>
          <w:sz w:val="24"/>
          <w:szCs w:val="24"/>
        </w:rPr>
        <w:t xml:space="preserve"> T</w:t>
      </w:r>
      <w:r w:rsidR="00C8723D" w:rsidRPr="008A7487">
        <w:rPr>
          <w:rFonts w:ascii="Times New Roman" w:hAnsi="Times New Roman" w:cs="Times New Roman"/>
          <w:sz w:val="24"/>
          <w:szCs w:val="24"/>
        </w:rPr>
        <w:t>ables</w:t>
      </w:r>
      <w:r w:rsidR="000C48EB" w:rsidRPr="008A7487">
        <w:rPr>
          <w:rFonts w:ascii="Times New Roman" w:hAnsi="Times New Roman" w:cs="Times New Roman"/>
          <w:sz w:val="24"/>
          <w:szCs w:val="24"/>
        </w:rPr>
        <w:t xml:space="preserve"> </w:t>
      </w:r>
      <w:r w:rsidR="00F430F1">
        <w:rPr>
          <w:rFonts w:ascii="Times New Roman" w:hAnsi="Times New Roman" w:cs="Times New Roman"/>
          <w:sz w:val="24"/>
          <w:szCs w:val="24"/>
        </w:rPr>
        <w:t>6 and 7</w:t>
      </w:r>
      <w:r w:rsidR="00C8723D" w:rsidRPr="008A7487">
        <w:rPr>
          <w:rFonts w:ascii="Times New Roman" w:hAnsi="Times New Roman" w:cs="Times New Roman"/>
          <w:sz w:val="24"/>
          <w:szCs w:val="24"/>
        </w:rPr>
        <w:t>, c</w:t>
      </w:r>
      <w:r w:rsidRPr="008A7487">
        <w:rPr>
          <w:rFonts w:ascii="Times New Roman" w:hAnsi="Times New Roman" w:cs="Times New Roman"/>
          <w:sz w:val="24"/>
          <w:szCs w:val="24"/>
        </w:rPr>
        <w:t>olum</w:t>
      </w:r>
      <w:r w:rsidR="00C8723D" w:rsidRPr="008A7487">
        <w:rPr>
          <w:rFonts w:ascii="Times New Roman" w:hAnsi="Times New Roman" w:cs="Times New Roman"/>
          <w:sz w:val="24"/>
          <w:szCs w:val="24"/>
        </w:rPr>
        <w:t>n</w:t>
      </w:r>
      <w:r w:rsidR="007560C4" w:rsidRPr="008A7487">
        <w:rPr>
          <w:rFonts w:ascii="Times New Roman" w:hAnsi="Times New Roman" w:cs="Times New Roman"/>
          <w:sz w:val="24"/>
          <w:szCs w:val="24"/>
        </w:rPr>
        <w:t>s</w:t>
      </w:r>
      <w:r w:rsidR="00C8723D" w:rsidRPr="008A7487">
        <w:rPr>
          <w:rFonts w:ascii="Times New Roman" w:hAnsi="Times New Roman" w:cs="Times New Roman"/>
          <w:sz w:val="24"/>
          <w:szCs w:val="24"/>
        </w:rPr>
        <w:t xml:space="preserve"> 1</w:t>
      </w:r>
      <w:r w:rsidR="00346663" w:rsidRPr="008A7487">
        <w:rPr>
          <w:rFonts w:ascii="Times New Roman" w:hAnsi="Times New Roman" w:cs="Times New Roman"/>
          <w:sz w:val="24"/>
          <w:szCs w:val="24"/>
        </w:rPr>
        <w:t>, 2</w:t>
      </w:r>
      <w:r w:rsidR="007560C4" w:rsidRPr="008A7487">
        <w:rPr>
          <w:rFonts w:ascii="Times New Roman" w:hAnsi="Times New Roman" w:cs="Times New Roman"/>
          <w:sz w:val="24"/>
          <w:szCs w:val="24"/>
        </w:rPr>
        <w:t xml:space="preserve"> </w:t>
      </w:r>
      <w:r w:rsidR="007560C4" w:rsidRPr="008A7487">
        <w:rPr>
          <w:rFonts w:ascii="Times New Roman" w:hAnsi="Times New Roman" w:cs="Times New Roman"/>
          <w:sz w:val="24"/>
          <w:szCs w:val="24"/>
        </w:rPr>
        <w:lastRenderedPageBreak/>
        <w:t>and 3 present</w:t>
      </w:r>
      <w:r w:rsidRPr="008A7487">
        <w:rPr>
          <w:rFonts w:ascii="Times New Roman" w:hAnsi="Times New Roman" w:cs="Times New Roman"/>
          <w:sz w:val="24"/>
          <w:szCs w:val="24"/>
        </w:rPr>
        <w:t xml:space="preserve"> the results for befor</w:t>
      </w:r>
      <w:r w:rsidR="00C8723D" w:rsidRPr="008A7487">
        <w:rPr>
          <w:rFonts w:ascii="Times New Roman" w:hAnsi="Times New Roman" w:cs="Times New Roman"/>
          <w:sz w:val="24"/>
          <w:szCs w:val="24"/>
        </w:rPr>
        <w:t>e</w:t>
      </w:r>
      <w:r w:rsidR="007560C4" w:rsidRPr="008A7487">
        <w:rPr>
          <w:rFonts w:ascii="Times New Roman" w:hAnsi="Times New Roman" w:cs="Times New Roman"/>
          <w:sz w:val="24"/>
          <w:szCs w:val="24"/>
        </w:rPr>
        <w:t>, during and after</w:t>
      </w:r>
      <w:r w:rsidR="00C8723D" w:rsidRPr="008A7487">
        <w:rPr>
          <w:rFonts w:ascii="Times New Roman" w:hAnsi="Times New Roman" w:cs="Times New Roman"/>
          <w:sz w:val="24"/>
          <w:szCs w:val="24"/>
        </w:rPr>
        <w:t xml:space="preserve"> the financial crisis</w:t>
      </w:r>
      <w:r w:rsidR="007560C4" w:rsidRPr="008A7487">
        <w:rPr>
          <w:rFonts w:ascii="Times New Roman" w:hAnsi="Times New Roman" w:cs="Times New Roman"/>
          <w:sz w:val="24"/>
          <w:szCs w:val="24"/>
        </w:rPr>
        <w:t xml:space="preserve"> respectively. </w:t>
      </w:r>
    </w:p>
    <w:p w14:paraId="1B352691" w14:textId="7E2C5DA7" w:rsidR="00180A1A" w:rsidRPr="008A7487" w:rsidRDefault="000C48EB" w:rsidP="0009698E">
      <w:pPr>
        <w:spacing w:after="0" w:line="480" w:lineRule="auto"/>
        <w:ind w:firstLine="720"/>
        <w:contextualSpacing/>
        <w:jc w:val="both"/>
        <w:rPr>
          <w:rFonts w:ascii="Times New Roman" w:hAnsi="Times New Roman" w:cs="Times New Roman"/>
          <w:sz w:val="24"/>
          <w:szCs w:val="24"/>
        </w:rPr>
      </w:pPr>
      <w:r w:rsidRPr="008A7487">
        <w:rPr>
          <w:rFonts w:ascii="Times New Roman" w:hAnsi="Times New Roman" w:cs="Times New Roman"/>
          <w:sz w:val="24"/>
          <w:szCs w:val="24"/>
        </w:rPr>
        <w:t xml:space="preserve">Table </w:t>
      </w:r>
      <w:r w:rsidR="00F430F1">
        <w:rPr>
          <w:rFonts w:ascii="Times New Roman" w:hAnsi="Times New Roman" w:cs="Times New Roman"/>
          <w:sz w:val="24"/>
          <w:szCs w:val="24"/>
        </w:rPr>
        <w:t>5</w:t>
      </w:r>
      <w:r w:rsidR="00563D46" w:rsidRPr="008A7487">
        <w:rPr>
          <w:rFonts w:ascii="Times New Roman" w:hAnsi="Times New Roman" w:cs="Times New Roman"/>
          <w:sz w:val="24"/>
          <w:szCs w:val="24"/>
        </w:rPr>
        <w:t xml:space="preserve"> presents the </w:t>
      </w:r>
      <w:r w:rsidR="00FD6B7B" w:rsidRPr="008A7487">
        <w:rPr>
          <w:rFonts w:ascii="Times New Roman" w:hAnsi="Times New Roman" w:cs="Times New Roman"/>
          <w:sz w:val="24"/>
          <w:szCs w:val="24"/>
        </w:rPr>
        <w:t xml:space="preserve">regression </w:t>
      </w:r>
      <w:r w:rsidR="00563D46" w:rsidRPr="008A7487">
        <w:rPr>
          <w:rFonts w:ascii="Times New Roman" w:hAnsi="Times New Roman" w:cs="Times New Roman"/>
          <w:sz w:val="24"/>
          <w:szCs w:val="24"/>
        </w:rPr>
        <w:t>result</w:t>
      </w:r>
      <w:r w:rsidR="00FD6B7B" w:rsidRPr="008A7487">
        <w:rPr>
          <w:rFonts w:ascii="Times New Roman" w:hAnsi="Times New Roman" w:cs="Times New Roman"/>
          <w:sz w:val="24"/>
          <w:szCs w:val="24"/>
        </w:rPr>
        <w:t xml:space="preserve">s for the entire sample. </w:t>
      </w:r>
      <w:r w:rsidR="00563D46" w:rsidRPr="008A7487">
        <w:rPr>
          <w:rFonts w:ascii="Times New Roman" w:hAnsi="Times New Roman" w:cs="Times New Roman"/>
          <w:sz w:val="24"/>
          <w:szCs w:val="24"/>
        </w:rPr>
        <w:t xml:space="preserve"> The </w:t>
      </w:r>
      <w:r w:rsidR="004038AF" w:rsidRPr="008A7487">
        <w:rPr>
          <w:rFonts w:ascii="Times New Roman" w:hAnsi="Times New Roman" w:cs="Times New Roman"/>
          <w:sz w:val="24"/>
          <w:szCs w:val="24"/>
        </w:rPr>
        <w:t>table shows</w:t>
      </w:r>
      <w:r w:rsidR="00563D46" w:rsidRPr="008A7487">
        <w:rPr>
          <w:rFonts w:ascii="Times New Roman" w:hAnsi="Times New Roman" w:cs="Times New Roman"/>
          <w:sz w:val="24"/>
          <w:szCs w:val="24"/>
        </w:rPr>
        <w:t xml:space="preserve"> that the adjusted R</w:t>
      </w:r>
      <w:r w:rsidR="00563D46" w:rsidRPr="008A7487">
        <w:rPr>
          <w:rFonts w:ascii="Times New Roman" w:hAnsi="Times New Roman" w:cs="Times New Roman"/>
          <w:sz w:val="24"/>
          <w:szCs w:val="24"/>
          <w:vertAlign w:val="superscript"/>
        </w:rPr>
        <w:t>2</w:t>
      </w:r>
      <w:r w:rsidR="00C1049A" w:rsidRPr="008A7487">
        <w:rPr>
          <w:rFonts w:ascii="Times New Roman" w:hAnsi="Times New Roman" w:cs="Times New Roman"/>
          <w:sz w:val="24"/>
          <w:szCs w:val="24"/>
        </w:rPr>
        <w:t xml:space="preserve"> varies from 21%-3</w:t>
      </w:r>
      <w:r w:rsidR="00563D46" w:rsidRPr="008A7487">
        <w:rPr>
          <w:rFonts w:ascii="Times New Roman" w:hAnsi="Times New Roman" w:cs="Times New Roman"/>
          <w:sz w:val="24"/>
          <w:szCs w:val="24"/>
        </w:rPr>
        <w:t xml:space="preserve">0%. </w:t>
      </w:r>
      <w:r w:rsidR="00245095" w:rsidRPr="008A7487">
        <w:rPr>
          <w:rFonts w:ascii="Times New Roman" w:hAnsi="Times New Roman" w:cs="Times New Roman"/>
          <w:sz w:val="24"/>
          <w:szCs w:val="24"/>
        </w:rPr>
        <w:t>The F-statistics</w:t>
      </w:r>
      <w:r w:rsidR="00C1049A" w:rsidRPr="008A7487">
        <w:rPr>
          <w:rFonts w:ascii="Times New Roman" w:hAnsi="Times New Roman" w:cs="Times New Roman"/>
          <w:sz w:val="24"/>
          <w:szCs w:val="24"/>
        </w:rPr>
        <w:t xml:space="preserve"> showed that the model</w:t>
      </w:r>
      <w:r w:rsidR="00346663" w:rsidRPr="008A7487">
        <w:rPr>
          <w:rFonts w:ascii="Times New Roman" w:hAnsi="Times New Roman" w:cs="Times New Roman"/>
          <w:sz w:val="24"/>
          <w:szCs w:val="24"/>
        </w:rPr>
        <w:t>s are statistically significant</w:t>
      </w:r>
      <w:r w:rsidR="003A105E" w:rsidRPr="008A7487">
        <w:rPr>
          <w:rFonts w:ascii="Times New Roman" w:hAnsi="Times New Roman" w:cs="Times New Roman"/>
          <w:sz w:val="24"/>
          <w:szCs w:val="24"/>
        </w:rPr>
        <w:t xml:space="preserve"> at 1% level</w:t>
      </w:r>
      <w:r w:rsidR="00C1049A" w:rsidRPr="008A7487">
        <w:rPr>
          <w:rFonts w:ascii="Times New Roman" w:hAnsi="Times New Roman" w:cs="Times New Roman"/>
          <w:sz w:val="24"/>
          <w:szCs w:val="24"/>
        </w:rPr>
        <w:t xml:space="preserve">. </w:t>
      </w:r>
      <w:r w:rsidR="007F1A33" w:rsidRPr="008A7487">
        <w:rPr>
          <w:rFonts w:ascii="Times New Roman" w:hAnsi="Times New Roman" w:cs="Times New Roman"/>
          <w:sz w:val="24"/>
          <w:szCs w:val="24"/>
        </w:rPr>
        <w:t xml:space="preserve">The results </w:t>
      </w:r>
      <w:r w:rsidR="00527822" w:rsidRPr="008A7487">
        <w:rPr>
          <w:rFonts w:ascii="Times New Roman" w:hAnsi="Times New Roman" w:cs="Times New Roman"/>
          <w:sz w:val="24"/>
          <w:szCs w:val="24"/>
        </w:rPr>
        <w:t xml:space="preserve">in </w:t>
      </w:r>
      <w:r w:rsidR="00361C22" w:rsidRPr="008A7487">
        <w:rPr>
          <w:rFonts w:ascii="Times New Roman" w:hAnsi="Times New Roman" w:cs="Times New Roman"/>
          <w:sz w:val="24"/>
          <w:szCs w:val="24"/>
        </w:rPr>
        <w:t>C</w:t>
      </w:r>
      <w:r w:rsidR="004759BA" w:rsidRPr="008A7487">
        <w:rPr>
          <w:rFonts w:ascii="Times New Roman" w:hAnsi="Times New Roman" w:cs="Times New Roman"/>
          <w:sz w:val="24"/>
          <w:szCs w:val="24"/>
        </w:rPr>
        <w:t>olumn</w:t>
      </w:r>
      <w:r w:rsidR="00111A18" w:rsidRPr="008A7487">
        <w:rPr>
          <w:rFonts w:ascii="Times New Roman" w:hAnsi="Times New Roman" w:cs="Times New Roman"/>
          <w:sz w:val="24"/>
          <w:szCs w:val="24"/>
        </w:rPr>
        <w:t>s</w:t>
      </w:r>
      <w:r w:rsidR="004759BA" w:rsidRPr="008A7487">
        <w:rPr>
          <w:rFonts w:ascii="Times New Roman" w:hAnsi="Times New Roman" w:cs="Times New Roman"/>
          <w:sz w:val="24"/>
          <w:szCs w:val="24"/>
        </w:rPr>
        <w:t xml:space="preserve"> 1 and 2</w:t>
      </w:r>
      <w:r w:rsidR="003A4B27" w:rsidRPr="008A7487">
        <w:rPr>
          <w:rFonts w:ascii="Times New Roman" w:hAnsi="Times New Roman" w:cs="Times New Roman"/>
          <w:sz w:val="24"/>
          <w:szCs w:val="24"/>
        </w:rPr>
        <w:t xml:space="preserve"> of</w:t>
      </w:r>
      <w:r w:rsidR="00527822" w:rsidRPr="008A7487">
        <w:rPr>
          <w:rFonts w:ascii="Times New Roman" w:hAnsi="Times New Roman" w:cs="Times New Roman"/>
          <w:sz w:val="24"/>
          <w:szCs w:val="24"/>
        </w:rPr>
        <w:t xml:space="preserve"> </w:t>
      </w:r>
      <w:r w:rsidRPr="008A7487">
        <w:rPr>
          <w:rFonts w:ascii="Times New Roman" w:hAnsi="Times New Roman" w:cs="Times New Roman"/>
          <w:sz w:val="24"/>
          <w:szCs w:val="24"/>
        </w:rPr>
        <w:t xml:space="preserve">Table </w:t>
      </w:r>
      <w:r w:rsidR="00F430F1">
        <w:rPr>
          <w:rFonts w:ascii="Times New Roman" w:hAnsi="Times New Roman" w:cs="Times New Roman"/>
          <w:sz w:val="24"/>
          <w:szCs w:val="24"/>
        </w:rPr>
        <w:t>5</w:t>
      </w:r>
      <w:r w:rsidR="003A4B27" w:rsidRPr="008A7487">
        <w:rPr>
          <w:rFonts w:ascii="Times New Roman" w:hAnsi="Times New Roman" w:cs="Times New Roman"/>
          <w:sz w:val="24"/>
          <w:szCs w:val="24"/>
        </w:rPr>
        <w:t xml:space="preserve"> </w:t>
      </w:r>
      <w:r w:rsidR="007F1A33" w:rsidRPr="008A7487">
        <w:rPr>
          <w:rFonts w:ascii="Times New Roman" w:hAnsi="Times New Roman" w:cs="Times New Roman"/>
          <w:sz w:val="24"/>
          <w:szCs w:val="24"/>
        </w:rPr>
        <w:t>show a statistically significant positive relationship between bank size</w:t>
      </w:r>
      <w:r w:rsidR="00054D13" w:rsidRPr="008A7487">
        <w:rPr>
          <w:rFonts w:ascii="Times New Roman" w:hAnsi="Times New Roman" w:cs="Times New Roman"/>
          <w:sz w:val="24"/>
          <w:szCs w:val="24"/>
        </w:rPr>
        <w:t xml:space="preserve"> (LNSIZE), capital strength (CAP) and negative relationship between </w:t>
      </w:r>
      <w:r w:rsidR="00180A1A" w:rsidRPr="008A7487">
        <w:rPr>
          <w:rFonts w:ascii="Times New Roman" w:hAnsi="Times New Roman" w:cs="Times New Roman"/>
          <w:sz w:val="24"/>
          <w:szCs w:val="24"/>
        </w:rPr>
        <w:t>credit risk (CR) cost management (CM), liquidity (LQ)</w:t>
      </w:r>
      <w:r w:rsidR="00054D13" w:rsidRPr="008A7487">
        <w:rPr>
          <w:rFonts w:ascii="Times New Roman" w:hAnsi="Times New Roman" w:cs="Times New Roman"/>
          <w:sz w:val="24"/>
          <w:szCs w:val="24"/>
        </w:rPr>
        <w:t xml:space="preserve"> </w:t>
      </w:r>
      <w:r w:rsidR="007F1A33" w:rsidRPr="008A7487">
        <w:rPr>
          <w:rFonts w:ascii="Times New Roman" w:hAnsi="Times New Roman" w:cs="Times New Roman"/>
          <w:sz w:val="24"/>
          <w:szCs w:val="24"/>
        </w:rPr>
        <w:t xml:space="preserve">and </w:t>
      </w:r>
      <w:r w:rsidR="00180A1A" w:rsidRPr="008A7487">
        <w:rPr>
          <w:rFonts w:ascii="Times New Roman" w:hAnsi="Times New Roman" w:cs="Times New Roman"/>
          <w:sz w:val="24"/>
          <w:szCs w:val="24"/>
        </w:rPr>
        <w:t xml:space="preserve">bank </w:t>
      </w:r>
      <w:r w:rsidR="004759BA" w:rsidRPr="008A7487">
        <w:rPr>
          <w:rFonts w:ascii="Times New Roman" w:hAnsi="Times New Roman" w:cs="Times New Roman"/>
          <w:sz w:val="24"/>
          <w:szCs w:val="24"/>
        </w:rPr>
        <w:t xml:space="preserve">profitability, measured as </w:t>
      </w:r>
      <w:r w:rsidR="008D47C2" w:rsidRPr="008A7487">
        <w:rPr>
          <w:rFonts w:ascii="Times New Roman" w:hAnsi="Times New Roman" w:cs="Times New Roman"/>
          <w:sz w:val="24"/>
          <w:szCs w:val="24"/>
        </w:rPr>
        <w:t>ROA</w:t>
      </w:r>
      <w:r w:rsidR="00EF2B40" w:rsidRPr="008A7487">
        <w:rPr>
          <w:rFonts w:ascii="Times New Roman" w:hAnsi="Times New Roman" w:cs="Times New Roman"/>
          <w:sz w:val="24"/>
          <w:szCs w:val="24"/>
        </w:rPr>
        <w:t>.</w:t>
      </w:r>
      <w:r w:rsidR="00180A1A" w:rsidRPr="008A7487">
        <w:rPr>
          <w:rFonts w:ascii="Times New Roman" w:hAnsi="Times New Roman" w:cs="Times New Roman"/>
          <w:sz w:val="24"/>
          <w:szCs w:val="24"/>
        </w:rPr>
        <w:t xml:space="preserve"> There is also a </w:t>
      </w:r>
      <w:r w:rsidR="00180A1A" w:rsidRPr="008A7487">
        <w:rPr>
          <w:rFonts w:ascii="Times New Roman" w:hAnsi="Times New Roman" w:cs="Times New Roman"/>
          <w:sz w:val="24"/>
          <w:szCs w:val="24"/>
        </w:rPr>
        <w:lastRenderedPageBreak/>
        <w:t>significant negative relationship between inflation (INF) and bank profitability but only in respect of the fixed effects model</w:t>
      </w:r>
      <w:r w:rsidR="00F430F1">
        <w:rPr>
          <w:rFonts w:ascii="Times New Roman" w:hAnsi="Times New Roman" w:cs="Times New Roman"/>
          <w:sz w:val="24"/>
          <w:szCs w:val="24"/>
        </w:rPr>
        <w:t>. Results in Column 3 of Table 5</w:t>
      </w:r>
      <w:r w:rsidR="00180A1A" w:rsidRPr="008A7487">
        <w:rPr>
          <w:rFonts w:ascii="Times New Roman" w:hAnsi="Times New Roman" w:cs="Times New Roman"/>
          <w:sz w:val="24"/>
          <w:szCs w:val="24"/>
        </w:rPr>
        <w:t xml:space="preserve"> also show a significant positive relationship between CAP, LQ, MP, gross domestic product and bank profitability, measured by net interest margin (NIM). </w:t>
      </w:r>
    </w:p>
    <w:p w14:paraId="78829465" w14:textId="77777777" w:rsidR="00680651" w:rsidRPr="008A7487" w:rsidRDefault="00680651" w:rsidP="0009698E">
      <w:pPr>
        <w:spacing w:after="0" w:line="480" w:lineRule="auto"/>
        <w:ind w:firstLine="720"/>
        <w:contextualSpacing/>
        <w:jc w:val="both"/>
        <w:rPr>
          <w:rFonts w:ascii="Times New Roman" w:hAnsi="Times New Roman" w:cs="Times New Roman"/>
          <w:sz w:val="24"/>
          <w:szCs w:val="24"/>
        </w:rPr>
      </w:pPr>
    </w:p>
    <w:p w14:paraId="14026139" w14:textId="7F2151A2" w:rsidR="00680651" w:rsidRPr="008A7487" w:rsidRDefault="00680651" w:rsidP="00680651">
      <w:pPr>
        <w:autoSpaceDE w:val="0"/>
        <w:autoSpaceDN w:val="0"/>
        <w:adjustRightInd w:val="0"/>
        <w:spacing w:after="0" w:line="240" w:lineRule="auto"/>
        <w:jc w:val="center"/>
        <w:rPr>
          <w:rFonts w:ascii="Times New Roman" w:hAnsi="Times New Roman" w:cs="Times New Roman"/>
          <w:b/>
          <w:sz w:val="24"/>
          <w:szCs w:val="24"/>
          <w:lang w:val="en-GB"/>
        </w:rPr>
      </w:pPr>
      <w:r w:rsidRPr="008A7487">
        <w:rPr>
          <w:rFonts w:ascii="Times New Roman" w:hAnsi="Times New Roman" w:cs="Times New Roman"/>
          <w:b/>
          <w:sz w:val="24"/>
          <w:szCs w:val="24"/>
          <w:lang w:val="en-GB"/>
        </w:rPr>
        <w:t xml:space="preserve">[INSERT TABLE </w:t>
      </w:r>
      <w:r w:rsidR="00F430F1">
        <w:rPr>
          <w:rFonts w:ascii="Times New Roman" w:hAnsi="Times New Roman" w:cs="Times New Roman"/>
          <w:b/>
          <w:sz w:val="24"/>
          <w:szCs w:val="24"/>
          <w:lang w:val="en-GB"/>
        </w:rPr>
        <w:t>5</w:t>
      </w:r>
      <w:r w:rsidRPr="008A7487">
        <w:rPr>
          <w:rFonts w:ascii="Times New Roman" w:hAnsi="Times New Roman" w:cs="Times New Roman"/>
          <w:b/>
          <w:sz w:val="24"/>
          <w:szCs w:val="24"/>
          <w:lang w:val="en-GB"/>
        </w:rPr>
        <w:t xml:space="preserve"> ABOUT HERE]</w:t>
      </w:r>
    </w:p>
    <w:p w14:paraId="3A589183" w14:textId="77777777" w:rsidR="00680651" w:rsidRPr="008A7487" w:rsidRDefault="00680651" w:rsidP="00680651">
      <w:pPr>
        <w:spacing w:after="0" w:line="240" w:lineRule="auto"/>
        <w:jc w:val="both"/>
        <w:rPr>
          <w:rFonts w:ascii="Times New Roman" w:hAnsi="Times New Roman" w:cs="Times New Roman"/>
          <w:b/>
          <w:sz w:val="20"/>
          <w:szCs w:val="20"/>
        </w:rPr>
      </w:pPr>
    </w:p>
    <w:p w14:paraId="4483CFD1" w14:textId="77777777" w:rsidR="00680651" w:rsidRPr="008A7487" w:rsidRDefault="00680651" w:rsidP="0009698E">
      <w:pPr>
        <w:spacing w:after="0" w:line="480" w:lineRule="auto"/>
        <w:ind w:firstLine="720"/>
        <w:contextualSpacing/>
        <w:jc w:val="both"/>
        <w:rPr>
          <w:rFonts w:ascii="Times New Roman" w:hAnsi="Times New Roman" w:cs="Times New Roman"/>
          <w:sz w:val="24"/>
          <w:szCs w:val="24"/>
        </w:rPr>
      </w:pPr>
    </w:p>
    <w:p w14:paraId="60CDD580" w14:textId="00B9589B" w:rsidR="00706EA8" w:rsidRPr="008A7487" w:rsidRDefault="006D2C0D" w:rsidP="00180A1A">
      <w:pPr>
        <w:spacing w:after="0" w:line="48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lastRenderedPageBreak/>
        <w:t>The results in Table 6</w:t>
      </w:r>
      <w:r w:rsidR="00180A1A" w:rsidRPr="008A7487">
        <w:rPr>
          <w:rFonts w:ascii="Times New Roman" w:hAnsi="Times New Roman" w:cs="Times New Roman"/>
          <w:sz w:val="24"/>
          <w:szCs w:val="24"/>
        </w:rPr>
        <w:t xml:space="preserve"> show that the adjusted R</w:t>
      </w:r>
      <w:r w:rsidR="00180A1A" w:rsidRPr="008A7487">
        <w:rPr>
          <w:rFonts w:ascii="Times New Roman" w:hAnsi="Times New Roman" w:cs="Times New Roman"/>
          <w:sz w:val="24"/>
          <w:szCs w:val="24"/>
          <w:vertAlign w:val="superscript"/>
        </w:rPr>
        <w:t>2</w:t>
      </w:r>
      <w:r w:rsidR="00180A1A" w:rsidRPr="008A7487">
        <w:rPr>
          <w:rFonts w:ascii="Times New Roman" w:hAnsi="Times New Roman" w:cs="Times New Roman"/>
          <w:sz w:val="24"/>
          <w:szCs w:val="24"/>
        </w:rPr>
        <w:t xml:space="preserve"> varies from </w:t>
      </w:r>
      <w:r w:rsidR="00670BCD" w:rsidRPr="008A7487">
        <w:rPr>
          <w:rFonts w:ascii="Times New Roman" w:hAnsi="Times New Roman" w:cs="Times New Roman"/>
          <w:sz w:val="24"/>
          <w:szCs w:val="24"/>
        </w:rPr>
        <w:t xml:space="preserve">27% (after the financial crisis), 54% (during the financial crisis) to 70% (before the financial crisis). </w:t>
      </w:r>
      <w:r w:rsidR="00180A1A" w:rsidRPr="008A7487">
        <w:rPr>
          <w:rFonts w:ascii="Times New Roman" w:hAnsi="Times New Roman" w:cs="Times New Roman"/>
          <w:sz w:val="24"/>
          <w:szCs w:val="24"/>
        </w:rPr>
        <w:t>The F-statistics results imply that the models are statistically significant</w:t>
      </w:r>
      <w:r w:rsidR="00670BCD" w:rsidRPr="008A7487">
        <w:rPr>
          <w:rFonts w:ascii="Times New Roman" w:hAnsi="Times New Roman" w:cs="Times New Roman"/>
          <w:sz w:val="24"/>
          <w:szCs w:val="24"/>
        </w:rPr>
        <w:t>.</w:t>
      </w:r>
      <w:r w:rsidR="00E816B6" w:rsidRPr="008A7487">
        <w:rPr>
          <w:rFonts w:ascii="Times New Roman" w:hAnsi="Times New Roman" w:cs="Times New Roman"/>
          <w:sz w:val="24"/>
          <w:szCs w:val="24"/>
        </w:rPr>
        <w:t xml:space="preserve"> The results show</w:t>
      </w:r>
      <w:r w:rsidR="00180A1A" w:rsidRPr="008A7487">
        <w:rPr>
          <w:rFonts w:ascii="Times New Roman" w:hAnsi="Times New Roman" w:cs="Times New Roman"/>
          <w:sz w:val="24"/>
          <w:szCs w:val="24"/>
        </w:rPr>
        <w:t xml:space="preserve"> </w:t>
      </w:r>
      <w:r w:rsidR="00670BCD" w:rsidRPr="008A7487">
        <w:rPr>
          <w:rFonts w:ascii="Times New Roman" w:hAnsi="Times New Roman" w:cs="Times New Roman"/>
          <w:sz w:val="24"/>
          <w:szCs w:val="24"/>
        </w:rPr>
        <w:t xml:space="preserve">that LNSIZE has a significant and positive relationship with profitability before (Column 1), during (Column 2) and after (Column 3) the financial crisis. CAP also has a positive and significant relationship with bank profitability but only before (Column 1) and during (Column 2) the financial crisis. The </w:t>
      </w:r>
      <w:r w:rsidR="00670BCD" w:rsidRPr="008A7487">
        <w:rPr>
          <w:rFonts w:ascii="Times New Roman" w:hAnsi="Times New Roman" w:cs="Times New Roman"/>
          <w:sz w:val="24"/>
          <w:szCs w:val="24"/>
        </w:rPr>
        <w:lastRenderedPageBreak/>
        <w:t xml:space="preserve">results </w:t>
      </w:r>
      <w:r>
        <w:rPr>
          <w:rFonts w:ascii="Times New Roman" w:hAnsi="Times New Roman" w:cs="Times New Roman"/>
          <w:sz w:val="24"/>
          <w:szCs w:val="24"/>
        </w:rPr>
        <w:t>in Table 6</w:t>
      </w:r>
      <w:r w:rsidR="00706EA8" w:rsidRPr="008A7487">
        <w:rPr>
          <w:rFonts w:ascii="Times New Roman" w:hAnsi="Times New Roman" w:cs="Times New Roman"/>
          <w:sz w:val="24"/>
          <w:szCs w:val="24"/>
        </w:rPr>
        <w:t xml:space="preserve"> also show that there is a significant negative relationship between CM, LQ and bank profitability before, during and after the financial crisis. INF also has a significant but negative relationship with profitability but only during t</w:t>
      </w:r>
      <w:r w:rsidR="00E816B6" w:rsidRPr="008A7487">
        <w:rPr>
          <w:rFonts w:ascii="Times New Roman" w:hAnsi="Times New Roman" w:cs="Times New Roman"/>
          <w:sz w:val="24"/>
          <w:szCs w:val="24"/>
        </w:rPr>
        <w:t>he financial crisis while CR</w:t>
      </w:r>
      <w:r w:rsidR="00706EA8" w:rsidRPr="008A7487">
        <w:rPr>
          <w:rFonts w:ascii="Times New Roman" w:hAnsi="Times New Roman" w:cs="Times New Roman"/>
          <w:sz w:val="24"/>
          <w:szCs w:val="24"/>
        </w:rPr>
        <w:t xml:space="preserve"> is also negatively associated with profitability during and after the financial crisis periods only.  MP and GDP are not associated with bank profitability before, during and after the financial crisis.</w:t>
      </w:r>
    </w:p>
    <w:p w14:paraId="5EC71188" w14:textId="77777777" w:rsidR="00680651" w:rsidRPr="008A7487" w:rsidRDefault="00680651" w:rsidP="00180A1A">
      <w:pPr>
        <w:spacing w:after="0" w:line="480" w:lineRule="auto"/>
        <w:ind w:firstLine="720"/>
        <w:contextualSpacing/>
        <w:jc w:val="both"/>
        <w:rPr>
          <w:rFonts w:ascii="Times New Roman" w:hAnsi="Times New Roman" w:cs="Times New Roman"/>
          <w:sz w:val="24"/>
          <w:szCs w:val="24"/>
        </w:rPr>
      </w:pPr>
    </w:p>
    <w:p w14:paraId="15F878BB" w14:textId="77777777" w:rsidR="00680651" w:rsidRPr="008A7487" w:rsidRDefault="00680651" w:rsidP="00180A1A">
      <w:pPr>
        <w:spacing w:after="0" w:line="480" w:lineRule="auto"/>
        <w:ind w:firstLine="720"/>
        <w:contextualSpacing/>
        <w:jc w:val="both"/>
        <w:rPr>
          <w:rFonts w:ascii="Times New Roman" w:hAnsi="Times New Roman" w:cs="Times New Roman"/>
          <w:sz w:val="24"/>
          <w:szCs w:val="24"/>
        </w:rPr>
      </w:pPr>
    </w:p>
    <w:p w14:paraId="7F6C3E23" w14:textId="5B5655E8" w:rsidR="00680651" w:rsidRPr="008A7487" w:rsidRDefault="006D2C0D" w:rsidP="00680651">
      <w:pPr>
        <w:autoSpaceDE w:val="0"/>
        <w:autoSpaceDN w:val="0"/>
        <w:adjustRightInd w:val="0"/>
        <w:spacing w:after="0" w:line="24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lastRenderedPageBreak/>
        <w:t>[INSERT TABLE 6</w:t>
      </w:r>
      <w:r w:rsidR="00680651" w:rsidRPr="008A7487">
        <w:rPr>
          <w:rFonts w:ascii="Times New Roman" w:hAnsi="Times New Roman" w:cs="Times New Roman"/>
          <w:b/>
          <w:sz w:val="24"/>
          <w:szCs w:val="24"/>
          <w:lang w:val="en-GB"/>
        </w:rPr>
        <w:t xml:space="preserve"> ABOUT HERE]</w:t>
      </w:r>
    </w:p>
    <w:p w14:paraId="7698CB95" w14:textId="77777777" w:rsidR="00680651" w:rsidRPr="008A7487" w:rsidRDefault="00680651" w:rsidP="00680651">
      <w:pPr>
        <w:spacing w:after="0" w:line="240" w:lineRule="auto"/>
        <w:jc w:val="both"/>
        <w:rPr>
          <w:rFonts w:ascii="Times New Roman" w:hAnsi="Times New Roman" w:cs="Times New Roman"/>
          <w:b/>
          <w:sz w:val="20"/>
          <w:szCs w:val="20"/>
        </w:rPr>
      </w:pPr>
    </w:p>
    <w:p w14:paraId="39FECF87" w14:textId="77777777" w:rsidR="00680651" w:rsidRPr="008A7487" w:rsidRDefault="00680651" w:rsidP="00180A1A">
      <w:pPr>
        <w:spacing w:after="0" w:line="480" w:lineRule="auto"/>
        <w:ind w:firstLine="720"/>
        <w:contextualSpacing/>
        <w:jc w:val="both"/>
        <w:rPr>
          <w:rFonts w:ascii="Times New Roman" w:hAnsi="Times New Roman" w:cs="Times New Roman"/>
          <w:sz w:val="24"/>
          <w:szCs w:val="24"/>
        </w:rPr>
      </w:pPr>
    </w:p>
    <w:p w14:paraId="3693E8D1" w14:textId="0E15D10A" w:rsidR="005858C0" w:rsidRPr="008A7487" w:rsidRDefault="00706EA8" w:rsidP="00180A1A">
      <w:pPr>
        <w:spacing w:after="0" w:line="480" w:lineRule="auto"/>
        <w:ind w:firstLine="720"/>
        <w:contextualSpacing/>
        <w:jc w:val="both"/>
        <w:rPr>
          <w:rFonts w:ascii="Times New Roman" w:hAnsi="Times New Roman" w:cs="Times New Roman"/>
          <w:sz w:val="24"/>
          <w:szCs w:val="24"/>
        </w:rPr>
      </w:pPr>
      <w:r w:rsidRPr="008A7487">
        <w:rPr>
          <w:rFonts w:ascii="Times New Roman" w:hAnsi="Times New Roman" w:cs="Times New Roman"/>
          <w:sz w:val="24"/>
          <w:szCs w:val="24"/>
        </w:rPr>
        <w:t>The fixed effects model results o</w:t>
      </w:r>
      <w:r w:rsidR="007F0598">
        <w:rPr>
          <w:rFonts w:ascii="Times New Roman" w:hAnsi="Times New Roman" w:cs="Times New Roman"/>
          <w:sz w:val="24"/>
          <w:szCs w:val="24"/>
        </w:rPr>
        <w:t>f the relationship between bank-</w:t>
      </w:r>
      <w:r w:rsidRPr="008A7487">
        <w:rPr>
          <w:rFonts w:ascii="Times New Roman" w:hAnsi="Times New Roman" w:cs="Times New Roman"/>
          <w:sz w:val="24"/>
          <w:szCs w:val="24"/>
        </w:rPr>
        <w:t xml:space="preserve">specific, macro-economic factors and profitability using net interest margin </w:t>
      </w:r>
      <w:r w:rsidR="007F0598">
        <w:rPr>
          <w:rFonts w:ascii="Times New Roman" w:hAnsi="Times New Roman" w:cs="Times New Roman"/>
          <w:sz w:val="24"/>
          <w:szCs w:val="24"/>
        </w:rPr>
        <w:t>(NIM) as the dependent variable</w:t>
      </w:r>
      <w:r w:rsidRPr="008A7487">
        <w:rPr>
          <w:rFonts w:ascii="Times New Roman" w:hAnsi="Times New Roman" w:cs="Times New Roman"/>
          <w:sz w:val="24"/>
          <w:szCs w:val="24"/>
        </w:rPr>
        <w:t xml:space="preserve"> are presented in Table </w:t>
      </w:r>
      <w:r w:rsidR="006D2C0D">
        <w:rPr>
          <w:rFonts w:ascii="Times New Roman" w:hAnsi="Times New Roman" w:cs="Times New Roman"/>
          <w:sz w:val="24"/>
          <w:szCs w:val="24"/>
        </w:rPr>
        <w:t>7</w:t>
      </w:r>
      <w:r w:rsidRPr="008A7487">
        <w:rPr>
          <w:rFonts w:ascii="Times New Roman" w:hAnsi="Times New Roman" w:cs="Times New Roman"/>
          <w:sz w:val="24"/>
          <w:szCs w:val="24"/>
        </w:rPr>
        <w:t>.</w:t>
      </w:r>
      <w:r w:rsidR="006E3434" w:rsidRPr="008A7487">
        <w:rPr>
          <w:rFonts w:ascii="Times New Roman" w:hAnsi="Times New Roman" w:cs="Times New Roman"/>
          <w:sz w:val="24"/>
          <w:szCs w:val="24"/>
        </w:rPr>
        <w:t xml:space="preserve"> Similar to</w:t>
      </w:r>
      <w:r w:rsidR="006D2C0D">
        <w:rPr>
          <w:rFonts w:ascii="Times New Roman" w:hAnsi="Times New Roman" w:cs="Times New Roman"/>
          <w:sz w:val="24"/>
          <w:szCs w:val="24"/>
        </w:rPr>
        <w:t xml:space="preserve"> the results reported in Table 6</w:t>
      </w:r>
      <w:r w:rsidR="006E3434" w:rsidRPr="008A7487">
        <w:rPr>
          <w:rFonts w:ascii="Times New Roman" w:hAnsi="Times New Roman" w:cs="Times New Roman"/>
          <w:sz w:val="24"/>
          <w:szCs w:val="24"/>
        </w:rPr>
        <w:t xml:space="preserve">, the results show variation in the relationship between the determinants from one period to the other. For example, the results show a significant positive relationship between LNSIZE, CAP and INF during (Column 2) and after the financial crisis (Column 3). The </w:t>
      </w:r>
      <w:r w:rsidR="006E3434" w:rsidRPr="008A7487">
        <w:rPr>
          <w:rFonts w:ascii="Times New Roman" w:hAnsi="Times New Roman" w:cs="Times New Roman"/>
          <w:sz w:val="24"/>
          <w:szCs w:val="24"/>
        </w:rPr>
        <w:lastRenderedPageBreak/>
        <w:t>results also show significant positive associations in respect of CR (during financial crisis), LQ (before</w:t>
      </w:r>
      <w:r w:rsidR="00061C80" w:rsidRPr="008A7487">
        <w:rPr>
          <w:rFonts w:ascii="Times New Roman" w:hAnsi="Times New Roman" w:cs="Times New Roman"/>
          <w:sz w:val="24"/>
          <w:szCs w:val="24"/>
        </w:rPr>
        <w:t xml:space="preserve"> and during</w:t>
      </w:r>
      <w:r w:rsidR="006E3434" w:rsidRPr="008A7487">
        <w:rPr>
          <w:rFonts w:ascii="Times New Roman" w:hAnsi="Times New Roman" w:cs="Times New Roman"/>
          <w:sz w:val="24"/>
          <w:szCs w:val="24"/>
        </w:rPr>
        <w:t xml:space="preserve"> the financial crisis), GDP (before and during financial crisis) and MP (after financial crisis). The results also show negative and significant relationships in respect of </w:t>
      </w:r>
      <w:r w:rsidR="005858C0" w:rsidRPr="008A7487">
        <w:rPr>
          <w:rFonts w:ascii="Times New Roman" w:hAnsi="Times New Roman" w:cs="Times New Roman"/>
          <w:sz w:val="24"/>
          <w:szCs w:val="24"/>
        </w:rPr>
        <w:t>CM (before a</w:t>
      </w:r>
      <w:r w:rsidR="00061C80" w:rsidRPr="008A7487">
        <w:rPr>
          <w:rFonts w:ascii="Times New Roman" w:hAnsi="Times New Roman" w:cs="Times New Roman"/>
          <w:sz w:val="24"/>
          <w:szCs w:val="24"/>
        </w:rPr>
        <w:t>nd after the financial crisis)</w:t>
      </w:r>
      <w:r w:rsidR="005858C0" w:rsidRPr="008A7487">
        <w:rPr>
          <w:rFonts w:ascii="Times New Roman" w:hAnsi="Times New Roman" w:cs="Times New Roman"/>
          <w:sz w:val="24"/>
          <w:szCs w:val="24"/>
        </w:rPr>
        <w:t>.</w:t>
      </w:r>
    </w:p>
    <w:p w14:paraId="30C4904E" w14:textId="77777777" w:rsidR="005858C0" w:rsidRPr="008A7487" w:rsidRDefault="005858C0" w:rsidP="00180A1A">
      <w:pPr>
        <w:spacing w:after="0" w:line="480" w:lineRule="auto"/>
        <w:ind w:firstLine="720"/>
        <w:contextualSpacing/>
        <w:jc w:val="both"/>
        <w:rPr>
          <w:rFonts w:ascii="Times New Roman" w:hAnsi="Times New Roman" w:cs="Times New Roman"/>
          <w:sz w:val="24"/>
          <w:szCs w:val="24"/>
        </w:rPr>
      </w:pPr>
    </w:p>
    <w:p w14:paraId="6A042DFD" w14:textId="75684352" w:rsidR="00180A1A" w:rsidRPr="008A7487" w:rsidRDefault="00180A1A" w:rsidP="00680651">
      <w:pPr>
        <w:autoSpaceDE w:val="0"/>
        <w:autoSpaceDN w:val="0"/>
        <w:adjustRightInd w:val="0"/>
        <w:spacing w:after="0" w:line="240" w:lineRule="auto"/>
        <w:jc w:val="center"/>
        <w:rPr>
          <w:rFonts w:ascii="Times New Roman" w:hAnsi="Times New Roman" w:cs="Times New Roman"/>
          <w:b/>
          <w:sz w:val="24"/>
          <w:szCs w:val="24"/>
          <w:lang w:val="en-GB"/>
        </w:rPr>
      </w:pPr>
      <w:r w:rsidRPr="008A7487">
        <w:rPr>
          <w:rFonts w:ascii="Times New Roman" w:hAnsi="Times New Roman" w:cs="Times New Roman"/>
          <w:b/>
          <w:sz w:val="24"/>
          <w:szCs w:val="24"/>
          <w:lang w:val="en-GB"/>
        </w:rPr>
        <w:t xml:space="preserve">[INSERT TABLE </w:t>
      </w:r>
      <w:r w:rsidR="006D2C0D">
        <w:rPr>
          <w:rFonts w:ascii="Times New Roman" w:hAnsi="Times New Roman" w:cs="Times New Roman"/>
          <w:b/>
          <w:sz w:val="24"/>
          <w:szCs w:val="24"/>
          <w:lang w:val="en-GB"/>
        </w:rPr>
        <w:t>7</w:t>
      </w:r>
      <w:r w:rsidRPr="008A7487">
        <w:rPr>
          <w:rFonts w:ascii="Times New Roman" w:hAnsi="Times New Roman" w:cs="Times New Roman"/>
          <w:b/>
          <w:sz w:val="24"/>
          <w:szCs w:val="24"/>
          <w:lang w:val="en-GB"/>
        </w:rPr>
        <w:t xml:space="preserve"> ABOUT HERE]</w:t>
      </w:r>
    </w:p>
    <w:p w14:paraId="3D65389F" w14:textId="77777777" w:rsidR="00180A1A" w:rsidRPr="008A7487" w:rsidRDefault="00180A1A" w:rsidP="00180A1A">
      <w:pPr>
        <w:spacing w:after="0" w:line="480" w:lineRule="auto"/>
        <w:ind w:firstLine="720"/>
        <w:contextualSpacing/>
        <w:jc w:val="both"/>
        <w:rPr>
          <w:rFonts w:ascii="Times New Roman" w:hAnsi="Times New Roman" w:cs="Times New Roman"/>
          <w:sz w:val="24"/>
          <w:szCs w:val="24"/>
        </w:rPr>
      </w:pPr>
    </w:p>
    <w:p w14:paraId="433A28A7" w14:textId="77777777" w:rsidR="00F05BA0" w:rsidRDefault="00F05BA0" w:rsidP="00180A1A">
      <w:pPr>
        <w:spacing w:after="0" w:line="480" w:lineRule="auto"/>
        <w:ind w:firstLine="720"/>
        <w:contextualSpacing/>
        <w:jc w:val="both"/>
        <w:rPr>
          <w:rFonts w:ascii="Times New Roman" w:hAnsi="Times New Roman" w:cs="Times New Roman"/>
          <w:sz w:val="24"/>
          <w:szCs w:val="24"/>
        </w:rPr>
      </w:pPr>
    </w:p>
    <w:p w14:paraId="6F3A134F" w14:textId="16C62455" w:rsidR="00180A1A" w:rsidRPr="008A7487" w:rsidRDefault="00680651" w:rsidP="00180A1A">
      <w:pPr>
        <w:spacing w:after="0" w:line="480" w:lineRule="auto"/>
        <w:ind w:firstLine="720"/>
        <w:contextualSpacing/>
        <w:jc w:val="both"/>
        <w:rPr>
          <w:rFonts w:ascii="Times New Roman" w:hAnsi="Times New Roman" w:cs="Times New Roman"/>
          <w:sz w:val="24"/>
          <w:szCs w:val="24"/>
        </w:rPr>
      </w:pPr>
      <w:r w:rsidRPr="008A7487">
        <w:rPr>
          <w:rFonts w:ascii="Times New Roman" w:hAnsi="Times New Roman" w:cs="Times New Roman"/>
          <w:sz w:val="24"/>
          <w:szCs w:val="24"/>
        </w:rPr>
        <w:lastRenderedPageBreak/>
        <w:t xml:space="preserve">Table </w:t>
      </w:r>
      <w:r w:rsidR="006D2C0D">
        <w:rPr>
          <w:rFonts w:ascii="Times New Roman" w:hAnsi="Times New Roman" w:cs="Times New Roman"/>
          <w:sz w:val="24"/>
          <w:szCs w:val="24"/>
        </w:rPr>
        <w:t>8</w:t>
      </w:r>
      <w:r w:rsidRPr="008A7487">
        <w:rPr>
          <w:rFonts w:ascii="Times New Roman" w:hAnsi="Times New Roman" w:cs="Times New Roman"/>
          <w:sz w:val="24"/>
          <w:szCs w:val="24"/>
        </w:rPr>
        <w:t xml:space="preserve"> presents summary comparing the results of the effect of </w:t>
      </w:r>
      <w:r w:rsidR="007F0598">
        <w:rPr>
          <w:rFonts w:ascii="Times New Roman" w:hAnsi="Times New Roman" w:cs="Times New Roman"/>
          <w:sz w:val="24"/>
          <w:szCs w:val="24"/>
        </w:rPr>
        <w:t>bank-specific</w:t>
      </w:r>
      <w:r w:rsidR="00B17ECE">
        <w:rPr>
          <w:rFonts w:ascii="Times New Roman" w:hAnsi="Times New Roman" w:cs="Times New Roman"/>
          <w:sz w:val="24"/>
          <w:szCs w:val="24"/>
        </w:rPr>
        <w:t xml:space="preserve"> </w:t>
      </w:r>
      <w:r w:rsidRPr="008A7487">
        <w:rPr>
          <w:rFonts w:ascii="Times New Roman" w:hAnsi="Times New Roman" w:cs="Times New Roman"/>
          <w:sz w:val="24"/>
          <w:szCs w:val="24"/>
        </w:rPr>
        <w:t>and macro-economic factors on bank profitability using ROA and NIM as dependent variables before, during and after the financial crisis.</w:t>
      </w:r>
      <w:r w:rsidR="00F62CD7" w:rsidRPr="008A7487">
        <w:rPr>
          <w:rFonts w:ascii="Times New Roman" w:hAnsi="Times New Roman" w:cs="Times New Roman"/>
          <w:sz w:val="24"/>
          <w:szCs w:val="24"/>
        </w:rPr>
        <w:t xml:space="preserve"> The results show that LNSIZE and CAP in most cases, have a positive and significant relationship with pro</w:t>
      </w:r>
      <w:r w:rsidR="00E816B6" w:rsidRPr="008A7487">
        <w:rPr>
          <w:rFonts w:ascii="Times New Roman" w:hAnsi="Times New Roman" w:cs="Times New Roman"/>
          <w:sz w:val="24"/>
          <w:szCs w:val="24"/>
        </w:rPr>
        <w:t>fitability while CM and LQ have</w:t>
      </w:r>
      <w:r w:rsidR="009B4964" w:rsidRPr="008A7487">
        <w:rPr>
          <w:rFonts w:ascii="Times New Roman" w:hAnsi="Times New Roman" w:cs="Times New Roman"/>
          <w:sz w:val="24"/>
          <w:szCs w:val="24"/>
        </w:rPr>
        <w:t xml:space="preserve"> </w:t>
      </w:r>
      <w:r w:rsidR="00F62CD7" w:rsidRPr="008A7487">
        <w:rPr>
          <w:rFonts w:ascii="Times New Roman" w:hAnsi="Times New Roman" w:cs="Times New Roman"/>
          <w:sz w:val="24"/>
          <w:szCs w:val="24"/>
        </w:rPr>
        <w:t>mostly a significant and negative relationship</w:t>
      </w:r>
      <w:r w:rsidR="009B4964" w:rsidRPr="008A7487">
        <w:rPr>
          <w:rFonts w:ascii="Times New Roman" w:hAnsi="Times New Roman" w:cs="Times New Roman"/>
          <w:sz w:val="24"/>
          <w:szCs w:val="24"/>
        </w:rPr>
        <w:t xml:space="preserve"> with bank profitability</w:t>
      </w:r>
      <w:r w:rsidR="00F62CD7" w:rsidRPr="008A7487">
        <w:rPr>
          <w:rFonts w:ascii="Times New Roman" w:hAnsi="Times New Roman" w:cs="Times New Roman"/>
          <w:sz w:val="24"/>
          <w:szCs w:val="24"/>
        </w:rPr>
        <w:t>.</w:t>
      </w:r>
      <w:r w:rsidR="009B4964" w:rsidRPr="008A7487">
        <w:rPr>
          <w:rFonts w:ascii="Times New Roman" w:hAnsi="Times New Roman" w:cs="Times New Roman"/>
          <w:sz w:val="24"/>
          <w:szCs w:val="24"/>
        </w:rPr>
        <w:t xml:space="preserve"> However, there appears to be no relationship between MP, GDP and bank profitability in most cases (see Table </w:t>
      </w:r>
      <w:r w:rsidR="006D2C0D">
        <w:rPr>
          <w:rFonts w:ascii="Times New Roman" w:hAnsi="Times New Roman" w:cs="Times New Roman"/>
          <w:sz w:val="24"/>
          <w:szCs w:val="24"/>
        </w:rPr>
        <w:t>8</w:t>
      </w:r>
      <w:r w:rsidR="009B4964" w:rsidRPr="008A7487">
        <w:rPr>
          <w:rFonts w:ascii="Times New Roman" w:hAnsi="Times New Roman" w:cs="Times New Roman"/>
          <w:sz w:val="24"/>
          <w:szCs w:val="24"/>
        </w:rPr>
        <w:t>, Colum</w:t>
      </w:r>
      <w:r w:rsidR="004F2EB7">
        <w:rPr>
          <w:rFonts w:ascii="Times New Roman" w:hAnsi="Times New Roman" w:cs="Times New Roman"/>
          <w:sz w:val="24"/>
          <w:szCs w:val="24"/>
        </w:rPr>
        <w:t>n</w:t>
      </w:r>
      <w:r w:rsidR="009B4964" w:rsidRPr="008A7487">
        <w:rPr>
          <w:rFonts w:ascii="Times New Roman" w:hAnsi="Times New Roman" w:cs="Times New Roman"/>
          <w:sz w:val="24"/>
          <w:szCs w:val="24"/>
        </w:rPr>
        <w:t xml:space="preserve">s 1, 2 and 3). In respect of CR, the overall evidence is mixed as in </w:t>
      </w:r>
      <w:r w:rsidR="009B4964" w:rsidRPr="008A7487">
        <w:rPr>
          <w:rFonts w:ascii="Times New Roman" w:hAnsi="Times New Roman" w:cs="Times New Roman"/>
          <w:sz w:val="24"/>
          <w:szCs w:val="24"/>
        </w:rPr>
        <w:lastRenderedPageBreak/>
        <w:t>three cases the relationship is significant but not in other three cases.</w:t>
      </w:r>
    </w:p>
    <w:p w14:paraId="54D606E8" w14:textId="77777777" w:rsidR="00E345E5" w:rsidRPr="008A7487" w:rsidRDefault="00E345E5" w:rsidP="0009698E">
      <w:pPr>
        <w:spacing w:line="480" w:lineRule="auto"/>
        <w:contextualSpacing/>
        <w:jc w:val="both"/>
        <w:rPr>
          <w:rFonts w:ascii="Times New Roman" w:hAnsi="Times New Roman" w:cs="Times New Roman"/>
          <w:sz w:val="24"/>
          <w:szCs w:val="24"/>
        </w:rPr>
      </w:pPr>
    </w:p>
    <w:p w14:paraId="79646DC3" w14:textId="6E782E8D" w:rsidR="00D419F7" w:rsidRPr="008A7487" w:rsidRDefault="00F47D4D" w:rsidP="00680651">
      <w:pPr>
        <w:spacing w:line="480" w:lineRule="auto"/>
        <w:contextualSpacing/>
        <w:jc w:val="both"/>
        <w:rPr>
          <w:rFonts w:ascii="Times New Roman" w:hAnsi="Times New Roman" w:cs="Times New Roman"/>
          <w:i/>
          <w:sz w:val="24"/>
          <w:szCs w:val="24"/>
        </w:rPr>
      </w:pPr>
      <w:r w:rsidRPr="008A7487">
        <w:rPr>
          <w:rFonts w:ascii="Times New Roman" w:hAnsi="Times New Roman" w:cs="Times New Roman"/>
          <w:i/>
          <w:sz w:val="24"/>
          <w:szCs w:val="24"/>
        </w:rPr>
        <w:t>5</w:t>
      </w:r>
      <w:r w:rsidR="009C634F" w:rsidRPr="008A7487">
        <w:rPr>
          <w:rFonts w:ascii="Times New Roman" w:hAnsi="Times New Roman" w:cs="Times New Roman"/>
          <w:i/>
          <w:sz w:val="24"/>
          <w:szCs w:val="24"/>
        </w:rPr>
        <w:t>.</w:t>
      </w:r>
      <w:r w:rsidR="00E333BD" w:rsidRPr="008A7487">
        <w:rPr>
          <w:rFonts w:ascii="Times New Roman" w:hAnsi="Times New Roman" w:cs="Times New Roman"/>
          <w:i/>
          <w:sz w:val="24"/>
          <w:szCs w:val="24"/>
        </w:rPr>
        <w:t>4</w:t>
      </w:r>
      <w:r w:rsidR="00E345E5" w:rsidRPr="008A7487">
        <w:rPr>
          <w:rFonts w:ascii="Times New Roman" w:hAnsi="Times New Roman" w:cs="Times New Roman"/>
          <w:i/>
          <w:sz w:val="24"/>
          <w:szCs w:val="24"/>
        </w:rPr>
        <w:tab/>
        <w:t xml:space="preserve">Discussion </w:t>
      </w:r>
    </w:p>
    <w:p w14:paraId="5BA93C25" w14:textId="6A13127B" w:rsidR="00653E45" w:rsidRPr="008A7487" w:rsidRDefault="00B049B6" w:rsidP="0009698E">
      <w:pPr>
        <w:spacing w:line="480" w:lineRule="auto"/>
        <w:ind w:firstLine="720"/>
        <w:contextualSpacing/>
        <w:jc w:val="both"/>
        <w:rPr>
          <w:rFonts w:ascii="Times New Roman" w:hAnsi="Times New Roman" w:cs="Times New Roman"/>
          <w:sz w:val="24"/>
          <w:szCs w:val="24"/>
        </w:rPr>
      </w:pPr>
      <w:r w:rsidRPr="008A7487">
        <w:rPr>
          <w:rFonts w:ascii="Times New Roman" w:hAnsi="Times New Roman" w:cs="Times New Roman"/>
          <w:sz w:val="24"/>
          <w:szCs w:val="24"/>
        </w:rPr>
        <w:t xml:space="preserve">The findings from the study suggest that bank size </w:t>
      </w:r>
      <w:r w:rsidR="00213B86" w:rsidRPr="008A7487">
        <w:rPr>
          <w:rFonts w:ascii="Times New Roman" w:hAnsi="Times New Roman" w:cs="Times New Roman"/>
          <w:sz w:val="24"/>
          <w:szCs w:val="24"/>
        </w:rPr>
        <w:t xml:space="preserve">is a </w:t>
      </w:r>
      <w:r w:rsidRPr="008A7487">
        <w:rPr>
          <w:rFonts w:ascii="Times New Roman" w:hAnsi="Times New Roman" w:cs="Times New Roman"/>
          <w:sz w:val="24"/>
          <w:szCs w:val="24"/>
        </w:rPr>
        <w:t>significant determinant of bank profitability irrespective of the financial crisis a</w:t>
      </w:r>
      <w:r w:rsidR="00FD5888" w:rsidRPr="008A7487">
        <w:rPr>
          <w:rFonts w:ascii="Times New Roman" w:hAnsi="Times New Roman" w:cs="Times New Roman"/>
          <w:sz w:val="24"/>
          <w:szCs w:val="24"/>
        </w:rPr>
        <w:t>nd measure of profitability</w:t>
      </w:r>
      <w:r w:rsidRPr="008A7487">
        <w:rPr>
          <w:rFonts w:ascii="Times New Roman" w:hAnsi="Times New Roman" w:cs="Times New Roman"/>
          <w:sz w:val="24"/>
          <w:szCs w:val="24"/>
        </w:rPr>
        <w:t xml:space="preserve"> used</w:t>
      </w:r>
      <w:r w:rsidR="00213B86" w:rsidRPr="008A7487">
        <w:rPr>
          <w:rFonts w:ascii="Times New Roman" w:hAnsi="Times New Roman" w:cs="Times New Roman"/>
          <w:sz w:val="24"/>
          <w:szCs w:val="24"/>
        </w:rPr>
        <w:t>. The only</w:t>
      </w:r>
      <w:r w:rsidRPr="008A7487">
        <w:rPr>
          <w:rFonts w:ascii="Times New Roman" w:hAnsi="Times New Roman" w:cs="Times New Roman"/>
          <w:sz w:val="24"/>
          <w:szCs w:val="24"/>
        </w:rPr>
        <w:t xml:space="preserve"> the exception </w:t>
      </w:r>
      <w:r w:rsidR="00213B86" w:rsidRPr="008A7487">
        <w:rPr>
          <w:rFonts w:ascii="Times New Roman" w:hAnsi="Times New Roman" w:cs="Times New Roman"/>
          <w:sz w:val="24"/>
          <w:szCs w:val="24"/>
        </w:rPr>
        <w:t xml:space="preserve">is the period </w:t>
      </w:r>
      <w:r w:rsidRPr="008A7487">
        <w:rPr>
          <w:rFonts w:ascii="Times New Roman" w:hAnsi="Times New Roman" w:cs="Times New Roman"/>
          <w:sz w:val="24"/>
          <w:szCs w:val="24"/>
        </w:rPr>
        <w:t xml:space="preserve">before the </w:t>
      </w:r>
      <w:r w:rsidR="00213B86" w:rsidRPr="008A7487">
        <w:rPr>
          <w:rFonts w:ascii="Times New Roman" w:hAnsi="Times New Roman" w:cs="Times New Roman"/>
          <w:sz w:val="24"/>
          <w:szCs w:val="24"/>
        </w:rPr>
        <w:t xml:space="preserve">financial </w:t>
      </w:r>
      <w:r w:rsidRPr="008A7487">
        <w:rPr>
          <w:rFonts w:ascii="Times New Roman" w:hAnsi="Times New Roman" w:cs="Times New Roman"/>
          <w:sz w:val="24"/>
          <w:szCs w:val="24"/>
        </w:rPr>
        <w:t>crisis</w:t>
      </w:r>
      <w:r w:rsidR="00213B86" w:rsidRPr="008A7487">
        <w:rPr>
          <w:rFonts w:ascii="Times New Roman" w:hAnsi="Times New Roman" w:cs="Times New Roman"/>
          <w:sz w:val="24"/>
          <w:szCs w:val="24"/>
        </w:rPr>
        <w:t xml:space="preserve"> when bank profitability is measured by NIM</w:t>
      </w:r>
      <w:r w:rsidRPr="008A7487">
        <w:rPr>
          <w:rFonts w:ascii="Times New Roman" w:hAnsi="Times New Roman" w:cs="Times New Roman"/>
          <w:sz w:val="24"/>
          <w:szCs w:val="24"/>
        </w:rPr>
        <w:t xml:space="preserve">. These results which indicate that larger banks are more profitable than smaller ones are consistent with the </w:t>
      </w:r>
      <w:r w:rsidRPr="008A7487">
        <w:rPr>
          <w:rFonts w:ascii="Times New Roman" w:hAnsi="Times New Roman" w:cs="Times New Roman"/>
          <w:sz w:val="24"/>
          <w:szCs w:val="24"/>
        </w:rPr>
        <w:lastRenderedPageBreak/>
        <w:t>economies of scale argument which suggest that larger banks, due to their size, can benefit from reduction in cost of operation due to size advantage. The finding of positive relationship is consistent with the result</w:t>
      </w:r>
      <w:r w:rsidR="00213B86" w:rsidRPr="008A7487">
        <w:rPr>
          <w:rFonts w:ascii="Times New Roman" w:hAnsi="Times New Roman" w:cs="Times New Roman"/>
          <w:sz w:val="24"/>
          <w:szCs w:val="24"/>
        </w:rPr>
        <w:t>s</w:t>
      </w:r>
      <w:r w:rsidRPr="008A7487">
        <w:rPr>
          <w:rFonts w:ascii="Times New Roman" w:hAnsi="Times New Roman" w:cs="Times New Roman"/>
          <w:sz w:val="24"/>
          <w:szCs w:val="24"/>
        </w:rPr>
        <w:t xml:space="preserve"> in some previous studies including Short (1979), Bourke (1989), Molyneux </w:t>
      </w:r>
      <w:r w:rsidR="004F2EB7">
        <w:rPr>
          <w:rFonts w:ascii="Times New Roman" w:hAnsi="Times New Roman" w:cs="Times New Roman"/>
          <w:sz w:val="24"/>
          <w:szCs w:val="24"/>
        </w:rPr>
        <w:t>&amp;</w:t>
      </w:r>
      <w:r w:rsidRPr="008A7487">
        <w:rPr>
          <w:rFonts w:ascii="Times New Roman" w:hAnsi="Times New Roman" w:cs="Times New Roman"/>
          <w:sz w:val="24"/>
          <w:szCs w:val="24"/>
        </w:rPr>
        <w:t xml:space="preserve"> Thornton (1992), Athanasoglou et al. (2008)</w:t>
      </w:r>
      <w:r w:rsidR="00213B86" w:rsidRPr="008A7487">
        <w:rPr>
          <w:rFonts w:ascii="Times New Roman" w:hAnsi="Times New Roman" w:cs="Times New Roman"/>
          <w:sz w:val="24"/>
          <w:szCs w:val="24"/>
        </w:rPr>
        <w:t xml:space="preserve"> and</w:t>
      </w:r>
      <w:r w:rsidRPr="008A7487">
        <w:rPr>
          <w:rFonts w:ascii="Times New Roman" w:hAnsi="Times New Roman" w:cs="Times New Roman"/>
          <w:sz w:val="24"/>
          <w:szCs w:val="24"/>
        </w:rPr>
        <w:t xml:space="preserve"> Flamini et al. (2009)</w:t>
      </w:r>
      <w:r w:rsidR="00213B86" w:rsidRPr="008A7487">
        <w:rPr>
          <w:rFonts w:ascii="Times New Roman" w:hAnsi="Times New Roman" w:cs="Times New Roman"/>
          <w:sz w:val="24"/>
          <w:szCs w:val="24"/>
        </w:rPr>
        <w:t xml:space="preserve">. However, our findings are inconsistent </w:t>
      </w:r>
      <w:r w:rsidRPr="008A7487">
        <w:rPr>
          <w:rFonts w:ascii="Times New Roman" w:hAnsi="Times New Roman" w:cs="Times New Roman"/>
          <w:sz w:val="24"/>
          <w:szCs w:val="24"/>
        </w:rPr>
        <w:t xml:space="preserve">with the assertion </w:t>
      </w:r>
      <w:r w:rsidR="00213B86" w:rsidRPr="008A7487">
        <w:rPr>
          <w:rFonts w:ascii="Times New Roman" w:hAnsi="Times New Roman" w:cs="Times New Roman"/>
          <w:sz w:val="24"/>
          <w:szCs w:val="24"/>
        </w:rPr>
        <w:t>by</w:t>
      </w:r>
      <w:r w:rsidRPr="008A7487">
        <w:rPr>
          <w:rFonts w:ascii="Times New Roman" w:hAnsi="Times New Roman" w:cs="Times New Roman"/>
          <w:sz w:val="24"/>
          <w:szCs w:val="24"/>
        </w:rPr>
        <w:t xml:space="preserve"> Goddard et al. (2004, p 378) that ‘…. overall the evidence for any systematic relationship between bank size and performance is unconvincing’ as well as the results </w:t>
      </w:r>
      <w:r w:rsidR="00213B86" w:rsidRPr="008A7487">
        <w:rPr>
          <w:rFonts w:ascii="Times New Roman" w:hAnsi="Times New Roman" w:cs="Times New Roman"/>
          <w:sz w:val="24"/>
          <w:szCs w:val="24"/>
        </w:rPr>
        <w:t xml:space="preserve">reported by </w:t>
      </w:r>
      <w:r w:rsidRPr="008A7487">
        <w:rPr>
          <w:rFonts w:ascii="Times New Roman" w:hAnsi="Times New Roman" w:cs="Times New Roman"/>
          <w:sz w:val="24"/>
          <w:szCs w:val="24"/>
        </w:rPr>
        <w:t xml:space="preserve">Micco </w:t>
      </w:r>
      <w:r w:rsidRPr="008A7487">
        <w:rPr>
          <w:rFonts w:ascii="Times New Roman" w:hAnsi="Times New Roman" w:cs="Times New Roman"/>
          <w:sz w:val="24"/>
          <w:szCs w:val="24"/>
        </w:rPr>
        <w:lastRenderedPageBreak/>
        <w:t>et al. (2007)</w:t>
      </w:r>
      <w:r w:rsidR="00213B86" w:rsidRPr="008A7487">
        <w:rPr>
          <w:rFonts w:ascii="Times New Roman" w:hAnsi="Times New Roman" w:cs="Times New Roman"/>
          <w:sz w:val="24"/>
          <w:szCs w:val="24"/>
        </w:rPr>
        <w:t xml:space="preserve"> and</w:t>
      </w:r>
      <w:r w:rsidRPr="008A7487">
        <w:rPr>
          <w:rFonts w:ascii="Times New Roman" w:hAnsi="Times New Roman" w:cs="Times New Roman"/>
          <w:sz w:val="24"/>
          <w:szCs w:val="24"/>
        </w:rPr>
        <w:t xml:space="preserve"> Dietrich </w:t>
      </w:r>
      <w:r w:rsidR="004F2EB7">
        <w:rPr>
          <w:rFonts w:ascii="Times New Roman" w:hAnsi="Times New Roman" w:cs="Times New Roman"/>
          <w:sz w:val="24"/>
          <w:szCs w:val="24"/>
        </w:rPr>
        <w:t>&amp;</w:t>
      </w:r>
      <w:r w:rsidRPr="008A7487">
        <w:rPr>
          <w:rFonts w:ascii="Times New Roman" w:hAnsi="Times New Roman" w:cs="Times New Roman"/>
          <w:sz w:val="24"/>
          <w:szCs w:val="24"/>
        </w:rPr>
        <w:t xml:space="preserve"> Wanzenrid (2014). </w:t>
      </w:r>
      <w:r w:rsidR="00213B86" w:rsidRPr="008A7487">
        <w:rPr>
          <w:rFonts w:ascii="Times New Roman" w:hAnsi="Times New Roman" w:cs="Times New Roman"/>
          <w:sz w:val="24"/>
          <w:szCs w:val="24"/>
        </w:rPr>
        <w:t>Compared to a study by</w:t>
      </w:r>
      <w:r w:rsidR="00FD5888" w:rsidRPr="008A7487">
        <w:rPr>
          <w:rFonts w:ascii="Times New Roman" w:hAnsi="Times New Roman" w:cs="Times New Roman"/>
          <w:sz w:val="24"/>
          <w:szCs w:val="24"/>
        </w:rPr>
        <w:t xml:space="preserve"> Dietrich </w:t>
      </w:r>
      <w:r w:rsidR="004F2EB7">
        <w:rPr>
          <w:rFonts w:ascii="Times New Roman" w:hAnsi="Times New Roman" w:cs="Times New Roman"/>
          <w:sz w:val="24"/>
          <w:szCs w:val="24"/>
        </w:rPr>
        <w:t>&amp;</w:t>
      </w:r>
      <w:r w:rsidR="00FD5888" w:rsidRPr="008A7487">
        <w:rPr>
          <w:rFonts w:ascii="Times New Roman" w:hAnsi="Times New Roman" w:cs="Times New Roman"/>
          <w:sz w:val="24"/>
          <w:szCs w:val="24"/>
        </w:rPr>
        <w:t xml:space="preserve"> Wanzenrid (2011) in respect of the </w:t>
      </w:r>
      <w:r w:rsidR="00213B86" w:rsidRPr="008A7487">
        <w:rPr>
          <w:rFonts w:ascii="Times New Roman" w:hAnsi="Times New Roman" w:cs="Times New Roman"/>
          <w:sz w:val="24"/>
          <w:szCs w:val="24"/>
        </w:rPr>
        <w:t xml:space="preserve">relationship between bank size and profitability during the </w:t>
      </w:r>
      <w:r w:rsidR="00FD5888" w:rsidRPr="008A7487">
        <w:rPr>
          <w:rFonts w:ascii="Times New Roman" w:hAnsi="Times New Roman" w:cs="Times New Roman"/>
          <w:sz w:val="24"/>
          <w:szCs w:val="24"/>
        </w:rPr>
        <w:t>financial crisis</w:t>
      </w:r>
      <w:r w:rsidR="00213B86" w:rsidRPr="008A7487">
        <w:rPr>
          <w:rFonts w:ascii="Times New Roman" w:hAnsi="Times New Roman" w:cs="Times New Roman"/>
          <w:sz w:val="24"/>
          <w:szCs w:val="24"/>
        </w:rPr>
        <w:t xml:space="preserve">, our study results differ in that while we report a positive relationship, they found a negative relationship. </w:t>
      </w:r>
      <w:r w:rsidR="00D93C92" w:rsidRPr="008A7487">
        <w:rPr>
          <w:rFonts w:ascii="Times New Roman" w:hAnsi="Times New Roman" w:cs="Times New Roman"/>
          <w:sz w:val="24"/>
          <w:szCs w:val="24"/>
        </w:rPr>
        <w:t xml:space="preserve">We suspect that their use of dummy variable to measure bank size may have driven their result as we expect large banks to remain profitable during and after the crisis due to economies of scale and better resources.  </w:t>
      </w:r>
    </w:p>
    <w:p w14:paraId="0A41837B" w14:textId="207E3A91" w:rsidR="00336ACE" w:rsidRPr="008A7487" w:rsidRDefault="00181D2B" w:rsidP="007B0969">
      <w:pPr>
        <w:spacing w:line="480" w:lineRule="auto"/>
        <w:ind w:firstLine="720"/>
        <w:contextualSpacing/>
        <w:jc w:val="both"/>
        <w:rPr>
          <w:rFonts w:ascii="Times New Roman" w:hAnsi="Times New Roman" w:cs="Times New Roman"/>
          <w:sz w:val="24"/>
          <w:szCs w:val="24"/>
        </w:rPr>
      </w:pPr>
      <w:r w:rsidRPr="008A7487">
        <w:rPr>
          <w:rFonts w:ascii="Times New Roman" w:hAnsi="Times New Roman" w:cs="Times New Roman"/>
          <w:sz w:val="24"/>
          <w:szCs w:val="24"/>
        </w:rPr>
        <w:lastRenderedPageBreak/>
        <w:t>Our results</w:t>
      </w:r>
      <w:r w:rsidR="007B0969" w:rsidRPr="008A7487">
        <w:rPr>
          <w:rFonts w:ascii="Times New Roman" w:hAnsi="Times New Roman" w:cs="Times New Roman"/>
          <w:sz w:val="24"/>
          <w:szCs w:val="24"/>
        </w:rPr>
        <w:t xml:space="preserve"> </w:t>
      </w:r>
      <w:r w:rsidRPr="008A7487">
        <w:rPr>
          <w:rFonts w:ascii="Times New Roman" w:hAnsi="Times New Roman" w:cs="Times New Roman"/>
          <w:sz w:val="24"/>
          <w:szCs w:val="24"/>
        </w:rPr>
        <w:t xml:space="preserve">which show a </w:t>
      </w:r>
      <w:r w:rsidR="009F283B" w:rsidRPr="008A7487">
        <w:rPr>
          <w:rFonts w:ascii="Times New Roman" w:hAnsi="Times New Roman" w:cs="Times New Roman"/>
          <w:sz w:val="24"/>
          <w:szCs w:val="24"/>
        </w:rPr>
        <w:t xml:space="preserve">significant positive relationship between bank capital strength and </w:t>
      </w:r>
      <w:r w:rsidR="007B0969" w:rsidRPr="008A7487">
        <w:rPr>
          <w:rFonts w:ascii="Times New Roman" w:hAnsi="Times New Roman" w:cs="Times New Roman"/>
          <w:sz w:val="24"/>
          <w:szCs w:val="24"/>
        </w:rPr>
        <w:t xml:space="preserve">ROA (before and during) and NIM (during and after) the financial crisis are </w:t>
      </w:r>
      <w:r w:rsidR="009F283B" w:rsidRPr="008A7487">
        <w:rPr>
          <w:rFonts w:ascii="Times New Roman" w:hAnsi="Times New Roman" w:cs="Times New Roman"/>
          <w:sz w:val="24"/>
          <w:szCs w:val="24"/>
        </w:rPr>
        <w:t xml:space="preserve">consistent with </w:t>
      </w:r>
      <w:r w:rsidR="007B0969" w:rsidRPr="008A7487">
        <w:rPr>
          <w:rFonts w:ascii="Times New Roman" w:hAnsi="Times New Roman" w:cs="Times New Roman"/>
          <w:sz w:val="24"/>
          <w:szCs w:val="24"/>
        </w:rPr>
        <w:t xml:space="preserve">the </w:t>
      </w:r>
      <w:r w:rsidR="009F283B" w:rsidRPr="008A7487">
        <w:rPr>
          <w:rFonts w:ascii="Times New Roman" w:hAnsi="Times New Roman" w:cs="Times New Roman"/>
          <w:sz w:val="24"/>
          <w:szCs w:val="24"/>
        </w:rPr>
        <w:t xml:space="preserve">findings </w:t>
      </w:r>
      <w:r w:rsidR="007B0969" w:rsidRPr="008A7487">
        <w:rPr>
          <w:rFonts w:ascii="Times New Roman" w:hAnsi="Times New Roman" w:cs="Times New Roman"/>
          <w:sz w:val="24"/>
          <w:szCs w:val="24"/>
        </w:rPr>
        <w:t xml:space="preserve">reported by </w:t>
      </w:r>
      <w:r w:rsidR="009F283B" w:rsidRPr="008A7487">
        <w:rPr>
          <w:rFonts w:ascii="Times New Roman" w:hAnsi="Times New Roman" w:cs="Times New Roman"/>
          <w:sz w:val="24"/>
          <w:szCs w:val="24"/>
        </w:rPr>
        <w:t>Berger (1995</w:t>
      </w:r>
      <w:r w:rsidR="004576B2" w:rsidRPr="008A7487">
        <w:rPr>
          <w:rFonts w:ascii="Times New Roman" w:hAnsi="Times New Roman" w:cs="Times New Roman"/>
          <w:sz w:val="24"/>
          <w:szCs w:val="24"/>
        </w:rPr>
        <w:t>b</w:t>
      </w:r>
      <w:r w:rsidR="009F283B" w:rsidRPr="008A7487">
        <w:rPr>
          <w:rFonts w:ascii="Times New Roman" w:hAnsi="Times New Roman" w:cs="Times New Roman"/>
          <w:sz w:val="24"/>
          <w:szCs w:val="24"/>
        </w:rPr>
        <w:t>)</w:t>
      </w:r>
      <w:r w:rsidR="007B0969" w:rsidRPr="008A7487">
        <w:rPr>
          <w:rFonts w:ascii="Times New Roman" w:hAnsi="Times New Roman" w:cs="Times New Roman"/>
          <w:sz w:val="24"/>
          <w:szCs w:val="24"/>
        </w:rPr>
        <w:t>,</w:t>
      </w:r>
      <w:r w:rsidR="009F283B" w:rsidRPr="008A7487">
        <w:rPr>
          <w:rFonts w:ascii="Times New Roman" w:hAnsi="Times New Roman" w:cs="Times New Roman"/>
          <w:sz w:val="24"/>
          <w:szCs w:val="24"/>
        </w:rPr>
        <w:t xml:space="preserve"> Bourke (1989), Demirguc-Kunt </w:t>
      </w:r>
      <w:r w:rsidR="004F2EB7">
        <w:rPr>
          <w:rFonts w:ascii="Times New Roman" w:hAnsi="Times New Roman" w:cs="Times New Roman"/>
          <w:sz w:val="24"/>
          <w:szCs w:val="24"/>
        </w:rPr>
        <w:t>&amp;</w:t>
      </w:r>
      <w:r w:rsidR="009F283B" w:rsidRPr="008A7487">
        <w:rPr>
          <w:rFonts w:ascii="Times New Roman" w:hAnsi="Times New Roman" w:cs="Times New Roman"/>
          <w:sz w:val="24"/>
          <w:szCs w:val="24"/>
        </w:rPr>
        <w:t xml:space="preserve"> Huizinga (1999), and Goddard et </w:t>
      </w:r>
      <w:r w:rsidR="009554E5" w:rsidRPr="008A7487">
        <w:rPr>
          <w:rFonts w:ascii="Times New Roman" w:hAnsi="Times New Roman" w:cs="Times New Roman"/>
          <w:sz w:val="24"/>
          <w:szCs w:val="24"/>
        </w:rPr>
        <w:t>al.</w:t>
      </w:r>
      <w:r w:rsidR="009F283B" w:rsidRPr="008A7487">
        <w:rPr>
          <w:rFonts w:ascii="Times New Roman" w:hAnsi="Times New Roman" w:cs="Times New Roman"/>
          <w:sz w:val="24"/>
          <w:szCs w:val="24"/>
        </w:rPr>
        <w:t xml:space="preserve"> (2004). </w:t>
      </w:r>
      <w:r w:rsidR="007B0969" w:rsidRPr="008A7487">
        <w:rPr>
          <w:rFonts w:ascii="Times New Roman" w:hAnsi="Times New Roman" w:cs="Times New Roman"/>
          <w:sz w:val="24"/>
          <w:szCs w:val="24"/>
        </w:rPr>
        <w:t>In the sub-Saharan context,</w:t>
      </w:r>
      <w:r w:rsidR="009F283B" w:rsidRPr="008A7487">
        <w:rPr>
          <w:rFonts w:ascii="Times New Roman" w:hAnsi="Times New Roman" w:cs="Times New Roman"/>
          <w:sz w:val="24"/>
          <w:szCs w:val="24"/>
        </w:rPr>
        <w:t xml:space="preserve"> Flamini et </w:t>
      </w:r>
      <w:r w:rsidR="009554E5" w:rsidRPr="008A7487">
        <w:rPr>
          <w:rFonts w:ascii="Times New Roman" w:hAnsi="Times New Roman" w:cs="Times New Roman"/>
          <w:sz w:val="24"/>
          <w:szCs w:val="24"/>
        </w:rPr>
        <w:t>al.</w:t>
      </w:r>
      <w:r w:rsidR="009F283B" w:rsidRPr="008A7487">
        <w:rPr>
          <w:rFonts w:ascii="Times New Roman" w:hAnsi="Times New Roman" w:cs="Times New Roman"/>
          <w:sz w:val="24"/>
          <w:szCs w:val="24"/>
        </w:rPr>
        <w:t xml:space="preserve"> (2009) also report a positive relationship between </w:t>
      </w:r>
      <w:r w:rsidR="007B0969" w:rsidRPr="008A7487">
        <w:rPr>
          <w:rFonts w:ascii="Times New Roman" w:hAnsi="Times New Roman" w:cs="Times New Roman"/>
          <w:sz w:val="24"/>
          <w:szCs w:val="24"/>
        </w:rPr>
        <w:t xml:space="preserve">bank </w:t>
      </w:r>
      <w:r w:rsidR="009F283B" w:rsidRPr="008A7487">
        <w:rPr>
          <w:rFonts w:ascii="Times New Roman" w:hAnsi="Times New Roman" w:cs="Times New Roman"/>
          <w:sz w:val="24"/>
          <w:szCs w:val="24"/>
        </w:rPr>
        <w:t>capital strength and bank profitability</w:t>
      </w:r>
      <w:r w:rsidR="007B0969" w:rsidRPr="008A7487">
        <w:rPr>
          <w:rFonts w:ascii="Times New Roman" w:hAnsi="Times New Roman" w:cs="Times New Roman"/>
          <w:sz w:val="24"/>
          <w:szCs w:val="24"/>
        </w:rPr>
        <w:t>.</w:t>
      </w:r>
      <w:r w:rsidR="009F283B" w:rsidRPr="008A7487">
        <w:rPr>
          <w:rFonts w:ascii="Times New Roman" w:hAnsi="Times New Roman" w:cs="Times New Roman"/>
          <w:sz w:val="24"/>
          <w:szCs w:val="24"/>
        </w:rPr>
        <w:t xml:space="preserve"> </w:t>
      </w:r>
      <w:r w:rsidR="00A0010D" w:rsidRPr="008A7487">
        <w:rPr>
          <w:rFonts w:ascii="Times New Roman" w:hAnsi="Times New Roman" w:cs="Times New Roman"/>
          <w:sz w:val="24"/>
          <w:szCs w:val="24"/>
        </w:rPr>
        <w:t xml:space="preserve">However, our results of a positive relationship during the financial crisis contradict the suggestion by </w:t>
      </w:r>
      <w:r w:rsidR="00336ACE" w:rsidRPr="008A7487">
        <w:rPr>
          <w:rFonts w:ascii="Times New Roman" w:hAnsi="Times New Roman" w:cs="Times New Roman"/>
          <w:sz w:val="24"/>
          <w:szCs w:val="24"/>
          <w:lang w:val="en-GB"/>
        </w:rPr>
        <w:t xml:space="preserve">Dietrich </w:t>
      </w:r>
      <w:r w:rsidR="004F2EB7">
        <w:rPr>
          <w:rFonts w:ascii="Times New Roman" w:hAnsi="Times New Roman" w:cs="Times New Roman"/>
          <w:sz w:val="24"/>
          <w:szCs w:val="24"/>
          <w:lang w:val="en-GB"/>
        </w:rPr>
        <w:t>&amp;</w:t>
      </w:r>
      <w:r w:rsidR="00336ACE" w:rsidRPr="008A7487">
        <w:rPr>
          <w:rFonts w:ascii="Times New Roman" w:hAnsi="Times New Roman" w:cs="Times New Roman"/>
          <w:sz w:val="24"/>
          <w:szCs w:val="24"/>
          <w:lang w:val="en-GB"/>
        </w:rPr>
        <w:t xml:space="preserve"> Wanzenried (2011)</w:t>
      </w:r>
      <w:r w:rsidR="00336ACE" w:rsidRPr="008A7487">
        <w:rPr>
          <w:rFonts w:ascii="Times New Roman" w:hAnsi="Times New Roman" w:cs="Times New Roman"/>
          <w:sz w:val="24"/>
          <w:szCs w:val="24"/>
        </w:rPr>
        <w:t xml:space="preserve"> who </w:t>
      </w:r>
      <w:r w:rsidR="00A0010D" w:rsidRPr="008A7487">
        <w:rPr>
          <w:rFonts w:ascii="Times New Roman" w:hAnsi="Times New Roman" w:cs="Times New Roman"/>
          <w:sz w:val="24"/>
          <w:szCs w:val="24"/>
        </w:rPr>
        <w:t xml:space="preserve">state </w:t>
      </w:r>
      <w:r w:rsidR="00336ACE" w:rsidRPr="008A7487">
        <w:rPr>
          <w:rFonts w:ascii="Times New Roman" w:hAnsi="Times New Roman" w:cs="Times New Roman"/>
          <w:sz w:val="24"/>
          <w:szCs w:val="24"/>
        </w:rPr>
        <w:t xml:space="preserve">that </w:t>
      </w:r>
      <w:r w:rsidR="009D548D">
        <w:rPr>
          <w:rFonts w:ascii="Times New Roman" w:hAnsi="Times New Roman" w:cs="Times New Roman"/>
          <w:sz w:val="24"/>
          <w:szCs w:val="24"/>
        </w:rPr>
        <w:t xml:space="preserve">increase in </w:t>
      </w:r>
      <w:r w:rsidR="00336ACE" w:rsidRPr="008A7487">
        <w:rPr>
          <w:rFonts w:ascii="Times New Roman" w:hAnsi="Times New Roman" w:cs="Times New Roman"/>
          <w:sz w:val="24"/>
          <w:szCs w:val="24"/>
        </w:rPr>
        <w:t xml:space="preserve">Swiss </w:t>
      </w:r>
      <w:r w:rsidR="00336ACE" w:rsidRPr="008A7487">
        <w:rPr>
          <w:rFonts w:ascii="Times New Roman" w:hAnsi="Times New Roman" w:cs="Times New Roman"/>
          <w:sz w:val="24"/>
          <w:szCs w:val="24"/>
        </w:rPr>
        <w:lastRenderedPageBreak/>
        <w:t>banks</w:t>
      </w:r>
      <w:r w:rsidR="009D548D">
        <w:rPr>
          <w:rFonts w:ascii="Times New Roman" w:hAnsi="Times New Roman" w:cs="Times New Roman"/>
          <w:sz w:val="24"/>
          <w:szCs w:val="24"/>
        </w:rPr>
        <w:t>’</w:t>
      </w:r>
      <w:r w:rsidR="00336ACE" w:rsidRPr="008A7487">
        <w:rPr>
          <w:rFonts w:ascii="Times New Roman" w:hAnsi="Times New Roman" w:cs="Times New Roman"/>
          <w:sz w:val="24"/>
          <w:szCs w:val="24"/>
        </w:rPr>
        <w:t xml:space="preserve"> </w:t>
      </w:r>
      <w:r w:rsidR="00A0010D" w:rsidRPr="008A7487">
        <w:rPr>
          <w:rFonts w:ascii="Times New Roman" w:hAnsi="Times New Roman" w:cs="Times New Roman"/>
          <w:sz w:val="24"/>
          <w:szCs w:val="24"/>
        </w:rPr>
        <w:t>deposits</w:t>
      </w:r>
      <w:r w:rsidR="00F05BA0">
        <w:rPr>
          <w:rFonts w:ascii="Times New Roman" w:hAnsi="Times New Roman" w:cs="Times New Roman"/>
          <w:sz w:val="24"/>
          <w:szCs w:val="24"/>
        </w:rPr>
        <w:t xml:space="preserve"> could not be turned </w:t>
      </w:r>
      <w:r w:rsidR="00A0010D" w:rsidRPr="008A7487">
        <w:rPr>
          <w:rFonts w:ascii="Times New Roman" w:hAnsi="Times New Roman" w:cs="Times New Roman"/>
          <w:sz w:val="24"/>
          <w:szCs w:val="24"/>
        </w:rPr>
        <w:t xml:space="preserve">into profits during financial crisis because of the </w:t>
      </w:r>
      <w:r w:rsidR="00336ACE" w:rsidRPr="008A7487">
        <w:rPr>
          <w:rFonts w:ascii="Times New Roman" w:hAnsi="Times New Roman" w:cs="Times New Roman"/>
          <w:sz w:val="24"/>
          <w:szCs w:val="24"/>
        </w:rPr>
        <w:t xml:space="preserve">low demand for credit and limited opportunities for investments during the crisis leading to the reported negative relationship in their study. </w:t>
      </w:r>
    </w:p>
    <w:p w14:paraId="5F16E0B9" w14:textId="7971658C" w:rsidR="00636AFB" w:rsidRPr="008A7487" w:rsidRDefault="00636AFB" w:rsidP="00A56114">
      <w:pPr>
        <w:spacing w:line="480" w:lineRule="auto"/>
        <w:ind w:firstLine="720"/>
        <w:contextualSpacing/>
        <w:jc w:val="both"/>
        <w:rPr>
          <w:rFonts w:ascii="Times New Roman" w:hAnsi="Times New Roman" w:cs="Times New Roman"/>
          <w:sz w:val="24"/>
          <w:szCs w:val="24"/>
        </w:rPr>
      </w:pPr>
      <w:r w:rsidRPr="008A7487">
        <w:rPr>
          <w:rFonts w:ascii="Times New Roman" w:hAnsi="Times New Roman" w:cs="Times New Roman"/>
          <w:sz w:val="24"/>
          <w:szCs w:val="24"/>
        </w:rPr>
        <w:t>The results of the relationship between cred</w:t>
      </w:r>
      <w:r w:rsidR="00A56114" w:rsidRPr="008A7487">
        <w:rPr>
          <w:rFonts w:ascii="Times New Roman" w:hAnsi="Times New Roman" w:cs="Times New Roman"/>
          <w:sz w:val="24"/>
          <w:szCs w:val="24"/>
        </w:rPr>
        <w:t xml:space="preserve">it risk (CR) and profitability which show no significant relationship before the financial crisis but </w:t>
      </w:r>
      <w:r w:rsidRPr="008A7487">
        <w:rPr>
          <w:rFonts w:ascii="Times New Roman" w:hAnsi="Times New Roman" w:cs="Times New Roman"/>
          <w:sz w:val="24"/>
          <w:szCs w:val="24"/>
        </w:rPr>
        <w:t xml:space="preserve">becoming negative and statistically significant during and after the financial crisis </w:t>
      </w:r>
      <w:r w:rsidR="00A56114" w:rsidRPr="008A7487">
        <w:rPr>
          <w:rFonts w:ascii="Times New Roman" w:hAnsi="Times New Roman" w:cs="Times New Roman"/>
          <w:sz w:val="24"/>
          <w:szCs w:val="24"/>
        </w:rPr>
        <w:t xml:space="preserve">when profitability is measured by </w:t>
      </w:r>
      <w:r w:rsidRPr="008A7487">
        <w:rPr>
          <w:rFonts w:ascii="Times New Roman" w:hAnsi="Times New Roman" w:cs="Times New Roman"/>
          <w:sz w:val="24"/>
          <w:szCs w:val="24"/>
        </w:rPr>
        <w:t>ROA</w:t>
      </w:r>
      <w:r w:rsidR="00A56114" w:rsidRPr="008A7487">
        <w:rPr>
          <w:rFonts w:ascii="Times New Roman" w:hAnsi="Times New Roman" w:cs="Times New Roman"/>
          <w:sz w:val="24"/>
          <w:szCs w:val="24"/>
        </w:rPr>
        <w:t xml:space="preserve"> suggest that</w:t>
      </w:r>
      <w:r w:rsidRPr="008A7487">
        <w:rPr>
          <w:rFonts w:ascii="Times New Roman" w:hAnsi="Times New Roman" w:cs="Times New Roman"/>
          <w:sz w:val="24"/>
          <w:szCs w:val="24"/>
        </w:rPr>
        <w:t xml:space="preserve"> the financial crisis increased banking risks and these </w:t>
      </w:r>
      <w:r w:rsidRPr="008A7487">
        <w:rPr>
          <w:rFonts w:ascii="Times New Roman" w:hAnsi="Times New Roman" w:cs="Times New Roman"/>
          <w:sz w:val="24"/>
          <w:szCs w:val="24"/>
        </w:rPr>
        <w:lastRenderedPageBreak/>
        <w:t>had significant negative effects on bank profitability. These findings are consistent with the findings reported</w:t>
      </w:r>
      <w:r w:rsidR="00A56114" w:rsidRPr="008A7487">
        <w:rPr>
          <w:rFonts w:ascii="Times New Roman" w:hAnsi="Times New Roman" w:cs="Times New Roman"/>
          <w:sz w:val="24"/>
          <w:szCs w:val="24"/>
        </w:rPr>
        <w:t xml:space="preserve"> Bourke (1989), Molyneux, and Thornton (1992) and Athanasoglou et al. (2008) and</w:t>
      </w:r>
      <w:r w:rsidRPr="008A7487">
        <w:rPr>
          <w:rFonts w:ascii="Times New Roman" w:hAnsi="Times New Roman" w:cs="Times New Roman"/>
          <w:sz w:val="24"/>
          <w:szCs w:val="24"/>
        </w:rPr>
        <w:t xml:space="preserve"> Dietrich </w:t>
      </w:r>
      <w:r w:rsidR="004F2EB7">
        <w:rPr>
          <w:rFonts w:ascii="Times New Roman" w:hAnsi="Times New Roman" w:cs="Times New Roman"/>
          <w:sz w:val="24"/>
          <w:szCs w:val="24"/>
        </w:rPr>
        <w:t>&amp;</w:t>
      </w:r>
      <w:r w:rsidRPr="008A7487">
        <w:rPr>
          <w:rFonts w:ascii="Times New Roman" w:hAnsi="Times New Roman" w:cs="Times New Roman"/>
          <w:sz w:val="24"/>
          <w:szCs w:val="24"/>
        </w:rPr>
        <w:t xml:space="preserve"> Wanzenried (2011) confirming the high banking risk during the crisis and its negative effects on bank profitability. </w:t>
      </w:r>
      <w:r w:rsidR="00A56114" w:rsidRPr="008A7487">
        <w:rPr>
          <w:rFonts w:ascii="Times New Roman" w:hAnsi="Times New Roman" w:cs="Times New Roman"/>
          <w:sz w:val="24"/>
          <w:szCs w:val="24"/>
        </w:rPr>
        <w:t>Our fi</w:t>
      </w:r>
      <w:r w:rsidRPr="008A7487">
        <w:rPr>
          <w:rFonts w:ascii="Times New Roman" w:hAnsi="Times New Roman" w:cs="Times New Roman"/>
          <w:sz w:val="24"/>
          <w:szCs w:val="24"/>
        </w:rPr>
        <w:t xml:space="preserve">ndings </w:t>
      </w:r>
      <w:r w:rsidR="00A56114" w:rsidRPr="008A7487">
        <w:rPr>
          <w:rFonts w:ascii="Times New Roman" w:hAnsi="Times New Roman" w:cs="Times New Roman"/>
          <w:sz w:val="24"/>
          <w:szCs w:val="24"/>
        </w:rPr>
        <w:t xml:space="preserve">may be </w:t>
      </w:r>
      <w:r w:rsidRPr="008A7487">
        <w:rPr>
          <w:rFonts w:ascii="Times New Roman" w:hAnsi="Times New Roman" w:cs="Times New Roman"/>
          <w:sz w:val="24"/>
          <w:szCs w:val="24"/>
        </w:rPr>
        <w:t xml:space="preserve">peculiar to Africa where banking infrastructure is weak. The high credit risk in this market is magnified in terms of the generally low lending and focus on short term lending. On the other hand, the results conflict </w:t>
      </w:r>
      <w:r w:rsidRPr="008A7487">
        <w:rPr>
          <w:rFonts w:ascii="Times New Roman" w:hAnsi="Times New Roman" w:cs="Times New Roman"/>
          <w:sz w:val="24"/>
          <w:szCs w:val="24"/>
        </w:rPr>
        <w:lastRenderedPageBreak/>
        <w:t xml:space="preserve">with the findings in Flamini et al. (2009) who report positive relationship. </w:t>
      </w:r>
    </w:p>
    <w:p w14:paraId="688D3922" w14:textId="1031D736" w:rsidR="00A56114" w:rsidRPr="008A7487" w:rsidRDefault="00A8706C" w:rsidP="00A56114">
      <w:pPr>
        <w:spacing w:line="480" w:lineRule="auto"/>
        <w:ind w:firstLine="720"/>
        <w:contextualSpacing/>
        <w:jc w:val="both"/>
        <w:rPr>
          <w:rFonts w:ascii="Times New Roman" w:hAnsi="Times New Roman" w:cs="Times New Roman"/>
          <w:sz w:val="24"/>
          <w:szCs w:val="24"/>
        </w:rPr>
      </w:pPr>
      <w:r w:rsidRPr="008A7487">
        <w:rPr>
          <w:rFonts w:ascii="Times New Roman" w:hAnsi="Times New Roman" w:cs="Times New Roman"/>
          <w:sz w:val="24"/>
          <w:szCs w:val="24"/>
        </w:rPr>
        <w:t>This</w:t>
      </w:r>
      <w:r w:rsidR="00F53E63" w:rsidRPr="008A7487">
        <w:rPr>
          <w:rFonts w:ascii="Times New Roman" w:hAnsi="Times New Roman" w:cs="Times New Roman"/>
          <w:sz w:val="24"/>
          <w:szCs w:val="24"/>
        </w:rPr>
        <w:t xml:space="preserve"> study reports a negative relationship between cost of operation and bank profitability which is rather standard and supports the finding in several previous studies including Athanasoglou et </w:t>
      </w:r>
      <w:r w:rsidR="009554E5" w:rsidRPr="008A7487">
        <w:rPr>
          <w:rFonts w:ascii="Times New Roman" w:hAnsi="Times New Roman" w:cs="Times New Roman"/>
          <w:sz w:val="24"/>
          <w:szCs w:val="24"/>
        </w:rPr>
        <w:t>al.</w:t>
      </w:r>
      <w:r w:rsidR="00F53E63" w:rsidRPr="008A7487">
        <w:rPr>
          <w:rFonts w:ascii="Times New Roman" w:hAnsi="Times New Roman" w:cs="Times New Roman"/>
          <w:sz w:val="24"/>
          <w:szCs w:val="24"/>
        </w:rPr>
        <w:t xml:space="preserve"> (2008), Bourke (1989), Molyneux </w:t>
      </w:r>
      <w:r w:rsidR="004F2EB7">
        <w:rPr>
          <w:rFonts w:ascii="Times New Roman" w:hAnsi="Times New Roman" w:cs="Times New Roman"/>
          <w:sz w:val="24"/>
          <w:szCs w:val="24"/>
        </w:rPr>
        <w:t>&amp;</w:t>
      </w:r>
      <w:r w:rsidR="00F53E63" w:rsidRPr="008A7487">
        <w:rPr>
          <w:rFonts w:ascii="Times New Roman" w:hAnsi="Times New Roman" w:cs="Times New Roman"/>
          <w:sz w:val="24"/>
          <w:szCs w:val="24"/>
        </w:rPr>
        <w:t xml:space="preserve"> Thornton (1992). This indicates that banks that are able to control their operating cost</w:t>
      </w:r>
      <w:r w:rsidR="007F0598">
        <w:rPr>
          <w:rFonts w:ascii="Times New Roman" w:hAnsi="Times New Roman" w:cs="Times New Roman"/>
          <w:sz w:val="24"/>
          <w:szCs w:val="24"/>
        </w:rPr>
        <w:t>s</w:t>
      </w:r>
      <w:r w:rsidR="00F53E63" w:rsidRPr="008A7487">
        <w:rPr>
          <w:rFonts w:ascii="Times New Roman" w:hAnsi="Times New Roman" w:cs="Times New Roman"/>
          <w:sz w:val="24"/>
          <w:szCs w:val="24"/>
        </w:rPr>
        <w:t xml:space="preserve"> are likely to be more profitable. </w:t>
      </w:r>
      <w:r w:rsidR="00513FD7" w:rsidRPr="008A7487">
        <w:rPr>
          <w:rFonts w:ascii="Times New Roman" w:hAnsi="Times New Roman" w:cs="Times New Roman"/>
          <w:sz w:val="24"/>
          <w:szCs w:val="24"/>
        </w:rPr>
        <w:t xml:space="preserve">This finding is consistent with the reported results in Dietrich </w:t>
      </w:r>
      <w:r w:rsidR="004F2EB7">
        <w:rPr>
          <w:rFonts w:ascii="Times New Roman" w:hAnsi="Times New Roman" w:cs="Times New Roman"/>
          <w:sz w:val="24"/>
          <w:szCs w:val="24"/>
        </w:rPr>
        <w:t>&amp;</w:t>
      </w:r>
      <w:r w:rsidR="00513FD7" w:rsidRPr="008A7487">
        <w:rPr>
          <w:rFonts w:ascii="Times New Roman" w:hAnsi="Times New Roman" w:cs="Times New Roman"/>
          <w:sz w:val="24"/>
          <w:szCs w:val="24"/>
        </w:rPr>
        <w:t xml:space="preserve"> Wanzenried (2011) for both before and after the crisis. </w:t>
      </w:r>
    </w:p>
    <w:p w14:paraId="1631BE74" w14:textId="72E5C684" w:rsidR="00FC237C" w:rsidRPr="008A7487" w:rsidRDefault="002438D5" w:rsidP="00A56114">
      <w:pPr>
        <w:spacing w:line="480" w:lineRule="auto"/>
        <w:ind w:firstLine="720"/>
        <w:contextualSpacing/>
        <w:jc w:val="both"/>
        <w:rPr>
          <w:rFonts w:ascii="Times New Roman" w:hAnsi="Times New Roman" w:cs="Times New Roman"/>
          <w:sz w:val="24"/>
          <w:szCs w:val="24"/>
        </w:rPr>
      </w:pPr>
      <w:r w:rsidRPr="008A7487">
        <w:rPr>
          <w:rFonts w:ascii="Times New Roman" w:hAnsi="Times New Roman" w:cs="Times New Roman"/>
          <w:sz w:val="24"/>
          <w:szCs w:val="24"/>
        </w:rPr>
        <w:lastRenderedPageBreak/>
        <w:t xml:space="preserve">Furthermore, </w:t>
      </w:r>
      <w:r w:rsidR="00A56114" w:rsidRPr="008A7487">
        <w:rPr>
          <w:rFonts w:ascii="Times New Roman" w:hAnsi="Times New Roman" w:cs="Times New Roman"/>
          <w:sz w:val="24"/>
          <w:szCs w:val="24"/>
        </w:rPr>
        <w:t>our findings which generally show a</w:t>
      </w:r>
      <w:r w:rsidR="00AC5E48" w:rsidRPr="008A7487">
        <w:rPr>
          <w:rFonts w:ascii="Times New Roman" w:hAnsi="Times New Roman" w:cs="Times New Roman"/>
          <w:sz w:val="24"/>
          <w:szCs w:val="24"/>
        </w:rPr>
        <w:t xml:space="preserve"> significant</w:t>
      </w:r>
      <w:r w:rsidR="00A56114" w:rsidRPr="008A7487">
        <w:rPr>
          <w:rFonts w:ascii="Times New Roman" w:hAnsi="Times New Roman" w:cs="Times New Roman"/>
          <w:sz w:val="24"/>
          <w:szCs w:val="24"/>
        </w:rPr>
        <w:t xml:space="preserve"> </w:t>
      </w:r>
      <w:r w:rsidRPr="008A7487">
        <w:rPr>
          <w:rFonts w:ascii="Times New Roman" w:hAnsi="Times New Roman" w:cs="Times New Roman"/>
          <w:sz w:val="24"/>
          <w:szCs w:val="24"/>
        </w:rPr>
        <w:t xml:space="preserve">negative relationship between liquidity and bank profitability </w:t>
      </w:r>
      <w:r w:rsidR="00BD3AE1" w:rsidRPr="008A7487">
        <w:rPr>
          <w:rFonts w:ascii="Times New Roman" w:hAnsi="Times New Roman" w:cs="Times New Roman"/>
          <w:sz w:val="24"/>
          <w:szCs w:val="24"/>
        </w:rPr>
        <w:t>are consistent with the view that poor liquidity management exposes banks to bankruptcy and credit risks (Moyer et al.</w:t>
      </w:r>
      <w:r w:rsidR="004F2EB7">
        <w:rPr>
          <w:rFonts w:ascii="Times New Roman" w:hAnsi="Times New Roman" w:cs="Times New Roman"/>
          <w:sz w:val="24"/>
          <w:szCs w:val="24"/>
        </w:rPr>
        <w:t>,</w:t>
      </w:r>
      <w:r w:rsidRPr="008A7487">
        <w:rPr>
          <w:rFonts w:ascii="Times New Roman" w:hAnsi="Times New Roman" w:cs="Times New Roman"/>
          <w:sz w:val="24"/>
          <w:szCs w:val="24"/>
        </w:rPr>
        <w:t xml:space="preserve"> 2005) with negative pressure on profitability. These findings </w:t>
      </w:r>
      <w:r w:rsidR="00BD3AE1" w:rsidRPr="008A7487">
        <w:rPr>
          <w:rFonts w:ascii="Times New Roman" w:hAnsi="Times New Roman" w:cs="Times New Roman"/>
          <w:sz w:val="24"/>
          <w:szCs w:val="24"/>
        </w:rPr>
        <w:t>are consistent with results from previous studie</w:t>
      </w:r>
      <w:r w:rsidR="0094142C">
        <w:rPr>
          <w:rFonts w:ascii="Times New Roman" w:hAnsi="Times New Roman" w:cs="Times New Roman"/>
          <w:sz w:val="24"/>
          <w:szCs w:val="24"/>
        </w:rPr>
        <w:t xml:space="preserve">s including Carbó </w:t>
      </w:r>
      <w:r w:rsidR="004F2EB7">
        <w:rPr>
          <w:rFonts w:ascii="Times New Roman" w:hAnsi="Times New Roman" w:cs="Times New Roman"/>
          <w:sz w:val="24"/>
          <w:szCs w:val="24"/>
        </w:rPr>
        <w:t>&amp;</w:t>
      </w:r>
      <w:r w:rsidR="0094142C">
        <w:rPr>
          <w:rFonts w:ascii="Times New Roman" w:hAnsi="Times New Roman" w:cs="Times New Roman"/>
          <w:sz w:val="24"/>
          <w:szCs w:val="24"/>
        </w:rPr>
        <w:t xml:space="preserve"> Rodríguez</w:t>
      </w:r>
      <w:r w:rsidR="00BD3AE1" w:rsidRPr="008A7487">
        <w:rPr>
          <w:rFonts w:ascii="Times New Roman" w:hAnsi="Times New Roman" w:cs="Times New Roman"/>
          <w:sz w:val="24"/>
          <w:szCs w:val="24"/>
        </w:rPr>
        <w:t xml:space="preserve"> (2007), Molyneux </w:t>
      </w:r>
      <w:r w:rsidR="004F2EB7">
        <w:rPr>
          <w:rFonts w:ascii="Times New Roman" w:hAnsi="Times New Roman" w:cs="Times New Roman"/>
          <w:sz w:val="24"/>
          <w:szCs w:val="24"/>
        </w:rPr>
        <w:t>&amp;</w:t>
      </w:r>
      <w:r w:rsidR="00BD3AE1" w:rsidRPr="008A7487">
        <w:rPr>
          <w:rFonts w:ascii="Times New Roman" w:hAnsi="Times New Roman" w:cs="Times New Roman"/>
          <w:sz w:val="24"/>
          <w:szCs w:val="24"/>
        </w:rPr>
        <w:t xml:space="preserve"> Thornton (1992), Pasiouras </w:t>
      </w:r>
      <w:r w:rsidR="004F2EB7">
        <w:rPr>
          <w:rFonts w:ascii="Times New Roman" w:hAnsi="Times New Roman" w:cs="Times New Roman"/>
          <w:sz w:val="24"/>
          <w:szCs w:val="24"/>
        </w:rPr>
        <w:t>&amp;</w:t>
      </w:r>
      <w:r w:rsidR="002C7DA4">
        <w:rPr>
          <w:rFonts w:ascii="Times New Roman" w:hAnsi="Times New Roman" w:cs="Times New Roman"/>
          <w:sz w:val="24"/>
          <w:szCs w:val="24"/>
        </w:rPr>
        <w:t xml:space="preserve"> Kosmidou (2007) all of whom </w:t>
      </w:r>
      <w:r w:rsidR="002C7DA4" w:rsidRPr="008A7487">
        <w:rPr>
          <w:rFonts w:ascii="Times New Roman" w:hAnsi="Times New Roman" w:cs="Times New Roman"/>
          <w:sz w:val="24"/>
          <w:szCs w:val="24"/>
        </w:rPr>
        <w:t>have</w:t>
      </w:r>
      <w:r w:rsidR="00BD3AE1" w:rsidRPr="008A7487">
        <w:rPr>
          <w:rFonts w:ascii="Times New Roman" w:hAnsi="Times New Roman" w:cs="Times New Roman"/>
          <w:sz w:val="24"/>
          <w:szCs w:val="24"/>
        </w:rPr>
        <w:t xml:space="preserve"> reported negative relationships but conflicts with the results from Bourke </w:t>
      </w:r>
      <w:r w:rsidR="00BD3AE1" w:rsidRPr="008A7487">
        <w:rPr>
          <w:rFonts w:ascii="Times New Roman" w:hAnsi="Times New Roman" w:cs="Times New Roman"/>
          <w:sz w:val="24"/>
          <w:szCs w:val="24"/>
        </w:rPr>
        <w:lastRenderedPageBreak/>
        <w:t xml:space="preserve">(1989) who found a positive relationship between the bank liquidity and profitability. </w:t>
      </w:r>
      <w:r w:rsidR="00FC237C" w:rsidRPr="008A7487">
        <w:rPr>
          <w:rFonts w:ascii="Times New Roman" w:hAnsi="Times New Roman" w:cs="Times New Roman"/>
          <w:sz w:val="24"/>
          <w:szCs w:val="24"/>
        </w:rPr>
        <w:t xml:space="preserve"> </w:t>
      </w:r>
    </w:p>
    <w:p w14:paraId="57D47DD0" w14:textId="3BE80D78" w:rsidR="00BD3AE1" w:rsidRPr="008A7487" w:rsidRDefault="00BD3AE1" w:rsidP="0009698E">
      <w:pPr>
        <w:spacing w:line="480" w:lineRule="auto"/>
        <w:ind w:firstLine="720"/>
        <w:contextualSpacing/>
        <w:jc w:val="both"/>
        <w:rPr>
          <w:rFonts w:ascii="Times New Roman" w:hAnsi="Times New Roman" w:cs="Times New Roman"/>
          <w:sz w:val="24"/>
          <w:szCs w:val="24"/>
        </w:rPr>
      </w:pPr>
      <w:r w:rsidRPr="008A7487">
        <w:rPr>
          <w:rFonts w:ascii="Times New Roman" w:hAnsi="Times New Roman" w:cs="Times New Roman"/>
          <w:sz w:val="24"/>
          <w:szCs w:val="24"/>
        </w:rPr>
        <w:t xml:space="preserve">The lack of statistically significant relationship between bank profitability and market </w:t>
      </w:r>
      <w:r w:rsidR="009745E3" w:rsidRPr="008A7487">
        <w:rPr>
          <w:rFonts w:ascii="Times New Roman" w:hAnsi="Times New Roman" w:cs="Times New Roman"/>
          <w:sz w:val="24"/>
          <w:szCs w:val="24"/>
        </w:rPr>
        <w:t>power</w:t>
      </w:r>
      <w:r w:rsidRPr="008A7487">
        <w:rPr>
          <w:rFonts w:ascii="Times New Roman" w:hAnsi="Times New Roman" w:cs="Times New Roman"/>
          <w:sz w:val="24"/>
          <w:szCs w:val="24"/>
        </w:rPr>
        <w:t xml:space="preserve"> reflects the inconsistencies in the resul</w:t>
      </w:r>
      <w:r w:rsidR="0094142C">
        <w:rPr>
          <w:rFonts w:ascii="Times New Roman" w:hAnsi="Times New Roman" w:cs="Times New Roman"/>
          <w:sz w:val="24"/>
          <w:szCs w:val="24"/>
        </w:rPr>
        <w:t>t from previous studies (</w:t>
      </w:r>
      <w:r w:rsidR="00F1113F" w:rsidRPr="008A7487">
        <w:rPr>
          <w:rFonts w:ascii="Times New Roman" w:hAnsi="Times New Roman" w:cs="Times New Roman"/>
          <w:sz w:val="24"/>
          <w:szCs w:val="24"/>
        </w:rPr>
        <w:t>Ahokpossi</w:t>
      </w:r>
      <w:r w:rsidR="00F1113F">
        <w:rPr>
          <w:rFonts w:ascii="Times New Roman" w:hAnsi="Times New Roman" w:cs="Times New Roman"/>
          <w:sz w:val="24"/>
          <w:szCs w:val="24"/>
        </w:rPr>
        <w:t>,</w:t>
      </w:r>
      <w:r w:rsidR="00F1113F" w:rsidRPr="008A7487">
        <w:rPr>
          <w:rFonts w:ascii="Times New Roman" w:hAnsi="Times New Roman" w:cs="Times New Roman"/>
          <w:sz w:val="24"/>
          <w:szCs w:val="24"/>
        </w:rPr>
        <w:t xml:space="preserve"> 2013</w:t>
      </w:r>
      <w:r w:rsidR="00F1113F">
        <w:rPr>
          <w:rFonts w:ascii="Times New Roman" w:hAnsi="Times New Roman" w:cs="Times New Roman"/>
          <w:sz w:val="24"/>
          <w:szCs w:val="24"/>
        </w:rPr>
        <w:t xml:space="preserve">; </w:t>
      </w:r>
      <w:r w:rsidR="00F1113F" w:rsidRPr="008A7487">
        <w:rPr>
          <w:rFonts w:ascii="Times New Roman" w:hAnsi="Times New Roman" w:cs="Times New Roman"/>
          <w:sz w:val="24"/>
          <w:szCs w:val="24"/>
        </w:rPr>
        <w:t>Athanasoglou et al.</w:t>
      </w:r>
      <w:r w:rsidR="00F1113F">
        <w:rPr>
          <w:rFonts w:ascii="Times New Roman" w:hAnsi="Times New Roman" w:cs="Times New Roman"/>
          <w:sz w:val="24"/>
          <w:szCs w:val="24"/>
        </w:rPr>
        <w:t>,</w:t>
      </w:r>
      <w:r w:rsidR="00F1113F" w:rsidRPr="008A7487">
        <w:rPr>
          <w:rFonts w:ascii="Times New Roman" w:hAnsi="Times New Roman" w:cs="Times New Roman"/>
          <w:sz w:val="24"/>
          <w:szCs w:val="24"/>
        </w:rPr>
        <w:t xml:space="preserve"> 2008</w:t>
      </w:r>
      <w:r w:rsidR="00F1113F">
        <w:rPr>
          <w:rFonts w:ascii="Times New Roman" w:hAnsi="Times New Roman" w:cs="Times New Roman"/>
          <w:sz w:val="24"/>
          <w:szCs w:val="24"/>
        </w:rPr>
        <w:t xml:space="preserve">; </w:t>
      </w:r>
      <w:r w:rsidR="00F1113F" w:rsidRPr="008A7487">
        <w:rPr>
          <w:rFonts w:ascii="Times New Roman" w:hAnsi="Times New Roman" w:cs="Times New Roman"/>
          <w:sz w:val="24"/>
          <w:szCs w:val="24"/>
        </w:rPr>
        <w:t>Mol</w:t>
      </w:r>
      <w:r w:rsidR="00F1113F">
        <w:rPr>
          <w:rFonts w:ascii="Times New Roman" w:hAnsi="Times New Roman" w:cs="Times New Roman"/>
          <w:sz w:val="24"/>
          <w:szCs w:val="24"/>
        </w:rPr>
        <w:t>yneux &amp; Thornton,</w:t>
      </w:r>
      <w:r w:rsidR="00F1113F" w:rsidRPr="008A7487">
        <w:rPr>
          <w:rFonts w:ascii="Times New Roman" w:hAnsi="Times New Roman" w:cs="Times New Roman"/>
          <w:sz w:val="24"/>
          <w:szCs w:val="24"/>
        </w:rPr>
        <w:t xml:space="preserve"> 1992</w:t>
      </w:r>
      <w:r w:rsidR="00F1113F">
        <w:rPr>
          <w:rFonts w:ascii="Times New Roman" w:hAnsi="Times New Roman" w:cs="Times New Roman"/>
          <w:sz w:val="24"/>
          <w:szCs w:val="24"/>
        </w:rPr>
        <w:t xml:space="preserve">; </w:t>
      </w:r>
      <w:r w:rsidR="0094142C">
        <w:rPr>
          <w:rFonts w:ascii="Times New Roman" w:hAnsi="Times New Roman" w:cs="Times New Roman"/>
          <w:sz w:val="24"/>
          <w:szCs w:val="24"/>
        </w:rPr>
        <w:t>Berger</w:t>
      </w:r>
      <w:r w:rsidR="004F2EB7">
        <w:rPr>
          <w:rFonts w:ascii="Times New Roman" w:hAnsi="Times New Roman" w:cs="Times New Roman"/>
          <w:sz w:val="24"/>
          <w:szCs w:val="24"/>
        </w:rPr>
        <w:t>,</w:t>
      </w:r>
      <w:r w:rsidR="00F1113F">
        <w:rPr>
          <w:rFonts w:ascii="Times New Roman" w:hAnsi="Times New Roman" w:cs="Times New Roman"/>
          <w:sz w:val="24"/>
          <w:szCs w:val="24"/>
        </w:rPr>
        <w:t xml:space="preserve"> 1995b</w:t>
      </w:r>
      <w:r w:rsidRPr="008A7487">
        <w:rPr>
          <w:rFonts w:ascii="Times New Roman" w:hAnsi="Times New Roman" w:cs="Times New Roman"/>
          <w:sz w:val="24"/>
          <w:szCs w:val="24"/>
        </w:rPr>
        <w:t xml:space="preserve">).  The lack of significance is consistent with the result in Flamini et al. (2009) who reported the absence of direct effect of market </w:t>
      </w:r>
      <w:r w:rsidR="002E01AA" w:rsidRPr="008A7487">
        <w:rPr>
          <w:rFonts w:ascii="Times New Roman" w:hAnsi="Times New Roman" w:cs="Times New Roman"/>
          <w:sz w:val="24"/>
          <w:szCs w:val="24"/>
        </w:rPr>
        <w:t>power</w:t>
      </w:r>
      <w:r w:rsidRPr="008A7487">
        <w:rPr>
          <w:rFonts w:ascii="Times New Roman" w:hAnsi="Times New Roman" w:cs="Times New Roman"/>
          <w:sz w:val="24"/>
          <w:szCs w:val="24"/>
        </w:rPr>
        <w:t xml:space="preserve"> on bank profitability when this </w:t>
      </w:r>
      <w:r w:rsidR="002E01AA" w:rsidRPr="008A7487">
        <w:rPr>
          <w:rFonts w:ascii="Times New Roman" w:hAnsi="Times New Roman" w:cs="Times New Roman"/>
          <w:sz w:val="24"/>
          <w:szCs w:val="24"/>
        </w:rPr>
        <w:t>was</w:t>
      </w:r>
      <w:r w:rsidRPr="008A7487">
        <w:rPr>
          <w:rFonts w:ascii="Times New Roman" w:hAnsi="Times New Roman" w:cs="Times New Roman"/>
          <w:sz w:val="24"/>
          <w:szCs w:val="24"/>
        </w:rPr>
        <w:t xml:space="preserve"> measured as </w:t>
      </w:r>
      <w:r w:rsidR="008D47C2" w:rsidRPr="008A7487">
        <w:rPr>
          <w:rFonts w:ascii="Times New Roman" w:hAnsi="Times New Roman" w:cs="Times New Roman"/>
          <w:sz w:val="24"/>
          <w:szCs w:val="24"/>
        </w:rPr>
        <w:t>ROA</w:t>
      </w:r>
      <w:r w:rsidRPr="008A7487">
        <w:rPr>
          <w:rFonts w:ascii="Times New Roman" w:hAnsi="Times New Roman" w:cs="Times New Roman"/>
          <w:sz w:val="24"/>
          <w:szCs w:val="24"/>
        </w:rPr>
        <w:t xml:space="preserve">, in their study of African banks.  However, the statistically </w:t>
      </w:r>
      <w:r w:rsidRPr="008A7487">
        <w:rPr>
          <w:rFonts w:ascii="Times New Roman" w:hAnsi="Times New Roman" w:cs="Times New Roman"/>
          <w:sz w:val="24"/>
          <w:szCs w:val="24"/>
        </w:rPr>
        <w:lastRenderedPageBreak/>
        <w:t xml:space="preserve">significant positive relationship </w:t>
      </w:r>
      <w:r w:rsidR="009B34BD" w:rsidRPr="008A7487">
        <w:rPr>
          <w:rFonts w:ascii="Times New Roman" w:hAnsi="Times New Roman" w:cs="Times New Roman"/>
          <w:sz w:val="24"/>
          <w:szCs w:val="24"/>
        </w:rPr>
        <w:t xml:space="preserve">between </w:t>
      </w:r>
      <w:r w:rsidR="002E01AA" w:rsidRPr="008A7487">
        <w:rPr>
          <w:rFonts w:ascii="Times New Roman" w:hAnsi="Times New Roman" w:cs="Times New Roman"/>
          <w:sz w:val="24"/>
          <w:szCs w:val="24"/>
        </w:rPr>
        <w:t xml:space="preserve">bank </w:t>
      </w:r>
      <w:r w:rsidR="009745E3" w:rsidRPr="008A7487">
        <w:rPr>
          <w:rFonts w:ascii="Times New Roman" w:hAnsi="Times New Roman" w:cs="Times New Roman"/>
          <w:sz w:val="24"/>
          <w:szCs w:val="24"/>
        </w:rPr>
        <w:t>market</w:t>
      </w:r>
      <w:r w:rsidR="002E01AA" w:rsidRPr="008A7487">
        <w:rPr>
          <w:rFonts w:ascii="Times New Roman" w:hAnsi="Times New Roman" w:cs="Times New Roman"/>
          <w:sz w:val="24"/>
          <w:szCs w:val="24"/>
        </w:rPr>
        <w:t xml:space="preserve"> power</w:t>
      </w:r>
      <w:r w:rsidRPr="008A7487">
        <w:rPr>
          <w:rFonts w:ascii="Times New Roman" w:hAnsi="Times New Roman" w:cs="Times New Roman"/>
          <w:sz w:val="24"/>
          <w:szCs w:val="24"/>
        </w:rPr>
        <w:t xml:space="preserve"> and </w:t>
      </w:r>
      <w:r w:rsidR="009B34BD" w:rsidRPr="008A7487">
        <w:rPr>
          <w:rFonts w:ascii="Times New Roman" w:hAnsi="Times New Roman" w:cs="Times New Roman"/>
          <w:sz w:val="24"/>
          <w:szCs w:val="24"/>
        </w:rPr>
        <w:t>NIM</w:t>
      </w:r>
      <w:r w:rsidRPr="008A7487">
        <w:rPr>
          <w:rFonts w:ascii="Times New Roman" w:hAnsi="Times New Roman" w:cs="Times New Roman"/>
          <w:sz w:val="24"/>
          <w:szCs w:val="24"/>
        </w:rPr>
        <w:t xml:space="preserve"> supports Molyneux </w:t>
      </w:r>
      <w:r w:rsidR="004F2EB7">
        <w:rPr>
          <w:rFonts w:ascii="Times New Roman" w:hAnsi="Times New Roman" w:cs="Times New Roman"/>
          <w:sz w:val="24"/>
          <w:szCs w:val="24"/>
        </w:rPr>
        <w:t>&amp;</w:t>
      </w:r>
      <w:r w:rsidRPr="008A7487">
        <w:rPr>
          <w:rFonts w:ascii="Times New Roman" w:hAnsi="Times New Roman" w:cs="Times New Roman"/>
          <w:sz w:val="24"/>
          <w:szCs w:val="24"/>
        </w:rPr>
        <w:t xml:space="preserve"> Thornton (1992) findings but conflicts with Ahokpossi (2013) who reported a negative relationship </w:t>
      </w:r>
      <w:r w:rsidR="002E01AA" w:rsidRPr="008A7487">
        <w:rPr>
          <w:rFonts w:ascii="Times New Roman" w:hAnsi="Times New Roman" w:cs="Times New Roman"/>
          <w:sz w:val="24"/>
          <w:szCs w:val="24"/>
        </w:rPr>
        <w:t xml:space="preserve">between </w:t>
      </w:r>
      <w:r w:rsidR="009B34BD" w:rsidRPr="008A7487">
        <w:rPr>
          <w:rFonts w:ascii="Times New Roman" w:hAnsi="Times New Roman" w:cs="Times New Roman"/>
          <w:sz w:val="24"/>
          <w:szCs w:val="24"/>
        </w:rPr>
        <w:t xml:space="preserve">these variables. </w:t>
      </w:r>
    </w:p>
    <w:p w14:paraId="074242BB" w14:textId="7495F464" w:rsidR="00F1205D" w:rsidRPr="008A7487" w:rsidRDefault="0012450E" w:rsidP="0009698E">
      <w:pPr>
        <w:spacing w:line="480" w:lineRule="auto"/>
        <w:ind w:firstLine="720"/>
        <w:contextualSpacing/>
        <w:jc w:val="both"/>
        <w:rPr>
          <w:rFonts w:ascii="Times New Roman" w:hAnsi="Times New Roman" w:cs="Times New Roman"/>
          <w:sz w:val="24"/>
          <w:szCs w:val="24"/>
        </w:rPr>
      </w:pPr>
      <w:r w:rsidRPr="008A7487">
        <w:rPr>
          <w:rFonts w:ascii="Times New Roman" w:hAnsi="Times New Roman" w:cs="Times New Roman"/>
          <w:sz w:val="24"/>
          <w:szCs w:val="24"/>
        </w:rPr>
        <w:t xml:space="preserve">The results </w:t>
      </w:r>
      <w:r w:rsidR="00451A0B" w:rsidRPr="008A7487">
        <w:rPr>
          <w:rFonts w:ascii="Times New Roman" w:hAnsi="Times New Roman" w:cs="Times New Roman"/>
          <w:sz w:val="24"/>
          <w:szCs w:val="24"/>
        </w:rPr>
        <w:t>which suggest that GD</w:t>
      </w:r>
      <w:r w:rsidRPr="008A7487">
        <w:rPr>
          <w:rFonts w:ascii="Times New Roman" w:hAnsi="Times New Roman" w:cs="Times New Roman"/>
          <w:sz w:val="24"/>
          <w:szCs w:val="24"/>
        </w:rPr>
        <w:t xml:space="preserve">P growth had </w:t>
      </w:r>
      <w:r w:rsidR="00451A0B" w:rsidRPr="008A7487">
        <w:rPr>
          <w:rFonts w:ascii="Times New Roman" w:hAnsi="Times New Roman" w:cs="Times New Roman"/>
          <w:sz w:val="24"/>
          <w:szCs w:val="24"/>
        </w:rPr>
        <w:t xml:space="preserve">a </w:t>
      </w:r>
      <w:r w:rsidRPr="008A7487">
        <w:rPr>
          <w:rFonts w:ascii="Times New Roman" w:hAnsi="Times New Roman" w:cs="Times New Roman"/>
          <w:sz w:val="24"/>
          <w:szCs w:val="24"/>
        </w:rPr>
        <w:t>s</w:t>
      </w:r>
      <w:r w:rsidR="00451A0B" w:rsidRPr="008A7487">
        <w:rPr>
          <w:rFonts w:ascii="Times New Roman" w:hAnsi="Times New Roman" w:cs="Times New Roman"/>
          <w:sz w:val="24"/>
          <w:szCs w:val="24"/>
        </w:rPr>
        <w:t>ignificant</w:t>
      </w:r>
      <w:r w:rsidRPr="008A7487">
        <w:rPr>
          <w:rFonts w:ascii="Times New Roman" w:hAnsi="Times New Roman" w:cs="Times New Roman"/>
          <w:sz w:val="24"/>
          <w:szCs w:val="24"/>
        </w:rPr>
        <w:t xml:space="preserve"> positive relationship with bank profitability </w:t>
      </w:r>
      <w:r w:rsidR="00451A0B" w:rsidRPr="008A7487">
        <w:rPr>
          <w:rFonts w:ascii="Times New Roman" w:hAnsi="Times New Roman" w:cs="Times New Roman"/>
          <w:sz w:val="24"/>
          <w:szCs w:val="24"/>
        </w:rPr>
        <w:t>(NIM)</w:t>
      </w:r>
      <w:r w:rsidRPr="008A7487">
        <w:rPr>
          <w:rFonts w:ascii="Times New Roman" w:hAnsi="Times New Roman" w:cs="Times New Roman"/>
          <w:sz w:val="24"/>
          <w:szCs w:val="24"/>
        </w:rPr>
        <w:t xml:space="preserve"> before and during the financial crisis </w:t>
      </w:r>
      <w:r w:rsidR="00451A0B" w:rsidRPr="008A7487">
        <w:rPr>
          <w:rFonts w:ascii="Times New Roman" w:hAnsi="Times New Roman" w:cs="Times New Roman"/>
          <w:sz w:val="24"/>
          <w:szCs w:val="24"/>
        </w:rPr>
        <w:t xml:space="preserve">means that </w:t>
      </w:r>
      <w:r w:rsidRPr="008A7487">
        <w:rPr>
          <w:rFonts w:ascii="Times New Roman" w:hAnsi="Times New Roman" w:cs="Times New Roman"/>
          <w:sz w:val="24"/>
          <w:szCs w:val="24"/>
        </w:rPr>
        <w:t xml:space="preserve">the </w:t>
      </w:r>
      <w:r w:rsidR="00451A0B" w:rsidRPr="008A7487">
        <w:rPr>
          <w:rFonts w:ascii="Times New Roman" w:hAnsi="Times New Roman" w:cs="Times New Roman"/>
          <w:sz w:val="24"/>
          <w:szCs w:val="24"/>
        </w:rPr>
        <w:t xml:space="preserve">financial </w:t>
      </w:r>
      <w:r w:rsidRPr="008A7487">
        <w:rPr>
          <w:rFonts w:ascii="Times New Roman" w:hAnsi="Times New Roman" w:cs="Times New Roman"/>
          <w:sz w:val="24"/>
          <w:szCs w:val="24"/>
        </w:rPr>
        <w:t>crisis had no restrictive influence on productive activity and indeed banks were able to expand their interest income during the period. However, this</w:t>
      </w:r>
      <w:r w:rsidR="00451A0B" w:rsidRPr="008A7487">
        <w:rPr>
          <w:rFonts w:ascii="Times New Roman" w:hAnsi="Times New Roman" w:cs="Times New Roman"/>
          <w:sz w:val="24"/>
          <w:szCs w:val="24"/>
        </w:rPr>
        <w:t xml:space="preserve"> relationship </w:t>
      </w:r>
      <w:r w:rsidRPr="008A7487">
        <w:rPr>
          <w:rFonts w:ascii="Times New Roman" w:hAnsi="Times New Roman" w:cs="Times New Roman"/>
          <w:sz w:val="24"/>
          <w:szCs w:val="24"/>
        </w:rPr>
        <w:t xml:space="preserve">changed </w:t>
      </w:r>
      <w:r w:rsidR="00451A0B" w:rsidRPr="008A7487">
        <w:rPr>
          <w:rFonts w:ascii="Times New Roman" w:hAnsi="Times New Roman" w:cs="Times New Roman"/>
          <w:sz w:val="24"/>
          <w:szCs w:val="24"/>
        </w:rPr>
        <w:t xml:space="preserve">to insignificant </w:t>
      </w:r>
      <w:r w:rsidRPr="008A7487">
        <w:rPr>
          <w:rFonts w:ascii="Times New Roman" w:hAnsi="Times New Roman" w:cs="Times New Roman"/>
          <w:sz w:val="24"/>
          <w:szCs w:val="24"/>
        </w:rPr>
        <w:t xml:space="preserve">after the </w:t>
      </w:r>
      <w:r w:rsidR="00451A0B" w:rsidRPr="008A7487">
        <w:rPr>
          <w:rFonts w:ascii="Times New Roman" w:hAnsi="Times New Roman" w:cs="Times New Roman"/>
          <w:sz w:val="24"/>
          <w:szCs w:val="24"/>
        </w:rPr>
        <w:t>financial crisi</w:t>
      </w:r>
      <w:r w:rsidRPr="008A7487">
        <w:rPr>
          <w:rFonts w:ascii="Times New Roman" w:hAnsi="Times New Roman" w:cs="Times New Roman"/>
          <w:sz w:val="24"/>
          <w:szCs w:val="24"/>
        </w:rPr>
        <w:t xml:space="preserve">s. A </w:t>
      </w:r>
      <w:r w:rsidRPr="008A7487">
        <w:rPr>
          <w:rFonts w:ascii="Times New Roman" w:hAnsi="Times New Roman" w:cs="Times New Roman"/>
          <w:sz w:val="24"/>
          <w:szCs w:val="24"/>
        </w:rPr>
        <w:lastRenderedPageBreak/>
        <w:t>plausible explanation for this could be th</w:t>
      </w:r>
      <w:r w:rsidR="00FC777F" w:rsidRPr="008A7487">
        <w:rPr>
          <w:rFonts w:ascii="Times New Roman" w:hAnsi="Times New Roman" w:cs="Times New Roman"/>
          <w:sz w:val="24"/>
          <w:szCs w:val="24"/>
        </w:rPr>
        <w:t xml:space="preserve">at the end of the crisis led to reduction in the level of banking </w:t>
      </w:r>
      <w:r w:rsidR="008273FE" w:rsidRPr="008A7487">
        <w:rPr>
          <w:rFonts w:ascii="Times New Roman" w:hAnsi="Times New Roman" w:cs="Times New Roman"/>
          <w:sz w:val="24"/>
          <w:szCs w:val="24"/>
        </w:rPr>
        <w:t>risks, which</w:t>
      </w:r>
      <w:r w:rsidR="00032106" w:rsidRPr="008A7487">
        <w:rPr>
          <w:rFonts w:ascii="Times New Roman" w:hAnsi="Times New Roman" w:cs="Times New Roman"/>
          <w:sz w:val="24"/>
          <w:szCs w:val="24"/>
        </w:rPr>
        <w:t xml:space="preserve"> was</w:t>
      </w:r>
      <w:r w:rsidRPr="008A7487">
        <w:rPr>
          <w:rFonts w:ascii="Times New Roman" w:hAnsi="Times New Roman" w:cs="Times New Roman"/>
          <w:sz w:val="24"/>
          <w:szCs w:val="24"/>
        </w:rPr>
        <w:t xml:space="preserve"> ultimately reflected in the reduced interest income following the end of the crisis. </w:t>
      </w:r>
    </w:p>
    <w:p w14:paraId="3F7C0A7E" w14:textId="7FF3ADC7" w:rsidR="0088141E" w:rsidRPr="008A7487" w:rsidRDefault="0012450E" w:rsidP="0009698E">
      <w:pPr>
        <w:spacing w:line="480" w:lineRule="auto"/>
        <w:ind w:firstLine="720"/>
        <w:contextualSpacing/>
        <w:jc w:val="both"/>
        <w:rPr>
          <w:rFonts w:ascii="Times New Roman" w:hAnsi="Times New Roman" w:cs="Times New Roman"/>
          <w:sz w:val="24"/>
          <w:szCs w:val="24"/>
        </w:rPr>
      </w:pPr>
      <w:r w:rsidRPr="008A7487">
        <w:rPr>
          <w:rFonts w:ascii="Times New Roman" w:hAnsi="Times New Roman" w:cs="Times New Roman"/>
          <w:sz w:val="24"/>
          <w:szCs w:val="24"/>
        </w:rPr>
        <w:t>The</w:t>
      </w:r>
      <w:r w:rsidR="00163E5B" w:rsidRPr="008A7487">
        <w:rPr>
          <w:rFonts w:ascii="Times New Roman" w:hAnsi="Times New Roman" w:cs="Times New Roman"/>
          <w:sz w:val="24"/>
          <w:szCs w:val="24"/>
        </w:rPr>
        <w:t xml:space="preserve"> positive and significant relationship between inflation and NIM during the financial crisis </w:t>
      </w:r>
      <w:r w:rsidRPr="008A7487">
        <w:rPr>
          <w:rFonts w:ascii="Times New Roman" w:hAnsi="Times New Roman" w:cs="Times New Roman"/>
          <w:sz w:val="24"/>
          <w:szCs w:val="24"/>
        </w:rPr>
        <w:t xml:space="preserve">is consistent with </w:t>
      </w:r>
      <w:r w:rsidR="00163E5B" w:rsidRPr="008A7487">
        <w:rPr>
          <w:rFonts w:ascii="Times New Roman" w:hAnsi="Times New Roman" w:cs="Times New Roman"/>
          <w:sz w:val="24"/>
          <w:szCs w:val="24"/>
        </w:rPr>
        <w:t xml:space="preserve">previous findings by Dietrich </w:t>
      </w:r>
      <w:r w:rsidR="004F2EB7">
        <w:rPr>
          <w:rFonts w:ascii="Times New Roman" w:hAnsi="Times New Roman" w:cs="Times New Roman"/>
          <w:sz w:val="24"/>
          <w:szCs w:val="24"/>
        </w:rPr>
        <w:t>&amp;</w:t>
      </w:r>
      <w:r w:rsidR="00041C54">
        <w:rPr>
          <w:rFonts w:ascii="Times New Roman" w:hAnsi="Times New Roman" w:cs="Times New Roman"/>
          <w:sz w:val="24"/>
          <w:szCs w:val="24"/>
        </w:rPr>
        <w:t xml:space="preserve"> Wanzenried (2011</w:t>
      </w:r>
      <w:r w:rsidR="00163E5B" w:rsidRPr="008A7487">
        <w:rPr>
          <w:rFonts w:ascii="Times New Roman" w:hAnsi="Times New Roman" w:cs="Times New Roman"/>
          <w:sz w:val="24"/>
          <w:szCs w:val="24"/>
        </w:rPr>
        <w:t xml:space="preserve">), Ahokpossi (2013), and Flamini et al (2009) but conflicts with the reported findings in Goddard et al. (2011). </w:t>
      </w:r>
      <w:r w:rsidRPr="008A7487">
        <w:rPr>
          <w:rFonts w:ascii="Times New Roman" w:hAnsi="Times New Roman" w:cs="Times New Roman"/>
          <w:sz w:val="24"/>
          <w:szCs w:val="24"/>
        </w:rPr>
        <w:t>The result reflect</w:t>
      </w:r>
      <w:r w:rsidR="004F2EB7">
        <w:rPr>
          <w:rFonts w:ascii="Times New Roman" w:hAnsi="Times New Roman" w:cs="Times New Roman"/>
          <w:sz w:val="24"/>
          <w:szCs w:val="24"/>
        </w:rPr>
        <w:t>s</w:t>
      </w:r>
      <w:r w:rsidRPr="008A7487">
        <w:rPr>
          <w:rFonts w:ascii="Times New Roman" w:hAnsi="Times New Roman" w:cs="Times New Roman"/>
          <w:sz w:val="24"/>
          <w:szCs w:val="24"/>
        </w:rPr>
        <w:t xml:space="preserve"> banks’ ability to pass on the </w:t>
      </w:r>
      <w:r w:rsidRPr="008A7487">
        <w:rPr>
          <w:rFonts w:ascii="Times New Roman" w:hAnsi="Times New Roman" w:cs="Times New Roman"/>
          <w:sz w:val="24"/>
          <w:szCs w:val="24"/>
        </w:rPr>
        <w:lastRenderedPageBreak/>
        <w:t xml:space="preserve">additional cost due to inflation to their customer especially in a concentrated banking market thereby </w:t>
      </w:r>
      <w:r w:rsidR="00B13869" w:rsidRPr="008A7487">
        <w:rPr>
          <w:rFonts w:ascii="Times New Roman" w:hAnsi="Times New Roman" w:cs="Times New Roman"/>
          <w:sz w:val="24"/>
          <w:szCs w:val="24"/>
        </w:rPr>
        <w:t xml:space="preserve">enhancing their profitability. </w:t>
      </w:r>
      <w:r w:rsidRPr="008A7487">
        <w:rPr>
          <w:rFonts w:ascii="Times New Roman" w:hAnsi="Times New Roman" w:cs="Times New Roman"/>
          <w:sz w:val="24"/>
          <w:szCs w:val="24"/>
        </w:rPr>
        <w:t>Overall the financial crisis seem</w:t>
      </w:r>
      <w:r w:rsidR="009C1294" w:rsidRPr="008A7487">
        <w:rPr>
          <w:rFonts w:ascii="Times New Roman" w:hAnsi="Times New Roman" w:cs="Times New Roman"/>
          <w:sz w:val="24"/>
          <w:szCs w:val="24"/>
        </w:rPr>
        <w:t>s</w:t>
      </w:r>
      <w:r w:rsidRPr="008A7487">
        <w:rPr>
          <w:rFonts w:ascii="Times New Roman" w:hAnsi="Times New Roman" w:cs="Times New Roman"/>
          <w:sz w:val="24"/>
          <w:szCs w:val="24"/>
        </w:rPr>
        <w:t xml:space="preserve"> to </w:t>
      </w:r>
      <w:r w:rsidR="00163E5B" w:rsidRPr="008A7487">
        <w:rPr>
          <w:rFonts w:ascii="Times New Roman" w:hAnsi="Times New Roman" w:cs="Times New Roman"/>
          <w:sz w:val="24"/>
          <w:szCs w:val="24"/>
        </w:rPr>
        <w:t xml:space="preserve">affect </w:t>
      </w:r>
      <w:r w:rsidRPr="008A7487">
        <w:rPr>
          <w:rFonts w:ascii="Times New Roman" w:hAnsi="Times New Roman" w:cs="Times New Roman"/>
          <w:sz w:val="24"/>
          <w:szCs w:val="24"/>
        </w:rPr>
        <w:t xml:space="preserve">the </w:t>
      </w:r>
      <w:r w:rsidR="00163E5B" w:rsidRPr="008A7487">
        <w:rPr>
          <w:rFonts w:ascii="Times New Roman" w:hAnsi="Times New Roman" w:cs="Times New Roman"/>
          <w:sz w:val="24"/>
          <w:szCs w:val="24"/>
        </w:rPr>
        <w:t xml:space="preserve">relationship between inflation and profitability </w:t>
      </w:r>
      <w:r w:rsidRPr="008A7487">
        <w:rPr>
          <w:rFonts w:ascii="Times New Roman" w:hAnsi="Times New Roman" w:cs="Times New Roman"/>
          <w:sz w:val="24"/>
          <w:szCs w:val="24"/>
        </w:rPr>
        <w:t xml:space="preserve">depending on the focus of the analysis </w:t>
      </w:r>
      <w:r w:rsidR="00D67D1E" w:rsidRPr="008A7487">
        <w:rPr>
          <w:rFonts w:ascii="Times New Roman" w:hAnsi="Times New Roman" w:cs="Times New Roman"/>
          <w:sz w:val="24"/>
          <w:szCs w:val="24"/>
        </w:rPr>
        <w:t>(</w:t>
      </w:r>
      <w:r w:rsidRPr="008A7487">
        <w:rPr>
          <w:rFonts w:ascii="Times New Roman" w:hAnsi="Times New Roman" w:cs="Times New Roman"/>
          <w:sz w:val="24"/>
          <w:szCs w:val="24"/>
        </w:rPr>
        <w:t>i.e. befo</w:t>
      </w:r>
      <w:r w:rsidR="00D67D1E" w:rsidRPr="008A7487">
        <w:rPr>
          <w:rFonts w:ascii="Times New Roman" w:hAnsi="Times New Roman" w:cs="Times New Roman"/>
          <w:sz w:val="24"/>
          <w:szCs w:val="24"/>
        </w:rPr>
        <w:t>re, during or after the crisis), and the measure of bank profitability used.</w:t>
      </w:r>
    </w:p>
    <w:p w14:paraId="7C07EFEA" w14:textId="77777777" w:rsidR="00163E5B" w:rsidRPr="008A7487" w:rsidRDefault="00163E5B" w:rsidP="0009698E">
      <w:pPr>
        <w:spacing w:line="480" w:lineRule="auto"/>
        <w:contextualSpacing/>
        <w:jc w:val="both"/>
        <w:rPr>
          <w:rFonts w:ascii="Times New Roman" w:hAnsi="Times New Roman" w:cs="Times New Roman"/>
          <w:i/>
          <w:sz w:val="24"/>
          <w:szCs w:val="24"/>
        </w:rPr>
      </w:pPr>
    </w:p>
    <w:p w14:paraId="40FFE195" w14:textId="6BCEEA85" w:rsidR="0088141E" w:rsidRPr="008A7487" w:rsidRDefault="00F47D4D" w:rsidP="0009698E">
      <w:pPr>
        <w:spacing w:line="480" w:lineRule="auto"/>
        <w:contextualSpacing/>
        <w:jc w:val="both"/>
        <w:rPr>
          <w:rFonts w:ascii="Times New Roman" w:hAnsi="Times New Roman" w:cs="Times New Roman"/>
          <w:i/>
          <w:sz w:val="24"/>
          <w:szCs w:val="24"/>
        </w:rPr>
      </w:pPr>
      <w:r w:rsidRPr="008A7487">
        <w:rPr>
          <w:rFonts w:ascii="Times New Roman" w:hAnsi="Times New Roman" w:cs="Times New Roman"/>
          <w:i/>
          <w:sz w:val="24"/>
          <w:szCs w:val="24"/>
        </w:rPr>
        <w:t>5</w:t>
      </w:r>
      <w:r w:rsidR="00FC777F" w:rsidRPr="008A7487">
        <w:rPr>
          <w:rFonts w:ascii="Times New Roman" w:hAnsi="Times New Roman" w:cs="Times New Roman"/>
          <w:i/>
          <w:sz w:val="24"/>
          <w:szCs w:val="24"/>
        </w:rPr>
        <w:t>.</w:t>
      </w:r>
      <w:r w:rsidR="00FF7A4C" w:rsidRPr="008A7487">
        <w:rPr>
          <w:rFonts w:ascii="Times New Roman" w:hAnsi="Times New Roman" w:cs="Times New Roman"/>
          <w:i/>
          <w:sz w:val="24"/>
          <w:szCs w:val="24"/>
        </w:rPr>
        <w:t>5</w:t>
      </w:r>
      <w:r w:rsidR="00FC777F" w:rsidRPr="008A7487">
        <w:rPr>
          <w:rFonts w:ascii="Times New Roman" w:hAnsi="Times New Roman" w:cs="Times New Roman"/>
          <w:i/>
          <w:sz w:val="24"/>
          <w:szCs w:val="24"/>
        </w:rPr>
        <w:tab/>
      </w:r>
      <w:r w:rsidR="0088141E" w:rsidRPr="008A7487">
        <w:rPr>
          <w:rFonts w:ascii="Times New Roman" w:hAnsi="Times New Roman" w:cs="Times New Roman"/>
          <w:i/>
          <w:sz w:val="24"/>
          <w:szCs w:val="24"/>
        </w:rPr>
        <w:t>Additional analysis</w:t>
      </w:r>
    </w:p>
    <w:p w14:paraId="18B144EB" w14:textId="55F2EAE4" w:rsidR="00B17ECE" w:rsidRDefault="00842506" w:rsidP="0009698E">
      <w:pPr>
        <w:spacing w:line="480" w:lineRule="auto"/>
        <w:ind w:firstLine="720"/>
        <w:contextualSpacing/>
        <w:jc w:val="both"/>
        <w:rPr>
          <w:rFonts w:ascii="Times New Roman" w:hAnsi="Times New Roman" w:cs="Times New Roman"/>
          <w:sz w:val="24"/>
          <w:szCs w:val="24"/>
        </w:rPr>
      </w:pPr>
      <w:r w:rsidRPr="008A7487">
        <w:rPr>
          <w:rFonts w:ascii="Times New Roman" w:hAnsi="Times New Roman" w:cs="Times New Roman"/>
          <w:sz w:val="24"/>
          <w:szCs w:val="24"/>
        </w:rPr>
        <w:lastRenderedPageBreak/>
        <w:t xml:space="preserve">This section reports a number of </w:t>
      </w:r>
      <w:r w:rsidR="00F7404F">
        <w:rPr>
          <w:rFonts w:ascii="Times New Roman" w:hAnsi="Times New Roman" w:cs="Times New Roman"/>
          <w:sz w:val="24"/>
          <w:szCs w:val="24"/>
        </w:rPr>
        <w:t xml:space="preserve">further analyses and </w:t>
      </w:r>
      <w:r w:rsidRPr="008A7487">
        <w:rPr>
          <w:rFonts w:ascii="Times New Roman" w:hAnsi="Times New Roman" w:cs="Times New Roman"/>
          <w:sz w:val="24"/>
          <w:szCs w:val="24"/>
        </w:rPr>
        <w:t>robustness check</w:t>
      </w:r>
      <w:r w:rsidR="00734FC6">
        <w:rPr>
          <w:rFonts w:ascii="Times New Roman" w:hAnsi="Times New Roman" w:cs="Times New Roman"/>
          <w:sz w:val="24"/>
          <w:szCs w:val="24"/>
        </w:rPr>
        <w:t>s</w:t>
      </w:r>
      <w:r w:rsidRPr="008A7487">
        <w:rPr>
          <w:rFonts w:ascii="Times New Roman" w:hAnsi="Times New Roman" w:cs="Times New Roman"/>
          <w:sz w:val="24"/>
          <w:szCs w:val="24"/>
        </w:rPr>
        <w:t xml:space="preserve"> in this study. </w:t>
      </w:r>
      <w:r w:rsidR="00F1205D" w:rsidRPr="008A7487">
        <w:rPr>
          <w:rFonts w:ascii="Times New Roman" w:hAnsi="Times New Roman" w:cs="Times New Roman"/>
          <w:sz w:val="24"/>
          <w:szCs w:val="24"/>
        </w:rPr>
        <w:t xml:space="preserve">First, </w:t>
      </w:r>
      <w:r w:rsidR="00F7404F">
        <w:rPr>
          <w:rFonts w:ascii="Times New Roman" w:hAnsi="Times New Roman" w:cs="Times New Roman"/>
          <w:sz w:val="24"/>
          <w:szCs w:val="24"/>
        </w:rPr>
        <w:t xml:space="preserve">given that some </w:t>
      </w:r>
      <w:r w:rsidR="00B152CA">
        <w:rPr>
          <w:rFonts w:ascii="Times New Roman" w:hAnsi="Times New Roman" w:cs="Times New Roman"/>
          <w:sz w:val="24"/>
          <w:szCs w:val="24"/>
        </w:rPr>
        <w:t>authors</w:t>
      </w:r>
      <w:r w:rsidR="00F7404F">
        <w:rPr>
          <w:rFonts w:ascii="Times New Roman" w:hAnsi="Times New Roman" w:cs="Times New Roman"/>
          <w:sz w:val="24"/>
          <w:szCs w:val="24"/>
        </w:rPr>
        <w:t xml:space="preserve"> (Haas &amp; Lelyyeld,</w:t>
      </w:r>
      <w:r w:rsidR="00F7404F" w:rsidRPr="008A7487">
        <w:rPr>
          <w:rFonts w:ascii="Times New Roman" w:hAnsi="Times New Roman" w:cs="Times New Roman"/>
          <w:sz w:val="24"/>
          <w:szCs w:val="24"/>
        </w:rPr>
        <w:t xml:space="preserve"> </w:t>
      </w:r>
      <w:r w:rsidR="00F7404F">
        <w:rPr>
          <w:rFonts w:ascii="Times New Roman" w:hAnsi="Times New Roman" w:cs="Times New Roman"/>
          <w:sz w:val="24"/>
          <w:szCs w:val="24"/>
        </w:rPr>
        <w:t>2014) assume that the financial crisis started in September 2008 following the collapse of the Lehman Brothers</w:t>
      </w:r>
      <w:r w:rsidR="00B152CA">
        <w:rPr>
          <w:rFonts w:ascii="Times New Roman" w:hAnsi="Times New Roman" w:cs="Times New Roman"/>
          <w:sz w:val="24"/>
          <w:szCs w:val="24"/>
        </w:rPr>
        <w:t>,</w:t>
      </w:r>
      <w:r w:rsidR="00F7404F">
        <w:rPr>
          <w:rFonts w:ascii="Times New Roman" w:hAnsi="Times New Roman" w:cs="Times New Roman"/>
          <w:sz w:val="24"/>
          <w:szCs w:val="24"/>
        </w:rPr>
        <w:t xml:space="preserve"> we re-partitioned the sample so that pre-crisis (2005-2007), crisis (2008-2010) and post-crisis (2011-2013) have equal number of observations. Table</w:t>
      </w:r>
      <w:r w:rsidR="001E60C1">
        <w:rPr>
          <w:rFonts w:ascii="Times New Roman" w:hAnsi="Times New Roman" w:cs="Times New Roman"/>
          <w:sz w:val="24"/>
          <w:szCs w:val="24"/>
        </w:rPr>
        <w:t>s 9 and 10 present</w:t>
      </w:r>
      <w:r w:rsidR="00B152CA">
        <w:rPr>
          <w:rFonts w:ascii="Times New Roman" w:hAnsi="Times New Roman" w:cs="Times New Roman"/>
          <w:sz w:val="24"/>
          <w:szCs w:val="24"/>
        </w:rPr>
        <w:t xml:space="preserve"> the</w:t>
      </w:r>
      <w:r w:rsidR="001E60C1">
        <w:rPr>
          <w:rFonts w:ascii="Times New Roman" w:hAnsi="Times New Roman" w:cs="Times New Roman"/>
          <w:sz w:val="24"/>
          <w:szCs w:val="24"/>
        </w:rPr>
        <w:t xml:space="preserve"> results</w:t>
      </w:r>
      <w:r w:rsidR="00B152CA">
        <w:rPr>
          <w:rFonts w:ascii="Times New Roman" w:hAnsi="Times New Roman" w:cs="Times New Roman"/>
          <w:sz w:val="24"/>
          <w:szCs w:val="24"/>
        </w:rPr>
        <w:t xml:space="preserve"> of these analyses</w:t>
      </w:r>
      <w:r w:rsidR="001E60C1">
        <w:rPr>
          <w:rFonts w:ascii="Times New Roman" w:hAnsi="Times New Roman" w:cs="Times New Roman"/>
          <w:sz w:val="24"/>
          <w:szCs w:val="24"/>
        </w:rPr>
        <w:t>. T</w:t>
      </w:r>
      <w:r w:rsidR="00F7404F">
        <w:rPr>
          <w:rFonts w:ascii="Times New Roman" w:hAnsi="Times New Roman" w:cs="Times New Roman"/>
          <w:sz w:val="24"/>
          <w:szCs w:val="24"/>
        </w:rPr>
        <w:t xml:space="preserve">he findings </w:t>
      </w:r>
      <w:r w:rsidR="001E60C1">
        <w:rPr>
          <w:rFonts w:ascii="Times New Roman" w:hAnsi="Times New Roman" w:cs="Times New Roman"/>
          <w:sz w:val="24"/>
          <w:szCs w:val="24"/>
        </w:rPr>
        <w:t>are similar to our main results reported</w:t>
      </w:r>
      <w:r w:rsidR="00F7404F">
        <w:rPr>
          <w:rFonts w:ascii="Times New Roman" w:hAnsi="Times New Roman" w:cs="Times New Roman"/>
          <w:sz w:val="24"/>
          <w:szCs w:val="24"/>
        </w:rPr>
        <w:t xml:space="preserve"> in Tables 6 and 7 with a few exceptions for example, capital strength which was significant before the financial crisis </w:t>
      </w:r>
      <w:r w:rsidR="00F7404F">
        <w:rPr>
          <w:rFonts w:ascii="Times New Roman" w:hAnsi="Times New Roman" w:cs="Times New Roman"/>
          <w:sz w:val="24"/>
          <w:szCs w:val="24"/>
        </w:rPr>
        <w:lastRenderedPageBreak/>
        <w:t xml:space="preserve">with ROA is now not significant. </w:t>
      </w:r>
      <w:r w:rsidR="00EC6311">
        <w:rPr>
          <w:rFonts w:ascii="Times New Roman" w:hAnsi="Times New Roman" w:cs="Times New Roman"/>
          <w:sz w:val="24"/>
          <w:szCs w:val="24"/>
        </w:rPr>
        <w:t>Similarly</w:t>
      </w:r>
      <w:r w:rsidR="00B152CA">
        <w:rPr>
          <w:rFonts w:ascii="Times New Roman" w:hAnsi="Times New Roman" w:cs="Times New Roman"/>
          <w:sz w:val="24"/>
          <w:szCs w:val="24"/>
        </w:rPr>
        <w:t>,</w:t>
      </w:r>
      <w:r w:rsidR="00EC6311">
        <w:rPr>
          <w:rFonts w:ascii="Times New Roman" w:hAnsi="Times New Roman" w:cs="Times New Roman"/>
          <w:sz w:val="24"/>
          <w:szCs w:val="24"/>
        </w:rPr>
        <w:t xml:space="preserve"> bank size which was significant during the financial crisis under ROA ap</w:t>
      </w:r>
      <w:r w:rsidR="00B152CA">
        <w:rPr>
          <w:rFonts w:ascii="Times New Roman" w:hAnsi="Times New Roman" w:cs="Times New Roman"/>
          <w:sz w:val="24"/>
          <w:szCs w:val="24"/>
        </w:rPr>
        <w:t>pears to be insignificant in the</w:t>
      </w:r>
      <w:r w:rsidR="00EC6311">
        <w:rPr>
          <w:rFonts w:ascii="Times New Roman" w:hAnsi="Times New Roman" w:cs="Times New Roman"/>
          <w:sz w:val="24"/>
          <w:szCs w:val="24"/>
        </w:rPr>
        <w:t>s</w:t>
      </w:r>
      <w:r w:rsidR="00B152CA">
        <w:rPr>
          <w:rFonts w:ascii="Times New Roman" w:hAnsi="Times New Roman" w:cs="Times New Roman"/>
          <w:sz w:val="24"/>
          <w:szCs w:val="24"/>
        </w:rPr>
        <w:t>e</w:t>
      </w:r>
      <w:r w:rsidR="00EC6311">
        <w:rPr>
          <w:rFonts w:ascii="Times New Roman" w:hAnsi="Times New Roman" w:cs="Times New Roman"/>
          <w:sz w:val="24"/>
          <w:szCs w:val="24"/>
        </w:rPr>
        <w:t xml:space="preserve"> additional </w:t>
      </w:r>
      <w:r w:rsidR="00B152CA">
        <w:rPr>
          <w:rFonts w:ascii="Times New Roman" w:hAnsi="Times New Roman" w:cs="Times New Roman"/>
          <w:sz w:val="24"/>
          <w:szCs w:val="24"/>
        </w:rPr>
        <w:t>analyse</w:t>
      </w:r>
      <w:r w:rsidR="001E60C1">
        <w:rPr>
          <w:rFonts w:ascii="Times New Roman" w:hAnsi="Times New Roman" w:cs="Times New Roman"/>
          <w:sz w:val="24"/>
          <w:szCs w:val="24"/>
        </w:rPr>
        <w:t xml:space="preserve">s amongst other findings. </w:t>
      </w:r>
      <w:r w:rsidR="00356B99">
        <w:rPr>
          <w:rFonts w:ascii="Times New Roman" w:hAnsi="Times New Roman" w:cs="Times New Roman"/>
          <w:sz w:val="24"/>
          <w:szCs w:val="24"/>
        </w:rPr>
        <w:t>A possible explanation</w:t>
      </w:r>
      <w:r w:rsidR="001E60C1">
        <w:rPr>
          <w:rFonts w:ascii="Times New Roman" w:hAnsi="Times New Roman" w:cs="Times New Roman"/>
          <w:sz w:val="24"/>
          <w:szCs w:val="24"/>
        </w:rPr>
        <w:t xml:space="preserve"> for these variations in findings could include the variations in the observations used in the analyses with more observation</w:t>
      </w:r>
      <w:r w:rsidR="00B152CA">
        <w:rPr>
          <w:rFonts w:ascii="Times New Roman" w:hAnsi="Times New Roman" w:cs="Times New Roman"/>
          <w:sz w:val="24"/>
          <w:szCs w:val="24"/>
        </w:rPr>
        <w:t>s</w:t>
      </w:r>
      <w:r w:rsidR="001E60C1">
        <w:rPr>
          <w:rFonts w:ascii="Times New Roman" w:hAnsi="Times New Roman" w:cs="Times New Roman"/>
          <w:sz w:val="24"/>
          <w:szCs w:val="24"/>
        </w:rPr>
        <w:t xml:space="preserve"> being preferred. </w:t>
      </w:r>
    </w:p>
    <w:p w14:paraId="46B5C98A" w14:textId="77777777" w:rsidR="00B17ECE" w:rsidRDefault="00B17ECE" w:rsidP="0009698E">
      <w:pPr>
        <w:spacing w:line="480" w:lineRule="auto"/>
        <w:ind w:firstLine="720"/>
        <w:contextualSpacing/>
        <w:jc w:val="both"/>
        <w:rPr>
          <w:rFonts w:ascii="Times New Roman" w:hAnsi="Times New Roman" w:cs="Times New Roman"/>
          <w:sz w:val="24"/>
          <w:szCs w:val="24"/>
        </w:rPr>
      </w:pPr>
    </w:p>
    <w:p w14:paraId="26737923" w14:textId="35E11FCF" w:rsidR="00B17ECE" w:rsidRPr="008A7487" w:rsidRDefault="00B17ECE" w:rsidP="00B17ECE">
      <w:pPr>
        <w:autoSpaceDE w:val="0"/>
        <w:autoSpaceDN w:val="0"/>
        <w:adjustRightInd w:val="0"/>
        <w:spacing w:after="0" w:line="240" w:lineRule="auto"/>
        <w:jc w:val="center"/>
        <w:rPr>
          <w:rFonts w:ascii="Times New Roman" w:hAnsi="Times New Roman" w:cs="Times New Roman"/>
          <w:b/>
          <w:sz w:val="24"/>
          <w:szCs w:val="24"/>
          <w:lang w:val="en-GB"/>
        </w:rPr>
      </w:pPr>
      <w:r w:rsidRPr="008A7487">
        <w:rPr>
          <w:rFonts w:ascii="Times New Roman" w:hAnsi="Times New Roman" w:cs="Times New Roman"/>
          <w:b/>
          <w:sz w:val="24"/>
          <w:szCs w:val="24"/>
          <w:lang w:val="en-GB"/>
        </w:rPr>
        <w:t xml:space="preserve">[INSERT </w:t>
      </w:r>
      <w:r>
        <w:rPr>
          <w:rFonts w:ascii="Times New Roman" w:hAnsi="Times New Roman" w:cs="Times New Roman"/>
          <w:b/>
          <w:sz w:val="24"/>
          <w:szCs w:val="24"/>
          <w:lang w:val="en-GB"/>
        </w:rPr>
        <w:t>TABLE 9</w:t>
      </w:r>
      <w:r w:rsidRPr="008A7487">
        <w:rPr>
          <w:rFonts w:ascii="Times New Roman" w:hAnsi="Times New Roman" w:cs="Times New Roman"/>
          <w:b/>
          <w:sz w:val="24"/>
          <w:szCs w:val="24"/>
          <w:lang w:val="en-GB"/>
        </w:rPr>
        <w:t xml:space="preserve"> ABOUT HERE]</w:t>
      </w:r>
    </w:p>
    <w:p w14:paraId="1717B8A4" w14:textId="77777777" w:rsidR="00B17ECE" w:rsidRDefault="00B17ECE" w:rsidP="0009698E">
      <w:pPr>
        <w:spacing w:line="480" w:lineRule="auto"/>
        <w:ind w:firstLine="720"/>
        <w:contextualSpacing/>
        <w:jc w:val="both"/>
        <w:rPr>
          <w:rFonts w:ascii="Times New Roman" w:hAnsi="Times New Roman" w:cs="Times New Roman"/>
          <w:sz w:val="24"/>
          <w:szCs w:val="24"/>
        </w:rPr>
      </w:pPr>
    </w:p>
    <w:p w14:paraId="01FEED67" w14:textId="4C093BCA" w:rsidR="00B152CA" w:rsidRPr="008A7487" w:rsidRDefault="00B152CA" w:rsidP="00B152CA">
      <w:pPr>
        <w:autoSpaceDE w:val="0"/>
        <w:autoSpaceDN w:val="0"/>
        <w:adjustRightInd w:val="0"/>
        <w:spacing w:after="0" w:line="240" w:lineRule="auto"/>
        <w:jc w:val="center"/>
        <w:rPr>
          <w:rFonts w:ascii="Times New Roman" w:hAnsi="Times New Roman" w:cs="Times New Roman"/>
          <w:b/>
          <w:sz w:val="24"/>
          <w:szCs w:val="24"/>
          <w:lang w:val="en-GB"/>
        </w:rPr>
      </w:pPr>
      <w:r w:rsidRPr="008A7487">
        <w:rPr>
          <w:rFonts w:ascii="Times New Roman" w:hAnsi="Times New Roman" w:cs="Times New Roman"/>
          <w:b/>
          <w:sz w:val="24"/>
          <w:szCs w:val="24"/>
          <w:lang w:val="en-GB"/>
        </w:rPr>
        <w:t xml:space="preserve">[INSERT </w:t>
      </w:r>
      <w:r>
        <w:rPr>
          <w:rFonts w:ascii="Times New Roman" w:hAnsi="Times New Roman" w:cs="Times New Roman"/>
          <w:b/>
          <w:sz w:val="24"/>
          <w:szCs w:val="24"/>
          <w:lang w:val="en-GB"/>
        </w:rPr>
        <w:t>TABLE 10</w:t>
      </w:r>
      <w:r w:rsidRPr="008A7487">
        <w:rPr>
          <w:rFonts w:ascii="Times New Roman" w:hAnsi="Times New Roman" w:cs="Times New Roman"/>
          <w:b/>
          <w:sz w:val="24"/>
          <w:szCs w:val="24"/>
          <w:lang w:val="en-GB"/>
        </w:rPr>
        <w:t xml:space="preserve"> ABOUT HERE]</w:t>
      </w:r>
    </w:p>
    <w:p w14:paraId="52D4BADF" w14:textId="77777777" w:rsidR="00B17ECE" w:rsidRDefault="00B17ECE" w:rsidP="0009698E">
      <w:pPr>
        <w:spacing w:line="480" w:lineRule="auto"/>
        <w:ind w:firstLine="720"/>
        <w:contextualSpacing/>
        <w:jc w:val="both"/>
        <w:rPr>
          <w:rFonts w:ascii="Times New Roman" w:hAnsi="Times New Roman" w:cs="Times New Roman"/>
          <w:sz w:val="24"/>
          <w:szCs w:val="24"/>
        </w:rPr>
      </w:pPr>
    </w:p>
    <w:p w14:paraId="604C198A" w14:textId="2FA17A4D" w:rsidR="00356B99" w:rsidRDefault="001E60C1" w:rsidP="0009698E">
      <w:pPr>
        <w:spacing w:line="48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Secondly, we used return on equity (ROE) as alternative measure of bank profitability in addition to ROA and NIM. </w:t>
      </w:r>
      <w:r w:rsidR="00A2508B">
        <w:rPr>
          <w:rFonts w:ascii="Times New Roman" w:hAnsi="Times New Roman" w:cs="Times New Roman"/>
          <w:sz w:val="24"/>
          <w:szCs w:val="24"/>
        </w:rPr>
        <w:t xml:space="preserve">Table 11 </w:t>
      </w:r>
      <w:r w:rsidR="00B17ECE">
        <w:rPr>
          <w:rFonts w:ascii="Times New Roman" w:hAnsi="Times New Roman" w:cs="Times New Roman"/>
          <w:sz w:val="24"/>
          <w:szCs w:val="24"/>
        </w:rPr>
        <w:t xml:space="preserve">below </w:t>
      </w:r>
      <w:r w:rsidR="00A2508B">
        <w:rPr>
          <w:rFonts w:ascii="Times New Roman" w:hAnsi="Times New Roman" w:cs="Times New Roman"/>
          <w:sz w:val="24"/>
          <w:szCs w:val="24"/>
        </w:rPr>
        <w:t xml:space="preserve">presents the result of this analysis. It shows that our main result presented in Table 5 has better qualitative features in terms of the explanatory power of the models and the number of significant independent variables. </w:t>
      </w:r>
      <w:r w:rsidR="00356B99" w:rsidRPr="008A7487">
        <w:rPr>
          <w:rFonts w:ascii="Times New Roman" w:hAnsi="Times New Roman" w:cs="Times New Roman"/>
          <w:sz w:val="24"/>
          <w:szCs w:val="24"/>
        </w:rPr>
        <w:t xml:space="preserve">Dietrich </w:t>
      </w:r>
      <w:r w:rsidR="00356B99">
        <w:rPr>
          <w:rFonts w:ascii="Times New Roman" w:hAnsi="Times New Roman" w:cs="Times New Roman"/>
          <w:sz w:val="24"/>
          <w:szCs w:val="24"/>
        </w:rPr>
        <w:t>&amp;</w:t>
      </w:r>
      <w:r w:rsidR="00356B99" w:rsidRPr="008A7487">
        <w:rPr>
          <w:rFonts w:ascii="Times New Roman" w:hAnsi="Times New Roman" w:cs="Times New Roman"/>
          <w:sz w:val="24"/>
          <w:szCs w:val="24"/>
        </w:rPr>
        <w:t xml:space="preserve"> Wanzenrid</w:t>
      </w:r>
      <w:r w:rsidR="00356B99">
        <w:rPr>
          <w:rFonts w:ascii="Times New Roman" w:hAnsi="Times New Roman" w:cs="Times New Roman"/>
          <w:sz w:val="24"/>
          <w:szCs w:val="24"/>
        </w:rPr>
        <w:t xml:space="preserve"> </w:t>
      </w:r>
      <w:r w:rsidR="00B17ECE">
        <w:rPr>
          <w:rFonts w:ascii="Times New Roman" w:hAnsi="Times New Roman" w:cs="Times New Roman"/>
          <w:sz w:val="24"/>
          <w:szCs w:val="24"/>
        </w:rPr>
        <w:t>(2011) also cautioned</w:t>
      </w:r>
      <w:r w:rsidR="00356B99">
        <w:rPr>
          <w:rFonts w:ascii="Times New Roman" w:hAnsi="Times New Roman" w:cs="Times New Roman"/>
          <w:sz w:val="24"/>
          <w:szCs w:val="24"/>
        </w:rPr>
        <w:t xml:space="preserve"> against using ROE as the main determinant of bank profitability </w:t>
      </w:r>
      <w:r w:rsidR="00A2508B">
        <w:rPr>
          <w:rFonts w:ascii="Times New Roman" w:hAnsi="Times New Roman" w:cs="Times New Roman"/>
          <w:sz w:val="24"/>
          <w:szCs w:val="24"/>
        </w:rPr>
        <w:t>because it does no</w:t>
      </w:r>
      <w:r w:rsidR="00B152CA">
        <w:rPr>
          <w:rFonts w:ascii="Times New Roman" w:hAnsi="Times New Roman" w:cs="Times New Roman"/>
          <w:sz w:val="24"/>
          <w:szCs w:val="24"/>
        </w:rPr>
        <w:t>t account</w:t>
      </w:r>
      <w:r w:rsidR="00A2508B">
        <w:rPr>
          <w:rFonts w:ascii="Times New Roman" w:hAnsi="Times New Roman" w:cs="Times New Roman"/>
          <w:sz w:val="24"/>
          <w:szCs w:val="24"/>
        </w:rPr>
        <w:t xml:space="preserve"> for bank leverage level.</w:t>
      </w:r>
    </w:p>
    <w:p w14:paraId="4EA339D5" w14:textId="77777777" w:rsidR="00B17ECE" w:rsidRDefault="00B17ECE" w:rsidP="0009698E">
      <w:pPr>
        <w:spacing w:line="480" w:lineRule="auto"/>
        <w:ind w:firstLine="720"/>
        <w:contextualSpacing/>
        <w:jc w:val="both"/>
        <w:rPr>
          <w:rFonts w:ascii="Times New Roman" w:hAnsi="Times New Roman" w:cs="Times New Roman"/>
          <w:sz w:val="24"/>
          <w:szCs w:val="24"/>
        </w:rPr>
      </w:pPr>
    </w:p>
    <w:p w14:paraId="08ED6FDA" w14:textId="0588090A" w:rsidR="00B17ECE" w:rsidRPr="008A7487" w:rsidRDefault="00B17ECE" w:rsidP="00B17ECE">
      <w:pPr>
        <w:autoSpaceDE w:val="0"/>
        <w:autoSpaceDN w:val="0"/>
        <w:adjustRightInd w:val="0"/>
        <w:spacing w:after="0" w:line="240" w:lineRule="auto"/>
        <w:jc w:val="center"/>
        <w:rPr>
          <w:rFonts w:ascii="Times New Roman" w:hAnsi="Times New Roman" w:cs="Times New Roman"/>
          <w:b/>
          <w:sz w:val="24"/>
          <w:szCs w:val="24"/>
          <w:lang w:val="en-GB"/>
        </w:rPr>
      </w:pPr>
      <w:r w:rsidRPr="008A7487">
        <w:rPr>
          <w:rFonts w:ascii="Times New Roman" w:hAnsi="Times New Roman" w:cs="Times New Roman"/>
          <w:b/>
          <w:sz w:val="24"/>
          <w:szCs w:val="24"/>
          <w:lang w:val="en-GB"/>
        </w:rPr>
        <w:lastRenderedPageBreak/>
        <w:t xml:space="preserve">[INSERT </w:t>
      </w:r>
      <w:r>
        <w:rPr>
          <w:rFonts w:ascii="Times New Roman" w:hAnsi="Times New Roman" w:cs="Times New Roman"/>
          <w:b/>
          <w:sz w:val="24"/>
          <w:szCs w:val="24"/>
          <w:lang w:val="en-GB"/>
        </w:rPr>
        <w:t>TABLE 11</w:t>
      </w:r>
      <w:r w:rsidRPr="008A7487">
        <w:rPr>
          <w:rFonts w:ascii="Times New Roman" w:hAnsi="Times New Roman" w:cs="Times New Roman"/>
          <w:b/>
          <w:sz w:val="24"/>
          <w:szCs w:val="24"/>
          <w:lang w:val="en-GB"/>
        </w:rPr>
        <w:t xml:space="preserve"> ABOUT HERE]</w:t>
      </w:r>
    </w:p>
    <w:p w14:paraId="6131B7B0" w14:textId="788A39DC" w:rsidR="00B17ECE" w:rsidRDefault="00B17ECE" w:rsidP="0009698E">
      <w:pPr>
        <w:spacing w:line="480" w:lineRule="auto"/>
        <w:ind w:firstLine="720"/>
        <w:contextualSpacing/>
        <w:jc w:val="both"/>
        <w:rPr>
          <w:rFonts w:ascii="Times New Roman" w:hAnsi="Times New Roman" w:cs="Times New Roman"/>
          <w:sz w:val="24"/>
          <w:szCs w:val="24"/>
        </w:rPr>
      </w:pPr>
    </w:p>
    <w:p w14:paraId="69DAB1C4" w14:textId="77777777" w:rsidR="00B17ECE" w:rsidRDefault="00B17ECE" w:rsidP="0009698E">
      <w:pPr>
        <w:spacing w:line="480" w:lineRule="auto"/>
        <w:ind w:firstLine="720"/>
        <w:contextualSpacing/>
        <w:jc w:val="both"/>
        <w:rPr>
          <w:rFonts w:ascii="Times New Roman" w:hAnsi="Times New Roman" w:cs="Times New Roman"/>
          <w:sz w:val="24"/>
          <w:szCs w:val="24"/>
        </w:rPr>
      </w:pPr>
    </w:p>
    <w:p w14:paraId="19456805" w14:textId="66BB0556" w:rsidR="00F834BC" w:rsidRPr="008A7487" w:rsidRDefault="00356B99" w:rsidP="0009698E">
      <w:pPr>
        <w:spacing w:line="48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Thirdly, </w:t>
      </w:r>
      <w:r w:rsidR="00E94292" w:rsidRPr="008A7487">
        <w:rPr>
          <w:rFonts w:ascii="Times New Roman" w:hAnsi="Times New Roman" w:cs="Times New Roman"/>
          <w:sz w:val="24"/>
          <w:szCs w:val="24"/>
        </w:rPr>
        <w:t xml:space="preserve">since </w:t>
      </w:r>
      <w:r w:rsidR="00F1205D" w:rsidRPr="008A7487">
        <w:rPr>
          <w:rFonts w:ascii="Times New Roman" w:hAnsi="Times New Roman" w:cs="Times New Roman"/>
          <w:sz w:val="24"/>
          <w:szCs w:val="24"/>
        </w:rPr>
        <w:t xml:space="preserve">previous </w:t>
      </w:r>
      <w:r w:rsidR="00E816B6" w:rsidRPr="008A7487">
        <w:rPr>
          <w:rFonts w:ascii="Times New Roman" w:hAnsi="Times New Roman" w:cs="Times New Roman"/>
          <w:sz w:val="24"/>
          <w:szCs w:val="24"/>
        </w:rPr>
        <w:t xml:space="preserve">studies </w:t>
      </w:r>
      <w:r w:rsidR="00F1205D" w:rsidRPr="008A7487">
        <w:rPr>
          <w:rFonts w:ascii="Times New Roman" w:hAnsi="Times New Roman" w:cs="Times New Roman"/>
          <w:sz w:val="24"/>
          <w:szCs w:val="24"/>
        </w:rPr>
        <w:t>(</w:t>
      </w:r>
      <w:r w:rsidR="00234DFF">
        <w:rPr>
          <w:rFonts w:ascii="Times New Roman" w:hAnsi="Times New Roman" w:cs="Times New Roman"/>
          <w:sz w:val="24"/>
          <w:szCs w:val="24"/>
        </w:rPr>
        <w:t>Ahokpossi</w:t>
      </w:r>
      <w:r w:rsidR="004F2EB7">
        <w:rPr>
          <w:rFonts w:ascii="Times New Roman" w:hAnsi="Times New Roman" w:cs="Times New Roman"/>
          <w:sz w:val="24"/>
          <w:szCs w:val="24"/>
        </w:rPr>
        <w:t>,</w:t>
      </w:r>
      <w:r w:rsidR="00842506" w:rsidRPr="008A7487">
        <w:rPr>
          <w:rFonts w:ascii="Times New Roman" w:hAnsi="Times New Roman" w:cs="Times New Roman"/>
          <w:sz w:val="24"/>
          <w:szCs w:val="24"/>
        </w:rPr>
        <w:t xml:space="preserve"> 2013; Flamini et a</w:t>
      </w:r>
      <w:r w:rsidR="00E816B6" w:rsidRPr="008A7487">
        <w:rPr>
          <w:rFonts w:ascii="Times New Roman" w:hAnsi="Times New Roman" w:cs="Times New Roman"/>
          <w:sz w:val="24"/>
          <w:szCs w:val="24"/>
        </w:rPr>
        <w:t>l.</w:t>
      </w:r>
      <w:r w:rsidR="004F2EB7">
        <w:rPr>
          <w:rFonts w:ascii="Times New Roman" w:hAnsi="Times New Roman" w:cs="Times New Roman"/>
          <w:sz w:val="24"/>
          <w:szCs w:val="24"/>
        </w:rPr>
        <w:t>,</w:t>
      </w:r>
      <w:r w:rsidR="00E816B6" w:rsidRPr="008A7487">
        <w:rPr>
          <w:rFonts w:ascii="Times New Roman" w:hAnsi="Times New Roman" w:cs="Times New Roman"/>
          <w:sz w:val="24"/>
          <w:szCs w:val="24"/>
        </w:rPr>
        <w:t xml:space="preserve"> 2009) </w:t>
      </w:r>
      <w:r w:rsidR="00842506" w:rsidRPr="008A7487">
        <w:rPr>
          <w:rFonts w:ascii="Times New Roman" w:hAnsi="Times New Roman" w:cs="Times New Roman"/>
          <w:sz w:val="24"/>
          <w:szCs w:val="24"/>
        </w:rPr>
        <w:t>suggest</w:t>
      </w:r>
      <w:r w:rsidR="00F1205D" w:rsidRPr="008A7487">
        <w:rPr>
          <w:rFonts w:ascii="Times New Roman" w:hAnsi="Times New Roman" w:cs="Times New Roman"/>
          <w:sz w:val="24"/>
          <w:szCs w:val="24"/>
        </w:rPr>
        <w:t xml:space="preserve"> that the relationship between bank size and profitability may </w:t>
      </w:r>
      <w:r w:rsidR="002F75DC" w:rsidRPr="008A7487">
        <w:rPr>
          <w:rFonts w:ascii="Times New Roman" w:hAnsi="Times New Roman" w:cs="Times New Roman"/>
          <w:sz w:val="24"/>
          <w:szCs w:val="24"/>
        </w:rPr>
        <w:t xml:space="preserve">be </w:t>
      </w:r>
      <w:r w:rsidR="00F1205D" w:rsidRPr="008A7487">
        <w:rPr>
          <w:rFonts w:ascii="Times New Roman" w:hAnsi="Times New Roman" w:cs="Times New Roman"/>
          <w:sz w:val="24"/>
          <w:szCs w:val="24"/>
        </w:rPr>
        <w:t>non-linear</w:t>
      </w:r>
      <w:r w:rsidR="00032106" w:rsidRPr="008A7487">
        <w:rPr>
          <w:rFonts w:ascii="Times New Roman" w:hAnsi="Times New Roman" w:cs="Times New Roman"/>
          <w:sz w:val="24"/>
          <w:szCs w:val="24"/>
        </w:rPr>
        <w:t>,</w:t>
      </w:r>
      <w:r w:rsidR="00F1205D" w:rsidRPr="008A7487">
        <w:rPr>
          <w:rFonts w:ascii="Times New Roman" w:hAnsi="Times New Roman" w:cs="Times New Roman"/>
          <w:sz w:val="24"/>
          <w:szCs w:val="24"/>
        </w:rPr>
        <w:t xml:space="preserve"> we used the square of size measure in additional analysis</w:t>
      </w:r>
      <w:r w:rsidR="00E03572" w:rsidRPr="008A7487">
        <w:rPr>
          <w:rFonts w:ascii="Times New Roman" w:hAnsi="Times New Roman" w:cs="Times New Roman"/>
          <w:sz w:val="24"/>
          <w:szCs w:val="24"/>
        </w:rPr>
        <w:t xml:space="preserve"> re</w:t>
      </w:r>
      <w:r>
        <w:rPr>
          <w:rFonts w:ascii="Times New Roman" w:hAnsi="Times New Roman" w:cs="Times New Roman"/>
          <w:sz w:val="24"/>
          <w:szCs w:val="24"/>
        </w:rPr>
        <w:t>ported in Table 12</w:t>
      </w:r>
      <w:r w:rsidR="00E03572" w:rsidRPr="008A7487">
        <w:rPr>
          <w:rFonts w:ascii="Times New Roman" w:hAnsi="Times New Roman" w:cs="Times New Roman"/>
          <w:sz w:val="24"/>
          <w:szCs w:val="24"/>
        </w:rPr>
        <w:t xml:space="preserve"> below</w:t>
      </w:r>
      <w:r w:rsidR="00F1205D" w:rsidRPr="008A7487">
        <w:rPr>
          <w:rFonts w:ascii="Times New Roman" w:hAnsi="Times New Roman" w:cs="Times New Roman"/>
          <w:sz w:val="24"/>
          <w:szCs w:val="24"/>
        </w:rPr>
        <w:t xml:space="preserve">. </w:t>
      </w:r>
      <w:r w:rsidR="00B83C36" w:rsidRPr="008A7487">
        <w:rPr>
          <w:rFonts w:ascii="Times New Roman" w:hAnsi="Times New Roman" w:cs="Times New Roman"/>
          <w:sz w:val="24"/>
          <w:szCs w:val="24"/>
        </w:rPr>
        <w:t xml:space="preserve">The </w:t>
      </w:r>
      <w:r w:rsidR="00E03572" w:rsidRPr="008A7487">
        <w:rPr>
          <w:rFonts w:ascii="Times New Roman" w:hAnsi="Times New Roman" w:cs="Times New Roman"/>
          <w:sz w:val="24"/>
          <w:szCs w:val="24"/>
        </w:rPr>
        <w:t>negative and statistically insignificant relationship between Lnsize</w:t>
      </w:r>
      <w:r w:rsidR="00E03572" w:rsidRPr="008A7487">
        <w:rPr>
          <w:rFonts w:ascii="Times New Roman" w:hAnsi="Times New Roman" w:cs="Times New Roman"/>
          <w:sz w:val="24"/>
          <w:szCs w:val="24"/>
          <w:vertAlign w:val="superscript"/>
        </w:rPr>
        <w:t>2</w:t>
      </w:r>
      <w:r w:rsidR="00D67D1E" w:rsidRPr="008A7487">
        <w:rPr>
          <w:rFonts w:ascii="Times New Roman" w:hAnsi="Times New Roman" w:cs="Times New Roman"/>
          <w:sz w:val="24"/>
          <w:szCs w:val="24"/>
        </w:rPr>
        <w:t xml:space="preserve"> and ROA did</w:t>
      </w:r>
      <w:r w:rsidR="005B2982" w:rsidRPr="008A7487">
        <w:rPr>
          <w:rFonts w:ascii="Times New Roman" w:hAnsi="Times New Roman" w:cs="Times New Roman"/>
          <w:sz w:val="24"/>
          <w:szCs w:val="24"/>
        </w:rPr>
        <w:t xml:space="preserve"> not support this assertion. </w:t>
      </w:r>
      <w:r w:rsidR="00A46824" w:rsidRPr="008A7487">
        <w:rPr>
          <w:rFonts w:ascii="Times New Roman" w:hAnsi="Times New Roman" w:cs="Times New Roman"/>
          <w:sz w:val="24"/>
          <w:szCs w:val="24"/>
        </w:rPr>
        <w:t xml:space="preserve"> </w:t>
      </w:r>
      <w:r>
        <w:rPr>
          <w:rFonts w:ascii="Times New Roman" w:hAnsi="Times New Roman" w:cs="Times New Roman"/>
          <w:sz w:val="24"/>
          <w:szCs w:val="24"/>
        </w:rPr>
        <w:t>Fourthly</w:t>
      </w:r>
      <w:r w:rsidR="00F1205D" w:rsidRPr="008A7487">
        <w:rPr>
          <w:rFonts w:ascii="Times New Roman" w:hAnsi="Times New Roman" w:cs="Times New Roman"/>
          <w:sz w:val="24"/>
          <w:szCs w:val="24"/>
        </w:rPr>
        <w:t xml:space="preserve">, </w:t>
      </w:r>
      <w:r w:rsidR="00B83C36" w:rsidRPr="008A7487">
        <w:rPr>
          <w:rFonts w:ascii="Times New Roman" w:hAnsi="Times New Roman" w:cs="Times New Roman"/>
          <w:sz w:val="24"/>
          <w:szCs w:val="24"/>
        </w:rPr>
        <w:t>Ahokpossi (2013) sug</w:t>
      </w:r>
      <w:r w:rsidR="00B83C36" w:rsidRPr="008A7487">
        <w:rPr>
          <w:rFonts w:ascii="Times New Roman" w:hAnsi="Times New Roman" w:cs="Times New Roman"/>
          <w:sz w:val="24"/>
          <w:szCs w:val="24"/>
        </w:rPr>
        <w:lastRenderedPageBreak/>
        <w:t xml:space="preserve">gested that the effect of market power </w:t>
      </w:r>
      <w:r w:rsidR="008273FE" w:rsidRPr="008A7487">
        <w:rPr>
          <w:rFonts w:ascii="Times New Roman" w:hAnsi="Times New Roman" w:cs="Times New Roman"/>
          <w:sz w:val="24"/>
          <w:szCs w:val="24"/>
        </w:rPr>
        <w:t>might</w:t>
      </w:r>
      <w:r w:rsidR="00B83C36" w:rsidRPr="008A7487">
        <w:rPr>
          <w:rFonts w:ascii="Times New Roman" w:hAnsi="Times New Roman" w:cs="Times New Roman"/>
          <w:sz w:val="24"/>
          <w:szCs w:val="24"/>
        </w:rPr>
        <w:t xml:space="preserve"> become evident through interaction with </w:t>
      </w:r>
      <w:r w:rsidR="00A46824" w:rsidRPr="008A7487">
        <w:rPr>
          <w:rFonts w:ascii="Times New Roman" w:hAnsi="Times New Roman" w:cs="Times New Roman"/>
          <w:sz w:val="24"/>
          <w:szCs w:val="24"/>
        </w:rPr>
        <w:t xml:space="preserve">banks’ </w:t>
      </w:r>
      <w:r w:rsidR="00B83C36" w:rsidRPr="008A7487">
        <w:rPr>
          <w:rFonts w:ascii="Times New Roman" w:hAnsi="Times New Roman" w:cs="Times New Roman"/>
          <w:sz w:val="24"/>
          <w:szCs w:val="24"/>
        </w:rPr>
        <w:t>operating cost. Banks with high market power may be able to depress their cost better</w:t>
      </w:r>
      <w:r w:rsidR="00E03572" w:rsidRPr="008A7487">
        <w:rPr>
          <w:rFonts w:ascii="Times New Roman" w:hAnsi="Times New Roman" w:cs="Times New Roman"/>
          <w:sz w:val="24"/>
          <w:szCs w:val="24"/>
        </w:rPr>
        <w:t xml:space="preserve">. </w:t>
      </w:r>
      <w:r w:rsidR="00B83C36" w:rsidRPr="008A7487">
        <w:rPr>
          <w:rFonts w:ascii="Times New Roman" w:hAnsi="Times New Roman" w:cs="Times New Roman"/>
          <w:sz w:val="24"/>
          <w:szCs w:val="24"/>
        </w:rPr>
        <w:t>We explored this</w:t>
      </w:r>
      <w:r w:rsidR="00E03572" w:rsidRPr="008A7487">
        <w:rPr>
          <w:rFonts w:ascii="Times New Roman" w:hAnsi="Times New Roman" w:cs="Times New Roman"/>
          <w:sz w:val="24"/>
          <w:szCs w:val="24"/>
        </w:rPr>
        <w:t xml:space="preserve"> issue by interacting our measure of market power with ope</w:t>
      </w:r>
      <w:r w:rsidR="00A46824" w:rsidRPr="008A7487">
        <w:rPr>
          <w:rFonts w:ascii="Times New Roman" w:hAnsi="Times New Roman" w:cs="Times New Roman"/>
          <w:sz w:val="24"/>
          <w:szCs w:val="24"/>
        </w:rPr>
        <w:t xml:space="preserve">rating cost. In column 1 Table </w:t>
      </w:r>
      <w:r>
        <w:rPr>
          <w:rFonts w:ascii="Times New Roman" w:hAnsi="Times New Roman" w:cs="Times New Roman"/>
          <w:sz w:val="24"/>
          <w:szCs w:val="24"/>
        </w:rPr>
        <w:t>12</w:t>
      </w:r>
      <w:r w:rsidR="00E03572" w:rsidRPr="008A7487">
        <w:rPr>
          <w:rFonts w:ascii="Times New Roman" w:hAnsi="Times New Roman" w:cs="Times New Roman"/>
          <w:sz w:val="24"/>
          <w:szCs w:val="24"/>
        </w:rPr>
        <w:t xml:space="preserve">, MP*CM showed positive but statistically insignificant relationship with ROA but showed </w:t>
      </w:r>
      <w:r w:rsidR="00032106" w:rsidRPr="008A7487">
        <w:rPr>
          <w:rFonts w:ascii="Times New Roman" w:hAnsi="Times New Roman" w:cs="Times New Roman"/>
          <w:sz w:val="24"/>
          <w:szCs w:val="24"/>
        </w:rPr>
        <w:t>statistically</w:t>
      </w:r>
      <w:r w:rsidR="00E03572" w:rsidRPr="008A7487">
        <w:rPr>
          <w:rFonts w:ascii="Times New Roman" w:hAnsi="Times New Roman" w:cs="Times New Roman"/>
          <w:sz w:val="24"/>
          <w:szCs w:val="24"/>
        </w:rPr>
        <w:t xml:space="preserve"> significant negative relationship with NIM. </w:t>
      </w:r>
      <w:r w:rsidR="00F834BC" w:rsidRPr="008A7487">
        <w:rPr>
          <w:rFonts w:ascii="Times New Roman" w:hAnsi="Times New Roman" w:cs="Times New Roman"/>
          <w:sz w:val="24"/>
          <w:szCs w:val="24"/>
        </w:rPr>
        <w:t xml:space="preserve">Thus, whilst the dis-economies of scale argument is supported by the NIM result, it is not with the ROA result. </w:t>
      </w:r>
    </w:p>
    <w:p w14:paraId="6E5E1FFF" w14:textId="77777777" w:rsidR="00FF7A4C" w:rsidRPr="008A7487" w:rsidRDefault="00FF7A4C" w:rsidP="0009698E">
      <w:pPr>
        <w:spacing w:line="480" w:lineRule="auto"/>
        <w:ind w:firstLine="720"/>
        <w:contextualSpacing/>
        <w:jc w:val="both"/>
        <w:rPr>
          <w:rFonts w:ascii="Times New Roman" w:hAnsi="Times New Roman" w:cs="Times New Roman"/>
          <w:sz w:val="24"/>
          <w:szCs w:val="24"/>
        </w:rPr>
      </w:pPr>
    </w:p>
    <w:p w14:paraId="161E1180" w14:textId="77777777" w:rsidR="00FF7A4C" w:rsidRPr="008A7487" w:rsidRDefault="00FF7A4C" w:rsidP="0009698E">
      <w:pPr>
        <w:spacing w:line="480" w:lineRule="auto"/>
        <w:ind w:firstLine="720"/>
        <w:contextualSpacing/>
        <w:jc w:val="both"/>
        <w:rPr>
          <w:rFonts w:ascii="Times New Roman" w:hAnsi="Times New Roman" w:cs="Times New Roman"/>
          <w:sz w:val="24"/>
          <w:szCs w:val="24"/>
        </w:rPr>
      </w:pPr>
    </w:p>
    <w:p w14:paraId="77AE2213" w14:textId="0F79F78A" w:rsidR="00FF7A4C" w:rsidRPr="008A7487" w:rsidRDefault="00FF7A4C" w:rsidP="00FF7A4C">
      <w:pPr>
        <w:autoSpaceDE w:val="0"/>
        <w:autoSpaceDN w:val="0"/>
        <w:adjustRightInd w:val="0"/>
        <w:spacing w:after="0" w:line="240" w:lineRule="auto"/>
        <w:jc w:val="center"/>
        <w:rPr>
          <w:rFonts w:ascii="Times New Roman" w:hAnsi="Times New Roman" w:cs="Times New Roman"/>
          <w:b/>
          <w:sz w:val="24"/>
          <w:szCs w:val="24"/>
          <w:lang w:val="en-GB"/>
        </w:rPr>
      </w:pPr>
      <w:r w:rsidRPr="008A7487">
        <w:rPr>
          <w:rFonts w:ascii="Times New Roman" w:hAnsi="Times New Roman" w:cs="Times New Roman"/>
          <w:b/>
          <w:sz w:val="24"/>
          <w:szCs w:val="24"/>
          <w:lang w:val="en-GB"/>
        </w:rPr>
        <w:t xml:space="preserve">[INSERT </w:t>
      </w:r>
      <w:r w:rsidR="00B17ECE">
        <w:rPr>
          <w:rFonts w:ascii="Times New Roman" w:hAnsi="Times New Roman" w:cs="Times New Roman"/>
          <w:b/>
          <w:sz w:val="24"/>
          <w:szCs w:val="24"/>
          <w:lang w:val="en-GB"/>
        </w:rPr>
        <w:t>TABLE 12</w:t>
      </w:r>
      <w:r w:rsidRPr="008A7487">
        <w:rPr>
          <w:rFonts w:ascii="Times New Roman" w:hAnsi="Times New Roman" w:cs="Times New Roman"/>
          <w:b/>
          <w:sz w:val="24"/>
          <w:szCs w:val="24"/>
          <w:lang w:val="en-GB"/>
        </w:rPr>
        <w:t xml:space="preserve"> ABOUT HERE]</w:t>
      </w:r>
    </w:p>
    <w:p w14:paraId="7E9E4274" w14:textId="77777777" w:rsidR="00FF7A4C" w:rsidRPr="008A7487" w:rsidRDefault="00FF7A4C" w:rsidP="0009698E">
      <w:pPr>
        <w:spacing w:line="480" w:lineRule="auto"/>
        <w:ind w:firstLine="720"/>
        <w:contextualSpacing/>
        <w:jc w:val="both"/>
        <w:rPr>
          <w:rFonts w:ascii="Times New Roman" w:hAnsi="Times New Roman" w:cs="Times New Roman"/>
          <w:sz w:val="24"/>
          <w:szCs w:val="24"/>
        </w:rPr>
      </w:pPr>
    </w:p>
    <w:p w14:paraId="18686317" w14:textId="77777777" w:rsidR="00FF7A4C" w:rsidRPr="008A7487" w:rsidRDefault="00FF7A4C" w:rsidP="0009698E">
      <w:pPr>
        <w:spacing w:line="480" w:lineRule="auto"/>
        <w:ind w:firstLine="720"/>
        <w:contextualSpacing/>
        <w:jc w:val="both"/>
        <w:rPr>
          <w:rFonts w:ascii="Times New Roman" w:hAnsi="Times New Roman" w:cs="Times New Roman"/>
          <w:sz w:val="24"/>
          <w:szCs w:val="24"/>
        </w:rPr>
      </w:pPr>
    </w:p>
    <w:p w14:paraId="0E3F3DDF" w14:textId="55A75A7F" w:rsidR="008613FD" w:rsidRPr="008A7487" w:rsidRDefault="00356B99" w:rsidP="0009698E">
      <w:pPr>
        <w:spacing w:line="48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F</w:t>
      </w:r>
      <w:r w:rsidR="00B152CA">
        <w:rPr>
          <w:rFonts w:ascii="Times New Roman" w:hAnsi="Times New Roman" w:cs="Times New Roman"/>
          <w:sz w:val="24"/>
          <w:szCs w:val="24"/>
        </w:rPr>
        <w:t>inally</w:t>
      </w:r>
      <w:r w:rsidR="008613FD" w:rsidRPr="008A7487">
        <w:rPr>
          <w:rFonts w:ascii="Times New Roman" w:hAnsi="Times New Roman" w:cs="Times New Roman"/>
          <w:sz w:val="24"/>
          <w:szCs w:val="24"/>
        </w:rPr>
        <w:t xml:space="preserve">, in </w:t>
      </w:r>
      <w:r w:rsidR="00B17ECE">
        <w:rPr>
          <w:rFonts w:ascii="Times New Roman" w:hAnsi="Times New Roman" w:cs="Times New Roman"/>
          <w:sz w:val="24"/>
          <w:szCs w:val="24"/>
        </w:rPr>
        <w:t xml:space="preserve">un-tabulated additional analysis </w:t>
      </w:r>
      <w:r w:rsidR="00A46824" w:rsidRPr="008A7487">
        <w:rPr>
          <w:rFonts w:ascii="Times New Roman" w:hAnsi="Times New Roman" w:cs="Times New Roman"/>
          <w:sz w:val="24"/>
          <w:szCs w:val="24"/>
        </w:rPr>
        <w:t>following the approach in Ahokpossi (2013)</w:t>
      </w:r>
      <w:r w:rsidR="00B17ECE">
        <w:rPr>
          <w:rFonts w:ascii="Times New Roman" w:hAnsi="Times New Roman" w:cs="Times New Roman"/>
          <w:sz w:val="24"/>
          <w:szCs w:val="24"/>
        </w:rPr>
        <w:t>,</w:t>
      </w:r>
      <w:r w:rsidR="00A46824" w:rsidRPr="008A7487">
        <w:rPr>
          <w:rFonts w:ascii="Times New Roman" w:hAnsi="Times New Roman" w:cs="Times New Roman"/>
          <w:sz w:val="24"/>
          <w:szCs w:val="24"/>
        </w:rPr>
        <w:t xml:space="preserve"> we examined the impacts of legal origin on our analysis and found that our results are robust to this consideration.  </w:t>
      </w:r>
      <w:r w:rsidR="00C40284" w:rsidRPr="008A7487">
        <w:rPr>
          <w:rFonts w:ascii="Times New Roman" w:hAnsi="Times New Roman" w:cs="Times New Roman"/>
          <w:sz w:val="24"/>
          <w:szCs w:val="24"/>
        </w:rPr>
        <w:t>This finding is plausible in the context given the efforts at integrating member states financial markets.</w:t>
      </w:r>
      <w:r w:rsidR="00E816B6" w:rsidRPr="008A7487">
        <w:rPr>
          <w:rFonts w:ascii="Times New Roman" w:hAnsi="Times New Roman" w:cs="Times New Roman"/>
          <w:sz w:val="24"/>
          <w:szCs w:val="24"/>
        </w:rPr>
        <w:t xml:space="preserve"> </w:t>
      </w:r>
    </w:p>
    <w:p w14:paraId="499CE410" w14:textId="77777777" w:rsidR="00285000" w:rsidRPr="008A7487" w:rsidRDefault="00285000" w:rsidP="0009698E">
      <w:pPr>
        <w:spacing w:line="480" w:lineRule="auto"/>
        <w:ind w:firstLine="720"/>
        <w:contextualSpacing/>
        <w:jc w:val="both"/>
        <w:rPr>
          <w:rFonts w:ascii="Times New Roman" w:hAnsi="Times New Roman" w:cs="Times New Roman"/>
          <w:sz w:val="24"/>
          <w:szCs w:val="24"/>
        </w:rPr>
      </w:pPr>
    </w:p>
    <w:p w14:paraId="7ACAEE4A" w14:textId="77777777" w:rsidR="00FF7A4C" w:rsidRPr="008A7487" w:rsidRDefault="00FF7A4C" w:rsidP="0009698E">
      <w:pPr>
        <w:autoSpaceDE w:val="0"/>
        <w:autoSpaceDN w:val="0"/>
        <w:adjustRightInd w:val="0"/>
        <w:spacing w:after="0" w:line="240" w:lineRule="auto"/>
        <w:jc w:val="both"/>
        <w:rPr>
          <w:rFonts w:ascii="Times New Roman" w:hAnsi="Times New Roman" w:cs="Times New Roman"/>
          <w:b/>
          <w:sz w:val="24"/>
          <w:szCs w:val="24"/>
          <w:lang w:val="en-GB"/>
        </w:rPr>
      </w:pPr>
    </w:p>
    <w:p w14:paraId="3A508654" w14:textId="1A920649" w:rsidR="0012450E" w:rsidRPr="008A7487" w:rsidRDefault="00FF7A4C" w:rsidP="004D6B53">
      <w:pPr>
        <w:pStyle w:val="ListParagraph"/>
        <w:numPr>
          <w:ilvl w:val="0"/>
          <w:numId w:val="24"/>
        </w:numPr>
        <w:spacing w:after="0" w:line="480" w:lineRule="auto"/>
        <w:ind w:left="0" w:firstLine="0"/>
        <w:jc w:val="both"/>
        <w:rPr>
          <w:rFonts w:ascii="Times New Roman" w:hAnsi="Times New Roman" w:cs="Times New Roman"/>
          <w:b/>
          <w:sz w:val="24"/>
          <w:szCs w:val="24"/>
        </w:rPr>
      </w:pPr>
      <w:r w:rsidRPr="008A7487">
        <w:rPr>
          <w:rFonts w:ascii="Times New Roman" w:hAnsi="Times New Roman" w:cs="Times New Roman"/>
          <w:b/>
          <w:sz w:val="24"/>
          <w:szCs w:val="24"/>
        </w:rPr>
        <w:t xml:space="preserve">Summary and </w:t>
      </w:r>
      <w:r w:rsidR="00123A97" w:rsidRPr="008A7487">
        <w:rPr>
          <w:rFonts w:ascii="Times New Roman" w:hAnsi="Times New Roman" w:cs="Times New Roman"/>
          <w:b/>
          <w:sz w:val="24"/>
          <w:szCs w:val="24"/>
        </w:rPr>
        <w:t>Conclusion</w:t>
      </w:r>
    </w:p>
    <w:p w14:paraId="7B9E11F5" w14:textId="6920C266" w:rsidR="00F05BA0" w:rsidRDefault="00A74CAE" w:rsidP="00A74CAE">
      <w:pPr>
        <w:spacing w:after="0" w:line="48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7E7CB8" w:rsidRPr="008A7487">
        <w:rPr>
          <w:rFonts w:ascii="Times New Roman" w:hAnsi="Times New Roman" w:cs="Times New Roman"/>
          <w:sz w:val="24"/>
          <w:szCs w:val="24"/>
        </w:rPr>
        <w:t>This</w:t>
      </w:r>
      <w:r w:rsidR="004D6B53" w:rsidRPr="008A7487">
        <w:rPr>
          <w:rFonts w:ascii="Times New Roman" w:hAnsi="Times New Roman" w:cs="Times New Roman"/>
          <w:sz w:val="24"/>
          <w:szCs w:val="24"/>
        </w:rPr>
        <w:t xml:space="preserve"> study reports the results of the ECOWAS </w:t>
      </w:r>
      <w:r w:rsidR="007E7CB8" w:rsidRPr="008A7487">
        <w:rPr>
          <w:rFonts w:ascii="Times New Roman" w:hAnsi="Times New Roman" w:cs="Times New Roman"/>
          <w:sz w:val="24"/>
          <w:szCs w:val="24"/>
        </w:rPr>
        <w:t>cross-country analysis o</w:t>
      </w:r>
      <w:r w:rsidR="004D6B53" w:rsidRPr="008A7487">
        <w:rPr>
          <w:rFonts w:ascii="Times New Roman" w:hAnsi="Times New Roman" w:cs="Times New Roman"/>
          <w:sz w:val="24"/>
          <w:szCs w:val="24"/>
        </w:rPr>
        <w:t>f how bank</w:t>
      </w:r>
      <w:r w:rsidR="00CE2F68">
        <w:rPr>
          <w:rFonts w:ascii="Times New Roman" w:hAnsi="Times New Roman" w:cs="Times New Roman"/>
          <w:sz w:val="24"/>
          <w:szCs w:val="24"/>
        </w:rPr>
        <w:t>-</w:t>
      </w:r>
      <w:r w:rsidR="004D6B53" w:rsidRPr="008A7487">
        <w:rPr>
          <w:rFonts w:ascii="Times New Roman" w:hAnsi="Times New Roman" w:cs="Times New Roman"/>
          <w:sz w:val="24"/>
          <w:szCs w:val="24"/>
        </w:rPr>
        <w:t>specific, macroeconomic determinants affect bank profitability</w:t>
      </w:r>
      <w:r w:rsidR="008C08DE" w:rsidRPr="008A7487">
        <w:rPr>
          <w:rFonts w:ascii="Times New Roman" w:hAnsi="Times New Roman" w:cs="Times New Roman"/>
          <w:sz w:val="24"/>
          <w:szCs w:val="24"/>
        </w:rPr>
        <w:t xml:space="preserve"> (measured by ROA and NIM)</w:t>
      </w:r>
      <w:r w:rsidR="004D6B53" w:rsidRPr="008A7487">
        <w:rPr>
          <w:rFonts w:ascii="Times New Roman" w:hAnsi="Times New Roman" w:cs="Times New Roman"/>
          <w:sz w:val="24"/>
          <w:szCs w:val="24"/>
        </w:rPr>
        <w:t xml:space="preserve"> </w:t>
      </w:r>
      <w:r w:rsidR="008C08DE" w:rsidRPr="008A7487">
        <w:rPr>
          <w:rFonts w:ascii="Times New Roman" w:hAnsi="Times New Roman" w:cs="Times New Roman"/>
          <w:sz w:val="24"/>
          <w:szCs w:val="24"/>
        </w:rPr>
        <w:t>before</w:t>
      </w:r>
      <w:r w:rsidR="00234DFF">
        <w:rPr>
          <w:rFonts w:ascii="Times New Roman" w:hAnsi="Times New Roman" w:cs="Times New Roman"/>
          <w:sz w:val="24"/>
          <w:szCs w:val="24"/>
        </w:rPr>
        <w:t xml:space="preserve"> (1999-2006), during (2007-2009) and after (2010</w:t>
      </w:r>
      <w:r w:rsidR="008C08DE" w:rsidRPr="008A7487">
        <w:rPr>
          <w:rFonts w:ascii="Times New Roman" w:hAnsi="Times New Roman" w:cs="Times New Roman"/>
          <w:sz w:val="24"/>
          <w:szCs w:val="24"/>
        </w:rPr>
        <w:t xml:space="preserve">-2013) the financial crisis. Using a </w:t>
      </w:r>
    </w:p>
    <w:p w14:paraId="0EC0D030" w14:textId="433969AE" w:rsidR="00CE2F68" w:rsidRDefault="002C7DA4" w:rsidP="00A74CAE">
      <w:pPr>
        <w:spacing w:after="0" w:line="480" w:lineRule="auto"/>
        <w:contextualSpacing/>
        <w:jc w:val="both"/>
        <w:rPr>
          <w:rFonts w:ascii="Times New Roman" w:hAnsi="Times New Roman" w:cs="Times New Roman"/>
          <w:sz w:val="24"/>
          <w:szCs w:val="24"/>
        </w:rPr>
      </w:pPr>
      <w:r>
        <w:rPr>
          <w:rFonts w:ascii="Times New Roman" w:hAnsi="Times New Roman" w:cs="Times New Roman"/>
          <w:sz w:val="24"/>
          <w:szCs w:val="24"/>
        </w:rPr>
        <w:t>panel data of 1673</w:t>
      </w:r>
      <w:r w:rsidR="002335D8">
        <w:rPr>
          <w:rFonts w:ascii="Times New Roman" w:hAnsi="Times New Roman" w:cs="Times New Roman"/>
          <w:sz w:val="24"/>
          <w:szCs w:val="24"/>
        </w:rPr>
        <w:t xml:space="preserve"> firm-</w:t>
      </w:r>
      <w:r w:rsidR="008C08DE" w:rsidRPr="008A7487">
        <w:rPr>
          <w:rFonts w:ascii="Times New Roman" w:hAnsi="Times New Roman" w:cs="Times New Roman"/>
          <w:sz w:val="24"/>
          <w:szCs w:val="24"/>
        </w:rPr>
        <w:t xml:space="preserve">years’ observations from </w:t>
      </w:r>
      <w:r w:rsidR="007E7CB8" w:rsidRPr="008A7487">
        <w:rPr>
          <w:rFonts w:ascii="Times New Roman" w:hAnsi="Times New Roman" w:cs="Times New Roman"/>
          <w:sz w:val="24"/>
          <w:szCs w:val="24"/>
        </w:rPr>
        <w:t>199</w:t>
      </w:r>
      <w:r w:rsidR="008C08DE" w:rsidRPr="008A7487">
        <w:rPr>
          <w:rFonts w:ascii="Times New Roman" w:hAnsi="Times New Roman" w:cs="Times New Roman"/>
          <w:sz w:val="24"/>
          <w:szCs w:val="24"/>
        </w:rPr>
        <w:t>9</w:t>
      </w:r>
      <w:r w:rsidR="007E7CB8" w:rsidRPr="008A7487">
        <w:rPr>
          <w:rFonts w:ascii="Times New Roman" w:hAnsi="Times New Roman" w:cs="Times New Roman"/>
          <w:sz w:val="24"/>
          <w:szCs w:val="24"/>
        </w:rPr>
        <w:t>-2013</w:t>
      </w:r>
      <w:r w:rsidR="008C08DE" w:rsidRPr="008A7487">
        <w:rPr>
          <w:rFonts w:ascii="Times New Roman" w:hAnsi="Times New Roman" w:cs="Times New Roman"/>
          <w:sz w:val="24"/>
          <w:szCs w:val="24"/>
        </w:rPr>
        <w:t>, the results show that bank</w:t>
      </w:r>
      <w:r w:rsidR="00CE2F68">
        <w:rPr>
          <w:rFonts w:ascii="Times New Roman" w:hAnsi="Times New Roman" w:cs="Times New Roman"/>
          <w:sz w:val="24"/>
          <w:szCs w:val="24"/>
        </w:rPr>
        <w:t>-</w:t>
      </w:r>
      <w:r w:rsidR="008C08DE" w:rsidRPr="008A7487">
        <w:rPr>
          <w:rFonts w:ascii="Times New Roman" w:hAnsi="Times New Roman" w:cs="Times New Roman"/>
          <w:sz w:val="24"/>
          <w:szCs w:val="24"/>
        </w:rPr>
        <w:t xml:space="preserve">specific factors mostly determine bank profitability. </w:t>
      </w:r>
      <w:r w:rsidR="00CE2F68">
        <w:rPr>
          <w:rFonts w:ascii="Times New Roman" w:hAnsi="Times New Roman" w:cs="Times New Roman"/>
          <w:sz w:val="24"/>
          <w:szCs w:val="24"/>
        </w:rPr>
        <w:t xml:space="preserve">The results </w:t>
      </w:r>
      <w:r w:rsidR="00A74CAE">
        <w:rPr>
          <w:rFonts w:ascii="Times New Roman" w:hAnsi="Times New Roman" w:cs="Times New Roman"/>
          <w:sz w:val="24"/>
          <w:szCs w:val="24"/>
        </w:rPr>
        <w:t xml:space="preserve">show that </w:t>
      </w:r>
      <w:r w:rsidR="00CE2F68">
        <w:rPr>
          <w:rFonts w:ascii="Times New Roman" w:hAnsi="Times New Roman" w:cs="Times New Roman"/>
          <w:sz w:val="24"/>
          <w:szCs w:val="24"/>
        </w:rPr>
        <w:t>b</w:t>
      </w:r>
      <w:r w:rsidR="00CE2F68" w:rsidRPr="0094468E">
        <w:rPr>
          <w:rFonts w:ascii="Times New Roman" w:hAnsi="Times New Roman" w:cs="Times New Roman"/>
          <w:sz w:val="24"/>
          <w:szCs w:val="24"/>
        </w:rPr>
        <w:t xml:space="preserve">anks </w:t>
      </w:r>
      <w:r w:rsidR="00A74CAE">
        <w:rPr>
          <w:rFonts w:ascii="Times New Roman" w:hAnsi="Times New Roman" w:cs="Times New Roman"/>
          <w:sz w:val="24"/>
          <w:szCs w:val="24"/>
        </w:rPr>
        <w:t xml:space="preserve">remained </w:t>
      </w:r>
      <w:r w:rsidR="00CE2F68" w:rsidRPr="0094468E">
        <w:rPr>
          <w:rFonts w:ascii="Times New Roman" w:hAnsi="Times New Roman" w:cs="Times New Roman"/>
          <w:sz w:val="24"/>
          <w:szCs w:val="24"/>
        </w:rPr>
        <w:t xml:space="preserve">profitable during the </w:t>
      </w:r>
      <w:r w:rsidR="00CE2F68">
        <w:rPr>
          <w:rFonts w:ascii="Times New Roman" w:hAnsi="Times New Roman" w:cs="Times New Roman"/>
          <w:sz w:val="24"/>
          <w:szCs w:val="24"/>
        </w:rPr>
        <w:t>financial</w:t>
      </w:r>
      <w:r w:rsidR="00CE2F68" w:rsidRPr="0094468E">
        <w:rPr>
          <w:rFonts w:ascii="Times New Roman" w:hAnsi="Times New Roman" w:cs="Times New Roman"/>
          <w:sz w:val="24"/>
          <w:szCs w:val="24"/>
        </w:rPr>
        <w:t xml:space="preserve"> crisis despite fall </w:t>
      </w:r>
      <w:r w:rsidR="00CE2F68" w:rsidRPr="0094468E">
        <w:rPr>
          <w:rFonts w:ascii="Times New Roman" w:hAnsi="Times New Roman" w:cs="Times New Roman"/>
          <w:sz w:val="24"/>
          <w:szCs w:val="24"/>
        </w:rPr>
        <w:lastRenderedPageBreak/>
        <w:t xml:space="preserve">in loans and increasing bank liquidity. </w:t>
      </w:r>
      <w:r w:rsidR="00A74CAE">
        <w:rPr>
          <w:rFonts w:ascii="Times New Roman" w:hAnsi="Times New Roman" w:cs="Times New Roman"/>
          <w:sz w:val="24"/>
          <w:szCs w:val="24"/>
        </w:rPr>
        <w:t xml:space="preserve">Regression </w:t>
      </w:r>
      <w:r w:rsidR="00CE2F68">
        <w:rPr>
          <w:rFonts w:ascii="Times New Roman" w:hAnsi="Times New Roman" w:cs="Times New Roman"/>
          <w:sz w:val="24"/>
          <w:szCs w:val="24"/>
        </w:rPr>
        <w:t xml:space="preserve">analysis results show that bank-specific determinants (size, cost management, and liquidity) and bank profitability (ROA) </w:t>
      </w:r>
      <w:r w:rsidR="00734FC6">
        <w:rPr>
          <w:rFonts w:ascii="Times New Roman" w:hAnsi="Times New Roman" w:cs="Times New Roman"/>
          <w:sz w:val="24"/>
          <w:szCs w:val="24"/>
        </w:rPr>
        <w:t>are significant</w:t>
      </w:r>
      <w:r w:rsidR="00A74CAE">
        <w:rPr>
          <w:rFonts w:ascii="Times New Roman" w:hAnsi="Times New Roman" w:cs="Times New Roman"/>
          <w:sz w:val="24"/>
          <w:szCs w:val="24"/>
        </w:rPr>
        <w:t xml:space="preserve"> </w:t>
      </w:r>
      <w:r w:rsidR="00CE2F68">
        <w:rPr>
          <w:rFonts w:ascii="Times New Roman" w:hAnsi="Times New Roman" w:cs="Times New Roman"/>
          <w:sz w:val="24"/>
          <w:szCs w:val="24"/>
        </w:rPr>
        <w:t xml:space="preserve">before, during and after the financial crisis. </w:t>
      </w:r>
      <w:r w:rsidR="00A74CAE">
        <w:rPr>
          <w:rFonts w:ascii="Times New Roman" w:hAnsi="Times New Roman" w:cs="Times New Roman"/>
          <w:sz w:val="24"/>
          <w:szCs w:val="24"/>
        </w:rPr>
        <w:t>T</w:t>
      </w:r>
      <w:r w:rsidR="00CE2F68">
        <w:rPr>
          <w:rFonts w:ascii="Times New Roman" w:hAnsi="Times New Roman" w:cs="Times New Roman"/>
          <w:sz w:val="24"/>
          <w:szCs w:val="24"/>
        </w:rPr>
        <w:t xml:space="preserve">he relationships between other bank-specific (capital strength, credit risk, market power), macroeconomic (GDP and inflation) </w:t>
      </w:r>
      <w:r w:rsidR="00A74CAE">
        <w:rPr>
          <w:rFonts w:ascii="Times New Roman" w:hAnsi="Times New Roman" w:cs="Times New Roman"/>
          <w:sz w:val="24"/>
          <w:szCs w:val="24"/>
        </w:rPr>
        <w:t xml:space="preserve">and bank profitability depend on </w:t>
      </w:r>
      <w:r w:rsidR="00CE2F68">
        <w:rPr>
          <w:rFonts w:ascii="Times New Roman" w:hAnsi="Times New Roman" w:cs="Times New Roman"/>
          <w:sz w:val="24"/>
          <w:szCs w:val="24"/>
        </w:rPr>
        <w:t xml:space="preserve">both </w:t>
      </w:r>
      <w:r w:rsidR="00A74CAE">
        <w:rPr>
          <w:rFonts w:ascii="Times New Roman" w:hAnsi="Times New Roman" w:cs="Times New Roman"/>
          <w:sz w:val="24"/>
          <w:szCs w:val="24"/>
        </w:rPr>
        <w:t xml:space="preserve">the </w:t>
      </w:r>
      <w:r w:rsidR="00CE2F68">
        <w:rPr>
          <w:rFonts w:ascii="Times New Roman" w:hAnsi="Times New Roman" w:cs="Times New Roman"/>
          <w:sz w:val="24"/>
          <w:szCs w:val="24"/>
        </w:rPr>
        <w:t xml:space="preserve">period of analysis (before, during and after financial crisis) and bank profitability measure used (ROA or NIM). </w:t>
      </w:r>
    </w:p>
    <w:p w14:paraId="0D6F0A5E" w14:textId="6EDAF2BC" w:rsidR="00C522A9" w:rsidRPr="008A7487" w:rsidRDefault="00C522A9" w:rsidP="00C522A9">
      <w:pPr>
        <w:spacing w:after="0" w:line="480" w:lineRule="auto"/>
        <w:ind w:firstLine="720"/>
        <w:contextualSpacing/>
        <w:jc w:val="both"/>
        <w:rPr>
          <w:rFonts w:ascii="Times New Roman" w:hAnsi="Times New Roman" w:cs="Times New Roman"/>
          <w:sz w:val="24"/>
          <w:szCs w:val="24"/>
        </w:rPr>
      </w:pPr>
      <w:r w:rsidRPr="008A7487">
        <w:rPr>
          <w:rFonts w:ascii="Times New Roman" w:hAnsi="Times New Roman" w:cs="Times New Roman"/>
          <w:sz w:val="24"/>
          <w:szCs w:val="24"/>
        </w:rPr>
        <w:lastRenderedPageBreak/>
        <w:t xml:space="preserve">Our findings should be interpreted in the light of the limitations of the study. For example, the classification of the period in our analysis into before, during and after may be problematic because </w:t>
      </w:r>
      <w:r w:rsidR="00A74CAE">
        <w:rPr>
          <w:rFonts w:ascii="Times New Roman" w:hAnsi="Times New Roman" w:cs="Times New Roman"/>
          <w:sz w:val="24"/>
          <w:szCs w:val="24"/>
        </w:rPr>
        <w:t>it is debatable as to when the financial crisis started and ended.</w:t>
      </w:r>
      <w:r w:rsidRPr="008A7487">
        <w:rPr>
          <w:rFonts w:ascii="Times New Roman" w:hAnsi="Times New Roman" w:cs="Times New Roman"/>
          <w:sz w:val="24"/>
          <w:szCs w:val="24"/>
        </w:rPr>
        <w:t xml:space="preserve"> Moreover, the financial crisis started and ended on different dates in different countries. However, we tried to alleviate this problem by dividing our time period following previous research by </w:t>
      </w:r>
      <w:r w:rsidRPr="002C7DA4">
        <w:rPr>
          <w:rFonts w:ascii="Times New Roman" w:hAnsi="Times New Roman" w:cs="Times New Roman"/>
          <w:sz w:val="24"/>
          <w:szCs w:val="24"/>
        </w:rPr>
        <w:t xml:space="preserve">Dietrich </w:t>
      </w:r>
      <w:r w:rsidR="004F2EB7" w:rsidRPr="002C7DA4">
        <w:rPr>
          <w:rFonts w:ascii="Times New Roman" w:hAnsi="Times New Roman" w:cs="Times New Roman"/>
          <w:sz w:val="24"/>
          <w:szCs w:val="24"/>
        </w:rPr>
        <w:t>&amp;</w:t>
      </w:r>
      <w:r w:rsidRPr="002C7DA4">
        <w:rPr>
          <w:rFonts w:ascii="Times New Roman" w:hAnsi="Times New Roman" w:cs="Times New Roman"/>
          <w:sz w:val="24"/>
          <w:szCs w:val="24"/>
        </w:rPr>
        <w:t xml:space="preserve"> Wanzenried (2</w:t>
      </w:r>
      <w:r w:rsidR="002C7DA4" w:rsidRPr="002C7DA4">
        <w:rPr>
          <w:rFonts w:ascii="Times New Roman" w:hAnsi="Times New Roman" w:cs="Times New Roman"/>
          <w:sz w:val="24"/>
          <w:szCs w:val="24"/>
        </w:rPr>
        <w:t>011</w:t>
      </w:r>
      <w:r w:rsidRPr="002C7DA4">
        <w:rPr>
          <w:rFonts w:ascii="Times New Roman" w:hAnsi="Times New Roman" w:cs="Times New Roman"/>
          <w:sz w:val="24"/>
          <w:szCs w:val="24"/>
        </w:rPr>
        <w:t>) rather</w:t>
      </w:r>
      <w:r w:rsidRPr="008A7487">
        <w:rPr>
          <w:rFonts w:ascii="Times New Roman" w:hAnsi="Times New Roman" w:cs="Times New Roman"/>
          <w:sz w:val="24"/>
          <w:szCs w:val="24"/>
        </w:rPr>
        <w:t xml:space="preserve"> than use our own classification. </w:t>
      </w:r>
      <w:r w:rsidR="00A74CAE">
        <w:rPr>
          <w:rFonts w:ascii="Times New Roman" w:hAnsi="Times New Roman" w:cs="Times New Roman"/>
          <w:sz w:val="24"/>
          <w:szCs w:val="24"/>
        </w:rPr>
        <w:t>Further, our study is also limited because we only considered commer</w:t>
      </w:r>
      <w:r w:rsidR="00234DFF">
        <w:rPr>
          <w:rFonts w:ascii="Times New Roman" w:hAnsi="Times New Roman" w:cs="Times New Roman"/>
          <w:sz w:val="24"/>
          <w:szCs w:val="24"/>
        </w:rPr>
        <w:t>cial banks</w:t>
      </w:r>
      <w:r w:rsidR="00A74CAE">
        <w:rPr>
          <w:rFonts w:ascii="Times New Roman" w:hAnsi="Times New Roman" w:cs="Times New Roman"/>
          <w:sz w:val="24"/>
          <w:szCs w:val="24"/>
        </w:rPr>
        <w:t xml:space="preserve"> and</w:t>
      </w:r>
      <w:r w:rsidR="00234DFF">
        <w:rPr>
          <w:rFonts w:ascii="Times New Roman" w:hAnsi="Times New Roman" w:cs="Times New Roman"/>
          <w:sz w:val="24"/>
          <w:szCs w:val="24"/>
        </w:rPr>
        <w:t xml:space="preserve"> future studies </w:t>
      </w:r>
      <w:r w:rsidR="00234DFF">
        <w:rPr>
          <w:rFonts w:ascii="Times New Roman" w:hAnsi="Times New Roman" w:cs="Times New Roman"/>
          <w:sz w:val="24"/>
          <w:szCs w:val="24"/>
        </w:rPr>
        <w:lastRenderedPageBreak/>
        <w:t xml:space="preserve">may consider the inclusion of other banks including development banks. </w:t>
      </w:r>
    </w:p>
    <w:p w14:paraId="64CDDB68" w14:textId="1DE80A78" w:rsidR="00C522A9" w:rsidRPr="008A7487" w:rsidRDefault="00F84E68" w:rsidP="00C74188">
      <w:pPr>
        <w:spacing w:after="0" w:line="480" w:lineRule="auto"/>
        <w:ind w:firstLine="720"/>
        <w:contextualSpacing/>
        <w:jc w:val="both"/>
        <w:rPr>
          <w:rFonts w:ascii="Times New Roman" w:hAnsi="Times New Roman" w:cs="Times New Roman"/>
          <w:sz w:val="24"/>
          <w:szCs w:val="24"/>
        </w:rPr>
      </w:pPr>
      <w:r w:rsidRPr="008A7487">
        <w:rPr>
          <w:rFonts w:ascii="Times New Roman" w:hAnsi="Times New Roman" w:cs="Times New Roman"/>
          <w:sz w:val="24"/>
          <w:szCs w:val="24"/>
        </w:rPr>
        <w:t>Despite these limitations, our</w:t>
      </w:r>
      <w:r w:rsidR="004C6421">
        <w:rPr>
          <w:rFonts w:ascii="Times New Roman" w:hAnsi="Times New Roman" w:cs="Times New Roman"/>
          <w:sz w:val="24"/>
          <w:szCs w:val="24"/>
        </w:rPr>
        <w:t xml:space="preserve"> study </w:t>
      </w:r>
      <w:r w:rsidRPr="008A7487">
        <w:rPr>
          <w:rFonts w:ascii="Times New Roman" w:hAnsi="Times New Roman" w:cs="Times New Roman"/>
          <w:sz w:val="24"/>
          <w:szCs w:val="24"/>
        </w:rPr>
        <w:t>contribut</w:t>
      </w:r>
      <w:r w:rsidR="004C6421">
        <w:rPr>
          <w:rFonts w:ascii="Times New Roman" w:hAnsi="Times New Roman" w:cs="Times New Roman"/>
          <w:sz w:val="24"/>
          <w:szCs w:val="24"/>
        </w:rPr>
        <w:t xml:space="preserve">es by complementing existing studies where there is mixed evidence of the determinants of bank profitability before and during financial crisis </w:t>
      </w:r>
      <w:r w:rsidR="00C522A9" w:rsidRPr="008A7487">
        <w:rPr>
          <w:rFonts w:ascii="Times New Roman" w:hAnsi="Times New Roman" w:cs="Times New Roman"/>
          <w:sz w:val="24"/>
          <w:szCs w:val="24"/>
        </w:rPr>
        <w:t>(</w:t>
      </w:r>
      <w:r w:rsidR="00F1113F">
        <w:rPr>
          <w:rFonts w:ascii="Times New Roman" w:hAnsi="Times New Roman" w:cs="Times New Roman"/>
          <w:sz w:val="24"/>
          <w:szCs w:val="24"/>
        </w:rPr>
        <w:t>Vazquez &amp; Federico,</w:t>
      </w:r>
      <w:r w:rsidR="00F1113F" w:rsidRPr="008A7487">
        <w:rPr>
          <w:rFonts w:ascii="Times New Roman" w:hAnsi="Times New Roman" w:cs="Times New Roman"/>
          <w:sz w:val="24"/>
          <w:szCs w:val="24"/>
        </w:rPr>
        <w:t xml:space="preserve"> 2015</w:t>
      </w:r>
      <w:r w:rsidR="00F1113F">
        <w:rPr>
          <w:rFonts w:ascii="Times New Roman" w:hAnsi="Times New Roman" w:cs="Times New Roman"/>
          <w:sz w:val="24"/>
          <w:szCs w:val="24"/>
        </w:rPr>
        <w:t xml:space="preserve">; </w:t>
      </w:r>
      <w:r w:rsidR="00C522A9" w:rsidRPr="008A7487">
        <w:rPr>
          <w:rFonts w:ascii="Times New Roman" w:hAnsi="Times New Roman" w:cs="Times New Roman"/>
          <w:sz w:val="24"/>
          <w:szCs w:val="24"/>
        </w:rPr>
        <w:t xml:space="preserve">Athanasoglou </w:t>
      </w:r>
      <w:r w:rsidR="00234DFF">
        <w:rPr>
          <w:rFonts w:ascii="Times New Roman" w:hAnsi="Times New Roman" w:cs="Times New Roman"/>
          <w:sz w:val="24"/>
          <w:szCs w:val="24"/>
        </w:rPr>
        <w:t>et al.</w:t>
      </w:r>
      <w:r w:rsidR="004F2EB7">
        <w:rPr>
          <w:rFonts w:ascii="Times New Roman" w:hAnsi="Times New Roman" w:cs="Times New Roman"/>
          <w:sz w:val="24"/>
          <w:szCs w:val="24"/>
        </w:rPr>
        <w:t>,</w:t>
      </w:r>
      <w:r w:rsidR="00234DFF">
        <w:rPr>
          <w:rFonts w:ascii="Times New Roman" w:hAnsi="Times New Roman" w:cs="Times New Roman"/>
          <w:sz w:val="24"/>
          <w:szCs w:val="24"/>
        </w:rPr>
        <w:t xml:space="preserve"> 2014; Markman </w:t>
      </w:r>
      <w:r w:rsidR="004F2EB7">
        <w:rPr>
          <w:rFonts w:ascii="Times New Roman" w:hAnsi="Times New Roman" w:cs="Times New Roman"/>
          <w:sz w:val="24"/>
          <w:szCs w:val="24"/>
        </w:rPr>
        <w:t>&amp;</w:t>
      </w:r>
      <w:r w:rsidR="00234DFF">
        <w:rPr>
          <w:rFonts w:ascii="Times New Roman" w:hAnsi="Times New Roman" w:cs="Times New Roman"/>
          <w:sz w:val="24"/>
          <w:szCs w:val="24"/>
        </w:rPr>
        <w:t xml:space="preserve"> Venzin</w:t>
      </w:r>
      <w:r w:rsidR="004F2EB7">
        <w:rPr>
          <w:rFonts w:ascii="Times New Roman" w:hAnsi="Times New Roman" w:cs="Times New Roman"/>
          <w:sz w:val="24"/>
          <w:szCs w:val="24"/>
        </w:rPr>
        <w:t>,</w:t>
      </w:r>
      <w:r w:rsidR="00234DFF">
        <w:rPr>
          <w:rFonts w:ascii="Times New Roman" w:hAnsi="Times New Roman" w:cs="Times New Roman"/>
          <w:sz w:val="24"/>
          <w:szCs w:val="24"/>
        </w:rPr>
        <w:t xml:space="preserve"> 2014; Haas </w:t>
      </w:r>
      <w:r w:rsidR="004F2EB7">
        <w:rPr>
          <w:rFonts w:ascii="Times New Roman" w:hAnsi="Times New Roman" w:cs="Times New Roman"/>
          <w:sz w:val="24"/>
          <w:szCs w:val="24"/>
        </w:rPr>
        <w:t>&amp;</w:t>
      </w:r>
      <w:r w:rsidR="00234DFF">
        <w:rPr>
          <w:rFonts w:ascii="Times New Roman" w:hAnsi="Times New Roman" w:cs="Times New Roman"/>
          <w:sz w:val="24"/>
          <w:szCs w:val="24"/>
        </w:rPr>
        <w:t xml:space="preserve"> Lelyyeld</w:t>
      </w:r>
      <w:r w:rsidR="004F2EB7">
        <w:rPr>
          <w:rFonts w:ascii="Times New Roman" w:hAnsi="Times New Roman" w:cs="Times New Roman"/>
          <w:sz w:val="24"/>
          <w:szCs w:val="24"/>
        </w:rPr>
        <w:t>,</w:t>
      </w:r>
      <w:r w:rsidR="00C522A9" w:rsidRPr="008A7487">
        <w:rPr>
          <w:rFonts w:ascii="Times New Roman" w:hAnsi="Times New Roman" w:cs="Times New Roman"/>
          <w:sz w:val="24"/>
          <w:szCs w:val="24"/>
        </w:rPr>
        <w:t xml:space="preserve"> </w:t>
      </w:r>
      <w:r w:rsidR="00234DFF">
        <w:rPr>
          <w:rFonts w:ascii="Times New Roman" w:hAnsi="Times New Roman" w:cs="Times New Roman"/>
          <w:sz w:val="24"/>
          <w:szCs w:val="24"/>
        </w:rPr>
        <w:t xml:space="preserve">2014; Albertazzi </w:t>
      </w:r>
      <w:r w:rsidR="004F2EB7">
        <w:rPr>
          <w:rFonts w:ascii="Times New Roman" w:hAnsi="Times New Roman" w:cs="Times New Roman"/>
          <w:sz w:val="24"/>
          <w:szCs w:val="24"/>
        </w:rPr>
        <w:t>&amp;</w:t>
      </w:r>
      <w:r w:rsidR="00234DFF">
        <w:rPr>
          <w:rFonts w:ascii="Times New Roman" w:hAnsi="Times New Roman" w:cs="Times New Roman"/>
          <w:sz w:val="24"/>
          <w:szCs w:val="24"/>
        </w:rPr>
        <w:t xml:space="preserve"> Gambacorta</w:t>
      </w:r>
      <w:r w:rsidR="004F2EB7">
        <w:rPr>
          <w:rFonts w:ascii="Times New Roman" w:hAnsi="Times New Roman" w:cs="Times New Roman"/>
          <w:sz w:val="24"/>
          <w:szCs w:val="24"/>
        </w:rPr>
        <w:t>,</w:t>
      </w:r>
      <w:r w:rsidR="00F1113F">
        <w:rPr>
          <w:rFonts w:ascii="Times New Roman" w:hAnsi="Times New Roman" w:cs="Times New Roman"/>
          <w:sz w:val="24"/>
          <w:szCs w:val="24"/>
        </w:rPr>
        <w:t xml:space="preserve"> 2009</w:t>
      </w:r>
      <w:r w:rsidR="00C522A9" w:rsidRPr="008A7487">
        <w:rPr>
          <w:rFonts w:ascii="Times New Roman" w:hAnsi="Times New Roman" w:cs="Times New Roman"/>
          <w:sz w:val="24"/>
          <w:szCs w:val="24"/>
        </w:rPr>
        <w:t xml:space="preserve">). </w:t>
      </w:r>
      <w:r w:rsidRPr="008A7487">
        <w:rPr>
          <w:rFonts w:ascii="Times New Roman" w:hAnsi="Times New Roman" w:cs="Times New Roman"/>
          <w:sz w:val="24"/>
          <w:szCs w:val="24"/>
        </w:rPr>
        <w:t xml:space="preserve">In particular, we extend the </w:t>
      </w:r>
      <w:r w:rsidR="004C6421">
        <w:rPr>
          <w:rFonts w:ascii="Times New Roman" w:hAnsi="Times New Roman" w:cs="Times New Roman"/>
          <w:sz w:val="24"/>
          <w:szCs w:val="24"/>
        </w:rPr>
        <w:t xml:space="preserve">existing </w:t>
      </w:r>
      <w:r w:rsidRPr="008A7487">
        <w:rPr>
          <w:rFonts w:ascii="Times New Roman" w:hAnsi="Times New Roman" w:cs="Times New Roman"/>
          <w:sz w:val="24"/>
          <w:szCs w:val="24"/>
        </w:rPr>
        <w:t xml:space="preserve">research by </w:t>
      </w:r>
      <w:r w:rsidR="004C6421">
        <w:rPr>
          <w:rFonts w:ascii="Times New Roman" w:hAnsi="Times New Roman" w:cs="Times New Roman"/>
          <w:sz w:val="24"/>
          <w:szCs w:val="24"/>
        </w:rPr>
        <w:t xml:space="preserve">investigating the determinants of bank profitability </w:t>
      </w:r>
      <w:r w:rsidR="007814AC">
        <w:rPr>
          <w:rFonts w:ascii="Times New Roman" w:hAnsi="Times New Roman" w:cs="Times New Roman"/>
          <w:sz w:val="24"/>
          <w:szCs w:val="24"/>
        </w:rPr>
        <w:t xml:space="preserve">before, during and after </w:t>
      </w:r>
      <w:r w:rsidR="004C6421">
        <w:rPr>
          <w:rFonts w:ascii="Times New Roman" w:hAnsi="Times New Roman" w:cs="Times New Roman"/>
          <w:sz w:val="24"/>
          <w:szCs w:val="24"/>
        </w:rPr>
        <w:t xml:space="preserve">the financial crisis since our </w:t>
      </w:r>
      <w:r w:rsidR="004C6421">
        <w:rPr>
          <w:rFonts w:ascii="Times New Roman" w:hAnsi="Times New Roman" w:cs="Times New Roman"/>
          <w:sz w:val="24"/>
          <w:szCs w:val="24"/>
        </w:rPr>
        <w:lastRenderedPageBreak/>
        <w:t xml:space="preserve">knowledge is limited to the </w:t>
      </w:r>
      <w:r w:rsidR="007814AC">
        <w:rPr>
          <w:rFonts w:ascii="Times New Roman" w:hAnsi="Times New Roman" w:cs="Times New Roman"/>
          <w:sz w:val="24"/>
          <w:szCs w:val="24"/>
        </w:rPr>
        <w:t xml:space="preserve">period before </w:t>
      </w:r>
      <w:r w:rsidR="004C6421">
        <w:rPr>
          <w:rFonts w:ascii="Times New Roman" w:hAnsi="Times New Roman" w:cs="Times New Roman"/>
          <w:sz w:val="24"/>
          <w:szCs w:val="24"/>
        </w:rPr>
        <w:t xml:space="preserve">and during financial crisis. </w:t>
      </w:r>
      <w:r w:rsidRPr="008A7487">
        <w:rPr>
          <w:rFonts w:ascii="Times New Roman" w:hAnsi="Times New Roman" w:cs="Times New Roman"/>
          <w:sz w:val="24"/>
          <w:szCs w:val="24"/>
        </w:rPr>
        <w:t>In addition, we also contributed to existing literature</w:t>
      </w:r>
      <w:r w:rsidR="00412A38" w:rsidRPr="008A7487">
        <w:rPr>
          <w:rFonts w:ascii="Times New Roman" w:hAnsi="Times New Roman" w:cs="Times New Roman"/>
          <w:sz w:val="24"/>
          <w:szCs w:val="24"/>
        </w:rPr>
        <w:t xml:space="preserve"> by reporting </w:t>
      </w:r>
      <w:r w:rsidR="00674B46">
        <w:rPr>
          <w:rFonts w:ascii="Times New Roman" w:hAnsi="Times New Roman" w:cs="Times New Roman"/>
          <w:sz w:val="24"/>
          <w:szCs w:val="24"/>
        </w:rPr>
        <w:t>cross-country</w:t>
      </w:r>
      <w:r w:rsidR="00041C54">
        <w:rPr>
          <w:rFonts w:ascii="Times New Roman" w:hAnsi="Times New Roman" w:cs="Times New Roman"/>
          <w:sz w:val="24"/>
          <w:szCs w:val="24"/>
        </w:rPr>
        <w:t xml:space="preserve"> </w:t>
      </w:r>
      <w:r w:rsidR="00412A38" w:rsidRPr="008A7487">
        <w:rPr>
          <w:rFonts w:ascii="Times New Roman" w:hAnsi="Times New Roman" w:cs="Times New Roman"/>
          <w:sz w:val="24"/>
          <w:szCs w:val="24"/>
        </w:rPr>
        <w:t xml:space="preserve">evidence from ECOWAS </w:t>
      </w:r>
      <w:r w:rsidR="004C6421">
        <w:rPr>
          <w:rFonts w:ascii="Times New Roman" w:hAnsi="Times New Roman" w:cs="Times New Roman"/>
          <w:sz w:val="24"/>
          <w:szCs w:val="24"/>
        </w:rPr>
        <w:t>since many existing studies (</w:t>
      </w:r>
      <w:r w:rsidR="00F1113F" w:rsidRPr="008A7487">
        <w:rPr>
          <w:rFonts w:ascii="Times New Roman" w:hAnsi="Times New Roman" w:cs="Times New Roman"/>
          <w:sz w:val="24"/>
          <w:szCs w:val="24"/>
        </w:rPr>
        <w:t xml:space="preserve">Dietrich </w:t>
      </w:r>
      <w:r w:rsidR="00041C54">
        <w:rPr>
          <w:rFonts w:ascii="Times New Roman" w:hAnsi="Times New Roman" w:cs="Times New Roman"/>
          <w:sz w:val="24"/>
          <w:szCs w:val="24"/>
        </w:rPr>
        <w:t>&amp; Wanzenried, 2011</w:t>
      </w:r>
      <w:r w:rsidR="00F1113F">
        <w:rPr>
          <w:rFonts w:ascii="Times New Roman" w:hAnsi="Times New Roman" w:cs="Times New Roman"/>
          <w:sz w:val="24"/>
          <w:szCs w:val="24"/>
        </w:rPr>
        <w:t xml:space="preserve">; </w:t>
      </w:r>
      <w:r w:rsidR="004C6421" w:rsidRPr="008A7487">
        <w:rPr>
          <w:rFonts w:ascii="Times New Roman" w:hAnsi="Times New Roman" w:cs="Times New Roman"/>
          <w:sz w:val="24"/>
          <w:szCs w:val="24"/>
        </w:rPr>
        <w:t xml:space="preserve">Rumler </w:t>
      </w:r>
      <w:r w:rsidR="00F05BA0">
        <w:rPr>
          <w:rFonts w:ascii="Times New Roman" w:hAnsi="Times New Roman" w:cs="Times New Roman"/>
          <w:sz w:val="24"/>
          <w:szCs w:val="24"/>
        </w:rPr>
        <w:t>&amp;</w:t>
      </w:r>
      <w:r w:rsidR="004C6421" w:rsidRPr="008A7487">
        <w:rPr>
          <w:rFonts w:ascii="Times New Roman" w:hAnsi="Times New Roman" w:cs="Times New Roman"/>
          <w:sz w:val="24"/>
          <w:szCs w:val="24"/>
        </w:rPr>
        <w:t xml:space="preserve"> Waschiczek</w:t>
      </w:r>
      <w:r w:rsidR="004C6421">
        <w:rPr>
          <w:rFonts w:ascii="Times New Roman" w:hAnsi="Times New Roman" w:cs="Times New Roman"/>
          <w:sz w:val="24"/>
          <w:szCs w:val="24"/>
        </w:rPr>
        <w:t xml:space="preserve">, </w:t>
      </w:r>
      <w:r w:rsidR="004C6421" w:rsidRPr="008A7487">
        <w:rPr>
          <w:rFonts w:ascii="Times New Roman" w:hAnsi="Times New Roman" w:cs="Times New Roman"/>
          <w:sz w:val="24"/>
          <w:szCs w:val="24"/>
        </w:rPr>
        <w:t>2010</w:t>
      </w:r>
      <w:r w:rsidR="00F1113F">
        <w:rPr>
          <w:rFonts w:ascii="Times New Roman" w:hAnsi="Times New Roman" w:cs="Times New Roman"/>
          <w:sz w:val="24"/>
          <w:szCs w:val="24"/>
        </w:rPr>
        <w:t>)</w:t>
      </w:r>
      <w:r w:rsidR="00F05BA0">
        <w:rPr>
          <w:rFonts w:ascii="Times New Roman" w:hAnsi="Times New Roman" w:cs="Times New Roman"/>
          <w:sz w:val="24"/>
          <w:szCs w:val="24"/>
        </w:rPr>
        <w:t xml:space="preserve"> </w:t>
      </w:r>
      <w:r w:rsidR="00734FC6">
        <w:rPr>
          <w:rFonts w:ascii="Times New Roman" w:hAnsi="Times New Roman" w:cs="Times New Roman"/>
          <w:sz w:val="24"/>
          <w:szCs w:val="24"/>
        </w:rPr>
        <w:t>are based on a single country</w:t>
      </w:r>
      <w:r w:rsidR="004C6421" w:rsidRPr="008A7487">
        <w:rPr>
          <w:rFonts w:ascii="Times New Roman" w:hAnsi="Times New Roman" w:cs="Times New Roman"/>
          <w:sz w:val="24"/>
          <w:szCs w:val="24"/>
        </w:rPr>
        <w:t xml:space="preserve">. </w:t>
      </w:r>
      <w:r w:rsidR="00C74188" w:rsidRPr="008A7487">
        <w:rPr>
          <w:rFonts w:ascii="Times New Roman" w:hAnsi="Times New Roman" w:cs="Times New Roman"/>
          <w:sz w:val="24"/>
          <w:szCs w:val="24"/>
        </w:rPr>
        <w:t xml:space="preserve">Investigating the effects of a phenomenon such as the banking crisis on a </w:t>
      </w:r>
      <w:r w:rsidR="00674B46">
        <w:rPr>
          <w:rFonts w:ascii="Times New Roman" w:hAnsi="Times New Roman" w:cs="Times New Roman"/>
          <w:sz w:val="24"/>
          <w:szCs w:val="24"/>
        </w:rPr>
        <w:t>cross-country</w:t>
      </w:r>
      <w:r w:rsidR="00734FC6">
        <w:rPr>
          <w:rFonts w:ascii="Times New Roman" w:hAnsi="Times New Roman" w:cs="Times New Roman"/>
          <w:sz w:val="24"/>
          <w:szCs w:val="24"/>
        </w:rPr>
        <w:t xml:space="preserve"> </w:t>
      </w:r>
      <w:r w:rsidR="00C74188" w:rsidRPr="008A7487">
        <w:rPr>
          <w:rFonts w:ascii="Times New Roman" w:hAnsi="Times New Roman" w:cs="Times New Roman"/>
          <w:sz w:val="24"/>
          <w:szCs w:val="24"/>
        </w:rPr>
        <w:t>basis provide</w:t>
      </w:r>
      <w:r w:rsidR="00734FC6">
        <w:rPr>
          <w:rFonts w:ascii="Times New Roman" w:hAnsi="Times New Roman" w:cs="Times New Roman"/>
          <w:sz w:val="24"/>
          <w:szCs w:val="24"/>
        </w:rPr>
        <w:t>s</w:t>
      </w:r>
      <w:r w:rsidR="00C74188" w:rsidRPr="008A7487">
        <w:rPr>
          <w:rFonts w:ascii="Times New Roman" w:hAnsi="Times New Roman" w:cs="Times New Roman"/>
          <w:sz w:val="24"/>
          <w:szCs w:val="24"/>
        </w:rPr>
        <w:t xml:space="preserve"> additional insights and add to our understanding on the global effects of the crisis on bank profitability. In this sense, this </w:t>
      </w:r>
      <w:r w:rsidR="00F1113F">
        <w:rPr>
          <w:rFonts w:ascii="Times New Roman" w:hAnsi="Times New Roman" w:cs="Times New Roman"/>
          <w:sz w:val="24"/>
          <w:szCs w:val="24"/>
        </w:rPr>
        <w:t>study complements Didier et al.</w:t>
      </w:r>
      <w:r w:rsidR="00C74188" w:rsidRPr="008A7487">
        <w:rPr>
          <w:rFonts w:ascii="Times New Roman" w:hAnsi="Times New Roman" w:cs="Times New Roman"/>
          <w:sz w:val="24"/>
          <w:szCs w:val="24"/>
        </w:rPr>
        <w:t xml:space="preserve">‘s (2012) work on the resilience and countercyclical </w:t>
      </w:r>
      <w:r w:rsidR="00C74188" w:rsidRPr="008A7487">
        <w:rPr>
          <w:rFonts w:ascii="Times New Roman" w:hAnsi="Times New Roman" w:cs="Times New Roman"/>
          <w:sz w:val="24"/>
          <w:szCs w:val="24"/>
        </w:rPr>
        <w:lastRenderedPageBreak/>
        <w:t xml:space="preserve">behaviour of emerging economies during the financial crisis, and Ghosh’s (2016) </w:t>
      </w:r>
      <w:r w:rsidR="00674B46">
        <w:rPr>
          <w:rFonts w:ascii="Times New Roman" w:hAnsi="Times New Roman" w:cs="Times New Roman"/>
          <w:sz w:val="24"/>
          <w:szCs w:val="24"/>
        </w:rPr>
        <w:t>cross-country</w:t>
      </w:r>
      <w:r w:rsidR="00041C54">
        <w:rPr>
          <w:rFonts w:ascii="Times New Roman" w:hAnsi="Times New Roman" w:cs="Times New Roman"/>
          <w:sz w:val="24"/>
          <w:szCs w:val="24"/>
        </w:rPr>
        <w:t xml:space="preserve"> </w:t>
      </w:r>
      <w:r w:rsidR="00C74188" w:rsidRPr="008A7487">
        <w:rPr>
          <w:rFonts w:ascii="Times New Roman" w:hAnsi="Times New Roman" w:cs="Times New Roman"/>
          <w:sz w:val="24"/>
          <w:szCs w:val="24"/>
        </w:rPr>
        <w:t>analysis of the effects of uncertainty on bank performance.</w:t>
      </w:r>
    </w:p>
    <w:p w14:paraId="54E344FD" w14:textId="77777777" w:rsidR="00C522A9" w:rsidRPr="008A7487" w:rsidRDefault="00C522A9" w:rsidP="00C522A9">
      <w:pPr>
        <w:spacing w:after="0" w:line="480" w:lineRule="auto"/>
        <w:ind w:firstLine="720"/>
        <w:contextualSpacing/>
        <w:jc w:val="both"/>
        <w:rPr>
          <w:rFonts w:ascii="Times New Roman" w:hAnsi="Times New Roman" w:cs="Times New Roman"/>
          <w:b/>
          <w:sz w:val="24"/>
          <w:szCs w:val="24"/>
        </w:rPr>
      </w:pPr>
    </w:p>
    <w:p w14:paraId="2A95EA2A" w14:textId="681EEF11" w:rsidR="00C522A9" w:rsidRDefault="00C522A9" w:rsidP="00C522A9">
      <w:pPr>
        <w:spacing w:after="0" w:line="480" w:lineRule="auto"/>
        <w:ind w:firstLine="720"/>
        <w:contextualSpacing/>
        <w:jc w:val="both"/>
        <w:rPr>
          <w:rFonts w:ascii="Times New Roman" w:hAnsi="Times New Roman" w:cs="Times New Roman"/>
          <w:b/>
          <w:sz w:val="24"/>
          <w:szCs w:val="24"/>
        </w:rPr>
      </w:pPr>
    </w:p>
    <w:p w14:paraId="05C6563E" w14:textId="2C16732A" w:rsidR="00041C54" w:rsidRDefault="00041C54" w:rsidP="00C522A9">
      <w:pPr>
        <w:spacing w:after="0" w:line="480" w:lineRule="auto"/>
        <w:ind w:firstLine="720"/>
        <w:contextualSpacing/>
        <w:jc w:val="both"/>
        <w:rPr>
          <w:rFonts w:ascii="Times New Roman" w:hAnsi="Times New Roman" w:cs="Times New Roman"/>
          <w:b/>
          <w:sz w:val="24"/>
          <w:szCs w:val="24"/>
        </w:rPr>
      </w:pPr>
    </w:p>
    <w:p w14:paraId="744CCB93" w14:textId="1A9576C2" w:rsidR="00041C54" w:rsidRDefault="00041C54" w:rsidP="00C522A9">
      <w:pPr>
        <w:spacing w:after="0" w:line="480" w:lineRule="auto"/>
        <w:ind w:firstLine="720"/>
        <w:contextualSpacing/>
        <w:jc w:val="both"/>
        <w:rPr>
          <w:rFonts w:ascii="Times New Roman" w:hAnsi="Times New Roman" w:cs="Times New Roman"/>
          <w:b/>
          <w:sz w:val="24"/>
          <w:szCs w:val="24"/>
        </w:rPr>
      </w:pPr>
    </w:p>
    <w:p w14:paraId="72F9A3A6" w14:textId="26CAD8D1" w:rsidR="00041C54" w:rsidRDefault="00041C54" w:rsidP="00C522A9">
      <w:pPr>
        <w:spacing w:after="0" w:line="480" w:lineRule="auto"/>
        <w:ind w:firstLine="720"/>
        <w:contextualSpacing/>
        <w:jc w:val="both"/>
        <w:rPr>
          <w:rFonts w:ascii="Times New Roman" w:hAnsi="Times New Roman" w:cs="Times New Roman"/>
          <w:b/>
          <w:sz w:val="24"/>
          <w:szCs w:val="24"/>
        </w:rPr>
      </w:pPr>
    </w:p>
    <w:p w14:paraId="4EEC9FA5" w14:textId="051C9D2E" w:rsidR="00041C54" w:rsidRDefault="00041C54" w:rsidP="00C522A9">
      <w:pPr>
        <w:spacing w:after="0" w:line="480" w:lineRule="auto"/>
        <w:ind w:firstLine="720"/>
        <w:contextualSpacing/>
        <w:jc w:val="both"/>
        <w:rPr>
          <w:rFonts w:ascii="Times New Roman" w:hAnsi="Times New Roman" w:cs="Times New Roman"/>
          <w:b/>
          <w:sz w:val="24"/>
          <w:szCs w:val="24"/>
        </w:rPr>
      </w:pPr>
    </w:p>
    <w:p w14:paraId="35C6ACA7" w14:textId="2D0DB884" w:rsidR="00041C54" w:rsidRDefault="00041C54" w:rsidP="00C522A9">
      <w:pPr>
        <w:spacing w:after="0" w:line="480" w:lineRule="auto"/>
        <w:ind w:firstLine="720"/>
        <w:contextualSpacing/>
        <w:jc w:val="both"/>
        <w:rPr>
          <w:rFonts w:ascii="Times New Roman" w:hAnsi="Times New Roman" w:cs="Times New Roman"/>
          <w:b/>
          <w:sz w:val="24"/>
          <w:szCs w:val="24"/>
        </w:rPr>
      </w:pPr>
    </w:p>
    <w:p w14:paraId="026C6484" w14:textId="5E6DCD11" w:rsidR="00041C54" w:rsidRDefault="00041C54" w:rsidP="00C522A9">
      <w:pPr>
        <w:spacing w:after="0" w:line="480" w:lineRule="auto"/>
        <w:ind w:firstLine="720"/>
        <w:contextualSpacing/>
        <w:jc w:val="both"/>
        <w:rPr>
          <w:rFonts w:ascii="Times New Roman" w:hAnsi="Times New Roman" w:cs="Times New Roman"/>
          <w:b/>
          <w:sz w:val="24"/>
          <w:szCs w:val="24"/>
        </w:rPr>
      </w:pPr>
    </w:p>
    <w:p w14:paraId="3560FBA3" w14:textId="0D21320C" w:rsidR="00041C54" w:rsidRDefault="00041C54" w:rsidP="00C522A9">
      <w:pPr>
        <w:spacing w:after="0" w:line="480" w:lineRule="auto"/>
        <w:ind w:firstLine="720"/>
        <w:contextualSpacing/>
        <w:jc w:val="both"/>
        <w:rPr>
          <w:rFonts w:ascii="Times New Roman" w:hAnsi="Times New Roman" w:cs="Times New Roman"/>
          <w:b/>
          <w:sz w:val="24"/>
          <w:szCs w:val="24"/>
        </w:rPr>
      </w:pPr>
    </w:p>
    <w:p w14:paraId="4D89AA82" w14:textId="79362187" w:rsidR="00041C54" w:rsidRDefault="00041C54" w:rsidP="00C522A9">
      <w:pPr>
        <w:spacing w:after="0" w:line="480" w:lineRule="auto"/>
        <w:ind w:firstLine="720"/>
        <w:contextualSpacing/>
        <w:jc w:val="both"/>
        <w:rPr>
          <w:rFonts w:ascii="Times New Roman" w:hAnsi="Times New Roman" w:cs="Times New Roman"/>
          <w:b/>
          <w:sz w:val="24"/>
          <w:szCs w:val="24"/>
        </w:rPr>
      </w:pPr>
    </w:p>
    <w:p w14:paraId="2CB1255E" w14:textId="77777777" w:rsidR="00041C54" w:rsidRPr="008A7487" w:rsidRDefault="00041C54" w:rsidP="00C522A9">
      <w:pPr>
        <w:spacing w:after="0" w:line="480" w:lineRule="auto"/>
        <w:ind w:firstLine="720"/>
        <w:contextualSpacing/>
        <w:jc w:val="both"/>
        <w:rPr>
          <w:rFonts w:ascii="Times New Roman" w:hAnsi="Times New Roman" w:cs="Times New Roman"/>
          <w:b/>
          <w:sz w:val="24"/>
          <w:szCs w:val="24"/>
        </w:rPr>
      </w:pPr>
    </w:p>
    <w:p w14:paraId="6816C028" w14:textId="05C3C2E4" w:rsidR="00EA1463" w:rsidRPr="00BF21EC" w:rsidRDefault="00EA1463" w:rsidP="002723A6">
      <w:pPr>
        <w:spacing w:after="0" w:line="480" w:lineRule="auto"/>
        <w:contextualSpacing/>
        <w:jc w:val="both"/>
        <w:rPr>
          <w:rFonts w:ascii="Times New Roman" w:hAnsi="Times New Roman" w:cs="Times New Roman"/>
          <w:b/>
          <w:sz w:val="24"/>
          <w:szCs w:val="24"/>
          <w:lang w:val="es-ES"/>
        </w:rPr>
      </w:pPr>
      <w:r w:rsidRPr="00BF21EC">
        <w:rPr>
          <w:rFonts w:ascii="Times New Roman" w:eastAsiaTheme="minorEastAsia" w:hAnsi="Times New Roman" w:cs="Times New Roman"/>
          <w:b/>
          <w:sz w:val="24"/>
          <w:szCs w:val="24"/>
          <w:lang w:val="es-ES"/>
        </w:rPr>
        <w:t>References</w:t>
      </w:r>
    </w:p>
    <w:p w14:paraId="7A6B5AFC" w14:textId="1E76C754" w:rsidR="00B542B2" w:rsidRDefault="00B542B2" w:rsidP="002723A6">
      <w:pPr>
        <w:spacing w:after="0" w:line="240" w:lineRule="auto"/>
        <w:jc w:val="both"/>
        <w:rPr>
          <w:rFonts w:ascii="Times New Roman" w:hAnsi="Times New Roman" w:cs="Times New Roman"/>
          <w:sz w:val="24"/>
          <w:szCs w:val="24"/>
          <w:lang w:val="es-ES"/>
        </w:rPr>
      </w:pPr>
      <w:r w:rsidRPr="00B542B2">
        <w:rPr>
          <w:rFonts w:ascii="Times New Roman" w:hAnsi="Times New Roman" w:cs="Times New Roman"/>
          <w:sz w:val="24"/>
          <w:szCs w:val="24"/>
          <w:lang w:val="es-ES"/>
        </w:rPr>
        <w:t>Abreu, M., &amp; Mendes, V. (2001). Commercial bank interest margins and profitability: evidence for some EU countries. In Pan-European Conference Jointly Organised by the IEFS-UK &amp; University of Macedonia Economic &amp; Social Sciences, Thessaloniki, Greece, May (pp. 17-20).</w:t>
      </w:r>
    </w:p>
    <w:p w14:paraId="4DC99DFB" w14:textId="77777777" w:rsidR="00B542B2" w:rsidRDefault="00B542B2" w:rsidP="002723A6">
      <w:pPr>
        <w:spacing w:after="0" w:line="240" w:lineRule="auto"/>
        <w:jc w:val="both"/>
        <w:rPr>
          <w:rFonts w:ascii="Times New Roman" w:hAnsi="Times New Roman" w:cs="Times New Roman"/>
          <w:sz w:val="24"/>
          <w:szCs w:val="24"/>
          <w:lang w:val="es-ES"/>
        </w:rPr>
      </w:pPr>
    </w:p>
    <w:p w14:paraId="109FBD32" w14:textId="4E56FE6C" w:rsidR="0072560A" w:rsidRPr="008A7487" w:rsidRDefault="0072560A" w:rsidP="002723A6">
      <w:pPr>
        <w:spacing w:after="0" w:line="240" w:lineRule="auto"/>
        <w:jc w:val="both"/>
        <w:rPr>
          <w:rFonts w:ascii="Times New Roman" w:hAnsi="Times New Roman" w:cs="Times New Roman"/>
          <w:sz w:val="24"/>
          <w:szCs w:val="24"/>
        </w:rPr>
      </w:pPr>
      <w:r w:rsidRPr="00A91FE1">
        <w:rPr>
          <w:rFonts w:ascii="Times New Roman" w:hAnsi="Times New Roman" w:cs="Times New Roman"/>
          <w:sz w:val="24"/>
          <w:szCs w:val="24"/>
          <w:lang w:val="es-ES"/>
        </w:rPr>
        <w:t xml:space="preserve">Aebi, V., Sabato, G., </w:t>
      </w:r>
      <w:r w:rsidR="004F2EB7" w:rsidRPr="00A91FE1">
        <w:rPr>
          <w:rFonts w:ascii="Times New Roman" w:hAnsi="Times New Roman" w:cs="Times New Roman"/>
          <w:sz w:val="24"/>
          <w:szCs w:val="24"/>
          <w:lang w:val="es-ES"/>
        </w:rPr>
        <w:t>&amp;</w:t>
      </w:r>
      <w:r w:rsidRPr="00A91FE1">
        <w:rPr>
          <w:rFonts w:ascii="Times New Roman" w:hAnsi="Times New Roman" w:cs="Times New Roman"/>
          <w:sz w:val="24"/>
          <w:szCs w:val="24"/>
          <w:lang w:val="es-ES"/>
        </w:rPr>
        <w:t xml:space="preserve"> Schmid, M. </w:t>
      </w:r>
      <w:r w:rsidR="003B604E" w:rsidRPr="00A91FE1">
        <w:rPr>
          <w:rFonts w:ascii="Times New Roman" w:hAnsi="Times New Roman" w:cs="Times New Roman"/>
          <w:sz w:val="24"/>
          <w:szCs w:val="24"/>
          <w:lang w:val="es-ES"/>
        </w:rPr>
        <w:t>(</w:t>
      </w:r>
      <w:r w:rsidRPr="00A91FE1">
        <w:rPr>
          <w:rFonts w:ascii="Times New Roman" w:hAnsi="Times New Roman" w:cs="Times New Roman"/>
          <w:sz w:val="24"/>
          <w:szCs w:val="24"/>
          <w:lang w:val="es-ES"/>
        </w:rPr>
        <w:t>2012</w:t>
      </w:r>
      <w:r w:rsidR="003B604E" w:rsidRPr="00A91FE1">
        <w:rPr>
          <w:rFonts w:ascii="Times New Roman" w:hAnsi="Times New Roman" w:cs="Times New Roman"/>
          <w:sz w:val="24"/>
          <w:szCs w:val="24"/>
          <w:lang w:val="es-ES"/>
        </w:rPr>
        <w:t>)</w:t>
      </w:r>
      <w:r w:rsidRPr="00A91FE1">
        <w:rPr>
          <w:rFonts w:ascii="Times New Roman" w:hAnsi="Times New Roman" w:cs="Times New Roman"/>
          <w:sz w:val="24"/>
          <w:szCs w:val="24"/>
          <w:lang w:val="es-ES"/>
        </w:rPr>
        <w:t xml:space="preserve">. </w:t>
      </w:r>
      <w:r w:rsidRPr="008A7487">
        <w:rPr>
          <w:rFonts w:ascii="Times New Roman" w:hAnsi="Times New Roman" w:cs="Times New Roman"/>
          <w:sz w:val="24"/>
          <w:szCs w:val="24"/>
        </w:rPr>
        <w:t xml:space="preserve">Risk management, corporate governance, and bank performance in the financial crisis. </w:t>
      </w:r>
      <w:r w:rsidRPr="008A7487">
        <w:rPr>
          <w:rFonts w:ascii="Times New Roman" w:hAnsi="Times New Roman" w:cs="Times New Roman"/>
          <w:i/>
          <w:sz w:val="24"/>
          <w:szCs w:val="24"/>
        </w:rPr>
        <w:t>Journal of Banking &amp; Finance</w:t>
      </w:r>
      <w:r w:rsidRPr="008A7487">
        <w:rPr>
          <w:rFonts w:ascii="Times New Roman" w:hAnsi="Times New Roman" w:cs="Times New Roman"/>
          <w:sz w:val="24"/>
          <w:szCs w:val="24"/>
        </w:rPr>
        <w:t>, 36</w:t>
      </w:r>
      <w:r w:rsidR="004F2EB7">
        <w:rPr>
          <w:rFonts w:ascii="Times New Roman" w:hAnsi="Times New Roman" w:cs="Times New Roman"/>
          <w:sz w:val="24"/>
          <w:szCs w:val="24"/>
        </w:rPr>
        <w:t xml:space="preserve"> </w:t>
      </w:r>
      <w:r w:rsidRPr="008A7487">
        <w:rPr>
          <w:rFonts w:ascii="Times New Roman" w:hAnsi="Times New Roman" w:cs="Times New Roman"/>
          <w:sz w:val="24"/>
          <w:szCs w:val="24"/>
        </w:rPr>
        <w:t>(12), 3213-3226.</w:t>
      </w:r>
    </w:p>
    <w:p w14:paraId="4BD6A0FD" w14:textId="4AD7199C" w:rsidR="00EA1463" w:rsidRPr="008A7487" w:rsidRDefault="00EA1463" w:rsidP="00412A38">
      <w:pPr>
        <w:spacing w:before="240" w:line="240" w:lineRule="auto"/>
        <w:jc w:val="both"/>
        <w:rPr>
          <w:rFonts w:ascii="Times New Roman" w:hAnsi="Times New Roman" w:cs="Times New Roman"/>
          <w:color w:val="000000"/>
          <w:sz w:val="24"/>
          <w:szCs w:val="24"/>
        </w:rPr>
      </w:pPr>
      <w:r w:rsidRPr="008A7487">
        <w:rPr>
          <w:rFonts w:ascii="Times New Roman" w:hAnsi="Times New Roman" w:cs="Times New Roman"/>
          <w:sz w:val="24"/>
          <w:szCs w:val="24"/>
        </w:rPr>
        <w:lastRenderedPageBreak/>
        <w:t>Ahokp</w:t>
      </w:r>
      <w:r w:rsidR="002723A6">
        <w:rPr>
          <w:rFonts w:ascii="Times New Roman" w:hAnsi="Times New Roman" w:cs="Times New Roman"/>
          <w:sz w:val="24"/>
          <w:szCs w:val="24"/>
        </w:rPr>
        <w:t xml:space="preserve">ossi, C. </w:t>
      </w:r>
      <w:r w:rsidR="003B604E">
        <w:rPr>
          <w:rFonts w:ascii="Times New Roman" w:hAnsi="Times New Roman" w:cs="Times New Roman"/>
          <w:sz w:val="24"/>
          <w:szCs w:val="24"/>
        </w:rPr>
        <w:t>(</w:t>
      </w:r>
      <w:r w:rsidR="002723A6">
        <w:rPr>
          <w:rFonts w:ascii="Times New Roman" w:hAnsi="Times New Roman" w:cs="Times New Roman"/>
          <w:sz w:val="24"/>
          <w:szCs w:val="24"/>
        </w:rPr>
        <w:t>2013</w:t>
      </w:r>
      <w:r w:rsidR="003B604E">
        <w:rPr>
          <w:rFonts w:ascii="Times New Roman" w:hAnsi="Times New Roman" w:cs="Times New Roman"/>
          <w:sz w:val="24"/>
          <w:szCs w:val="24"/>
        </w:rPr>
        <w:t>)</w:t>
      </w:r>
      <w:r w:rsidR="002723A6">
        <w:rPr>
          <w:rFonts w:ascii="Times New Roman" w:hAnsi="Times New Roman" w:cs="Times New Roman"/>
          <w:sz w:val="24"/>
          <w:szCs w:val="24"/>
        </w:rPr>
        <w:t>. Determinants of bank interest rate m</w:t>
      </w:r>
      <w:r w:rsidRPr="008A7487">
        <w:rPr>
          <w:rFonts w:ascii="Times New Roman" w:hAnsi="Times New Roman" w:cs="Times New Roman"/>
          <w:sz w:val="24"/>
          <w:szCs w:val="24"/>
        </w:rPr>
        <w:t xml:space="preserve">argins in Sub-Saharan Africa. </w:t>
      </w:r>
      <w:r w:rsidRPr="008A7487">
        <w:rPr>
          <w:rFonts w:ascii="Times New Roman" w:hAnsi="Times New Roman" w:cs="Times New Roman"/>
          <w:i/>
          <w:sz w:val="24"/>
          <w:szCs w:val="24"/>
        </w:rPr>
        <w:t xml:space="preserve"> International Monetary Fund.  </w:t>
      </w:r>
      <w:r w:rsidRPr="008A7487">
        <w:rPr>
          <w:rFonts w:ascii="Times New Roman" w:hAnsi="Times New Roman" w:cs="Times New Roman"/>
          <w:sz w:val="24"/>
          <w:szCs w:val="24"/>
        </w:rPr>
        <w:t>IMF Working Paper, WP/13/34.</w:t>
      </w:r>
    </w:p>
    <w:p w14:paraId="03EAD751" w14:textId="583649C9" w:rsidR="00EA1463" w:rsidRPr="008A7487" w:rsidRDefault="00EA1463" w:rsidP="00412A38">
      <w:pPr>
        <w:spacing w:before="240" w:line="240" w:lineRule="auto"/>
        <w:jc w:val="both"/>
        <w:rPr>
          <w:rFonts w:ascii="Times New Roman" w:hAnsi="Times New Roman" w:cs="Times New Roman"/>
          <w:color w:val="000000"/>
          <w:sz w:val="24"/>
          <w:szCs w:val="24"/>
        </w:rPr>
      </w:pPr>
      <w:r w:rsidRPr="008A7487">
        <w:rPr>
          <w:rFonts w:ascii="Times New Roman" w:hAnsi="Times New Roman" w:cs="Times New Roman"/>
          <w:sz w:val="24"/>
          <w:szCs w:val="24"/>
        </w:rPr>
        <w:t>Albertazzi , U.</w:t>
      </w:r>
      <w:r w:rsidR="002723A6">
        <w:rPr>
          <w:rFonts w:ascii="Times New Roman" w:hAnsi="Times New Roman" w:cs="Times New Roman"/>
          <w:sz w:val="24"/>
          <w:szCs w:val="24"/>
        </w:rPr>
        <w:t>,</w:t>
      </w:r>
      <w:r w:rsidRPr="008A7487">
        <w:rPr>
          <w:rFonts w:ascii="Times New Roman" w:hAnsi="Times New Roman" w:cs="Times New Roman"/>
          <w:sz w:val="24"/>
          <w:szCs w:val="24"/>
        </w:rPr>
        <w:t xml:space="preserve"> </w:t>
      </w:r>
      <w:r w:rsidR="002723A6">
        <w:rPr>
          <w:rFonts w:ascii="Times New Roman" w:hAnsi="Times New Roman" w:cs="Times New Roman"/>
          <w:sz w:val="24"/>
          <w:szCs w:val="24"/>
        </w:rPr>
        <w:t xml:space="preserve">&amp; Gambacorta, L. </w:t>
      </w:r>
      <w:r w:rsidR="003B604E">
        <w:rPr>
          <w:rFonts w:ascii="Times New Roman" w:hAnsi="Times New Roman" w:cs="Times New Roman"/>
          <w:sz w:val="24"/>
          <w:szCs w:val="24"/>
        </w:rPr>
        <w:t>(</w:t>
      </w:r>
      <w:r w:rsidR="002723A6">
        <w:rPr>
          <w:rFonts w:ascii="Times New Roman" w:hAnsi="Times New Roman" w:cs="Times New Roman"/>
          <w:sz w:val="24"/>
          <w:szCs w:val="24"/>
        </w:rPr>
        <w:t>2009</w:t>
      </w:r>
      <w:r w:rsidR="003B604E">
        <w:rPr>
          <w:rFonts w:ascii="Times New Roman" w:hAnsi="Times New Roman" w:cs="Times New Roman"/>
          <w:sz w:val="24"/>
          <w:szCs w:val="24"/>
        </w:rPr>
        <w:t>)</w:t>
      </w:r>
      <w:r w:rsidR="002723A6">
        <w:rPr>
          <w:rFonts w:ascii="Times New Roman" w:hAnsi="Times New Roman" w:cs="Times New Roman"/>
          <w:sz w:val="24"/>
          <w:szCs w:val="24"/>
        </w:rPr>
        <w:t>. Bank profitability and the business c</w:t>
      </w:r>
      <w:r w:rsidRPr="008A7487">
        <w:rPr>
          <w:rFonts w:ascii="Times New Roman" w:hAnsi="Times New Roman" w:cs="Times New Roman"/>
          <w:sz w:val="24"/>
          <w:szCs w:val="24"/>
        </w:rPr>
        <w:t xml:space="preserve">ycle. </w:t>
      </w:r>
      <w:r w:rsidRPr="008A7487">
        <w:rPr>
          <w:rFonts w:ascii="Times New Roman" w:hAnsi="Times New Roman" w:cs="Times New Roman"/>
          <w:i/>
          <w:sz w:val="24"/>
          <w:szCs w:val="24"/>
        </w:rPr>
        <w:t>Journal of Financial Stability</w:t>
      </w:r>
      <w:r w:rsidR="00F55F0C">
        <w:rPr>
          <w:rFonts w:ascii="Times New Roman" w:hAnsi="Times New Roman" w:cs="Times New Roman"/>
          <w:sz w:val="24"/>
          <w:szCs w:val="24"/>
        </w:rPr>
        <w:t xml:space="preserve">, </w:t>
      </w:r>
      <w:r w:rsidRPr="008A7487">
        <w:rPr>
          <w:rFonts w:ascii="Times New Roman" w:hAnsi="Times New Roman" w:cs="Times New Roman"/>
          <w:sz w:val="24"/>
          <w:szCs w:val="24"/>
        </w:rPr>
        <w:t>5 (4), 393-409.</w:t>
      </w:r>
    </w:p>
    <w:p w14:paraId="6352E3E3" w14:textId="61E416FF" w:rsidR="00EA1463" w:rsidRPr="008A7487" w:rsidRDefault="00EA1463" w:rsidP="004F2EB7">
      <w:pPr>
        <w:spacing w:after="0" w:line="240" w:lineRule="auto"/>
        <w:jc w:val="both"/>
        <w:rPr>
          <w:rFonts w:ascii="Times New Roman" w:eastAsia="TimesNewRoman" w:hAnsi="Times New Roman" w:cs="Times New Roman"/>
          <w:sz w:val="24"/>
          <w:szCs w:val="24"/>
          <w:lang w:val="en-GB"/>
        </w:rPr>
      </w:pPr>
      <w:r w:rsidRPr="00BF21EC">
        <w:rPr>
          <w:rFonts w:ascii="Times New Roman" w:eastAsia="TimesNewRoman" w:hAnsi="Times New Roman" w:cs="Times New Roman"/>
          <w:sz w:val="24"/>
          <w:szCs w:val="24"/>
          <w:lang w:val="en-GB"/>
        </w:rPr>
        <w:t xml:space="preserve">Allen, F., Otchere, I., </w:t>
      </w:r>
      <w:r w:rsidR="002723A6" w:rsidRPr="00BF21EC">
        <w:rPr>
          <w:rFonts w:ascii="Times New Roman" w:eastAsia="TimesNewRoman" w:hAnsi="Times New Roman" w:cs="Times New Roman"/>
          <w:sz w:val="24"/>
          <w:szCs w:val="24"/>
          <w:lang w:val="en-GB"/>
        </w:rPr>
        <w:t>&amp;</w:t>
      </w:r>
      <w:r w:rsidRPr="00BF21EC">
        <w:rPr>
          <w:rFonts w:ascii="Times New Roman" w:eastAsia="TimesNewRoman" w:hAnsi="Times New Roman" w:cs="Times New Roman"/>
          <w:sz w:val="24"/>
          <w:szCs w:val="24"/>
          <w:lang w:val="en-GB"/>
        </w:rPr>
        <w:t xml:space="preserve"> Senbet, L. W. </w:t>
      </w:r>
      <w:r w:rsidR="003B604E" w:rsidRPr="00BF21EC">
        <w:rPr>
          <w:rFonts w:ascii="Times New Roman" w:eastAsia="TimesNewRoman" w:hAnsi="Times New Roman" w:cs="Times New Roman"/>
          <w:sz w:val="24"/>
          <w:szCs w:val="24"/>
          <w:lang w:val="en-GB"/>
        </w:rPr>
        <w:t>(</w:t>
      </w:r>
      <w:r w:rsidRPr="00BF21EC">
        <w:rPr>
          <w:rFonts w:ascii="Times New Roman" w:eastAsia="TimesNewRoman" w:hAnsi="Times New Roman" w:cs="Times New Roman"/>
          <w:sz w:val="24"/>
          <w:szCs w:val="24"/>
          <w:lang w:val="en-GB"/>
        </w:rPr>
        <w:t>2011</w:t>
      </w:r>
      <w:r w:rsidR="003B604E" w:rsidRPr="00BF21EC">
        <w:rPr>
          <w:rFonts w:ascii="Times New Roman" w:eastAsia="TimesNewRoman" w:hAnsi="Times New Roman" w:cs="Times New Roman"/>
          <w:sz w:val="24"/>
          <w:szCs w:val="24"/>
          <w:lang w:val="en-GB"/>
        </w:rPr>
        <w:t>)</w:t>
      </w:r>
      <w:r w:rsidRPr="00BF21EC">
        <w:rPr>
          <w:rFonts w:ascii="Times New Roman" w:eastAsia="TimesNewRoman" w:hAnsi="Times New Roman" w:cs="Times New Roman"/>
          <w:sz w:val="24"/>
          <w:szCs w:val="24"/>
          <w:lang w:val="en-GB"/>
        </w:rPr>
        <w:t xml:space="preserve">. </w:t>
      </w:r>
      <w:r w:rsidRPr="008A7487">
        <w:rPr>
          <w:rFonts w:ascii="Times New Roman" w:eastAsia="TimesNewRoman" w:hAnsi="Times New Roman" w:cs="Times New Roman"/>
          <w:sz w:val="24"/>
          <w:szCs w:val="24"/>
          <w:lang w:val="en-GB"/>
        </w:rPr>
        <w:t>African financial systems: A review.</w:t>
      </w:r>
    </w:p>
    <w:p w14:paraId="7DFD74C5" w14:textId="4D5681BA" w:rsidR="00EA1463" w:rsidRPr="008A7487" w:rsidRDefault="00EA1463" w:rsidP="004F2EB7">
      <w:pPr>
        <w:spacing w:after="0" w:line="240" w:lineRule="auto"/>
        <w:jc w:val="both"/>
        <w:rPr>
          <w:rFonts w:ascii="Times New Roman" w:eastAsia="TimesNewRoman" w:hAnsi="Times New Roman" w:cs="Times New Roman"/>
          <w:b/>
          <w:sz w:val="24"/>
          <w:szCs w:val="24"/>
        </w:rPr>
      </w:pPr>
      <w:r w:rsidRPr="008A7487">
        <w:rPr>
          <w:rFonts w:ascii="Times New Roman" w:eastAsia="TimesNewRoman" w:hAnsi="Times New Roman" w:cs="Times New Roman"/>
          <w:i/>
          <w:sz w:val="24"/>
          <w:szCs w:val="24"/>
          <w:lang w:val="en-GB"/>
        </w:rPr>
        <w:t>Review of Development Finance</w:t>
      </w:r>
      <w:r w:rsidRPr="008A7487">
        <w:rPr>
          <w:rFonts w:ascii="Times New Roman" w:eastAsia="TimesNewRoman" w:hAnsi="Times New Roman" w:cs="Times New Roman"/>
          <w:sz w:val="24"/>
          <w:szCs w:val="24"/>
          <w:lang w:val="en-GB"/>
        </w:rPr>
        <w:t>, 1, 79-113.</w:t>
      </w:r>
    </w:p>
    <w:p w14:paraId="7F75ACB0" w14:textId="3411974D" w:rsidR="00EA1463" w:rsidRPr="008A7487" w:rsidRDefault="00EA1463" w:rsidP="00412A38">
      <w:pPr>
        <w:spacing w:before="240" w:line="240" w:lineRule="auto"/>
        <w:jc w:val="both"/>
        <w:rPr>
          <w:rFonts w:ascii="Times New Roman" w:hAnsi="Times New Roman" w:cs="Times New Roman"/>
          <w:color w:val="000000"/>
          <w:sz w:val="24"/>
          <w:szCs w:val="24"/>
          <w:lang w:val="en-GB"/>
        </w:rPr>
      </w:pPr>
      <w:r w:rsidRPr="008A7487">
        <w:rPr>
          <w:rFonts w:ascii="Times New Roman" w:hAnsi="Times New Roman" w:cs="Times New Roman"/>
          <w:color w:val="000000"/>
          <w:sz w:val="24"/>
          <w:szCs w:val="24"/>
          <w:lang w:val="en-GB"/>
        </w:rPr>
        <w:t>Andrianova, S., Baltagi, B., Demetriades, P.</w:t>
      </w:r>
      <w:r w:rsidR="002723A6">
        <w:rPr>
          <w:rFonts w:ascii="Times New Roman" w:hAnsi="Times New Roman" w:cs="Times New Roman"/>
          <w:color w:val="000000"/>
          <w:sz w:val="24"/>
          <w:szCs w:val="24"/>
          <w:lang w:val="en-GB"/>
        </w:rPr>
        <w:t>,</w:t>
      </w:r>
      <w:r w:rsidRPr="008A7487">
        <w:rPr>
          <w:rFonts w:ascii="Times New Roman" w:hAnsi="Times New Roman" w:cs="Times New Roman"/>
          <w:color w:val="000000"/>
          <w:sz w:val="24"/>
          <w:szCs w:val="24"/>
          <w:lang w:val="en-GB"/>
        </w:rPr>
        <w:t xml:space="preserve"> </w:t>
      </w:r>
      <w:r w:rsidR="002723A6">
        <w:rPr>
          <w:rFonts w:ascii="Times New Roman" w:hAnsi="Times New Roman" w:cs="Times New Roman"/>
          <w:color w:val="000000"/>
          <w:sz w:val="24"/>
          <w:szCs w:val="24"/>
          <w:lang w:val="en-GB"/>
        </w:rPr>
        <w:t>&amp;</w:t>
      </w:r>
      <w:r w:rsidRPr="008A7487">
        <w:rPr>
          <w:rFonts w:ascii="Times New Roman" w:hAnsi="Times New Roman" w:cs="Times New Roman"/>
          <w:color w:val="000000"/>
          <w:sz w:val="24"/>
          <w:szCs w:val="24"/>
          <w:lang w:val="en-GB"/>
        </w:rPr>
        <w:t xml:space="preserve"> Fielding, D. </w:t>
      </w:r>
      <w:r w:rsidR="003B604E">
        <w:rPr>
          <w:rFonts w:ascii="Times New Roman" w:hAnsi="Times New Roman" w:cs="Times New Roman"/>
          <w:color w:val="000000"/>
          <w:sz w:val="24"/>
          <w:szCs w:val="24"/>
          <w:lang w:val="en-GB"/>
        </w:rPr>
        <w:t>(</w:t>
      </w:r>
      <w:r w:rsidRPr="008A7487">
        <w:rPr>
          <w:rFonts w:ascii="Times New Roman" w:hAnsi="Times New Roman" w:cs="Times New Roman"/>
          <w:color w:val="000000"/>
          <w:sz w:val="24"/>
          <w:szCs w:val="24"/>
          <w:lang w:val="en-GB"/>
        </w:rPr>
        <w:t>2015</w:t>
      </w:r>
      <w:r w:rsidR="003B604E">
        <w:rPr>
          <w:rFonts w:ascii="Times New Roman" w:hAnsi="Times New Roman" w:cs="Times New Roman"/>
          <w:color w:val="000000"/>
          <w:sz w:val="24"/>
          <w:szCs w:val="24"/>
          <w:lang w:val="en-GB"/>
        </w:rPr>
        <w:t>)</w:t>
      </w:r>
      <w:r w:rsidRPr="008A7487">
        <w:rPr>
          <w:rFonts w:ascii="Times New Roman" w:hAnsi="Times New Roman" w:cs="Times New Roman"/>
          <w:color w:val="000000"/>
          <w:sz w:val="24"/>
          <w:szCs w:val="24"/>
          <w:lang w:val="en-GB"/>
        </w:rPr>
        <w:t xml:space="preserve">. Why do African banks lend so little? </w:t>
      </w:r>
      <w:r w:rsidRPr="008A7487">
        <w:rPr>
          <w:rFonts w:ascii="Times New Roman" w:hAnsi="Times New Roman" w:cs="Times New Roman"/>
          <w:i/>
          <w:iCs/>
          <w:color w:val="000000"/>
          <w:sz w:val="24"/>
          <w:szCs w:val="24"/>
          <w:lang w:val="en-GB"/>
        </w:rPr>
        <w:t>Oxford Bulletin of Economics and Statistics</w:t>
      </w:r>
      <w:r w:rsidRPr="008A7487">
        <w:rPr>
          <w:rFonts w:ascii="Times New Roman" w:hAnsi="Times New Roman" w:cs="Times New Roman"/>
          <w:i/>
          <w:color w:val="000000"/>
          <w:sz w:val="24"/>
          <w:szCs w:val="24"/>
          <w:lang w:val="en-GB"/>
        </w:rPr>
        <w:t>,</w:t>
      </w:r>
      <w:r w:rsidRPr="008A7487">
        <w:rPr>
          <w:rFonts w:ascii="Times New Roman" w:hAnsi="Times New Roman" w:cs="Times New Roman"/>
          <w:color w:val="000000"/>
          <w:sz w:val="24"/>
          <w:szCs w:val="24"/>
          <w:lang w:val="en-GB"/>
        </w:rPr>
        <w:t xml:space="preserve"> </w:t>
      </w:r>
      <w:r w:rsidRPr="008A7487">
        <w:rPr>
          <w:rFonts w:ascii="Times New Roman" w:hAnsi="Times New Roman" w:cs="Times New Roman"/>
          <w:i/>
          <w:iCs/>
          <w:color w:val="000000"/>
          <w:sz w:val="24"/>
          <w:szCs w:val="24"/>
          <w:lang w:val="en-GB"/>
        </w:rPr>
        <w:t>77</w:t>
      </w:r>
      <w:r w:rsidRPr="008A7487">
        <w:rPr>
          <w:rFonts w:ascii="Times New Roman" w:hAnsi="Times New Roman" w:cs="Times New Roman"/>
          <w:color w:val="000000"/>
          <w:sz w:val="24"/>
          <w:szCs w:val="24"/>
          <w:lang w:val="en-GB"/>
        </w:rPr>
        <w:t>(3), 339-359.</w:t>
      </w:r>
    </w:p>
    <w:p w14:paraId="606ED758" w14:textId="6A5018B2" w:rsidR="00EA1463" w:rsidRPr="008A7487" w:rsidRDefault="00EA1463" w:rsidP="00412A38">
      <w:pPr>
        <w:autoSpaceDE w:val="0"/>
        <w:autoSpaceDN w:val="0"/>
        <w:adjustRightInd w:val="0"/>
        <w:spacing w:before="240" w:line="240" w:lineRule="auto"/>
        <w:jc w:val="both"/>
        <w:rPr>
          <w:rFonts w:ascii="Times New Roman" w:hAnsi="Times New Roman" w:cs="Times New Roman"/>
          <w:color w:val="000000"/>
          <w:sz w:val="24"/>
          <w:szCs w:val="24"/>
        </w:rPr>
      </w:pPr>
      <w:r w:rsidRPr="00A91FE1">
        <w:rPr>
          <w:rFonts w:ascii="Times New Roman" w:hAnsi="Times New Roman" w:cs="Times New Roman"/>
          <w:color w:val="000000"/>
          <w:sz w:val="24"/>
          <w:szCs w:val="24"/>
          <w:lang w:val="fr-FR"/>
        </w:rPr>
        <w:t xml:space="preserve">Athanasoglou, P. P., Brissimis, S. N., </w:t>
      </w:r>
      <w:r w:rsidR="002723A6" w:rsidRPr="00A91FE1">
        <w:rPr>
          <w:rFonts w:ascii="Times New Roman" w:hAnsi="Times New Roman" w:cs="Times New Roman"/>
          <w:color w:val="000000"/>
          <w:sz w:val="24"/>
          <w:szCs w:val="24"/>
          <w:lang w:val="fr-FR"/>
        </w:rPr>
        <w:t>&amp;</w:t>
      </w:r>
      <w:r w:rsidRPr="00A91FE1">
        <w:rPr>
          <w:rFonts w:ascii="Times New Roman" w:hAnsi="Times New Roman" w:cs="Times New Roman"/>
          <w:color w:val="000000"/>
          <w:sz w:val="24"/>
          <w:szCs w:val="24"/>
          <w:lang w:val="fr-FR"/>
        </w:rPr>
        <w:t xml:space="preserve"> Delis, M. D. </w:t>
      </w:r>
      <w:r w:rsidR="003B604E" w:rsidRPr="00A91FE1">
        <w:rPr>
          <w:rFonts w:ascii="Times New Roman" w:hAnsi="Times New Roman" w:cs="Times New Roman"/>
          <w:color w:val="000000"/>
          <w:sz w:val="24"/>
          <w:szCs w:val="24"/>
          <w:lang w:val="fr-FR"/>
        </w:rPr>
        <w:t>(</w:t>
      </w:r>
      <w:r w:rsidRPr="00A91FE1">
        <w:rPr>
          <w:rFonts w:ascii="Times New Roman" w:hAnsi="Times New Roman" w:cs="Times New Roman"/>
          <w:color w:val="000000"/>
          <w:sz w:val="24"/>
          <w:szCs w:val="24"/>
          <w:lang w:val="fr-FR"/>
        </w:rPr>
        <w:t>2008</w:t>
      </w:r>
      <w:r w:rsidR="003B604E" w:rsidRPr="00A91FE1">
        <w:rPr>
          <w:rFonts w:ascii="Times New Roman" w:hAnsi="Times New Roman" w:cs="Times New Roman"/>
          <w:color w:val="000000"/>
          <w:sz w:val="24"/>
          <w:szCs w:val="24"/>
          <w:lang w:val="fr-FR"/>
        </w:rPr>
        <w:t>)</w:t>
      </w:r>
      <w:r w:rsidRPr="00A91FE1">
        <w:rPr>
          <w:rFonts w:ascii="Times New Roman" w:hAnsi="Times New Roman" w:cs="Times New Roman"/>
          <w:color w:val="000000"/>
          <w:sz w:val="24"/>
          <w:szCs w:val="24"/>
          <w:lang w:val="fr-FR"/>
        </w:rPr>
        <w:t xml:space="preserve">. </w:t>
      </w:r>
      <w:r w:rsidRPr="008A7487">
        <w:rPr>
          <w:rFonts w:ascii="Times New Roman" w:hAnsi="Times New Roman" w:cs="Times New Roman"/>
          <w:color w:val="000000"/>
          <w:sz w:val="24"/>
          <w:szCs w:val="24"/>
        </w:rPr>
        <w:t xml:space="preserve">Bank-specific, industry-specific and macroeconomic determinants of bank profitability. </w:t>
      </w:r>
      <w:r w:rsidR="00F55F0C">
        <w:rPr>
          <w:rFonts w:ascii="Times New Roman" w:hAnsi="Times New Roman" w:cs="Times New Roman"/>
          <w:i/>
          <w:color w:val="000000"/>
          <w:sz w:val="24"/>
          <w:szCs w:val="24"/>
        </w:rPr>
        <w:t>Journal of International F</w:t>
      </w:r>
      <w:r w:rsidRPr="008A7487">
        <w:rPr>
          <w:rFonts w:ascii="Times New Roman" w:hAnsi="Times New Roman" w:cs="Times New Roman"/>
          <w:i/>
          <w:color w:val="000000"/>
          <w:sz w:val="24"/>
          <w:szCs w:val="24"/>
        </w:rPr>
        <w:t xml:space="preserve">inancial Markets, Institutions and Money, </w:t>
      </w:r>
      <w:r w:rsidRPr="008A7487">
        <w:rPr>
          <w:rFonts w:ascii="Times New Roman" w:hAnsi="Times New Roman" w:cs="Times New Roman"/>
          <w:color w:val="000000"/>
          <w:sz w:val="24"/>
          <w:szCs w:val="24"/>
        </w:rPr>
        <w:t>18(2), 121-136.</w:t>
      </w:r>
    </w:p>
    <w:p w14:paraId="17482B1B" w14:textId="155E901E" w:rsidR="00EA1463" w:rsidRPr="008A7487" w:rsidRDefault="00EA1463" w:rsidP="00412A38">
      <w:pPr>
        <w:spacing w:before="240" w:line="240" w:lineRule="auto"/>
        <w:jc w:val="both"/>
        <w:rPr>
          <w:rFonts w:ascii="Times New Roman" w:hAnsi="Times New Roman" w:cs="Times New Roman"/>
          <w:color w:val="222222"/>
          <w:sz w:val="24"/>
          <w:szCs w:val="24"/>
          <w:shd w:val="clear" w:color="auto" w:fill="FFFFFF"/>
        </w:rPr>
      </w:pPr>
      <w:r w:rsidRPr="008A7487">
        <w:rPr>
          <w:rFonts w:ascii="Times New Roman" w:hAnsi="Times New Roman" w:cs="Times New Roman"/>
          <w:color w:val="222222"/>
          <w:sz w:val="24"/>
          <w:szCs w:val="24"/>
          <w:shd w:val="clear" w:color="auto" w:fill="FFFFFF"/>
        </w:rPr>
        <w:lastRenderedPageBreak/>
        <w:t xml:space="preserve">Athanasoglou, P. P., Daniilidis, I., </w:t>
      </w:r>
      <w:r w:rsidR="002723A6">
        <w:rPr>
          <w:rFonts w:ascii="Times New Roman" w:hAnsi="Times New Roman" w:cs="Times New Roman"/>
          <w:color w:val="222222"/>
          <w:sz w:val="24"/>
          <w:szCs w:val="24"/>
          <w:shd w:val="clear" w:color="auto" w:fill="FFFFFF"/>
        </w:rPr>
        <w:t>&amp;</w:t>
      </w:r>
      <w:r w:rsidRPr="008A7487">
        <w:rPr>
          <w:rFonts w:ascii="Times New Roman" w:hAnsi="Times New Roman" w:cs="Times New Roman"/>
          <w:color w:val="222222"/>
          <w:sz w:val="24"/>
          <w:szCs w:val="24"/>
          <w:shd w:val="clear" w:color="auto" w:fill="FFFFFF"/>
        </w:rPr>
        <w:t xml:space="preserve"> Delis, M. D. </w:t>
      </w:r>
      <w:r w:rsidR="003B604E">
        <w:rPr>
          <w:rFonts w:ascii="Times New Roman" w:hAnsi="Times New Roman" w:cs="Times New Roman"/>
          <w:color w:val="222222"/>
          <w:sz w:val="24"/>
          <w:szCs w:val="24"/>
          <w:shd w:val="clear" w:color="auto" w:fill="FFFFFF"/>
        </w:rPr>
        <w:t>(</w:t>
      </w:r>
      <w:r w:rsidRPr="008A7487">
        <w:rPr>
          <w:rFonts w:ascii="Times New Roman" w:hAnsi="Times New Roman" w:cs="Times New Roman"/>
          <w:color w:val="222222"/>
          <w:sz w:val="24"/>
          <w:szCs w:val="24"/>
          <w:shd w:val="clear" w:color="auto" w:fill="FFFFFF"/>
        </w:rPr>
        <w:t>2014</w:t>
      </w:r>
      <w:r w:rsidR="003B604E">
        <w:rPr>
          <w:rFonts w:ascii="Times New Roman" w:hAnsi="Times New Roman" w:cs="Times New Roman"/>
          <w:color w:val="222222"/>
          <w:sz w:val="24"/>
          <w:szCs w:val="24"/>
          <w:shd w:val="clear" w:color="auto" w:fill="FFFFFF"/>
        </w:rPr>
        <w:t>)</w:t>
      </w:r>
      <w:r w:rsidRPr="008A7487">
        <w:rPr>
          <w:rFonts w:ascii="Times New Roman" w:hAnsi="Times New Roman" w:cs="Times New Roman"/>
          <w:color w:val="222222"/>
          <w:sz w:val="24"/>
          <w:szCs w:val="24"/>
          <w:shd w:val="clear" w:color="auto" w:fill="FFFFFF"/>
        </w:rPr>
        <w:t>. Bank procyclicality and output: Issues and policies.</w:t>
      </w:r>
      <w:r w:rsidRPr="008A7487">
        <w:rPr>
          <w:rStyle w:val="apple-converted-space"/>
          <w:rFonts w:ascii="Times New Roman" w:hAnsi="Times New Roman" w:cs="Times New Roman"/>
          <w:color w:val="222222"/>
          <w:sz w:val="24"/>
          <w:szCs w:val="24"/>
          <w:shd w:val="clear" w:color="auto" w:fill="FFFFFF"/>
        </w:rPr>
        <w:t> </w:t>
      </w:r>
      <w:r w:rsidRPr="008A7487">
        <w:rPr>
          <w:rFonts w:ascii="Times New Roman" w:hAnsi="Times New Roman" w:cs="Times New Roman"/>
          <w:i/>
          <w:iCs/>
          <w:color w:val="222222"/>
          <w:sz w:val="24"/>
          <w:szCs w:val="24"/>
          <w:shd w:val="clear" w:color="auto" w:fill="FFFFFF"/>
        </w:rPr>
        <w:t>Journal of Economics and Business</w:t>
      </w:r>
      <w:r w:rsidRPr="008A7487">
        <w:rPr>
          <w:rFonts w:ascii="Times New Roman" w:hAnsi="Times New Roman" w:cs="Times New Roman"/>
          <w:i/>
          <w:color w:val="222222"/>
          <w:sz w:val="24"/>
          <w:szCs w:val="24"/>
          <w:shd w:val="clear" w:color="auto" w:fill="FFFFFF"/>
        </w:rPr>
        <w:t>,</w:t>
      </w:r>
      <w:r w:rsidRPr="008A7487">
        <w:rPr>
          <w:rStyle w:val="apple-converted-space"/>
          <w:rFonts w:ascii="Times New Roman" w:hAnsi="Times New Roman" w:cs="Times New Roman"/>
          <w:color w:val="222222"/>
          <w:sz w:val="24"/>
          <w:szCs w:val="24"/>
          <w:shd w:val="clear" w:color="auto" w:fill="FFFFFF"/>
        </w:rPr>
        <w:t> </w:t>
      </w:r>
      <w:r w:rsidRPr="008A7487">
        <w:rPr>
          <w:rFonts w:ascii="Times New Roman" w:hAnsi="Times New Roman" w:cs="Times New Roman"/>
          <w:i/>
          <w:iCs/>
          <w:color w:val="222222"/>
          <w:sz w:val="24"/>
          <w:szCs w:val="24"/>
          <w:shd w:val="clear" w:color="auto" w:fill="FFFFFF"/>
        </w:rPr>
        <w:t>72</w:t>
      </w:r>
      <w:r w:rsidRPr="008A7487">
        <w:rPr>
          <w:rFonts w:ascii="Times New Roman" w:hAnsi="Times New Roman" w:cs="Times New Roman"/>
          <w:color w:val="222222"/>
          <w:sz w:val="24"/>
          <w:szCs w:val="24"/>
          <w:shd w:val="clear" w:color="auto" w:fill="FFFFFF"/>
        </w:rPr>
        <w:t>, 58-83.</w:t>
      </w:r>
    </w:p>
    <w:p w14:paraId="7DF90D11" w14:textId="65C71394" w:rsidR="009E32FD" w:rsidRDefault="00734FC6" w:rsidP="00412A38">
      <w:pPr>
        <w:spacing w:before="240" w:line="24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Baltag</w:t>
      </w:r>
      <w:r w:rsidR="009E32FD" w:rsidRPr="008A7487">
        <w:rPr>
          <w:rFonts w:ascii="Times New Roman" w:hAnsi="Times New Roman" w:cs="Times New Roman"/>
          <w:color w:val="222222"/>
          <w:sz w:val="24"/>
          <w:szCs w:val="24"/>
          <w:shd w:val="clear" w:color="auto" w:fill="FFFFFF"/>
        </w:rPr>
        <w:t>i B. H. (2012)</w:t>
      </w:r>
      <w:r w:rsidR="00F55F0C">
        <w:rPr>
          <w:rFonts w:ascii="Times New Roman" w:hAnsi="Times New Roman" w:cs="Times New Roman"/>
          <w:color w:val="222222"/>
          <w:sz w:val="24"/>
          <w:szCs w:val="24"/>
          <w:shd w:val="clear" w:color="auto" w:fill="FFFFFF"/>
        </w:rPr>
        <w:t>.</w:t>
      </w:r>
      <w:r w:rsidR="009E32FD" w:rsidRPr="008A7487">
        <w:rPr>
          <w:rFonts w:ascii="Times New Roman" w:hAnsi="Times New Roman" w:cs="Times New Roman"/>
          <w:color w:val="222222"/>
          <w:sz w:val="24"/>
          <w:szCs w:val="24"/>
          <w:shd w:val="clear" w:color="auto" w:fill="FFFFFF"/>
        </w:rPr>
        <w:t xml:space="preserve"> </w:t>
      </w:r>
      <w:r w:rsidR="009E32FD" w:rsidRPr="00F55F0C">
        <w:rPr>
          <w:rFonts w:ascii="Times New Roman" w:hAnsi="Times New Roman" w:cs="Times New Roman"/>
          <w:color w:val="222222"/>
          <w:sz w:val="24"/>
          <w:szCs w:val="24"/>
          <w:shd w:val="clear" w:color="auto" w:fill="FFFFFF"/>
        </w:rPr>
        <w:t xml:space="preserve">Econometric analysis of panel </w:t>
      </w:r>
      <w:r w:rsidR="009E32FD" w:rsidRPr="008A7487">
        <w:rPr>
          <w:rFonts w:ascii="Times New Roman" w:hAnsi="Times New Roman" w:cs="Times New Roman"/>
          <w:color w:val="222222"/>
          <w:sz w:val="24"/>
          <w:szCs w:val="24"/>
          <w:shd w:val="clear" w:color="auto" w:fill="FFFFFF"/>
        </w:rPr>
        <w:t>data (4th Ed.) Wiley: Chichester</w:t>
      </w:r>
    </w:p>
    <w:p w14:paraId="21470935" w14:textId="0902241A" w:rsidR="00B542B2" w:rsidRPr="008A7487" w:rsidRDefault="00B542B2" w:rsidP="00412A38">
      <w:pPr>
        <w:spacing w:before="240" w:line="240" w:lineRule="auto"/>
        <w:jc w:val="both"/>
        <w:rPr>
          <w:rFonts w:ascii="Times New Roman" w:hAnsi="Times New Roman" w:cs="Times New Roman"/>
          <w:color w:val="222222"/>
          <w:sz w:val="24"/>
          <w:szCs w:val="24"/>
          <w:shd w:val="clear" w:color="auto" w:fill="FFFFFF"/>
        </w:rPr>
      </w:pPr>
      <w:r w:rsidRPr="00B542B2">
        <w:rPr>
          <w:rFonts w:ascii="Times New Roman" w:hAnsi="Times New Roman" w:cs="Times New Roman"/>
          <w:color w:val="222222"/>
          <w:sz w:val="24"/>
          <w:szCs w:val="24"/>
          <w:shd w:val="clear" w:color="auto" w:fill="FFFFFF"/>
        </w:rPr>
        <w:t>Beckmann, R. (2007). Profitability of Western European banking systems: panel evidence on structural and cyclical determinants. Discussion Paper Series 2: Banking and Financial Studies 2007,17, Deutsche Bundesbank, Research Centre.</w:t>
      </w:r>
    </w:p>
    <w:p w14:paraId="11320538" w14:textId="6D8371DF" w:rsidR="00EA1463" w:rsidRPr="008A7487" w:rsidRDefault="00EA1463" w:rsidP="00412A38">
      <w:pPr>
        <w:spacing w:before="240" w:line="240" w:lineRule="auto"/>
        <w:jc w:val="both"/>
        <w:rPr>
          <w:rFonts w:ascii="Times New Roman" w:hAnsi="Times New Roman" w:cs="Times New Roman"/>
          <w:color w:val="000000"/>
          <w:sz w:val="24"/>
          <w:szCs w:val="24"/>
        </w:rPr>
      </w:pPr>
      <w:r w:rsidRPr="008A7487">
        <w:rPr>
          <w:rFonts w:ascii="Times New Roman" w:hAnsi="Times New Roman" w:cs="Times New Roman"/>
          <w:color w:val="000000"/>
          <w:sz w:val="24"/>
          <w:szCs w:val="24"/>
        </w:rPr>
        <w:t xml:space="preserve">Berger A. N. </w:t>
      </w:r>
      <w:r w:rsidR="00065AF8">
        <w:rPr>
          <w:rFonts w:ascii="Times New Roman" w:hAnsi="Times New Roman" w:cs="Times New Roman"/>
          <w:color w:val="000000"/>
          <w:sz w:val="24"/>
          <w:szCs w:val="24"/>
        </w:rPr>
        <w:t>(</w:t>
      </w:r>
      <w:r w:rsidRPr="008A7487">
        <w:rPr>
          <w:rFonts w:ascii="Times New Roman" w:hAnsi="Times New Roman" w:cs="Times New Roman"/>
          <w:color w:val="000000"/>
          <w:sz w:val="24"/>
          <w:szCs w:val="24"/>
        </w:rPr>
        <w:t>1995</w:t>
      </w:r>
      <w:r w:rsidR="009F632C" w:rsidRPr="008A7487">
        <w:rPr>
          <w:rFonts w:ascii="Times New Roman" w:hAnsi="Times New Roman" w:cs="Times New Roman"/>
          <w:color w:val="000000"/>
          <w:sz w:val="24"/>
          <w:szCs w:val="24"/>
        </w:rPr>
        <w:t>b</w:t>
      </w:r>
      <w:r w:rsidR="00065AF8">
        <w:rPr>
          <w:rFonts w:ascii="Times New Roman" w:hAnsi="Times New Roman" w:cs="Times New Roman"/>
          <w:color w:val="000000"/>
          <w:sz w:val="24"/>
          <w:szCs w:val="24"/>
        </w:rPr>
        <w:t>)</w:t>
      </w:r>
      <w:r w:rsidRPr="008A7487">
        <w:rPr>
          <w:rFonts w:ascii="Times New Roman" w:hAnsi="Times New Roman" w:cs="Times New Roman"/>
          <w:color w:val="000000"/>
          <w:sz w:val="24"/>
          <w:szCs w:val="24"/>
        </w:rPr>
        <w:t>. Th</w:t>
      </w:r>
      <w:r w:rsidR="002723A6">
        <w:rPr>
          <w:rFonts w:ascii="Times New Roman" w:hAnsi="Times New Roman" w:cs="Times New Roman"/>
          <w:color w:val="000000"/>
          <w:sz w:val="24"/>
          <w:szCs w:val="24"/>
        </w:rPr>
        <w:t>e relationship between c</w:t>
      </w:r>
      <w:r w:rsidR="00412A38" w:rsidRPr="008A7487">
        <w:rPr>
          <w:rFonts w:ascii="Times New Roman" w:hAnsi="Times New Roman" w:cs="Times New Roman"/>
          <w:color w:val="000000"/>
          <w:sz w:val="24"/>
          <w:szCs w:val="24"/>
        </w:rPr>
        <w:t>apital a</w:t>
      </w:r>
      <w:r w:rsidR="002723A6">
        <w:rPr>
          <w:rFonts w:ascii="Times New Roman" w:hAnsi="Times New Roman" w:cs="Times New Roman"/>
          <w:color w:val="000000"/>
          <w:sz w:val="24"/>
          <w:szCs w:val="24"/>
        </w:rPr>
        <w:t>nd e</w:t>
      </w:r>
      <w:r w:rsidRPr="008A7487">
        <w:rPr>
          <w:rFonts w:ascii="Times New Roman" w:hAnsi="Times New Roman" w:cs="Times New Roman"/>
          <w:color w:val="000000"/>
          <w:sz w:val="24"/>
          <w:szCs w:val="24"/>
        </w:rPr>
        <w:t>ar</w:t>
      </w:r>
      <w:r w:rsidR="002723A6">
        <w:rPr>
          <w:rFonts w:ascii="Times New Roman" w:hAnsi="Times New Roman" w:cs="Times New Roman"/>
          <w:color w:val="000000"/>
          <w:sz w:val="24"/>
          <w:szCs w:val="24"/>
        </w:rPr>
        <w:t>nings in b</w:t>
      </w:r>
      <w:r w:rsidRPr="008A7487">
        <w:rPr>
          <w:rFonts w:ascii="Times New Roman" w:hAnsi="Times New Roman" w:cs="Times New Roman"/>
          <w:color w:val="000000"/>
          <w:sz w:val="24"/>
          <w:szCs w:val="24"/>
        </w:rPr>
        <w:t xml:space="preserve">anking. </w:t>
      </w:r>
      <w:r w:rsidRPr="008A7487">
        <w:rPr>
          <w:rFonts w:ascii="Times New Roman" w:hAnsi="Times New Roman" w:cs="Times New Roman"/>
          <w:i/>
          <w:color w:val="000000"/>
          <w:sz w:val="24"/>
          <w:szCs w:val="24"/>
        </w:rPr>
        <w:t>Journal of Money, Credit and Banking</w:t>
      </w:r>
      <w:r w:rsidR="00F55F0C">
        <w:rPr>
          <w:rFonts w:ascii="Times New Roman" w:hAnsi="Times New Roman" w:cs="Times New Roman"/>
          <w:i/>
          <w:color w:val="000000"/>
          <w:sz w:val="24"/>
          <w:szCs w:val="24"/>
        </w:rPr>
        <w:t>,</w:t>
      </w:r>
      <w:r w:rsidRPr="008A7487">
        <w:rPr>
          <w:rFonts w:ascii="Times New Roman" w:hAnsi="Times New Roman" w:cs="Times New Roman"/>
          <w:i/>
          <w:color w:val="000000"/>
          <w:sz w:val="24"/>
          <w:szCs w:val="24"/>
        </w:rPr>
        <w:t xml:space="preserve"> </w:t>
      </w:r>
      <w:r w:rsidRPr="008A7487">
        <w:rPr>
          <w:rFonts w:ascii="Times New Roman" w:hAnsi="Times New Roman" w:cs="Times New Roman"/>
          <w:color w:val="000000"/>
          <w:sz w:val="24"/>
          <w:szCs w:val="24"/>
        </w:rPr>
        <w:t xml:space="preserve">27 (2), pp.432-456. </w:t>
      </w:r>
    </w:p>
    <w:p w14:paraId="46FEFCAD" w14:textId="0F9A7CA2" w:rsidR="00EA1463" w:rsidRPr="008A7487" w:rsidRDefault="00EA1463" w:rsidP="00412A38">
      <w:pPr>
        <w:spacing w:before="240" w:line="240" w:lineRule="auto"/>
        <w:jc w:val="both"/>
        <w:rPr>
          <w:rFonts w:ascii="Times New Roman" w:hAnsi="Times New Roman" w:cs="Times New Roman"/>
          <w:color w:val="000000"/>
          <w:sz w:val="24"/>
          <w:szCs w:val="24"/>
        </w:rPr>
      </w:pPr>
      <w:r w:rsidRPr="008A7487">
        <w:rPr>
          <w:rFonts w:ascii="Times New Roman" w:hAnsi="Times New Roman" w:cs="Times New Roman"/>
          <w:color w:val="000000"/>
          <w:sz w:val="24"/>
          <w:szCs w:val="24"/>
        </w:rPr>
        <w:t>Bikker, A. N.</w:t>
      </w:r>
      <w:r w:rsidR="002723A6">
        <w:rPr>
          <w:rFonts w:ascii="Times New Roman" w:hAnsi="Times New Roman" w:cs="Times New Roman"/>
          <w:color w:val="000000"/>
          <w:sz w:val="24"/>
          <w:szCs w:val="24"/>
        </w:rPr>
        <w:t>,</w:t>
      </w:r>
      <w:r w:rsidRPr="008A7487">
        <w:rPr>
          <w:rFonts w:ascii="Times New Roman" w:hAnsi="Times New Roman" w:cs="Times New Roman"/>
          <w:color w:val="000000"/>
          <w:sz w:val="24"/>
          <w:szCs w:val="24"/>
        </w:rPr>
        <w:t xml:space="preserve"> </w:t>
      </w:r>
      <w:r w:rsidR="002723A6">
        <w:rPr>
          <w:rFonts w:ascii="Times New Roman" w:hAnsi="Times New Roman" w:cs="Times New Roman"/>
          <w:color w:val="000000"/>
          <w:sz w:val="24"/>
          <w:szCs w:val="24"/>
        </w:rPr>
        <w:t xml:space="preserve">&amp; Hu, H. </w:t>
      </w:r>
      <w:r w:rsidR="00065AF8">
        <w:rPr>
          <w:rFonts w:ascii="Times New Roman" w:hAnsi="Times New Roman" w:cs="Times New Roman"/>
          <w:color w:val="000000"/>
          <w:sz w:val="24"/>
          <w:szCs w:val="24"/>
        </w:rPr>
        <w:t>(</w:t>
      </w:r>
      <w:r w:rsidR="002723A6">
        <w:rPr>
          <w:rFonts w:ascii="Times New Roman" w:hAnsi="Times New Roman" w:cs="Times New Roman"/>
          <w:color w:val="000000"/>
          <w:sz w:val="24"/>
          <w:szCs w:val="24"/>
        </w:rPr>
        <w:t>2002</w:t>
      </w:r>
      <w:r w:rsidR="00065AF8">
        <w:rPr>
          <w:rFonts w:ascii="Times New Roman" w:hAnsi="Times New Roman" w:cs="Times New Roman"/>
          <w:color w:val="000000"/>
          <w:sz w:val="24"/>
          <w:szCs w:val="24"/>
        </w:rPr>
        <w:t>)</w:t>
      </w:r>
      <w:r w:rsidR="002723A6">
        <w:rPr>
          <w:rFonts w:ascii="Times New Roman" w:hAnsi="Times New Roman" w:cs="Times New Roman"/>
          <w:color w:val="000000"/>
          <w:sz w:val="24"/>
          <w:szCs w:val="24"/>
        </w:rPr>
        <w:t>. Cyclical patterns in profits, provisioning and lending of b</w:t>
      </w:r>
      <w:r w:rsidRPr="008A7487">
        <w:rPr>
          <w:rFonts w:ascii="Times New Roman" w:hAnsi="Times New Roman" w:cs="Times New Roman"/>
          <w:color w:val="000000"/>
          <w:sz w:val="24"/>
          <w:szCs w:val="24"/>
        </w:rPr>
        <w:t xml:space="preserve">anks. </w:t>
      </w:r>
      <w:r w:rsidRPr="008A7487">
        <w:rPr>
          <w:rFonts w:ascii="Times New Roman" w:hAnsi="Times New Roman" w:cs="Times New Roman"/>
          <w:i/>
          <w:color w:val="000000"/>
          <w:sz w:val="24"/>
          <w:szCs w:val="24"/>
        </w:rPr>
        <w:t>BNL Quarterly Review</w:t>
      </w:r>
      <w:r w:rsidR="00F55F0C">
        <w:rPr>
          <w:rFonts w:ascii="Times New Roman" w:hAnsi="Times New Roman" w:cs="Times New Roman"/>
          <w:i/>
          <w:color w:val="000000"/>
          <w:sz w:val="24"/>
          <w:szCs w:val="24"/>
        </w:rPr>
        <w:t>,</w:t>
      </w:r>
      <w:r w:rsidR="002723A6">
        <w:rPr>
          <w:rFonts w:ascii="Times New Roman" w:hAnsi="Times New Roman" w:cs="Times New Roman"/>
          <w:color w:val="000000"/>
          <w:sz w:val="24"/>
          <w:szCs w:val="24"/>
        </w:rPr>
        <w:t xml:space="preserve"> 221,</w:t>
      </w:r>
      <w:r w:rsidRPr="008A7487">
        <w:rPr>
          <w:rFonts w:ascii="Times New Roman" w:hAnsi="Times New Roman" w:cs="Times New Roman"/>
          <w:color w:val="000000"/>
          <w:sz w:val="24"/>
          <w:szCs w:val="24"/>
        </w:rPr>
        <w:t xml:space="preserve">143-175. </w:t>
      </w:r>
    </w:p>
    <w:p w14:paraId="0D5A1600" w14:textId="23448539" w:rsidR="009E32FD" w:rsidRPr="008A7487" w:rsidRDefault="009E32FD" w:rsidP="00412A38">
      <w:pPr>
        <w:spacing w:before="240" w:line="240" w:lineRule="auto"/>
        <w:jc w:val="both"/>
        <w:rPr>
          <w:rFonts w:ascii="Times New Roman" w:hAnsi="Times New Roman" w:cs="Times New Roman"/>
          <w:color w:val="000000"/>
          <w:sz w:val="24"/>
          <w:szCs w:val="24"/>
        </w:rPr>
      </w:pPr>
      <w:r w:rsidRPr="006D4511">
        <w:rPr>
          <w:rFonts w:ascii="Times New Roman" w:hAnsi="Times New Roman" w:cs="Times New Roman"/>
          <w:color w:val="000000"/>
          <w:sz w:val="24"/>
          <w:szCs w:val="24"/>
          <w:lang w:val="en-GB"/>
        </w:rPr>
        <w:t>Bolt, W., De Haan, L., Hoeberichts, M., Van Oor</w:t>
      </w:r>
      <w:r w:rsidR="00B82FDC" w:rsidRPr="006D4511">
        <w:rPr>
          <w:rFonts w:ascii="Times New Roman" w:hAnsi="Times New Roman" w:cs="Times New Roman"/>
          <w:color w:val="000000"/>
          <w:sz w:val="24"/>
          <w:szCs w:val="24"/>
          <w:lang w:val="en-GB"/>
        </w:rPr>
        <w:t xml:space="preserve">dt, M. R., </w:t>
      </w:r>
      <w:r w:rsidR="002723A6">
        <w:rPr>
          <w:rFonts w:ascii="Times New Roman" w:hAnsi="Times New Roman" w:cs="Times New Roman"/>
          <w:color w:val="000000"/>
          <w:sz w:val="24"/>
          <w:szCs w:val="24"/>
          <w:lang w:val="en-GB"/>
        </w:rPr>
        <w:t>&amp;</w:t>
      </w:r>
      <w:r w:rsidR="00B82FDC" w:rsidRPr="006D4511">
        <w:rPr>
          <w:rFonts w:ascii="Times New Roman" w:hAnsi="Times New Roman" w:cs="Times New Roman"/>
          <w:color w:val="000000"/>
          <w:sz w:val="24"/>
          <w:szCs w:val="24"/>
          <w:lang w:val="en-GB"/>
        </w:rPr>
        <w:t xml:space="preserve"> Swank, J. </w:t>
      </w:r>
      <w:r w:rsidR="00065AF8">
        <w:rPr>
          <w:rFonts w:ascii="Times New Roman" w:hAnsi="Times New Roman" w:cs="Times New Roman"/>
          <w:color w:val="000000"/>
          <w:sz w:val="24"/>
          <w:szCs w:val="24"/>
          <w:lang w:val="en-GB"/>
        </w:rPr>
        <w:t>(</w:t>
      </w:r>
      <w:r w:rsidR="00B82FDC" w:rsidRPr="006D4511">
        <w:rPr>
          <w:rFonts w:ascii="Times New Roman" w:hAnsi="Times New Roman" w:cs="Times New Roman"/>
          <w:color w:val="000000"/>
          <w:sz w:val="24"/>
          <w:szCs w:val="24"/>
          <w:lang w:val="en-GB"/>
        </w:rPr>
        <w:t>2012</w:t>
      </w:r>
      <w:r w:rsidR="00065AF8">
        <w:rPr>
          <w:rFonts w:ascii="Times New Roman" w:hAnsi="Times New Roman" w:cs="Times New Roman"/>
          <w:color w:val="000000"/>
          <w:sz w:val="24"/>
          <w:szCs w:val="24"/>
          <w:lang w:val="en-GB"/>
        </w:rPr>
        <w:t>)</w:t>
      </w:r>
      <w:r w:rsidRPr="006D4511">
        <w:rPr>
          <w:rFonts w:ascii="Times New Roman" w:hAnsi="Times New Roman" w:cs="Times New Roman"/>
          <w:color w:val="000000"/>
          <w:sz w:val="24"/>
          <w:szCs w:val="24"/>
          <w:lang w:val="en-GB"/>
        </w:rPr>
        <w:t xml:space="preserve">. </w:t>
      </w:r>
      <w:r w:rsidRPr="008A7487">
        <w:rPr>
          <w:rFonts w:ascii="Times New Roman" w:hAnsi="Times New Roman" w:cs="Times New Roman"/>
          <w:color w:val="000000"/>
          <w:sz w:val="24"/>
          <w:szCs w:val="24"/>
        </w:rPr>
        <w:t xml:space="preserve">Bank profitability during recessions. </w:t>
      </w:r>
      <w:r w:rsidRPr="008A7487">
        <w:rPr>
          <w:rFonts w:ascii="Times New Roman" w:hAnsi="Times New Roman" w:cs="Times New Roman"/>
          <w:i/>
          <w:color w:val="000000"/>
          <w:sz w:val="24"/>
          <w:szCs w:val="24"/>
        </w:rPr>
        <w:t>Journal of Banking &amp; Finance</w:t>
      </w:r>
      <w:r w:rsidRPr="008A7487">
        <w:rPr>
          <w:rFonts w:ascii="Times New Roman" w:hAnsi="Times New Roman" w:cs="Times New Roman"/>
          <w:color w:val="000000"/>
          <w:sz w:val="24"/>
          <w:szCs w:val="24"/>
        </w:rPr>
        <w:t>, 36(9), 2552-2564.</w:t>
      </w:r>
    </w:p>
    <w:p w14:paraId="3F304FB1" w14:textId="4B8EB647" w:rsidR="00EA1463" w:rsidRPr="008A7487" w:rsidRDefault="00EA1463" w:rsidP="00412A38">
      <w:pPr>
        <w:spacing w:before="240" w:line="240" w:lineRule="auto"/>
        <w:jc w:val="both"/>
        <w:rPr>
          <w:rFonts w:ascii="Times New Roman" w:hAnsi="Times New Roman" w:cs="Times New Roman"/>
          <w:color w:val="000000"/>
          <w:sz w:val="24"/>
          <w:szCs w:val="24"/>
        </w:rPr>
      </w:pPr>
      <w:r w:rsidRPr="008A7487">
        <w:rPr>
          <w:rFonts w:ascii="Times New Roman" w:hAnsi="Times New Roman" w:cs="Times New Roman"/>
          <w:color w:val="000000"/>
          <w:sz w:val="24"/>
          <w:szCs w:val="24"/>
        </w:rPr>
        <w:lastRenderedPageBreak/>
        <w:t>Bour</w:t>
      </w:r>
      <w:r w:rsidR="002723A6">
        <w:rPr>
          <w:rFonts w:ascii="Times New Roman" w:hAnsi="Times New Roman" w:cs="Times New Roman"/>
          <w:color w:val="000000"/>
          <w:sz w:val="24"/>
          <w:szCs w:val="24"/>
        </w:rPr>
        <w:t xml:space="preserve">ke, P. </w:t>
      </w:r>
      <w:r w:rsidR="00065AF8">
        <w:rPr>
          <w:rFonts w:ascii="Times New Roman" w:hAnsi="Times New Roman" w:cs="Times New Roman"/>
          <w:color w:val="000000"/>
          <w:sz w:val="24"/>
          <w:szCs w:val="24"/>
        </w:rPr>
        <w:t>(</w:t>
      </w:r>
      <w:r w:rsidR="002723A6">
        <w:rPr>
          <w:rFonts w:ascii="Times New Roman" w:hAnsi="Times New Roman" w:cs="Times New Roman"/>
          <w:color w:val="000000"/>
          <w:sz w:val="24"/>
          <w:szCs w:val="24"/>
        </w:rPr>
        <w:t>1989</w:t>
      </w:r>
      <w:r w:rsidR="00065AF8">
        <w:rPr>
          <w:rFonts w:ascii="Times New Roman" w:hAnsi="Times New Roman" w:cs="Times New Roman"/>
          <w:color w:val="000000"/>
          <w:sz w:val="24"/>
          <w:szCs w:val="24"/>
        </w:rPr>
        <w:t>)</w:t>
      </w:r>
      <w:r w:rsidR="002723A6">
        <w:rPr>
          <w:rFonts w:ascii="Times New Roman" w:hAnsi="Times New Roman" w:cs="Times New Roman"/>
          <w:color w:val="000000"/>
          <w:sz w:val="24"/>
          <w:szCs w:val="24"/>
        </w:rPr>
        <w:t>. Concentration and other determinants of bank profitability in Europe, North America a</w:t>
      </w:r>
      <w:r w:rsidRPr="008A7487">
        <w:rPr>
          <w:rFonts w:ascii="Times New Roman" w:hAnsi="Times New Roman" w:cs="Times New Roman"/>
          <w:color w:val="000000"/>
          <w:sz w:val="24"/>
          <w:szCs w:val="24"/>
        </w:rPr>
        <w:t xml:space="preserve">nd Australia. </w:t>
      </w:r>
      <w:r w:rsidRPr="008A7487">
        <w:rPr>
          <w:rStyle w:val="Emphasis"/>
          <w:rFonts w:ascii="Times New Roman" w:hAnsi="Times New Roman" w:cs="Times New Roman"/>
          <w:color w:val="000000"/>
          <w:sz w:val="24"/>
          <w:szCs w:val="24"/>
        </w:rPr>
        <w:t>Journal of Banking and Finance</w:t>
      </w:r>
      <w:r w:rsidR="00F55F0C">
        <w:rPr>
          <w:rStyle w:val="Emphasis"/>
          <w:rFonts w:ascii="Times New Roman" w:hAnsi="Times New Roman" w:cs="Times New Roman"/>
          <w:color w:val="000000"/>
          <w:sz w:val="24"/>
          <w:szCs w:val="24"/>
        </w:rPr>
        <w:t>,</w:t>
      </w:r>
      <w:r w:rsidRPr="008A7487">
        <w:rPr>
          <w:rFonts w:ascii="Times New Roman" w:hAnsi="Times New Roman" w:cs="Times New Roman"/>
          <w:color w:val="000000"/>
          <w:sz w:val="24"/>
          <w:szCs w:val="24"/>
        </w:rPr>
        <w:t xml:space="preserve"> 13, 65-79.</w:t>
      </w:r>
    </w:p>
    <w:p w14:paraId="3B6E00C8" w14:textId="3DAF14F9" w:rsidR="00EA1463" w:rsidRPr="008A7487" w:rsidRDefault="00EA1463" w:rsidP="00412A38">
      <w:pPr>
        <w:spacing w:before="240" w:line="240" w:lineRule="auto"/>
        <w:jc w:val="both"/>
        <w:rPr>
          <w:rFonts w:ascii="Times New Roman" w:hAnsi="Times New Roman" w:cs="Times New Roman"/>
          <w:sz w:val="24"/>
          <w:szCs w:val="24"/>
        </w:rPr>
      </w:pPr>
      <w:r w:rsidRPr="00BF21EC">
        <w:rPr>
          <w:rFonts w:ascii="Times New Roman" w:hAnsi="Times New Roman" w:cs="Times New Roman"/>
          <w:sz w:val="24"/>
          <w:szCs w:val="24"/>
          <w:lang w:val="en-GB"/>
        </w:rPr>
        <w:t>Carbó V.S.,</w:t>
      </w:r>
      <w:r w:rsidRPr="00BF21EC">
        <w:rPr>
          <w:rFonts w:ascii="Times New Roman" w:hAnsi="Times New Roman" w:cs="Times New Roman"/>
          <w:color w:val="FF0000"/>
          <w:sz w:val="24"/>
          <w:szCs w:val="24"/>
          <w:lang w:val="en-GB"/>
        </w:rPr>
        <w:t xml:space="preserve"> </w:t>
      </w:r>
      <w:r w:rsidR="002723A6" w:rsidRPr="00BF21EC">
        <w:rPr>
          <w:rFonts w:ascii="Times New Roman" w:hAnsi="Times New Roman" w:cs="Times New Roman"/>
          <w:sz w:val="24"/>
          <w:szCs w:val="24"/>
          <w:lang w:val="en-GB"/>
        </w:rPr>
        <w:t>&amp;</w:t>
      </w:r>
      <w:r w:rsidR="00C50AFC" w:rsidRPr="00BF21EC">
        <w:rPr>
          <w:rFonts w:ascii="Times New Roman" w:hAnsi="Times New Roman" w:cs="Times New Roman"/>
          <w:sz w:val="24"/>
          <w:szCs w:val="24"/>
          <w:lang w:val="en-GB"/>
        </w:rPr>
        <w:t xml:space="preserve"> Rodríguez, F.F.</w:t>
      </w:r>
      <w:r w:rsidR="00065AF8" w:rsidRPr="00BF21EC">
        <w:rPr>
          <w:rFonts w:ascii="Times New Roman" w:hAnsi="Times New Roman" w:cs="Times New Roman"/>
          <w:sz w:val="24"/>
          <w:szCs w:val="24"/>
          <w:lang w:val="en-GB"/>
        </w:rPr>
        <w:t xml:space="preserve"> (</w:t>
      </w:r>
      <w:r w:rsidR="00C50AFC" w:rsidRPr="00BF21EC">
        <w:rPr>
          <w:rFonts w:ascii="Times New Roman" w:hAnsi="Times New Roman" w:cs="Times New Roman"/>
          <w:sz w:val="24"/>
          <w:szCs w:val="24"/>
          <w:lang w:val="en-GB"/>
        </w:rPr>
        <w:t>2007</w:t>
      </w:r>
      <w:r w:rsidR="00065AF8" w:rsidRPr="00BF21EC">
        <w:rPr>
          <w:rFonts w:ascii="Times New Roman" w:hAnsi="Times New Roman" w:cs="Times New Roman"/>
          <w:sz w:val="24"/>
          <w:szCs w:val="24"/>
          <w:lang w:val="en-GB"/>
        </w:rPr>
        <w:t>)</w:t>
      </w:r>
      <w:r w:rsidR="00C50AFC" w:rsidRPr="00BF21EC">
        <w:rPr>
          <w:rFonts w:ascii="Times New Roman" w:hAnsi="Times New Roman" w:cs="Times New Roman"/>
          <w:sz w:val="24"/>
          <w:szCs w:val="24"/>
          <w:lang w:val="en-GB"/>
        </w:rPr>
        <w:t xml:space="preserve">. </w:t>
      </w:r>
      <w:r w:rsidR="00C50AFC">
        <w:rPr>
          <w:rFonts w:ascii="Times New Roman" w:hAnsi="Times New Roman" w:cs="Times New Roman"/>
          <w:sz w:val="24"/>
          <w:szCs w:val="24"/>
        </w:rPr>
        <w:t>The determinants of bank margins in European b</w:t>
      </w:r>
      <w:r w:rsidRPr="008A7487">
        <w:rPr>
          <w:rFonts w:ascii="Times New Roman" w:hAnsi="Times New Roman" w:cs="Times New Roman"/>
          <w:sz w:val="24"/>
          <w:szCs w:val="24"/>
        </w:rPr>
        <w:t xml:space="preserve">anking, </w:t>
      </w:r>
      <w:r w:rsidRPr="008A7487">
        <w:rPr>
          <w:rFonts w:ascii="Times New Roman" w:hAnsi="Times New Roman" w:cs="Times New Roman"/>
          <w:i/>
          <w:sz w:val="24"/>
          <w:szCs w:val="24"/>
        </w:rPr>
        <w:t>Journal of Banking and Finance</w:t>
      </w:r>
      <w:r w:rsidRPr="008A7487">
        <w:rPr>
          <w:rFonts w:ascii="Times New Roman" w:hAnsi="Times New Roman" w:cs="Times New Roman"/>
          <w:sz w:val="24"/>
          <w:szCs w:val="24"/>
        </w:rPr>
        <w:t>, 31(7), 2043-2063.</w:t>
      </w:r>
    </w:p>
    <w:p w14:paraId="35DBD0EE" w14:textId="0ED76DD6" w:rsidR="00EA1463" w:rsidRPr="004F2EB7" w:rsidRDefault="00EA1463" w:rsidP="00412A38">
      <w:pPr>
        <w:spacing w:before="240" w:line="240" w:lineRule="auto"/>
        <w:jc w:val="both"/>
        <w:rPr>
          <w:rFonts w:ascii="Times New Roman" w:hAnsi="Times New Roman" w:cs="Times New Roman"/>
          <w:sz w:val="24"/>
          <w:szCs w:val="24"/>
          <w:highlight w:val="yellow"/>
        </w:rPr>
      </w:pPr>
      <w:r w:rsidRPr="004F2EB7">
        <w:rPr>
          <w:rFonts w:ascii="Times New Roman" w:hAnsi="Times New Roman" w:cs="Times New Roman"/>
          <w:sz w:val="24"/>
          <w:szCs w:val="24"/>
          <w:shd w:val="clear" w:color="auto" w:fill="FFFFFF"/>
        </w:rPr>
        <w:t xml:space="preserve">Demetriades, P </w:t>
      </w:r>
      <w:r w:rsidR="00C50AFC">
        <w:rPr>
          <w:rFonts w:ascii="Times New Roman" w:hAnsi="Times New Roman" w:cs="Times New Roman"/>
          <w:sz w:val="24"/>
          <w:szCs w:val="24"/>
          <w:shd w:val="clear" w:color="auto" w:fill="FFFFFF"/>
        </w:rPr>
        <w:t>&amp;</w:t>
      </w:r>
      <w:r w:rsidRPr="004F2EB7">
        <w:rPr>
          <w:rFonts w:ascii="Times New Roman" w:hAnsi="Times New Roman" w:cs="Times New Roman"/>
          <w:sz w:val="24"/>
          <w:szCs w:val="24"/>
          <w:shd w:val="clear" w:color="auto" w:fill="FFFFFF"/>
        </w:rPr>
        <w:t xml:space="preserve"> </w:t>
      </w:r>
      <w:r w:rsidR="00C50AFC">
        <w:rPr>
          <w:rFonts w:ascii="Times New Roman" w:hAnsi="Times New Roman" w:cs="Times New Roman"/>
          <w:sz w:val="24"/>
          <w:szCs w:val="24"/>
          <w:shd w:val="clear" w:color="auto" w:fill="FFFFFF"/>
        </w:rPr>
        <w:t xml:space="preserve">Fielding, D. </w:t>
      </w:r>
      <w:r w:rsidR="00065AF8">
        <w:rPr>
          <w:rFonts w:ascii="Times New Roman" w:hAnsi="Times New Roman" w:cs="Times New Roman"/>
          <w:sz w:val="24"/>
          <w:szCs w:val="24"/>
          <w:shd w:val="clear" w:color="auto" w:fill="FFFFFF"/>
        </w:rPr>
        <w:t>(</w:t>
      </w:r>
      <w:r w:rsidR="00C50AFC">
        <w:rPr>
          <w:rFonts w:ascii="Times New Roman" w:hAnsi="Times New Roman" w:cs="Times New Roman"/>
          <w:sz w:val="24"/>
          <w:szCs w:val="24"/>
          <w:shd w:val="clear" w:color="auto" w:fill="FFFFFF"/>
        </w:rPr>
        <w:t>2012</w:t>
      </w:r>
      <w:r w:rsidR="00065AF8">
        <w:rPr>
          <w:rFonts w:ascii="Times New Roman" w:hAnsi="Times New Roman" w:cs="Times New Roman"/>
          <w:sz w:val="24"/>
          <w:szCs w:val="24"/>
          <w:shd w:val="clear" w:color="auto" w:fill="FFFFFF"/>
        </w:rPr>
        <w:t>).</w:t>
      </w:r>
      <w:r w:rsidR="00C50AFC">
        <w:rPr>
          <w:rFonts w:ascii="Times New Roman" w:hAnsi="Times New Roman" w:cs="Times New Roman"/>
          <w:sz w:val="24"/>
          <w:szCs w:val="24"/>
          <w:shd w:val="clear" w:color="auto" w:fill="FFFFFF"/>
        </w:rPr>
        <w:t xml:space="preserve"> Information, institutions and banking s</w:t>
      </w:r>
      <w:r w:rsidRPr="004F2EB7">
        <w:rPr>
          <w:rFonts w:ascii="Times New Roman" w:hAnsi="Times New Roman" w:cs="Times New Roman"/>
          <w:sz w:val="24"/>
          <w:szCs w:val="24"/>
          <w:shd w:val="clear" w:color="auto" w:fill="FFFFFF"/>
        </w:rPr>
        <w:t>ecto</w:t>
      </w:r>
      <w:r w:rsidR="00C50AFC">
        <w:rPr>
          <w:rFonts w:ascii="Times New Roman" w:hAnsi="Times New Roman" w:cs="Times New Roman"/>
          <w:sz w:val="24"/>
          <w:szCs w:val="24"/>
          <w:shd w:val="clear" w:color="auto" w:fill="FFFFFF"/>
        </w:rPr>
        <w:t>r development i</w:t>
      </w:r>
      <w:r w:rsidRPr="004F2EB7">
        <w:rPr>
          <w:rFonts w:ascii="Times New Roman" w:hAnsi="Times New Roman" w:cs="Times New Roman"/>
          <w:sz w:val="24"/>
          <w:szCs w:val="24"/>
          <w:shd w:val="clear" w:color="auto" w:fill="FFFFFF"/>
        </w:rPr>
        <w:t xml:space="preserve">n West Africa, </w:t>
      </w:r>
      <w:r w:rsidR="00D0282F" w:rsidRPr="004F2EB7">
        <w:rPr>
          <w:rFonts w:ascii="Times New Roman" w:hAnsi="Times New Roman" w:cs="Times New Roman"/>
          <w:i/>
          <w:iCs/>
          <w:sz w:val="24"/>
          <w:szCs w:val="24"/>
          <w:shd w:val="clear" w:color="auto" w:fill="FFFFFF"/>
        </w:rPr>
        <w:t>Economic Inquiry,</w:t>
      </w:r>
      <w:r w:rsidR="00C50AFC">
        <w:rPr>
          <w:rFonts w:ascii="Times New Roman" w:hAnsi="Times New Roman" w:cs="Times New Roman"/>
          <w:sz w:val="24"/>
          <w:szCs w:val="24"/>
          <w:shd w:val="clear" w:color="auto" w:fill="FFFFFF"/>
        </w:rPr>
        <w:t xml:space="preserve"> 50(3), </w:t>
      </w:r>
      <w:r w:rsidRPr="004F2EB7">
        <w:rPr>
          <w:rFonts w:ascii="Times New Roman" w:hAnsi="Times New Roman" w:cs="Times New Roman"/>
          <w:sz w:val="24"/>
          <w:szCs w:val="24"/>
          <w:shd w:val="clear" w:color="auto" w:fill="FFFFFF"/>
        </w:rPr>
        <w:t>739-753.</w:t>
      </w:r>
    </w:p>
    <w:p w14:paraId="4CEAF9A0" w14:textId="645072CD" w:rsidR="00EA1463" w:rsidRPr="008A7487" w:rsidRDefault="00EA1463" w:rsidP="00412A38">
      <w:pPr>
        <w:spacing w:before="240" w:line="240" w:lineRule="auto"/>
        <w:jc w:val="both"/>
        <w:rPr>
          <w:rFonts w:ascii="Times New Roman" w:hAnsi="Times New Roman" w:cs="Times New Roman"/>
          <w:sz w:val="24"/>
          <w:szCs w:val="24"/>
        </w:rPr>
      </w:pPr>
      <w:r w:rsidRPr="008A7487">
        <w:rPr>
          <w:rFonts w:ascii="Times New Roman" w:hAnsi="Times New Roman" w:cs="Times New Roman"/>
          <w:sz w:val="24"/>
          <w:szCs w:val="24"/>
        </w:rPr>
        <w:t>Demirguc-Kunt, A.</w:t>
      </w:r>
      <w:r w:rsidR="00C50AFC">
        <w:rPr>
          <w:rFonts w:ascii="Times New Roman" w:hAnsi="Times New Roman" w:cs="Times New Roman"/>
          <w:sz w:val="24"/>
          <w:szCs w:val="24"/>
        </w:rPr>
        <w:t>,</w:t>
      </w:r>
      <w:r w:rsidRPr="008A7487">
        <w:rPr>
          <w:rFonts w:ascii="Times New Roman" w:hAnsi="Times New Roman" w:cs="Times New Roman"/>
          <w:sz w:val="24"/>
          <w:szCs w:val="24"/>
        </w:rPr>
        <w:t xml:space="preserve"> </w:t>
      </w:r>
      <w:r w:rsidR="00C50AFC">
        <w:rPr>
          <w:rFonts w:ascii="Times New Roman" w:hAnsi="Times New Roman" w:cs="Times New Roman"/>
          <w:sz w:val="24"/>
          <w:szCs w:val="24"/>
        </w:rPr>
        <w:t>&amp;</w:t>
      </w:r>
      <w:r w:rsidRPr="008A7487">
        <w:rPr>
          <w:rFonts w:ascii="Times New Roman" w:hAnsi="Times New Roman" w:cs="Times New Roman"/>
          <w:sz w:val="24"/>
          <w:szCs w:val="24"/>
        </w:rPr>
        <w:t xml:space="preserve"> Hui</w:t>
      </w:r>
      <w:r w:rsidR="00C50AFC">
        <w:rPr>
          <w:rFonts w:ascii="Times New Roman" w:hAnsi="Times New Roman" w:cs="Times New Roman"/>
          <w:sz w:val="24"/>
          <w:szCs w:val="24"/>
        </w:rPr>
        <w:t xml:space="preserve">zinga H. </w:t>
      </w:r>
      <w:r w:rsidR="00065AF8">
        <w:rPr>
          <w:rFonts w:ascii="Times New Roman" w:hAnsi="Times New Roman" w:cs="Times New Roman"/>
          <w:sz w:val="24"/>
          <w:szCs w:val="24"/>
        </w:rPr>
        <w:t>(</w:t>
      </w:r>
      <w:r w:rsidR="00C50AFC">
        <w:rPr>
          <w:rFonts w:ascii="Times New Roman" w:hAnsi="Times New Roman" w:cs="Times New Roman"/>
          <w:sz w:val="24"/>
          <w:szCs w:val="24"/>
        </w:rPr>
        <w:t>1999</w:t>
      </w:r>
      <w:r w:rsidR="00065AF8">
        <w:rPr>
          <w:rFonts w:ascii="Times New Roman" w:hAnsi="Times New Roman" w:cs="Times New Roman"/>
          <w:sz w:val="24"/>
          <w:szCs w:val="24"/>
        </w:rPr>
        <w:t>)</w:t>
      </w:r>
      <w:r w:rsidR="00C50AFC">
        <w:rPr>
          <w:rFonts w:ascii="Times New Roman" w:hAnsi="Times New Roman" w:cs="Times New Roman"/>
          <w:sz w:val="24"/>
          <w:szCs w:val="24"/>
        </w:rPr>
        <w:t>. Determinants of commercial bank interest margins and profitability: Some international e</w:t>
      </w:r>
      <w:r w:rsidRPr="008A7487">
        <w:rPr>
          <w:rFonts w:ascii="Times New Roman" w:hAnsi="Times New Roman" w:cs="Times New Roman"/>
          <w:sz w:val="24"/>
          <w:szCs w:val="24"/>
        </w:rPr>
        <w:t xml:space="preserve">vidence. </w:t>
      </w:r>
      <w:r w:rsidRPr="008A7487">
        <w:rPr>
          <w:rFonts w:ascii="Times New Roman" w:hAnsi="Times New Roman" w:cs="Times New Roman"/>
          <w:i/>
          <w:sz w:val="24"/>
          <w:szCs w:val="24"/>
        </w:rPr>
        <w:t>The World Bank Economic Review</w:t>
      </w:r>
      <w:r w:rsidR="00F430F1">
        <w:rPr>
          <w:rFonts w:ascii="Times New Roman" w:hAnsi="Times New Roman" w:cs="Times New Roman"/>
          <w:i/>
          <w:sz w:val="24"/>
          <w:szCs w:val="24"/>
        </w:rPr>
        <w:t>,</w:t>
      </w:r>
      <w:r w:rsidRPr="008A7487">
        <w:rPr>
          <w:rFonts w:ascii="Times New Roman" w:hAnsi="Times New Roman" w:cs="Times New Roman"/>
          <w:i/>
          <w:sz w:val="24"/>
          <w:szCs w:val="24"/>
        </w:rPr>
        <w:t xml:space="preserve"> </w:t>
      </w:r>
      <w:r w:rsidRPr="008A7487">
        <w:rPr>
          <w:rFonts w:ascii="Times New Roman" w:hAnsi="Times New Roman" w:cs="Times New Roman"/>
          <w:sz w:val="24"/>
          <w:szCs w:val="24"/>
        </w:rPr>
        <w:t>13 (2), 379-408.</w:t>
      </w:r>
    </w:p>
    <w:p w14:paraId="71808B89" w14:textId="7A24FD04" w:rsidR="00E9550D" w:rsidRPr="008A7487" w:rsidRDefault="00E9550D" w:rsidP="00412A38">
      <w:pPr>
        <w:spacing w:before="240" w:line="240" w:lineRule="auto"/>
        <w:jc w:val="both"/>
        <w:rPr>
          <w:rFonts w:ascii="Times New Roman" w:hAnsi="Times New Roman" w:cs="Times New Roman"/>
          <w:sz w:val="24"/>
          <w:szCs w:val="24"/>
        </w:rPr>
      </w:pPr>
      <w:r w:rsidRPr="008A7487">
        <w:rPr>
          <w:rFonts w:ascii="Times New Roman" w:hAnsi="Times New Roman" w:cs="Times New Roman"/>
          <w:sz w:val="24"/>
          <w:szCs w:val="24"/>
          <w:lang w:val="en-GB"/>
        </w:rPr>
        <w:t>Didier, T., H</w:t>
      </w:r>
      <w:r w:rsidR="00B82FDC" w:rsidRPr="008A7487">
        <w:rPr>
          <w:rFonts w:ascii="Times New Roman" w:hAnsi="Times New Roman" w:cs="Times New Roman"/>
          <w:sz w:val="24"/>
          <w:szCs w:val="24"/>
          <w:lang w:val="en-GB"/>
        </w:rPr>
        <w:t xml:space="preserve">evia, C., </w:t>
      </w:r>
      <w:r w:rsidR="00C50AFC">
        <w:rPr>
          <w:rFonts w:ascii="Times New Roman" w:hAnsi="Times New Roman" w:cs="Times New Roman"/>
          <w:sz w:val="24"/>
          <w:szCs w:val="24"/>
          <w:lang w:val="en-GB"/>
        </w:rPr>
        <w:t>&amp;</w:t>
      </w:r>
      <w:r w:rsidR="00B82FDC" w:rsidRPr="008A7487">
        <w:rPr>
          <w:rFonts w:ascii="Times New Roman" w:hAnsi="Times New Roman" w:cs="Times New Roman"/>
          <w:sz w:val="24"/>
          <w:szCs w:val="24"/>
          <w:lang w:val="en-GB"/>
        </w:rPr>
        <w:t xml:space="preserve"> Schmukler, S. L. </w:t>
      </w:r>
      <w:r w:rsidR="00065AF8">
        <w:rPr>
          <w:rFonts w:ascii="Times New Roman" w:hAnsi="Times New Roman" w:cs="Times New Roman"/>
          <w:sz w:val="24"/>
          <w:szCs w:val="24"/>
          <w:lang w:val="en-GB"/>
        </w:rPr>
        <w:t>(</w:t>
      </w:r>
      <w:r w:rsidR="00B82FDC" w:rsidRPr="008A7487">
        <w:rPr>
          <w:rFonts w:ascii="Times New Roman" w:hAnsi="Times New Roman" w:cs="Times New Roman"/>
          <w:sz w:val="24"/>
          <w:szCs w:val="24"/>
          <w:lang w:val="en-GB"/>
        </w:rPr>
        <w:t>2012</w:t>
      </w:r>
      <w:r w:rsidR="00065AF8">
        <w:rPr>
          <w:rFonts w:ascii="Times New Roman" w:hAnsi="Times New Roman" w:cs="Times New Roman"/>
          <w:sz w:val="24"/>
          <w:szCs w:val="24"/>
          <w:lang w:val="en-GB"/>
        </w:rPr>
        <w:t>)</w:t>
      </w:r>
      <w:r w:rsidRPr="008A7487">
        <w:rPr>
          <w:rFonts w:ascii="Times New Roman" w:hAnsi="Times New Roman" w:cs="Times New Roman"/>
          <w:sz w:val="24"/>
          <w:szCs w:val="24"/>
          <w:lang w:val="en-GB"/>
        </w:rPr>
        <w:t xml:space="preserve">. </w:t>
      </w:r>
      <w:r w:rsidRPr="008A7487">
        <w:rPr>
          <w:rFonts w:ascii="Times New Roman" w:hAnsi="Times New Roman" w:cs="Times New Roman"/>
          <w:sz w:val="24"/>
          <w:szCs w:val="24"/>
        </w:rPr>
        <w:t xml:space="preserve">How resilient and countercyclical were emerging economies during the global financial crisis? </w:t>
      </w:r>
      <w:r w:rsidRPr="008A7487">
        <w:rPr>
          <w:rFonts w:ascii="Times New Roman" w:hAnsi="Times New Roman" w:cs="Times New Roman"/>
          <w:i/>
          <w:sz w:val="24"/>
          <w:szCs w:val="24"/>
        </w:rPr>
        <w:t>Journal of International Money and Finance</w:t>
      </w:r>
      <w:r w:rsidRPr="008A7487">
        <w:rPr>
          <w:rFonts w:ascii="Times New Roman" w:hAnsi="Times New Roman" w:cs="Times New Roman"/>
          <w:sz w:val="24"/>
          <w:szCs w:val="24"/>
        </w:rPr>
        <w:t>, 31(8), 2052-2077.</w:t>
      </w:r>
    </w:p>
    <w:p w14:paraId="6D774DAF" w14:textId="2885FDC7" w:rsidR="00EA1463" w:rsidRPr="008A7487" w:rsidRDefault="00EA1463" w:rsidP="00412A38">
      <w:pPr>
        <w:autoSpaceDE w:val="0"/>
        <w:autoSpaceDN w:val="0"/>
        <w:adjustRightInd w:val="0"/>
        <w:spacing w:before="240" w:line="240" w:lineRule="auto"/>
        <w:jc w:val="both"/>
        <w:rPr>
          <w:rFonts w:ascii="Times New Roman" w:hAnsi="Times New Roman" w:cs="Times New Roman"/>
          <w:sz w:val="24"/>
          <w:szCs w:val="24"/>
        </w:rPr>
      </w:pPr>
      <w:r w:rsidRPr="008A7487">
        <w:rPr>
          <w:rFonts w:ascii="Times New Roman" w:hAnsi="Times New Roman" w:cs="Times New Roman"/>
          <w:sz w:val="24"/>
          <w:szCs w:val="24"/>
          <w:lang w:val="en-GB"/>
        </w:rPr>
        <w:t>Dietrich, A.</w:t>
      </w:r>
      <w:r w:rsidR="00C50AFC">
        <w:rPr>
          <w:rFonts w:ascii="Times New Roman" w:hAnsi="Times New Roman" w:cs="Times New Roman"/>
          <w:sz w:val="24"/>
          <w:szCs w:val="24"/>
          <w:lang w:val="en-GB"/>
        </w:rPr>
        <w:t>, &amp;</w:t>
      </w:r>
      <w:r w:rsidRPr="008A7487">
        <w:rPr>
          <w:rFonts w:ascii="Times New Roman" w:hAnsi="Times New Roman" w:cs="Times New Roman"/>
          <w:sz w:val="24"/>
          <w:szCs w:val="24"/>
          <w:lang w:val="en-GB"/>
        </w:rPr>
        <w:t xml:space="preserve"> Wanzenried G.</w:t>
      </w:r>
      <w:r w:rsidR="00065AF8">
        <w:rPr>
          <w:rFonts w:ascii="Times New Roman" w:hAnsi="Times New Roman" w:cs="Times New Roman"/>
          <w:sz w:val="24"/>
          <w:szCs w:val="24"/>
          <w:lang w:val="en-GB"/>
        </w:rPr>
        <w:t xml:space="preserve"> (</w:t>
      </w:r>
      <w:r w:rsidRPr="008A7487">
        <w:rPr>
          <w:rFonts w:ascii="Times New Roman" w:hAnsi="Times New Roman" w:cs="Times New Roman"/>
          <w:sz w:val="24"/>
          <w:szCs w:val="24"/>
          <w:lang w:val="en-GB"/>
        </w:rPr>
        <w:t>2011</w:t>
      </w:r>
      <w:r w:rsidR="00065AF8">
        <w:rPr>
          <w:rFonts w:ascii="Times New Roman" w:hAnsi="Times New Roman" w:cs="Times New Roman"/>
          <w:sz w:val="24"/>
          <w:szCs w:val="24"/>
          <w:lang w:val="en-GB"/>
        </w:rPr>
        <w:t>)</w:t>
      </w:r>
      <w:r w:rsidRPr="008A7487">
        <w:rPr>
          <w:rFonts w:ascii="Times New Roman" w:hAnsi="Times New Roman" w:cs="Times New Roman"/>
          <w:sz w:val="24"/>
          <w:szCs w:val="24"/>
          <w:lang w:val="en-GB"/>
        </w:rPr>
        <w:t xml:space="preserve">. </w:t>
      </w:r>
      <w:r w:rsidRPr="008A7487">
        <w:rPr>
          <w:rFonts w:ascii="Times New Roman" w:hAnsi="Times New Roman" w:cs="Times New Roman"/>
          <w:sz w:val="24"/>
          <w:szCs w:val="24"/>
        </w:rPr>
        <w:t xml:space="preserve">Determinants of bank profitability before and during the crisis: Evidence </w:t>
      </w:r>
      <w:r w:rsidRPr="008A7487">
        <w:rPr>
          <w:rFonts w:ascii="Times New Roman" w:hAnsi="Times New Roman" w:cs="Times New Roman"/>
          <w:sz w:val="24"/>
          <w:szCs w:val="24"/>
        </w:rPr>
        <w:lastRenderedPageBreak/>
        <w:t xml:space="preserve">from Switzerland. </w:t>
      </w:r>
      <w:r w:rsidRPr="008A7487">
        <w:rPr>
          <w:rFonts w:ascii="Times New Roman" w:hAnsi="Times New Roman" w:cs="Times New Roman"/>
          <w:i/>
          <w:sz w:val="24"/>
          <w:szCs w:val="24"/>
        </w:rPr>
        <w:t>Journal of International Financial Markets, Institutions and Money</w:t>
      </w:r>
      <w:r w:rsidR="00F430F1">
        <w:rPr>
          <w:rFonts w:ascii="Times New Roman" w:hAnsi="Times New Roman" w:cs="Times New Roman"/>
          <w:i/>
          <w:sz w:val="24"/>
          <w:szCs w:val="24"/>
        </w:rPr>
        <w:t>,</w:t>
      </w:r>
      <w:r w:rsidRPr="008A7487">
        <w:rPr>
          <w:rFonts w:ascii="Times New Roman" w:hAnsi="Times New Roman" w:cs="Times New Roman"/>
          <w:sz w:val="24"/>
          <w:szCs w:val="24"/>
        </w:rPr>
        <w:t xml:space="preserve"> 21(3), 307-327</w:t>
      </w:r>
    </w:p>
    <w:p w14:paraId="14EC1542" w14:textId="25CC2BEB" w:rsidR="00EA1463" w:rsidRPr="008A7487" w:rsidRDefault="00EA1463" w:rsidP="00412A38">
      <w:pPr>
        <w:spacing w:before="240" w:line="240" w:lineRule="auto"/>
        <w:jc w:val="both"/>
        <w:rPr>
          <w:rFonts w:ascii="Times New Roman" w:hAnsi="Times New Roman" w:cs="Times New Roman"/>
          <w:sz w:val="24"/>
          <w:szCs w:val="24"/>
        </w:rPr>
      </w:pPr>
      <w:r w:rsidRPr="008A7487">
        <w:rPr>
          <w:rFonts w:ascii="Times New Roman" w:hAnsi="Times New Roman" w:cs="Times New Roman"/>
          <w:sz w:val="24"/>
          <w:szCs w:val="24"/>
          <w:lang w:val="en-GB"/>
        </w:rPr>
        <w:t>Dietrich, A.</w:t>
      </w:r>
      <w:r w:rsidR="00C50AFC">
        <w:rPr>
          <w:rFonts w:ascii="Times New Roman" w:hAnsi="Times New Roman" w:cs="Times New Roman"/>
          <w:sz w:val="24"/>
          <w:szCs w:val="24"/>
          <w:lang w:val="en-GB"/>
        </w:rPr>
        <w:t>, &amp;</w:t>
      </w:r>
      <w:r w:rsidRPr="008A7487">
        <w:rPr>
          <w:rFonts w:ascii="Times New Roman" w:hAnsi="Times New Roman" w:cs="Times New Roman"/>
          <w:sz w:val="24"/>
          <w:szCs w:val="24"/>
          <w:lang w:val="en-GB"/>
        </w:rPr>
        <w:t xml:space="preserve"> Wanzenried, G. </w:t>
      </w:r>
      <w:r w:rsidR="00065AF8">
        <w:rPr>
          <w:rFonts w:ascii="Times New Roman" w:hAnsi="Times New Roman" w:cs="Times New Roman"/>
          <w:sz w:val="24"/>
          <w:szCs w:val="24"/>
          <w:lang w:val="en-GB"/>
        </w:rPr>
        <w:t>(</w:t>
      </w:r>
      <w:r w:rsidRPr="008A7487">
        <w:rPr>
          <w:rFonts w:ascii="Times New Roman" w:hAnsi="Times New Roman" w:cs="Times New Roman"/>
          <w:sz w:val="24"/>
          <w:szCs w:val="24"/>
          <w:lang w:val="en-GB"/>
        </w:rPr>
        <w:t>2014</w:t>
      </w:r>
      <w:r w:rsidR="00065AF8">
        <w:rPr>
          <w:rFonts w:ascii="Times New Roman" w:hAnsi="Times New Roman" w:cs="Times New Roman"/>
          <w:sz w:val="24"/>
          <w:szCs w:val="24"/>
          <w:lang w:val="en-GB"/>
        </w:rPr>
        <w:t>)</w:t>
      </w:r>
      <w:r w:rsidRPr="008A7487">
        <w:rPr>
          <w:rFonts w:ascii="Times New Roman" w:hAnsi="Times New Roman" w:cs="Times New Roman"/>
          <w:sz w:val="24"/>
          <w:szCs w:val="24"/>
          <w:lang w:val="en-GB"/>
        </w:rPr>
        <w:t xml:space="preserve">. </w:t>
      </w:r>
      <w:r w:rsidRPr="008A7487">
        <w:rPr>
          <w:rFonts w:ascii="Times New Roman" w:hAnsi="Times New Roman" w:cs="Times New Roman"/>
          <w:sz w:val="24"/>
          <w:szCs w:val="24"/>
        </w:rPr>
        <w:t xml:space="preserve">The determinants of commercial banking profitability in low-, middle-, and high-income countries. </w:t>
      </w:r>
      <w:r w:rsidRPr="008A7487">
        <w:rPr>
          <w:rFonts w:ascii="Times New Roman" w:hAnsi="Times New Roman" w:cs="Times New Roman"/>
          <w:i/>
          <w:iCs/>
          <w:sz w:val="24"/>
          <w:szCs w:val="24"/>
        </w:rPr>
        <w:t>The Quarterly Review of Economics and Finance</w:t>
      </w:r>
      <w:r w:rsidRPr="008A7487">
        <w:rPr>
          <w:rFonts w:ascii="Times New Roman" w:hAnsi="Times New Roman" w:cs="Times New Roman"/>
          <w:sz w:val="24"/>
          <w:szCs w:val="24"/>
        </w:rPr>
        <w:t xml:space="preserve">, </w:t>
      </w:r>
      <w:r w:rsidRPr="008A7487">
        <w:rPr>
          <w:rFonts w:ascii="Times New Roman" w:hAnsi="Times New Roman" w:cs="Times New Roman"/>
          <w:i/>
          <w:iCs/>
          <w:sz w:val="24"/>
          <w:szCs w:val="24"/>
        </w:rPr>
        <w:t>54</w:t>
      </w:r>
      <w:r w:rsidR="00C50AFC">
        <w:rPr>
          <w:rFonts w:ascii="Times New Roman" w:hAnsi="Times New Roman" w:cs="Times New Roman"/>
          <w:i/>
          <w:iCs/>
          <w:sz w:val="24"/>
          <w:szCs w:val="24"/>
        </w:rPr>
        <w:t xml:space="preserve"> </w:t>
      </w:r>
      <w:r w:rsidRPr="008A7487">
        <w:rPr>
          <w:rFonts w:ascii="Times New Roman" w:hAnsi="Times New Roman" w:cs="Times New Roman"/>
          <w:sz w:val="24"/>
          <w:szCs w:val="24"/>
        </w:rPr>
        <w:t>(</w:t>
      </w:r>
      <w:r w:rsidR="00C50AFC">
        <w:rPr>
          <w:rFonts w:ascii="Times New Roman" w:hAnsi="Times New Roman" w:cs="Times New Roman"/>
          <w:sz w:val="24"/>
          <w:szCs w:val="24"/>
        </w:rPr>
        <w:t xml:space="preserve">3), </w:t>
      </w:r>
      <w:r w:rsidRPr="008A7487">
        <w:rPr>
          <w:rFonts w:ascii="Times New Roman" w:hAnsi="Times New Roman" w:cs="Times New Roman"/>
          <w:sz w:val="24"/>
          <w:szCs w:val="24"/>
        </w:rPr>
        <w:t>337-354.</w:t>
      </w:r>
    </w:p>
    <w:p w14:paraId="0FF9BC88" w14:textId="7CE551AE" w:rsidR="005206D4" w:rsidRPr="008A7487" w:rsidRDefault="005206D4" w:rsidP="00412A38">
      <w:pPr>
        <w:spacing w:before="240" w:line="240" w:lineRule="auto"/>
        <w:jc w:val="both"/>
        <w:rPr>
          <w:rFonts w:ascii="Times New Roman" w:hAnsi="Times New Roman" w:cs="Times New Roman"/>
          <w:sz w:val="24"/>
          <w:szCs w:val="24"/>
        </w:rPr>
      </w:pPr>
      <w:r w:rsidRPr="008A7487">
        <w:rPr>
          <w:rFonts w:ascii="Times New Roman" w:hAnsi="Times New Roman" w:cs="Times New Roman"/>
          <w:sz w:val="24"/>
          <w:szCs w:val="24"/>
        </w:rPr>
        <w:t>Ekman, P., Had</w:t>
      </w:r>
      <w:r w:rsidR="00B82FDC" w:rsidRPr="008A7487">
        <w:rPr>
          <w:rFonts w:ascii="Times New Roman" w:hAnsi="Times New Roman" w:cs="Times New Roman"/>
          <w:sz w:val="24"/>
          <w:szCs w:val="24"/>
        </w:rPr>
        <w:t xml:space="preserve">jikhani, A. I., Pajuvirta, A., </w:t>
      </w:r>
      <w:r w:rsidR="00C50AFC">
        <w:rPr>
          <w:rFonts w:ascii="Times New Roman" w:hAnsi="Times New Roman" w:cs="Times New Roman"/>
          <w:sz w:val="24"/>
          <w:szCs w:val="24"/>
        </w:rPr>
        <w:t>&amp;</w:t>
      </w:r>
      <w:r w:rsidRPr="008A7487">
        <w:rPr>
          <w:rFonts w:ascii="Times New Roman" w:hAnsi="Times New Roman" w:cs="Times New Roman"/>
          <w:sz w:val="24"/>
          <w:szCs w:val="24"/>
        </w:rPr>
        <w:t xml:space="preserve"> Thilen</w:t>
      </w:r>
      <w:r w:rsidR="00B82FDC" w:rsidRPr="008A7487">
        <w:rPr>
          <w:rFonts w:ascii="Times New Roman" w:hAnsi="Times New Roman" w:cs="Times New Roman"/>
          <w:sz w:val="24"/>
          <w:szCs w:val="24"/>
        </w:rPr>
        <w:t xml:space="preserve">ius, P. </w:t>
      </w:r>
      <w:r w:rsidR="00065AF8">
        <w:rPr>
          <w:rFonts w:ascii="Times New Roman" w:hAnsi="Times New Roman" w:cs="Times New Roman"/>
          <w:sz w:val="24"/>
          <w:szCs w:val="24"/>
        </w:rPr>
        <w:t>(</w:t>
      </w:r>
      <w:r w:rsidR="00B82FDC" w:rsidRPr="008A7487">
        <w:rPr>
          <w:rFonts w:ascii="Times New Roman" w:hAnsi="Times New Roman" w:cs="Times New Roman"/>
          <w:sz w:val="24"/>
          <w:szCs w:val="24"/>
        </w:rPr>
        <w:t>2014</w:t>
      </w:r>
      <w:r w:rsidR="00065AF8">
        <w:rPr>
          <w:rFonts w:ascii="Times New Roman" w:hAnsi="Times New Roman" w:cs="Times New Roman"/>
          <w:sz w:val="24"/>
          <w:szCs w:val="24"/>
        </w:rPr>
        <w:t>)</w:t>
      </w:r>
      <w:r w:rsidRPr="008A7487">
        <w:rPr>
          <w:rFonts w:ascii="Times New Roman" w:hAnsi="Times New Roman" w:cs="Times New Roman"/>
          <w:sz w:val="24"/>
          <w:szCs w:val="24"/>
        </w:rPr>
        <w:t xml:space="preserve">. Tit for tat and big steps: The case of Swedish banks’ internationalization 1961–2010. </w:t>
      </w:r>
      <w:r w:rsidRPr="008A7487">
        <w:rPr>
          <w:rFonts w:ascii="Times New Roman" w:hAnsi="Times New Roman" w:cs="Times New Roman"/>
          <w:i/>
          <w:sz w:val="24"/>
          <w:szCs w:val="24"/>
        </w:rPr>
        <w:t>International Business Review</w:t>
      </w:r>
      <w:r w:rsidRPr="008A7487">
        <w:rPr>
          <w:rFonts w:ascii="Times New Roman" w:hAnsi="Times New Roman" w:cs="Times New Roman"/>
          <w:sz w:val="24"/>
          <w:szCs w:val="24"/>
        </w:rPr>
        <w:t>, 23(6), 1049-1063.</w:t>
      </w:r>
    </w:p>
    <w:p w14:paraId="3FF840FF" w14:textId="260F6F63" w:rsidR="00EA1463" w:rsidRPr="008A7487" w:rsidRDefault="00EA1463" w:rsidP="00412A38">
      <w:pPr>
        <w:spacing w:before="240" w:line="240" w:lineRule="auto"/>
        <w:jc w:val="both"/>
        <w:rPr>
          <w:rFonts w:ascii="Times New Roman" w:hAnsi="Times New Roman" w:cs="Times New Roman"/>
          <w:color w:val="000000"/>
          <w:sz w:val="24"/>
          <w:szCs w:val="24"/>
        </w:rPr>
      </w:pPr>
      <w:r w:rsidRPr="008A7487">
        <w:rPr>
          <w:rFonts w:ascii="Times New Roman" w:hAnsi="Times New Roman" w:cs="Times New Roman"/>
          <w:color w:val="000000"/>
          <w:sz w:val="24"/>
          <w:szCs w:val="24"/>
        </w:rPr>
        <w:t>Flamini, V., McDonald, C.</w:t>
      </w:r>
      <w:r w:rsidR="00C50AFC">
        <w:rPr>
          <w:rFonts w:ascii="Times New Roman" w:hAnsi="Times New Roman" w:cs="Times New Roman"/>
          <w:color w:val="000000"/>
          <w:sz w:val="24"/>
          <w:szCs w:val="24"/>
        </w:rPr>
        <w:t>,</w:t>
      </w:r>
      <w:r w:rsidRPr="008A7487">
        <w:rPr>
          <w:rFonts w:ascii="Times New Roman" w:hAnsi="Times New Roman" w:cs="Times New Roman"/>
          <w:color w:val="000000"/>
          <w:sz w:val="24"/>
          <w:szCs w:val="24"/>
        </w:rPr>
        <w:t xml:space="preserve"> </w:t>
      </w:r>
      <w:r w:rsidR="00C50AFC">
        <w:rPr>
          <w:rFonts w:ascii="Times New Roman" w:hAnsi="Times New Roman" w:cs="Times New Roman"/>
          <w:color w:val="000000"/>
          <w:sz w:val="24"/>
          <w:szCs w:val="24"/>
        </w:rPr>
        <w:t>&amp;</w:t>
      </w:r>
      <w:r w:rsidRPr="008A7487">
        <w:rPr>
          <w:rFonts w:ascii="Times New Roman" w:hAnsi="Times New Roman" w:cs="Times New Roman"/>
          <w:color w:val="000000"/>
          <w:sz w:val="24"/>
          <w:szCs w:val="24"/>
        </w:rPr>
        <w:t xml:space="preserve"> Schumacher, L. </w:t>
      </w:r>
      <w:r w:rsidR="00065AF8">
        <w:rPr>
          <w:rFonts w:ascii="Times New Roman" w:hAnsi="Times New Roman" w:cs="Times New Roman"/>
          <w:color w:val="000000"/>
          <w:sz w:val="24"/>
          <w:szCs w:val="24"/>
        </w:rPr>
        <w:t>(</w:t>
      </w:r>
      <w:r w:rsidRPr="008A7487">
        <w:rPr>
          <w:rFonts w:ascii="Times New Roman" w:hAnsi="Times New Roman" w:cs="Times New Roman"/>
          <w:color w:val="000000"/>
          <w:sz w:val="24"/>
          <w:szCs w:val="24"/>
        </w:rPr>
        <w:t>2009</w:t>
      </w:r>
      <w:r w:rsidR="00065AF8">
        <w:rPr>
          <w:rFonts w:ascii="Times New Roman" w:hAnsi="Times New Roman" w:cs="Times New Roman"/>
          <w:color w:val="000000"/>
          <w:sz w:val="24"/>
          <w:szCs w:val="24"/>
        </w:rPr>
        <w:t>)</w:t>
      </w:r>
      <w:r w:rsidRPr="008A7487">
        <w:rPr>
          <w:rFonts w:ascii="Times New Roman" w:hAnsi="Times New Roman" w:cs="Times New Roman"/>
          <w:color w:val="000000"/>
          <w:sz w:val="24"/>
          <w:szCs w:val="24"/>
        </w:rPr>
        <w:t xml:space="preserve">. The Determinants of </w:t>
      </w:r>
      <w:r w:rsidR="00C50AFC">
        <w:rPr>
          <w:rFonts w:ascii="Times New Roman" w:hAnsi="Times New Roman" w:cs="Times New Roman"/>
          <w:color w:val="000000"/>
          <w:sz w:val="24"/>
          <w:szCs w:val="24"/>
        </w:rPr>
        <w:t>commercial b</w:t>
      </w:r>
      <w:r w:rsidRPr="008A7487">
        <w:rPr>
          <w:rFonts w:ascii="Times New Roman" w:hAnsi="Times New Roman" w:cs="Times New Roman"/>
          <w:color w:val="000000"/>
          <w:sz w:val="24"/>
          <w:szCs w:val="24"/>
        </w:rPr>
        <w:t xml:space="preserve">ank </w:t>
      </w:r>
      <w:r w:rsidR="00C50AFC">
        <w:rPr>
          <w:rFonts w:ascii="Times New Roman" w:hAnsi="Times New Roman" w:cs="Times New Roman"/>
          <w:color w:val="000000"/>
          <w:sz w:val="24"/>
          <w:szCs w:val="24"/>
        </w:rPr>
        <w:t>p</w:t>
      </w:r>
      <w:r w:rsidRPr="008A7487">
        <w:rPr>
          <w:rFonts w:ascii="Times New Roman" w:hAnsi="Times New Roman" w:cs="Times New Roman"/>
          <w:color w:val="000000"/>
          <w:sz w:val="24"/>
          <w:szCs w:val="24"/>
        </w:rPr>
        <w:t xml:space="preserve">rofitability in Sub-Saharan Africa. </w:t>
      </w:r>
      <w:r w:rsidRPr="008A7487">
        <w:rPr>
          <w:rStyle w:val="Emphasis"/>
          <w:rFonts w:ascii="Times New Roman" w:hAnsi="Times New Roman" w:cs="Times New Roman"/>
          <w:color w:val="000000"/>
          <w:sz w:val="24"/>
          <w:szCs w:val="24"/>
        </w:rPr>
        <w:t>International Monetary Fund</w:t>
      </w:r>
      <w:r w:rsidRPr="008A7487">
        <w:rPr>
          <w:rFonts w:ascii="Times New Roman" w:hAnsi="Times New Roman" w:cs="Times New Roman"/>
          <w:color w:val="000000"/>
          <w:sz w:val="24"/>
          <w:szCs w:val="24"/>
        </w:rPr>
        <w:t xml:space="preserve">. </w:t>
      </w:r>
      <w:r w:rsidR="00C50AFC">
        <w:rPr>
          <w:rFonts w:ascii="Times New Roman" w:hAnsi="Times New Roman" w:cs="Times New Roman"/>
          <w:color w:val="000000"/>
          <w:sz w:val="24"/>
          <w:szCs w:val="24"/>
        </w:rPr>
        <w:t xml:space="preserve">IMF Working Paper, GP/09/15, </w:t>
      </w:r>
      <w:r w:rsidRPr="008A7487">
        <w:rPr>
          <w:rFonts w:ascii="Times New Roman" w:hAnsi="Times New Roman" w:cs="Times New Roman"/>
          <w:color w:val="000000"/>
          <w:sz w:val="24"/>
          <w:szCs w:val="24"/>
        </w:rPr>
        <w:t>1-30.</w:t>
      </w:r>
    </w:p>
    <w:p w14:paraId="31E23D12" w14:textId="339E7F63" w:rsidR="00EA1463" w:rsidRPr="008A7487" w:rsidRDefault="00EA1463" w:rsidP="00412A38">
      <w:pPr>
        <w:spacing w:before="240" w:line="240" w:lineRule="auto"/>
        <w:jc w:val="both"/>
        <w:rPr>
          <w:rFonts w:ascii="Times New Roman" w:hAnsi="Times New Roman" w:cs="Times New Roman"/>
          <w:sz w:val="24"/>
          <w:szCs w:val="24"/>
        </w:rPr>
      </w:pPr>
      <w:r w:rsidRPr="008A7487">
        <w:rPr>
          <w:rFonts w:ascii="Times New Roman" w:hAnsi="Times New Roman" w:cs="Times New Roman"/>
          <w:sz w:val="24"/>
          <w:szCs w:val="24"/>
        </w:rPr>
        <w:t xml:space="preserve">Fosu, S., </w:t>
      </w:r>
      <w:r w:rsidR="00065AF8">
        <w:rPr>
          <w:rFonts w:ascii="Times New Roman" w:hAnsi="Times New Roman" w:cs="Times New Roman"/>
          <w:sz w:val="24"/>
          <w:szCs w:val="24"/>
        </w:rPr>
        <w:t>(</w:t>
      </w:r>
      <w:r w:rsidRPr="008A7487">
        <w:rPr>
          <w:rFonts w:ascii="Times New Roman" w:hAnsi="Times New Roman" w:cs="Times New Roman"/>
          <w:sz w:val="24"/>
          <w:szCs w:val="24"/>
        </w:rPr>
        <w:t>2013</w:t>
      </w:r>
      <w:r w:rsidR="00065AF8">
        <w:rPr>
          <w:rFonts w:ascii="Times New Roman" w:hAnsi="Times New Roman" w:cs="Times New Roman"/>
          <w:sz w:val="24"/>
          <w:szCs w:val="24"/>
        </w:rPr>
        <w:t>)</w:t>
      </w:r>
      <w:r w:rsidRPr="008A7487">
        <w:rPr>
          <w:rFonts w:ascii="Times New Roman" w:hAnsi="Times New Roman" w:cs="Times New Roman"/>
          <w:sz w:val="24"/>
          <w:szCs w:val="24"/>
        </w:rPr>
        <w:t>. Banking competition in Africa: Sub</w:t>
      </w:r>
      <w:r w:rsidR="00C50AFC">
        <w:rPr>
          <w:rFonts w:ascii="Times New Roman" w:hAnsi="Times New Roman" w:cs="Times New Roman"/>
          <w:sz w:val="24"/>
          <w:szCs w:val="24"/>
        </w:rPr>
        <w:t>-</w:t>
      </w:r>
      <w:r w:rsidRPr="008A7487">
        <w:rPr>
          <w:rFonts w:ascii="Times New Roman" w:hAnsi="Times New Roman" w:cs="Times New Roman"/>
          <w:sz w:val="24"/>
          <w:szCs w:val="24"/>
        </w:rPr>
        <w:t xml:space="preserve">regional comparative studies. </w:t>
      </w:r>
      <w:r w:rsidRPr="008A7487">
        <w:rPr>
          <w:rFonts w:ascii="Times New Roman" w:hAnsi="Times New Roman" w:cs="Times New Roman"/>
          <w:i/>
          <w:iCs/>
          <w:sz w:val="24"/>
          <w:szCs w:val="24"/>
        </w:rPr>
        <w:t>Emerging Markets Review</w:t>
      </w:r>
      <w:r w:rsidRPr="008A7487">
        <w:rPr>
          <w:rFonts w:ascii="Times New Roman" w:hAnsi="Times New Roman" w:cs="Times New Roman"/>
          <w:sz w:val="24"/>
          <w:szCs w:val="24"/>
        </w:rPr>
        <w:t xml:space="preserve">, </w:t>
      </w:r>
      <w:r w:rsidRPr="008A7487">
        <w:rPr>
          <w:rFonts w:ascii="Times New Roman" w:hAnsi="Times New Roman" w:cs="Times New Roman"/>
          <w:i/>
          <w:iCs/>
          <w:sz w:val="24"/>
          <w:szCs w:val="24"/>
        </w:rPr>
        <w:t>15</w:t>
      </w:r>
      <w:r w:rsidR="00C50AFC">
        <w:rPr>
          <w:rFonts w:ascii="Times New Roman" w:hAnsi="Times New Roman" w:cs="Times New Roman"/>
          <w:sz w:val="24"/>
          <w:szCs w:val="24"/>
        </w:rPr>
        <w:t xml:space="preserve">, </w:t>
      </w:r>
      <w:r w:rsidRPr="008A7487">
        <w:rPr>
          <w:rFonts w:ascii="Times New Roman" w:hAnsi="Times New Roman" w:cs="Times New Roman"/>
          <w:sz w:val="24"/>
          <w:szCs w:val="24"/>
        </w:rPr>
        <w:t>233-254.</w:t>
      </w:r>
    </w:p>
    <w:p w14:paraId="74216BF2" w14:textId="1483E391" w:rsidR="009E32FD" w:rsidRPr="008A7487" w:rsidRDefault="00B82FDC" w:rsidP="00412A38">
      <w:pPr>
        <w:spacing w:before="240" w:line="240" w:lineRule="auto"/>
        <w:jc w:val="both"/>
        <w:rPr>
          <w:rFonts w:ascii="Times New Roman" w:hAnsi="Times New Roman" w:cs="Times New Roman"/>
          <w:sz w:val="24"/>
          <w:szCs w:val="24"/>
        </w:rPr>
      </w:pPr>
      <w:r w:rsidRPr="008A7487">
        <w:rPr>
          <w:rFonts w:ascii="Times New Roman" w:hAnsi="Times New Roman" w:cs="Times New Roman"/>
          <w:sz w:val="24"/>
          <w:szCs w:val="24"/>
        </w:rPr>
        <w:lastRenderedPageBreak/>
        <w:t xml:space="preserve">Ghosh, S. </w:t>
      </w:r>
      <w:r w:rsidR="00065AF8">
        <w:rPr>
          <w:rFonts w:ascii="Times New Roman" w:hAnsi="Times New Roman" w:cs="Times New Roman"/>
          <w:sz w:val="24"/>
          <w:szCs w:val="24"/>
        </w:rPr>
        <w:t>(</w:t>
      </w:r>
      <w:r w:rsidRPr="008A7487">
        <w:rPr>
          <w:rFonts w:ascii="Times New Roman" w:hAnsi="Times New Roman" w:cs="Times New Roman"/>
          <w:sz w:val="24"/>
          <w:szCs w:val="24"/>
        </w:rPr>
        <w:t>2016</w:t>
      </w:r>
      <w:r w:rsidR="00065AF8">
        <w:rPr>
          <w:rFonts w:ascii="Times New Roman" w:hAnsi="Times New Roman" w:cs="Times New Roman"/>
          <w:sz w:val="24"/>
          <w:szCs w:val="24"/>
        </w:rPr>
        <w:t>)</w:t>
      </w:r>
      <w:r w:rsidR="009E32FD" w:rsidRPr="008A7487">
        <w:rPr>
          <w:rFonts w:ascii="Times New Roman" w:hAnsi="Times New Roman" w:cs="Times New Roman"/>
          <w:sz w:val="24"/>
          <w:szCs w:val="24"/>
        </w:rPr>
        <w:t>. Political transition and bank performance: how</w:t>
      </w:r>
      <w:r w:rsidR="00C50AFC">
        <w:rPr>
          <w:rFonts w:ascii="Times New Roman" w:hAnsi="Times New Roman" w:cs="Times New Roman"/>
          <w:sz w:val="24"/>
          <w:szCs w:val="24"/>
        </w:rPr>
        <w:t xml:space="preserve"> important was the Arab Spring?</w:t>
      </w:r>
      <w:r w:rsidR="009E32FD" w:rsidRPr="008A7487">
        <w:rPr>
          <w:rFonts w:ascii="Times New Roman" w:hAnsi="Times New Roman" w:cs="Times New Roman"/>
          <w:sz w:val="24"/>
          <w:szCs w:val="24"/>
        </w:rPr>
        <w:t xml:space="preserve"> </w:t>
      </w:r>
      <w:r w:rsidR="009E32FD" w:rsidRPr="008A7487">
        <w:rPr>
          <w:rFonts w:ascii="Times New Roman" w:hAnsi="Times New Roman" w:cs="Times New Roman"/>
          <w:i/>
          <w:sz w:val="24"/>
          <w:szCs w:val="24"/>
        </w:rPr>
        <w:t>Journal of Comparative Economics</w:t>
      </w:r>
      <w:r w:rsidR="009E32FD" w:rsidRPr="008A7487">
        <w:rPr>
          <w:rFonts w:ascii="Times New Roman" w:hAnsi="Times New Roman" w:cs="Times New Roman"/>
          <w:sz w:val="24"/>
          <w:szCs w:val="24"/>
        </w:rPr>
        <w:t>, 44</w:t>
      </w:r>
      <w:r w:rsidR="00C50AFC">
        <w:rPr>
          <w:rFonts w:ascii="Times New Roman" w:hAnsi="Times New Roman" w:cs="Times New Roman"/>
          <w:sz w:val="24"/>
          <w:szCs w:val="24"/>
        </w:rPr>
        <w:t xml:space="preserve"> </w:t>
      </w:r>
      <w:r w:rsidR="009E32FD" w:rsidRPr="008A7487">
        <w:rPr>
          <w:rFonts w:ascii="Times New Roman" w:hAnsi="Times New Roman" w:cs="Times New Roman"/>
          <w:sz w:val="24"/>
          <w:szCs w:val="24"/>
        </w:rPr>
        <w:t>(2), 372-382.</w:t>
      </w:r>
    </w:p>
    <w:p w14:paraId="4F4DAB7D" w14:textId="0C8140E7" w:rsidR="00EA1463" w:rsidRPr="008A7487" w:rsidRDefault="00EA1463" w:rsidP="00412A38">
      <w:pPr>
        <w:spacing w:before="240" w:line="240" w:lineRule="auto"/>
        <w:jc w:val="both"/>
        <w:rPr>
          <w:rFonts w:ascii="Times New Roman" w:hAnsi="Times New Roman" w:cs="Times New Roman"/>
          <w:color w:val="000000"/>
          <w:sz w:val="24"/>
          <w:szCs w:val="24"/>
        </w:rPr>
      </w:pPr>
      <w:r w:rsidRPr="008A7487">
        <w:rPr>
          <w:rFonts w:ascii="Times New Roman" w:hAnsi="Times New Roman" w:cs="Times New Roman"/>
          <w:color w:val="000000"/>
          <w:sz w:val="24"/>
          <w:szCs w:val="24"/>
        </w:rPr>
        <w:t>Goddard, J., Liu, H., Molyneux, P.</w:t>
      </w:r>
      <w:r w:rsidR="00E827A4">
        <w:rPr>
          <w:rFonts w:ascii="Times New Roman" w:hAnsi="Times New Roman" w:cs="Times New Roman"/>
          <w:color w:val="000000"/>
          <w:sz w:val="24"/>
          <w:szCs w:val="24"/>
        </w:rPr>
        <w:t>,</w:t>
      </w:r>
      <w:r w:rsidRPr="008A7487">
        <w:rPr>
          <w:rFonts w:ascii="Times New Roman" w:hAnsi="Times New Roman" w:cs="Times New Roman"/>
          <w:color w:val="000000"/>
          <w:sz w:val="24"/>
          <w:szCs w:val="24"/>
        </w:rPr>
        <w:t xml:space="preserve"> </w:t>
      </w:r>
      <w:r w:rsidR="00E827A4">
        <w:rPr>
          <w:rFonts w:ascii="Times New Roman" w:hAnsi="Times New Roman" w:cs="Times New Roman"/>
          <w:color w:val="000000"/>
          <w:sz w:val="24"/>
          <w:szCs w:val="24"/>
        </w:rPr>
        <w:t>&amp;</w:t>
      </w:r>
      <w:r w:rsidRPr="008A7487">
        <w:rPr>
          <w:rFonts w:ascii="Times New Roman" w:hAnsi="Times New Roman" w:cs="Times New Roman"/>
          <w:color w:val="000000"/>
          <w:sz w:val="24"/>
          <w:szCs w:val="24"/>
        </w:rPr>
        <w:t xml:space="preserve"> Wilson, J.O.S. </w:t>
      </w:r>
      <w:r w:rsidR="00065AF8">
        <w:rPr>
          <w:rFonts w:ascii="Times New Roman" w:hAnsi="Times New Roman" w:cs="Times New Roman"/>
          <w:color w:val="000000"/>
          <w:sz w:val="24"/>
          <w:szCs w:val="24"/>
        </w:rPr>
        <w:t>(</w:t>
      </w:r>
      <w:r w:rsidRPr="008A7487">
        <w:rPr>
          <w:rFonts w:ascii="Times New Roman" w:hAnsi="Times New Roman" w:cs="Times New Roman"/>
          <w:color w:val="000000"/>
          <w:sz w:val="24"/>
          <w:szCs w:val="24"/>
        </w:rPr>
        <w:t>2011</w:t>
      </w:r>
      <w:r w:rsidR="00065AF8">
        <w:rPr>
          <w:rFonts w:ascii="Times New Roman" w:hAnsi="Times New Roman" w:cs="Times New Roman"/>
          <w:color w:val="000000"/>
          <w:sz w:val="24"/>
          <w:szCs w:val="24"/>
        </w:rPr>
        <w:t>)</w:t>
      </w:r>
      <w:r w:rsidRPr="008A7487">
        <w:rPr>
          <w:rFonts w:ascii="Times New Roman" w:hAnsi="Times New Roman" w:cs="Times New Roman"/>
          <w:color w:val="000000"/>
          <w:sz w:val="24"/>
          <w:szCs w:val="24"/>
        </w:rPr>
        <w:t xml:space="preserve">. The </w:t>
      </w:r>
      <w:r w:rsidR="00E827A4">
        <w:rPr>
          <w:rFonts w:ascii="Times New Roman" w:hAnsi="Times New Roman" w:cs="Times New Roman"/>
          <w:color w:val="000000"/>
          <w:sz w:val="24"/>
          <w:szCs w:val="24"/>
        </w:rPr>
        <w:t>p</w:t>
      </w:r>
      <w:r w:rsidRPr="008A7487">
        <w:rPr>
          <w:rFonts w:ascii="Times New Roman" w:hAnsi="Times New Roman" w:cs="Times New Roman"/>
          <w:color w:val="000000"/>
          <w:sz w:val="24"/>
          <w:szCs w:val="24"/>
        </w:rPr>
        <w:t xml:space="preserve">ersistence of </w:t>
      </w:r>
      <w:r w:rsidR="00E827A4">
        <w:rPr>
          <w:rFonts w:ascii="Times New Roman" w:hAnsi="Times New Roman" w:cs="Times New Roman"/>
          <w:color w:val="000000"/>
          <w:sz w:val="24"/>
          <w:szCs w:val="24"/>
        </w:rPr>
        <w:t>b</w:t>
      </w:r>
      <w:r w:rsidRPr="008A7487">
        <w:rPr>
          <w:rFonts w:ascii="Times New Roman" w:hAnsi="Times New Roman" w:cs="Times New Roman"/>
          <w:color w:val="000000"/>
          <w:sz w:val="24"/>
          <w:szCs w:val="24"/>
        </w:rPr>
        <w:t xml:space="preserve">ank </w:t>
      </w:r>
      <w:r w:rsidR="00E827A4">
        <w:rPr>
          <w:rFonts w:ascii="Times New Roman" w:hAnsi="Times New Roman" w:cs="Times New Roman"/>
          <w:color w:val="000000"/>
          <w:sz w:val="24"/>
          <w:szCs w:val="24"/>
        </w:rPr>
        <w:t>p</w:t>
      </w:r>
      <w:r w:rsidRPr="008A7487">
        <w:rPr>
          <w:rFonts w:ascii="Times New Roman" w:hAnsi="Times New Roman" w:cs="Times New Roman"/>
          <w:color w:val="000000"/>
          <w:sz w:val="24"/>
          <w:szCs w:val="24"/>
        </w:rPr>
        <w:t xml:space="preserve">rofit. </w:t>
      </w:r>
      <w:r w:rsidRPr="008A7487">
        <w:rPr>
          <w:rFonts w:ascii="Times New Roman" w:hAnsi="Times New Roman" w:cs="Times New Roman"/>
          <w:i/>
          <w:color w:val="000000"/>
          <w:sz w:val="24"/>
          <w:szCs w:val="24"/>
        </w:rPr>
        <w:t>Journal of Banking and Finance</w:t>
      </w:r>
      <w:r w:rsidR="00F430F1">
        <w:rPr>
          <w:rFonts w:ascii="Times New Roman" w:hAnsi="Times New Roman" w:cs="Times New Roman"/>
          <w:i/>
          <w:color w:val="000000"/>
          <w:sz w:val="24"/>
          <w:szCs w:val="24"/>
        </w:rPr>
        <w:t>,</w:t>
      </w:r>
      <w:r w:rsidRPr="008A7487">
        <w:rPr>
          <w:rFonts w:ascii="Times New Roman" w:hAnsi="Times New Roman" w:cs="Times New Roman"/>
          <w:i/>
          <w:color w:val="000000"/>
          <w:sz w:val="24"/>
          <w:szCs w:val="24"/>
        </w:rPr>
        <w:t xml:space="preserve"> 35 (11), 2881-2890.</w:t>
      </w:r>
    </w:p>
    <w:p w14:paraId="71B8ACFA" w14:textId="3C1D6A1D" w:rsidR="00EA1463" w:rsidRPr="008A7487" w:rsidRDefault="00EA1463" w:rsidP="00412A38">
      <w:pPr>
        <w:spacing w:before="240" w:line="240" w:lineRule="auto"/>
        <w:jc w:val="both"/>
        <w:rPr>
          <w:rFonts w:ascii="Times New Roman" w:hAnsi="Times New Roman" w:cs="Times New Roman"/>
          <w:color w:val="000000"/>
          <w:sz w:val="24"/>
          <w:szCs w:val="24"/>
        </w:rPr>
      </w:pPr>
      <w:r w:rsidRPr="008A7487">
        <w:rPr>
          <w:rFonts w:ascii="Times New Roman" w:hAnsi="Times New Roman" w:cs="Times New Roman"/>
          <w:color w:val="000000"/>
          <w:sz w:val="24"/>
          <w:szCs w:val="24"/>
        </w:rPr>
        <w:t>Goddard, J., Molyneux, P.</w:t>
      </w:r>
      <w:r w:rsidR="00E827A4">
        <w:rPr>
          <w:rFonts w:ascii="Times New Roman" w:hAnsi="Times New Roman" w:cs="Times New Roman"/>
          <w:color w:val="000000"/>
          <w:sz w:val="24"/>
          <w:szCs w:val="24"/>
        </w:rPr>
        <w:t>,</w:t>
      </w:r>
      <w:r w:rsidRPr="008A7487">
        <w:rPr>
          <w:rFonts w:ascii="Times New Roman" w:hAnsi="Times New Roman" w:cs="Times New Roman"/>
          <w:color w:val="000000"/>
          <w:sz w:val="24"/>
          <w:szCs w:val="24"/>
        </w:rPr>
        <w:t xml:space="preserve"> </w:t>
      </w:r>
      <w:r w:rsidR="00E827A4">
        <w:rPr>
          <w:rFonts w:ascii="Times New Roman" w:hAnsi="Times New Roman" w:cs="Times New Roman"/>
          <w:color w:val="000000"/>
          <w:sz w:val="24"/>
          <w:szCs w:val="24"/>
        </w:rPr>
        <w:t>&amp;</w:t>
      </w:r>
      <w:r w:rsidRPr="008A7487">
        <w:rPr>
          <w:rFonts w:ascii="Times New Roman" w:hAnsi="Times New Roman" w:cs="Times New Roman"/>
          <w:color w:val="000000"/>
          <w:sz w:val="24"/>
          <w:szCs w:val="24"/>
        </w:rPr>
        <w:t xml:space="preserve"> Wilso</w:t>
      </w:r>
      <w:r w:rsidR="00E827A4">
        <w:rPr>
          <w:rFonts w:ascii="Times New Roman" w:hAnsi="Times New Roman" w:cs="Times New Roman"/>
          <w:color w:val="000000"/>
          <w:sz w:val="24"/>
          <w:szCs w:val="24"/>
        </w:rPr>
        <w:t xml:space="preserve">n, J. O. S. </w:t>
      </w:r>
      <w:r w:rsidR="00065AF8">
        <w:rPr>
          <w:rFonts w:ascii="Times New Roman" w:hAnsi="Times New Roman" w:cs="Times New Roman"/>
          <w:color w:val="000000"/>
          <w:sz w:val="24"/>
          <w:szCs w:val="24"/>
        </w:rPr>
        <w:t>(</w:t>
      </w:r>
      <w:r w:rsidR="00E827A4">
        <w:rPr>
          <w:rFonts w:ascii="Times New Roman" w:hAnsi="Times New Roman" w:cs="Times New Roman"/>
          <w:color w:val="000000"/>
          <w:sz w:val="24"/>
          <w:szCs w:val="24"/>
        </w:rPr>
        <w:t>2004</w:t>
      </w:r>
      <w:r w:rsidR="00065AF8">
        <w:rPr>
          <w:rFonts w:ascii="Times New Roman" w:hAnsi="Times New Roman" w:cs="Times New Roman"/>
          <w:color w:val="000000"/>
          <w:sz w:val="24"/>
          <w:szCs w:val="24"/>
        </w:rPr>
        <w:t>)</w:t>
      </w:r>
      <w:r w:rsidR="00E827A4">
        <w:rPr>
          <w:rFonts w:ascii="Times New Roman" w:hAnsi="Times New Roman" w:cs="Times New Roman"/>
          <w:color w:val="000000"/>
          <w:sz w:val="24"/>
          <w:szCs w:val="24"/>
        </w:rPr>
        <w:t>.  Dynamics of growth and profitability in b</w:t>
      </w:r>
      <w:r w:rsidRPr="008A7487">
        <w:rPr>
          <w:rFonts w:ascii="Times New Roman" w:hAnsi="Times New Roman" w:cs="Times New Roman"/>
          <w:color w:val="000000"/>
          <w:sz w:val="24"/>
          <w:szCs w:val="24"/>
        </w:rPr>
        <w:t xml:space="preserve">anking. </w:t>
      </w:r>
      <w:r w:rsidRPr="008A7487">
        <w:rPr>
          <w:rFonts w:ascii="Times New Roman" w:hAnsi="Times New Roman" w:cs="Times New Roman"/>
          <w:i/>
          <w:color w:val="000000"/>
          <w:sz w:val="24"/>
          <w:szCs w:val="24"/>
        </w:rPr>
        <w:t>Journal of Money, Credit and Banking</w:t>
      </w:r>
      <w:r w:rsidR="00F430F1">
        <w:rPr>
          <w:rFonts w:ascii="Times New Roman" w:hAnsi="Times New Roman" w:cs="Times New Roman"/>
          <w:i/>
          <w:color w:val="000000"/>
          <w:sz w:val="24"/>
          <w:szCs w:val="24"/>
        </w:rPr>
        <w:t>,</w:t>
      </w:r>
      <w:r w:rsidRPr="008A7487">
        <w:rPr>
          <w:rFonts w:ascii="Times New Roman" w:hAnsi="Times New Roman" w:cs="Times New Roman"/>
          <w:i/>
          <w:color w:val="000000"/>
          <w:sz w:val="24"/>
          <w:szCs w:val="24"/>
        </w:rPr>
        <w:t xml:space="preserve"> </w:t>
      </w:r>
      <w:r w:rsidR="00E827A4">
        <w:rPr>
          <w:rFonts w:ascii="Times New Roman" w:hAnsi="Times New Roman" w:cs="Times New Roman"/>
          <w:color w:val="000000"/>
          <w:sz w:val="24"/>
          <w:szCs w:val="24"/>
        </w:rPr>
        <w:t>6 (36),</w:t>
      </w:r>
      <w:r w:rsidRPr="008A7487">
        <w:rPr>
          <w:rFonts w:ascii="Times New Roman" w:hAnsi="Times New Roman" w:cs="Times New Roman"/>
          <w:color w:val="000000"/>
          <w:sz w:val="24"/>
          <w:szCs w:val="24"/>
        </w:rPr>
        <w:t>1069-1090.</w:t>
      </w:r>
    </w:p>
    <w:p w14:paraId="1E31EA29" w14:textId="548309DF" w:rsidR="00E9550D" w:rsidRPr="008A7487" w:rsidRDefault="00B82FDC" w:rsidP="00412A38">
      <w:pPr>
        <w:spacing w:before="240" w:line="240" w:lineRule="auto"/>
        <w:jc w:val="both"/>
        <w:rPr>
          <w:rFonts w:ascii="Times New Roman" w:hAnsi="Times New Roman" w:cs="Times New Roman"/>
          <w:color w:val="000000"/>
          <w:sz w:val="24"/>
          <w:szCs w:val="24"/>
        </w:rPr>
      </w:pPr>
      <w:r w:rsidRPr="008A7487">
        <w:rPr>
          <w:rFonts w:ascii="Times New Roman" w:hAnsi="Times New Roman" w:cs="Times New Roman"/>
          <w:color w:val="000000"/>
          <w:sz w:val="24"/>
          <w:szCs w:val="24"/>
        </w:rPr>
        <w:t xml:space="preserve">Haas, R., </w:t>
      </w:r>
      <w:r w:rsidR="00E827A4">
        <w:rPr>
          <w:rFonts w:ascii="Times New Roman" w:hAnsi="Times New Roman" w:cs="Times New Roman"/>
          <w:color w:val="000000"/>
          <w:sz w:val="24"/>
          <w:szCs w:val="24"/>
        </w:rPr>
        <w:t>&amp;</w:t>
      </w:r>
      <w:r w:rsidRPr="008A7487">
        <w:rPr>
          <w:rFonts w:ascii="Times New Roman" w:hAnsi="Times New Roman" w:cs="Times New Roman"/>
          <w:color w:val="000000"/>
          <w:sz w:val="24"/>
          <w:szCs w:val="24"/>
        </w:rPr>
        <w:t xml:space="preserve"> Lelyveld, I. </w:t>
      </w:r>
      <w:r w:rsidR="00065AF8">
        <w:rPr>
          <w:rFonts w:ascii="Times New Roman" w:hAnsi="Times New Roman" w:cs="Times New Roman"/>
          <w:color w:val="000000"/>
          <w:sz w:val="24"/>
          <w:szCs w:val="24"/>
        </w:rPr>
        <w:t>(</w:t>
      </w:r>
      <w:r w:rsidRPr="008A7487">
        <w:rPr>
          <w:rFonts w:ascii="Times New Roman" w:hAnsi="Times New Roman" w:cs="Times New Roman"/>
          <w:color w:val="000000"/>
          <w:sz w:val="24"/>
          <w:szCs w:val="24"/>
        </w:rPr>
        <w:t>2014</w:t>
      </w:r>
      <w:r w:rsidR="00065AF8">
        <w:rPr>
          <w:rFonts w:ascii="Times New Roman" w:hAnsi="Times New Roman" w:cs="Times New Roman"/>
          <w:color w:val="000000"/>
          <w:sz w:val="24"/>
          <w:szCs w:val="24"/>
        </w:rPr>
        <w:t>)</w:t>
      </w:r>
      <w:r w:rsidR="00E9550D" w:rsidRPr="008A7487">
        <w:rPr>
          <w:rFonts w:ascii="Times New Roman" w:hAnsi="Times New Roman" w:cs="Times New Roman"/>
          <w:color w:val="000000"/>
          <w:sz w:val="24"/>
          <w:szCs w:val="24"/>
        </w:rPr>
        <w:t xml:space="preserve">. Multinational banks and the global financial crisis: Weathering the perfect storm? </w:t>
      </w:r>
      <w:r w:rsidR="00E9550D" w:rsidRPr="008A7487">
        <w:rPr>
          <w:rFonts w:ascii="Times New Roman" w:hAnsi="Times New Roman" w:cs="Times New Roman"/>
          <w:i/>
          <w:color w:val="000000"/>
          <w:sz w:val="24"/>
          <w:szCs w:val="24"/>
        </w:rPr>
        <w:t>Journal of Money, Credit and Banking</w:t>
      </w:r>
      <w:r w:rsidR="00E9550D" w:rsidRPr="008A7487">
        <w:rPr>
          <w:rFonts w:ascii="Times New Roman" w:hAnsi="Times New Roman" w:cs="Times New Roman"/>
          <w:color w:val="000000"/>
          <w:sz w:val="24"/>
          <w:szCs w:val="24"/>
        </w:rPr>
        <w:t>, 46</w:t>
      </w:r>
      <w:r w:rsidR="00E827A4">
        <w:rPr>
          <w:rFonts w:ascii="Times New Roman" w:hAnsi="Times New Roman" w:cs="Times New Roman"/>
          <w:color w:val="000000"/>
          <w:sz w:val="24"/>
          <w:szCs w:val="24"/>
        </w:rPr>
        <w:t xml:space="preserve"> </w:t>
      </w:r>
      <w:r w:rsidR="00E9550D" w:rsidRPr="008A7487">
        <w:rPr>
          <w:rFonts w:ascii="Times New Roman" w:hAnsi="Times New Roman" w:cs="Times New Roman"/>
          <w:color w:val="000000"/>
          <w:sz w:val="24"/>
          <w:szCs w:val="24"/>
        </w:rPr>
        <w:t>(s1), 333-364.</w:t>
      </w:r>
    </w:p>
    <w:p w14:paraId="54D0F977" w14:textId="6CA7A8A6" w:rsidR="007E0073" w:rsidRPr="008A7487" w:rsidRDefault="00B82FDC" w:rsidP="00412A38">
      <w:pPr>
        <w:spacing w:before="240" w:line="240" w:lineRule="auto"/>
        <w:jc w:val="both"/>
        <w:rPr>
          <w:rFonts w:ascii="Times New Roman" w:hAnsi="Times New Roman" w:cs="Times New Roman"/>
          <w:color w:val="000000"/>
          <w:sz w:val="24"/>
          <w:szCs w:val="24"/>
        </w:rPr>
      </w:pPr>
      <w:r w:rsidRPr="008A7487">
        <w:rPr>
          <w:rFonts w:ascii="Times New Roman" w:hAnsi="Times New Roman" w:cs="Times New Roman"/>
          <w:color w:val="000000"/>
          <w:sz w:val="24"/>
          <w:szCs w:val="24"/>
          <w:lang w:val="en-GB"/>
        </w:rPr>
        <w:t xml:space="preserve">Habib, M., </w:t>
      </w:r>
      <w:r w:rsidR="00E827A4">
        <w:rPr>
          <w:rFonts w:ascii="Times New Roman" w:hAnsi="Times New Roman" w:cs="Times New Roman"/>
          <w:color w:val="000000"/>
          <w:sz w:val="24"/>
          <w:szCs w:val="24"/>
          <w:lang w:val="en-GB"/>
        </w:rPr>
        <w:t>&amp;</w:t>
      </w:r>
      <w:r w:rsidRPr="008A7487">
        <w:rPr>
          <w:rFonts w:ascii="Times New Roman" w:hAnsi="Times New Roman" w:cs="Times New Roman"/>
          <w:color w:val="000000"/>
          <w:sz w:val="24"/>
          <w:szCs w:val="24"/>
          <w:lang w:val="en-GB"/>
        </w:rPr>
        <w:t xml:space="preserve"> Zurawicki, L. </w:t>
      </w:r>
      <w:r w:rsidR="00065AF8">
        <w:rPr>
          <w:rFonts w:ascii="Times New Roman" w:hAnsi="Times New Roman" w:cs="Times New Roman"/>
          <w:color w:val="000000"/>
          <w:sz w:val="24"/>
          <w:szCs w:val="24"/>
          <w:lang w:val="en-GB"/>
        </w:rPr>
        <w:t>(</w:t>
      </w:r>
      <w:r w:rsidRPr="008A7487">
        <w:rPr>
          <w:rFonts w:ascii="Times New Roman" w:hAnsi="Times New Roman" w:cs="Times New Roman"/>
          <w:color w:val="000000"/>
          <w:sz w:val="24"/>
          <w:szCs w:val="24"/>
          <w:lang w:val="en-GB"/>
        </w:rPr>
        <w:t>2002</w:t>
      </w:r>
      <w:r w:rsidR="00065AF8">
        <w:rPr>
          <w:rFonts w:ascii="Times New Roman" w:hAnsi="Times New Roman" w:cs="Times New Roman"/>
          <w:color w:val="000000"/>
          <w:sz w:val="24"/>
          <w:szCs w:val="24"/>
          <w:lang w:val="en-GB"/>
        </w:rPr>
        <w:t>)</w:t>
      </w:r>
      <w:r w:rsidR="007E0073" w:rsidRPr="008A7487">
        <w:rPr>
          <w:rFonts w:ascii="Times New Roman" w:hAnsi="Times New Roman" w:cs="Times New Roman"/>
          <w:color w:val="000000"/>
          <w:sz w:val="24"/>
          <w:szCs w:val="24"/>
          <w:lang w:val="en-GB"/>
        </w:rPr>
        <w:t xml:space="preserve">. </w:t>
      </w:r>
      <w:r w:rsidR="007E0073" w:rsidRPr="008A7487">
        <w:rPr>
          <w:rFonts w:ascii="Times New Roman" w:hAnsi="Times New Roman" w:cs="Times New Roman"/>
          <w:color w:val="000000"/>
          <w:sz w:val="24"/>
          <w:szCs w:val="24"/>
        </w:rPr>
        <w:t xml:space="preserve">Corruption and foreign direct investment. </w:t>
      </w:r>
      <w:r w:rsidR="007E0073" w:rsidRPr="008A7487">
        <w:rPr>
          <w:rFonts w:ascii="Times New Roman" w:hAnsi="Times New Roman" w:cs="Times New Roman"/>
          <w:i/>
          <w:color w:val="000000"/>
          <w:sz w:val="24"/>
          <w:szCs w:val="24"/>
        </w:rPr>
        <w:t xml:space="preserve">Journal of </w:t>
      </w:r>
      <w:r w:rsidR="00F430F1">
        <w:rPr>
          <w:rFonts w:ascii="Times New Roman" w:hAnsi="Times New Roman" w:cs="Times New Roman"/>
          <w:i/>
          <w:color w:val="000000"/>
          <w:sz w:val="24"/>
          <w:szCs w:val="24"/>
        </w:rPr>
        <w:t>International B</w:t>
      </w:r>
      <w:r w:rsidR="007E0073" w:rsidRPr="008A7487">
        <w:rPr>
          <w:rFonts w:ascii="Times New Roman" w:hAnsi="Times New Roman" w:cs="Times New Roman"/>
          <w:i/>
          <w:color w:val="000000"/>
          <w:sz w:val="24"/>
          <w:szCs w:val="24"/>
        </w:rPr>
        <w:t xml:space="preserve">usiness </w:t>
      </w:r>
      <w:r w:rsidR="00F430F1">
        <w:rPr>
          <w:rFonts w:ascii="Times New Roman" w:hAnsi="Times New Roman" w:cs="Times New Roman"/>
          <w:i/>
          <w:color w:val="000000"/>
          <w:sz w:val="24"/>
          <w:szCs w:val="24"/>
        </w:rPr>
        <w:t>S</w:t>
      </w:r>
      <w:r w:rsidR="007E0073" w:rsidRPr="008A7487">
        <w:rPr>
          <w:rFonts w:ascii="Times New Roman" w:hAnsi="Times New Roman" w:cs="Times New Roman"/>
          <w:i/>
          <w:color w:val="000000"/>
          <w:sz w:val="24"/>
          <w:szCs w:val="24"/>
        </w:rPr>
        <w:t>tudies,</w:t>
      </w:r>
      <w:r w:rsidR="007E0073" w:rsidRPr="008A7487">
        <w:rPr>
          <w:rFonts w:ascii="Times New Roman" w:hAnsi="Times New Roman" w:cs="Times New Roman"/>
          <w:color w:val="000000"/>
          <w:sz w:val="24"/>
          <w:szCs w:val="24"/>
        </w:rPr>
        <w:t xml:space="preserve"> 33(2), 291-307.</w:t>
      </w:r>
    </w:p>
    <w:p w14:paraId="6FFF33CD" w14:textId="3AC82289" w:rsidR="00F4263D" w:rsidRPr="008A7487" w:rsidRDefault="00F4263D" w:rsidP="00E827A4">
      <w:pPr>
        <w:spacing w:after="0" w:line="240" w:lineRule="auto"/>
        <w:jc w:val="both"/>
        <w:rPr>
          <w:rFonts w:ascii="Times New Roman" w:hAnsi="Times New Roman" w:cs="Times New Roman"/>
          <w:color w:val="000000"/>
          <w:sz w:val="24"/>
          <w:szCs w:val="24"/>
        </w:rPr>
      </w:pPr>
      <w:r w:rsidRPr="008A7487">
        <w:rPr>
          <w:rFonts w:ascii="Times New Roman" w:hAnsi="Times New Roman" w:cs="Times New Roman"/>
          <w:color w:val="000000"/>
          <w:sz w:val="24"/>
          <w:szCs w:val="24"/>
        </w:rPr>
        <w:t>Hair, J. F. Jr., Anderson, R. E., Tatham, R. L.</w:t>
      </w:r>
      <w:r w:rsidR="00E827A4">
        <w:rPr>
          <w:rFonts w:ascii="Times New Roman" w:hAnsi="Times New Roman" w:cs="Times New Roman"/>
          <w:color w:val="000000"/>
          <w:sz w:val="24"/>
          <w:szCs w:val="24"/>
        </w:rPr>
        <w:t>, &amp;</w:t>
      </w:r>
      <w:r w:rsidR="00B82FDC" w:rsidRPr="008A7487">
        <w:rPr>
          <w:rFonts w:ascii="Times New Roman" w:hAnsi="Times New Roman" w:cs="Times New Roman"/>
          <w:color w:val="000000"/>
          <w:sz w:val="24"/>
          <w:szCs w:val="24"/>
        </w:rPr>
        <w:t xml:space="preserve"> Black, W. C. </w:t>
      </w:r>
      <w:r w:rsidR="00065AF8">
        <w:rPr>
          <w:rFonts w:ascii="Times New Roman" w:hAnsi="Times New Roman" w:cs="Times New Roman"/>
          <w:color w:val="000000"/>
          <w:sz w:val="24"/>
          <w:szCs w:val="24"/>
        </w:rPr>
        <w:t>(</w:t>
      </w:r>
      <w:r w:rsidR="00B82FDC" w:rsidRPr="008A7487">
        <w:rPr>
          <w:rFonts w:ascii="Times New Roman" w:hAnsi="Times New Roman" w:cs="Times New Roman"/>
          <w:color w:val="000000"/>
          <w:sz w:val="24"/>
          <w:szCs w:val="24"/>
        </w:rPr>
        <w:t>1995</w:t>
      </w:r>
      <w:r w:rsidR="00065AF8">
        <w:rPr>
          <w:rFonts w:ascii="Times New Roman" w:hAnsi="Times New Roman" w:cs="Times New Roman"/>
          <w:color w:val="000000"/>
          <w:sz w:val="24"/>
          <w:szCs w:val="24"/>
        </w:rPr>
        <w:t>)</w:t>
      </w:r>
      <w:r w:rsidRPr="008A7487">
        <w:rPr>
          <w:rFonts w:ascii="Times New Roman" w:hAnsi="Times New Roman" w:cs="Times New Roman"/>
          <w:color w:val="000000"/>
          <w:sz w:val="24"/>
          <w:szCs w:val="24"/>
        </w:rPr>
        <w:t xml:space="preserve">. Multivariate </w:t>
      </w:r>
      <w:r w:rsidR="00E827A4">
        <w:rPr>
          <w:rFonts w:ascii="Times New Roman" w:hAnsi="Times New Roman" w:cs="Times New Roman"/>
          <w:color w:val="000000"/>
          <w:sz w:val="24"/>
          <w:szCs w:val="24"/>
        </w:rPr>
        <w:t>D</w:t>
      </w:r>
      <w:r w:rsidRPr="008A7487">
        <w:rPr>
          <w:rFonts w:ascii="Times New Roman" w:hAnsi="Times New Roman" w:cs="Times New Roman"/>
          <w:color w:val="000000"/>
          <w:sz w:val="24"/>
          <w:szCs w:val="24"/>
        </w:rPr>
        <w:t>ata</w:t>
      </w:r>
    </w:p>
    <w:p w14:paraId="5C20FA37" w14:textId="53DA422A" w:rsidR="009E32FD" w:rsidRPr="008A7487" w:rsidRDefault="00E827A4" w:rsidP="00E827A4">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w:t>
      </w:r>
      <w:r w:rsidR="00F4263D" w:rsidRPr="008A7487">
        <w:rPr>
          <w:rFonts w:ascii="Times New Roman" w:hAnsi="Times New Roman" w:cs="Times New Roman"/>
          <w:color w:val="000000"/>
          <w:sz w:val="24"/>
          <w:szCs w:val="24"/>
        </w:rPr>
        <w:t>nalysis, 3rd edn. New York: Macmillan.</w:t>
      </w:r>
    </w:p>
    <w:p w14:paraId="54882A2B" w14:textId="4A279F5C" w:rsidR="00C62BA3" w:rsidRPr="008A7487" w:rsidRDefault="00C62BA3" w:rsidP="00412A38">
      <w:pPr>
        <w:spacing w:before="240" w:line="240" w:lineRule="auto"/>
        <w:jc w:val="both"/>
        <w:rPr>
          <w:rFonts w:ascii="Times New Roman" w:hAnsi="Times New Roman" w:cs="Times New Roman"/>
          <w:color w:val="000000"/>
          <w:sz w:val="24"/>
          <w:szCs w:val="24"/>
        </w:rPr>
      </w:pPr>
      <w:r w:rsidRPr="008A7487">
        <w:rPr>
          <w:rFonts w:ascii="Times New Roman" w:hAnsi="Times New Roman" w:cs="Times New Roman"/>
          <w:color w:val="000000"/>
          <w:sz w:val="24"/>
          <w:szCs w:val="24"/>
        </w:rPr>
        <w:lastRenderedPageBreak/>
        <w:t>Hill, R.C.., Griffiths, W.E.</w:t>
      </w:r>
      <w:r w:rsidR="00E827A4">
        <w:rPr>
          <w:rFonts w:ascii="Times New Roman" w:hAnsi="Times New Roman" w:cs="Times New Roman"/>
          <w:color w:val="000000"/>
          <w:sz w:val="24"/>
          <w:szCs w:val="24"/>
        </w:rPr>
        <w:t>,</w:t>
      </w:r>
      <w:r w:rsidRPr="008A7487">
        <w:rPr>
          <w:rFonts w:ascii="Times New Roman" w:hAnsi="Times New Roman" w:cs="Times New Roman"/>
          <w:color w:val="000000"/>
          <w:sz w:val="24"/>
          <w:szCs w:val="24"/>
        </w:rPr>
        <w:t xml:space="preserve"> </w:t>
      </w:r>
      <w:r w:rsidR="00E827A4">
        <w:rPr>
          <w:rFonts w:ascii="Times New Roman" w:hAnsi="Times New Roman" w:cs="Times New Roman"/>
          <w:color w:val="000000"/>
          <w:sz w:val="24"/>
          <w:szCs w:val="24"/>
        </w:rPr>
        <w:t>&amp;</w:t>
      </w:r>
      <w:r w:rsidRPr="008A7487">
        <w:rPr>
          <w:rFonts w:ascii="Times New Roman" w:hAnsi="Times New Roman" w:cs="Times New Roman"/>
          <w:color w:val="000000"/>
          <w:sz w:val="24"/>
          <w:szCs w:val="24"/>
        </w:rPr>
        <w:t xml:space="preserve"> Lim, G.C. </w:t>
      </w:r>
      <w:r w:rsidR="00065AF8">
        <w:rPr>
          <w:rFonts w:ascii="Times New Roman" w:hAnsi="Times New Roman" w:cs="Times New Roman"/>
          <w:color w:val="000000"/>
          <w:sz w:val="24"/>
          <w:szCs w:val="24"/>
        </w:rPr>
        <w:t>(</w:t>
      </w:r>
      <w:r w:rsidRPr="008A7487">
        <w:rPr>
          <w:rFonts w:ascii="Times New Roman" w:hAnsi="Times New Roman" w:cs="Times New Roman"/>
          <w:color w:val="000000"/>
          <w:sz w:val="24"/>
          <w:szCs w:val="24"/>
        </w:rPr>
        <w:t>2012</w:t>
      </w:r>
      <w:r w:rsidR="00065AF8">
        <w:rPr>
          <w:rFonts w:ascii="Times New Roman" w:hAnsi="Times New Roman" w:cs="Times New Roman"/>
          <w:color w:val="000000"/>
          <w:sz w:val="24"/>
          <w:szCs w:val="24"/>
        </w:rPr>
        <w:t>)</w:t>
      </w:r>
      <w:r w:rsidRPr="008A7487">
        <w:rPr>
          <w:rFonts w:ascii="Times New Roman" w:hAnsi="Times New Roman" w:cs="Times New Roman"/>
          <w:color w:val="000000"/>
          <w:sz w:val="24"/>
          <w:szCs w:val="24"/>
        </w:rPr>
        <w:t>. Principles of Econometrics 4</w:t>
      </w:r>
      <w:r w:rsidRPr="008A7487">
        <w:rPr>
          <w:rFonts w:ascii="Times New Roman" w:hAnsi="Times New Roman" w:cs="Times New Roman"/>
          <w:color w:val="000000"/>
          <w:sz w:val="24"/>
          <w:szCs w:val="24"/>
          <w:vertAlign w:val="superscript"/>
        </w:rPr>
        <w:t>th</w:t>
      </w:r>
      <w:r w:rsidRPr="008A7487">
        <w:rPr>
          <w:rFonts w:ascii="Times New Roman" w:hAnsi="Times New Roman" w:cs="Times New Roman"/>
          <w:color w:val="000000"/>
          <w:sz w:val="24"/>
          <w:szCs w:val="24"/>
        </w:rPr>
        <w:t xml:space="preserve"> ed.</w:t>
      </w:r>
      <w:r w:rsidR="00E827A4">
        <w:rPr>
          <w:rFonts w:ascii="Times New Roman" w:hAnsi="Times New Roman" w:cs="Times New Roman"/>
          <w:color w:val="000000"/>
          <w:sz w:val="24"/>
          <w:szCs w:val="24"/>
        </w:rPr>
        <w:t xml:space="preserve"> </w:t>
      </w:r>
      <w:r w:rsidRPr="008A7487">
        <w:rPr>
          <w:rFonts w:ascii="Times New Roman" w:hAnsi="Times New Roman" w:cs="Times New Roman"/>
          <w:color w:val="000000"/>
          <w:sz w:val="24"/>
          <w:szCs w:val="24"/>
        </w:rPr>
        <w:t>Wiley: Hoboken, NJ.</w:t>
      </w:r>
    </w:p>
    <w:p w14:paraId="739F47A9" w14:textId="75DE4DBE" w:rsidR="005B5F43" w:rsidRPr="005B5F43" w:rsidRDefault="005B5F43" w:rsidP="005B5F43">
      <w:pPr>
        <w:spacing w:before="240" w:line="240" w:lineRule="auto"/>
        <w:jc w:val="both"/>
        <w:rPr>
          <w:rFonts w:ascii="Times New Roman" w:hAnsi="Times New Roman" w:cs="Times New Roman"/>
          <w:bCs/>
          <w:sz w:val="24"/>
          <w:szCs w:val="24"/>
          <w:lang w:val="en-GB"/>
        </w:rPr>
      </w:pPr>
      <w:r w:rsidRPr="005B5F43">
        <w:rPr>
          <w:rFonts w:ascii="Times New Roman" w:hAnsi="Times New Roman" w:cs="Times New Roman"/>
          <w:sz w:val="24"/>
          <w:szCs w:val="24"/>
        </w:rPr>
        <w:t xml:space="preserve">Ivashina, V., &amp; Scharfstein (2010). </w:t>
      </w:r>
      <w:r w:rsidRPr="005B5F43">
        <w:rPr>
          <w:rFonts w:ascii="Times New Roman" w:hAnsi="Times New Roman" w:cs="Times New Roman"/>
          <w:bCs/>
          <w:sz w:val="24"/>
          <w:szCs w:val="24"/>
        </w:rPr>
        <w:t xml:space="preserve">Bank lending during the financial crisis of 2008. </w:t>
      </w:r>
      <w:hyperlink r:id="rId8" w:tooltip="Go to Journal of Financial Economics on ScienceDirect" w:history="1">
        <w:r w:rsidRPr="005B5F43">
          <w:rPr>
            <w:rStyle w:val="Hyperlink"/>
            <w:rFonts w:ascii="Times New Roman" w:hAnsi="Times New Roman" w:cs="Times New Roman"/>
            <w:i/>
            <w:color w:val="auto"/>
            <w:sz w:val="24"/>
            <w:szCs w:val="24"/>
            <w:u w:val="none"/>
            <w:bdr w:val="none" w:sz="0" w:space="0" w:color="auto" w:frame="1"/>
          </w:rPr>
          <w:t>Journal of Financial Economics</w:t>
        </w:r>
      </w:hyperlink>
      <w:r w:rsidRPr="005B5F43">
        <w:rPr>
          <w:rFonts w:ascii="Times New Roman" w:hAnsi="Times New Roman" w:cs="Times New Roman"/>
          <w:bCs/>
          <w:i/>
          <w:sz w:val="24"/>
          <w:szCs w:val="24"/>
        </w:rPr>
        <w:t>,</w:t>
      </w:r>
      <w:r w:rsidRPr="005B5F43">
        <w:rPr>
          <w:rFonts w:ascii="Times New Roman" w:hAnsi="Times New Roman" w:cs="Times New Roman"/>
          <w:bCs/>
          <w:sz w:val="24"/>
          <w:szCs w:val="24"/>
        </w:rPr>
        <w:t xml:space="preserve"> 97 (3), 319-338</w:t>
      </w:r>
    </w:p>
    <w:p w14:paraId="5BFA060B" w14:textId="70F07F99" w:rsidR="00EA1463" w:rsidRPr="008A7487" w:rsidRDefault="00EA1463" w:rsidP="00412A38">
      <w:pPr>
        <w:spacing w:before="240" w:line="240" w:lineRule="auto"/>
        <w:jc w:val="both"/>
        <w:rPr>
          <w:rFonts w:ascii="Times New Roman" w:hAnsi="Times New Roman" w:cs="Times New Roman"/>
          <w:color w:val="000000"/>
          <w:sz w:val="24"/>
          <w:szCs w:val="24"/>
        </w:rPr>
      </w:pPr>
      <w:r w:rsidRPr="008A7487">
        <w:rPr>
          <w:rFonts w:ascii="Times New Roman" w:hAnsi="Times New Roman" w:cs="Times New Roman"/>
          <w:color w:val="000000"/>
          <w:sz w:val="24"/>
          <w:szCs w:val="24"/>
        </w:rPr>
        <w:t>Kosmidou, K., Pasiouras, F.</w:t>
      </w:r>
      <w:r w:rsidR="00E827A4">
        <w:rPr>
          <w:rFonts w:ascii="Times New Roman" w:hAnsi="Times New Roman" w:cs="Times New Roman"/>
          <w:color w:val="000000"/>
          <w:sz w:val="24"/>
          <w:szCs w:val="24"/>
        </w:rPr>
        <w:t>,</w:t>
      </w:r>
      <w:r w:rsidRPr="008A7487">
        <w:rPr>
          <w:rFonts w:ascii="Times New Roman" w:hAnsi="Times New Roman" w:cs="Times New Roman"/>
          <w:color w:val="000000"/>
          <w:sz w:val="24"/>
          <w:szCs w:val="24"/>
        </w:rPr>
        <w:t xml:space="preserve"> </w:t>
      </w:r>
      <w:r w:rsidR="00E827A4">
        <w:rPr>
          <w:rFonts w:ascii="Times New Roman" w:hAnsi="Times New Roman" w:cs="Times New Roman"/>
          <w:color w:val="000000"/>
          <w:sz w:val="24"/>
          <w:szCs w:val="24"/>
        </w:rPr>
        <w:t>&amp;</w:t>
      </w:r>
      <w:r w:rsidRPr="008A7487">
        <w:rPr>
          <w:rFonts w:ascii="Times New Roman" w:hAnsi="Times New Roman" w:cs="Times New Roman"/>
          <w:color w:val="000000"/>
          <w:sz w:val="24"/>
          <w:szCs w:val="24"/>
        </w:rPr>
        <w:t xml:space="preserve"> Tsak</w:t>
      </w:r>
      <w:r w:rsidR="00E827A4">
        <w:rPr>
          <w:rFonts w:ascii="Times New Roman" w:hAnsi="Times New Roman" w:cs="Times New Roman"/>
          <w:color w:val="000000"/>
          <w:sz w:val="24"/>
          <w:szCs w:val="24"/>
        </w:rPr>
        <w:t xml:space="preserve">langanos A. </w:t>
      </w:r>
      <w:r w:rsidR="00065AF8">
        <w:rPr>
          <w:rFonts w:ascii="Times New Roman" w:hAnsi="Times New Roman" w:cs="Times New Roman"/>
          <w:color w:val="000000"/>
          <w:sz w:val="24"/>
          <w:szCs w:val="24"/>
        </w:rPr>
        <w:t>(</w:t>
      </w:r>
      <w:r w:rsidR="00E827A4">
        <w:rPr>
          <w:rFonts w:ascii="Times New Roman" w:hAnsi="Times New Roman" w:cs="Times New Roman"/>
          <w:color w:val="000000"/>
          <w:sz w:val="24"/>
          <w:szCs w:val="24"/>
        </w:rPr>
        <w:t>2007</w:t>
      </w:r>
      <w:r w:rsidR="00065AF8">
        <w:rPr>
          <w:rFonts w:ascii="Times New Roman" w:hAnsi="Times New Roman" w:cs="Times New Roman"/>
          <w:color w:val="000000"/>
          <w:sz w:val="24"/>
          <w:szCs w:val="24"/>
        </w:rPr>
        <w:t>)</w:t>
      </w:r>
      <w:r w:rsidR="00E827A4">
        <w:rPr>
          <w:rFonts w:ascii="Times New Roman" w:hAnsi="Times New Roman" w:cs="Times New Roman"/>
          <w:color w:val="000000"/>
          <w:sz w:val="24"/>
          <w:szCs w:val="24"/>
        </w:rPr>
        <w:t>. Domestic and multinational determinants of foreign bank profits: The case of Greek banks operating a</w:t>
      </w:r>
      <w:r w:rsidRPr="008A7487">
        <w:rPr>
          <w:rFonts w:ascii="Times New Roman" w:hAnsi="Times New Roman" w:cs="Times New Roman"/>
          <w:color w:val="000000"/>
          <w:sz w:val="24"/>
          <w:szCs w:val="24"/>
        </w:rPr>
        <w:t xml:space="preserve">broad. </w:t>
      </w:r>
      <w:r w:rsidRPr="008A7487">
        <w:rPr>
          <w:rFonts w:ascii="Times New Roman" w:hAnsi="Times New Roman" w:cs="Times New Roman"/>
          <w:i/>
          <w:color w:val="000000"/>
          <w:sz w:val="24"/>
          <w:szCs w:val="24"/>
        </w:rPr>
        <w:t>Journal of Multinational Financial Management</w:t>
      </w:r>
      <w:r w:rsidR="00F430F1">
        <w:rPr>
          <w:rFonts w:ascii="Times New Roman" w:hAnsi="Times New Roman" w:cs="Times New Roman"/>
          <w:i/>
          <w:color w:val="000000"/>
          <w:sz w:val="24"/>
          <w:szCs w:val="24"/>
        </w:rPr>
        <w:t>,</w:t>
      </w:r>
      <w:r w:rsidRPr="008A7487">
        <w:rPr>
          <w:rFonts w:ascii="Times New Roman" w:hAnsi="Times New Roman" w:cs="Times New Roman"/>
          <w:i/>
          <w:color w:val="000000"/>
          <w:sz w:val="24"/>
          <w:szCs w:val="24"/>
        </w:rPr>
        <w:t xml:space="preserve"> </w:t>
      </w:r>
      <w:r w:rsidRPr="008A7487">
        <w:rPr>
          <w:rFonts w:ascii="Times New Roman" w:hAnsi="Times New Roman" w:cs="Times New Roman"/>
          <w:color w:val="000000"/>
          <w:sz w:val="24"/>
          <w:szCs w:val="24"/>
        </w:rPr>
        <w:t>17 (1), pp. 1-15.</w:t>
      </w:r>
    </w:p>
    <w:p w14:paraId="500F5781" w14:textId="0FF766ED" w:rsidR="00D44B6E" w:rsidRPr="008A7487" w:rsidRDefault="00D44B6E" w:rsidP="00412A38">
      <w:pPr>
        <w:spacing w:before="240" w:line="240" w:lineRule="auto"/>
        <w:jc w:val="both"/>
        <w:rPr>
          <w:rFonts w:ascii="Times New Roman" w:hAnsi="Times New Roman" w:cs="Times New Roman"/>
          <w:color w:val="000000"/>
          <w:sz w:val="24"/>
          <w:szCs w:val="24"/>
          <w:lang w:val="en-GB"/>
        </w:rPr>
      </w:pPr>
      <w:r w:rsidRPr="00873580">
        <w:rPr>
          <w:rFonts w:ascii="Times New Roman" w:hAnsi="Times New Roman" w:cs="Times New Roman"/>
          <w:color w:val="000000"/>
          <w:sz w:val="24"/>
          <w:szCs w:val="24"/>
          <w:lang w:val="de-DE"/>
        </w:rPr>
        <w:t xml:space="preserve">Markman, G. M., </w:t>
      </w:r>
      <w:r w:rsidR="00697343" w:rsidRPr="00873580">
        <w:rPr>
          <w:rFonts w:ascii="Times New Roman" w:hAnsi="Times New Roman" w:cs="Times New Roman"/>
          <w:color w:val="000000"/>
          <w:sz w:val="24"/>
          <w:szCs w:val="24"/>
          <w:lang w:val="de-DE"/>
        </w:rPr>
        <w:t>&amp;</w:t>
      </w:r>
      <w:r w:rsidRPr="00873580">
        <w:rPr>
          <w:rFonts w:ascii="Times New Roman" w:hAnsi="Times New Roman" w:cs="Times New Roman"/>
          <w:color w:val="000000"/>
          <w:sz w:val="24"/>
          <w:szCs w:val="24"/>
          <w:lang w:val="de-DE"/>
        </w:rPr>
        <w:t xml:space="preserve"> Venzin, M. </w:t>
      </w:r>
      <w:r w:rsidR="00065AF8" w:rsidRPr="00873580">
        <w:rPr>
          <w:rFonts w:ascii="Times New Roman" w:hAnsi="Times New Roman" w:cs="Times New Roman"/>
          <w:color w:val="000000"/>
          <w:sz w:val="24"/>
          <w:szCs w:val="24"/>
          <w:lang w:val="de-DE"/>
        </w:rPr>
        <w:t>(</w:t>
      </w:r>
      <w:r w:rsidRPr="00873580">
        <w:rPr>
          <w:rFonts w:ascii="Times New Roman" w:hAnsi="Times New Roman" w:cs="Times New Roman"/>
          <w:color w:val="000000"/>
          <w:sz w:val="24"/>
          <w:szCs w:val="24"/>
          <w:lang w:val="de-DE"/>
        </w:rPr>
        <w:t>2014</w:t>
      </w:r>
      <w:r w:rsidR="00065AF8" w:rsidRPr="00873580">
        <w:rPr>
          <w:rFonts w:ascii="Times New Roman" w:hAnsi="Times New Roman" w:cs="Times New Roman"/>
          <w:color w:val="000000"/>
          <w:sz w:val="24"/>
          <w:szCs w:val="24"/>
          <w:lang w:val="de-DE"/>
        </w:rPr>
        <w:t>)</w:t>
      </w:r>
      <w:r w:rsidRPr="00873580">
        <w:rPr>
          <w:rFonts w:ascii="Times New Roman" w:hAnsi="Times New Roman" w:cs="Times New Roman"/>
          <w:color w:val="000000"/>
          <w:sz w:val="24"/>
          <w:szCs w:val="24"/>
          <w:lang w:val="de-DE"/>
        </w:rPr>
        <w:t xml:space="preserve">. </w:t>
      </w:r>
      <w:r w:rsidRPr="008A7487">
        <w:rPr>
          <w:rFonts w:ascii="Times New Roman" w:hAnsi="Times New Roman" w:cs="Times New Roman"/>
          <w:color w:val="000000"/>
          <w:sz w:val="24"/>
          <w:szCs w:val="24"/>
          <w:lang w:val="en-GB"/>
        </w:rPr>
        <w:t xml:space="preserve">Resilience: Lessons from banks that have braved the economic crisis—And from those that have not. </w:t>
      </w:r>
      <w:r w:rsidRPr="008A7487">
        <w:rPr>
          <w:rFonts w:ascii="Times New Roman" w:hAnsi="Times New Roman" w:cs="Times New Roman"/>
          <w:i/>
          <w:color w:val="000000"/>
          <w:sz w:val="24"/>
          <w:szCs w:val="24"/>
          <w:lang w:val="en-GB"/>
        </w:rPr>
        <w:t>International Business Review</w:t>
      </w:r>
      <w:r w:rsidRPr="008A7487">
        <w:rPr>
          <w:rFonts w:ascii="Times New Roman" w:hAnsi="Times New Roman" w:cs="Times New Roman"/>
          <w:color w:val="000000"/>
          <w:sz w:val="24"/>
          <w:szCs w:val="24"/>
          <w:lang w:val="en-GB"/>
        </w:rPr>
        <w:t>, 23(6), 1096-1107.</w:t>
      </w:r>
    </w:p>
    <w:p w14:paraId="18B57A88" w14:textId="007D80CE" w:rsidR="00123A97" w:rsidRPr="008A7487" w:rsidRDefault="00123A97" w:rsidP="00412A38">
      <w:pPr>
        <w:spacing w:before="240" w:line="240" w:lineRule="auto"/>
        <w:jc w:val="both"/>
        <w:rPr>
          <w:rFonts w:ascii="Times New Roman" w:hAnsi="Times New Roman" w:cs="Times New Roman"/>
          <w:color w:val="000000"/>
          <w:sz w:val="24"/>
          <w:szCs w:val="24"/>
          <w:lang w:val="en-GB"/>
        </w:rPr>
      </w:pPr>
      <w:r w:rsidRPr="008A7487">
        <w:rPr>
          <w:rFonts w:ascii="Times New Roman" w:hAnsi="Times New Roman" w:cs="Times New Roman"/>
          <w:color w:val="000000"/>
          <w:sz w:val="24"/>
          <w:szCs w:val="24"/>
          <w:lang w:val="en-GB"/>
        </w:rPr>
        <w:t xml:space="preserve">Myers, S. C. (1977). Determinants of corporate borrowing. </w:t>
      </w:r>
      <w:r w:rsidR="00F430F1">
        <w:rPr>
          <w:rFonts w:ascii="Times New Roman" w:hAnsi="Times New Roman" w:cs="Times New Roman"/>
          <w:i/>
          <w:color w:val="000000"/>
          <w:sz w:val="24"/>
          <w:szCs w:val="24"/>
          <w:lang w:val="en-GB"/>
        </w:rPr>
        <w:t>Journal of Financial E</w:t>
      </w:r>
      <w:r w:rsidRPr="008A7487">
        <w:rPr>
          <w:rFonts w:ascii="Times New Roman" w:hAnsi="Times New Roman" w:cs="Times New Roman"/>
          <w:i/>
          <w:color w:val="000000"/>
          <w:sz w:val="24"/>
          <w:szCs w:val="24"/>
          <w:lang w:val="en-GB"/>
        </w:rPr>
        <w:t>conomics</w:t>
      </w:r>
      <w:r w:rsidRPr="008A7487">
        <w:rPr>
          <w:rFonts w:ascii="Times New Roman" w:hAnsi="Times New Roman" w:cs="Times New Roman"/>
          <w:color w:val="000000"/>
          <w:sz w:val="24"/>
          <w:szCs w:val="24"/>
          <w:lang w:val="en-GB"/>
        </w:rPr>
        <w:t>, 5(2), 147-175.</w:t>
      </w:r>
    </w:p>
    <w:p w14:paraId="652C7405" w14:textId="3BC259B7" w:rsidR="00EA1463" w:rsidRPr="008A7487" w:rsidRDefault="00EA1463" w:rsidP="00412A38">
      <w:pPr>
        <w:autoSpaceDE w:val="0"/>
        <w:autoSpaceDN w:val="0"/>
        <w:adjustRightInd w:val="0"/>
        <w:spacing w:before="240" w:line="240" w:lineRule="auto"/>
        <w:jc w:val="both"/>
        <w:rPr>
          <w:rFonts w:ascii="Times New Roman" w:hAnsi="Times New Roman" w:cs="Times New Roman"/>
          <w:sz w:val="24"/>
          <w:szCs w:val="24"/>
          <w:lang w:val="en-GB"/>
        </w:rPr>
      </w:pPr>
      <w:r w:rsidRPr="008A7487">
        <w:rPr>
          <w:rFonts w:ascii="Times New Roman" w:hAnsi="Times New Roman" w:cs="Times New Roman"/>
          <w:sz w:val="24"/>
          <w:szCs w:val="24"/>
          <w:lang w:val="en-GB"/>
        </w:rPr>
        <w:t xml:space="preserve">Micco, A., Panizza, U., </w:t>
      </w:r>
      <w:r w:rsidR="00697343">
        <w:rPr>
          <w:rFonts w:ascii="Times New Roman" w:hAnsi="Times New Roman" w:cs="Times New Roman"/>
          <w:sz w:val="24"/>
          <w:szCs w:val="24"/>
          <w:lang w:val="en-GB"/>
        </w:rPr>
        <w:t>&amp;</w:t>
      </w:r>
      <w:r w:rsidRPr="008A7487">
        <w:rPr>
          <w:rFonts w:ascii="Times New Roman" w:hAnsi="Times New Roman" w:cs="Times New Roman"/>
          <w:sz w:val="24"/>
          <w:szCs w:val="24"/>
          <w:lang w:val="en-GB"/>
        </w:rPr>
        <w:t xml:space="preserve"> Yanez, M. </w:t>
      </w:r>
      <w:r w:rsidR="00065AF8">
        <w:rPr>
          <w:rFonts w:ascii="Times New Roman" w:hAnsi="Times New Roman" w:cs="Times New Roman"/>
          <w:sz w:val="24"/>
          <w:szCs w:val="24"/>
          <w:lang w:val="en-GB"/>
        </w:rPr>
        <w:t>(</w:t>
      </w:r>
      <w:r w:rsidRPr="008A7487">
        <w:rPr>
          <w:rFonts w:ascii="Times New Roman" w:hAnsi="Times New Roman" w:cs="Times New Roman"/>
          <w:sz w:val="24"/>
          <w:szCs w:val="24"/>
          <w:lang w:val="en-GB"/>
        </w:rPr>
        <w:t>2007</w:t>
      </w:r>
      <w:r w:rsidR="00065AF8">
        <w:rPr>
          <w:rFonts w:ascii="Times New Roman" w:hAnsi="Times New Roman" w:cs="Times New Roman"/>
          <w:sz w:val="24"/>
          <w:szCs w:val="24"/>
          <w:lang w:val="en-GB"/>
        </w:rPr>
        <w:t>)</w:t>
      </w:r>
      <w:r w:rsidRPr="008A7487">
        <w:rPr>
          <w:rFonts w:ascii="Times New Roman" w:hAnsi="Times New Roman" w:cs="Times New Roman"/>
          <w:sz w:val="24"/>
          <w:szCs w:val="24"/>
          <w:lang w:val="en-GB"/>
        </w:rPr>
        <w:t xml:space="preserve">. Bank ownership and performance. Does politics matter? </w:t>
      </w:r>
      <w:r w:rsidRPr="008A7487">
        <w:rPr>
          <w:rFonts w:ascii="Times New Roman" w:hAnsi="Times New Roman" w:cs="Times New Roman"/>
          <w:i/>
          <w:sz w:val="24"/>
          <w:szCs w:val="24"/>
          <w:lang w:val="en-GB"/>
        </w:rPr>
        <w:t>Journal of Banking and Finance</w:t>
      </w:r>
      <w:r w:rsidR="00F430F1">
        <w:rPr>
          <w:rFonts w:ascii="Times New Roman" w:hAnsi="Times New Roman" w:cs="Times New Roman"/>
          <w:i/>
          <w:sz w:val="24"/>
          <w:szCs w:val="24"/>
          <w:lang w:val="en-GB"/>
        </w:rPr>
        <w:t>,</w:t>
      </w:r>
      <w:r w:rsidRPr="008A7487">
        <w:rPr>
          <w:rFonts w:ascii="Times New Roman" w:hAnsi="Times New Roman" w:cs="Times New Roman"/>
          <w:i/>
          <w:sz w:val="24"/>
          <w:szCs w:val="24"/>
          <w:lang w:val="en-GB"/>
        </w:rPr>
        <w:t xml:space="preserve"> </w:t>
      </w:r>
      <w:r w:rsidRPr="008A7487">
        <w:rPr>
          <w:rFonts w:ascii="Times New Roman" w:hAnsi="Times New Roman" w:cs="Times New Roman"/>
          <w:sz w:val="24"/>
          <w:szCs w:val="24"/>
          <w:lang w:val="en-GB"/>
        </w:rPr>
        <w:t>31 (1), 219–241.</w:t>
      </w:r>
    </w:p>
    <w:p w14:paraId="756BCE70" w14:textId="0857BF47" w:rsidR="00EA1463" w:rsidRPr="003B604E" w:rsidRDefault="00EA1463" w:rsidP="00412A38">
      <w:pPr>
        <w:spacing w:before="240" w:line="240" w:lineRule="auto"/>
        <w:jc w:val="both"/>
        <w:rPr>
          <w:rFonts w:ascii="Times New Roman" w:hAnsi="Times New Roman" w:cs="Times New Roman"/>
          <w:sz w:val="24"/>
          <w:szCs w:val="24"/>
        </w:rPr>
      </w:pPr>
      <w:r w:rsidRPr="008A7487">
        <w:rPr>
          <w:rFonts w:ascii="Times New Roman" w:hAnsi="Times New Roman" w:cs="Times New Roman"/>
          <w:color w:val="000000"/>
          <w:sz w:val="24"/>
          <w:szCs w:val="24"/>
        </w:rPr>
        <w:lastRenderedPageBreak/>
        <w:t>Molyneux, P.</w:t>
      </w:r>
      <w:r w:rsidR="00697343">
        <w:rPr>
          <w:rFonts w:ascii="Times New Roman" w:hAnsi="Times New Roman" w:cs="Times New Roman"/>
          <w:color w:val="000000"/>
          <w:sz w:val="24"/>
          <w:szCs w:val="24"/>
        </w:rPr>
        <w:t>, &amp;</w:t>
      </w:r>
      <w:r w:rsidRPr="008A7487">
        <w:rPr>
          <w:rFonts w:ascii="Times New Roman" w:hAnsi="Times New Roman" w:cs="Times New Roman"/>
          <w:color w:val="000000"/>
          <w:sz w:val="24"/>
          <w:szCs w:val="24"/>
        </w:rPr>
        <w:t xml:space="preserve"> Thornton, J. </w:t>
      </w:r>
      <w:r w:rsidR="00065AF8">
        <w:rPr>
          <w:rFonts w:ascii="Times New Roman" w:hAnsi="Times New Roman" w:cs="Times New Roman"/>
          <w:color w:val="000000"/>
          <w:sz w:val="24"/>
          <w:szCs w:val="24"/>
        </w:rPr>
        <w:t>(</w:t>
      </w:r>
      <w:r w:rsidRPr="008A7487">
        <w:rPr>
          <w:rFonts w:ascii="Times New Roman" w:hAnsi="Times New Roman" w:cs="Times New Roman"/>
          <w:color w:val="000000"/>
          <w:sz w:val="24"/>
          <w:szCs w:val="24"/>
        </w:rPr>
        <w:t>1992</w:t>
      </w:r>
      <w:r w:rsidR="00065AF8">
        <w:rPr>
          <w:rFonts w:ascii="Times New Roman" w:hAnsi="Times New Roman" w:cs="Times New Roman"/>
          <w:color w:val="000000"/>
          <w:sz w:val="24"/>
          <w:szCs w:val="24"/>
        </w:rPr>
        <w:t>)</w:t>
      </w:r>
      <w:r w:rsidRPr="008A7487">
        <w:rPr>
          <w:rFonts w:ascii="Times New Roman" w:hAnsi="Times New Roman" w:cs="Times New Roman"/>
          <w:color w:val="000000"/>
          <w:sz w:val="24"/>
          <w:szCs w:val="24"/>
        </w:rPr>
        <w:t xml:space="preserve">. Determinants of European banks profitability: A note. </w:t>
      </w:r>
      <w:r w:rsidRPr="008A7487">
        <w:rPr>
          <w:rFonts w:ascii="Times New Roman" w:hAnsi="Times New Roman" w:cs="Times New Roman"/>
          <w:i/>
          <w:color w:val="000000"/>
          <w:sz w:val="24"/>
          <w:szCs w:val="24"/>
        </w:rPr>
        <w:t>Journal of Banking and Finance</w:t>
      </w:r>
      <w:r w:rsidR="00F430F1">
        <w:rPr>
          <w:rFonts w:ascii="Times New Roman" w:hAnsi="Times New Roman" w:cs="Times New Roman"/>
          <w:color w:val="000000"/>
          <w:sz w:val="24"/>
          <w:szCs w:val="24"/>
        </w:rPr>
        <w:t>,</w:t>
      </w:r>
      <w:r w:rsidRPr="008A7487">
        <w:rPr>
          <w:rFonts w:ascii="Times New Roman" w:hAnsi="Times New Roman" w:cs="Times New Roman"/>
          <w:color w:val="000000"/>
          <w:sz w:val="24"/>
          <w:szCs w:val="24"/>
        </w:rPr>
        <w:t xml:space="preserve"> 16</w:t>
      </w:r>
      <w:r w:rsidR="003B604E">
        <w:rPr>
          <w:rFonts w:ascii="Times New Roman" w:hAnsi="Times New Roman" w:cs="Times New Roman"/>
          <w:color w:val="000000"/>
          <w:sz w:val="24"/>
          <w:szCs w:val="24"/>
        </w:rPr>
        <w:t xml:space="preserve"> (6), </w:t>
      </w:r>
      <w:r w:rsidR="003B604E" w:rsidRPr="003B604E">
        <w:rPr>
          <w:rFonts w:ascii="Times New Roman" w:hAnsi="Times New Roman" w:cs="Times New Roman"/>
          <w:sz w:val="24"/>
          <w:szCs w:val="24"/>
          <w:shd w:val="clear" w:color="auto" w:fill="FCFCFC"/>
        </w:rPr>
        <w:t>1173-1178.</w:t>
      </w:r>
    </w:p>
    <w:p w14:paraId="43DB8ABC" w14:textId="151FE792" w:rsidR="00EA1463" w:rsidRPr="008A7487" w:rsidRDefault="00EA1463" w:rsidP="00412A38">
      <w:pPr>
        <w:spacing w:before="240" w:line="240" w:lineRule="auto"/>
        <w:jc w:val="both"/>
        <w:rPr>
          <w:rFonts w:ascii="Times New Roman" w:hAnsi="Times New Roman" w:cs="Times New Roman"/>
          <w:sz w:val="24"/>
          <w:szCs w:val="24"/>
        </w:rPr>
      </w:pPr>
      <w:r w:rsidRPr="008A7487">
        <w:rPr>
          <w:rFonts w:ascii="Times New Roman" w:hAnsi="Times New Roman" w:cs="Times New Roman"/>
          <w:sz w:val="24"/>
          <w:szCs w:val="24"/>
          <w:lang w:val="en-GB"/>
        </w:rPr>
        <w:t xml:space="preserve">Molyneux, P., Altunbas, Y., </w:t>
      </w:r>
      <w:r w:rsidR="00697343">
        <w:rPr>
          <w:rFonts w:ascii="Times New Roman" w:hAnsi="Times New Roman" w:cs="Times New Roman"/>
          <w:sz w:val="24"/>
          <w:szCs w:val="24"/>
          <w:lang w:val="en-GB"/>
        </w:rPr>
        <w:t>&amp;</w:t>
      </w:r>
      <w:r w:rsidRPr="008A7487">
        <w:rPr>
          <w:rFonts w:ascii="Times New Roman" w:hAnsi="Times New Roman" w:cs="Times New Roman"/>
          <w:sz w:val="24"/>
          <w:szCs w:val="24"/>
          <w:lang w:val="en-GB"/>
        </w:rPr>
        <w:t xml:space="preserve"> Gardener, E.P.M. </w:t>
      </w:r>
      <w:r w:rsidR="00065AF8">
        <w:rPr>
          <w:rFonts w:ascii="Times New Roman" w:hAnsi="Times New Roman" w:cs="Times New Roman"/>
          <w:sz w:val="24"/>
          <w:szCs w:val="24"/>
          <w:lang w:val="en-GB"/>
        </w:rPr>
        <w:t>(</w:t>
      </w:r>
      <w:r w:rsidRPr="008A7487">
        <w:rPr>
          <w:rFonts w:ascii="Times New Roman" w:hAnsi="Times New Roman" w:cs="Times New Roman"/>
          <w:sz w:val="24"/>
          <w:szCs w:val="24"/>
          <w:lang w:val="en-GB"/>
        </w:rPr>
        <w:t>1996</w:t>
      </w:r>
      <w:r w:rsidR="00065AF8">
        <w:rPr>
          <w:rFonts w:ascii="Times New Roman" w:hAnsi="Times New Roman" w:cs="Times New Roman"/>
          <w:sz w:val="24"/>
          <w:szCs w:val="24"/>
          <w:lang w:val="en-GB"/>
        </w:rPr>
        <w:t>)</w:t>
      </w:r>
      <w:r w:rsidRPr="008A7487">
        <w:rPr>
          <w:rFonts w:ascii="Times New Roman" w:hAnsi="Times New Roman" w:cs="Times New Roman"/>
          <w:sz w:val="24"/>
          <w:szCs w:val="24"/>
          <w:lang w:val="en-GB"/>
        </w:rPr>
        <w:t xml:space="preserve">. </w:t>
      </w:r>
      <w:r w:rsidRPr="008A7487">
        <w:rPr>
          <w:rFonts w:ascii="Times New Roman" w:hAnsi="Times New Roman" w:cs="Times New Roman"/>
          <w:sz w:val="24"/>
          <w:szCs w:val="24"/>
        </w:rPr>
        <w:t>Efficiency in European Banking. John Willey and Sons, Chichester.</w:t>
      </w:r>
    </w:p>
    <w:p w14:paraId="58662570" w14:textId="67A4A0CE" w:rsidR="00EA1463" w:rsidRPr="008A7487" w:rsidRDefault="00EA1463" w:rsidP="00412A38">
      <w:pPr>
        <w:spacing w:before="240" w:line="240" w:lineRule="auto"/>
        <w:jc w:val="both"/>
        <w:rPr>
          <w:rFonts w:ascii="Times New Roman" w:hAnsi="Times New Roman" w:cs="Times New Roman"/>
          <w:sz w:val="24"/>
          <w:szCs w:val="24"/>
          <w:highlight w:val="yellow"/>
        </w:rPr>
      </w:pPr>
      <w:r w:rsidRPr="00A91FE1">
        <w:rPr>
          <w:rFonts w:ascii="Times New Roman" w:hAnsi="Times New Roman" w:cs="Times New Roman"/>
          <w:sz w:val="24"/>
          <w:szCs w:val="24"/>
          <w:lang w:val="de-DE"/>
        </w:rPr>
        <w:t>Moyer R</w:t>
      </w:r>
      <w:r w:rsidR="00454919" w:rsidRPr="00A91FE1">
        <w:rPr>
          <w:rFonts w:ascii="Times New Roman" w:hAnsi="Times New Roman" w:cs="Times New Roman"/>
          <w:sz w:val="24"/>
          <w:szCs w:val="24"/>
          <w:lang w:val="de-DE"/>
        </w:rPr>
        <w:t>.</w:t>
      </w:r>
      <w:r w:rsidRPr="00A91FE1">
        <w:rPr>
          <w:rFonts w:ascii="Times New Roman" w:hAnsi="Times New Roman" w:cs="Times New Roman"/>
          <w:sz w:val="24"/>
          <w:szCs w:val="24"/>
          <w:lang w:val="de-DE"/>
        </w:rPr>
        <w:t xml:space="preserve"> C</w:t>
      </w:r>
      <w:r w:rsidR="00454919" w:rsidRPr="00A91FE1">
        <w:rPr>
          <w:rFonts w:ascii="Times New Roman" w:hAnsi="Times New Roman" w:cs="Times New Roman"/>
          <w:sz w:val="24"/>
          <w:szCs w:val="24"/>
          <w:lang w:val="de-DE"/>
        </w:rPr>
        <w:t>.</w:t>
      </w:r>
      <w:r w:rsidRPr="00A91FE1">
        <w:rPr>
          <w:rFonts w:ascii="Times New Roman" w:hAnsi="Times New Roman" w:cs="Times New Roman"/>
          <w:sz w:val="24"/>
          <w:szCs w:val="24"/>
          <w:lang w:val="de-DE"/>
        </w:rPr>
        <w:t>, McGuigan J</w:t>
      </w:r>
      <w:r w:rsidR="00454919" w:rsidRPr="00A91FE1">
        <w:rPr>
          <w:rFonts w:ascii="Times New Roman" w:hAnsi="Times New Roman" w:cs="Times New Roman"/>
          <w:sz w:val="24"/>
          <w:szCs w:val="24"/>
          <w:lang w:val="de-DE"/>
        </w:rPr>
        <w:t>.</w:t>
      </w:r>
      <w:r w:rsidRPr="00A91FE1">
        <w:rPr>
          <w:rFonts w:ascii="Times New Roman" w:hAnsi="Times New Roman" w:cs="Times New Roman"/>
          <w:sz w:val="24"/>
          <w:szCs w:val="24"/>
          <w:lang w:val="de-DE"/>
        </w:rPr>
        <w:t xml:space="preserve"> R</w:t>
      </w:r>
      <w:r w:rsidR="00454919" w:rsidRPr="00A91FE1">
        <w:rPr>
          <w:rFonts w:ascii="Times New Roman" w:hAnsi="Times New Roman" w:cs="Times New Roman"/>
          <w:sz w:val="24"/>
          <w:szCs w:val="24"/>
          <w:lang w:val="de-DE"/>
        </w:rPr>
        <w:t>.</w:t>
      </w:r>
      <w:r w:rsidR="00697343" w:rsidRPr="00A91FE1">
        <w:rPr>
          <w:rFonts w:ascii="Times New Roman" w:hAnsi="Times New Roman" w:cs="Times New Roman"/>
          <w:sz w:val="24"/>
          <w:szCs w:val="24"/>
          <w:lang w:val="de-DE"/>
        </w:rPr>
        <w:t>,</w:t>
      </w:r>
      <w:r w:rsidRPr="00A91FE1">
        <w:rPr>
          <w:rFonts w:ascii="Times New Roman" w:hAnsi="Times New Roman" w:cs="Times New Roman"/>
          <w:sz w:val="24"/>
          <w:szCs w:val="24"/>
          <w:lang w:val="de-DE"/>
        </w:rPr>
        <w:t xml:space="preserve"> </w:t>
      </w:r>
      <w:r w:rsidR="00697343" w:rsidRPr="00A91FE1">
        <w:rPr>
          <w:rFonts w:ascii="Times New Roman" w:hAnsi="Times New Roman" w:cs="Times New Roman"/>
          <w:sz w:val="24"/>
          <w:szCs w:val="24"/>
          <w:lang w:val="de-DE"/>
        </w:rPr>
        <w:t>&amp;</w:t>
      </w:r>
      <w:r w:rsidRPr="00A91FE1">
        <w:rPr>
          <w:rFonts w:ascii="Times New Roman" w:hAnsi="Times New Roman" w:cs="Times New Roman"/>
          <w:sz w:val="24"/>
          <w:szCs w:val="24"/>
          <w:lang w:val="de-DE"/>
        </w:rPr>
        <w:t xml:space="preserve"> Kretlow W</w:t>
      </w:r>
      <w:r w:rsidR="00454919" w:rsidRPr="00A91FE1">
        <w:rPr>
          <w:rFonts w:ascii="Times New Roman" w:hAnsi="Times New Roman" w:cs="Times New Roman"/>
          <w:sz w:val="24"/>
          <w:szCs w:val="24"/>
          <w:lang w:val="de-DE"/>
        </w:rPr>
        <w:t>.</w:t>
      </w:r>
      <w:r w:rsidRPr="00A91FE1">
        <w:rPr>
          <w:rFonts w:ascii="Times New Roman" w:hAnsi="Times New Roman" w:cs="Times New Roman"/>
          <w:sz w:val="24"/>
          <w:szCs w:val="24"/>
          <w:lang w:val="de-DE"/>
        </w:rPr>
        <w:t xml:space="preserve"> J</w:t>
      </w:r>
      <w:r w:rsidR="00454919" w:rsidRPr="00A91FE1">
        <w:rPr>
          <w:rFonts w:ascii="Times New Roman" w:hAnsi="Times New Roman" w:cs="Times New Roman"/>
          <w:sz w:val="24"/>
          <w:szCs w:val="24"/>
          <w:lang w:val="de-DE"/>
        </w:rPr>
        <w:t>.</w:t>
      </w:r>
      <w:r w:rsidRPr="00A91FE1">
        <w:rPr>
          <w:rFonts w:ascii="Times New Roman" w:hAnsi="Times New Roman" w:cs="Times New Roman"/>
          <w:sz w:val="24"/>
          <w:szCs w:val="24"/>
          <w:lang w:val="de-DE"/>
        </w:rPr>
        <w:t xml:space="preserve"> </w:t>
      </w:r>
      <w:r w:rsidR="00065AF8" w:rsidRPr="00A91FE1">
        <w:rPr>
          <w:rFonts w:ascii="Times New Roman" w:hAnsi="Times New Roman" w:cs="Times New Roman"/>
          <w:sz w:val="24"/>
          <w:szCs w:val="24"/>
          <w:lang w:val="de-DE"/>
        </w:rPr>
        <w:t>(</w:t>
      </w:r>
      <w:r w:rsidRPr="00A91FE1">
        <w:rPr>
          <w:rFonts w:ascii="Times New Roman" w:hAnsi="Times New Roman" w:cs="Times New Roman"/>
          <w:sz w:val="24"/>
          <w:szCs w:val="24"/>
          <w:lang w:val="de-DE"/>
        </w:rPr>
        <w:t>2005</w:t>
      </w:r>
      <w:r w:rsidR="00065AF8" w:rsidRPr="00A91FE1">
        <w:rPr>
          <w:rFonts w:ascii="Times New Roman" w:hAnsi="Times New Roman" w:cs="Times New Roman"/>
          <w:sz w:val="24"/>
          <w:szCs w:val="24"/>
          <w:lang w:val="de-DE"/>
        </w:rPr>
        <w:t>)</w:t>
      </w:r>
      <w:r w:rsidRPr="00A91FE1">
        <w:rPr>
          <w:rFonts w:ascii="Times New Roman" w:hAnsi="Times New Roman" w:cs="Times New Roman"/>
          <w:sz w:val="24"/>
          <w:szCs w:val="24"/>
          <w:lang w:val="de-DE"/>
        </w:rPr>
        <w:t xml:space="preserve">. </w:t>
      </w:r>
      <w:r w:rsidRPr="008A7487">
        <w:rPr>
          <w:rFonts w:ascii="Times New Roman" w:hAnsi="Times New Roman" w:cs="Times New Roman"/>
          <w:sz w:val="24"/>
          <w:szCs w:val="24"/>
        </w:rPr>
        <w:t>Contemporary Financial Management, 10th Edition, South-Western College Publishing, New York.</w:t>
      </w:r>
    </w:p>
    <w:p w14:paraId="61B71D0A" w14:textId="32893428" w:rsidR="00EA1463" w:rsidRDefault="00EA1463" w:rsidP="00412A38">
      <w:pPr>
        <w:spacing w:before="240" w:line="240" w:lineRule="auto"/>
        <w:jc w:val="both"/>
        <w:rPr>
          <w:rFonts w:ascii="Times New Roman" w:hAnsi="Times New Roman" w:cs="Times New Roman"/>
          <w:sz w:val="24"/>
          <w:szCs w:val="24"/>
        </w:rPr>
      </w:pPr>
      <w:r w:rsidRPr="008A7487">
        <w:rPr>
          <w:rFonts w:ascii="Times New Roman" w:hAnsi="Times New Roman" w:cs="Times New Roman"/>
          <w:sz w:val="24"/>
          <w:szCs w:val="24"/>
          <w:lang w:val="en-GB"/>
        </w:rPr>
        <w:t xml:space="preserve">Pasiouras, F., </w:t>
      </w:r>
      <w:r w:rsidR="00697343">
        <w:rPr>
          <w:rFonts w:ascii="Times New Roman" w:hAnsi="Times New Roman" w:cs="Times New Roman"/>
          <w:sz w:val="24"/>
          <w:szCs w:val="24"/>
          <w:lang w:val="en-GB"/>
        </w:rPr>
        <w:t>&amp;</w:t>
      </w:r>
      <w:r w:rsidRPr="008A7487">
        <w:rPr>
          <w:rFonts w:ascii="Times New Roman" w:hAnsi="Times New Roman" w:cs="Times New Roman"/>
          <w:sz w:val="24"/>
          <w:szCs w:val="24"/>
          <w:lang w:val="en-GB"/>
        </w:rPr>
        <w:t xml:space="preserve"> Kosmidou, K. </w:t>
      </w:r>
      <w:r w:rsidR="00065AF8">
        <w:rPr>
          <w:rFonts w:ascii="Times New Roman" w:hAnsi="Times New Roman" w:cs="Times New Roman"/>
          <w:sz w:val="24"/>
          <w:szCs w:val="24"/>
          <w:lang w:val="en-GB"/>
        </w:rPr>
        <w:t>(</w:t>
      </w:r>
      <w:r w:rsidRPr="008A7487">
        <w:rPr>
          <w:rFonts w:ascii="Times New Roman" w:hAnsi="Times New Roman" w:cs="Times New Roman"/>
          <w:sz w:val="24"/>
          <w:szCs w:val="24"/>
          <w:lang w:val="en-GB"/>
        </w:rPr>
        <w:t>2007</w:t>
      </w:r>
      <w:r w:rsidR="00065AF8">
        <w:rPr>
          <w:rFonts w:ascii="Times New Roman" w:hAnsi="Times New Roman" w:cs="Times New Roman"/>
          <w:sz w:val="24"/>
          <w:szCs w:val="24"/>
          <w:lang w:val="en-GB"/>
        </w:rPr>
        <w:t>)</w:t>
      </w:r>
      <w:r w:rsidRPr="008A7487">
        <w:rPr>
          <w:rFonts w:ascii="Times New Roman" w:hAnsi="Times New Roman" w:cs="Times New Roman"/>
          <w:sz w:val="24"/>
          <w:szCs w:val="24"/>
          <w:lang w:val="en-GB"/>
        </w:rPr>
        <w:t xml:space="preserve">. </w:t>
      </w:r>
      <w:r w:rsidRPr="008A7487">
        <w:rPr>
          <w:rFonts w:ascii="Times New Roman" w:hAnsi="Times New Roman" w:cs="Times New Roman"/>
          <w:sz w:val="24"/>
          <w:szCs w:val="24"/>
        </w:rPr>
        <w:t xml:space="preserve">Factors influencing the profitability of domestic and foreign commercial banks in the European Union. </w:t>
      </w:r>
      <w:r w:rsidRPr="008A7487">
        <w:rPr>
          <w:rFonts w:ascii="Times New Roman" w:hAnsi="Times New Roman" w:cs="Times New Roman"/>
          <w:i/>
          <w:sz w:val="24"/>
          <w:szCs w:val="24"/>
        </w:rPr>
        <w:t>Research in International Business and Finance</w:t>
      </w:r>
      <w:r w:rsidRPr="008A7487">
        <w:rPr>
          <w:rFonts w:ascii="Times New Roman" w:hAnsi="Times New Roman" w:cs="Times New Roman"/>
          <w:sz w:val="24"/>
          <w:szCs w:val="24"/>
        </w:rPr>
        <w:t>, 21(2), 222-237.</w:t>
      </w:r>
    </w:p>
    <w:p w14:paraId="0F269D76" w14:textId="7C918343" w:rsidR="005B5F43" w:rsidRPr="001F2B7A" w:rsidRDefault="00734FC6" w:rsidP="001F2B7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Puri, M.,</w:t>
      </w:r>
      <w:r w:rsidR="001F2B7A">
        <w:rPr>
          <w:rFonts w:ascii="Times New Roman" w:hAnsi="Times New Roman" w:cs="Times New Roman"/>
          <w:sz w:val="24"/>
          <w:szCs w:val="24"/>
        </w:rPr>
        <w:t xml:space="preserve"> </w:t>
      </w:r>
      <w:r w:rsidR="005B5F43" w:rsidRPr="001F2B7A">
        <w:rPr>
          <w:rFonts w:ascii="Times New Roman" w:hAnsi="Times New Roman" w:cs="Times New Roman"/>
          <w:sz w:val="24"/>
          <w:szCs w:val="24"/>
        </w:rPr>
        <w:t xml:space="preserve">Rocholl, J., &amp; Steffen, S. (2011). </w:t>
      </w:r>
      <w:r w:rsidR="005B5F43" w:rsidRPr="001F2B7A">
        <w:rPr>
          <w:rFonts w:ascii="Times New Roman" w:hAnsi="Times New Roman" w:cs="Times New Roman"/>
          <w:bCs/>
          <w:sz w:val="24"/>
          <w:szCs w:val="24"/>
        </w:rPr>
        <w:t>Global retail lending in the aftermath of the US financial crisis: Distinguishing between supply and demand effects</w:t>
      </w:r>
      <w:r w:rsidR="001F2B7A">
        <w:rPr>
          <w:rFonts w:ascii="Times New Roman" w:hAnsi="Times New Roman" w:cs="Times New Roman"/>
          <w:bCs/>
          <w:sz w:val="24"/>
          <w:szCs w:val="24"/>
        </w:rPr>
        <w:t>.</w:t>
      </w:r>
      <w:r w:rsidR="001F2B7A" w:rsidRPr="001F2B7A">
        <w:rPr>
          <w:rFonts w:ascii="Times New Roman" w:hAnsi="Times New Roman" w:cs="Times New Roman"/>
          <w:bCs/>
          <w:sz w:val="24"/>
          <w:szCs w:val="24"/>
        </w:rPr>
        <w:t xml:space="preserve"> </w:t>
      </w:r>
      <w:hyperlink r:id="rId9" w:tooltip="Go to Journal of Financial Economics on ScienceDirect" w:history="1">
        <w:r w:rsidR="005B5F43" w:rsidRPr="001F2B7A">
          <w:rPr>
            <w:rStyle w:val="Hyperlink"/>
            <w:rFonts w:ascii="Times New Roman" w:hAnsi="Times New Roman" w:cs="Times New Roman"/>
            <w:i/>
            <w:color w:val="auto"/>
            <w:sz w:val="24"/>
            <w:szCs w:val="24"/>
            <w:u w:val="none"/>
            <w:bdr w:val="none" w:sz="0" w:space="0" w:color="auto" w:frame="1"/>
          </w:rPr>
          <w:t>Journal of Financial Economics</w:t>
        </w:r>
      </w:hyperlink>
      <w:r w:rsidR="001F2B7A" w:rsidRPr="001F2B7A">
        <w:rPr>
          <w:rFonts w:ascii="Times New Roman" w:hAnsi="Times New Roman" w:cs="Times New Roman"/>
          <w:bCs/>
          <w:sz w:val="24"/>
          <w:szCs w:val="24"/>
        </w:rPr>
        <w:t>, 100 (3), 556-578.</w:t>
      </w:r>
      <w:r w:rsidR="001F2B7A" w:rsidRPr="001F2B7A">
        <w:rPr>
          <w:rFonts w:ascii="Times New Roman" w:hAnsi="Times New Roman" w:cs="Times New Roman"/>
          <w:sz w:val="24"/>
          <w:szCs w:val="24"/>
        </w:rPr>
        <w:t xml:space="preserve"> </w:t>
      </w:r>
    </w:p>
    <w:p w14:paraId="3D0F9368" w14:textId="715B6A7E" w:rsidR="009E32FD" w:rsidRPr="008A7487" w:rsidRDefault="009E32FD" w:rsidP="00412A38">
      <w:pPr>
        <w:spacing w:before="240" w:line="240" w:lineRule="auto"/>
        <w:jc w:val="both"/>
        <w:rPr>
          <w:rFonts w:ascii="Times New Roman" w:hAnsi="Times New Roman" w:cs="Times New Roman"/>
          <w:sz w:val="24"/>
          <w:szCs w:val="24"/>
        </w:rPr>
      </w:pPr>
      <w:r w:rsidRPr="008A7487">
        <w:rPr>
          <w:rFonts w:ascii="Times New Roman" w:hAnsi="Times New Roman" w:cs="Times New Roman"/>
          <w:sz w:val="24"/>
          <w:szCs w:val="24"/>
        </w:rPr>
        <w:lastRenderedPageBreak/>
        <w:t>Rumle</w:t>
      </w:r>
      <w:r w:rsidR="00B82FDC" w:rsidRPr="008A7487">
        <w:rPr>
          <w:rFonts w:ascii="Times New Roman" w:hAnsi="Times New Roman" w:cs="Times New Roman"/>
          <w:sz w:val="24"/>
          <w:szCs w:val="24"/>
        </w:rPr>
        <w:t xml:space="preserve">r, F., </w:t>
      </w:r>
      <w:r w:rsidR="00697343">
        <w:rPr>
          <w:rFonts w:ascii="Times New Roman" w:hAnsi="Times New Roman" w:cs="Times New Roman"/>
          <w:sz w:val="24"/>
          <w:szCs w:val="24"/>
        </w:rPr>
        <w:t>&amp;</w:t>
      </w:r>
      <w:r w:rsidR="00B82FDC" w:rsidRPr="008A7487">
        <w:rPr>
          <w:rFonts w:ascii="Times New Roman" w:hAnsi="Times New Roman" w:cs="Times New Roman"/>
          <w:sz w:val="24"/>
          <w:szCs w:val="24"/>
        </w:rPr>
        <w:t xml:space="preserve"> Waschiczek, W. </w:t>
      </w:r>
      <w:r w:rsidR="00065AF8">
        <w:rPr>
          <w:rFonts w:ascii="Times New Roman" w:hAnsi="Times New Roman" w:cs="Times New Roman"/>
          <w:sz w:val="24"/>
          <w:szCs w:val="24"/>
        </w:rPr>
        <w:t>(</w:t>
      </w:r>
      <w:r w:rsidR="00B82FDC" w:rsidRPr="008A7487">
        <w:rPr>
          <w:rFonts w:ascii="Times New Roman" w:hAnsi="Times New Roman" w:cs="Times New Roman"/>
          <w:sz w:val="24"/>
          <w:szCs w:val="24"/>
        </w:rPr>
        <w:t>2010</w:t>
      </w:r>
      <w:r w:rsidR="00065AF8">
        <w:rPr>
          <w:rFonts w:ascii="Times New Roman" w:hAnsi="Times New Roman" w:cs="Times New Roman"/>
          <w:sz w:val="24"/>
          <w:szCs w:val="24"/>
        </w:rPr>
        <w:t>)</w:t>
      </w:r>
      <w:r w:rsidRPr="008A7487">
        <w:rPr>
          <w:rFonts w:ascii="Times New Roman" w:hAnsi="Times New Roman" w:cs="Times New Roman"/>
          <w:sz w:val="24"/>
          <w:szCs w:val="24"/>
        </w:rPr>
        <w:t xml:space="preserve">. The impact of economic factors on bank profits. </w:t>
      </w:r>
      <w:r w:rsidRPr="008A7487">
        <w:rPr>
          <w:rFonts w:ascii="Times New Roman" w:hAnsi="Times New Roman" w:cs="Times New Roman"/>
          <w:i/>
          <w:sz w:val="24"/>
          <w:szCs w:val="24"/>
        </w:rPr>
        <w:t>Monetary Policy and The Economy</w:t>
      </w:r>
      <w:r w:rsidRPr="008A7487">
        <w:rPr>
          <w:rFonts w:ascii="Times New Roman" w:hAnsi="Times New Roman" w:cs="Times New Roman"/>
          <w:sz w:val="24"/>
          <w:szCs w:val="24"/>
        </w:rPr>
        <w:t xml:space="preserve"> </w:t>
      </w:r>
      <w:r w:rsidRPr="00F430F1">
        <w:rPr>
          <w:rFonts w:ascii="Times New Roman" w:hAnsi="Times New Roman" w:cs="Times New Roman"/>
          <w:i/>
          <w:sz w:val="24"/>
          <w:szCs w:val="24"/>
        </w:rPr>
        <w:t>Q</w:t>
      </w:r>
      <w:r w:rsidRPr="008A7487">
        <w:rPr>
          <w:rFonts w:ascii="Times New Roman" w:hAnsi="Times New Roman" w:cs="Times New Roman"/>
          <w:sz w:val="24"/>
          <w:szCs w:val="24"/>
        </w:rPr>
        <w:t>, 4, 49-67.</w:t>
      </w:r>
    </w:p>
    <w:p w14:paraId="48E2034A" w14:textId="3E901D21" w:rsidR="00EA1463" w:rsidRPr="008A7487" w:rsidRDefault="00EA1463" w:rsidP="00412A38">
      <w:pPr>
        <w:autoSpaceDE w:val="0"/>
        <w:autoSpaceDN w:val="0"/>
        <w:adjustRightInd w:val="0"/>
        <w:spacing w:before="240" w:line="240" w:lineRule="auto"/>
        <w:jc w:val="both"/>
        <w:rPr>
          <w:rFonts w:ascii="Times New Roman" w:hAnsi="Times New Roman" w:cs="Times New Roman"/>
          <w:sz w:val="24"/>
          <w:szCs w:val="24"/>
        </w:rPr>
      </w:pPr>
      <w:r w:rsidRPr="008A7487">
        <w:rPr>
          <w:rFonts w:ascii="Times New Roman" w:hAnsi="Times New Roman" w:cs="Times New Roman"/>
          <w:sz w:val="24"/>
          <w:szCs w:val="24"/>
        </w:rPr>
        <w:t xml:space="preserve">Saunders, A., </w:t>
      </w:r>
      <w:r w:rsidR="00697343">
        <w:rPr>
          <w:rFonts w:ascii="Times New Roman" w:hAnsi="Times New Roman" w:cs="Times New Roman"/>
          <w:sz w:val="24"/>
          <w:szCs w:val="24"/>
        </w:rPr>
        <w:t xml:space="preserve">&amp; </w:t>
      </w:r>
      <w:r w:rsidRPr="008A7487">
        <w:rPr>
          <w:rFonts w:ascii="Times New Roman" w:hAnsi="Times New Roman" w:cs="Times New Roman"/>
          <w:sz w:val="24"/>
          <w:szCs w:val="24"/>
        </w:rPr>
        <w:t>Schumacher,</w:t>
      </w:r>
      <w:r w:rsidR="00697343">
        <w:rPr>
          <w:rFonts w:ascii="Times New Roman" w:hAnsi="Times New Roman" w:cs="Times New Roman"/>
          <w:sz w:val="24"/>
          <w:szCs w:val="24"/>
        </w:rPr>
        <w:t xml:space="preserve"> L.</w:t>
      </w:r>
      <w:r w:rsidRPr="008A7487">
        <w:rPr>
          <w:rFonts w:ascii="Times New Roman" w:hAnsi="Times New Roman" w:cs="Times New Roman"/>
          <w:sz w:val="24"/>
          <w:szCs w:val="24"/>
        </w:rPr>
        <w:t xml:space="preserve"> </w:t>
      </w:r>
      <w:r w:rsidR="00065AF8">
        <w:rPr>
          <w:rFonts w:ascii="Times New Roman" w:hAnsi="Times New Roman" w:cs="Times New Roman"/>
          <w:sz w:val="24"/>
          <w:szCs w:val="24"/>
        </w:rPr>
        <w:t>(</w:t>
      </w:r>
      <w:r w:rsidRPr="008A7487">
        <w:rPr>
          <w:rFonts w:ascii="Times New Roman" w:hAnsi="Times New Roman" w:cs="Times New Roman"/>
          <w:sz w:val="24"/>
          <w:szCs w:val="24"/>
        </w:rPr>
        <w:t>2000</w:t>
      </w:r>
      <w:r w:rsidR="00065AF8">
        <w:rPr>
          <w:rFonts w:ascii="Times New Roman" w:hAnsi="Times New Roman" w:cs="Times New Roman"/>
          <w:sz w:val="24"/>
          <w:szCs w:val="24"/>
        </w:rPr>
        <w:t>)</w:t>
      </w:r>
      <w:r w:rsidRPr="008A7487">
        <w:rPr>
          <w:rFonts w:ascii="Times New Roman" w:hAnsi="Times New Roman" w:cs="Times New Roman"/>
          <w:sz w:val="24"/>
          <w:szCs w:val="24"/>
        </w:rPr>
        <w:t>. The Determin</w:t>
      </w:r>
      <w:r w:rsidR="00697343">
        <w:rPr>
          <w:rFonts w:ascii="Times New Roman" w:hAnsi="Times New Roman" w:cs="Times New Roman"/>
          <w:sz w:val="24"/>
          <w:szCs w:val="24"/>
        </w:rPr>
        <w:t>ants of bank interest rate margins: An international s</w:t>
      </w:r>
      <w:r w:rsidRPr="008A7487">
        <w:rPr>
          <w:rFonts w:ascii="Times New Roman" w:hAnsi="Times New Roman" w:cs="Times New Roman"/>
          <w:sz w:val="24"/>
          <w:szCs w:val="24"/>
        </w:rPr>
        <w:t xml:space="preserve">tudy, </w:t>
      </w:r>
      <w:r w:rsidRPr="008A7487">
        <w:rPr>
          <w:rFonts w:ascii="Times New Roman" w:hAnsi="Times New Roman" w:cs="Times New Roman"/>
          <w:i/>
          <w:sz w:val="24"/>
          <w:szCs w:val="24"/>
        </w:rPr>
        <w:t>Journal of International Money and Finance</w:t>
      </w:r>
      <w:r w:rsidR="00697343">
        <w:rPr>
          <w:rFonts w:ascii="Times New Roman" w:hAnsi="Times New Roman" w:cs="Times New Roman"/>
          <w:sz w:val="24"/>
          <w:szCs w:val="24"/>
        </w:rPr>
        <w:t xml:space="preserve">, 19, </w:t>
      </w:r>
      <w:r w:rsidRPr="008A7487">
        <w:rPr>
          <w:rFonts w:ascii="Times New Roman" w:hAnsi="Times New Roman" w:cs="Times New Roman"/>
          <w:sz w:val="24"/>
          <w:szCs w:val="24"/>
        </w:rPr>
        <w:t>813–832.</w:t>
      </w:r>
    </w:p>
    <w:p w14:paraId="21A514FC" w14:textId="59CF7DEF" w:rsidR="00EA1463" w:rsidRPr="008A7487" w:rsidRDefault="00EA1463" w:rsidP="00412A38">
      <w:pPr>
        <w:autoSpaceDE w:val="0"/>
        <w:autoSpaceDN w:val="0"/>
        <w:adjustRightInd w:val="0"/>
        <w:spacing w:before="240" w:line="240" w:lineRule="auto"/>
        <w:jc w:val="both"/>
        <w:rPr>
          <w:rFonts w:ascii="Times New Roman" w:hAnsi="Times New Roman" w:cs="Times New Roman"/>
          <w:sz w:val="24"/>
          <w:szCs w:val="24"/>
          <w:lang w:val="en-GB"/>
        </w:rPr>
      </w:pPr>
      <w:r w:rsidRPr="00A91FE1">
        <w:rPr>
          <w:rFonts w:ascii="Times New Roman" w:hAnsi="Times New Roman" w:cs="Times New Roman"/>
          <w:sz w:val="24"/>
          <w:szCs w:val="24"/>
          <w:lang w:val="de-DE"/>
        </w:rPr>
        <w:t xml:space="preserve">Shehzad, C. T., De Haan, J., </w:t>
      </w:r>
      <w:r w:rsidR="00697343" w:rsidRPr="00A91FE1">
        <w:rPr>
          <w:rFonts w:ascii="Times New Roman" w:hAnsi="Times New Roman" w:cs="Times New Roman"/>
          <w:sz w:val="24"/>
          <w:szCs w:val="24"/>
          <w:lang w:val="de-DE"/>
        </w:rPr>
        <w:t>&amp;</w:t>
      </w:r>
      <w:r w:rsidRPr="00A91FE1">
        <w:rPr>
          <w:rFonts w:ascii="Times New Roman" w:hAnsi="Times New Roman" w:cs="Times New Roman"/>
          <w:sz w:val="24"/>
          <w:szCs w:val="24"/>
          <w:lang w:val="de-DE"/>
        </w:rPr>
        <w:t xml:space="preserve"> Scholtens, B. </w:t>
      </w:r>
      <w:r w:rsidR="00065AF8" w:rsidRPr="00A91FE1">
        <w:rPr>
          <w:rFonts w:ascii="Times New Roman" w:hAnsi="Times New Roman" w:cs="Times New Roman"/>
          <w:sz w:val="24"/>
          <w:szCs w:val="24"/>
          <w:lang w:val="de-DE"/>
        </w:rPr>
        <w:t>(</w:t>
      </w:r>
      <w:r w:rsidRPr="00A91FE1">
        <w:rPr>
          <w:rFonts w:ascii="Times New Roman" w:hAnsi="Times New Roman" w:cs="Times New Roman"/>
          <w:sz w:val="24"/>
          <w:szCs w:val="24"/>
          <w:lang w:val="de-DE"/>
        </w:rPr>
        <w:t>2013</w:t>
      </w:r>
      <w:r w:rsidR="00065AF8" w:rsidRPr="00A91FE1">
        <w:rPr>
          <w:rFonts w:ascii="Times New Roman" w:hAnsi="Times New Roman" w:cs="Times New Roman"/>
          <w:sz w:val="24"/>
          <w:szCs w:val="24"/>
          <w:lang w:val="de-DE"/>
        </w:rPr>
        <w:t>)</w:t>
      </w:r>
      <w:r w:rsidRPr="00A91FE1">
        <w:rPr>
          <w:rFonts w:ascii="Times New Roman" w:hAnsi="Times New Roman" w:cs="Times New Roman"/>
          <w:sz w:val="24"/>
          <w:szCs w:val="24"/>
          <w:lang w:val="de-DE"/>
        </w:rPr>
        <w:t xml:space="preserve">. </w:t>
      </w:r>
      <w:r w:rsidRPr="008A7487">
        <w:rPr>
          <w:rFonts w:ascii="Times New Roman" w:hAnsi="Times New Roman" w:cs="Times New Roman"/>
          <w:sz w:val="24"/>
          <w:szCs w:val="24"/>
          <w:lang w:val="en-GB"/>
        </w:rPr>
        <w:t xml:space="preserve">The relationship between size, growth and profitability of commercial banks. </w:t>
      </w:r>
      <w:r w:rsidRPr="008A7487">
        <w:rPr>
          <w:rFonts w:ascii="Times New Roman" w:hAnsi="Times New Roman" w:cs="Times New Roman"/>
          <w:i/>
          <w:iCs/>
          <w:sz w:val="24"/>
          <w:szCs w:val="24"/>
          <w:lang w:val="en-GB"/>
        </w:rPr>
        <w:t>Applied Economics</w:t>
      </w:r>
      <w:r w:rsidRPr="008A7487">
        <w:rPr>
          <w:rFonts w:ascii="Times New Roman" w:hAnsi="Times New Roman" w:cs="Times New Roman"/>
          <w:sz w:val="24"/>
          <w:szCs w:val="24"/>
          <w:lang w:val="en-GB"/>
        </w:rPr>
        <w:t xml:space="preserve">, </w:t>
      </w:r>
      <w:r w:rsidRPr="008A7487">
        <w:rPr>
          <w:rFonts w:ascii="Times New Roman" w:hAnsi="Times New Roman" w:cs="Times New Roman"/>
          <w:i/>
          <w:iCs/>
          <w:sz w:val="24"/>
          <w:szCs w:val="24"/>
          <w:lang w:val="en-GB"/>
        </w:rPr>
        <w:t>45</w:t>
      </w:r>
      <w:r w:rsidRPr="008A7487">
        <w:rPr>
          <w:rFonts w:ascii="Times New Roman" w:hAnsi="Times New Roman" w:cs="Times New Roman"/>
          <w:sz w:val="24"/>
          <w:szCs w:val="24"/>
          <w:lang w:val="en-GB"/>
        </w:rPr>
        <w:t>(13), 1751-1765.</w:t>
      </w:r>
    </w:p>
    <w:p w14:paraId="5522DEFD" w14:textId="68A2D5CC" w:rsidR="00EA1463" w:rsidRPr="008A7487" w:rsidRDefault="00EA1463" w:rsidP="00412A38">
      <w:pPr>
        <w:spacing w:before="240" w:line="240" w:lineRule="auto"/>
        <w:jc w:val="both"/>
        <w:rPr>
          <w:rFonts w:ascii="Times New Roman" w:hAnsi="Times New Roman" w:cs="Times New Roman"/>
          <w:sz w:val="24"/>
          <w:szCs w:val="24"/>
        </w:rPr>
      </w:pPr>
      <w:r w:rsidRPr="008A7487">
        <w:rPr>
          <w:rFonts w:ascii="Times New Roman" w:hAnsi="Times New Roman" w:cs="Times New Roman"/>
          <w:sz w:val="24"/>
          <w:szCs w:val="24"/>
        </w:rPr>
        <w:t xml:space="preserve">Short, B. K. </w:t>
      </w:r>
      <w:r w:rsidR="00065AF8">
        <w:rPr>
          <w:rFonts w:ascii="Times New Roman" w:hAnsi="Times New Roman" w:cs="Times New Roman"/>
          <w:sz w:val="24"/>
          <w:szCs w:val="24"/>
        </w:rPr>
        <w:t>(</w:t>
      </w:r>
      <w:r w:rsidR="00697343">
        <w:rPr>
          <w:rFonts w:ascii="Times New Roman" w:hAnsi="Times New Roman" w:cs="Times New Roman"/>
          <w:sz w:val="24"/>
          <w:szCs w:val="24"/>
        </w:rPr>
        <w:t>1979</w:t>
      </w:r>
      <w:r w:rsidR="00065AF8">
        <w:rPr>
          <w:rFonts w:ascii="Times New Roman" w:hAnsi="Times New Roman" w:cs="Times New Roman"/>
          <w:sz w:val="24"/>
          <w:szCs w:val="24"/>
        </w:rPr>
        <w:t>)</w:t>
      </w:r>
      <w:r w:rsidR="00697343">
        <w:rPr>
          <w:rFonts w:ascii="Times New Roman" w:hAnsi="Times New Roman" w:cs="Times New Roman"/>
          <w:sz w:val="24"/>
          <w:szCs w:val="24"/>
        </w:rPr>
        <w:t>. The Relationship between commercial bank profit rates and banking c</w:t>
      </w:r>
      <w:r w:rsidRPr="008A7487">
        <w:rPr>
          <w:rFonts w:ascii="Times New Roman" w:hAnsi="Times New Roman" w:cs="Times New Roman"/>
          <w:sz w:val="24"/>
          <w:szCs w:val="24"/>
        </w:rPr>
        <w:t xml:space="preserve">oncentration in Canada, Western Europe and Japan. </w:t>
      </w:r>
      <w:r w:rsidRPr="008A7487">
        <w:rPr>
          <w:rStyle w:val="Emphasis"/>
          <w:rFonts w:ascii="Times New Roman" w:hAnsi="Times New Roman" w:cs="Times New Roman"/>
          <w:sz w:val="24"/>
          <w:szCs w:val="24"/>
        </w:rPr>
        <w:t>Journal of Banking and Fin</w:t>
      </w:r>
      <w:bookmarkStart w:id="0" w:name="_GoBack"/>
      <w:bookmarkEnd w:id="0"/>
      <w:r w:rsidRPr="008A7487">
        <w:rPr>
          <w:rStyle w:val="Emphasis"/>
          <w:rFonts w:ascii="Times New Roman" w:hAnsi="Times New Roman" w:cs="Times New Roman"/>
          <w:sz w:val="24"/>
          <w:szCs w:val="24"/>
        </w:rPr>
        <w:t>ance</w:t>
      </w:r>
      <w:r w:rsidR="00F430F1">
        <w:rPr>
          <w:rStyle w:val="Emphasis"/>
          <w:rFonts w:ascii="Times New Roman" w:hAnsi="Times New Roman" w:cs="Times New Roman"/>
          <w:sz w:val="24"/>
          <w:szCs w:val="24"/>
        </w:rPr>
        <w:t>,</w:t>
      </w:r>
      <w:r w:rsidR="00697343">
        <w:rPr>
          <w:rFonts w:ascii="Times New Roman" w:hAnsi="Times New Roman" w:cs="Times New Roman"/>
          <w:sz w:val="24"/>
          <w:szCs w:val="24"/>
        </w:rPr>
        <w:t xml:space="preserve"> 3, </w:t>
      </w:r>
      <w:r w:rsidRPr="008A7487">
        <w:rPr>
          <w:rFonts w:ascii="Times New Roman" w:hAnsi="Times New Roman" w:cs="Times New Roman"/>
          <w:sz w:val="24"/>
          <w:szCs w:val="24"/>
        </w:rPr>
        <w:t>209-219.</w:t>
      </w:r>
    </w:p>
    <w:p w14:paraId="02CBC4D7" w14:textId="30780B75" w:rsidR="00A16D1A" w:rsidRPr="008A7487" w:rsidRDefault="00A16D1A" w:rsidP="00A16D1A">
      <w:pPr>
        <w:spacing w:before="240" w:line="240" w:lineRule="auto"/>
        <w:jc w:val="both"/>
        <w:rPr>
          <w:rFonts w:ascii="Times New Roman" w:hAnsi="Times New Roman" w:cs="Times New Roman"/>
          <w:sz w:val="24"/>
          <w:szCs w:val="24"/>
        </w:rPr>
      </w:pPr>
      <w:r w:rsidRPr="00A16D1A">
        <w:rPr>
          <w:rFonts w:ascii="Times New Roman" w:hAnsi="Times New Roman" w:cs="Times New Roman"/>
          <w:sz w:val="24"/>
          <w:szCs w:val="24"/>
        </w:rPr>
        <w:t xml:space="preserve">Tahir, S., Adegbite, E., </w:t>
      </w:r>
      <w:r>
        <w:rPr>
          <w:rFonts w:ascii="Times New Roman" w:hAnsi="Times New Roman" w:cs="Times New Roman"/>
          <w:sz w:val="24"/>
          <w:szCs w:val="24"/>
        </w:rPr>
        <w:t>&amp;</w:t>
      </w:r>
      <w:r w:rsidRPr="00A16D1A">
        <w:rPr>
          <w:rFonts w:ascii="Times New Roman" w:hAnsi="Times New Roman" w:cs="Times New Roman"/>
          <w:sz w:val="24"/>
          <w:szCs w:val="24"/>
        </w:rPr>
        <w:t xml:space="preserve"> Guney, Y. </w:t>
      </w:r>
      <w:r>
        <w:rPr>
          <w:rFonts w:ascii="Times New Roman" w:hAnsi="Times New Roman" w:cs="Times New Roman"/>
          <w:sz w:val="24"/>
          <w:szCs w:val="24"/>
        </w:rPr>
        <w:t>(</w:t>
      </w:r>
      <w:r w:rsidRPr="00A16D1A">
        <w:rPr>
          <w:rFonts w:ascii="Times New Roman" w:hAnsi="Times New Roman" w:cs="Times New Roman"/>
          <w:sz w:val="24"/>
          <w:szCs w:val="24"/>
        </w:rPr>
        <w:t>2016</w:t>
      </w:r>
      <w:r>
        <w:rPr>
          <w:rFonts w:ascii="Times New Roman" w:hAnsi="Times New Roman" w:cs="Times New Roman"/>
          <w:sz w:val="24"/>
          <w:szCs w:val="24"/>
        </w:rPr>
        <w:t>)</w:t>
      </w:r>
      <w:r w:rsidRPr="00A16D1A">
        <w:rPr>
          <w:rFonts w:ascii="Times New Roman" w:hAnsi="Times New Roman" w:cs="Times New Roman"/>
          <w:sz w:val="24"/>
          <w:szCs w:val="24"/>
        </w:rPr>
        <w:t xml:space="preserve">. An international examination of the economic effectiveness of banking recapitalization. </w:t>
      </w:r>
      <w:r w:rsidRPr="00A16D1A">
        <w:rPr>
          <w:rFonts w:ascii="Times New Roman" w:hAnsi="Times New Roman" w:cs="Times New Roman"/>
          <w:i/>
          <w:sz w:val="24"/>
          <w:szCs w:val="24"/>
        </w:rPr>
        <w:t>International Business Review</w:t>
      </w:r>
      <w:r w:rsidRPr="00A16D1A">
        <w:rPr>
          <w:rFonts w:ascii="Times New Roman" w:hAnsi="Times New Roman" w:cs="Times New Roman"/>
          <w:sz w:val="24"/>
          <w:szCs w:val="24"/>
        </w:rPr>
        <w:t>. http://www.sciencedirect.com/science/article/pii/S0969593116302001</w:t>
      </w:r>
    </w:p>
    <w:p w14:paraId="3DAD5E1B" w14:textId="1AF08E6F" w:rsidR="00EA1463" w:rsidRPr="008A7487" w:rsidRDefault="00EA1463" w:rsidP="00412A38">
      <w:pPr>
        <w:spacing w:before="240" w:line="240" w:lineRule="auto"/>
        <w:jc w:val="both"/>
        <w:rPr>
          <w:rFonts w:ascii="Times New Roman" w:hAnsi="Times New Roman" w:cs="Times New Roman"/>
          <w:color w:val="222222"/>
          <w:sz w:val="24"/>
          <w:szCs w:val="24"/>
          <w:shd w:val="clear" w:color="auto" w:fill="FFFFFF"/>
        </w:rPr>
      </w:pPr>
      <w:r w:rsidRPr="008A7487">
        <w:rPr>
          <w:rFonts w:ascii="Times New Roman" w:hAnsi="Times New Roman" w:cs="Times New Roman"/>
          <w:color w:val="222222"/>
          <w:sz w:val="24"/>
          <w:szCs w:val="24"/>
          <w:shd w:val="clear" w:color="auto" w:fill="FFFFFF"/>
        </w:rPr>
        <w:lastRenderedPageBreak/>
        <w:t>The World B</w:t>
      </w:r>
      <w:r w:rsidR="00B82FDC" w:rsidRPr="008A7487">
        <w:rPr>
          <w:rFonts w:ascii="Times New Roman" w:hAnsi="Times New Roman" w:cs="Times New Roman"/>
          <w:color w:val="222222"/>
          <w:sz w:val="24"/>
          <w:szCs w:val="24"/>
          <w:shd w:val="clear" w:color="auto" w:fill="FFFFFF"/>
        </w:rPr>
        <w:t xml:space="preserve">ank Development Indicator </w:t>
      </w:r>
      <w:r w:rsidR="00065AF8">
        <w:rPr>
          <w:rFonts w:ascii="Times New Roman" w:hAnsi="Times New Roman" w:cs="Times New Roman"/>
          <w:color w:val="222222"/>
          <w:sz w:val="24"/>
          <w:szCs w:val="24"/>
          <w:shd w:val="clear" w:color="auto" w:fill="FFFFFF"/>
        </w:rPr>
        <w:t>(</w:t>
      </w:r>
      <w:r w:rsidR="00B82FDC" w:rsidRPr="008A7487">
        <w:rPr>
          <w:rFonts w:ascii="Times New Roman" w:hAnsi="Times New Roman" w:cs="Times New Roman"/>
          <w:color w:val="222222"/>
          <w:sz w:val="24"/>
          <w:szCs w:val="24"/>
          <w:shd w:val="clear" w:color="auto" w:fill="FFFFFF"/>
        </w:rPr>
        <w:t>2014</w:t>
      </w:r>
      <w:r w:rsidR="00065AF8">
        <w:rPr>
          <w:rFonts w:ascii="Times New Roman" w:hAnsi="Times New Roman" w:cs="Times New Roman"/>
          <w:color w:val="222222"/>
          <w:sz w:val="24"/>
          <w:szCs w:val="24"/>
          <w:shd w:val="clear" w:color="auto" w:fill="FFFFFF"/>
        </w:rPr>
        <w:t>)</w:t>
      </w:r>
      <w:r w:rsidR="00B82FDC" w:rsidRPr="008A7487">
        <w:rPr>
          <w:rFonts w:ascii="Times New Roman" w:hAnsi="Times New Roman" w:cs="Times New Roman"/>
          <w:color w:val="222222"/>
          <w:sz w:val="24"/>
          <w:szCs w:val="24"/>
          <w:shd w:val="clear" w:color="auto" w:fill="FFFFFF"/>
        </w:rPr>
        <w:t>.</w:t>
      </w:r>
      <w:r w:rsidRPr="008A7487">
        <w:rPr>
          <w:rFonts w:ascii="Times New Roman" w:hAnsi="Times New Roman" w:cs="Times New Roman"/>
          <w:color w:val="222222"/>
          <w:sz w:val="24"/>
          <w:szCs w:val="24"/>
          <w:shd w:val="clear" w:color="auto" w:fill="FFFFFF"/>
        </w:rPr>
        <w:t xml:space="preserve"> </w:t>
      </w:r>
      <w:hyperlink r:id="rId10" w:history="1">
        <w:r w:rsidRPr="008A7487">
          <w:rPr>
            <w:rStyle w:val="Hyperlink"/>
            <w:rFonts w:ascii="Times New Roman" w:hAnsi="Times New Roman" w:cs="Times New Roman"/>
            <w:sz w:val="24"/>
            <w:szCs w:val="24"/>
            <w:shd w:val="clear" w:color="auto" w:fill="FFFFFF"/>
          </w:rPr>
          <w:t>http://data.worldbank.org/data-catalog/world-development-indicators</w:t>
        </w:r>
      </w:hyperlink>
      <w:r w:rsidRPr="008A7487">
        <w:rPr>
          <w:rFonts w:ascii="Times New Roman" w:hAnsi="Times New Roman" w:cs="Times New Roman"/>
          <w:color w:val="222222"/>
          <w:sz w:val="24"/>
          <w:szCs w:val="24"/>
          <w:shd w:val="clear" w:color="auto" w:fill="FFFFFF"/>
        </w:rPr>
        <w:t>. Accessed 11/02/16.</w:t>
      </w:r>
    </w:p>
    <w:p w14:paraId="47FAAEB4" w14:textId="1B1B1F5C" w:rsidR="00904CCC" w:rsidRDefault="00E9550D" w:rsidP="00934E37">
      <w:pPr>
        <w:spacing w:after="0" w:line="240" w:lineRule="auto"/>
        <w:contextualSpacing/>
        <w:rPr>
          <w:rFonts w:ascii="Times New Roman" w:hAnsi="Times New Roman" w:cs="Times New Roman"/>
          <w:sz w:val="24"/>
          <w:szCs w:val="24"/>
        </w:rPr>
      </w:pPr>
      <w:r w:rsidRPr="008A7487">
        <w:rPr>
          <w:rFonts w:ascii="Times New Roman" w:hAnsi="Times New Roman" w:cs="Times New Roman"/>
          <w:sz w:val="24"/>
          <w:szCs w:val="24"/>
        </w:rPr>
        <w:t>Vazq</w:t>
      </w:r>
      <w:r w:rsidR="00B82FDC" w:rsidRPr="008A7487">
        <w:rPr>
          <w:rFonts w:ascii="Times New Roman" w:hAnsi="Times New Roman" w:cs="Times New Roman"/>
          <w:sz w:val="24"/>
          <w:szCs w:val="24"/>
        </w:rPr>
        <w:t xml:space="preserve">uez, F., </w:t>
      </w:r>
      <w:r w:rsidR="00697343">
        <w:rPr>
          <w:rFonts w:ascii="Times New Roman" w:hAnsi="Times New Roman" w:cs="Times New Roman"/>
          <w:sz w:val="24"/>
          <w:szCs w:val="24"/>
        </w:rPr>
        <w:t>&amp;</w:t>
      </w:r>
      <w:r w:rsidR="00B82FDC" w:rsidRPr="008A7487">
        <w:rPr>
          <w:rFonts w:ascii="Times New Roman" w:hAnsi="Times New Roman" w:cs="Times New Roman"/>
          <w:sz w:val="24"/>
          <w:szCs w:val="24"/>
        </w:rPr>
        <w:t xml:space="preserve"> Federico, P. </w:t>
      </w:r>
      <w:r w:rsidR="00065AF8">
        <w:rPr>
          <w:rFonts w:ascii="Times New Roman" w:hAnsi="Times New Roman" w:cs="Times New Roman"/>
          <w:sz w:val="24"/>
          <w:szCs w:val="24"/>
        </w:rPr>
        <w:t>(</w:t>
      </w:r>
      <w:r w:rsidR="00B82FDC" w:rsidRPr="008A7487">
        <w:rPr>
          <w:rFonts w:ascii="Times New Roman" w:hAnsi="Times New Roman" w:cs="Times New Roman"/>
          <w:sz w:val="24"/>
          <w:szCs w:val="24"/>
        </w:rPr>
        <w:t>2015</w:t>
      </w:r>
      <w:r w:rsidR="00065AF8">
        <w:rPr>
          <w:rFonts w:ascii="Times New Roman" w:hAnsi="Times New Roman" w:cs="Times New Roman"/>
          <w:sz w:val="24"/>
          <w:szCs w:val="24"/>
        </w:rPr>
        <w:t>)</w:t>
      </w:r>
      <w:r w:rsidRPr="008A7487">
        <w:rPr>
          <w:rFonts w:ascii="Times New Roman" w:hAnsi="Times New Roman" w:cs="Times New Roman"/>
          <w:sz w:val="24"/>
          <w:szCs w:val="24"/>
        </w:rPr>
        <w:t>. Bank funding structures and risk: Evidence from the global financial crisis.</w:t>
      </w:r>
      <w:r w:rsidRPr="008A7487">
        <w:rPr>
          <w:rFonts w:ascii="Times New Roman" w:hAnsi="Times New Roman" w:cs="Times New Roman"/>
          <w:i/>
          <w:sz w:val="24"/>
          <w:szCs w:val="24"/>
        </w:rPr>
        <w:t xml:space="preserve"> Journal of Banking &amp; Finance</w:t>
      </w:r>
      <w:r w:rsidRPr="008A7487">
        <w:rPr>
          <w:rFonts w:ascii="Times New Roman" w:hAnsi="Times New Roman" w:cs="Times New Roman"/>
          <w:sz w:val="24"/>
          <w:szCs w:val="24"/>
        </w:rPr>
        <w:t>, 61, 1-14.</w:t>
      </w:r>
    </w:p>
    <w:p w14:paraId="7064E490" w14:textId="77777777" w:rsidR="00B75F05" w:rsidRDefault="00B75F05" w:rsidP="00934E37">
      <w:pPr>
        <w:spacing w:after="0" w:line="240" w:lineRule="auto"/>
        <w:contextualSpacing/>
        <w:rPr>
          <w:rFonts w:ascii="Times New Roman" w:hAnsi="Times New Roman" w:cs="Times New Roman"/>
          <w:sz w:val="24"/>
          <w:szCs w:val="24"/>
        </w:rPr>
      </w:pPr>
    </w:p>
    <w:p w14:paraId="69A16DC2" w14:textId="77777777" w:rsidR="00B75F05" w:rsidRDefault="00B75F05" w:rsidP="00934E37">
      <w:pPr>
        <w:spacing w:after="0" w:line="240" w:lineRule="auto"/>
        <w:contextualSpacing/>
        <w:rPr>
          <w:rFonts w:ascii="Times New Roman" w:hAnsi="Times New Roman" w:cs="Times New Roman"/>
          <w:sz w:val="24"/>
          <w:szCs w:val="24"/>
        </w:rPr>
      </w:pPr>
    </w:p>
    <w:p w14:paraId="70FCA708" w14:textId="77777777" w:rsidR="00B75F05" w:rsidRDefault="00B75F05" w:rsidP="00934E37">
      <w:pPr>
        <w:spacing w:after="0" w:line="240" w:lineRule="auto"/>
        <w:contextualSpacing/>
        <w:rPr>
          <w:rFonts w:ascii="Times New Roman" w:hAnsi="Times New Roman" w:cs="Times New Roman"/>
          <w:sz w:val="24"/>
          <w:szCs w:val="24"/>
        </w:rPr>
      </w:pPr>
    </w:p>
    <w:p w14:paraId="27A0CBE7" w14:textId="77777777" w:rsidR="00B75F05" w:rsidRDefault="00B75F05" w:rsidP="00934E37">
      <w:pPr>
        <w:spacing w:after="0" w:line="240" w:lineRule="auto"/>
        <w:contextualSpacing/>
        <w:rPr>
          <w:rFonts w:ascii="Times New Roman" w:hAnsi="Times New Roman" w:cs="Times New Roman"/>
          <w:sz w:val="24"/>
          <w:szCs w:val="24"/>
        </w:rPr>
      </w:pPr>
    </w:p>
    <w:p w14:paraId="5EBB2945" w14:textId="77777777" w:rsidR="00B75F05" w:rsidRDefault="00B75F05" w:rsidP="00934E37">
      <w:pPr>
        <w:spacing w:after="0" w:line="240" w:lineRule="auto"/>
        <w:contextualSpacing/>
        <w:rPr>
          <w:rFonts w:ascii="Times New Roman" w:hAnsi="Times New Roman" w:cs="Times New Roman"/>
          <w:sz w:val="24"/>
          <w:szCs w:val="24"/>
        </w:rPr>
      </w:pPr>
    </w:p>
    <w:p w14:paraId="4D2B196D" w14:textId="77777777" w:rsidR="00B75F05" w:rsidRDefault="00B75F05" w:rsidP="00934E37">
      <w:pPr>
        <w:spacing w:after="0" w:line="240" w:lineRule="auto"/>
        <w:contextualSpacing/>
        <w:rPr>
          <w:rFonts w:ascii="Times New Roman" w:hAnsi="Times New Roman" w:cs="Times New Roman"/>
          <w:sz w:val="24"/>
          <w:szCs w:val="24"/>
        </w:rPr>
      </w:pPr>
    </w:p>
    <w:p w14:paraId="097B50E1" w14:textId="77777777" w:rsidR="00B75F05" w:rsidRDefault="00B75F05" w:rsidP="00934E37">
      <w:pPr>
        <w:spacing w:after="0" w:line="240" w:lineRule="auto"/>
        <w:contextualSpacing/>
        <w:rPr>
          <w:rFonts w:ascii="Times New Roman" w:hAnsi="Times New Roman" w:cs="Times New Roman"/>
          <w:sz w:val="24"/>
          <w:szCs w:val="24"/>
        </w:rPr>
      </w:pPr>
    </w:p>
    <w:p w14:paraId="5ADA78E4" w14:textId="77777777" w:rsidR="00B75F05" w:rsidRDefault="00B75F05" w:rsidP="00934E37">
      <w:pPr>
        <w:spacing w:after="0" w:line="240" w:lineRule="auto"/>
        <w:contextualSpacing/>
        <w:rPr>
          <w:rFonts w:ascii="Times New Roman" w:hAnsi="Times New Roman" w:cs="Times New Roman"/>
          <w:sz w:val="24"/>
          <w:szCs w:val="24"/>
        </w:rPr>
      </w:pPr>
    </w:p>
    <w:p w14:paraId="0A5CA2AA" w14:textId="77777777" w:rsidR="00B75F05" w:rsidRDefault="00B75F05" w:rsidP="00934E37">
      <w:pPr>
        <w:spacing w:after="0" w:line="240" w:lineRule="auto"/>
        <w:contextualSpacing/>
        <w:rPr>
          <w:rFonts w:ascii="Times New Roman" w:hAnsi="Times New Roman" w:cs="Times New Roman"/>
          <w:sz w:val="24"/>
          <w:szCs w:val="24"/>
        </w:rPr>
      </w:pPr>
    </w:p>
    <w:p w14:paraId="5FF743AA" w14:textId="77777777" w:rsidR="00B75F05" w:rsidRDefault="00B75F05" w:rsidP="00934E37">
      <w:pPr>
        <w:spacing w:after="0" w:line="240" w:lineRule="auto"/>
        <w:contextualSpacing/>
        <w:rPr>
          <w:rFonts w:ascii="Times New Roman" w:hAnsi="Times New Roman" w:cs="Times New Roman"/>
          <w:sz w:val="24"/>
          <w:szCs w:val="24"/>
        </w:rPr>
        <w:sectPr w:rsidR="00B75F05" w:rsidSect="00B75F05">
          <w:footerReference w:type="default" r:id="rId11"/>
          <w:footerReference w:type="first" r:id="rId12"/>
          <w:pgSz w:w="11906" w:h="16838" w:code="9"/>
          <w:pgMar w:top="1276" w:right="1440" w:bottom="1440" w:left="1440" w:header="709" w:footer="709" w:gutter="0"/>
          <w:pgNumType w:start="1"/>
          <w:cols w:space="708"/>
          <w:titlePg/>
          <w:docGrid w:linePitch="360"/>
        </w:sectPr>
      </w:pPr>
    </w:p>
    <w:p w14:paraId="1ED91373" w14:textId="7547D65A" w:rsidR="00B75F05" w:rsidRDefault="00B75F05" w:rsidP="00934E37">
      <w:pPr>
        <w:spacing w:after="0" w:line="240" w:lineRule="auto"/>
        <w:contextualSpacing/>
        <w:rPr>
          <w:rFonts w:ascii="Times New Roman" w:hAnsi="Times New Roman" w:cs="Times New Roman"/>
          <w:sz w:val="24"/>
          <w:szCs w:val="24"/>
        </w:rPr>
      </w:pPr>
    </w:p>
    <w:p w14:paraId="08CBE564" w14:textId="77777777" w:rsidR="00B75F05" w:rsidRDefault="00B75F05" w:rsidP="00934E37">
      <w:pPr>
        <w:spacing w:after="0" w:line="240" w:lineRule="auto"/>
        <w:contextualSpacing/>
        <w:rPr>
          <w:rFonts w:ascii="Times New Roman" w:hAnsi="Times New Roman" w:cs="Times New Roman"/>
          <w:sz w:val="24"/>
          <w:szCs w:val="24"/>
        </w:rPr>
      </w:pPr>
    </w:p>
    <w:p w14:paraId="1F5AB00D" w14:textId="71F6B252" w:rsidR="00B75F05" w:rsidRDefault="00B75F05" w:rsidP="00934E37">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Figure 1</w:t>
      </w:r>
    </w:p>
    <w:p w14:paraId="7520A0FC" w14:textId="77777777" w:rsidR="00B75F05" w:rsidRDefault="00B75F05" w:rsidP="00934E37">
      <w:pPr>
        <w:spacing w:after="0" w:line="240" w:lineRule="auto"/>
        <w:contextualSpacing/>
        <w:rPr>
          <w:rFonts w:ascii="Times New Roman" w:hAnsi="Times New Roman" w:cs="Times New Roman"/>
          <w:sz w:val="24"/>
          <w:szCs w:val="24"/>
        </w:rPr>
      </w:pPr>
    </w:p>
    <w:p w14:paraId="0060DEC8" w14:textId="3B181B4A" w:rsidR="00B75F05" w:rsidRDefault="00B75F05" w:rsidP="00B75F05">
      <w:pPr>
        <w:spacing w:before="240" w:line="480" w:lineRule="auto"/>
        <w:ind w:hanging="567"/>
        <w:contextualSpacing/>
        <w:rPr>
          <w:rFonts w:ascii="Times New Roman" w:hAnsi="Times New Roman" w:cs="Times New Roman"/>
          <w:sz w:val="24"/>
          <w:szCs w:val="24"/>
        </w:rPr>
      </w:pPr>
      <w:r w:rsidRPr="008A7487">
        <w:rPr>
          <w:rFonts w:ascii="Times New Roman" w:hAnsi="Times New Roman" w:cs="Times New Roman"/>
        </w:rPr>
        <w:object w:dxaOrig="10200" w:dyaOrig="5580" w14:anchorId="381FE8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4.4pt;height:371.95pt" o:ole="">
            <v:imagedata r:id="rId13" o:title=""/>
          </v:shape>
          <o:OLEObject Type="Embed" ProgID="EViews.Workfile.2" ShapeID="_x0000_i1025" DrawAspect="Content" ObjectID="_1574670993" r:id="rId14"/>
        </w:object>
      </w:r>
    </w:p>
    <w:p w14:paraId="5A2294E4" w14:textId="77777777" w:rsidR="00B75F05" w:rsidRDefault="00B75F05" w:rsidP="00B75F05">
      <w:pPr>
        <w:spacing w:before="240" w:line="480" w:lineRule="auto"/>
        <w:ind w:hanging="567"/>
        <w:contextualSpacing/>
        <w:rPr>
          <w:rFonts w:ascii="Times New Roman" w:hAnsi="Times New Roman" w:cs="Times New Roman"/>
          <w:sz w:val="24"/>
          <w:szCs w:val="24"/>
        </w:rPr>
      </w:pPr>
    </w:p>
    <w:p w14:paraId="7BB6C751" w14:textId="77777777" w:rsidR="00B75F05" w:rsidRDefault="00B75F05" w:rsidP="00B75F05">
      <w:pPr>
        <w:spacing w:before="240" w:line="480" w:lineRule="auto"/>
        <w:ind w:hanging="567"/>
        <w:contextualSpacing/>
        <w:rPr>
          <w:rFonts w:ascii="Times New Roman" w:hAnsi="Times New Roman" w:cs="Times New Roman"/>
          <w:sz w:val="24"/>
          <w:szCs w:val="24"/>
        </w:rPr>
      </w:pPr>
    </w:p>
    <w:p w14:paraId="2E095C1F" w14:textId="77777777" w:rsidR="00B75F05" w:rsidRDefault="00B75F05" w:rsidP="00B75F05">
      <w:pPr>
        <w:spacing w:before="240" w:line="480" w:lineRule="auto"/>
        <w:ind w:hanging="567"/>
        <w:contextualSpacing/>
        <w:rPr>
          <w:rFonts w:ascii="Times New Roman" w:hAnsi="Times New Roman" w:cs="Times New Roman"/>
          <w:sz w:val="24"/>
          <w:szCs w:val="24"/>
        </w:rPr>
      </w:pPr>
    </w:p>
    <w:p w14:paraId="1F4F507C" w14:textId="77777777" w:rsidR="00B75F05" w:rsidRPr="00430496" w:rsidRDefault="00B75F05" w:rsidP="00B75F05">
      <w:pPr>
        <w:spacing w:after="0"/>
        <w:rPr>
          <w:rFonts w:ascii="Times New Roman" w:hAnsi="Times New Roman" w:cs="Times New Roman"/>
          <w:b/>
          <w:i/>
          <w:sz w:val="24"/>
          <w:szCs w:val="24"/>
          <w:lang w:val="en-GB"/>
        </w:rPr>
      </w:pPr>
      <w:r w:rsidRPr="00430496">
        <w:rPr>
          <w:rFonts w:ascii="Times New Roman" w:hAnsi="Times New Roman" w:cs="Times New Roman"/>
          <w:b/>
          <w:sz w:val="24"/>
          <w:szCs w:val="24"/>
          <w:lang w:val="en-GB"/>
        </w:rPr>
        <w:t>Table 1: Sample descripti</w:t>
      </w:r>
      <w:r w:rsidRPr="00F430F1">
        <w:rPr>
          <w:rFonts w:ascii="Times New Roman" w:hAnsi="Times New Roman" w:cs="Times New Roman"/>
          <w:b/>
          <w:sz w:val="24"/>
          <w:szCs w:val="24"/>
          <w:lang w:val="en-GB"/>
        </w:rPr>
        <w:t xml:space="preserve">on </w:t>
      </w:r>
    </w:p>
    <w:tbl>
      <w:tblPr>
        <w:tblStyle w:val="TableGrid"/>
        <w:tblW w:w="0" w:type="auto"/>
        <w:tblLook w:val="04A0" w:firstRow="1" w:lastRow="0" w:firstColumn="1" w:lastColumn="0" w:noHBand="0" w:noVBand="1"/>
      </w:tblPr>
      <w:tblGrid>
        <w:gridCol w:w="1070"/>
        <w:gridCol w:w="2607"/>
        <w:gridCol w:w="933"/>
        <w:gridCol w:w="504"/>
        <w:gridCol w:w="913"/>
        <w:gridCol w:w="784"/>
        <w:gridCol w:w="173"/>
        <w:gridCol w:w="950"/>
        <w:gridCol w:w="969"/>
        <w:gridCol w:w="28"/>
      </w:tblGrid>
      <w:tr w:rsidR="00B75F05" w:rsidRPr="00430496" w14:paraId="7210185C" w14:textId="77777777" w:rsidTr="00C21D6F">
        <w:tc>
          <w:tcPr>
            <w:tcW w:w="8931" w:type="dxa"/>
            <w:gridSpan w:val="10"/>
          </w:tcPr>
          <w:p w14:paraId="40CF76DF" w14:textId="77777777" w:rsidR="00B75F05" w:rsidRPr="00430496" w:rsidRDefault="00B75F05" w:rsidP="00C21D6F">
            <w:pPr>
              <w:rPr>
                <w:rFonts w:ascii="Times New Roman" w:hAnsi="Times New Roman" w:cs="Times New Roman"/>
                <w:b/>
                <w:bCs/>
                <w:i/>
                <w:sz w:val="24"/>
                <w:szCs w:val="24"/>
                <w:lang w:val="en-GB"/>
              </w:rPr>
            </w:pPr>
            <w:r>
              <w:rPr>
                <w:rFonts w:ascii="Times New Roman" w:hAnsi="Times New Roman" w:cs="Times New Roman"/>
                <w:i/>
                <w:sz w:val="24"/>
                <w:szCs w:val="24"/>
                <w:lang w:val="en-GB"/>
              </w:rPr>
              <w:t>Panel A: Number of banks per</w:t>
            </w:r>
            <w:r w:rsidRPr="00430496">
              <w:rPr>
                <w:rFonts w:ascii="Times New Roman" w:hAnsi="Times New Roman" w:cs="Times New Roman"/>
                <w:i/>
                <w:sz w:val="24"/>
                <w:szCs w:val="24"/>
                <w:lang w:val="en-GB"/>
              </w:rPr>
              <w:t xml:space="preserve"> country</w:t>
            </w:r>
          </w:p>
        </w:tc>
      </w:tr>
      <w:tr w:rsidR="00B75F05" w:rsidRPr="00430496" w14:paraId="11DF1B3D" w14:textId="77777777" w:rsidTr="00C21D6F">
        <w:tc>
          <w:tcPr>
            <w:tcW w:w="1070" w:type="dxa"/>
          </w:tcPr>
          <w:p w14:paraId="6E8368F8" w14:textId="77777777" w:rsidR="00B75F05" w:rsidRPr="00430496" w:rsidRDefault="00B75F05" w:rsidP="00C21D6F">
            <w:pPr>
              <w:rPr>
                <w:rFonts w:ascii="Times New Roman" w:hAnsi="Times New Roman" w:cs="Times New Roman"/>
                <w:b/>
                <w:sz w:val="24"/>
                <w:szCs w:val="24"/>
                <w:lang w:val="en-GB"/>
              </w:rPr>
            </w:pPr>
            <w:r w:rsidRPr="00430496">
              <w:rPr>
                <w:rFonts w:ascii="Times New Roman" w:hAnsi="Times New Roman" w:cs="Times New Roman"/>
                <w:b/>
                <w:sz w:val="24"/>
                <w:szCs w:val="24"/>
                <w:lang w:val="en-GB"/>
              </w:rPr>
              <w:t xml:space="preserve">Number </w:t>
            </w:r>
          </w:p>
        </w:tc>
        <w:tc>
          <w:tcPr>
            <w:tcW w:w="2607" w:type="dxa"/>
          </w:tcPr>
          <w:p w14:paraId="425EF37F" w14:textId="77777777" w:rsidR="00B75F05" w:rsidRPr="00430496" w:rsidRDefault="00B75F05" w:rsidP="00C21D6F">
            <w:pPr>
              <w:rPr>
                <w:rFonts w:ascii="Times New Roman" w:hAnsi="Times New Roman" w:cs="Times New Roman"/>
                <w:sz w:val="24"/>
                <w:szCs w:val="24"/>
                <w:lang w:val="en-GB"/>
              </w:rPr>
            </w:pPr>
            <w:r w:rsidRPr="00430496">
              <w:rPr>
                <w:rFonts w:ascii="Times New Roman" w:hAnsi="Times New Roman" w:cs="Times New Roman"/>
                <w:b/>
                <w:bCs/>
                <w:sz w:val="24"/>
                <w:szCs w:val="24"/>
                <w:lang w:val="en-GB"/>
              </w:rPr>
              <w:t xml:space="preserve">Country </w:t>
            </w:r>
          </w:p>
        </w:tc>
        <w:tc>
          <w:tcPr>
            <w:tcW w:w="1437" w:type="dxa"/>
            <w:gridSpan w:val="2"/>
          </w:tcPr>
          <w:p w14:paraId="4FB01D49" w14:textId="77777777" w:rsidR="00B75F05" w:rsidRPr="00430496" w:rsidRDefault="00B75F05" w:rsidP="00C21D6F">
            <w:pPr>
              <w:rPr>
                <w:rFonts w:ascii="Times New Roman" w:hAnsi="Times New Roman" w:cs="Times New Roman"/>
                <w:sz w:val="24"/>
                <w:szCs w:val="24"/>
                <w:lang w:val="en-GB"/>
              </w:rPr>
            </w:pPr>
            <w:r w:rsidRPr="00430496">
              <w:rPr>
                <w:rFonts w:ascii="Times New Roman" w:hAnsi="Times New Roman" w:cs="Times New Roman"/>
                <w:b/>
                <w:bCs/>
                <w:sz w:val="24"/>
                <w:szCs w:val="24"/>
                <w:lang w:val="en-GB"/>
              </w:rPr>
              <w:t>Number of Banks per country</w:t>
            </w:r>
          </w:p>
        </w:tc>
        <w:tc>
          <w:tcPr>
            <w:tcW w:w="1697" w:type="dxa"/>
            <w:gridSpan w:val="2"/>
          </w:tcPr>
          <w:p w14:paraId="326064AB" w14:textId="77777777" w:rsidR="00B75F05" w:rsidRPr="00430496" w:rsidRDefault="00B75F05" w:rsidP="00C21D6F">
            <w:pPr>
              <w:autoSpaceDE w:val="0"/>
              <w:autoSpaceDN w:val="0"/>
              <w:adjustRightInd w:val="0"/>
              <w:rPr>
                <w:rFonts w:ascii="Times New Roman" w:hAnsi="Times New Roman" w:cs="Times New Roman"/>
                <w:b/>
                <w:bCs/>
                <w:sz w:val="24"/>
                <w:szCs w:val="24"/>
                <w:lang w:val="en-GB"/>
              </w:rPr>
            </w:pPr>
            <w:r w:rsidRPr="00430496">
              <w:rPr>
                <w:rFonts w:ascii="Times New Roman" w:hAnsi="Times New Roman" w:cs="Times New Roman"/>
                <w:b/>
                <w:bCs/>
                <w:sz w:val="24"/>
                <w:szCs w:val="24"/>
                <w:lang w:val="en-GB"/>
              </w:rPr>
              <w:t xml:space="preserve">Observation per Country </w:t>
            </w:r>
          </w:p>
          <w:p w14:paraId="3702C438" w14:textId="77777777" w:rsidR="00B75F05" w:rsidRPr="00430496" w:rsidRDefault="00B75F05" w:rsidP="00C21D6F">
            <w:pPr>
              <w:jc w:val="center"/>
              <w:rPr>
                <w:rFonts w:ascii="Times New Roman" w:hAnsi="Times New Roman" w:cs="Times New Roman"/>
                <w:sz w:val="24"/>
                <w:szCs w:val="24"/>
                <w:lang w:val="en-GB"/>
              </w:rPr>
            </w:pPr>
            <w:r w:rsidRPr="00430496">
              <w:rPr>
                <w:rFonts w:ascii="Times New Roman" w:hAnsi="Times New Roman" w:cs="Times New Roman"/>
                <w:b/>
                <w:bCs/>
                <w:sz w:val="24"/>
                <w:szCs w:val="24"/>
                <w:lang w:val="en-GB"/>
              </w:rPr>
              <w:t>(1999-2013)</w:t>
            </w:r>
          </w:p>
        </w:tc>
        <w:tc>
          <w:tcPr>
            <w:tcW w:w="2120" w:type="dxa"/>
            <w:gridSpan w:val="4"/>
          </w:tcPr>
          <w:p w14:paraId="002E78DB" w14:textId="77777777" w:rsidR="00B75F05" w:rsidRPr="00430496" w:rsidRDefault="00B75F05" w:rsidP="00C21D6F">
            <w:pPr>
              <w:jc w:val="center"/>
              <w:rPr>
                <w:rFonts w:ascii="Times New Roman" w:hAnsi="Times New Roman" w:cs="Times New Roman"/>
                <w:sz w:val="24"/>
                <w:szCs w:val="24"/>
                <w:lang w:val="en-GB"/>
              </w:rPr>
            </w:pPr>
            <w:r w:rsidRPr="00430496">
              <w:rPr>
                <w:rFonts w:ascii="Times New Roman" w:hAnsi="Times New Roman" w:cs="Times New Roman"/>
                <w:b/>
                <w:bCs/>
                <w:sz w:val="24"/>
                <w:szCs w:val="24"/>
                <w:lang w:val="en-GB"/>
              </w:rPr>
              <w:t xml:space="preserve">Percentage of total observation </w:t>
            </w:r>
          </w:p>
        </w:tc>
      </w:tr>
      <w:tr w:rsidR="00B75F05" w:rsidRPr="00430496" w14:paraId="41BB8F8C" w14:textId="77777777" w:rsidTr="00C21D6F">
        <w:tc>
          <w:tcPr>
            <w:tcW w:w="1070" w:type="dxa"/>
          </w:tcPr>
          <w:p w14:paraId="3724B70C" w14:textId="77777777" w:rsidR="00B75F05" w:rsidRPr="00430496" w:rsidRDefault="00B75F05" w:rsidP="00C21D6F">
            <w:pPr>
              <w:rPr>
                <w:rFonts w:ascii="Times New Roman" w:hAnsi="Times New Roman" w:cs="Times New Roman"/>
                <w:sz w:val="24"/>
                <w:szCs w:val="24"/>
                <w:lang w:val="en-GB"/>
              </w:rPr>
            </w:pPr>
            <w:r w:rsidRPr="00430496">
              <w:rPr>
                <w:rFonts w:ascii="Times New Roman" w:hAnsi="Times New Roman" w:cs="Times New Roman"/>
                <w:sz w:val="24"/>
                <w:szCs w:val="24"/>
                <w:lang w:val="en-GB"/>
              </w:rPr>
              <w:t>1</w:t>
            </w:r>
          </w:p>
        </w:tc>
        <w:tc>
          <w:tcPr>
            <w:tcW w:w="2607" w:type="dxa"/>
            <w:vAlign w:val="bottom"/>
          </w:tcPr>
          <w:p w14:paraId="168F1EEF" w14:textId="77777777" w:rsidR="00B75F05" w:rsidRPr="00430496" w:rsidRDefault="00B75F05" w:rsidP="00C21D6F">
            <w:pPr>
              <w:rPr>
                <w:rFonts w:ascii="Times New Roman" w:hAnsi="Times New Roman" w:cs="Times New Roman"/>
                <w:sz w:val="24"/>
                <w:szCs w:val="24"/>
                <w:lang w:val="en-GB"/>
              </w:rPr>
            </w:pPr>
            <w:r w:rsidRPr="00430496">
              <w:rPr>
                <w:rFonts w:ascii="Times New Roman" w:eastAsia="Times New Roman" w:hAnsi="Times New Roman" w:cs="Times New Roman"/>
                <w:bCs/>
                <w:color w:val="000000"/>
                <w:sz w:val="24"/>
                <w:szCs w:val="24"/>
                <w:lang w:eastAsia="en-GB"/>
              </w:rPr>
              <w:t>Benin</w:t>
            </w:r>
          </w:p>
        </w:tc>
        <w:tc>
          <w:tcPr>
            <w:tcW w:w="1437" w:type="dxa"/>
            <w:gridSpan w:val="2"/>
            <w:vAlign w:val="bottom"/>
          </w:tcPr>
          <w:p w14:paraId="0BA27F22" w14:textId="77777777" w:rsidR="00B75F05" w:rsidRPr="00430496" w:rsidRDefault="00B75F05" w:rsidP="00C21D6F">
            <w:pPr>
              <w:jc w:val="center"/>
              <w:rPr>
                <w:rFonts w:ascii="Times New Roman" w:hAnsi="Times New Roman" w:cs="Times New Roman"/>
                <w:sz w:val="24"/>
                <w:szCs w:val="24"/>
                <w:lang w:val="en-GB"/>
              </w:rPr>
            </w:pPr>
            <w:r w:rsidRPr="00430496">
              <w:rPr>
                <w:rFonts w:ascii="Times New Roman" w:eastAsia="Times New Roman" w:hAnsi="Times New Roman" w:cs="Times New Roman"/>
                <w:color w:val="000000"/>
                <w:sz w:val="24"/>
                <w:szCs w:val="24"/>
                <w:lang w:eastAsia="en-GB"/>
              </w:rPr>
              <w:t>10</w:t>
            </w:r>
          </w:p>
        </w:tc>
        <w:tc>
          <w:tcPr>
            <w:tcW w:w="1697" w:type="dxa"/>
            <w:gridSpan w:val="2"/>
            <w:vAlign w:val="bottom"/>
          </w:tcPr>
          <w:p w14:paraId="73F3F9B0" w14:textId="77777777" w:rsidR="00B75F05" w:rsidRPr="00430496" w:rsidRDefault="00B75F05" w:rsidP="00C21D6F">
            <w:pPr>
              <w:jc w:val="center"/>
              <w:rPr>
                <w:rFonts w:ascii="Times New Roman" w:hAnsi="Times New Roman" w:cs="Times New Roman"/>
                <w:sz w:val="24"/>
                <w:szCs w:val="24"/>
                <w:lang w:val="en-GB"/>
              </w:rPr>
            </w:pPr>
            <w:r w:rsidRPr="00430496">
              <w:rPr>
                <w:rFonts w:ascii="Times New Roman" w:eastAsia="Times New Roman" w:hAnsi="Times New Roman" w:cs="Times New Roman"/>
                <w:bCs/>
                <w:color w:val="000000"/>
                <w:sz w:val="24"/>
                <w:szCs w:val="24"/>
                <w:lang w:eastAsia="en-GB"/>
              </w:rPr>
              <w:t>150</w:t>
            </w:r>
          </w:p>
        </w:tc>
        <w:tc>
          <w:tcPr>
            <w:tcW w:w="2120" w:type="dxa"/>
            <w:gridSpan w:val="4"/>
            <w:vAlign w:val="bottom"/>
          </w:tcPr>
          <w:p w14:paraId="71BED9EF" w14:textId="77777777" w:rsidR="00B75F05" w:rsidRPr="00430496" w:rsidRDefault="00B75F05" w:rsidP="00C21D6F">
            <w:pPr>
              <w:jc w:val="center"/>
              <w:rPr>
                <w:rFonts w:ascii="Times New Roman" w:hAnsi="Times New Roman" w:cs="Times New Roman"/>
                <w:sz w:val="24"/>
                <w:szCs w:val="24"/>
                <w:lang w:val="en-GB"/>
              </w:rPr>
            </w:pPr>
            <w:r w:rsidRPr="00430496">
              <w:rPr>
                <w:rFonts w:ascii="Times New Roman" w:hAnsi="Times New Roman" w:cs="Times New Roman"/>
                <w:color w:val="000000"/>
                <w:sz w:val="24"/>
                <w:szCs w:val="24"/>
              </w:rPr>
              <w:t>8.13</w:t>
            </w:r>
          </w:p>
        </w:tc>
      </w:tr>
      <w:tr w:rsidR="00B75F05" w:rsidRPr="00430496" w14:paraId="6FC40392" w14:textId="77777777" w:rsidTr="00C21D6F">
        <w:tc>
          <w:tcPr>
            <w:tcW w:w="1070" w:type="dxa"/>
          </w:tcPr>
          <w:p w14:paraId="537ED316" w14:textId="77777777" w:rsidR="00B75F05" w:rsidRPr="00430496" w:rsidRDefault="00B75F05" w:rsidP="00C21D6F">
            <w:pPr>
              <w:rPr>
                <w:rFonts w:ascii="Times New Roman" w:hAnsi="Times New Roman" w:cs="Times New Roman"/>
                <w:sz w:val="24"/>
                <w:szCs w:val="24"/>
                <w:lang w:val="en-GB"/>
              </w:rPr>
            </w:pPr>
            <w:r w:rsidRPr="00430496">
              <w:rPr>
                <w:rFonts w:ascii="Times New Roman" w:hAnsi="Times New Roman" w:cs="Times New Roman"/>
                <w:sz w:val="24"/>
                <w:szCs w:val="24"/>
                <w:lang w:val="en-GB"/>
              </w:rPr>
              <w:t>2</w:t>
            </w:r>
          </w:p>
        </w:tc>
        <w:tc>
          <w:tcPr>
            <w:tcW w:w="2607" w:type="dxa"/>
            <w:vAlign w:val="bottom"/>
          </w:tcPr>
          <w:p w14:paraId="4374DC0B" w14:textId="77777777" w:rsidR="00B75F05" w:rsidRPr="00430496" w:rsidRDefault="00B75F05" w:rsidP="00C21D6F">
            <w:pPr>
              <w:rPr>
                <w:rFonts w:ascii="Times New Roman" w:hAnsi="Times New Roman" w:cs="Times New Roman"/>
                <w:sz w:val="24"/>
                <w:szCs w:val="24"/>
                <w:lang w:val="en-GB"/>
              </w:rPr>
            </w:pPr>
            <w:r w:rsidRPr="00430496">
              <w:rPr>
                <w:rFonts w:ascii="Times New Roman" w:eastAsia="Times New Roman" w:hAnsi="Times New Roman" w:cs="Times New Roman"/>
                <w:bCs/>
                <w:color w:val="000000"/>
                <w:sz w:val="24"/>
                <w:szCs w:val="24"/>
                <w:lang w:eastAsia="en-GB"/>
              </w:rPr>
              <w:t>Burkina Faso</w:t>
            </w:r>
          </w:p>
        </w:tc>
        <w:tc>
          <w:tcPr>
            <w:tcW w:w="1437" w:type="dxa"/>
            <w:gridSpan w:val="2"/>
            <w:vAlign w:val="bottom"/>
          </w:tcPr>
          <w:p w14:paraId="752A5ECB" w14:textId="77777777" w:rsidR="00B75F05" w:rsidRPr="00430496" w:rsidRDefault="00B75F05" w:rsidP="00C21D6F">
            <w:pPr>
              <w:jc w:val="center"/>
              <w:rPr>
                <w:rFonts w:ascii="Times New Roman" w:hAnsi="Times New Roman" w:cs="Times New Roman"/>
                <w:sz w:val="24"/>
                <w:szCs w:val="24"/>
                <w:lang w:val="en-GB"/>
              </w:rPr>
            </w:pPr>
            <w:r w:rsidRPr="00430496">
              <w:rPr>
                <w:rFonts w:ascii="Times New Roman" w:eastAsia="Times New Roman" w:hAnsi="Times New Roman" w:cs="Times New Roman"/>
                <w:color w:val="000000"/>
                <w:sz w:val="24"/>
                <w:szCs w:val="24"/>
                <w:lang w:eastAsia="en-GB"/>
              </w:rPr>
              <w:t>10</w:t>
            </w:r>
          </w:p>
        </w:tc>
        <w:tc>
          <w:tcPr>
            <w:tcW w:w="1697" w:type="dxa"/>
            <w:gridSpan w:val="2"/>
            <w:vAlign w:val="bottom"/>
          </w:tcPr>
          <w:p w14:paraId="758398EA" w14:textId="77777777" w:rsidR="00B75F05" w:rsidRPr="00430496" w:rsidRDefault="00B75F05" w:rsidP="00C21D6F">
            <w:pPr>
              <w:jc w:val="center"/>
              <w:rPr>
                <w:rFonts w:ascii="Times New Roman" w:hAnsi="Times New Roman" w:cs="Times New Roman"/>
                <w:sz w:val="24"/>
                <w:szCs w:val="24"/>
                <w:lang w:val="en-GB"/>
              </w:rPr>
            </w:pPr>
            <w:r w:rsidRPr="00430496">
              <w:rPr>
                <w:rFonts w:ascii="Times New Roman" w:eastAsia="Times New Roman" w:hAnsi="Times New Roman" w:cs="Times New Roman"/>
                <w:bCs/>
                <w:color w:val="000000"/>
                <w:sz w:val="24"/>
                <w:szCs w:val="24"/>
                <w:lang w:eastAsia="en-GB"/>
              </w:rPr>
              <w:t>150</w:t>
            </w:r>
          </w:p>
        </w:tc>
        <w:tc>
          <w:tcPr>
            <w:tcW w:w="2120" w:type="dxa"/>
            <w:gridSpan w:val="4"/>
            <w:vAlign w:val="bottom"/>
          </w:tcPr>
          <w:p w14:paraId="548E3CEC" w14:textId="77777777" w:rsidR="00B75F05" w:rsidRPr="00430496" w:rsidRDefault="00B75F05" w:rsidP="00C21D6F">
            <w:pPr>
              <w:jc w:val="center"/>
              <w:rPr>
                <w:rFonts w:ascii="Times New Roman" w:hAnsi="Times New Roman" w:cs="Times New Roman"/>
                <w:sz w:val="24"/>
                <w:szCs w:val="24"/>
                <w:lang w:val="en-GB"/>
              </w:rPr>
            </w:pPr>
            <w:r w:rsidRPr="00430496">
              <w:rPr>
                <w:rFonts w:ascii="Times New Roman" w:hAnsi="Times New Roman" w:cs="Times New Roman"/>
                <w:color w:val="000000"/>
                <w:sz w:val="24"/>
                <w:szCs w:val="24"/>
              </w:rPr>
              <w:t>8.13</w:t>
            </w:r>
          </w:p>
        </w:tc>
      </w:tr>
      <w:tr w:rsidR="00B75F05" w:rsidRPr="00430496" w14:paraId="65826035" w14:textId="77777777" w:rsidTr="00C21D6F">
        <w:tc>
          <w:tcPr>
            <w:tcW w:w="1070" w:type="dxa"/>
          </w:tcPr>
          <w:p w14:paraId="4DC9F013" w14:textId="77777777" w:rsidR="00B75F05" w:rsidRPr="00430496" w:rsidRDefault="00B75F05" w:rsidP="00C21D6F">
            <w:pPr>
              <w:rPr>
                <w:rFonts w:ascii="Times New Roman" w:hAnsi="Times New Roman" w:cs="Times New Roman"/>
                <w:sz w:val="24"/>
                <w:szCs w:val="24"/>
                <w:lang w:val="en-GB"/>
              </w:rPr>
            </w:pPr>
            <w:r w:rsidRPr="00430496">
              <w:rPr>
                <w:rFonts w:ascii="Times New Roman" w:hAnsi="Times New Roman" w:cs="Times New Roman"/>
                <w:sz w:val="24"/>
                <w:szCs w:val="24"/>
                <w:lang w:val="en-GB"/>
              </w:rPr>
              <w:t>3</w:t>
            </w:r>
          </w:p>
        </w:tc>
        <w:tc>
          <w:tcPr>
            <w:tcW w:w="2607" w:type="dxa"/>
            <w:vAlign w:val="bottom"/>
          </w:tcPr>
          <w:p w14:paraId="570BE271" w14:textId="77777777" w:rsidR="00B75F05" w:rsidRPr="00430496" w:rsidRDefault="00B75F05" w:rsidP="00C21D6F">
            <w:pPr>
              <w:rPr>
                <w:rFonts w:ascii="Times New Roman" w:hAnsi="Times New Roman" w:cs="Times New Roman"/>
                <w:sz w:val="24"/>
                <w:szCs w:val="24"/>
                <w:lang w:val="en-GB"/>
              </w:rPr>
            </w:pPr>
            <w:r w:rsidRPr="00430496">
              <w:rPr>
                <w:rFonts w:ascii="Times New Roman" w:eastAsia="Times New Roman" w:hAnsi="Times New Roman" w:cs="Times New Roman"/>
                <w:bCs/>
                <w:color w:val="000000"/>
                <w:sz w:val="24"/>
                <w:szCs w:val="24"/>
                <w:lang w:eastAsia="en-GB"/>
              </w:rPr>
              <w:t>Cape Verde</w:t>
            </w:r>
          </w:p>
        </w:tc>
        <w:tc>
          <w:tcPr>
            <w:tcW w:w="1437" w:type="dxa"/>
            <w:gridSpan w:val="2"/>
            <w:vAlign w:val="bottom"/>
          </w:tcPr>
          <w:p w14:paraId="7DFAE536" w14:textId="77777777" w:rsidR="00B75F05" w:rsidRPr="00430496" w:rsidRDefault="00B75F05" w:rsidP="00C21D6F">
            <w:pPr>
              <w:jc w:val="center"/>
              <w:rPr>
                <w:rFonts w:ascii="Times New Roman" w:hAnsi="Times New Roman" w:cs="Times New Roman"/>
                <w:sz w:val="24"/>
                <w:szCs w:val="24"/>
                <w:lang w:val="en-GB"/>
              </w:rPr>
            </w:pPr>
            <w:r w:rsidRPr="00430496">
              <w:rPr>
                <w:rFonts w:ascii="Times New Roman" w:eastAsia="Times New Roman" w:hAnsi="Times New Roman" w:cs="Times New Roman"/>
                <w:color w:val="000000"/>
                <w:sz w:val="24"/>
                <w:szCs w:val="24"/>
                <w:lang w:eastAsia="en-GB"/>
              </w:rPr>
              <w:t>3</w:t>
            </w:r>
          </w:p>
        </w:tc>
        <w:tc>
          <w:tcPr>
            <w:tcW w:w="1697" w:type="dxa"/>
            <w:gridSpan w:val="2"/>
            <w:vAlign w:val="bottom"/>
          </w:tcPr>
          <w:p w14:paraId="1D38327E" w14:textId="77777777" w:rsidR="00B75F05" w:rsidRPr="00430496" w:rsidRDefault="00B75F05" w:rsidP="00C21D6F">
            <w:pPr>
              <w:jc w:val="center"/>
              <w:rPr>
                <w:rFonts w:ascii="Times New Roman" w:hAnsi="Times New Roman" w:cs="Times New Roman"/>
                <w:sz w:val="24"/>
                <w:szCs w:val="24"/>
                <w:lang w:val="en-GB"/>
              </w:rPr>
            </w:pPr>
            <w:r w:rsidRPr="00430496">
              <w:rPr>
                <w:rFonts w:ascii="Times New Roman" w:eastAsia="Times New Roman" w:hAnsi="Times New Roman" w:cs="Times New Roman"/>
                <w:bCs/>
                <w:color w:val="000000"/>
                <w:sz w:val="24"/>
                <w:szCs w:val="24"/>
                <w:lang w:eastAsia="en-GB"/>
              </w:rPr>
              <w:t>45</w:t>
            </w:r>
          </w:p>
        </w:tc>
        <w:tc>
          <w:tcPr>
            <w:tcW w:w="2120" w:type="dxa"/>
            <w:gridSpan w:val="4"/>
            <w:vAlign w:val="bottom"/>
          </w:tcPr>
          <w:p w14:paraId="0FF5D894" w14:textId="77777777" w:rsidR="00B75F05" w:rsidRPr="00430496" w:rsidRDefault="00B75F05" w:rsidP="00C21D6F">
            <w:pPr>
              <w:jc w:val="center"/>
              <w:rPr>
                <w:rFonts w:ascii="Times New Roman" w:hAnsi="Times New Roman" w:cs="Times New Roman"/>
                <w:sz w:val="24"/>
                <w:szCs w:val="24"/>
                <w:lang w:val="en-GB"/>
              </w:rPr>
            </w:pPr>
            <w:r w:rsidRPr="00430496">
              <w:rPr>
                <w:rFonts w:ascii="Times New Roman" w:hAnsi="Times New Roman" w:cs="Times New Roman"/>
                <w:color w:val="000000"/>
                <w:sz w:val="24"/>
                <w:szCs w:val="24"/>
              </w:rPr>
              <w:t>2.43</w:t>
            </w:r>
          </w:p>
        </w:tc>
      </w:tr>
      <w:tr w:rsidR="00B75F05" w:rsidRPr="00430496" w14:paraId="79CFEDBD" w14:textId="77777777" w:rsidTr="00C21D6F">
        <w:tc>
          <w:tcPr>
            <w:tcW w:w="1070" w:type="dxa"/>
          </w:tcPr>
          <w:p w14:paraId="55B1C52B" w14:textId="77777777" w:rsidR="00B75F05" w:rsidRPr="00430496" w:rsidRDefault="00B75F05" w:rsidP="00C21D6F">
            <w:pPr>
              <w:rPr>
                <w:rFonts w:ascii="Times New Roman" w:hAnsi="Times New Roman" w:cs="Times New Roman"/>
                <w:sz w:val="24"/>
                <w:szCs w:val="24"/>
                <w:lang w:val="en-GB"/>
              </w:rPr>
            </w:pPr>
            <w:r w:rsidRPr="00430496">
              <w:rPr>
                <w:rFonts w:ascii="Times New Roman" w:hAnsi="Times New Roman" w:cs="Times New Roman"/>
                <w:sz w:val="24"/>
                <w:szCs w:val="24"/>
                <w:lang w:val="en-GB"/>
              </w:rPr>
              <w:t>4</w:t>
            </w:r>
          </w:p>
        </w:tc>
        <w:tc>
          <w:tcPr>
            <w:tcW w:w="2607" w:type="dxa"/>
            <w:vAlign w:val="bottom"/>
          </w:tcPr>
          <w:p w14:paraId="1FE5DC63" w14:textId="77777777" w:rsidR="00B75F05" w:rsidRPr="00430496" w:rsidRDefault="00B75F05" w:rsidP="00C21D6F">
            <w:pPr>
              <w:rPr>
                <w:rFonts w:ascii="Times New Roman" w:hAnsi="Times New Roman" w:cs="Times New Roman"/>
                <w:sz w:val="24"/>
                <w:szCs w:val="24"/>
                <w:lang w:val="en-GB"/>
              </w:rPr>
            </w:pPr>
            <w:r w:rsidRPr="00430496">
              <w:rPr>
                <w:rFonts w:ascii="Times New Roman" w:eastAsia="Times New Roman" w:hAnsi="Times New Roman" w:cs="Times New Roman"/>
                <w:bCs/>
                <w:color w:val="000000"/>
                <w:sz w:val="24"/>
                <w:szCs w:val="24"/>
                <w:lang w:eastAsia="en-GB"/>
              </w:rPr>
              <w:t>Cote D'Ivoire</w:t>
            </w:r>
          </w:p>
        </w:tc>
        <w:tc>
          <w:tcPr>
            <w:tcW w:w="1437" w:type="dxa"/>
            <w:gridSpan w:val="2"/>
            <w:vAlign w:val="bottom"/>
          </w:tcPr>
          <w:p w14:paraId="50448CAB" w14:textId="77777777" w:rsidR="00B75F05" w:rsidRPr="00430496" w:rsidRDefault="00B75F05" w:rsidP="00C21D6F">
            <w:pPr>
              <w:jc w:val="center"/>
              <w:rPr>
                <w:rFonts w:ascii="Times New Roman" w:hAnsi="Times New Roman" w:cs="Times New Roman"/>
                <w:sz w:val="24"/>
                <w:szCs w:val="24"/>
                <w:lang w:val="en-GB"/>
              </w:rPr>
            </w:pPr>
            <w:r w:rsidRPr="00430496">
              <w:rPr>
                <w:rFonts w:ascii="Times New Roman" w:eastAsia="Times New Roman" w:hAnsi="Times New Roman" w:cs="Times New Roman"/>
                <w:color w:val="000000"/>
                <w:sz w:val="24"/>
                <w:szCs w:val="24"/>
                <w:lang w:eastAsia="en-GB"/>
              </w:rPr>
              <w:t>13</w:t>
            </w:r>
          </w:p>
        </w:tc>
        <w:tc>
          <w:tcPr>
            <w:tcW w:w="1697" w:type="dxa"/>
            <w:gridSpan w:val="2"/>
            <w:vAlign w:val="bottom"/>
          </w:tcPr>
          <w:p w14:paraId="70D559A1" w14:textId="77777777" w:rsidR="00B75F05" w:rsidRPr="00430496" w:rsidRDefault="00B75F05" w:rsidP="00C21D6F">
            <w:pPr>
              <w:jc w:val="center"/>
              <w:rPr>
                <w:rFonts w:ascii="Times New Roman" w:hAnsi="Times New Roman" w:cs="Times New Roman"/>
                <w:sz w:val="24"/>
                <w:szCs w:val="24"/>
                <w:lang w:val="en-GB"/>
              </w:rPr>
            </w:pPr>
            <w:r w:rsidRPr="00430496">
              <w:rPr>
                <w:rFonts w:ascii="Times New Roman" w:eastAsia="Times New Roman" w:hAnsi="Times New Roman" w:cs="Times New Roman"/>
                <w:bCs/>
                <w:color w:val="000000"/>
                <w:sz w:val="24"/>
                <w:szCs w:val="24"/>
                <w:lang w:eastAsia="en-GB"/>
              </w:rPr>
              <w:t>195</w:t>
            </w:r>
          </w:p>
        </w:tc>
        <w:tc>
          <w:tcPr>
            <w:tcW w:w="2120" w:type="dxa"/>
            <w:gridSpan w:val="4"/>
            <w:vAlign w:val="bottom"/>
          </w:tcPr>
          <w:p w14:paraId="43DC69B4" w14:textId="77777777" w:rsidR="00B75F05" w:rsidRPr="00430496" w:rsidRDefault="00B75F05" w:rsidP="00C21D6F">
            <w:pPr>
              <w:jc w:val="center"/>
              <w:rPr>
                <w:rFonts w:ascii="Times New Roman" w:hAnsi="Times New Roman" w:cs="Times New Roman"/>
                <w:sz w:val="24"/>
                <w:szCs w:val="24"/>
                <w:lang w:val="en-GB"/>
              </w:rPr>
            </w:pPr>
            <w:r w:rsidRPr="00430496">
              <w:rPr>
                <w:rFonts w:ascii="Times New Roman" w:hAnsi="Times New Roman" w:cs="Times New Roman"/>
                <w:color w:val="000000"/>
                <w:sz w:val="24"/>
                <w:szCs w:val="24"/>
              </w:rPr>
              <w:t>10.56</w:t>
            </w:r>
          </w:p>
        </w:tc>
      </w:tr>
      <w:tr w:rsidR="00B75F05" w:rsidRPr="00430496" w14:paraId="4361CF1F" w14:textId="77777777" w:rsidTr="00C21D6F">
        <w:tc>
          <w:tcPr>
            <w:tcW w:w="1070" w:type="dxa"/>
          </w:tcPr>
          <w:p w14:paraId="38E05336" w14:textId="77777777" w:rsidR="00B75F05" w:rsidRPr="00430496" w:rsidRDefault="00B75F05" w:rsidP="00C21D6F">
            <w:pPr>
              <w:rPr>
                <w:rFonts w:ascii="Times New Roman" w:hAnsi="Times New Roman" w:cs="Times New Roman"/>
                <w:sz w:val="24"/>
                <w:szCs w:val="24"/>
                <w:lang w:val="en-GB"/>
              </w:rPr>
            </w:pPr>
            <w:r w:rsidRPr="00430496">
              <w:rPr>
                <w:rFonts w:ascii="Times New Roman" w:hAnsi="Times New Roman" w:cs="Times New Roman"/>
                <w:sz w:val="24"/>
                <w:szCs w:val="24"/>
                <w:lang w:val="en-GB"/>
              </w:rPr>
              <w:t>5</w:t>
            </w:r>
          </w:p>
        </w:tc>
        <w:tc>
          <w:tcPr>
            <w:tcW w:w="2607" w:type="dxa"/>
            <w:vAlign w:val="bottom"/>
          </w:tcPr>
          <w:p w14:paraId="10E519A9" w14:textId="77777777" w:rsidR="00B75F05" w:rsidRPr="00430496" w:rsidRDefault="00B75F05" w:rsidP="00C21D6F">
            <w:pPr>
              <w:rPr>
                <w:rFonts w:ascii="Times New Roman" w:hAnsi="Times New Roman" w:cs="Times New Roman"/>
                <w:sz w:val="24"/>
                <w:szCs w:val="24"/>
                <w:lang w:val="en-GB"/>
              </w:rPr>
            </w:pPr>
            <w:r w:rsidRPr="00430496">
              <w:rPr>
                <w:rFonts w:ascii="Times New Roman" w:eastAsia="Times New Roman" w:hAnsi="Times New Roman" w:cs="Times New Roman"/>
                <w:bCs/>
                <w:color w:val="000000"/>
                <w:sz w:val="24"/>
                <w:szCs w:val="24"/>
                <w:lang w:eastAsia="en-GB"/>
              </w:rPr>
              <w:t>Gambia</w:t>
            </w:r>
          </w:p>
        </w:tc>
        <w:tc>
          <w:tcPr>
            <w:tcW w:w="1437" w:type="dxa"/>
            <w:gridSpan w:val="2"/>
            <w:vAlign w:val="bottom"/>
          </w:tcPr>
          <w:p w14:paraId="4016101B" w14:textId="77777777" w:rsidR="00B75F05" w:rsidRPr="00430496" w:rsidRDefault="00B75F05" w:rsidP="00C21D6F">
            <w:pPr>
              <w:jc w:val="center"/>
              <w:rPr>
                <w:rFonts w:ascii="Times New Roman" w:hAnsi="Times New Roman" w:cs="Times New Roman"/>
                <w:sz w:val="24"/>
                <w:szCs w:val="24"/>
                <w:lang w:val="en-GB"/>
              </w:rPr>
            </w:pPr>
            <w:r w:rsidRPr="00430496">
              <w:rPr>
                <w:rFonts w:ascii="Times New Roman" w:eastAsia="Times New Roman" w:hAnsi="Times New Roman" w:cs="Times New Roman"/>
                <w:color w:val="000000"/>
                <w:sz w:val="24"/>
                <w:szCs w:val="24"/>
                <w:lang w:eastAsia="en-GB"/>
              </w:rPr>
              <w:t>9</w:t>
            </w:r>
          </w:p>
        </w:tc>
        <w:tc>
          <w:tcPr>
            <w:tcW w:w="1697" w:type="dxa"/>
            <w:gridSpan w:val="2"/>
            <w:vAlign w:val="bottom"/>
          </w:tcPr>
          <w:p w14:paraId="2974BFFD" w14:textId="77777777" w:rsidR="00B75F05" w:rsidRPr="00430496" w:rsidRDefault="00B75F05" w:rsidP="00C21D6F">
            <w:pPr>
              <w:jc w:val="center"/>
              <w:rPr>
                <w:rFonts w:ascii="Times New Roman" w:hAnsi="Times New Roman" w:cs="Times New Roman"/>
                <w:sz w:val="24"/>
                <w:szCs w:val="24"/>
                <w:lang w:val="en-GB"/>
              </w:rPr>
            </w:pPr>
            <w:r w:rsidRPr="00430496">
              <w:rPr>
                <w:rFonts w:ascii="Times New Roman" w:eastAsia="Times New Roman" w:hAnsi="Times New Roman" w:cs="Times New Roman"/>
                <w:bCs/>
                <w:color w:val="000000"/>
                <w:sz w:val="24"/>
                <w:szCs w:val="24"/>
                <w:lang w:eastAsia="en-GB"/>
              </w:rPr>
              <w:t>135</w:t>
            </w:r>
          </w:p>
        </w:tc>
        <w:tc>
          <w:tcPr>
            <w:tcW w:w="2120" w:type="dxa"/>
            <w:gridSpan w:val="4"/>
            <w:vAlign w:val="bottom"/>
          </w:tcPr>
          <w:p w14:paraId="7EF62120" w14:textId="77777777" w:rsidR="00B75F05" w:rsidRPr="00430496" w:rsidRDefault="00B75F05" w:rsidP="00C21D6F">
            <w:pPr>
              <w:jc w:val="center"/>
              <w:rPr>
                <w:rFonts w:ascii="Times New Roman" w:hAnsi="Times New Roman" w:cs="Times New Roman"/>
                <w:sz w:val="24"/>
                <w:szCs w:val="24"/>
                <w:lang w:val="en-GB"/>
              </w:rPr>
            </w:pPr>
            <w:r w:rsidRPr="00430496">
              <w:rPr>
                <w:rFonts w:ascii="Times New Roman" w:hAnsi="Times New Roman" w:cs="Times New Roman"/>
                <w:color w:val="000000"/>
                <w:sz w:val="24"/>
                <w:szCs w:val="24"/>
              </w:rPr>
              <w:t>7.32</w:t>
            </w:r>
          </w:p>
        </w:tc>
      </w:tr>
      <w:tr w:rsidR="00B75F05" w:rsidRPr="00430496" w14:paraId="24E534D5" w14:textId="77777777" w:rsidTr="00C21D6F">
        <w:tc>
          <w:tcPr>
            <w:tcW w:w="1070" w:type="dxa"/>
          </w:tcPr>
          <w:p w14:paraId="1A53B3E7" w14:textId="77777777" w:rsidR="00B75F05" w:rsidRPr="00430496" w:rsidRDefault="00B75F05" w:rsidP="00C21D6F">
            <w:pPr>
              <w:rPr>
                <w:rFonts w:ascii="Times New Roman" w:hAnsi="Times New Roman" w:cs="Times New Roman"/>
                <w:sz w:val="24"/>
                <w:szCs w:val="24"/>
                <w:lang w:val="en-GB"/>
              </w:rPr>
            </w:pPr>
            <w:r w:rsidRPr="00430496">
              <w:rPr>
                <w:rFonts w:ascii="Times New Roman" w:hAnsi="Times New Roman" w:cs="Times New Roman"/>
                <w:sz w:val="24"/>
                <w:szCs w:val="24"/>
                <w:lang w:val="en-GB"/>
              </w:rPr>
              <w:t>6</w:t>
            </w:r>
          </w:p>
        </w:tc>
        <w:tc>
          <w:tcPr>
            <w:tcW w:w="2607" w:type="dxa"/>
            <w:vAlign w:val="bottom"/>
          </w:tcPr>
          <w:p w14:paraId="18295E04" w14:textId="77777777" w:rsidR="00B75F05" w:rsidRPr="00430496" w:rsidRDefault="00B75F05" w:rsidP="00C21D6F">
            <w:pPr>
              <w:rPr>
                <w:rFonts w:ascii="Times New Roman" w:hAnsi="Times New Roman" w:cs="Times New Roman"/>
                <w:sz w:val="24"/>
                <w:szCs w:val="24"/>
                <w:lang w:val="en-GB"/>
              </w:rPr>
            </w:pPr>
            <w:r w:rsidRPr="00430496">
              <w:rPr>
                <w:rFonts w:ascii="Times New Roman" w:eastAsia="Times New Roman" w:hAnsi="Times New Roman" w:cs="Times New Roman"/>
                <w:bCs/>
                <w:color w:val="000000"/>
                <w:sz w:val="24"/>
                <w:szCs w:val="24"/>
                <w:lang w:eastAsia="en-GB"/>
              </w:rPr>
              <w:t>Ghana</w:t>
            </w:r>
          </w:p>
        </w:tc>
        <w:tc>
          <w:tcPr>
            <w:tcW w:w="1437" w:type="dxa"/>
            <w:gridSpan w:val="2"/>
            <w:vAlign w:val="bottom"/>
          </w:tcPr>
          <w:p w14:paraId="060882AB" w14:textId="77777777" w:rsidR="00B75F05" w:rsidRPr="00430496" w:rsidRDefault="00B75F05" w:rsidP="00C21D6F">
            <w:pPr>
              <w:jc w:val="center"/>
              <w:rPr>
                <w:rFonts w:ascii="Times New Roman" w:hAnsi="Times New Roman" w:cs="Times New Roman"/>
                <w:sz w:val="24"/>
                <w:szCs w:val="24"/>
                <w:lang w:val="en-GB"/>
              </w:rPr>
            </w:pPr>
            <w:r w:rsidRPr="00430496">
              <w:rPr>
                <w:rFonts w:ascii="Times New Roman" w:eastAsia="Times New Roman" w:hAnsi="Times New Roman" w:cs="Times New Roman"/>
                <w:color w:val="000000"/>
                <w:sz w:val="24"/>
                <w:szCs w:val="24"/>
                <w:lang w:eastAsia="en-GB"/>
              </w:rPr>
              <w:t>22</w:t>
            </w:r>
          </w:p>
        </w:tc>
        <w:tc>
          <w:tcPr>
            <w:tcW w:w="1697" w:type="dxa"/>
            <w:gridSpan w:val="2"/>
            <w:vAlign w:val="bottom"/>
          </w:tcPr>
          <w:p w14:paraId="0F898AFA" w14:textId="77777777" w:rsidR="00B75F05" w:rsidRPr="00430496" w:rsidRDefault="00B75F05" w:rsidP="00C21D6F">
            <w:pPr>
              <w:jc w:val="center"/>
              <w:rPr>
                <w:rFonts w:ascii="Times New Roman" w:hAnsi="Times New Roman" w:cs="Times New Roman"/>
                <w:sz w:val="24"/>
                <w:szCs w:val="24"/>
                <w:lang w:val="en-GB"/>
              </w:rPr>
            </w:pPr>
            <w:r w:rsidRPr="00430496">
              <w:rPr>
                <w:rFonts w:ascii="Times New Roman" w:eastAsia="Times New Roman" w:hAnsi="Times New Roman" w:cs="Times New Roman"/>
                <w:bCs/>
                <w:color w:val="000000"/>
                <w:sz w:val="24"/>
                <w:szCs w:val="24"/>
                <w:lang w:eastAsia="en-GB"/>
              </w:rPr>
              <w:t>330</w:t>
            </w:r>
          </w:p>
        </w:tc>
        <w:tc>
          <w:tcPr>
            <w:tcW w:w="2120" w:type="dxa"/>
            <w:gridSpan w:val="4"/>
            <w:vAlign w:val="bottom"/>
          </w:tcPr>
          <w:p w14:paraId="2AA55CC8" w14:textId="77777777" w:rsidR="00B75F05" w:rsidRPr="00430496" w:rsidRDefault="00B75F05" w:rsidP="00C21D6F">
            <w:pPr>
              <w:jc w:val="center"/>
              <w:rPr>
                <w:rFonts w:ascii="Times New Roman" w:hAnsi="Times New Roman" w:cs="Times New Roman"/>
                <w:sz w:val="24"/>
                <w:szCs w:val="24"/>
                <w:lang w:val="en-GB"/>
              </w:rPr>
            </w:pPr>
            <w:r w:rsidRPr="00430496">
              <w:rPr>
                <w:rFonts w:ascii="Times New Roman" w:hAnsi="Times New Roman" w:cs="Times New Roman"/>
                <w:color w:val="000000"/>
                <w:sz w:val="24"/>
                <w:szCs w:val="24"/>
              </w:rPr>
              <w:t>17.89</w:t>
            </w:r>
          </w:p>
        </w:tc>
      </w:tr>
      <w:tr w:rsidR="00B75F05" w:rsidRPr="00430496" w14:paraId="2F893E77" w14:textId="77777777" w:rsidTr="00C21D6F">
        <w:tc>
          <w:tcPr>
            <w:tcW w:w="1070" w:type="dxa"/>
          </w:tcPr>
          <w:p w14:paraId="0828907F" w14:textId="77777777" w:rsidR="00B75F05" w:rsidRPr="00430496" w:rsidRDefault="00B75F05" w:rsidP="00C21D6F">
            <w:pPr>
              <w:rPr>
                <w:rFonts w:ascii="Times New Roman" w:hAnsi="Times New Roman" w:cs="Times New Roman"/>
                <w:sz w:val="24"/>
                <w:szCs w:val="24"/>
                <w:lang w:val="en-GB"/>
              </w:rPr>
            </w:pPr>
            <w:r w:rsidRPr="00430496">
              <w:rPr>
                <w:rFonts w:ascii="Times New Roman" w:hAnsi="Times New Roman" w:cs="Times New Roman"/>
                <w:sz w:val="24"/>
                <w:szCs w:val="24"/>
                <w:lang w:val="en-GB"/>
              </w:rPr>
              <w:t>7</w:t>
            </w:r>
          </w:p>
        </w:tc>
        <w:tc>
          <w:tcPr>
            <w:tcW w:w="2607" w:type="dxa"/>
            <w:vAlign w:val="bottom"/>
          </w:tcPr>
          <w:p w14:paraId="173C05B2" w14:textId="77777777" w:rsidR="00B75F05" w:rsidRPr="00430496" w:rsidRDefault="00B75F05" w:rsidP="00C21D6F">
            <w:pPr>
              <w:rPr>
                <w:rFonts w:ascii="Times New Roman" w:hAnsi="Times New Roman" w:cs="Times New Roman"/>
                <w:sz w:val="24"/>
                <w:szCs w:val="24"/>
                <w:lang w:val="en-GB"/>
              </w:rPr>
            </w:pPr>
            <w:r w:rsidRPr="00430496">
              <w:rPr>
                <w:rFonts w:ascii="Times New Roman" w:eastAsia="Times New Roman" w:hAnsi="Times New Roman" w:cs="Times New Roman"/>
                <w:bCs/>
                <w:color w:val="000000"/>
                <w:sz w:val="24"/>
                <w:szCs w:val="24"/>
                <w:lang w:eastAsia="en-GB"/>
              </w:rPr>
              <w:t>Guinea</w:t>
            </w:r>
          </w:p>
        </w:tc>
        <w:tc>
          <w:tcPr>
            <w:tcW w:w="1437" w:type="dxa"/>
            <w:gridSpan w:val="2"/>
            <w:vAlign w:val="bottom"/>
          </w:tcPr>
          <w:p w14:paraId="74B341EC" w14:textId="77777777" w:rsidR="00B75F05" w:rsidRPr="00430496" w:rsidRDefault="00B75F05" w:rsidP="00C21D6F">
            <w:pPr>
              <w:jc w:val="center"/>
              <w:rPr>
                <w:rFonts w:ascii="Times New Roman" w:hAnsi="Times New Roman" w:cs="Times New Roman"/>
                <w:sz w:val="24"/>
                <w:szCs w:val="24"/>
                <w:lang w:val="en-GB"/>
              </w:rPr>
            </w:pPr>
            <w:r w:rsidRPr="00430496">
              <w:rPr>
                <w:rFonts w:ascii="Times New Roman" w:eastAsia="Times New Roman" w:hAnsi="Times New Roman" w:cs="Times New Roman"/>
                <w:color w:val="000000"/>
                <w:sz w:val="24"/>
                <w:szCs w:val="24"/>
                <w:lang w:eastAsia="en-GB"/>
              </w:rPr>
              <w:t>5</w:t>
            </w:r>
          </w:p>
        </w:tc>
        <w:tc>
          <w:tcPr>
            <w:tcW w:w="1697" w:type="dxa"/>
            <w:gridSpan w:val="2"/>
            <w:vAlign w:val="bottom"/>
          </w:tcPr>
          <w:p w14:paraId="1BF4E6C9" w14:textId="77777777" w:rsidR="00B75F05" w:rsidRPr="00430496" w:rsidRDefault="00B75F05" w:rsidP="00C21D6F">
            <w:pPr>
              <w:jc w:val="center"/>
              <w:rPr>
                <w:rFonts w:ascii="Times New Roman" w:hAnsi="Times New Roman" w:cs="Times New Roman"/>
                <w:sz w:val="24"/>
                <w:szCs w:val="24"/>
                <w:lang w:val="en-GB"/>
              </w:rPr>
            </w:pPr>
            <w:r w:rsidRPr="00430496">
              <w:rPr>
                <w:rFonts w:ascii="Times New Roman" w:eastAsia="Times New Roman" w:hAnsi="Times New Roman" w:cs="Times New Roman"/>
                <w:bCs/>
                <w:color w:val="000000"/>
                <w:sz w:val="24"/>
                <w:szCs w:val="24"/>
                <w:lang w:eastAsia="en-GB"/>
              </w:rPr>
              <w:t>75</w:t>
            </w:r>
          </w:p>
        </w:tc>
        <w:tc>
          <w:tcPr>
            <w:tcW w:w="2120" w:type="dxa"/>
            <w:gridSpan w:val="4"/>
            <w:vAlign w:val="bottom"/>
          </w:tcPr>
          <w:p w14:paraId="1D465DCD" w14:textId="77777777" w:rsidR="00B75F05" w:rsidRPr="00430496" w:rsidRDefault="00B75F05" w:rsidP="00C21D6F">
            <w:pPr>
              <w:jc w:val="center"/>
              <w:rPr>
                <w:rFonts w:ascii="Times New Roman" w:hAnsi="Times New Roman" w:cs="Times New Roman"/>
                <w:sz w:val="24"/>
                <w:szCs w:val="24"/>
                <w:lang w:val="en-GB"/>
              </w:rPr>
            </w:pPr>
            <w:r w:rsidRPr="00430496">
              <w:rPr>
                <w:rFonts w:ascii="Times New Roman" w:hAnsi="Times New Roman" w:cs="Times New Roman"/>
                <w:color w:val="000000"/>
                <w:sz w:val="24"/>
                <w:szCs w:val="24"/>
              </w:rPr>
              <w:t>4.07</w:t>
            </w:r>
          </w:p>
        </w:tc>
      </w:tr>
      <w:tr w:rsidR="00B75F05" w:rsidRPr="00430496" w14:paraId="00C8F799" w14:textId="77777777" w:rsidTr="00C21D6F">
        <w:tc>
          <w:tcPr>
            <w:tcW w:w="1070" w:type="dxa"/>
          </w:tcPr>
          <w:p w14:paraId="3F2E2F86" w14:textId="77777777" w:rsidR="00B75F05" w:rsidRPr="00430496" w:rsidRDefault="00B75F05" w:rsidP="00C21D6F">
            <w:pPr>
              <w:rPr>
                <w:rFonts w:ascii="Times New Roman" w:hAnsi="Times New Roman" w:cs="Times New Roman"/>
                <w:sz w:val="24"/>
                <w:szCs w:val="24"/>
                <w:lang w:val="en-GB"/>
              </w:rPr>
            </w:pPr>
            <w:r w:rsidRPr="00430496">
              <w:rPr>
                <w:rFonts w:ascii="Times New Roman" w:hAnsi="Times New Roman" w:cs="Times New Roman"/>
                <w:sz w:val="24"/>
                <w:szCs w:val="24"/>
                <w:lang w:val="en-GB"/>
              </w:rPr>
              <w:t>8</w:t>
            </w:r>
          </w:p>
        </w:tc>
        <w:tc>
          <w:tcPr>
            <w:tcW w:w="2607" w:type="dxa"/>
            <w:vAlign w:val="bottom"/>
          </w:tcPr>
          <w:p w14:paraId="69E20EC7" w14:textId="77777777" w:rsidR="00B75F05" w:rsidRPr="00430496" w:rsidRDefault="00B75F05" w:rsidP="00C21D6F">
            <w:pPr>
              <w:rPr>
                <w:rFonts w:ascii="Times New Roman" w:hAnsi="Times New Roman" w:cs="Times New Roman"/>
                <w:sz w:val="24"/>
                <w:szCs w:val="24"/>
                <w:lang w:val="en-GB"/>
              </w:rPr>
            </w:pPr>
            <w:r w:rsidRPr="00430496">
              <w:rPr>
                <w:rFonts w:ascii="Times New Roman" w:eastAsia="Times New Roman" w:hAnsi="Times New Roman" w:cs="Times New Roman"/>
                <w:bCs/>
                <w:color w:val="000000"/>
                <w:sz w:val="24"/>
                <w:szCs w:val="24"/>
                <w:lang w:eastAsia="en-GB"/>
              </w:rPr>
              <w:t>Guinea Bissau</w:t>
            </w:r>
          </w:p>
        </w:tc>
        <w:tc>
          <w:tcPr>
            <w:tcW w:w="1437" w:type="dxa"/>
            <w:gridSpan w:val="2"/>
            <w:vAlign w:val="bottom"/>
          </w:tcPr>
          <w:p w14:paraId="205DE61A" w14:textId="77777777" w:rsidR="00B75F05" w:rsidRPr="00430496" w:rsidRDefault="00B75F05" w:rsidP="00C21D6F">
            <w:pPr>
              <w:jc w:val="center"/>
              <w:rPr>
                <w:rFonts w:ascii="Times New Roman" w:hAnsi="Times New Roman" w:cs="Times New Roman"/>
                <w:sz w:val="24"/>
                <w:szCs w:val="24"/>
                <w:lang w:val="en-GB"/>
              </w:rPr>
            </w:pPr>
            <w:r w:rsidRPr="00430496">
              <w:rPr>
                <w:rFonts w:ascii="Times New Roman" w:eastAsia="Times New Roman" w:hAnsi="Times New Roman" w:cs="Times New Roman"/>
                <w:color w:val="000000"/>
                <w:sz w:val="24"/>
                <w:szCs w:val="24"/>
                <w:lang w:eastAsia="en-GB"/>
              </w:rPr>
              <w:t>2</w:t>
            </w:r>
          </w:p>
        </w:tc>
        <w:tc>
          <w:tcPr>
            <w:tcW w:w="1697" w:type="dxa"/>
            <w:gridSpan w:val="2"/>
            <w:vAlign w:val="bottom"/>
          </w:tcPr>
          <w:p w14:paraId="4D5125F2" w14:textId="77777777" w:rsidR="00B75F05" w:rsidRPr="00430496" w:rsidRDefault="00B75F05" w:rsidP="00C21D6F">
            <w:pPr>
              <w:jc w:val="center"/>
              <w:rPr>
                <w:rFonts w:ascii="Times New Roman" w:hAnsi="Times New Roman" w:cs="Times New Roman"/>
                <w:sz w:val="24"/>
                <w:szCs w:val="24"/>
                <w:lang w:val="en-GB"/>
              </w:rPr>
            </w:pPr>
            <w:r w:rsidRPr="00430496">
              <w:rPr>
                <w:rFonts w:ascii="Times New Roman" w:eastAsia="Times New Roman" w:hAnsi="Times New Roman" w:cs="Times New Roman"/>
                <w:bCs/>
                <w:color w:val="000000"/>
                <w:sz w:val="24"/>
                <w:szCs w:val="24"/>
                <w:lang w:eastAsia="en-GB"/>
              </w:rPr>
              <w:t>30</w:t>
            </w:r>
          </w:p>
        </w:tc>
        <w:tc>
          <w:tcPr>
            <w:tcW w:w="2120" w:type="dxa"/>
            <w:gridSpan w:val="4"/>
            <w:vAlign w:val="bottom"/>
          </w:tcPr>
          <w:p w14:paraId="3D299F17" w14:textId="77777777" w:rsidR="00B75F05" w:rsidRPr="00430496" w:rsidRDefault="00B75F05" w:rsidP="00C21D6F">
            <w:pPr>
              <w:jc w:val="center"/>
              <w:rPr>
                <w:rFonts w:ascii="Times New Roman" w:hAnsi="Times New Roman" w:cs="Times New Roman"/>
                <w:sz w:val="24"/>
                <w:szCs w:val="24"/>
                <w:lang w:val="en-GB"/>
              </w:rPr>
            </w:pPr>
            <w:r w:rsidRPr="00430496">
              <w:rPr>
                <w:rFonts w:ascii="Times New Roman" w:hAnsi="Times New Roman" w:cs="Times New Roman"/>
                <w:color w:val="000000"/>
                <w:sz w:val="24"/>
                <w:szCs w:val="24"/>
              </w:rPr>
              <w:t>1.63</w:t>
            </w:r>
          </w:p>
        </w:tc>
      </w:tr>
      <w:tr w:rsidR="00B75F05" w:rsidRPr="00430496" w14:paraId="5EDBA27F" w14:textId="77777777" w:rsidTr="00C21D6F">
        <w:tc>
          <w:tcPr>
            <w:tcW w:w="1070" w:type="dxa"/>
          </w:tcPr>
          <w:p w14:paraId="38CF4B93" w14:textId="77777777" w:rsidR="00B75F05" w:rsidRPr="00430496" w:rsidRDefault="00B75F05" w:rsidP="00C21D6F">
            <w:pPr>
              <w:rPr>
                <w:rFonts w:ascii="Times New Roman" w:hAnsi="Times New Roman" w:cs="Times New Roman"/>
                <w:sz w:val="24"/>
                <w:szCs w:val="24"/>
                <w:lang w:val="en-GB"/>
              </w:rPr>
            </w:pPr>
            <w:r w:rsidRPr="00430496">
              <w:rPr>
                <w:rFonts w:ascii="Times New Roman" w:hAnsi="Times New Roman" w:cs="Times New Roman"/>
                <w:sz w:val="24"/>
                <w:szCs w:val="24"/>
                <w:lang w:val="en-GB"/>
              </w:rPr>
              <w:t>9</w:t>
            </w:r>
          </w:p>
        </w:tc>
        <w:tc>
          <w:tcPr>
            <w:tcW w:w="2607" w:type="dxa"/>
            <w:vAlign w:val="bottom"/>
          </w:tcPr>
          <w:p w14:paraId="03931994" w14:textId="77777777" w:rsidR="00B75F05" w:rsidRPr="00430496" w:rsidRDefault="00B75F05" w:rsidP="00C21D6F">
            <w:pPr>
              <w:rPr>
                <w:rFonts w:ascii="Times New Roman" w:hAnsi="Times New Roman" w:cs="Times New Roman"/>
                <w:sz w:val="24"/>
                <w:szCs w:val="24"/>
                <w:lang w:val="en-GB"/>
              </w:rPr>
            </w:pPr>
            <w:r w:rsidRPr="00430496">
              <w:rPr>
                <w:rFonts w:ascii="Times New Roman" w:eastAsia="Times New Roman" w:hAnsi="Times New Roman" w:cs="Times New Roman"/>
                <w:bCs/>
                <w:color w:val="000000"/>
                <w:sz w:val="24"/>
                <w:szCs w:val="24"/>
                <w:lang w:eastAsia="en-GB"/>
              </w:rPr>
              <w:t>Liberia</w:t>
            </w:r>
          </w:p>
        </w:tc>
        <w:tc>
          <w:tcPr>
            <w:tcW w:w="1437" w:type="dxa"/>
            <w:gridSpan w:val="2"/>
            <w:vAlign w:val="bottom"/>
          </w:tcPr>
          <w:p w14:paraId="3D48F32B" w14:textId="77777777" w:rsidR="00B75F05" w:rsidRPr="00430496" w:rsidRDefault="00B75F05" w:rsidP="00C21D6F">
            <w:pPr>
              <w:jc w:val="center"/>
              <w:rPr>
                <w:rFonts w:ascii="Times New Roman" w:hAnsi="Times New Roman" w:cs="Times New Roman"/>
                <w:sz w:val="24"/>
                <w:szCs w:val="24"/>
                <w:lang w:val="en-GB"/>
              </w:rPr>
            </w:pPr>
            <w:r w:rsidRPr="00430496">
              <w:rPr>
                <w:rFonts w:ascii="Times New Roman" w:eastAsia="Times New Roman" w:hAnsi="Times New Roman" w:cs="Times New Roman"/>
                <w:color w:val="000000"/>
                <w:sz w:val="24"/>
                <w:szCs w:val="24"/>
                <w:lang w:eastAsia="en-GB"/>
              </w:rPr>
              <w:t>5</w:t>
            </w:r>
          </w:p>
        </w:tc>
        <w:tc>
          <w:tcPr>
            <w:tcW w:w="1697" w:type="dxa"/>
            <w:gridSpan w:val="2"/>
            <w:vAlign w:val="bottom"/>
          </w:tcPr>
          <w:p w14:paraId="32A59F80" w14:textId="77777777" w:rsidR="00B75F05" w:rsidRPr="00430496" w:rsidRDefault="00B75F05" w:rsidP="00C21D6F">
            <w:pPr>
              <w:jc w:val="center"/>
              <w:rPr>
                <w:rFonts w:ascii="Times New Roman" w:hAnsi="Times New Roman" w:cs="Times New Roman"/>
                <w:sz w:val="24"/>
                <w:szCs w:val="24"/>
                <w:lang w:val="en-GB"/>
              </w:rPr>
            </w:pPr>
            <w:r w:rsidRPr="00430496">
              <w:rPr>
                <w:rFonts w:ascii="Times New Roman" w:eastAsia="Times New Roman" w:hAnsi="Times New Roman" w:cs="Times New Roman"/>
                <w:bCs/>
                <w:color w:val="000000"/>
                <w:sz w:val="24"/>
                <w:szCs w:val="24"/>
                <w:lang w:eastAsia="en-GB"/>
              </w:rPr>
              <w:t>75</w:t>
            </w:r>
          </w:p>
        </w:tc>
        <w:tc>
          <w:tcPr>
            <w:tcW w:w="2120" w:type="dxa"/>
            <w:gridSpan w:val="4"/>
            <w:vAlign w:val="bottom"/>
          </w:tcPr>
          <w:p w14:paraId="16E4B40A" w14:textId="77777777" w:rsidR="00B75F05" w:rsidRPr="00430496" w:rsidRDefault="00B75F05" w:rsidP="00C21D6F">
            <w:pPr>
              <w:jc w:val="center"/>
              <w:rPr>
                <w:rFonts w:ascii="Times New Roman" w:hAnsi="Times New Roman" w:cs="Times New Roman"/>
                <w:sz w:val="24"/>
                <w:szCs w:val="24"/>
                <w:lang w:val="en-GB"/>
              </w:rPr>
            </w:pPr>
            <w:r w:rsidRPr="00430496">
              <w:rPr>
                <w:rFonts w:ascii="Times New Roman" w:hAnsi="Times New Roman" w:cs="Times New Roman"/>
                <w:color w:val="000000"/>
                <w:sz w:val="24"/>
                <w:szCs w:val="24"/>
              </w:rPr>
              <w:t>4.07</w:t>
            </w:r>
          </w:p>
        </w:tc>
      </w:tr>
      <w:tr w:rsidR="00B75F05" w:rsidRPr="00430496" w14:paraId="3FE9A19C" w14:textId="77777777" w:rsidTr="00C21D6F">
        <w:tc>
          <w:tcPr>
            <w:tcW w:w="1070" w:type="dxa"/>
          </w:tcPr>
          <w:p w14:paraId="2AF5CB30" w14:textId="77777777" w:rsidR="00B75F05" w:rsidRPr="00430496" w:rsidRDefault="00B75F05" w:rsidP="00C21D6F">
            <w:pPr>
              <w:rPr>
                <w:rFonts w:ascii="Times New Roman" w:hAnsi="Times New Roman" w:cs="Times New Roman"/>
                <w:sz w:val="24"/>
                <w:szCs w:val="24"/>
                <w:lang w:val="en-GB"/>
              </w:rPr>
            </w:pPr>
            <w:r w:rsidRPr="00430496">
              <w:rPr>
                <w:rFonts w:ascii="Times New Roman" w:hAnsi="Times New Roman" w:cs="Times New Roman"/>
                <w:sz w:val="24"/>
                <w:szCs w:val="24"/>
                <w:lang w:val="en-GB"/>
              </w:rPr>
              <w:t>10</w:t>
            </w:r>
          </w:p>
        </w:tc>
        <w:tc>
          <w:tcPr>
            <w:tcW w:w="2607" w:type="dxa"/>
            <w:vAlign w:val="bottom"/>
          </w:tcPr>
          <w:p w14:paraId="3280BD3D" w14:textId="77777777" w:rsidR="00B75F05" w:rsidRPr="00430496" w:rsidRDefault="00B75F05" w:rsidP="00C21D6F">
            <w:pPr>
              <w:rPr>
                <w:rFonts w:ascii="Times New Roman" w:hAnsi="Times New Roman" w:cs="Times New Roman"/>
                <w:sz w:val="24"/>
                <w:szCs w:val="24"/>
                <w:lang w:val="en-GB"/>
              </w:rPr>
            </w:pPr>
            <w:r w:rsidRPr="00430496">
              <w:rPr>
                <w:rFonts w:ascii="Times New Roman" w:eastAsia="Times New Roman" w:hAnsi="Times New Roman" w:cs="Times New Roman"/>
                <w:bCs/>
                <w:color w:val="000000"/>
                <w:sz w:val="24"/>
                <w:szCs w:val="24"/>
                <w:lang w:eastAsia="en-GB"/>
              </w:rPr>
              <w:t>Mali</w:t>
            </w:r>
          </w:p>
        </w:tc>
        <w:tc>
          <w:tcPr>
            <w:tcW w:w="1437" w:type="dxa"/>
            <w:gridSpan w:val="2"/>
            <w:vAlign w:val="bottom"/>
          </w:tcPr>
          <w:p w14:paraId="0FE8ADF9" w14:textId="77777777" w:rsidR="00B75F05" w:rsidRPr="00430496" w:rsidRDefault="00B75F05" w:rsidP="00C21D6F">
            <w:pPr>
              <w:jc w:val="center"/>
              <w:rPr>
                <w:rFonts w:ascii="Times New Roman" w:hAnsi="Times New Roman" w:cs="Times New Roman"/>
                <w:sz w:val="24"/>
                <w:szCs w:val="24"/>
                <w:lang w:val="en-GB"/>
              </w:rPr>
            </w:pPr>
            <w:r w:rsidRPr="00430496">
              <w:rPr>
                <w:rFonts w:ascii="Times New Roman" w:eastAsia="Times New Roman" w:hAnsi="Times New Roman" w:cs="Times New Roman"/>
                <w:color w:val="000000"/>
                <w:sz w:val="24"/>
                <w:szCs w:val="24"/>
                <w:lang w:eastAsia="en-GB"/>
              </w:rPr>
              <w:t>7</w:t>
            </w:r>
          </w:p>
        </w:tc>
        <w:tc>
          <w:tcPr>
            <w:tcW w:w="1697" w:type="dxa"/>
            <w:gridSpan w:val="2"/>
            <w:vAlign w:val="bottom"/>
          </w:tcPr>
          <w:p w14:paraId="6C66D0A4" w14:textId="77777777" w:rsidR="00B75F05" w:rsidRPr="00430496" w:rsidRDefault="00B75F05" w:rsidP="00C21D6F">
            <w:pPr>
              <w:jc w:val="center"/>
              <w:rPr>
                <w:rFonts w:ascii="Times New Roman" w:hAnsi="Times New Roman" w:cs="Times New Roman"/>
                <w:sz w:val="24"/>
                <w:szCs w:val="24"/>
                <w:lang w:val="en-GB"/>
              </w:rPr>
            </w:pPr>
            <w:r w:rsidRPr="00430496">
              <w:rPr>
                <w:rFonts w:ascii="Times New Roman" w:eastAsia="Times New Roman" w:hAnsi="Times New Roman" w:cs="Times New Roman"/>
                <w:bCs/>
                <w:color w:val="000000"/>
                <w:sz w:val="24"/>
                <w:szCs w:val="24"/>
                <w:lang w:eastAsia="en-GB"/>
              </w:rPr>
              <w:t>105</w:t>
            </w:r>
          </w:p>
        </w:tc>
        <w:tc>
          <w:tcPr>
            <w:tcW w:w="2120" w:type="dxa"/>
            <w:gridSpan w:val="4"/>
            <w:vAlign w:val="bottom"/>
          </w:tcPr>
          <w:p w14:paraId="3F5F23B5" w14:textId="77777777" w:rsidR="00B75F05" w:rsidRPr="00430496" w:rsidRDefault="00B75F05" w:rsidP="00C21D6F">
            <w:pPr>
              <w:jc w:val="center"/>
              <w:rPr>
                <w:rFonts w:ascii="Times New Roman" w:hAnsi="Times New Roman" w:cs="Times New Roman"/>
                <w:sz w:val="24"/>
                <w:szCs w:val="24"/>
                <w:lang w:val="en-GB"/>
              </w:rPr>
            </w:pPr>
            <w:r w:rsidRPr="00430496">
              <w:rPr>
                <w:rFonts w:ascii="Times New Roman" w:hAnsi="Times New Roman" w:cs="Times New Roman"/>
                <w:color w:val="000000"/>
                <w:sz w:val="24"/>
                <w:szCs w:val="24"/>
              </w:rPr>
              <w:t>5.69</w:t>
            </w:r>
          </w:p>
        </w:tc>
      </w:tr>
      <w:tr w:rsidR="00B75F05" w:rsidRPr="00430496" w14:paraId="1F1C965A" w14:textId="77777777" w:rsidTr="00C21D6F">
        <w:tc>
          <w:tcPr>
            <w:tcW w:w="1070" w:type="dxa"/>
          </w:tcPr>
          <w:p w14:paraId="00E9A2C3" w14:textId="77777777" w:rsidR="00B75F05" w:rsidRPr="00430496" w:rsidRDefault="00B75F05" w:rsidP="00C21D6F">
            <w:pPr>
              <w:rPr>
                <w:rFonts w:ascii="Times New Roman" w:hAnsi="Times New Roman" w:cs="Times New Roman"/>
                <w:sz w:val="24"/>
                <w:szCs w:val="24"/>
                <w:lang w:val="en-GB"/>
              </w:rPr>
            </w:pPr>
            <w:r w:rsidRPr="00430496">
              <w:rPr>
                <w:rFonts w:ascii="Times New Roman" w:hAnsi="Times New Roman" w:cs="Times New Roman"/>
                <w:sz w:val="24"/>
                <w:szCs w:val="24"/>
                <w:lang w:val="en-GB"/>
              </w:rPr>
              <w:t>11</w:t>
            </w:r>
          </w:p>
        </w:tc>
        <w:tc>
          <w:tcPr>
            <w:tcW w:w="2607" w:type="dxa"/>
            <w:vAlign w:val="bottom"/>
          </w:tcPr>
          <w:p w14:paraId="1E15B216" w14:textId="77777777" w:rsidR="00B75F05" w:rsidRPr="00430496" w:rsidRDefault="00B75F05" w:rsidP="00C21D6F">
            <w:pPr>
              <w:rPr>
                <w:rFonts w:ascii="Times New Roman" w:hAnsi="Times New Roman" w:cs="Times New Roman"/>
                <w:sz w:val="24"/>
                <w:szCs w:val="24"/>
                <w:lang w:val="en-GB"/>
              </w:rPr>
            </w:pPr>
            <w:r w:rsidRPr="00430496">
              <w:rPr>
                <w:rFonts w:ascii="Times New Roman" w:eastAsia="Times New Roman" w:hAnsi="Times New Roman" w:cs="Times New Roman"/>
                <w:bCs/>
                <w:color w:val="000000"/>
                <w:sz w:val="24"/>
                <w:szCs w:val="24"/>
                <w:lang w:eastAsia="en-GB"/>
              </w:rPr>
              <w:t>Niger</w:t>
            </w:r>
          </w:p>
        </w:tc>
        <w:tc>
          <w:tcPr>
            <w:tcW w:w="1437" w:type="dxa"/>
            <w:gridSpan w:val="2"/>
            <w:vAlign w:val="bottom"/>
          </w:tcPr>
          <w:p w14:paraId="415DC604" w14:textId="77777777" w:rsidR="00B75F05" w:rsidRPr="00430496" w:rsidRDefault="00B75F05" w:rsidP="00C21D6F">
            <w:pPr>
              <w:jc w:val="center"/>
              <w:rPr>
                <w:rFonts w:ascii="Times New Roman" w:hAnsi="Times New Roman" w:cs="Times New Roman"/>
                <w:sz w:val="24"/>
                <w:szCs w:val="24"/>
                <w:lang w:val="en-GB"/>
              </w:rPr>
            </w:pPr>
            <w:r w:rsidRPr="00430496">
              <w:rPr>
                <w:rFonts w:ascii="Times New Roman" w:eastAsia="Times New Roman" w:hAnsi="Times New Roman" w:cs="Times New Roman"/>
                <w:color w:val="000000"/>
                <w:sz w:val="24"/>
                <w:szCs w:val="24"/>
                <w:lang w:eastAsia="en-GB"/>
              </w:rPr>
              <w:t>5</w:t>
            </w:r>
          </w:p>
        </w:tc>
        <w:tc>
          <w:tcPr>
            <w:tcW w:w="1697" w:type="dxa"/>
            <w:gridSpan w:val="2"/>
            <w:vAlign w:val="bottom"/>
          </w:tcPr>
          <w:p w14:paraId="45826C7E" w14:textId="77777777" w:rsidR="00B75F05" w:rsidRPr="00430496" w:rsidRDefault="00B75F05" w:rsidP="00C21D6F">
            <w:pPr>
              <w:jc w:val="center"/>
              <w:rPr>
                <w:rFonts w:ascii="Times New Roman" w:hAnsi="Times New Roman" w:cs="Times New Roman"/>
                <w:sz w:val="24"/>
                <w:szCs w:val="24"/>
                <w:lang w:val="en-GB"/>
              </w:rPr>
            </w:pPr>
            <w:r w:rsidRPr="00430496">
              <w:rPr>
                <w:rFonts w:ascii="Times New Roman" w:eastAsia="Times New Roman" w:hAnsi="Times New Roman" w:cs="Times New Roman"/>
                <w:bCs/>
                <w:color w:val="000000"/>
                <w:sz w:val="24"/>
                <w:szCs w:val="24"/>
                <w:lang w:eastAsia="en-GB"/>
              </w:rPr>
              <w:t>75</w:t>
            </w:r>
          </w:p>
        </w:tc>
        <w:tc>
          <w:tcPr>
            <w:tcW w:w="2120" w:type="dxa"/>
            <w:gridSpan w:val="4"/>
            <w:vAlign w:val="bottom"/>
          </w:tcPr>
          <w:p w14:paraId="3789089F" w14:textId="77777777" w:rsidR="00B75F05" w:rsidRPr="00430496" w:rsidRDefault="00B75F05" w:rsidP="00C21D6F">
            <w:pPr>
              <w:jc w:val="center"/>
              <w:rPr>
                <w:rFonts w:ascii="Times New Roman" w:hAnsi="Times New Roman" w:cs="Times New Roman"/>
                <w:sz w:val="24"/>
                <w:szCs w:val="24"/>
                <w:lang w:val="en-GB"/>
              </w:rPr>
            </w:pPr>
            <w:r w:rsidRPr="00430496">
              <w:rPr>
                <w:rFonts w:ascii="Times New Roman" w:hAnsi="Times New Roman" w:cs="Times New Roman"/>
                <w:color w:val="000000"/>
                <w:sz w:val="24"/>
                <w:szCs w:val="24"/>
              </w:rPr>
              <w:t>4.07</w:t>
            </w:r>
          </w:p>
        </w:tc>
      </w:tr>
      <w:tr w:rsidR="00B75F05" w:rsidRPr="00430496" w14:paraId="2EFF25B4" w14:textId="77777777" w:rsidTr="00C21D6F">
        <w:tc>
          <w:tcPr>
            <w:tcW w:w="1070" w:type="dxa"/>
          </w:tcPr>
          <w:p w14:paraId="26C0C553" w14:textId="77777777" w:rsidR="00B75F05" w:rsidRPr="00430496" w:rsidRDefault="00B75F05" w:rsidP="00C21D6F">
            <w:pPr>
              <w:rPr>
                <w:rFonts w:ascii="Times New Roman" w:hAnsi="Times New Roman" w:cs="Times New Roman"/>
                <w:sz w:val="24"/>
                <w:szCs w:val="24"/>
                <w:lang w:val="en-GB"/>
              </w:rPr>
            </w:pPr>
            <w:r w:rsidRPr="00430496">
              <w:rPr>
                <w:rFonts w:ascii="Times New Roman" w:hAnsi="Times New Roman" w:cs="Times New Roman"/>
                <w:sz w:val="24"/>
                <w:szCs w:val="24"/>
                <w:lang w:val="en-GB"/>
              </w:rPr>
              <w:t>12</w:t>
            </w:r>
          </w:p>
        </w:tc>
        <w:tc>
          <w:tcPr>
            <w:tcW w:w="2607" w:type="dxa"/>
            <w:vAlign w:val="bottom"/>
          </w:tcPr>
          <w:p w14:paraId="4C5ED7B2" w14:textId="77777777" w:rsidR="00B75F05" w:rsidRPr="00430496" w:rsidRDefault="00B75F05" w:rsidP="00C21D6F">
            <w:pPr>
              <w:rPr>
                <w:rFonts w:ascii="Times New Roman" w:hAnsi="Times New Roman" w:cs="Times New Roman"/>
                <w:sz w:val="24"/>
                <w:szCs w:val="24"/>
                <w:lang w:val="en-GB"/>
              </w:rPr>
            </w:pPr>
            <w:r w:rsidRPr="00430496">
              <w:rPr>
                <w:rFonts w:ascii="Times New Roman" w:eastAsia="Times New Roman" w:hAnsi="Times New Roman" w:cs="Times New Roman"/>
                <w:bCs/>
                <w:color w:val="000000"/>
                <w:sz w:val="24"/>
                <w:szCs w:val="24"/>
                <w:lang w:eastAsia="en-GB"/>
              </w:rPr>
              <w:t>Nigeria</w:t>
            </w:r>
          </w:p>
        </w:tc>
        <w:tc>
          <w:tcPr>
            <w:tcW w:w="1437" w:type="dxa"/>
            <w:gridSpan w:val="2"/>
            <w:vAlign w:val="bottom"/>
          </w:tcPr>
          <w:p w14:paraId="6D8599A2" w14:textId="77777777" w:rsidR="00B75F05" w:rsidRPr="00430496" w:rsidRDefault="00B75F05" w:rsidP="00C21D6F">
            <w:pPr>
              <w:jc w:val="center"/>
              <w:rPr>
                <w:rFonts w:ascii="Times New Roman" w:hAnsi="Times New Roman" w:cs="Times New Roman"/>
                <w:sz w:val="24"/>
                <w:szCs w:val="24"/>
                <w:lang w:val="en-GB"/>
              </w:rPr>
            </w:pPr>
            <w:r w:rsidRPr="00430496">
              <w:rPr>
                <w:rFonts w:ascii="Times New Roman" w:eastAsia="Times New Roman" w:hAnsi="Times New Roman" w:cs="Times New Roman"/>
                <w:color w:val="000000"/>
                <w:sz w:val="24"/>
                <w:szCs w:val="24"/>
                <w:lang w:eastAsia="en-GB"/>
              </w:rPr>
              <w:t>10</w:t>
            </w:r>
          </w:p>
        </w:tc>
        <w:tc>
          <w:tcPr>
            <w:tcW w:w="1697" w:type="dxa"/>
            <w:gridSpan w:val="2"/>
            <w:vAlign w:val="bottom"/>
          </w:tcPr>
          <w:p w14:paraId="3963D11D" w14:textId="77777777" w:rsidR="00B75F05" w:rsidRPr="00430496" w:rsidRDefault="00B75F05" w:rsidP="00C21D6F">
            <w:pPr>
              <w:jc w:val="center"/>
              <w:rPr>
                <w:rFonts w:ascii="Times New Roman" w:hAnsi="Times New Roman" w:cs="Times New Roman"/>
                <w:sz w:val="24"/>
                <w:szCs w:val="24"/>
                <w:lang w:val="en-GB"/>
              </w:rPr>
            </w:pPr>
            <w:r w:rsidRPr="00430496">
              <w:rPr>
                <w:rFonts w:ascii="Times New Roman" w:eastAsia="Times New Roman" w:hAnsi="Times New Roman" w:cs="Times New Roman"/>
                <w:bCs/>
                <w:color w:val="000000"/>
                <w:sz w:val="24"/>
                <w:szCs w:val="24"/>
                <w:lang w:eastAsia="en-GB"/>
              </w:rPr>
              <w:t>150</w:t>
            </w:r>
          </w:p>
        </w:tc>
        <w:tc>
          <w:tcPr>
            <w:tcW w:w="2120" w:type="dxa"/>
            <w:gridSpan w:val="4"/>
            <w:vAlign w:val="bottom"/>
          </w:tcPr>
          <w:p w14:paraId="455A29B7" w14:textId="77777777" w:rsidR="00B75F05" w:rsidRPr="00430496" w:rsidRDefault="00B75F05" w:rsidP="00C21D6F">
            <w:pPr>
              <w:jc w:val="center"/>
              <w:rPr>
                <w:rFonts w:ascii="Times New Roman" w:hAnsi="Times New Roman" w:cs="Times New Roman"/>
                <w:sz w:val="24"/>
                <w:szCs w:val="24"/>
                <w:lang w:val="en-GB"/>
              </w:rPr>
            </w:pPr>
            <w:r w:rsidRPr="00430496">
              <w:rPr>
                <w:rFonts w:ascii="Times New Roman" w:hAnsi="Times New Roman" w:cs="Times New Roman"/>
                <w:color w:val="000000"/>
                <w:sz w:val="24"/>
                <w:szCs w:val="24"/>
              </w:rPr>
              <w:t>8.13</w:t>
            </w:r>
          </w:p>
        </w:tc>
      </w:tr>
      <w:tr w:rsidR="00B75F05" w:rsidRPr="00430496" w14:paraId="607697BE" w14:textId="77777777" w:rsidTr="00C21D6F">
        <w:tc>
          <w:tcPr>
            <w:tcW w:w="1070" w:type="dxa"/>
          </w:tcPr>
          <w:p w14:paraId="0D56242A" w14:textId="77777777" w:rsidR="00B75F05" w:rsidRPr="00430496" w:rsidRDefault="00B75F05" w:rsidP="00C21D6F">
            <w:pPr>
              <w:rPr>
                <w:rFonts w:ascii="Times New Roman" w:hAnsi="Times New Roman" w:cs="Times New Roman"/>
                <w:sz w:val="24"/>
                <w:szCs w:val="24"/>
                <w:lang w:val="en-GB"/>
              </w:rPr>
            </w:pPr>
            <w:r w:rsidRPr="00430496">
              <w:rPr>
                <w:rFonts w:ascii="Times New Roman" w:hAnsi="Times New Roman" w:cs="Times New Roman"/>
                <w:sz w:val="24"/>
                <w:szCs w:val="24"/>
                <w:lang w:val="en-GB"/>
              </w:rPr>
              <w:t>13</w:t>
            </w:r>
          </w:p>
        </w:tc>
        <w:tc>
          <w:tcPr>
            <w:tcW w:w="2607" w:type="dxa"/>
            <w:vAlign w:val="bottom"/>
          </w:tcPr>
          <w:p w14:paraId="3CB61475" w14:textId="77777777" w:rsidR="00B75F05" w:rsidRPr="00430496" w:rsidRDefault="00B75F05" w:rsidP="00C21D6F">
            <w:pPr>
              <w:rPr>
                <w:rFonts w:ascii="Times New Roman" w:hAnsi="Times New Roman" w:cs="Times New Roman"/>
                <w:sz w:val="24"/>
                <w:szCs w:val="24"/>
                <w:lang w:val="en-GB"/>
              </w:rPr>
            </w:pPr>
            <w:r w:rsidRPr="00430496">
              <w:rPr>
                <w:rFonts w:ascii="Times New Roman" w:eastAsia="Times New Roman" w:hAnsi="Times New Roman" w:cs="Times New Roman"/>
                <w:bCs/>
                <w:color w:val="000000"/>
                <w:sz w:val="24"/>
                <w:szCs w:val="24"/>
                <w:lang w:eastAsia="en-GB"/>
              </w:rPr>
              <w:t>Senegal</w:t>
            </w:r>
          </w:p>
        </w:tc>
        <w:tc>
          <w:tcPr>
            <w:tcW w:w="1437" w:type="dxa"/>
            <w:gridSpan w:val="2"/>
            <w:vAlign w:val="bottom"/>
          </w:tcPr>
          <w:p w14:paraId="303BA4FF" w14:textId="77777777" w:rsidR="00B75F05" w:rsidRPr="00430496" w:rsidRDefault="00B75F05" w:rsidP="00C21D6F">
            <w:pPr>
              <w:jc w:val="center"/>
              <w:rPr>
                <w:rFonts w:ascii="Times New Roman" w:hAnsi="Times New Roman" w:cs="Times New Roman"/>
                <w:sz w:val="24"/>
                <w:szCs w:val="24"/>
                <w:lang w:val="en-GB"/>
              </w:rPr>
            </w:pPr>
            <w:r w:rsidRPr="00430496">
              <w:rPr>
                <w:rFonts w:ascii="Times New Roman" w:eastAsia="Times New Roman" w:hAnsi="Times New Roman" w:cs="Times New Roman"/>
                <w:color w:val="000000"/>
                <w:sz w:val="24"/>
                <w:szCs w:val="24"/>
                <w:lang w:eastAsia="en-GB"/>
              </w:rPr>
              <w:t>10</w:t>
            </w:r>
          </w:p>
        </w:tc>
        <w:tc>
          <w:tcPr>
            <w:tcW w:w="1697" w:type="dxa"/>
            <w:gridSpan w:val="2"/>
            <w:vAlign w:val="bottom"/>
          </w:tcPr>
          <w:p w14:paraId="7B3591F7" w14:textId="77777777" w:rsidR="00B75F05" w:rsidRPr="00430496" w:rsidRDefault="00B75F05" w:rsidP="00C21D6F">
            <w:pPr>
              <w:jc w:val="center"/>
              <w:rPr>
                <w:rFonts w:ascii="Times New Roman" w:hAnsi="Times New Roman" w:cs="Times New Roman"/>
                <w:sz w:val="24"/>
                <w:szCs w:val="24"/>
                <w:lang w:val="en-GB"/>
              </w:rPr>
            </w:pPr>
            <w:r w:rsidRPr="00430496">
              <w:rPr>
                <w:rFonts w:ascii="Times New Roman" w:eastAsia="Times New Roman" w:hAnsi="Times New Roman" w:cs="Times New Roman"/>
                <w:bCs/>
                <w:color w:val="000000"/>
                <w:sz w:val="24"/>
                <w:szCs w:val="24"/>
                <w:lang w:eastAsia="en-GB"/>
              </w:rPr>
              <w:t>150</w:t>
            </w:r>
          </w:p>
        </w:tc>
        <w:tc>
          <w:tcPr>
            <w:tcW w:w="2120" w:type="dxa"/>
            <w:gridSpan w:val="4"/>
            <w:vAlign w:val="bottom"/>
          </w:tcPr>
          <w:p w14:paraId="512DADEF" w14:textId="77777777" w:rsidR="00B75F05" w:rsidRPr="00430496" w:rsidRDefault="00B75F05" w:rsidP="00C21D6F">
            <w:pPr>
              <w:jc w:val="center"/>
              <w:rPr>
                <w:rFonts w:ascii="Times New Roman" w:hAnsi="Times New Roman" w:cs="Times New Roman"/>
                <w:sz w:val="24"/>
                <w:szCs w:val="24"/>
                <w:lang w:val="en-GB"/>
              </w:rPr>
            </w:pPr>
            <w:r w:rsidRPr="00430496">
              <w:rPr>
                <w:rFonts w:ascii="Times New Roman" w:hAnsi="Times New Roman" w:cs="Times New Roman"/>
                <w:color w:val="000000"/>
                <w:sz w:val="24"/>
                <w:szCs w:val="24"/>
              </w:rPr>
              <w:t>8.13</w:t>
            </w:r>
          </w:p>
        </w:tc>
      </w:tr>
      <w:tr w:rsidR="00B75F05" w:rsidRPr="00430496" w14:paraId="1B6B2D3F" w14:textId="77777777" w:rsidTr="00C21D6F">
        <w:tc>
          <w:tcPr>
            <w:tcW w:w="1070" w:type="dxa"/>
          </w:tcPr>
          <w:p w14:paraId="40A83FC5" w14:textId="77777777" w:rsidR="00B75F05" w:rsidRPr="00430496" w:rsidRDefault="00B75F05" w:rsidP="00C21D6F">
            <w:pPr>
              <w:rPr>
                <w:rFonts w:ascii="Times New Roman" w:hAnsi="Times New Roman" w:cs="Times New Roman"/>
                <w:sz w:val="24"/>
                <w:szCs w:val="24"/>
                <w:lang w:val="en-GB"/>
              </w:rPr>
            </w:pPr>
            <w:r w:rsidRPr="00430496">
              <w:rPr>
                <w:rFonts w:ascii="Times New Roman" w:hAnsi="Times New Roman" w:cs="Times New Roman"/>
                <w:sz w:val="24"/>
                <w:szCs w:val="24"/>
                <w:lang w:val="en-GB"/>
              </w:rPr>
              <w:t>14</w:t>
            </w:r>
          </w:p>
        </w:tc>
        <w:tc>
          <w:tcPr>
            <w:tcW w:w="2607" w:type="dxa"/>
            <w:vAlign w:val="bottom"/>
          </w:tcPr>
          <w:p w14:paraId="11A34A0D" w14:textId="77777777" w:rsidR="00B75F05" w:rsidRPr="00430496" w:rsidRDefault="00B75F05" w:rsidP="00C21D6F">
            <w:pPr>
              <w:rPr>
                <w:rFonts w:ascii="Times New Roman" w:hAnsi="Times New Roman" w:cs="Times New Roman"/>
                <w:sz w:val="24"/>
                <w:szCs w:val="24"/>
                <w:lang w:val="en-GB"/>
              </w:rPr>
            </w:pPr>
            <w:r w:rsidRPr="00430496">
              <w:rPr>
                <w:rFonts w:ascii="Times New Roman" w:eastAsia="Times New Roman" w:hAnsi="Times New Roman" w:cs="Times New Roman"/>
                <w:bCs/>
                <w:color w:val="000000"/>
                <w:sz w:val="24"/>
                <w:szCs w:val="24"/>
                <w:lang w:eastAsia="en-GB"/>
              </w:rPr>
              <w:t>Sierra Leone</w:t>
            </w:r>
          </w:p>
        </w:tc>
        <w:tc>
          <w:tcPr>
            <w:tcW w:w="1437" w:type="dxa"/>
            <w:gridSpan w:val="2"/>
            <w:vAlign w:val="bottom"/>
          </w:tcPr>
          <w:p w14:paraId="405C9443" w14:textId="77777777" w:rsidR="00B75F05" w:rsidRPr="00430496" w:rsidRDefault="00B75F05" w:rsidP="00C21D6F">
            <w:pPr>
              <w:jc w:val="center"/>
              <w:rPr>
                <w:rFonts w:ascii="Times New Roman" w:hAnsi="Times New Roman" w:cs="Times New Roman"/>
                <w:sz w:val="24"/>
                <w:szCs w:val="24"/>
                <w:lang w:val="en-GB"/>
              </w:rPr>
            </w:pPr>
            <w:r w:rsidRPr="00430496">
              <w:rPr>
                <w:rFonts w:ascii="Times New Roman" w:eastAsia="Times New Roman" w:hAnsi="Times New Roman" w:cs="Times New Roman"/>
                <w:color w:val="000000"/>
                <w:sz w:val="24"/>
                <w:szCs w:val="24"/>
                <w:lang w:eastAsia="en-GB"/>
              </w:rPr>
              <w:t>6</w:t>
            </w:r>
          </w:p>
        </w:tc>
        <w:tc>
          <w:tcPr>
            <w:tcW w:w="1697" w:type="dxa"/>
            <w:gridSpan w:val="2"/>
            <w:vAlign w:val="bottom"/>
          </w:tcPr>
          <w:p w14:paraId="3AB0A961" w14:textId="77777777" w:rsidR="00B75F05" w:rsidRPr="00430496" w:rsidRDefault="00B75F05" w:rsidP="00C21D6F">
            <w:pPr>
              <w:jc w:val="center"/>
              <w:rPr>
                <w:rFonts w:ascii="Times New Roman" w:hAnsi="Times New Roman" w:cs="Times New Roman"/>
                <w:sz w:val="24"/>
                <w:szCs w:val="24"/>
                <w:lang w:val="en-GB"/>
              </w:rPr>
            </w:pPr>
            <w:r w:rsidRPr="00430496">
              <w:rPr>
                <w:rFonts w:ascii="Times New Roman" w:eastAsia="Times New Roman" w:hAnsi="Times New Roman" w:cs="Times New Roman"/>
                <w:bCs/>
                <w:color w:val="000000"/>
                <w:sz w:val="24"/>
                <w:szCs w:val="24"/>
                <w:lang w:eastAsia="en-GB"/>
              </w:rPr>
              <w:t>90</w:t>
            </w:r>
          </w:p>
        </w:tc>
        <w:tc>
          <w:tcPr>
            <w:tcW w:w="2120" w:type="dxa"/>
            <w:gridSpan w:val="4"/>
            <w:vAlign w:val="bottom"/>
          </w:tcPr>
          <w:p w14:paraId="265EBC51" w14:textId="77777777" w:rsidR="00B75F05" w:rsidRPr="00430496" w:rsidRDefault="00B75F05" w:rsidP="00C21D6F">
            <w:pPr>
              <w:jc w:val="center"/>
              <w:rPr>
                <w:rFonts w:ascii="Times New Roman" w:hAnsi="Times New Roman" w:cs="Times New Roman"/>
                <w:sz w:val="24"/>
                <w:szCs w:val="24"/>
                <w:lang w:val="en-GB"/>
              </w:rPr>
            </w:pPr>
            <w:r w:rsidRPr="00430496">
              <w:rPr>
                <w:rFonts w:ascii="Times New Roman" w:hAnsi="Times New Roman" w:cs="Times New Roman"/>
                <w:color w:val="000000"/>
                <w:sz w:val="24"/>
                <w:szCs w:val="24"/>
              </w:rPr>
              <w:t>4.88</w:t>
            </w:r>
          </w:p>
        </w:tc>
      </w:tr>
      <w:tr w:rsidR="00B75F05" w:rsidRPr="00430496" w14:paraId="666D5015" w14:textId="77777777" w:rsidTr="00C21D6F">
        <w:tc>
          <w:tcPr>
            <w:tcW w:w="1070" w:type="dxa"/>
          </w:tcPr>
          <w:p w14:paraId="79B377BD" w14:textId="77777777" w:rsidR="00B75F05" w:rsidRPr="00430496" w:rsidRDefault="00B75F05" w:rsidP="00C21D6F">
            <w:pPr>
              <w:rPr>
                <w:rFonts w:ascii="Times New Roman" w:hAnsi="Times New Roman" w:cs="Times New Roman"/>
                <w:sz w:val="24"/>
                <w:szCs w:val="24"/>
                <w:lang w:val="en-GB"/>
              </w:rPr>
            </w:pPr>
            <w:r w:rsidRPr="00430496">
              <w:rPr>
                <w:rFonts w:ascii="Times New Roman" w:hAnsi="Times New Roman" w:cs="Times New Roman"/>
                <w:sz w:val="24"/>
                <w:szCs w:val="24"/>
                <w:lang w:val="en-GB"/>
              </w:rPr>
              <w:t>15</w:t>
            </w:r>
          </w:p>
        </w:tc>
        <w:tc>
          <w:tcPr>
            <w:tcW w:w="2607" w:type="dxa"/>
            <w:vAlign w:val="bottom"/>
          </w:tcPr>
          <w:p w14:paraId="75059427" w14:textId="77777777" w:rsidR="00B75F05" w:rsidRPr="00430496" w:rsidRDefault="00B75F05" w:rsidP="00C21D6F">
            <w:pPr>
              <w:rPr>
                <w:rFonts w:ascii="Times New Roman" w:hAnsi="Times New Roman" w:cs="Times New Roman"/>
                <w:sz w:val="24"/>
                <w:szCs w:val="24"/>
                <w:lang w:val="en-GB"/>
              </w:rPr>
            </w:pPr>
            <w:r w:rsidRPr="00430496">
              <w:rPr>
                <w:rFonts w:ascii="Times New Roman" w:eastAsia="Times New Roman" w:hAnsi="Times New Roman" w:cs="Times New Roman"/>
                <w:bCs/>
                <w:color w:val="000000"/>
                <w:sz w:val="24"/>
                <w:szCs w:val="24"/>
                <w:lang w:eastAsia="en-GB"/>
              </w:rPr>
              <w:t>Togo</w:t>
            </w:r>
          </w:p>
        </w:tc>
        <w:tc>
          <w:tcPr>
            <w:tcW w:w="1437" w:type="dxa"/>
            <w:gridSpan w:val="2"/>
            <w:vAlign w:val="bottom"/>
          </w:tcPr>
          <w:p w14:paraId="72119E2A" w14:textId="77777777" w:rsidR="00B75F05" w:rsidRPr="00430496" w:rsidRDefault="00B75F05" w:rsidP="00C21D6F">
            <w:pPr>
              <w:jc w:val="center"/>
              <w:rPr>
                <w:rFonts w:ascii="Times New Roman" w:hAnsi="Times New Roman" w:cs="Times New Roman"/>
                <w:sz w:val="24"/>
                <w:szCs w:val="24"/>
                <w:lang w:val="en-GB"/>
              </w:rPr>
            </w:pPr>
            <w:r w:rsidRPr="00430496">
              <w:rPr>
                <w:rFonts w:ascii="Times New Roman" w:eastAsia="Times New Roman" w:hAnsi="Times New Roman" w:cs="Times New Roman"/>
                <w:color w:val="000000"/>
                <w:sz w:val="24"/>
                <w:szCs w:val="24"/>
                <w:lang w:eastAsia="en-GB"/>
              </w:rPr>
              <w:t>6</w:t>
            </w:r>
          </w:p>
        </w:tc>
        <w:tc>
          <w:tcPr>
            <w:tcW w:w="1697" w:type="dxa"/>
            <w:gridSpan w:val="2"/>
            <w:vAlign w:val="bottom"/>
          </w:tcPr>
          <w:p w14:paraId="28EDB728" w14:textId="77777777" w:rsidR="00B75F05" w:rsidRPr="00430496" w:rsidRDefault="00B75F05" w:rsidP="00C21D6F">
            <w:pPr>
              <w:jc w:val="center"/>
              <w:rPr>
                <w:rFonts w:ascii="Times New Roman" w:hAnsi="Times New Roman" w:cs="Times New Roman"/>
                <w:sz w:val="24"/>
                <w:szCs w:val="24"/>
                <w:lang w:val="en-GB"/>
              </w:rPr>
            </w:pPr>
            <w:r w:rsidRPr="00430496">
              <w:rPr>
                <w:rFonts w:ascii="Times New Roman" w:eastAsia="Times New Roman" w:hAnsi="Times New Roman" w:cs="Times New Roman"/>
                <w:bCs/>
                <w:color w:val="000000"/>
                <w:sz w:val="24"/>
                <w:szCs w:val="24"/>
                <w:lang w:eastAsia="en-GB"/>
              </w:rPr>
              <w:t>90</w:t>
            </w:r>
          </w:p>
        </w:tc>
        <w:tc>
          <w:tcPr>
            <w:tcW w:w="2120" w:type="dxa"/>
            <w:gridSpan w:val="4"/>
            <w:vAlign w:val="bottom"/>
          </w:tcPr>
          <w:p w14:paraId="429843C9" w14:textId="77777777" w:rsidR="00B75F05" w:rsidRPr="00430496" w:rsidRDefault="00B75F05" w:rsidP="00C21D6F">
            <w:pPr>
              <w:jc w:val="center"/>
              <w:rPr>
                <w:rFonts w:ascii="Times New Roman" w:hAnsi="Times New Roman" w:cs="Times New Roman"/>
                <w:sz w:val="24"/>
                <w:szCs w:val="24"/>
                <w:lang w:val="en-GB"/>
              </w:rPr>
            </w:pPr>
            <w:r w:rsidRPr="00430496">
              <w:rPr>
                <w:rFonts w:ascii="Times New Roman" w:hAnsi="Times New Roman" w:cs="Times New Roman"/>
                <w:color w:val="000000"/>
                <w:sz w:val="24"/>
                <w:szCs w:val="24"/>
              </w:rPr>
              <w:t>4.88</w:t>
            </w:r>
          </w:p>
        </w:tc>
      </w:tr>
      <w:tr w:rsidR="00B75F05" w:rsidRPr="00430496" w14:paraId="5AC7A619" w14:textId="77777777" w:rsidTr="00C21D6F">
        <w:tc>
          <w:tcPr>
            <w:tcW w:w="1070" w:type="dxa"/>
          </w:tcPr>
          <w:p w14:paraId="0AA61C36" w14:textId="77777777" w:rsidR="00B75F05" w:rsidRPr="00430496" w:rsidRDefault="00B75F05" w:rsidP="00C21D6F">
            <w:pPr>
              <w:rPr>
                <w:rFonts w:ascii="Times New Roman" w:hAnsi="Times New Roman" w:cs="Times New Roman"/>
                <w:sz w:val="24"/>
                <w:szCs w:val="24"/>
                <w:lang w:val="en-GB"/>
              </w:rPr>
            </w:pPr>
          </w:p>
        </w:tc>
        <w:tc>
          <w:tcPr>
            <w:tcW w:w="2607" w:type="dxa"/>
          </w:tcPr>
          <w:p w14:paraId="2194EA48" w14:textId="77777777" w:rsidR="00B75F05" w:rsidRPr="00430496" w:rsidRDefault="00B75F05" w:rsidP="00C21D6F">
            <w:pPr>
              <w:autoSpaceDE w:val="0"/>
              <w:autoSpaceDN w:val="0"/>
              <w:adjustRightInd w:val="0"/>
              <w:rPr>
                <w:rFonts w:ascii="Times New Roman" w:hAnsi="Times New Roman" w:cs="Times New Roman"/>
                <w:b/>
                <w:bCs/>
                <w:sz w:val="24"/>
                <w:szCs w:val="24"/>
                <w:lang w:val="en-GB"/>
              </w:rPr>
            </w:pPr>
          </w:p>
          <w:p w14:paraId="68EC9B81" w14:textId="77777777" w:rsidR="00B75F05" w:rsidRPr="00430496" w:rsidRDefault="00B75F05" w:rsidP="00C21D6F">
            <w:pPr>
              <w:autoSpaceDE w:val="0"/>
              <w:autoSpaceDN w:val="0"/>
              <w:adjustRightInd w:val="0"/>
              <w:rPr>
                <w:rFonts w:ascii="Times New Roman" w:hAnsi="Times New Roman" w:cs="Times New Roman"/>
                <w:b/>
                <w:bCs/>
                <w:sz w:val="24"/>
                <w:szCs w:val="24"/>
                <w:lang w:val="en-GB"/>
              </w:rPr>
            </w:pPr>
            <w:r w:rsidRPr="00430496">
              <w:rPr>
                <w:rFonts w:ascii="Times New Roman" w:hAnsi="Times New Roman" w:cs="Times New Roman"/>
                <w:b/>
                <w:bCs/>
                <w:sz w:val="24"/>
                <w:szCs w:val="24"/>
                <w:lang w:val="en-GB"/>
              </w:rPr>
              <w:t>Total</w:t>
            </w:r>
          </w:p>
          <w:p w14:paraId="58168B6A" w14:textId="77777777" w:rsidR="00B75F05" w:rsidRPr="00430496" w:rsidRDefault="00B75F05" w:rsidP="00C21D6F">
            <w:pPr>
              <w:rPr>
                <w:rFonts w:ascii="Times New Roman" w:hAnsi="Times New Roman" w:cs="Times New Roman"/>
                <w:sz w:val="24"/>
                <w:szCs w:val="24"/>
                <w:lang w:val="en-GB"/>
              </w:rPr>
            </w:pPr>
          </w:p>
        </w:tc>
        <w:tc>
          <w:tcPr>
            <w:tcW w:w="1437" w:type="dxa"/>
            <w:gridSpan w:val="2"/>
          </w:tcPr>
          <w:p w14:paraId="73EF3C65" w14:textId="77777777" w:rsidR="00B75F05" w:rsidRPr="00F76BA3" w:rsidRDefault="00B75F05" w:rsidP="00C21D6F">
            <w:pPr>
              <w:autoSpaceDE w:val="0"/>
              <w:autoSpaceDN w:val="0"/>
              <w:adjustRightInd w:val="0"/>
              <w:jc w:val="center"/>
              <w:rPr>
                <w:rFonts w:ascii="Times New Roman" w:hAnsi="Times New Roman" w:cs="Times New Roman"/>
                <w:b/>
                <w:bCs/>
                <w:sz w:val="24"/>
                <w:szCs w:val="24"/>
                <w:lang w:val="en-GB"/>
              </w:rPr>
            </w:pPr>
          </w:p>
          <w:p w14:paraId="3BECD532" w14:textId="77777777" w:rsidR="00B75F05" w:rsidRPr="00F76BA3" w:rsidRDefault="00B75F05" w:rsidP="00C21D6F">
            <w:pPr>
              <w:jc w:val="center"/>
              <w:rPr>
                <w:rFonts w:ascii="Times New Roman" w:hAnsi="Times New Roman" w:cs="Times New Roman"/>
                <w:sz w:val="24"/>
                <w:szCs w:val="24"/>
                <w:lang w:val="en-GB"/>
              </w:rPr>
            </w:pPr>
            <w:r w:rsidRPr="00F76BA3">
              <w:rPr>
                <w:rFonts w:ascii="Times New Roman" w:hAnsi="Times New Roman" w:cs="Times New Roman"/>
                <w:b/>
                <w:bCs/>
                <w:sz w:val="24"/>
                <w:szCs w:val="24"/>
                <w:lang w:val="en-GB"/>
              </w:rPr>
              <w:t>123</w:t>
            </w:r>
          </w:p>
        </w:tc>
        <w:tc>
          <w:tcPr>
            <w:tcW w:w="1697" w:type="dxa"/>
            <w:gridSpan w:val="2"/>
          </w:tcPr>
          <w:p w14:paraId="07BBA53A" w14:textId="77777777" w:rsidR="00B75F05" w:rsidRPr="00F76BA3" w:rsidRDefault="00B75F05" w:rsidP="00C21D6F">
            <w:pPr>
              <w:autoSpaceDE w:val="0"/>
              <w:autoSpaceDN w:val="0"/>
              <w:adjustRightInd w:val="0"/>
              <w:jc w:val="center"/>
              <w:rPr>
                <w:rFonts w:ascii="Times New Roman" w:hAnsi="Times New Roman" w:cs="Times New Roman"/>
                <w:b/>
                <w:bCs/>
                <w:sz w:val="24"/>
                <w:szCs w:val="24"/>
                <w:lang w:val="en-GB"/>
              </w:rPr>
            </w:pPr>
          </w:p>
          <w:p w14:paraId="44BE4F2D" w14:textId="77777777" w:rsidR="00B75F05" w:rsidRPr="00F76BA3" w:rsidRDefault="00B75F05" w:rsidP="00C21D6F">
            <w:pPr>
              <w:jc w:val="center"/>
              <w:rPr>
                <w:rFonts w:ascii="Times New Roman" w:hAnsi="Times New Roman" w:cs="Times New Roman"/>
                <w:sz w:val="24"/>
                <w:szCs w:val="24"/>
                <w:lang w:val="en-GB"/>
              </w:rPr>
            </w:pPr>
            <w:r w:rsidRPr="00F76BA3">
              <w:rPr>
                <w:rFonts w:ascii="Times New Roman" w:hAnsi="Times New Roman" w:cs="Times New Roman"/>
                <w:b/>
                <w:bCs/>
                <w:sz w:val="24"/>
                <w:szCs w:val="24"/>
                <w:lang w:val="en-GB"/>
              </w:rPr>
              <w:t>1845</w:t>
            </w:r>
          </w:p>
        </w:tc>
        <w:tc>
          <w:tcPr>
            <w:tcW w:w="2120" w:type="dxa"/>
            <w:gridSpan w:val="4"/>
          </w:tcPr>
          <w:p w14:paraId="53F05886" w14:textId="77777777" w:rsidR="00B75F05" w:rsidRPr="00F76BA3" w:rsidRDefault="00B75F05" w:rsidP="00C21D6F">
            <w:pPr>
              <w:autoSpaceDE w:val="0"/>
              <w:autoSpaceDN w:val="0"/>
              <w:adjustRightInd w:val="0"/>
              <w:jc w:val="center"/>
              <w:rPr>
                <w:rFonts w:ascii="Times New Roman" w:hAnsi="Times New Roman" w:cs="Times New Roman"/>
                <w:b/>
                <w:bCs/>
                <w:sz w:val="24"/>
                <w:szCs w:val="24"/>
                <w:lang w:val="en-GB"/>
              </w:rPr>
            </w:pPr>
          </w:p>
          <w:p w14:paraId="4680EB17" w14:textId="77777777" w:rsidR="00B75F05" w:rsidRPr="00F76BA3" w:rsidRDefault="00B75F05" w:rsidP="00C21D6F">
            <w:pPr>
              <w:jc w:val="center"/>
              <w:rPr>
                <w:rFonts w:ascii="Times New Roman" w:hAnsi="Times New Roman" w:cs="Times New Roman"/>
                <w:sz w:val="24"/>
                <w:szCs w:val="24"/>
                <w:lang w:val="en-GB"/>
              </w:rPr>
            </w:pPr>
            <w:r w:rsidRPr="00F76BA3">
              <w:rPr>
                <w:rFonts w:ascii="Times New Roman" w:hAnsi="Times New Roman" w:cs="Times New Roman"/>
                <w:b/>
                <w:bCs/>
                <w:sz w:val="24"/>
                <w:szCs w:val="24"/>
                <w:lang w:val="en-GB"/>
              </w:rPr>
              <w:t>100</w:t>
            </w:r>
          </w:p>
        </w:tc>
      </w:tr>
      <w:tr w:rsidR="00B75F05" w:rsidRPr="00430496" w14:paraId="6F97C090" w14:textId="77777777" w:rsidTr="00C21D6F">
        <w:trPr>
          <w:gridAfter w:val="1"/>
          <w:wAfter w:w="28" w:type="dxa"/>
        </w:trPr>
        <w:tc>
          <w:tcPr>
            <w:tcW w:w="8903" w:type="dxa"/>
            <w:gridSpan w:val="9"/>
          </w:tcPr>
          <w:p w14:paraId="383BF7A2" w14:textId="77777777" w:rsidR="00B75F05" w:rsidRPr="00430496" w:rsidRDefault="00B75F05" w:rsidP="00C21D6F">
            <w:pPr>
              <w:rPr>
                <w:rFonts w:ascii="Times New Roman" w:hAnsi="Times New Roman" w:cs="Times New Roman"/>
                <w:b/>
                <w:i/>
                <w:sz w:val="24"/>
                <w:szCs w:val="24"/>
                <w:lang w:val="en-GB"/>
              </w:rPr>
            </w:pPr>
            <w:r w:rsidRPr="00430496">
              <w:rPr>
                <w:rFonts w:ascii="Times New Roman" w:hAnsi="Times New Roman" w:cs="Times New Roman"/>
                <w:i/>
                <w:sz w:val="24"/>
                <w:szCs w:val="24"/>
                <w:lang w:val="en-GB"/>
              </w:rPr>
              <w:t>Panel B:Number of observation by period</w:t>
            </w:r>
          </w:p>
        </w:tc>
      </w:tr>
      <w:tr w:rsidR="00B75F05" w:rsidRPr="00430496" w14:paraId="74516865" w14:textId="77777777" w:rsidTr="00C21D6F">
        <w:trPr>
          <w:gridAfter w:val="1"/>
          <w:wAfter w:w="28" w:type="dxa"/>
        </w:trPr>
        <w:tc>
          <w:tcPr>
            <w:tcW w:w="4610" w:type="dxa"/>
            <w:gridSpan w:val="3"/>
          </w:tcPr>
          <w:p w14:paraId="2BC355CA" w14:textId="77777777" w:rsidR="00B75F05" w:rsidRPr="00430496" w:rsidRDefault="00B75F05" w:rsidP="00C21D6F">
            <w:pPr>
              <w:rPr>
                <w:rFonts w:ascii="Times New Roman" w:hAnsi="Times New Roman" w:cs="Times New Roman"/>
                <w:sz w:val="24"/>
                <w:szCs w:val="24"/>
                <w:lang w:val="en-GB"/>
              </w:rPr>
            </w:pPr>
          </w:p>
        </w:tc>
        <w:tc>
          <w:tcPr>
            <w:tcW w:w="1417" w:type="dxa"/>
            <w:gridSpan w:val="2"/>
          </w:tcPr>
          <w:p w14:paraId="7FBEFB6C" w14:textId="77777777" w:rsidR="00B75F05" w:rsidRPr="00430496" w:rsidRDefault="00B75F05" w:rsidP="00C21D6F">
            <w:pPr>
              <w:rPr>
                <w:rFonts w:ascii="Times New Roman" w:hAnsi="Times New Roman" w:cs="Times New Roman"/>
                <w:b/>
                <w:sz w:val="24"/>
                <w:szCs w:val="24"/>
                <w:lang w:val="en-GB"/>
              </w:rPr>
            </w:pPr>
            <w:r w:rsidRPr="00430496">
              <w:rPr>
                <w:rFonts w:ascii="Times New Roman" w:hAnsi="Times New Roman" w:cs="Times New Roman"/>
                <w:b/>
                <w:sz w:val="24"/>
                <w:szCs w:val="24"/>
                <w:lang w:val="en-GB"/>
              </w:rPr>
              <w:t xml:space="preserve">Entire sample  </w:t>
            </w:r>
          </w:p>
        </w:tc>
        <w:tc>
          <w:tcPr>
            <w:tcW w:w="957" w:type="dxa"/>
            <w:gridSpan w:val="2"/>
          </w:tcPr>
          <w:p w14:paraId="5CC064A8" w14:textId="77777777" w:rsidR="00B75F05" w:rsidRPr="00430496" w:rsidRDefault="00B75F05" w:rsidP="00C21D6F">
            <w:pPr>
              <w:rPr>
                <w:rFonts w:ascii="Times New Roman" w:hAnsi="Times New Roman" w:cs="Times New Roman"/>
                <w:b/>
                <w:sz w:val="24"/>
                <w:szCs w:val="24"/>
                <w:lang w:val="en-GB"/>
              </w:rPr>
            </w:pPr>
            <w:r w:rsidRPr="00430496">
              <w:rPr>
                <w:rFonts w:ascii="Times New Roman" w:hAnsi="Times New Roman" w:cs="Times New Roman"/>
                <w:b/>
                <w:sz w:val="24"/>
                <w:szCs w:val="24"/>
                <w:lang w:val="en-GB"/>
              </w:rPr>
              <w:t xml:space="preserve">Before  </w:t>
            </w:r>
          </w:p>
        </w:tc>
        <w:tc>
          <w:tcPr>
            <w:tcW w:w="950" w:type="dxa"/>
          </w:tcPr>
          <w:p w14:paraId="5BE255C6" w14:textId="77777777" w:rsidR="00B75F05" w:rsidRPr="00430496" w:rsidRDefault="00B75F05" w:rsidP="00C21D6F">
            <w:pPr>
              <w:jc w:val="center"/>
              <w:rPr>
                <w:rFonts w:ascii="Times New Roman" w:hAnsi="Times New Roman" w:cs="Times New Roman"/>
                <w:b/>
                <w:sz w:val="24"/>
                <w:szCs w:val="24"/>
                <w:lang w:val="en-GB"/>
              </w:rPr>
            </w:pPr>
            <w:r w:rsidRPr="00430496">
              <w:rPr>
                <w:rFonts w:ascii="Times New Roman" w:hAnsi="Times New Roman" w:cs="Times New Roman"/>
                <w:b/>
                <w:sz w:val="24"/>
                <w:szCs w:val="24"/>
                <w:lang w:val="en-GB"/>
              </w:rPr>
              <w:t xml:space="preserve">During </w:t>
            </w:r>
          </w:p>
        </w:tc>
        <w:tc>
          <w:tcPr>
            <w:tcW w:w="969" w:type="dxa"/>
          </w:tcPr>
          <w:p w14:paraId="1501777B" w14:textId="77777777" w:rsidR="00B75F05" w:rsidRPr="00430496" w:rsidRDefault="00B75F05" w:rsidP="00C21D6F">
            <w:pPr>
              <w:jc w:val="center"/>
              <w:rPr>
                <w:rFonts w:ascii="Times New Roman" w:hAnsi="Times New Roman" w:cs="Times New Roman"/>
                <w:b/>
                <w:sz w:val="24"/>
                <w:szCs w:val="24"/>
                <w:lang w:val="en-GB"/>
              </w:rPr>
            </w:pPr>
            <w:r w:rsidRPr="00430496">
              <w:rPr>
                <w:rFonts w:ascii="Times New Roman" w:hAnsi="Times New Roman" w:cs="Times New Roman"/>
                <w:b/>
                <w:sz w:val="24"/>
                <w:szCs w:val="24"/>
                <w:lang w:val="en-GB"/>
              </w:rPr>
              <w:t xml:space="preserve">After </w:t>
            </w:r>
          </w:p>
        </w:tc>
      </w:tr>
      <w:tr w:rsidR="00B75F05" w:rsidRPr="00F76BA3" w14:paraId="6206D0AA" w14:textId="77777777" w:rsidTr="00C21D6F">
        <w:trPr>
          <w:gridAfter w:val="1"/>
          <w:wAfter w:w="28" w:type="dxa"/>
        </w:trPr>
        <w:tc>
          <w:tcPr>
            <w:tcW w:w="4610" w:type="dxa"/>
            <w:gridSpan w:val="3"/>
          </w:tcPr>
          <w:p w14:paraId="721EEC2A" w14:textId="77777777" w:rsidR="00B75F05" w:rsidRPr="00430496" w:rsidRDefault="00B75F05" w:rsidP="00C21D6F">
            <w:pPr>
              <w:rPr>
                <w:rFonts w:ascii="Times New Roman" w:hAnsi="Times New Roman" w:cs="Times New Roman"/>
                <w:sz w:val="24"/>
                <w:szCs w:val="24"/>
                <w:lang w:val="en-GB"/>
              </w:rPr>
            </w:pPr>
          </w:p>
          <w:p w14:paraId="275702AB" w14:textId="77777777" w:rsidR="00B75F05" w:rsidRPr="00F76BA3" w:rsidRDefault="00B75F05" w:rsidP="00C21D6F">
            <w:pPr>
              <w:rPr>
                <w:rFonts w:ascii="Times New Roman" w:hAnsi="Times New Roman" w:cs="Times New Roman"/>
                <w:sz w:val="24"/>
                <w:szCs w:val="24"/>
                <w:lang w:val="en-GB"/>
              </w:rPr>
            </w:pPr>
            <w:r w:rsidRPr="00F76BA3">
              <w:rPr>
                <w:rFonts w:ascii="Times New Roman" w:hAnsi="Times New Roman" w:cs="Times New Roman"/>
                <w:sz w:val="24"/>
                <w:szCs w:val="24"/>
                <w:lang w:val="en-GB"/>
              </w:rPr>
              <w:t xml:space="preserve">Expected number of observation </w:t>
            </w:r>
          </w:p>
        </w:tc>
        <w:tc>
          <w:tcPr>
            <w:tcW w:w="1417" w:type="dxa"/>
            <w:gridSpan w:val="2"/>
          </w:tcPr>
          <w:p w14:paraId="500E13E4" w14:textId="77777777" w:rsidR="00B75F05" w:rsidRPr="00F76BA3" w:rsidRDefault="00B75F05" w:rsidP="00C21D6F">
            <w:pPr>
              <w:jc w:val="right"/>
              <w:rPr>
                <w:rFonts w:ascii="Times New Roman" w:hAnsi="Times New Roman" w:cs="Times New Roman"/>
                <w:sz w:val="24"/>
                <w:szCs w:val="24"/>
                <w:lang w:val="en-GB"/>
              </w:rPr>
            </w:pPr>
          </w:p>
          <w:p w14:paraId="471DED64" w14:textId="77777777" w:rsidR="00B75F05" w:rsidRPr="00F76BA3" w:rsidRDefault="00B75F05" w:rsidP="00C21D6F">
            <w:pPr>
              <w:jc w:val="right"/>
              <w:rPr>
                <w:rFonts w:ascii="Times New Roman" w:hAnsi="Times New Roman" w:cs="Times New Roman"/>
                <w:sz w:val="24"/>
                <w:szCs w:val="24"/>
                <w:lang w:val="en-GB"/>
              </w:rPr>
            </w:pPr>
            <w:r w:rsidRPr="00F76BA3">
              <w:rPr>
                <w:rFonts w:ascii="Times New Roman" w:hAnsi="Times New Roman" w:cs="Times New Roman"/>
                <w:sz w:val="24"/>
                <w:szCs w:val="24"/>
                <w:lang w:val="en-GB"/>
              </w:rPr>
              <w:t>1845</w:t>
            </w:r>
          </w:p>
        </w:tc>
        <w:tc>
          <w:tcPr>
            <w:tcW w:w="957" w:type="dxa"/>
            <w:gridSpan w:val="2"/>
          </w:tcPr>
          <w:p w14:paraId="6228EDD1" w14:textId="77777777" w:rsidR="00B75F05" w:rsidRPr="00F76BA3" w:rsidRDefault="00B75F05" w:rsidP="00C21D6F">
            <w:pPr>
              <w:jc w:val="right"/>
              <w:rPr>
                <w:rFonts w:ascii="Times New Roman" w:hAnsi="Times New Roman" w:cs="Times New Roman"/>
                <w:sz w:val="24"/>
                <w:szCs w:val="24"/>
                <w:lang w:val="en-GB"/>
              </w:rPr>
            </w:pPr>
          </w:p>
          <w:p w14:paraId="5738589F" w14:textId="77777777" w:rsidR="00B75F05" w:rsidRPr="00F76BA3" w:rsidRDefault="00B75F05" w:rsidP="00C21D6F">
            <w:pPr>
              <w:jc w:val="right"/>
              <w:rPr>
                <w:rFonts w:ascii="Times New Roman" w:hAnsi="Times New Roman" w:cs="Times New Roman"/>
                <w:sz w:val="24"/>
                <w:szCs w:val="24"/>
                <w:lang w:val="en-GB"/>
              </w:rPr>
            </w:pPr>
            <w:r w:rsidRPr="00F76BA3">
              <w:rPr>
                <w:rFonts w:ascii="Times New Roman" w:hAnsi="Times New Roman" w:cs="Times New Roman"/>
                <w:sz w:val="24"/>
                <w:szCs w:val="24"/>
                <w:lang w:val="en-GB"/>
              </w:rPr>
              <w:t>984</w:t>
            </w:r>
          </w:p>
        </w:tc>
        <w:tc>
          <w:tcPr>
            <w:tcW w:w="950" w:type="dxa"/>
          </w:tcPr>
          <w:p w14:paraId="27ACA29B" w14:textId="77777777" w:rsidR="00B75F05" w:rsidRPr="00F76BA3" w:rsidRDefault="00B75F05" w:rsidP="00C21D6F">
            <w:pPr>
              <w:jc w:val="right"/>
              <w:rPr>
                <w:rFonts w:ascii="Times New Roman" w:hAnsi="Times New Roman" w:cs="Times New Roman"/>
                <w:sz w:val="24"/>
                <w:szCs w:val="24"/>
                <w:lang w:val="en-GB"/>
              </w:rPr>
            </w:pPr>
          </w:p>
          <w:p w14:paraId="24E6DBCB" w14:textId="77777777" w:rsidR="00B75F05" w:rsidRPr="00F76BA3" w:rsidRDefault="00B75F05" w:rsidP="00C21D6F">
            <w:pPr>
              <w:jc w:val="right"/>
              <w:rPr>
                <w:rFonts w:ascii="Times New Roman" w:hAnsi="Times New Roman" w:cs="Times New Roman"/>
                <w:sz w:val="24"/>
                <w:szCs w:val="24"/>
                <w:lang w:val="en-GB"/>
              </w:rPr>
            </w:pPr>
            <w:r w:rsidRPr="00F76BA3">
              <w:rPr>
                <w:rFonts w:ascii="Times New Roman" w:hAnsi="Times New Roman" w:cs="Times New Roman"/>
                <w:sz w:val="24"/>
                <w:szCs w:val="24"/>
                <w:lang w:val="en-GB"/>
              </w:rPr>
              <w:t>369</w:t>
            </w:r>
          </w:p>
        </w:tc>
        <w:tc>
          <w:tcPr>
            <w:tcW w:w="969" w:type="dxa"/>
          </w:tcPr>
          <w:p w14:paraId="478AB929" w14:textId="77777777" w:rsidR="00B75F05" w:rsidRPr="00F76BA3" w:rsidRDefault="00B75F05" w:rsidP="00C21D6F">
            <w:pPr>
              <w:jc w:val="right"/>
              <w:rPr>
                <w:rFonts w:ascii="Times New Roman" w:hAnsi="Times New Roman" w:cs="Times New Roman"/>
                <w:sz w:val="24"/>
                <w:szCs w:val="24"/>
                <w:lang w:val="en-GB"/>
              </w:rPr>
            </w:pPr>
          </w:p>
          <w:p w14:paraId="2FEE3F80" w14:textId="77777777" w:rsidR="00B75F05" w:rsidRPr="00F76BA3" w:rsidRDefault="00B75F05" w:rsidP="00C21D6F">
            <w:pPr>
              <w:jc w:val="right"/>
              <w:rPr>
                <w:rFonts w:ascii="Times New Roman" w:hAnsi="Times New Roman" w:cs="Times New Roman"/>
                <w:sz w:val="24"/>
                <w:szCs w:val="24"/>
                <w:lang w:val="en-GB"/>
              </w:rPr>
            </w:pPr>
            <w:r w:rsidRPr="00F76BA3">
              <w:rPr>
                <w:rFonts w:ascii="Times New Roman" w:hAnsi="Times New Roman" w:cs="Times New Roman"/>
                <w:sz w:val="24"/>
                <w:szCs w:val="24"/>
                <w:lang w:val="en-GB"/>
              </w:rPr>
              <w:t>492</w:t>
            </w:r>
          </w:p>
        </w:tc>
      </w:tr>
      <w:tr w:rsidR="00B75F05" w:rsidRPr="00F76BA3" w14:paraId="78694CCA" w14:textId="77777777" w:rsidTr="00C21D6F">
        <w:trPr>
          <w:gridAfter w:val="1"/>
          <w:wAfter w:w="28" w:type="dxa"/>
        </w:trPr>
        <w:tc>
          <w:tcPr>
            <w:tcW w:w="4610" w:type="dxa"/>
            <w:gridSpan w:val="3"/>
          </w:tcPr>
          <w:p w14:paraId="3A7FE851" w14:textId="77777777" w:rsidR="00B75F05" w:rsidRPr="00F76BA3" w:rsidRDefault="00B75F05" w:rsidP="00C21D6F">
            <w:pPr>
              <w:rPr>
                <w:rFonts w:ascii="Times New Roman" w:hAnsi="Times New Roman" w:cs="Times New Roman"/>
                <w:sz w:val="24"/>
                <w:szCs w:val="24"/>
                <w:lang w:val="en-GB"/>
              </w:rPr>
            </w:pPr>
          </w:p>
          <w:p w14:paraId="58004E1B" w14:textId="77777777" w:rsidR="00B75F05" w:rsidRPr="00F76BA3" w:rsidRDefault="00B75F05" w:rsidP="00C21D6F">
            <w:pPr>
              <w:rPr>
                <w:rFonts w:ascii="Times New Roman" w:hAnsi="Times New Roman" w:cs="Times New Roman"/>
                <w:sz w:val="24"/>
                <w:szCs w:val="24"/>
                <w:lang w:val="en-GB"/>
              </w:rPr>
            </w:pPr>
            <w:r w:rsidRPr="00F76BA3">
              <w:rPr>
                <w:rFonts w:ascii="Times New Roman" w:hAnsi="Times New Roman" w:cs="Times New Roman"/>
                <w:sz w:val="24"/>
                <w:szCs w:val="24"/>
                <w:lang w:val="en-GB"/>
              </w:rPr>
              <w:t xml:space="preserve">Less missing observation </w:t>
            </w:r>
          </w:p>
        </w:tc>
        <w:tc>
          <w:tcPr>
            <w:tcW w:w="1417" w:type="dxa"/>
            <w:gridSpan w:val="2"/>
          </w:tcPr>
          <w:p w14:paraId="1EC1441E" w14:textId="77777777" w:rsidR="00B75F05" w:rsidRPr="00F76BA3" w:rsidRDefault="00B75F05" w:rsidP="00C21D6F">
            <w:pPr>
              <w:jc w:val="right"/>
              <w:rPr>
                <w:rFonts w:ascii="Times New Roman" w:hAnsi="Times New Roman" w:cs="Times New Roman"/>
                <w:sz w:val="24"/>
                <w:szCs w:val="24"/>
                <w:lang w:val="en-GB"/>
              </w:rPr>
            </w:pPr>
          </w:p>
          <w:p w14:paraId="775EF25C" w14:textId="77777777" w:rsidR="00B75F05" w:rsidRPr="00F76BA3" w:rsidRDefault="00B75F05" w:rsidP="00C21D6F">
            <w:pPr>
              <w:jc w:val="right"/>
              <w:rPr>
                <w:rFonts w:ascii="Times New Roman" w:hAnsi="Times New Roman" w:cs="Times New Roman"/>
                <w:sz w:val="24"/>
                <w:szCs w:val="24"/>
                <w:lang w:val="en-GB"/>
              </w:rPr>
            </w:pPr>
            <w:r w:rsidRPr="00F76BA3">
              <w:rPr>
                <w:rFonts w:ascii="Times New Roman" w:hAnsi="Times New Roman" w:cs="Times New Roman"/>
                <w:sz w:val="24"/>
                <w:szCs w:val="24"/>
                <w:lang w:val="en-GB"/>
              </w:rPr>
              <w:t>172</w:t>
            </w:r>
          </w:p>
        </w:tc>
        <w:tc>
          <w:tcPr>
            <w:tcW w:w="957" w:type="dxa"/>
            <w:gridSpan w:val="2"/>
          </w:tcPr>
          <w:p w14:paraId="1084ADDC" w14:textId="77777777" w:rsidR="00B75F05" w:rsidRPr="00F76BA3" w:rsidRDefault="00B75F05" w:rsidP="00C21D6F">
            <w:pPr>
              <w:jc w:val="right"/>
              <w:rPr>
                <w:rFonts w:ascii="Times New Roman" w:hAnsi="Times New Roman" w:cs="Times New Roman"/>
                <w:sz w:val="24"/>
                <w:szCs w:val="24"/>
                <w:lang w:val="en-GB"/>
              </w:rPr>
            </w:pPr>
          </w:p>
          <w:p w14:paraId="4D0E7CE8" w14:textId="77777777" w:rsidR="00B75F05" w:rsidRPr="00F76BA3" w:rsidRDefault="00B75F05" w:rsidP="00C21D6F">
            <w:pPr>
              <w:jc w:val="right"/>
              <w:rPr>
                <w:rFonts w:ascii="Times New Roman" w:hAnsi="Times New Roman" w:cs="Times New Roman"/>
                <w:sz w:val="24"/>
                <w:szCs w:val="24"/>
                <w:lang w:val="en-GB"/>
              </w:rPr>
            </w:pPr>
            <w:r w:rsidRPr="00F76BA3">
              <w:rPr>
                <w:rFonts w:ascii="Times New Roman" w:hAnsi="Times New Roman" w:cs="Times New Roman"/>
                <w:sz w:val="24"/>
                <w:szCs w:val="24"/>
                <w:lang w:val="en-GB"/>
              </w:rPr>
              <w:t>128</w:t>
            </w:r>
          </w:p>
        </w:tc>
        <w:tc>
          <w:tcPr>
            <w:tcW w:w="950" w:type="dxa"/>
          </w:tcPr>
          <w:p w14:paraId="3FDA9BA9" w14:textId="77777777" w:rsidR="00B75F05" w:rsidRPr="00F76BA3" w:rsidRDefault="00B75F05" w:rsidP="00C21D6F">
            <w:pPr>
              <w:jc w:val="right"/>
              <w:rPr>
                <w:rFonts w:ascii="Times New Roman" w:hAnsi="Times New Roman" w:cs="Times New Roman"/>
                <w:sz w:val="24"/>
                <w:szCs w:val="24"/>
                <w:lang w:val="en-GB"/>
              </w:rPr>
            </w:pPr>
          </w:p>
          <w:p w14:paraId="409271E5" w14:textId="77777777" w:rsidR="00B75F05" w:rsidRPr="00F76BA3" w:rsidRDefault="00B75F05" w:rsidP="00C21D6F">
            <w:pPr>
              <w:jc w:val="right"/>
              <w:rPr>
                <w:rFonts w:ascii="Times New Roman" w:hAnsi="Times New Roman" w:cs="Times New Roman"/>
                <w:sz w:val="24"/>
                <w:szCs w:val="24"/>
                <w:lang w:val="en-GB"/>
              </w:rPr>
            </w:pPr>
            <w:r w:rsidRPr="00F76BA3">
              <w:rPr>
                <w:rFonts w:ascii="Times New Roman" w:hAnsi="Times New Roman" w:cs="Times New Roman"/>
                <w:sz w:val="24"/>
                <w:szCs w:val="24"/>
                <w:lang w:val="en-GB"/>
              </w:rPr>
              <w:t>13</w:t>
            </w:r>
          </w:p>
        </w:tc>
        <w:tc>
          <w:tcPr>
            <w:tcW w:w="969" w:type="dxa"/>
          </w:tcPr>
          <w:p w14:paraId="4D282D51" w14:textId="77777777" w:rsidR="00B75F05" w:rsidRPr="00F76BA3" w:rsidRDefault="00B75F05" w:rsidP="00C21D6F">
            <w:pPr>
              <w:jc w:val="right"/>
              <w:rPr>
                <w:rFonts w:ascii="Times New Roman" w:hAnsi="Times New Roman" w:cs="Times New Roman"/>
                <w:sz w:val="24"/>
                <w:szCs w:val="24"/>
                <w:lang w:val="en-GB"/>
              </w:rPr>
            </w:pPr>
          </w:p>
          <w:p w14:paraId="195F4F13" w14:textId="77777777" w:rsidR="00B75F05" w:rsidRPr="00F76BA3" w:rsidRDefault="00B75F05" w:rsidP="00C21D6F">
            <w:pPr>
              <w:jc w:val="right"/>
              <w:rPr>
                <w:rFonts w:ascii="Times New Roman" w:hAnsi="Times New Roman" w:cs="Times New Roman"/>
                <w:sz w:val="24"/>
                <w:szCs w:val="24"/>
                <w:lang w:val="en-GB"/>
              </w:rPr>
            </w:pPr>
            <w:r w:rsidRPr="00F76BA3">
              <w:rPr>
                <w:rFonts w:ascii="Times New Roman" w:hAnsi="Times New Roman" w:cs="Times New Roman"/>
                <w:sz w:val="24"/>
                <w:szCs w:val="24"/>
                <w:lang w:val="en-GB"/>
              </w:rPr>
              <w:t>31</w:t>
            </w:r>
          </w:p>
        </w:tc>
      </w:tr>
      <w:tr w:rsidR="00B75F05" w:rsidRPr="00430496" w14:paraId="6B071FE3" w14:textId="77777777" w:rsidTr="00C21D6F">
        <w:trPr>
          <w:gridAfter w:val="1"/>
          <w:wAfter w:w="28" w:type="dxa"/>
        </w:trPr>
        <w:tc>
          <w:tcPr>
            <w:tcW w:w="4610" w:type="dxa"/>
            <w:gridSpan w:val="3"/>
          </w:tcPr>
          <w:p w14:paraId="7AB3C6C2" w14:textId="77777777" w:rsidR="00B75F05" w:rsidRPr="00F76BA3" w:rsidRDefault="00B75F05" w:rsidP="00C21D6F">
            <w:pPr>
              <w:rPr>
                <w:rFonts w:ascii="Times New Roman" w:hAnsi="Times New Roman" w:cs="Times New Roman"/>
                <w:sz w:val="24"/>
                <w:szCs w:val="24"/>
                <w:lang w:val="en-GB"/>
              </w:rPr>
            </w:pPr>
          </w:p>
          <w:p w14:paraId="5DDCF789" w14:textId="77777777" w:rsidR="00B75F05" w:rsidRPr="00F76BA3" w:rsidRDefault="00B75F05" w:rsidP="00C21D6F">
            <w:pPr>
              <w:rPr>
                <w:rFonts w:ascii="Times New Roman" w:hAnsi="Times New Roman" w:cs="Times New Roman"/>
                <w:sz w:val="24"/>
                <w:szCs w:val="24"/>
                <w:lang w:val="en-GB"/>
              </w:rPr>
            </w:pPr>
            <w:r w:rsidRPr="00F76BA3">
              <w:rPr>
                <w:rFonts w:ascii="Times New Roman" w:hAnsi="Times New Roman" w:cs="Times New Roman"/>
                <w:sz w:val="24"/>
                <w:szCs w:val="24"/>
                <w:lang w:val="en-GB"/>
              </w:rPr>
              <w:t xml:space="preserve">Total Observations in the study </w:t>
            </w:r>
          </w:p>
        </w:tc>
        <w:tc>
          <w:tcPr>
            <w:tcW w:w="1417" w:type="dxa"/>
            <w:gridSpan w:val="2"/>
          </w:tcPr>
          <w:p w14:paraId="011134BD" w14:textId="77777777" w:rsidR="00B75F05" w:rsidRPr="00F76BA3" w:rsidRDefault="00B75F05" w:rsidP="00C21D6F">
            <w:pPr>
              <w:jc w:val="right"/>
              <w:rPr>
                <w:rFonts w:ascii="Times New Roman" w:hAnsi="Times New Roman" w:cs="Times New Roman"/>
                <w:sz w:val="24"/>
                <w:szCs w:val="24"/>
                <w:lang w:val="en-GB"/>
              </w:rPr>
            </w:pPr>
          </w:p>
          <w:p w14:paraId="0C20F4B4" w14:textId="77777777" w:rsidR="00B75F05" w:rsidRPr="00F76BA3" w:rsidRDefault="00B75F05" w:rsidP="00C21D6F">
            <w:pPr>
              <w:jc w:val="right"/>
              <w:rPr>
                <w:rFonts w:ascii="Times New Roman" w:hAnsi="Times New Roman" w:cs="Times New Roman"/>
                <w:sz w:val="24"/>
                <w:szCs w:val="24"/>
                <w:lang w:val="en-GB"/>
              </w:rPr>
            </w:pPr>
            <w:r w:rsidRPr="00F76BA3">
              <w:rPr>
                <w:rFonts w:ascii="Times New Roman" w:hAnsi="Times New Roman" w:cs="Times New Roman"/>
                <w:sz w:val="24"/>
                <w:szCs w:val="24"/>
                <w:lang w:val="en-GB"/>
              </w:rPr>
              <w:t>1673</w:t>
            </w:r>
          </w:p>
        </w:tc>
        <w:tc>
          <w:tcPr>
            <w:tcW w:w="957" w:type="dxa"/>
            <w:gridSpan w:val="2"/>
          </w:tcPr>
          <w:p w14:paraId="67586027" w14:textId="77777777" w:rsidR="00B75F05" w:rsidRPr="00F76BA3" w:rsidRDefault="00B75F05" w:rsidP="00C21D6F">
            <w:pPr>
              <w:jc w:val="right"/>
              <w:rPr>
                <w:rFonts w:ascii="Times New Roman" w:hAnsi="Times New Roman" w:cs="Times New Roman"/>
                <w:sz w:val="24"/>
                <w:szCs w:val="24"/>
                <w:lang w:val="en-GB"/>
              </w:rPr>
            </w:pPr>
          </w:p>
          <w:p w14:paraId="446D9770" w14:textId="77777777" w:rsidR="00B75F05" w:rsidRPr="00F76BA3" w:rsidRDefault="00B75F05" w:rsidP="00C21D6F">
            <w:pPr>
              <w:jc w:val="right"/>
              <w:rPr>
                <w:rFonts w:ascii="Times New Roman" w:hAnsi="Times New Roman" w:cs="Times New Roman"/>
                <w:sz w:val="24"/>
                <w:szCs w:val="24"/>
                <w:lang w:val="en-GB"/>
              </w:rPr>
            </w:pPr>
            <w:r w:rsidRPr="00F76BA3">
              <w:rPr>
                <w:rFonts w:ascii="Times New Roman" w:hAnsi="Times New Roman" w:cs="Times New Roman"/>
                <w:sz w:val="24"/>
                <w:szCs w:val="24"/>
                <w:lang w:val="en-GB"/>
              </w:rPr>
              <w:t>856</w:t>
            </w:r>
          </w:p>
        </w:tc>
        <w:tc>
          <w:tcPr>
            <w:tcW w:w="950" w:type="dxa"/>
          </w:tcPr>
          <w:p w14:paraId="3B578EFC" w14:textId="77777777" w:rsidR="00B75F05" w:rsidRPr="00F76BA3" w:rsidRDefault="00B75F05" w:rsidP="00C21D6F">
            <w:pPr>
              <w:jc w:val="right"/>
              <w:rPr>
                <w:rFonts w:ascii="Times New Roman" w:hAnsi="Times New Roman" w:cs="Times New Roman"/>
                <w:sz w:val="24"/>
                <w:szCs w:val="24"/>
                <w:lang w:val="en-GB"/>
              </w:rPr>
            </w:pPr>
          </w:p>
          <w:p w14:paraId="29153795" w14:textId="77777777" w:rsidR="00B75F05" w:rsidRPr="00F76BA3" w:rsidRDefault="00B75F05" w:rsidP="00C21D6F">
            <w:pPr>
              <w:jc w:val="right"/>
              <w:rPr>
                <w:rFonts w:ascii="Times New Roman" w:hAnsi="Times New Roman" w:cs="Times New Roman"/>
                <w:sz w:val="24"/>
                <w:szCs w:val="24"/>
                <w:lang w:val="en-GB"/>
              </w:rPr>
            </w:pPr>
            <w:r w:rsidRPr="00F76BA3">
              <w:rPr>
                <w:rFonts w:ascii="Times New Roman" w:hAnsi="Times New Roman" w:cs="Times New Roman"/>
                <w:sz w:val="24"/>
                <w:szCs w:val="24"/>
                <w:lang w:val="en-GB"/>
              </w:rPr>
              <w:t>356</w:t>
            </w:r>
          </w:p>
        </w:tc>
        <w:tc>
          <w:tcPr>
            <w:tcW w:w="969" w:type="dxa"/>
          </w:tcPr>
          <w:p w14:paraId="2E022765" w14:textId="77777777" w:rsidR="00B75F05" w:rsidRPr="00F76BA3" w:rsidRDefault="00B75F05" w:rsidP="00C21D6F">
            <w:pPr>
              <w:jc w:val="right"/>
              <w:rPr>
                <w:rFonts w:ascii="Times New Roman" w:hAnsi="Times New Roman" w:cs="Times New Roman"/>
                <w:sz w:val="24"/>
                <w:szCs w:val="24"/>
                <w:lang w:val="en-GB"/>
              </w:rPr>
            </w:pPr>
          </w:p>
          <w:p w14:paraId="23AE267C" w14:textId="77777777" w:rsidR="00B75F05" w:rsidRPr="00F76BA3" w:rsidRDefault="00B75F05" w:rsidP="00C21D6F">
            <w:pPr>
              <w:jc w:val="right"/>
              <w:rPr>
                <w:rFonts w:ascii="Times New Roman" w:hAnsi="Times New Roman" w:cs="Times New Roman"/>
                <w:sz w:val="24"/>
                <w:szCs w:val="24"/>
                <w:lang w:val="en-GB"/>
              </w:rPr>
            </w:pPr>
            <w:r w:rsidRPr="00F76BA3">
              <w:rPr>
                <w:rFonts w:ascii="Times New Roman" w:hAnsi="Times New Roman" w:cs="Times New Roman"/>
                <w:sz w:val="24"/>
                <w:szCs w:val="24"/>
                <w:lang w:val="en-GB"/>
              </w:rPr>
              <w:t>461</w:t>
            </w:r>
          </w:p>
        </w:tc>
      </w:tr>
    </w:tbl>
    <w:p w14:paraId="0B5F3430" w14:textId="77777777" w:rsidR="00B75F05" w:rsidRPr="00430496" w:rsidRDefault="00B75F05" w:rsidP="00B75F05">
      <w:pPr>
        <w:spacing w:after="0"/>
        <w:rPr>
          <w:rFonts w:ascii="Times New Roman" w:hAnsi="Times New Roman" w:cs="Times New Roman"/>
          <w:sz w:val="24"/>
          <w:szCs w:val="24"/>
          <w:lang w:val="en-GB"/>
        </w:rPr>
      </w:pPr>
    </w:p>
    <w:p w14:paraId="5E61DE7E" w14:textId="77777777" w:rsidR="00B75F05" w:rsidRDefault="00B75F05" w:rsidP="00B75F05">
      <w:pPr>
        <w:spacing w:before="240" w:line="480" w:lineRule="auto"/>
        <w:ind w:hanging="567"/>
        <w:contextualSpacing/>
        <w:rPr>
          <w:rFonts w:ascii="Times New Roman" w:hAnsi="Times New Roman" w:cs="Times New Roman"/>
          <w:sz w:val="24"/>
          <w:szCs w:val="24"/>
        </w:rPr>
      </w:pPr>
    </w:p>
    <w:p w14:paraId="6BA1656E" w14:textId="77777777" w:rsidR="00B75F05" w:rsidRDefault="00B75F05" w:rsidP="00B75F05">
      <w:pPr>
        <w:spacing w:before="240" w:line="480" w:lineRule="auto"/>
        <w:ind w:hanging="567"/>
        <w:contextualSpacing/>
        <w:rPr>
          <w:rFonts w:ascii="Times New Roman" w:hAnsi="Times New Roman" w:cs="Times New Roman"/>
          <w:sz w:val="24"/>
          <w:szCs w:val="24"/>
        </w:rPr>
      </w:pPr>
    </w:p>
    <w:p w14:paraId="29BD2F1D" w14:textId="77777777" w:rsidR="00B75F05" w:rsidRDefault="00B75F05" w:rsidP="00B75F05">
      <w:pPr>
        <w:spacing w:before="240" w:line="480" w:lineRule="auto"/>
        <w:ind w:hanging="567"/>
        <w:contextualSpacing/>
        <w:rPr>
          <w:rFonts w:ascii="Times New Roman" w:hAnsi="Times New Roman" w:cs="Times New Roman"/>
          <w:sz w:val="24"/>
          <w:szCs w:val="24"/>
        </w:rPr>
      </w:pPr>
    </w:p>
    <w:p w14:paraId="59C532A4" w14:textId="77777777" w:rsidR="00B75F05" w:rsidRDefault="00B75F05" w:rsidP="00B75F05">
      <w:pPr>
        <w:spacing w:before="240" w:line="480" w:lineRule="auto"/>
        <w:ind w:hanging="567"/>
        <w:contextualSpacing/>
        <w:rPr>
          <w:rFonts w:ascii="Times New Roman" w:hAnsi="Times New Roman" w:cs="Times New Roman"/>
          <w:sz w:val="24"/>
          <w:szCs w:val="24"/>
        </w:rPr>
      </w:pPr>
    </w:p>
    <w:p w14:paraId="7D34A5E0" w14:textId="77777777" w:rsidR="00B75F05" w:rsidRDefault="00B75F05" w:rsidP="00B75F05">
      <w:pPr>
        <w:spacing w:before="240" w:line="480" w:lineRule="auto"/>
        <w:ind w:hanging="567"/>
        <w:contextualSpacing/>
        <w:rPr>
          <w:rFonts w:ascii="Times New Roman" w:hAnsi="Times New Roman" w:cs="Times New Roman"/>
          <w:sz w:val="24"/>
          <w:szCs w:val="24"/>
        </w:rPr>
      </w:pPr>
    </w:p>
    <w:p w14:paraId="67CC7C95" w14:textId="77777777" w:rsidR="00B75F05" w:rsidRDefault="00B75F05" w:rsidP="00B75F05">
      <w:pPr>
        <w:spacing w:before="240" w:line="480" w:lineRule="auto"/>
        <w:ind w:hanging="567"/>
        <w:contextualSpacing/>
        <w:rPr>
          <w:rFonts w:ascii="Times New Roman" w:hAnsi="Times New Roman" w:cs="Times New Roman"/>
          <w:sz w:val="24"/>
          <w:szCs w:val="24"/>
        </w:rPr>
      </w:pPr>
    </w:p>
    <w:p w14:paraId="2AD443DC" w14:textId="77777777" w:rsidR="00B75F05" w:rsidRPr="00AE4953" w:rsidRDefault="00B75F05" w:rsidP="00B75F05">
      <w:pPr>
        <w:tabs>
          <w:tab w:val="left" w:pos="1350"/>
        </w:tabs>
        <w:spacing w:after="0"/>
        <w:rPr>
          <w:rFonts w:ascii="Times New Roman" w:hAnsi="Times New Roman" w:cs="Times New Roman"/>
          <w:b/>
          <w:sz w:val="24"/>
          <w:szCs w:val="24"/>
          <w:lang w:val="en-GB"/>
        </w:rPr>
      </w:pPr>
      <w:r w:rsidRPr="00AE4953">
        <w:rPr>
          <w:rFonts w:ascii="Times New Roman" w:hAnsi="Times New Roman" w:cs="Times New Roman"/>
          <w:b/>
          <w:sz w:val="24"/>
          <w:szCs w:val="24"/>
          <w:lang w:val="en-GB"/>
        </w:rPr>
        <w:t xml:space="preserve">Table 2: Variable definition </w:t>
      </w:r>
      <w:r w:rsidRPr="00AE4953">
        <w:rPr>
          <w:rFonts w:ascii="Times New Roman" w:hAnsi="Times New Roman" w:cs="Times New Roman"/>
          <w:b/>
          <w:sz w:val="24"/>
          <w:szCs w:val="24"/>
          <w:lang w:val="en-GB"/>
        </w:rPr>
        <w:tab/>
      </w:r>
    </w:p>
    <w:tbl>
      <w:tblPr>
        <w:tblStyle w:val="TableGrid"/>
        <w:tblW w:w="0" w:type="auto"/>
        <w:tblLook w:val="04A0" w:firstRow="1" w:lastRow="0" w:firstColumn="1" w:lastColumn="0" w:noHBand="0" w:noVBand="1"/>
      </w:tblPr>
      <w:tblGrid>
        <w:gridCol w:w="2030"/>
        <w:gridCol w:w="5733"/>
        <w:gridCol w:w="992"/>
      </w:tblGrid>
      <w:tr w:rsidR="00B75F05" w:rsidRPr="00AE4953" w14:paraId="60D976DF" w14:textId="77777777" w:rsidTr="00C21D6F">
        <w:tc>
          <w:tcPr>
            <w:tcW w:w="2030" w:type="dxa"/>
          </w:tcPr>
          <w:p w14:paraId="2C3C1FB2" w14:textId="77777777" w:rsidR="00B75F05" w:rsidRPr="00AE4953" w:rsidRDefault="00B75F05" w:rsidP="00C21D6F">
            <w:pPr>
              <w:rPr>
                <w:rFonts w:ascii="Times New Roman" w:eastAsia="Calibri" w:hAnsi="Times New Roman" w:cs="Times New Roman"/>
                <w:b/>
                <w:bCs/>
                <w:sz w:val="24"/>
                <w:szCs w:val="24"/>
                <w:lang w:val="en-GB"/>
              </w:rPr>
            </w:pPr>
            <w:r w:rsidRPr="00AE4953">
              <w:rPr>
                <w:rFonts w:ascii="Times New Roman" w:eastAsia="Calibri" w:hAnsi="Times New Roman" w:cs="Times New Roman"/>
                <w:b/>
                <w:bCs/>
                <w:sz w:val="24"/>
                <w:szCs w:val="24"/>
                <w:lang w:val="en-GB"/>
              </w:rPr>
              <w:t>VARIABLES</w:t>
            </w:r>
          </w:p>
        </w:tc>
        <w:tc>
          <w:tcPr>
            <w:tcW w:w="5733" w:type="dxa"/>
          </w:tcPr>
          <w:p w14:paraId="1998C22A" w14:textId="77777777" w:rsidR="00B75F05" w:rsidRPr="00AE4953" w:rsidRDefault="00B75F05" w:rsidP="00C21D6F">
            <w:pPr>
              <w:rPr>
                <w:rFonts w:ascii="Times New Roman" w:eastAsia="Calibri" w:hAnsi="Times New Roman" w:cs="Times New Roman"/>
                <w:b/>
                <w:bCs/>
                <w:sz w:val="24"/>
                <w:szCs w:val="24"/>
                <w:lang w:val="en-GB"/>
              </w:rPr>
            </w:pPr>
            <w:r w:rsidRPr="00AE4953">
              <w:rPr>
                <w:rFonts w:ascii="Times New Roman" w:eastAsia="Calibri" w:hAnsi="Times New Roman" w:cs="Times New Roman"/>
                <w:b/>
                <w:bCs/>
                <w:sz w:val="24"/>
                <w:szCs w:val="24"/>
                <w:lang w:val="en-GB"/>
              </w:rPr>
              <w:t xml:space="preserve">Description </w:t>
            </w:r>
          </w:p>
        </w:tc>
        <w:tc>
          <w:tcPr>
            <w:tcW w:w="992" w:type="dxa"/>
          </w:tcPr>
          <w:p w14:paraId="145D7836" w14:textId="77777777" w:rsidR="00B75F05" w:rsidRPr="00AE4953" w:rsidRDefault="00B75F05" w:rsidP="00C21D6F">
            <w:pPr>
              <w:rPr>
                <w:rFonts w:ascii="Times New Roman" w:eastAsia="Calibri" w:hAnsi="Times New Roman" w:cs="Times New Roman"/>
                <w:b/>
                <w:bCs/>
                <w:sz w:val="24"/>
                <w:szCs w:val="24"/>
                <w:lang w:val="en-GB"/>
              </w:rPr>
            </w:pPr>
            <w:r w:rsidRPr="00AE4953">
              <w:rPr>
                <w:rFonts w:ascii="Times New Roman" w:eastAsia="Calibri" w:hAnsi="Times New Roman" w:cs="Times New Roman"/>
                <w:b/>
                <w:bCs/>
                <w:sz w:val="24"/>
                <w:szCs w:val="24"/>
                <w:lang w:val="en-GB"/>
              </w:rPr>
              <w:t>Sign</w:t>
            </w:r>
          </w:p>
        </w:tc>
      </w:tr>
      <w:tr w:rsidR="00B75F05" w:rsidRPr="00AE4953" w14:paraId="2D8AF6B5" w14:textId="77777777" w:rsidTr="00C21D6F">
        <w:tc>
          <w:tcPr>
            <w:tcW w:w="2030" w:type="dxa"/>
          </w:tcPr>
          <w:p w14:paraId="11B23F40" w14:textId="77777777" w:rsidR="00B75F05" w:rsidRPr="00AE4953" w:rsidRDefault="00B75F05" w:rsidP="00C21D6F">
            <w:pPr>
              <w:rPr>
                <w:rFonts w:ascii="Times New Roman" w:eastAsia="Calibri" w:hAnsi="Times New Roman" w:cs="Times New Roman"/>
                <w:b/>
                <w:bCs/>
                <w:sz w:val="24"/>
                <w:szCs w:val="24"/>
                <w:lang w:val="en-GB"/>
              </w:rPr>
            </w:pPr>
            <w:r w:rsidRPr="00AE4953">
              <w:rPr>
                <w:rFonts w:ascii="Times New Roman" w:eastAsia="Calibri" w:hAnsi="Times New Roman" w:cs="Times New Roman"/>
                <w:b/>
                <w:bCs/>
                <w:sz w:val="24"/>
                <w:szCs w:val="24"/>
                <w:lang w:val="en-GB"/>
              </w:rPr>
              <w:t>DEPENDENT</w:t>
            </w:r>
          </w:p>
        </w:tc>
        <w:tc>
          <w:tcPr>
            <w:tcW w:w="5733" w:type="dxa"/>
          </w:tcPr>
          <w:p w14:paraId="7E3145D9" w14:textId="77777777" w:rsidR="00B75F05" w:rsidRPr="00AE4953" w:rsidRDefault="00B75F05" w:rsidP="00C21D6F">
            <w:pPr>
              <w:rPr>
                <w:rFonts w:ascii="Times New Roman" w:eastAsia="Calibri" w:hAnsi="Times New Roman" w:cs="Times New Roman"/>
                <w:sz w:val="24"/>
                <w:szCs w:val="24"/>
                <w:lang w:val="en-GB"/>
              </w:rPr>
            </w:pPr>
            <w:r w:rsidRPr="00AE4953">
              <w:rPr>
                <w:rFonts w:ascii="Times New Roman" w:eastAsia="Calibri" w:hAnsi="Times New Roman" w:cs="Times New Roman"/>
                <w:sz w:val="24"/>
                <w:szCs w:val="24"/>
                <w:lang w:val="en-GB"/>
              </w:rPr>
              <w:t> </w:t>
            </w:r>
          </w:p>
        </w:tc>
        <w:tc>
          <w:tcPr>
            <w:tcW w:w="992" w:type="dxa"/>
          </w:tcPr>
          <w:p w14:paraId="4351A099" w14:textId="77777777" w:rsidR="00B75F05" w:rsidRPr="00AE4953" w:rsidRDefault="00B75F05" w:rsidP="00C21D6F">
            <w:pPr>
              <w:rPr>
                <w:rFonts w:ascii="Times New Roman" w:eastAsia="Calibri" w:hAnsi="Times New Roman" w:cs="Times New Roman"/>
                <w:sz w:val="24"/>
                <w:szCs w:val="24"/>
                <w:lang w:val="en-GB"/>
              </w:rPr>
            </w:pPr>
            <w:r w:rsidRPr="00AE4953">
              <w:rPr>
                <w:rFonts w:ascii="Times New Roman" w:eastAsia="Calibri" w:hAnsi="Times New Roman" w:cs="Times New Roman"/>
                <w:sz w:val="24"/>
                <w:szCs w:val="24"/>
                <w:lang w:val="en-GB"/>
              </w:rPr>
              <w:t> </w:t>
            </w:r>
          </w:p>
        </w:tc>
      </w:tr>
      <w:tr w:rsidR="00B75F05" w:rsidRPr="00AE4953" w14:paraId="3D835125" w14:textId="77777777" w:rsidTr="00C21D6F">
        <w:tc>
          <w:tcPr>
            <w:tcW w:w="2030" w:type="dxa"/>
          </w:tcPr>
          <w:p w14:paraId="47275186" w14:textId="77777777" w:rsidR="00B75F05" w:rsidRPr="00AE4953" w:rsidRDefault="00B75F05" w:rsidP="00C21D6F">
            <w:pPr>
              <w:rPr>
                <w:rFonts w:ascii="Times New Roman" w:eastAsia="Calibri" w:hAnsi="Times New Roman" w:cs="Times New Roman"/>
                <w:sz w:val="24"/>
                <w:szCs w:val="24"/>
                <w:lang w:val="en-GB"/>
              </w:rPr>
            </w:pPr>
            <w:r w:rsidRPr="00AE4953">
              <w:rPr>
                <w:rFonts w:ascii="Times New Roman" w:eastAsia="Calibri" w:hAnsi="Times New Roman" w:cs="Times New Roman"/>
                <w:sz w:val="24"/>
                <w:szCs w:val="24"/>
                <w:lang w:val="en-GB"/>
              </w:rPr>
              <w:t>ROA</w:t>
            </w:r>
          </w:p>
        </w:tc>
        <w:tc>
          <w:tcPr>
            <w:tcW w:w="5733" w:type="dxa"/>
          </w:tcPr>
          <w:p w14:paraId="4A6F5E5E" w14:textId="77777777" w:rsidR="00B75F05" w:rsidRPr="00AE4953" w:rsidRDefault="00B75F05" w:rsidP="00C21D6F">
            <w:pPr>
              <w:rPr>
                <w:rFonts w:ascii="Times New Roman" w:eastAsia="Calibri" w:hAnsi="Times New Roman" w:cs="Times New Roman"/>
                <w:sz w:val="24"/>
                <w:szCs w:val="24"/>
                <w:lang w:val="en-GB"/>
              </w:rPr>
            </w:pPr>
            <w:r w:rsidRPr="00AE4953">
              <w:rPr>
                <w:rFonts w:ascii="Times New Roman" w:eastAsia="Calibri" w:hAnsi="Times New Roman" w:cs="Times New Roman"/>
                <w:sz w:val="24"/>
                <w:szCs w:val="24"/>
                <w:lang w:val="en-GB"/>
              </w:rPr>
              <w:t xml:space="preserve">The return on total assets of banks given as profit after tax divided by assets  </w:t>
            </w:r>
          </w:p>
        </w:tc>
        <w:tc>
          <w:tcPr>
            <w:tcW w:w="992" w:type="dxa"/>
          </w:tcPr>
          <w:p w14:paraId="2D840A13" w14:textId="77777777" w:rsidR="00B75F05" w:rsidRPr="00AE4953" w:rsidRDefault="00B75F05" w:rsidP="00C21D6F">
            <w:pPr>
              <w:rPr>
                <w:rFonts w:ascii="Times New Roman" w:eastAsia="Calibri" w:hAnsi="Times New Roman" w:cs="Times New Roman"/>
                <w:sz w:val="24"/>
                <w:szCs w:val="24"/>
                <w:lang w:val="en-GB"/>
              </w:rPr>
            </w:pPr>
            <w:r w:rsidRPr="00AE4953">
              <w:rPr>
                <w:rFonts w:ascii="Times New Roman" w:eastAsia="Calibri" w:hAnsi="Times New Roman" w:cs="Times New Roman"/>
                <w:sz w:val="24"/>
                <w:szCs w:val="24"/>
                <w:lang w:val="en-GB"/>
              </w:rPr>
              <w:t> </w:t>
            </w:r>
          </w:p>
        </w:tc>
      </w:tr>
      <w:tr w:rsidR="00B75F05" w:rsidRPr="00AE4953" w14:paraId="383F6DFA" w14:textId="77777777" w:rsidTr="00C21D6F">
        <w:tc>
          <w:tcPr>
            <w:tcW w:w="2030" w:type="dxa"/>
          </w:tcPr>
          <w:p w14:paraId="71CCD4E6" w14:textId="77777777" w:rsidR="00B75F05" w:rsidRPr="00F76BA3" w:rsidRDefault="00B75F05" w:rsidP="00C21D6F">
            <w:pPr>
              <w:rPr>
                <w:rFonts w:ascii="Times New Roman" w:eastAsia="Calibri" w:hAnsi="Times New Roman" w:cs="Times New Roman"/>
                <w:sz w:val="24"/>
                <w:szCs w:val="24"/>
                <w:lang w:val="en-GB"/>
              </w:rPr>
            </w:pPr>
            <w:r w:rsidRPr="00F76BA3">
              <w:rPr>
                <w:rFonts w:ascii="Times New Roman" w:eastAsia="Calibri" w:hAnsi="Times New Roman" w:cs="Times New Roman"/>
                <w:sz w:val="24"/>
                <w:szCs w:val="24"/>
                <w:lang w:val="en-GB"/>
              </w:rPr>
              <w:t>NIM</w:t>
            </w:r>
          </w:p>
        </w:tc>
        <w:tc>
          <w:tcPr>
            <w:tcW w:w="5733" w:type="dxa"/>
          </w:tcPr>
          <w:p w14:paraId="5A10814D" w14:textId="77777777" w:rsidR="00B75F05" w:rsidRPr="00F76BA3" w:rsidRDefault="00B75F05" w:rsidP="00C21D6F">
            <w:pPr>
              <w:rPr>
                <w:rFonts w:ascii="Times New Roman" w:eastAsia="Calibri" w:hAnsi="Times New Roman" w:cs="Times New Roman"/>
                <w:sz w:val="24"/>
                <w:szCs w:val="24"/>
                <w:lang w:val="en-GB"/>
              </w:rPr>
            </w:pPr>
            <w:r w:rsidRPr="009977A4">
              <w:rPr>
                <w:rFonts w:ascii="Times New Roman" w:eastAsia="Calibri" w:hAnsi="Times New Roman" w:cs="Times New Roman"/>
                <w:sz w:val="24"/>
                <w:szCs w:val="24"/>
                <w:lang w:val="en-GB"/>
              </w:rPr>
              <w:t>The difference between interest income and interest</w:t>
            </w:r>
            <w:r>
              <w:rPr>
                <w:rFonts w:ascii="Times New Roman" w:eastAsia="Calibri" w:hAnsi="Times New Roman" w:cs="Times New Roman"/>
                <w:sz w:val="24"/>
                <w:szCs w:val="24"/>
                <w:lang w:val="en-GB"/>
              </w:rPr>
              <w:t xml:space="preserve"> expense/total asset </w:t>
            </w:r>
            <w:r w:rsidRPr="009977A4">
              <w:rPr>
                <w:rFonts w:ascii="Times New Roman" w:eastAsia="Calibri" w:hAnsi="Times New Roman" w:cs="Times New Roman"/>
                <w:sz w:val="24"/>
                <w:szCs w:val="24"/>
                <w:lang w:val="en-GB"/>
              </w:rPr>
              <w:t>%.</w:t>
            </w:r>
          </w:p>
        </w:tc>
        <w:tc>
          <w:tcPr>
            <w:tcW w:w="992" w:type="dxa"/>
          </w:tcPr>
          <w:p w14:paraId="463D49A7" w14:textId="77777777" w:rsidR="00B75F05" w:rsidRPr="00F76BA3" w:rsidRDefault="00B75F05" w:rsidP="00C21D6F">
            <w:pPr>
              <w:rPr>
                <w:rFonts w:ascii="Times New Roman" w:eastAsia="Calibri" w:hAnsi="Times New Roman" w:cs="Times New Roman"/>
                <w:sz w:val="24"/>
                <w:szCs w:val="24"/>
                <w:lang w:val="en-GB"/>
              </w:rPr>
            </w:pPr>
            <w:r w:rsidRPr="00F76BA3">
              <w:rPr>
                <w:rFonts w:ascii="Times New Roman" w:eastAsia="Calibri" w:hAnsi="Times New Roman" w:cs="Times New Roman"/>
                <w:sz w:val="24"/>
                <w:szCs w:val="24"/>
                <w:lang w:val="en-GB"/>
              </w:rPr>
              <w:t> </w:t>
            </w:r>
          </w:p>
        </w:tc>
      </w:tr>
      <w:tr w:rsidR="00B75F05" w:rsidRPr="00AE4953" w14:paraId="1C324C45" w14:textId="77777777" w:rsidTr="00C21D6F">
        <w:tc>
          <w:tcPr>
            <w:tcW w:w="2030" w:type="dxa"/>
          </w:tcPr>
          <w:p w14:paraId="746ACF48" w14:textId="77777777" w:rsidR="00B75F05" w:rsidRPr="00F76BA3" w:rsidRDefault="00B75F05" w:rsidP="00C21D6F">
            <w:pPr>
              <w:rPr>
                <w:rFonts w:ascii="Times New Roman" w:eastAsia="Calibri" w:hAnsi="Times New Roman" w:cs="Times New Roman"/>
                <w:b/>
                <w:bCs/>
                <w:sz w:val="24"/>
                <w:szCs w:val="24"/>
                <w:lang w:val="en-GB"/>
              </w:rPr>
            </w:pPr>
            <w:r w:rsidRPr="00F76BA3">
              <w:rPr>
                <w:rFonts w:ascii="Times New Roman" w:eastAsia="Calibri" w:hAnsi="Times New Roman" w:cs="Times New Roman"/>
                <w:b/>
                <w:bCs/>
                <w:sz w:val="24"/>
                <w:szCs w:val="24"/>
                <w:lang w:val="en-GB"/>
              </w:rPr>
              <w:t>INDEPENDENT</w:t>
            </w:r>
          </w:p>
        </w:tc>
        <w:tc>
          <w:tcPr>
            <w:tcW w:w="5733" w:type="dxa"/>
          </w:tcPr>
          <w:p w14:paraId="409EF797" w14:textId="77777777" w:rsidR="00B75F05" w:rsidRPr="00F76BA3" w:rsidRDefault="00B75F05" w:rsidP="00C21D6F">
            <w:pPr>
              <w:rPr>
                <w:rFonts w:ascii="Times New Roman" w:eastAsia="Calibri" w:hAnsi="Times New Roman" w:cs="Times New Roman"/>
                <w:sz w:val="24"/>
                <w:szCs w:val="24"/>
                <w:lang w:val="en-GB"/>
              </w:rPr>
            </w:pPr>
            <w:r w:rsidRPr="00F76BA3">
              <w:rPr>
                <w:rFonts w:ascii="Times New Roman" w:eastAsia="Calibri" w:hAnsi="Times New Roman" w:cs="Times New Roman"/>
                <w:sz w:val="24"/>
                <w:szCs w:val="24"/>
                <w:lang w:val="en-GB"/>
              </w:rPr>
              <w:t> </w:t>
            </w:r>
          </w:p>
        </w:tc>
        <w:tc>
          <w:tcPr>
            <w:tcW w:w="992" w:type="dxa"/>
          </w:tcPr>
          <w:p w14:paraId="2D8D2E34" w14:textId="77777777" w:rsidR="00B75F05" w:rsidRPr="00F76BA3" w:rsidRDefault="00B75F05" w:rsidP="00C21D6F">
            <w:pPr>
              <w:rPr>
                <w:rFonts w:ascii="Times New Roman" w:eastAsia="Calibri" w:hAnsi="Times New Roman" w:cs="Times New Roman"/>
                <w:sz w:val="24"/>
                <w:szCs w:val="24"/>
                <w:lang w:val="en-GB"/>
              </w:rPr>
            </w:pPr>
            <w:r w:rsidRPr="00F76BA3">
              <w:rPr>
                <w:rFonts w:ascii="Times New Roman" w:eastAsia="Calibri" w:hAnsi="Times New Roman" w:cs="Times New Roman"/>
                <w:sz w:val="24"/>
                <w:szCs w:val="24"/>
                <w:lang w:val="en-GB"/>
              </w:rPr>
              <w:t> </w:t>
            </w:r>
          </w:p>
        </w:tc>
      </w:tr>
      <w:tr w:rsidR="00B75F05" w:rsidRPr="00AE4953" w14:paraId="258F4027" w14:textId="77777777" w:rsidTr="00C21D6F">
        <w:tc>
          <w:tcPr>
            <w:tcW w:w="2030" w:type="dxa"/>
          </w:tcPr>
          <w:p w14:paraId="50A4C291" w14:textId="77777777" w:rsidR="00B75F05" w:rsidRPr="00F76BA3" w:rsidRDefault="00B75F05" w:rsidP="00C21D6F">
            <w:pPr>
              <w:rPr>
                <w:rFonts w:ascii="Times New Roman" w:eastAsia="Calibri" w:hAnsi="Times New Roman" w:cs="Times New Roman"/>
                <w:i/>
                <w:iCs/>
                <w:sz w:val="24"/>
                <w:szCs w:val="24"/>
                <w:lang w:val="en-GB"/>
              </w:rPr>
            </w:pPr>
            <w:r w:rsidRPr="00F76BA3">
              <w:rPr>
                <w:rFonts w:ascii="Times New Roman" w:eastAsia="Calibri" w:hAnsi="Times New Roman" w:cs="Times New Roman"/>
                <w:i/>
                <w:iCs/>
                <w:sz w:val="24"/>
                <w:szCs w:val="24"/>
                <w:lang w:val="en-GB"/>
              </w:rPr>
              <w:t>BANK SPECIFIC FACTORS</w:t>
            </w:r>
          </w:p>
        </w:tc>
        <w:tc>
          <w:tcPr>
            <w:tcW w:w="5733" w:type="dxa"/>
          </w:tcPr>
          <w:p w14:paraId="5BC903CC" w14:textId="77777777" w:rsidR="00B75F05" w:rsidRPr="00F76BA3" w:rsidRDefault="00B75F05" w:rsidP="00C21D6F">
            <w:pPr>
              <w:rPr>
                <w:rFonts w:ascii="Times New Roman" w:eastAsia="Calibri" w:hAnsi="Times New Roman" w:cs="Times New Roman"/>
                <w:sz w:val="24"/>
                <w:szCs w:val="24"/>
                <w:lang w:val="en-GB"/>
              </w:rPr>
            </w:pPr>
            <w:r w:rsidRPr="00F76BA3">
              <w:rPr>
                <w:rFonts w:ascii="Times New Roman" w:eastAsia="Calibri" w:hAnsi="Times New Roman" w:cs="Times New Roman"/>
                <w:sz w:val="24"/>
                <w:szCs w:val="24"/>
                <w:lang w:val="en-GB"/>
              </w:rPr>
              <w:t> </w:t>
            </w:r>
          </w:p>
        </w:tc>
        <w:tc>
          <w:tcPr>
            <w:tcW w:w="992" w:type="dxa"/>
          </w:tcPr>
          <w:p w14:paraId="49A3A21E" w14:textId="77777777" w:rsidR="00B75F05" w:rsidRPr="00F76BA3" w:rsidRDefault="00B75F05" w:rsidP="00C21D6F">
            <w:pPr>
              <w:rPr>
                <w:rFonts w:ascii="Times New Roman" w:eastAsia="Calibri" w:hAnsi="Times New Roman" w:cs="Times New Roman"/>
                <w:sz w:val="24"/>
                <w:szCs w:val="24"/>
                <w:lang w:val="en-GB"/>
              </w:rPr>
            </w:pPr>
            <w:r w:rsidRPr="00F76BA3">
              <w:rPr>
                <w:rFonts w:ascii="Times New Roman" w:eastAsia="Calibri" w:hAnsi="Times New Roman" w:cs="Times New Roman"/>
                <w:sz w:val="24"/>
                <w:szCs w:val="24"/>
                <w:lang w:val="en-GB"/>
              </w:rPr>
              <w:t> </w:t>
            </w:r>
          </w:p>
        </w:tc>
      </w:tr>
      <w:tr w:rsidR="00B75F05" w:rsidRPr="00AE4953" w14:paraId="783D5D0C" w14:textId="77777777" w:rsidTr="00C21D6F">
        <w:tc>
          <w:tcPr>
            <w:tcW w:w="2030" w:type="dxa"/>
          </w:tcPr>
          <w:p w14:paraId="039CD730" w14:textId="77777777" w:rsidR="00B75F05" w:rsidRPr="00F76BA3" w:rsidRDefault="00B75F05" w:rsidP="00C21D6F">
            <w:pPr>
              <w:rPr>
                <w:rFonts w:ascii="Times New Roman" w:eastAsia="Calibri" w:hAnsi="Times New Roman" w:cs="Times New Roman"/>
                <w:sz w:val="24"/>
                <w:szCs w:val="24"/>
                <w:lang w:val="en-GB"/>
              </w:rPr>
            </w:pPr>
            <w:r w:rsidRPr="00F76BA3">
              <w:rPr>
                <w:rFonts w:ascii="Times New Roman" w:eastAsia="Calibri" w:hAnsi="Times New Roman" w:cs="Times New Roman"/>
                <w:sz w:val="24"/>
                <w:szCs w:val="24"/>
                <w:lang w:val="en-GB"/>
              </w:rPr>
              <w:t>LNSIZE  (size)</w:t>
            </w:r>
          </w:p>
        </w:tc>
        <w:tc>
          <w:tcPr>
            <w:tcW w:w="5733" w:type="dxa"/>
          </w:tcPr>
          <w:p w14:paraId="32F7F6B3" w14:textId="77777777" w:rsidR="00B75F05" w:rsidRPr="00F76BA3" w:rsidRDefault="00B75F05" w:rsidP="00C21D6F">
            <w:pPr>
              <w:rPr>
                <w:rFonts w:ascii="Times New Roman" w:eastAsia="Calibri" w:hAnsi="Times New Roman" w:cs="Times New Roman"/>
                <w:sz w:val="24"/>
                <w:szCs w:val="24"/>
                <w:lang w:val="en-GB"/>
              </w:rPr>
            </w:pPr>
            <w:r w:rsidRPr="00F76BA3">
              <w:rPr>
                <w:rFonts w:ascii="Times New Roman" w:eastAsia="Calibri" w:hAnsi="Times New Roman" w:cs="Times New Roman"/>
                <w:sz w:val="24"/>
                <w:szCs w:val="24"/>
                <w:lang w:val="en-GB"/>
              </w:rPr>
              <w:t>The natural log value of the bank’s total assets</w:t>
            </w:r>
          </w:p>
        </w:tc>
        <w:tc>
          <w:tcPr>
            <w:tcW w:w="992" w:type="dxa"/>
          </w:tcPr>
          <w:p w14:paraId="6DBFF596" w14:textId="77777777" w:rsidR="00B75F05" w:rsidRPr="00F76BA3" w:rsidRDefault="00B75F05" w:rsidP="00C21D6F">
            <w:pPr>
              <w:rPr>
                <w:rFonts w:ascii="Times New Roman" w:eastAsia="Calibri" w:hAnsi="Times New Roman" w:cs="Times New Roman"/>
                <w:b/>
                <w:bCs/>
                <w:sz w:val="24"/>
                <w:szCs w:val="24"/>
                <w:lang w:val="en-GB"/>
              </w:rPr>
            </w:pPr>
            <w:r w:rsidRPr="00F76BA3">
              <w:rPr>
                <w:rFonts w:ascii="Times New Roman" w:eastAsia="Calibri" w:hAnsi="Times New Roman" w:cs="Times New Roman"/>
                <w:b/>
                <w:bCs/>
                <w:sz w:val="24"/>
                <w:szCs w:val="24"/>
                <w:lang w:val="en-GB"/>
              </w:rPr>
              <w:t>+ve/-ve</w:t>
            </w:r>
          </w:p>
        </w:tc>
      </w:tr>
      <w:tr w:rsidR="00B75F05" w:rsidRPr="00AE4953" w14:paraId="6471DD65" w14:textId="77777777" w:rsidTr="00C21D6F">
        <w:tc>
          <w:tcPr>
            <w:tcW w:w="2030" w:type="dxa"/>
          </w:tcPr>
          <w:p w14:paraId="65278261" w14:textId="77777777" w:rsidR="00B75F05" w:rsidRPr="00F76BA3" w:rsidRDefault="00B75F05" w:rsidP="00C21D6F">
            <w:pPr>
              <w:rPr>
                <w:rFonts w:ascii="Times New Roman" w:eastAsia="Calibri" w:hAnsi="Times New Roman" w:cs="Times New Roman"/>
                <w:sz w:val="24"/>
                <w:szCs w:val="24"/>
                <w:lang w:val="en-GB"/>
              </w:rPr>
            </w:pPr>
            <w:r w:rsidRPr="00F76BA3">
              <w:rPr>
                <w:rFonts w:ascii="Times New Roman" w:eastAsia="Calibri" w:hAnsi="Times New Roman" w:cs="Times New Roman"/>
                <w:sz w:val="24"/>
                <w:szCs w:val="24"/>
                <w:lang w:val="en-GB"/>
              </w:rPr>
              <w:t xml:space="preserve">CAP (capital strength) </w:t>
            </w:r>
          </w:p>
        </w:tc>
        <w:tc>
          <w:tcPr>
            <w:tcW w:w="5733" w:type="dxa"/>
          </w:tcPr>
          <w:p w14:paraId="37C1A82B" w14:textId="77777777" w:rsidR="00B75F05" w:rsidRPr="00F76BA3" w:rsidRDefault="00B75F05" w:rsidP="00C21D6F">
            <w:pPr>
              <w:rPr>
                <w:rFonts w:ascii="Times New Roman" w:eastAsia="Calibri" w:hAnsi="Times New Roman" w:cs="Times New Roman"/>
                <w:sz w:val="24"/>
                <w:szCs w:val="24"/>
                <w:lang w:val="en-GB"/>
              </w:rPr>
            </w:pPr>
            <w:r w:rsidRPr="00F76BA3">
              <w:rPr>
                <w:rFonts w:ascii="Times New Roman" w:eastAsia="Calibri" w:hAnsi="Times New Roman" w:cs="Times New Roman"/>
                <w:sz w:val="24"/>
                <w:szCs w:val="24"/>
                <w:lang w:val="en-GB"/>
              </w:rPr>
              <w:t>Defined as equity to total assets</w:t>
            </w:r>
          </w:p>
        </w:tc>
        <w:tc>
          <w:tcPr>
            <w:tcW w:w="992" w:type="dxa"/>
          </w:tcPr>
          <w:p w14:paraId="1B5D46CD" w14:textId="77777777" w:rsidR="00B75F05" w:rsidRPr="00F76BA3" w:rsidRDefault="00B75F05" w:rsidP="00C21D6F">
            <w:pPr>
              <w:rPr>
                <w:rFonts w:ascii="Times New Roman" w:eastAsia="Calibri" w:hAnsi="Times New Roman" w:cs="Times New Roman"/>
                <w:b/>
                <w:bCs/>
                <w:sz w:val="24"/>
                <w:szCs w:val="24"/>
                <w:lang w:val="en-GB"/>
              </w:rPr>
            </w:pPr>
            <w:r w:rsidRPr="00F76BA3">
              <w:rPr>
                <w:rFonts w:ascii="Times New Roman" w:eastAsia="Calibri" w:hAnsi="Times New Roman" w:cs="Times New Roman"/>
                <w:b/>
                <w:bCs/>
                <w:sz w:val="24"/>
                <w:szCs w:val="24"/>
                <w:lang w:val="en-GB"/>
              </w:rPr>
              <w:t>+ve</w:t>
            </w:r>
          </w:p>
        </w:tc>
      </w:tr>
      <w:tr w:rsidR="00B75F05" w:rsidRPr="00AE4953" w14:paraId="20C19602" w14:textId="77777777" w:rsidTr="00C21D6F">
        <w:tc>
          <w:tcPr>
            <w:tcW w:w="2030" w:type="dxa"/>
          </w:tcPr>
          <w:p w14:paraId="7F474AFF" w14:textId="77777777" w:rsidR="00B75F05" w:rsidRPr="00F76BA3" w:rsidRDefault="00B75F05" w:rsidP="00C21D6F">
            <w:pPr>
              <w:rPr>
                <w:rFonts w:ascii="Times New Roman" w:eastAsia="Calibri" w:hAnsi="Times New Roman" w:cs="Times New Roman"/>
                <w:sz w:val="24"/>
                <w:szCs w:val="24"/>
                <w:lang w:val="en-GB"/>
              </w:rPr>
            </w:pPr>
            <w:r w:rsidRPr="00F76BA3">
              <w:rPr>
                <w:rFonts w:ascii="Times New Roman" w:eastAsia="Calibri" w:hAnsi="Times New Roman" w:cs="Times New Roman"/>
                <w:sz w:val="24"/>
                <w:szCs w:val="24"/>
                <w:lang w:val="en-GB"/>
              </w:rPr>
              <w:t>CR (credit risk)</w:t>
            </w:r>
          </w:p>
        </w:tc>
        <w:tc>
          <w:tcPr>
            <w:tcW w:w="5733" w:type="dxa"/>
          </w:tcPr>
          <w:p w14:paraId="6D151AA3" w14:textId="77777777" w:rsidR="00B75F05" w:rsidRPr="00F76BA3" w:rsidRDefault="00B75F05" w:rsidP="00C21D6F">
            <w:pPr>
              <w:rPr>
                <w:rFonts w:ascii="Times New Roman" w:eastAsia="Calibri" w:hAnsi="Times New Roman" w:cs="Times New Roman"/>
                <w:sz w:val="24"/>
                <w:szCs w:val="24"/>
                <w:lang w:val="en-GB"/>
              </w:rPr>
            </w:pPr>
            <w:r w:rsidRPr="00F76BA3">
              <w:rPr>
                <w:rFonts w:ascii="Times New Roman" w:eastAsia="Calibri" w:hAnsi="Times New Roman" w:cs="Times New Roman"/>
                <w:sz w:val="24"/>
                <w:szCs w:val="24"/>
                <w:lang w:val="en-GB"/>
              </w:rPr>
              <w:t xml:space="preserve">Defined as net loans to deposits and short-term funding </w:t>
            </w:r>
          </w:p>
        </w:tc>
        <w:tc>
          <w:tcPr>
            <w:tcW w:w="992" w:type="dxa"/>
          </w:tcPr>
          <w:p w14:paraId="5DABBEBF" w14:textId="77777777" w:rsidR="00B75F05" w:rsidRPr="00F76BA3" w:rsidRDefault="00B75F05" w:rsidP="00C21D6F">
            <w:pPr>
              <w:rPr>
                <w:rFonts w:ascii="Times New Roman" w:eastAsia="Calibri" w:hAnsi="Times New Roman" w:cs="Times New Roman"/>
                <w:b/>
                <w:bCs/>
                <w:sz w:val="24"/>
                <w:szCs w:val="24"/>
                <w:lang w:val="en-GB"/>
              </w:rPr>
            </w:pPr>
            <w:r w:rsidRPr="00F76BA3">
              <w:rPr>
                <w:rFonts w:ascii="Times New Roman" w:eastAsia="Calibri" w:hAnsi="Times New Roman" w:cs="Times New Roman"/>
                <w:b/>
                <w:bCs/>
                <w:sz w:val="24"/>
                <w:szCs w:val="24"/>
                <w:lang w:val="en-GB"/>
              </w:rPr>
              <w:t>-ve</w:t>
            </w:r>
          </w:p>
        </w:tc>
      </w:tr>
      <w:tr w:rsidR="00B75F05" w:rsidRPr="00AE4953" w14:paraId="0BBD433A" w14:textId="77777777" w:rsidTr="00C21D6F">
        <w:tc>
          <w:tcPr>
            <w:tcW w:w="2030" w:type="dxa"/>
          </w:tcPr>
          <w:p w14:paraId="3DA47E6D" w14:textId="77777777" w:rsidR="00B75F05" w:rsidRPr="00F76BA3" w:rsidRDefault="00B75F05" w:rsidP="00C21D6F">
            <w:pPr>
              <w:rPr>
                <w:rFonts w:ascii="Times New Roman" w:eastAsia="Calibri" w:hAnsi="Times New Roman" w:cs="Times New Roman"/>
                <w:sz w:val="24"/>
                <w:szCs w:val="24"/>
                <w:lang w:val="en-GB"/>
              </w:rPr>
            </w:pPr>
            <w:r w:rsidRPr="00F76BA3">
              <w:rPr>
                <w:rFonts w:ascii="Times New Roman" w:eastAsia="Calibri" w:hAnsi="Times New Roman" w:cs="Times New Roman"/>
                <w:sz w:val="24"/>
                <w:szCs w:val="24"/>
                <w:lang w:val="en-GB"/>
              </w:rPr>
              <w:t>CM (cost management)</w:t>
            </w:r>
          </w:p>
        </w:tc>
        <w:tc>
          <w:tcPr>
            <w:tcW w:w="5733" w:type="dxa"/>
          </w:tcPr>
          <w:p w14:paraId="6A93022C" w14:textId="77777777" w:rsidR="00B75F05" w:rsidRPr="00F76BA3" w:rsidRDefault="00B75F05" w:rsidP="00C21D6F">
            <w:pPr>
              <w:rPr>
                <w:rFonts w:ascii="Times New Roman" w:eastAsia="Calibri" w:hAnsi="Times New Roman" w:cs="Times New Roman"/>
                <w:sz w:val="24"/>
                <w:szCs w:val="24"/>
                <w:lang w:val="en-GB"/>
              </w:rPr>
            </w:pPr>
            <w:r w:rsidRPr="00F76BA3">
              <w:rPr>
                <w:rFonts w:ascii="Times New Roman" w:eastAsia="Calibri" w:hAnsi="Times New Roman" w:cs="Times New Roman"/>
                <w:sz w:val="24"/>
                <w:szCs w:val="24"/>
                <w:lang w:val="en-GB"/>
              </w:rPr>
              <w:t>This is the total operating cost divided by total  income</w:t>
            </w:r>
          </w:p>
        </w:tc>
        <w:tc>
          <w:tcPr>
            <w:tcW w:w="992" w:type="dxa"/>
          </w:tcPr>
          <w:p w14:paraId="24C74560" w14:textId="77777777" w:rsidR="00B75F05" w:rsidRPr="00F76BA3" w:rsidRDefault="00B75F05" w:rsidP="00C21D6F">
            <w:pPr>
              <w:rPr>
                <w:rFonts w:ascii="Times New Roman" w:eastAsia="Calibri" w:hAnsi="Times New Roman" w:cs="Times New Roman"/>
                <w:b/>
                <w:bCs/>
                <w:sz w:val="24"/>
                <w:szCs w:val="24"/>
                <w:lang w:val="en-GB"/>
              </w:rPr>
            </w:pPr>
            <w:r w:rsidRPr="00F76BA3">
              <w:rPr>
                <w:rFonts w:ascii="Times New Roman" w:eastAsia="Calibri" w:hAnsi="Times New Roman" w:cs="Times New Roman"/>
                <w:b/>
                <w:bCs/>
                <w:sz w:val="24"/>
                <w:szCs w:val="24"/>
                <w:lang w:val="en-GB"/>
              </w:rPr>
              <w:t>-ve</w:t>
            </w:r>
          </w:p>
        </w:tc>
      </w:tr>
      <w:tr w:rsidR="00B75F05" w:rsidRPr="00AE4953" w14:paraId="7A927A4F" w14:textId="77777777" w:rsidTr="00C21D6F">
        <w:tc>
          <w:tcPr>
            <w:tcW w:w="2030" w:type="dxa"/>
          </w:tcPr>
          <w:p w14:paraId="76C8C941" w14:textId="77777777" w:rsidR="00B75F05" w:rsidRPr="00F76BA3" w:rsidRDefault="00B75F05" w:rsidP="00C21D6F">
            <w:pPr>
              <w:rPr>
                <w:rFonts w:ascii="Times New Roman" w:eastAsia="Calibri" w:hAnsi="Times New Roman" w:cs="Times New Roman"/>
                <w:sz w:val="24"/>
                <w:szCs w:val="24"/>
                <w:lang w:val="en-GB"/>
              </w:rPr>
            </w:pPr>
            <w:r w:rsidRPr="00F76BA3">
              <w:rPr>
                <w:rFonts w:ascii="Times New Roman" w:eastAsia="Calibri" w:hAnsi="Times New Roman" w:cs="Times New Roman"/>
                <w:sz w:val="24"/>
                <w:szCs w:val="24"/>
                <w:lang w:val="en-GB"/>
              </w:rPr>
              <w:t>LQ (liquidity)</w:t>
            </w:r>
          </w:p>
        </w:tc>
        <w:tc>
          <w:tcPr>
            <w:tcW w:w="5733" w:type="dxa"/>
          </w:tcPr>
          <w:p w14:paraId="0FDDC3DE" w14:textId="77777777" w:rsidR="00B75F05" w:rsidRPr="00F76BA3" w:rsidRDefault="00B75F05" w:rsidP="00C21D6F">
            <w:pPr>
              <w:rPr>
                <w:rFonts w:ascii="Times New Roman" w:eastAsia="Calibri" w:hAnsi="Times New Roman" w:cs="Times New Roman"/>
                <w:sz w:val="24"/>
                <w:szCs w:val="24"/>
                <w:lang w:val="en-GB"/>
              </w:rPr>
            </w:pPr>
            <w:r w:rsidRPr="00F76BA3">
              <w:rPr>
                <w:rFonts w:ascii="Times New Roman" w:eastAsia="Calibri" w:hAnsi="Times New Roman" w:cs="Times New Roman"/>
                <w:sz w:val="24"/>
                <w:szCs w:val="24"/>
                <w:lang w:val="en-GB"/>
              </w:rPr>
              <w:t>Defined as liquid assets divided by total customer and short-term funding</w:t>
            </w:r>
          </w:p>
        </w:tc>
        <w:tc>
          <w:tcPr>
            <w:tcW w:w="992" w:type="dxa"/>
          </w:tcPr>
          <w:p w14:paraId="49AFDBDD" w14:textId="77777777" w:rsidR="00B75F05" w:rsidRPr="00F76BA3" w:rsidRDefault="00B75F05" w:rsidP="00C21D6F">
            <w:pPr>
              <w:rPr>
                <w:rFonts w:ascii="Times New Roman" w:eastAsia="Calibri" w:hAnsi="Times New Roman" w:cs="Times New Roman"/>
                <w:b/>
                <w:bCs/>
                <w:sz w:val="24"/>
                <w:szCs w:val="24"/>
                <w:lang w:val="en-GB"/>
              </w:rPr>
            </w:pPr>
            <w:r w:rsidRPr="00F76BA3">
              <w:rPr>
                <w:rFonts w:ascii="Times New Roman" w:eastAsia="Calibri" w:hAnsi="Times New Roman" w:cs="Times New Roman"/>
                <w:b/>
                <w:bCs/>
                <w:sz w:val="24"/>
                <w:szCs w:val="24"/>
                <w:lang w:val="en-GB"/>
              </w:rPr>
              <w:t>-ve</w:t>
            </w:r>
          </w:p>
        </w:tc>
      </w:tr>
      <w:tr w:rsidR="00B75F05" w:rsidRPr="00AE4953" w14:paraId="1B290D9E" w14:textId="77777777" w:rsidTr="00C21D6F">
        <w:tc>
          <w:tcPr>
            <w:tcW w:w="2030" w:type="dxa"/>
          </w:tcPr>
          <w:p w14:paraId="606B1E69" w14:textId="77777777" w:rsidR="00B75F05" w:rsidRPr="00F76BA3" w:rsidRDefault="00B75F05" w:rsidP="00C21D6F">
            <w:pPr>
              <w:rPr>
                <w:rFonts w:ascii="Times New Roman" w:eastAsia="Calibri" w:hAnsi="Times New Roman" w:cs="Times New Roman"/>
                <w:sz w:val="24"/>
                <w:szCs w:val="24"/>
                <w:lang w:val="en-GB"/>
              </w:rPr>
            </w:pPr>
            <w:r w:rsidRPr="00F76BA3">
              <w:rPr>
                <w:rFonts w:ascii="Times New Roman" w:eastAsia="Calibri" w:hAnsi="Times New Roman" w:cs="Times New Roman"/>
                <w:sz w:val="24"/>
                <w:szCs w:val="24"/>
                <w:lang w:val="en-GB"/>
              </w:rPr>
              <w:t>INDUSTRY FACTOR</w:t>
            </w:r>
          </w:p>
        </w:tc>
        <w:tc>
          <w:tcPr>
            <w:tcW w:w="5733" w:type="dxa"/>
          </w:tcPr>
          <w:p w14:paraId="087A89C6" w14:textId="77777777" w:rsidR="00B75F05" w:rsidRPr="00F76BA3" w:rsidRDefault="00B75F05" w:rsidP="00C21D6F">
            <w:pPr>
              <w:rPr>
                <w:rFonts w:ascii="Times New Roman" w:eastAsia="Calibri" w:hAnsi="Times New Roman" w:cs="Times New Roman"/>
                <w:sz w:val="24"/>
                <w:szCs w:val="24"/>
                <w:lang w:val="en-GB"/>
              </w:rPr>
            </w:pPr>
          </w:p>
        </w:tc>
        <w:tc>
          <w:tcPr>
            <w:tcW w:w="992" w:type="dxa"/>
          </w:tcPr>
          <w:p w14:paraId="60042C6C" w14:textId="77777777" w:rsidR="00B75F05" w:rsidRPr="00F76BA3" w:rsidRDefault="00B75F05" w:rsidP="00C21D6F">
            <w:pPr>
              <w:rPr>
                <w:rFonts w:ascii="Times New Roman" w:eastAsia="Calibri" w:hAnsi="Times New Roman" w:cs="Times New Roman"/>
                <w:b/>
                <w:bCs/>
                <w:sz w:val="24"/>
                <w:szCs w:val="24"/>
                <w:lang w:val="en-GB"/>
              </w:rPr>
            </w:pPr>
          </w:p>
        </w:tc>
      </w:tr>
      <w:tr w:rsidR="00B75F05" w:rsidRPr="00AE4953" w14:paraId="355C0047" w14:textId="77777777" w:rsidTr="00C21D6F">
        <w:tc>
          <w:tcPr>
            <w:tcW w:w="2030" w:type="dxa"/>
          </w:tcPr>
          <w:p w14:paraId="10FC2CD6" w14:textId="77777777" w:rsidR="00B75F05" w:rsidRPr="00F76BA3" w:rsidRDefault="00B75F05" w:rsidP="00C21D6F">
            <w:pPr>
              <w:rPr>
                <w:rFonts w:ascii="Times New Roman" w:eastAsia="Calibri" w:hAnsi="Times New Roman" w:cs="Times New Roman"/>
                <w:sz w:val="24"/>
                <w:szCs w:val="24"/>
                <w:lang w:val="en-GB"/>
              </w:rPr>
            </w:pPr>
            <w:r w:rsidRPr="00F76BA3">
              <w:rPr>
                <w:rFonts w:ascii="Times New Roman" w:eastAsia="Calibri" w:hAnsi="Times New Roman" w:cs="Times New Roman"/>
                <w:sz w:val="24"/>
                <w:szCs w:val="24"/>
                <w:lang w:val="en-GB"/>
              </w:rPr>
              <w:t>MP (market power)</w:t>
            </w:r>
          </w:p>
        </w:tc>
        <w:tc>
          <w:tcPr>
            <w:tcW w:w="5733" w:type="dxa"/>
          </w:tcPr>
          <w:p w14:paraId="3550B754" w14:textId="77777777" w:rsidR="00B75F05" w:rsidRPr="00F76BA3" w:rsidRDefault="00B75F05" w:rsidP="00C21D6F">
            <w:pPr>
              <w:rPr>
                <w:rFonts w:ascii="Times New Roman" w:eastAsia="Calibri" w:hAnsi="Times New Roman" w:cs="Times New Roman"/>
                <w:sz w:val="24"/>
                <w:szCs w:val="24"/>
                <w:lang w:val="en-GB"/>
              </w:rPr>
            </w:pPr>
            <w:r w:rsidRPr="00F76BA3">
              <w:rPr>
                <w:rFonts w:ascii="Times New Roman" w:eastAsia="Calibri" w:hAnsi="Times New Roman" w:cs="Times New Roman"/>
                <w:sz w:val="24"/>
                <w:szCs w:val="24"/>
                <w:lang w:val="en-GB"/>
              </w:rPr>
              <w:t>This is a measure of market power defined as the ratio of a bank total asset to the total asset of the entire banks in a country. Also as the square of the total asset.</w:t>
            </w:r>
          </w:p>
        </w:tc>
        <w:tc>
          <w:tcPr>
            <w:tcW w:w="992" w:type="dxa"/>
          </w:tcPr>
          <w:p w14:paraId="7495E415" w14:textId="77777777" w:rsidR="00B75F05" w:rsidRPr="00F76BA3" w:rsidRDefault="00B75F05" w:rsidP="00C21D6F">
            <w:pPr>
              <w:rPr>
                <w:rFonts w:ascii="Times New Roman" w:eastAsia="Calibri" w:hAnsi="Times New Roman" w:cs="Times New Roman"/>
                <w:b/>
                <w:bCs/>
                <w:sz w:val="24"/>
                <w:szCs w:val="24"/>
                <w:lang w:val="en-GB"/>
              </w:rPr>
            </w:pPr>
            <w:r w:rsidRPr="00F76BA3">
              <w:rPr>
                <w:rFonts w:ascii="Times New Roman" w:eastAsia="Calibri" w:hAnsi="Times New Roman" w:cs="Times New Roman"/>
                <w:b/>
                <w:bCs/>
                <w:sz w:val="24"/>
                <w:szCs w:val="24"/>
                <w:lang w:val="en-GB"/>
              </w:rPr>
              <w:t>+ve/-ve</w:t>
            </w:r>
          </w:p>
        </w:tc>
      </w:tr>
      <w:tr w:rsidR="00B75F05" w:rsidRPr="00AE4953" w14:paraId="0C64A288" w14:textId="77777777" w:rsidTr="00C21D6F">
        <w:tc>
          <w:tcPr>
            <w:tcW w:w="2030" w:type="dxa"/>
          </w:tcPr>
          <w:p w14:paraId="25836701" w14:textId="77777777" w:rsidR="00B75F05" w:rsidRPr="00F76BA3" w:rsidRDefault="00B75F05" w:rsidP="00C21D6F">
            <w:pPr>
              <w:rPr>
                <w:rFonts w:ascii="Times New Roman" w:eastAsia="Calibri" w:hAnsi="Times New Roman" w:cs="Times New Roman"/>
                <w:i/>
                <w:iCs/>
                <w:sz w:val="24"/>
                <w:szCs w:val="24"/>
                <w:lang w:val="en-GB"/>
              </w:rPr>
            </w:pPr>
            <w:r w:rsidRPr="00F76BA3">
              <w:rPr>
                <w:rFonts w:ascii="Times New Roman" w:eastAsia="Calibri" w:hAnsi="Times New Roman" w:cs="Times New Roman"/>
                <w:i/>
                <w:iCs/>
                <w:sz w:val="24"/>
                <w:szCs w:val="24"/>
                <w:lang w:val="en-GB"/>
              </w:rPr>
              <w:t>MACRO-ECONOMIC</w:t>
            </w:r>
          </w:p>
        </w:tc>
        <w:tc>
          <w:tcPr>
            <w:tcW w:w="5733" w:type="dxa"/>
          </w:tcPr>
          <w:p w14:paraId="3D136895" w14:textId="77777777" w:rsidR="00B75F05" w:rsidRPr="00F76BA3" w:rsidRDefault="00B75F05" w:rsidP="00C21D6F">
            <w:pPr>
              <w:rPr>
                <w:rFonts w:ascii="Times New Roman" w:eastAsia="Calibri" w:hAnsi="Times New Roman" w:cs="Times New Roman"/>
                <w:sz w:val="24"/>
                <w:szCs w:val="24"/>
                <w:lang w:val="en-GB"/>
              </w:rPr>
            </w:pPr>
            <w:r w:rsidRPr="00F76BA3">
              <w:rPr>
                <w:rFonts w:ascii="Times New Roman" w:eastAsia="Calibri" w:hAnsi="Times New Roman" w:cs="Times New Roman"/>
                <w:sz w:val="24"/>
                <w:szCs w:val="24"/>
                <w:lang w:val="en-GB"/>
              </w:rPr>
              <w:t> </w:t>
            </w:r>
          </w:p>
        </w:tc>
        <w:tc>
          <w:tcPr>
            <w:tcW w:w="992" w:type="dxa"/>
          </w:tcPr>
          <w:p w14:paraId="2C9FE017" w14:textId="77777777" w:rsidR="00B75F05" w:rsidRPr="00F76BA3" w:rsidRDefault="00B75F05" w:rsidP="00C21D6F">
            <w:pPr>
              <w:rPr>
                <w:rFonts w:ascii="Times New Roman" w:eastAsia="Calibri" w:hAnsi="Times New Roman" w:cs="Times New Roman"/>
                <w:sz w:val="24"/>
                <w:szCs w:val="24"/>
                <w:lang w:val="en-GB"/>
              </w:rPr>
            </w:pPr>
            <w:r w:rsidRPr="00F76BA3">
              <w:rPr>
                <w:rFonts w:ascii="Times New Roman" w:eastAsia="Calibri" w:hAnsi="Times New Roman" w:cs="Times New Roman"/>
                <w:sz w:val="24"/>
                <w:szCs w:val="24"/>
                <w:lang w:val="en-GB"/>
              </w:rPr>
              <w:t> </w:t>
            </w:r>
          </w:p>
        </w:tc>
      </w:tr>
      <w:tr w:rsidR="00B75F05" w:rsidRPr="00AE4953" w14:paraId="38007AEB" w14:textId="77777777" w:rsidTr="00C21D6F">
        <w:tc>
          <w:tcPr>
            <w:tcW w:w="2030" w:type="dxa"/>
          </w:tcPr>
          <w:p w14:paraId="0BBBFC86" w14:textId="77777777" w:rsidR="00B75F05" w:rsidRPr="00F76BA3" w:rsidRDefault="00B75F05" w:rsidP="00C21D6F">
            <w:pPr>
              <w:rPr>
                <w:rFonts w:ascii="Times New Roman" w:eastAsia="Calibri" w:hAnsi="Times New Roman" w:cs="Times New Roman"/>
                <w:sz w:val="24"/>
                <w:szCs w:val="24"/>
                <w:lang w:val="en-GB"/>
              </w:rPr>
            </w:pPr>
            <w:r w:rsidRPr="00F76BA3">
              <w:rPr>
                <w:rFonts w:ascii="Times New Roman" w:eastAsia="Calibri" w:hAnsi="Times New Roman" w:cs="Times New Roman"/>
                <w:sz w:val="24"/>
                <w:szCs w:val="24"/>
                <w:lang w:val="en-GB"/>
              </w:rPr>
              <w:t>∆GDP (productivity growth)</w:t>
            </w:r>
          </w:p>
        </w:tc>
        <w:tc>
          <w:tcPr>
            <w:tcW w:w="5733" w:type="dxa"/>
          </w:tcPr>
          <w:p w14:paraId="45D34E3C" w14:textId="77777777" w:rsidR="00B75F05" w:rsidRPr="00F76BA3" w:rsidRDefault="00B75F05" w:rsidP="00C21D6F">
            <w:pPr>
              <w:rPr>
                <w:rFonts w:ascii="Times New Roman" w:eastAsia="Calibri" w:hAnsi="Times New Roman" w:cs="Times New Roman"/>
                <w:sz w:val="24"/>
                <w:szCs w:val="24"/>
                <w:lang w:val="en-GB"/>
              </w:rPr>
            </w:pPr>
            <w:r w:rsidRPr="00F76BA3">
              <w:rPr>
                <w:rFonts w:ascii="Times New Roman" w:eastAsia="Calibri" w:hAnsi="Times New Roman" w:cs="Times New Roman"/>
                <w:sz w:val="24"/>
                <w:szCs w:val="24"/>
                <w:lang w:val="en-GB"/>
              </w:rPr>
              <w:t>The annual percentage change in real gross domestic product</w:t>
            </w:r>
          </w:p>
        </w:tc>
        <w:tc>
          <w:tcPr>
            <w:tcW w:w="992" w:type="dxa"/>
          </w:tcPr>
          <w:p w14:paraId="566D3E6B" w14:textId="77777777" w:rsidR="00B75F05" w:rsidRPr="00F76BA3" w:rsidRDefault="00B75F05" w:rsidP="00C21D6F">
            <w:pPr>
              <w:rPr>
                <w:rFonts w:ascii="Times New Roman" w:eastAsia="Calibri" w:hAnsi="Times New Roman" w:cs="Times New Roman"/>
                <w:b/>
                <w:bCs/>
                <w:sz w:val="24"/>
                <w:szCs w:val="24"/>
                <w:lang w:val="en-GB"/>
              </w:rPr>
            </w:pPr>
            <w:r w:rsidRPr="00F76BA3">
              <w:rPr>
                <w:rFonts w:ascii="Times New Roman" w:eastAsia="Calibri" w:hAnsi="Times New Roman" w:cs="Times New Roman"/>
                <w:b/>
                <w:bCs/>
                <w:sz w:val="24"/>
                <w:szCs w:val="24"/>
                <w:lang w:val="en-GB"/>
              </w:rPr>
              <w:t>+ve/-ve</w:t>
            </w:r>
          </w:p>
        </w:tc>
      </w:tr>
      <w:tr w:rsidR="00B75F05" w:rsidRPr="00AE4953" w14:paraId="4F377406" w14:textId="77777777" w:rsidTr="00C21D6F">
        <w:tc>
          <w:tcPr>
            <w:tcW w:w="2030" w:type="dxa"/>
          </w:tcPr>
          <w:p w14:paraId="0578605E" w14:textId="77777777" w:rsidR="00B75F05" w:rsidRPr="00AE4953" w:rsidRDefault="00B75F05" w:rsidP="00C21D6F">
            <w:pPr>
              <w:rPr>
                <w:rFonts w:ascii="Times New Roman" w:eastAsia="Calibri" w:hAnsi="Times New Roman" w:cs="Times New Roman"/>
                <w:sz w:val="24"/>
                <w:szCs w:val="24"/>
                <w:lang w:val="en-GB"/>
              </w:rPr>
            </w:pPr>
            <w:r w:rsidRPr="00AE4953">
              <w:rPr>
                <w:rFonts w:ascii="Times New Roman" w:eastAsia="Calibri" w:hAnsi="Times New Roman" w:cs="Times New Roman"/>
                <w:sz w:val="24"/>
                <w:szCs w:val="24"/>
                <w:lang w:val="en-GB"/>
              </w:rPr>
              <w:t>INF (Inflation )</w:t>
            </w:r>
          </w:p>
        </w:tc>
        <w:tc>
          <w:tcPr>
            <w:tcW w:w="5733" w:type="dxa"/>
          </w:tcPr>
          <w:p w14:paraId="7615A533" w14:textId="77777777" w:rsidR="00B75F05" w:rsidRPr="00AE4953" w:rsidRDefault="00B75F05" w:rsidP="00C21D6F">
            <w:pPr>
              <w:rPr>
                <w:rFonts w:ascii="Times New Roman" w:eastAsia="Calibri" w:hAnsi="Times New Roman" w:cs="Times New Roman"/>
                <w:sz w:val="24"/>
                <w:szCs w:val="24"/>
                <w:lang w:val="en-GB"/>
              </w:rPr>
            </w:pPr>
            <w:r w:rsidRPr="00AE4953">
              <w:rPr>
                <w:rFonts w:ascii="Times New Roman" w:eastAsia="Calibri" w:hAnsi="Times New Roman" w:cs="Times New Roman"/>
                <w:sz w:val="24"/>
                <w:szCs w:val="24"/>
                <w:lang w:val="en-GB"/>
              </w:rPr>
              <w:t>Growth rate in consumer price index</w:t>
            </w:r>
          </w:p>
        </w:tc>
        <w:tc>
          <w:tcPr>
            <w:tcW w:w="992" w:type="dxa"/>
          </w:tcPr>
          <w:p w14:paraId="376F986E" w14:textId="77777777" w:rsidR="00B75F05" w:rsidRPr="00AE4953" w:rsidRDefault="00B75F05" w:rsidP="00C21D6F">
            <w:pPr>
              <w:rPr>
                <w:rFonts w:ascii="Times New Roman" w:eastAsia="Calibri" w:hAnsi="Times New Roman" w:cs="Times New Roman"/>
                <w:b/>
                <w:bCs/>
                <w:sz w:val="24"/>
                <w:szCs w:val="24"/>
                <w:lang w:val="en-GB"/>
              </w:rPr>
            </w:pPr>
            <w:r w:rsidRPr="00AE4953">
              <w:rPr>
                <w:rFonts w:ascii="Times New Roman" w:eastAsia="Calibri" w:hAnsi="Times New Roman" w:cs="Times New Roman"/>
                <w:b/>
                <w:bCs/>
                <w:sz w:val="24"/>
                <w:szCs w:val="24"/>
                <w:lang w:val="en-GB"/>
              </w:rPr>
              <w:t>+ve/-ve</w:t>
            </w:r>
          </w:p>
        </w:tc>
      </w:tr>
    </w:tbl>
    <w:p w14:paraId="1D6AEFA3" w14:textId="77777777" w:rsidR="00B75F05" w:rsidRPr="00AE4953" w:rsidRDefault="00B75F05" w:rsidP="00B75F05">
      <w:pPr>
        <w:rPr>
          <w:rFonts w:ascii="Times New Roman" w:hAnsi="Times New Roman" w:cs="Times New Roman"/>
          <w:sz w:val="24"/>
          <w:szCs w:val="24"/>
          <w:lang w:val="en-GB"/>
        </w:rPr>
      </w:pPr>
    </w:p>
    <w:p w14:paraId="2A77F172" w14:textId="77777777" w:rsidR="00B75F05" w:rsidRPr="00AE4953" w:rsidRDefault="00B75F05" w:rsidP="00B75F05">
      <w:pPr>
        <w:spacing w:before="240" w:line="480" w:lineRule="auto"/>
        <w:ind w:hanging="567"/>
        <w:contextualSpacing/>
        <w:rPr>
          <w:rFonts w:ascii="Times New Roman" w:hAnsi="Times New Roman" w:cs="Times New Roman"/>
          <w:sz w:val="24"/>
          <w:szCs w:val="24"/>
        </w:rPr>
      </w:pPr>
    </w:p>
    <w:p w14:paraId="567662DA" w14:textId="77777777" w:rsidR="00B75F05" w:rsidRPr="00AE4953" w:rsidRDefault="00B75F05" w:rsidP="00B75F05">
      <w:pPr>
        <w:spacing w:before="240" w:line="480" w:lineRule="auto"/>
        <w:ind w:hanging="567"/>
        <w:contextualSpacing/>
        <w:rPr>
          <w:rFonts w:ascii="Times New Roman" w:hAnsi="Times New Roman" w:cs="Times New Roman"/>
          <w:sz w:val="24"/>
          <w:szCs w:val="24"/>
        </w:rPr>
      </w:pPr>
    </w:p>
    <w:p w14:paraId="16BB2721" w14:textId="77777777" w:rsidR="00B75F05" w:rsidRPr="00AE4953" w:rsidRDefault="00B75F05" w:rsidP="00B75F05">
      <w:pPr>
        <w:spacing w:before="240" w:line="480" w:lineRule="auto"/>
        <w:ind w:hanging="567"/>
        <w:contextualSpacing/>
        <w:rPr>
          <w:rFonts w:ascii="Times New Roman" w:hAnsi="Times New Roman" w:cs="Times New Roman"/>
          <w:sz w:val="24"/>
          <w:szCs w:val="24"/>
        </w:rPr>
      </w:pPr>
    </w:p>
    <w:p w14:paraId="24D8DFFA" w14:textId="77777777" w:rsidR="00B75F05" w:rsidRPr="00AE4953" w:rsidRDefault="00B75F05" w:rsidP="00B75F05">
      <w:pPr>
        <w:spacing w:before="240" w:line="480" w:lineRule="auto"/>
        <w:ind w:hanging="567"/>
        <w:contextualSpacing/>
        <w:rPr>
          <w:rFonts w:ascii="Times New Roman" w:hAnsi="Times New Roman" w:cs="Times New Roman"/>
          <w:sz w:val="24"/>
          <w:szCs w:val="24"/>
        </w:rPr>
      </w:pPr>
    </w:p>
    <w:p w14:paraId="2F153C22" w14:textId="77777777" w:rsidR="00B75F05" w:rsidRDefault="00B75F05" w:rsidP="00B75F05">
      <w:pPr>
        <w:spacing w:before="240" w:line="480" w:lineRule="auto"/>
        <w:ind w:hanging="567"/>
        <w:contextualSpacing/>
        <w:rPr>
          <w:rFonts w:ascii="Times New Roman" w:hAnsi="Times New Roman" w:cs="Times New Roman"/>
          <w:sz w:val="24"/>
          <w:szCs w:val="24"/>
        </w:rPr>
      </w:pPr>
    </w:p>
    <w:p w14:paraId="5CB0B4AC" w14:textId="77777777" w:rsidR="00B75F05" w:rsidRDefault="00B75F05" w:rsidP="00B75F05">
      <w:pPr>
        <w:spacing w:before="240" w:line="480" w:lineRule="auto"/>
        <w:ind w:hanging="567"/>
        <w:contextualSpacing/>
        <w:rPr>
          <w:rFonts w:ascii="Times New Roman" w:hAnsi="Times New Roman" w:cs="Times New Roman"/>
          <w:sz w:val="24"/>
          <w:szCs w:val="24"/>
        </w:rPr>
      </w:pPr>
    </w:p>
    <w:p w14:paraId="02101FE7" w14:textId="77777777" w:rsidR="00B75F05" w:rsidRDefault="00B75F05" w:rsidP="00B75F05">
      <w:pPr>
        <w:spacing w:before="240" w:line="480" w:lineRule="auto"/>
        <w:ind w:hanging="567"/>
        <w:contextualSpacing/>
        <w:rPr>
          <w:rFonts w:ascii="Times New Roman" w:hAnsi="Times New Roman" w:cs="Times New Roman"/>
          <w:sz w:val="24"/>
          <w:szCs w:val="24"/>
        </w:rPr>
      </w:pPr>
    </w:p>
    <w:p w14:paraId="3FA4863C" w14:textId="77777777" w:rsidR="00B75F05" w:rsidRDefault="00B75F05" w:rsidP="00B75F05">
      <w:pPr>
        <w:spacing w:before="240" w:line="480" w:lineRule="auto"/>
        <w:ind w:hanging="567"/>
        <w:contextualSpacing/>
        <w:rPr>
          <w:rFonts w:ascii="Times New Roman" w:hAnsi="Times New Roman" w:cs="Times New Roman"/>
          <w:sz w:val="24"/>
          <w:szCs w:val="24"/>
        </w:rPr>
      </w:pPr>
    </w:p>
    <w:p w14:paraId="25BE70CF" w14:textId="77777777" w:rsidR="00B75F05" w:rsidRDefault="00B75F05" w:rsidP="00B75F05">
      <w:pPr>
        <w:spacing w:before="240" w:line="480" w:lineRule="auto"/>
        <w:ind w:hanging="567"/>
        <w:contextualSpacing/>
        <w:rPr>
          <w:rFonts w:ascii="Times New Roman" w:hAnsi="Times New Roman" w:cs="Times New Roman"/>
          <w:sz w:val="24"/>
          <w:szCs w:val="24"/>
        </w:rPr>
        <w:sectPr w:rsidR="00B75F05" w:rsidSect="00B75F05">
          <w:pgSz w:w="16838" w:h="11906" w:orient="landscape" w:code="9"/>
          <w:pgMar w:top="1440" w:right="1276" w:bottom="1440" w:left="1440" w:header="709" w:footer="709" w:gutter="0"/>
          <w:pgNumType w:start="1"/>
          <w:cols w:space="708"/>
          <w:titlePg/>
          <w:docGrid w:linePitch="360"/>
        </w:sectPr>
      </w:pPr>
    </w:p>
    <w:p w14:paraId="15FA8AD8" w14:textId="77777777" w:rsidR="00B75F05" w:rsidRPr="00991829" w:rsidRDefault="00B75F05" w:rsidP="00B75F05">
      <w:pPr>
        <w:tabs>
          <w:tab w:val="left" w:pos="602"/>
        </w:tabs>
        <w:spacing w:before="240" w:line="480" w:lineRule="auto"/>
        <w:ind w:hanging="567"/>
        <w:contextualSpacing/>
        <w:rPr>
          <w:rFonts w:ascii="Times New Roman" w:hAnsi="Times New Roman" w:cs="Times New Roman"/>
          <w:b/>
          <w:sz w:val="24"/>
          <w:szCs w:val="24"/>
        </w:rPr>
      </w:pPr>
      <w:r>
        <w:rPr>
          <w:rFonts w:ascii="Times New Roman" w:hAnsi="Times New Roman" w:cs="Times New Roman"/>
          <w:sz w:val="24"/>
          <w:szCs w:val="24"/>
        </w:rPr>
        <w:tab/>
      </w:r>
    </w:p>
    <w:p w14:paraId="47AD4B8C" w14:textId="77777777" w:rsidR="00B75F05" w:rsidRPr="008A7487" w:rsidRDefault="00B75F05" w:rsidP="00B75F05">
      <w:pPr>
        <w:autoSpaceDE w:val="0"/>
        <w:autoSpaceDN w:val="0"/>
        <w:adjustRightInd w:val="0"/>
        <w:spacing w:after="0" w:line="240" w:lineRule="auto"/>
        <w:rPr>
          <w:rFonts w:ascii="Times New Roman" w:hAnsi="Times New Roman" w:cs="Times New Roman"/>
          <w:b/>
          <w:sz w:val="24"/>
          <w:szCs w:val="24"/>
          <w:lang w:val="en-GB"/>
        </w:rPr>
      </w:pPr>
      <w:r>
        <w:rPr>
          <w:rFonts w:ascii="Times New Roman" w:hAnsi="Times New Roman" w:cs="Times New Roman"/>
          <w:b/>
          <w:sz w:val="24"/>
          <w:szCs w:val="24"/>
          <w:lang w:val="en-GB"/>
        </w:rPr>
        <w:t>Table 3</w:t>
      </w:r>
      <w:r w:rsidRPr="008A7487">
        <w:rPr>
          <w:rFonts w:ascii="Times New Roman" w:hAnsi="Times New Roman" w:cs="Times New Roman"/>
          <w:b/>
          <w:sz w:val="24"/>
          <w:szCs w:val="24"/>
          <w:lang w:val="en-GB"/>
        </w:rPr>
        <w:t>: Descriptive statistics</w:t>
      </w:r>
    </w:p>
    <w:tbl>
      <w:tblPr>
        <w:tblW w:w="12460" w:type="dxa"/>
        <w:tblInd w:w="-791" w:type="dxa"/>
        <w:tblLook w:val="04A0" w:firstRow="1" w:lastRow="0" w:firstColumn="1" w:lastColumn="0" w:noHBand="0" w:noVBand="1"/>
      </w:tblPr>
      <w:tblGrid>
        <w:gridCol w:w="1580"/>
        <w:gridCol w:w="1120"/>
        <w:gridCol w:w="1320"/>
        <w:gridCol w:w="1097"/>
        <w:gridCol w:w="1000"/>
        <w:gridCol w:w="1120"/>
        <w:gridCol w:w="1120"/>
        <w:gridCol w:w="1120"/>
        <w:gridCol w:w="1120"/>
        <w:gridCol w:w="980"/>
        <w:gridCol w:w="980"/>
      </w:tblGrid>
      <w:tr w:rsidR="00B75F05" w:rsidRPr="008A7487" w14:paraId="724851BF" w14:textId="77777777" w:rsidTr="00C21D6F">
        <w:trPr>
          <w:trHeight w:val="300"/>
        </w:trPr>
        <w:tc>
          <w:tcPr>
            <w:tcW w:w="1580" w:type="dxa"/>
            <w:tcBorders>
              <w:top w:val="nil"/>
              <w:left w:val="nil"/>
              <w:bottom w:val="nil"/>
              <w:right w:val="nil"/>
            </w:tcBorders>
            <w:shd w:val="clear" w:color="auto" w:fill="auto"/>
            <w:noWrap/>
            <w:vAlign w:val="bottom"/>
            <w:hideMark/>
          </w:tcPr>
          <w:p w14:paraId="5E3813D9" w14:textId="77777777" w:rsidR="00B75F05" w:rsidRPr="008A7487" w:rsidRDefault="00B75F05" w:rsidP="00C21D6F">
            <w:pPr>
              <w:spacing w:after="0" w:line="240" w:lineRule="auto"/>
              <w:rPr>
                <w:rFonts w:ascii="Times New Roman" w:eastAsia="Times New Roman" w:hAnsi="Times New Roman" w:cs="Times New Roman"/>
                <w:color w:val="000000"/>
                <w:sz w:val="24"/>
                <w:szCs w:val="24"/>
                <w:lang w:val="en-GB" w:eastAsia="en-GB"/>
              </w:rPr>
            </w:pPr>
          </w:p>
        </w:tc>
        <w:tc>
          <w:tcPr>
            <w:tcW w:w="1120" w:type="dxa"/>
            <w:tcBorders>
              <w:top w:val="nil"/>
              <w:left w:val="nil"/>
              <w:bottom w:val="nil"/>
              <w:right w:val="nil"/>
            </w:tcBorders>
            <w:shd w:val="clear" w:color="auto" w:fill="auto"/>
            <w:noWrap/>
            <w:vAlign w:val="bottom"/>
            <w:hideMark/>
          </w:tcPr>
          <w:p w14:paraId="285E4B71" w14:textId="77777777" w:rsidR="00B75F05" w:rsidRPr="008A7487" w:rsidRDefault="00B75F05" w:rsidP="00C21D6F">
            <w:pPr>
              <w:spacing w:after="0" w:line="240" w:lineRule="auto"/>
              <w:jc w:val="center"/>
              <w:rPr>
                <w:rFonts w:ascii="Times New Roman" w:eastAsia="Times New Roman" w:hAnsi="Times New Roman" w:cs="Times New Roman"/>
                <w:b/>
                <w:bCs/>
                <w:color w:val="000000"/>
                <w:sz w:val="24"/>
                <w:szCs w:val="24"/>
                <w:lang w:val="en-GB" w:eastAsia="en-GB"/>
              </w:rPr>
            </w:pPr>
            <w:r w:rsidRPr="008A7487">
              <w:rPr>
                <w:rFonts w:ascii="Times New Roman" w:eastAsia="Times New Roman" w:hAnsi="Times New Roman" w:cs="Times New Roman"/>
                <w:b/>
                <w:bCs/>
                <w:color w:val="000000"/>
                <w:sz w:val="24"/>
                <w:szCs w:val="24"/>
                <w:lang w:val="en-GB" w:eastAsia="en-GB"/>
              </w:rPr>
              <w:t xml:space="preserve">          ROA</w:t>
            </w:r>
          </w:p>
        </w:tc>
        <w:tc>
          <w:tcPr>
            <w:tcW w:w="1320" w:type="dxa"/>
            <w:tcBorders>
              <w:top w:val="nil"/>
              <w:left w:val="nil"/>
              <w:bottom w:val="nil"/>
              <w:right w:val="nil"/>
            </w:tcBorders>
            <w:shd w:val="clear" w:color="auto" w:fill="auto"/>
            <w:noWrap/>
            <w:vAlign w:val="bottom"/>
            <w:hideMark/>
          </w:tcPr>
          <w:p w14:paraId="4480FF33" w14:textId="77777777" w:rsidR="00B75F05" w:rsidRPr="008A7487" w:rsidRDefault="00B75F05" w:rsidP="00C21D6F">
            <w:pPr>
              <w:spacing w:after="0" w:line="240" w:lineRule="auto"/>
              <w:jc w:val="center"/>
              <w:rPr>
                <w:rFonts w:ascii="Times New Roman" w:eastAsia="Times New Roman" w:hAnsi="Times New Roman" w:cs="Times New Roman"/>
                <w:b/>
                <w:bCs/>
                <w:color w:val="000000"/>
                <w:sz w:val="24"/>
                <w:szCs w:val="24"/>
                <w:lang w:val="en-GB" w:eastAsia="en-GB"/>
              </w:rPr>
            </w:pPr>
            <w:r w:rsidRPr="008A7487">
              <w:rPr>
                <w:rFonts w:ascii="Times New Roman" w:eastAsia="Times New Roman" w:hAnsi="Times New Roman" w:cs="Times New Roman"/>
                <w:b/>
                <w:bCs/>
                <w:color w:val="000000"/>
                <w:sz w:val="24"/>
                <w:szCs w:val="24"/>
                <w:lang w:val="en-GB" w:eastAsia="en-GB"/>
              </w:rPr>
              <w:t xml:space="preserve">                NIM</w:t>
            </w:r>
          </w:p>
        </w:tc>
        <w:tc>
          <w:tcPr>
            <w:tcW w:w="1000" w:type="dxa"/>
            <w:tcBorders>
              <w:top w:val="nil"/>
              <w:left w:val="nil"/>
              <w:bottom w:val="nil"/>
              <w:right w:val="nil"/>
            </w:tcBorders>
            <w:shd w:val="clear" w:color="auto" w:fill="auto"/>
            <w:noWrap/>
            <w:vAlign w:val="bottom"/>
            <w:hideMark/>
          </w:tcPr>
          <w:p w14:paraId="23CB1681" w14:textId="77777777" w:rsidR="00B75F05" w:rsidRPr="008A7487" w:rsidRDefault="00B75F05" w:rsidP="00C21D6F">
            <w:pPr>
              <w:spacing w:after="0" w:line="240" w:lineRule="auto"/>
              <w:jc w:val="center"/>
              <w:rPr>
                <w:rFonts w:ascii="Times New Roman" w:eastAsia="Times New Roman" w:hAnsi="Times New Roman" w:cs="Times New Roman"/>
                <w:b/>
                <w:bCs/>
                <w:color w:val="000000"/>
                <w:sz w:val="24"/>
                <w:szCs w:val="24"/>
                <w:lang w:val="en-GB" w:eastAsia="en-GB"/>
              </w:rPr>
            </w:pPr>
            <w:r w:rsidRPr="008A7487">
              <w:rPr>
                <w:rFonts w:ascii="Times New Roman" w:eastAsia="Times New Roman" w:hAnsi="Times New Roman" w:cs="Times New Roman"/>
                <w:b/>
                <w:bCs/>
                <w:color w:val="000000"/>
                <w:sz w:val="24"/>
                <w:szCs w:val="24"/>
                <w:lang w:val="en-GB" w:eastAsia="en-GB"/>
              </w:rPr>
              <w:t xml:space="preserve">      LNSIZE</w:t>
            </w:r>
          </w:p>
        </w:tc>
        <w:tc>
          <w:tcPr>
            <w:tcW w:w="1000" w:type="dxa"/>
            <w:tcBorders>
              <w:top w:val="nil"/>
              <w:left w:val="nil"/>
              <w:bottom w:val="nil"/>
              <w:right w:val="nil"/>
            </w:tcBorders>
            <w:shd w:val="clear" w:color="auto" w:fill="auto"/>
            <w:noWrap/>
            <w:vAlign w:val="bottom"/>
            <w:hideMark/>
          </w:tcPr>
          <w:p w14:paraId="412B1793" w14:textId="77777777" w:rsidR="00B75F05" w:rsidRPr="008A7487" w:rsidRDefault="00B75F05" w:rsidP="00C21D6F">
            <w:pPr>
              <w:spacing w:after="0" w:line="240" w:lineRule="auto"/>
              <w:jc w:val="center"/>
              <w:rPr>
                <w:rFonts w:ascii="Times New Roman" w:eastAsia="Times New Roman" w:hAnsi="Times New Roman" w:cs="Times New Roman"/>
                <w:b/>
                <w:bCs/>
                <w:color w:val="000000"/>
                <w:sz w:val="24"/>
                <w:szCs w:val="24"/>
                <w:lang w:val="en-GB" w:eastAsia="en-GB"/>
              </w:rPr>
            </w:pPr>
            <w:r w:rsidRPr="008A7487">
              <w:rPr>
                <w:rFonts w:ascii="Times New Roman" w:eastAsia="Times New Roman" w:hAnsi="Times New Roman" w:cs="Times New Roman"/>
                <w:b/>
                <w:bCs/>
                <w:color w:val="000000"/>
                <w:sz w:val="24"/>
                <w:szCs w:val="24"/>
                <w:lang w:val="en-GB" w:eastAsia="en-GB"/>
              </w:rPr>
              <w:t xml:space="preserve">         CAP</w:t>
            </w:r>
          </w:p>
        </w:tc>
        <w:tc>
          <w:tcPr>
            <w:tcW w:w="1120" w:type="dxa"/>
            <w:tcBorders>
              <w:top w:val="nil"/>
              <w:left w:val="nil"/>
              <w:bottom w:val="nil"/>
              <w:right w:val="nil"/>
            </w:tcBorders>
            <w:shd w:val="clear" w:color="auto" w:fill="auto"/>
            <w:noWrap/>
            <w:vAlign w:val="bottom"/>
            <w:hideMark/>
          </w:tcPr>
          <w:p w14:paraId="2D342B89" w14:textId="77777777" w:rsidR="00B75F05" w:rsidRPr="008A7487" w:rsidRDefault="00B75F05" w:rsidP="00C21D6F">
            <w:pPr>
              <w:spacing w:after="0" w:line="240" w:lineRule="auto"/>
              <w:jc w:val="center"/>
              <w:rPr>
                <w:rFonts w:ascii="Times New Roman" w:eastAsia="Times New Roman" w:hAnsi="Times New Roman" w:cs="Times New Roman"/>
                <w:b/>
                <w:bCs/>
                <w:color w:val="000000"/>
                <w:sz w:val="24"/>
                <w:szCs w:val="24"/>
                <w:lang w:val="en-GB" w:eastAsia="en-GB"/>
              </w:rPr>
            </w:pPr>
            <w:r w:rsidRPr="008A7487">
              <w:rPr>
                <w:rFonts w:ascii="Times New Roman" w:eastAsia="Times New Roman" w:hAnsi="Times New Roman" w:cs="Times New Roman"/>
                <w:b/>
                <w:bCs/>
                <w:color w:val="000000"/>
                <w:sz w:val="24"/>
                <w:szCs w:val="24"/>
                <w:lang w:val="en-GB" w:eastAsia="en-GB"/>
              </w:rPr>
              <w:t xml:space="preserve">        CR</w:t>
            </w:r>
          </w:p>
        </w:tc>
        <w:tc>
          <w:tcPr>
            <w:tcW w:w="1120" w:type="dxa"/>
            <w:tcBorders>
              <w:top w:val="nil"/>
              <w:left w:val="nil"/>
              <w:bottom w:val="nil"/>
              <w:right w:val="nil"/>
            </w:tcBorders>
            <w:shd w:val="clear" w:color="auto" w:fill="auto"/>
            <w:noWrap/>
            <w:vAlign w:val="bottom"/>
            <w:hideMark/>
          </w:tcPr>
          <w:p w14:paraId="4576E509" w14:textId="77777777" w:rsidR="00B75F05" w:rsidRPr="008A7487" w:rsidRDefault="00B75F05" w:rsidP="00C21D6F">
            <w:pPr>
              <w:spacing w:after="0" w:line="240" w:lineRule="auto"/>
              <w:jc w:val="center"/>
              <w:rPr>
                <w:rFonts w:ascii="Times New Roman" w:eastAsia="Times New Roman" w:hAnsi="Times New Roman" w:cs="Times New Roman"/>
                <w:b/>
                <w:bCs/>
                <w:color w:val="000000"/>
                <w:sz w:val="24"/>
                <w:szCs w:val="24"/>
                <w:lang w:val="en-GB" w:eastAsia="en-GB"/>
              </w:rPr>
            </w:pPr>
            <w:r w:rsidRPr="008A7487">
              <w:rPr>
                <w:rFonts w:ascii="Times New Roman" w:eastAsia="Times New Roman" w:hAnsi="Times New Roman" w:cs="Times New Roman"/>
                <w:b/>
                <w:bCs/>
                <w:color w:val="000000"/>
                <w:sz w:val="24"/>
                <w:szCs w:val="24"/>
                <w:lang w:val="en-GB" w:eastAsia="en-GB"/>
              </w:rPr>
              <w:t xml:space="preserve">      CM</w:t>
            </w:r>
          </w:p>
        </w:tc>
        <w:tc>
          <w:tcPr>
            <w:tcW w:w="1120" w:type="dxa"/>
            <w:tcBorders>
              <w:top w:val="nil"/>
              <w:left w:val="nil"/>
              <w:bottom w:val="nil"/>
              <w:right w:val="nil"/>
            </w:tcBorders>
            <w:shd w:val="clear" w:color="auto" w:fill="auto"/>
            <w:noWrap/>
            <w:vAlign w:val="bottom"/>
            <w:hideMark/>
          </w:tcPr>
          <w:p w14:paraId="7D3D61EF" w14:textId="77777777" w:rsidR="00B75F05" w:rsidRPr="008A7487" w:rsidRDefault="00B75F05" w:rsidP="00C21D6F">
            <w:pPr>
              <w:spacing w:after="0" w:line="240" w:lineRule="auto"/>
              <w:jc w:val="center"/>
              <w:rPr>
                <w:rFonts w:ascii="Times New Roman" w:eastAsia="Times New Roman" w:hAnsi="Times New Roman" w:cs="Times New Roman"/>
                <w:b/>
                <w:bCs/>
                <w:color w:val="000000"/>
                <w:sz w:val="24"/>
                <w:szCs w:val="24"/>
                <w:lang w:val="en-GB" w:eastAsia="en-GB"/>
              </w:rPr>
            </w:pPr>
            <w:r w:rsidRPr="008A7487">
              <w:rPr>
                <w:rFonts w:ascii="Times New Roman" w:eastAsia="Times New Roman" w:hAnsi="Times New Roman" w:cs="Times New Roman"/>
                <w:b/>
                <w:bCs/>
                <w:color w:val="000000"/>
                <w:sz w:val="24"/>
                <w:szCs w:val="24"/>
                <w:lang w:val="en-GB" w:eastAsia="en-GB"/>
              </w:rPr>
              <w:t xml:space="preserve">       LQ</w:t>
            </w:r>
          </w:p>
        </w:tc>
        <w:tc>
          <w:tcPr>
            <w:tcW w:w="1120" w:type="dxa"/>
            <w:tcBorders>
              <w:top w:val="nil"/>
              <w:left w:val="nil"/>
              <w:bottom w:val="nil"/>
              <w:right w:val="nil"/>
            </w:tcBorders>
            <w:shd w:val="clear" w:color="auto" w:fill="auto"/>
            <w:noWrap/>
            <w:vAlign w:val="bottom"/>
            <w:hideMark/>
          </w:tcPr>
          <w:p w14:paraId="36E2FB98" w14:textId="77777777" w:rsidR="00B75F05" w:rsidRPr="008A7487" w:rsidRDefault="00B75F05" w:rsidP="00C21D6F">
            <w:pPr>
              <w:spacing w:after="0" w:line="240" w:lineRule="auto"/>
              <w:jc w:val="center"/>
              <w:rPr>
                <w:rFonts w:ascii="Times New Roman" w:eastAsia="Times New Roman" w:hAnsi="Times New Roman" w:cs="Times New Roman"/>
                <w:b/>
                <w:bCs/>
                <w:color w:val="000000"/>
                <w:sz w:val="24"/>
                <w:szCs w:val="24"/>
                <w:lang w:val="en-GB" w:eastAsia="en-GB"/>
              </w:rPr>
            </w:pPr>
            <w:r w:rsidRPr="008A7487">
              <w:rPr>
                <w:rFonts w:ascii="Times New Roman" w:eastAsia="Times New Roman" w:hAnsi="Times New Roman" w:cs="Times New Roman"/>
                <w:b/>
                <w:bCs/>
                <w:color w:val="000000"/>
                <w:sz w:val="24"/>
                <w:szCs w:val="24"/>
                <w:lang w:val="en-GB" w:eastAsia="en-GB"/>
              </w:rPr>
              <w:t xml:space="preserve">      MP</w:t>
            </w:r>
          </w:p>
        </w:tc>
        <w:tc>
          <w:tcPr>
            <w:tcW w:w="980" w:type="dxa"/>
            <w:tcBorders>
              <w:top w:val="nil"/>
              <w:left w:val="nil"/>
              <w:bottom w:val="nil"/>
              <w:right w:val="nil"/>
            </w:tcBorders>
            <w:shd w:val="clear" w:color="auto" w:fill="auto"/>
            <w:noWrap/>
            <w:vAlign w:val="bottom"/>
            <w:hideMark/>
          </w:tcPr>
          <w:p w14:paraId="3CDAD41B" w14:textId="77777777" w:rsidR="00B75F05" w:rsidRPr="008A7487" w:rsidRDefault="00B75F05" w:rsidP="00C21D6F">
            <w:pPr>
              <w:spacing w:after="0" w:line="240" w:lineRule="auto"/>
              <w:jc w:val="center"/>
              <w:rPr>
                <w:rFonts w:ascii="Times New Roman" w:eastAsia="Times New Roman" w:hAnsi="Times New Roman" w:cs="Times New Roman"/>
                <w:b/>
                <w:bCs/>
                <w:color w:val="000000"/>
                <w:sz w:val="24"/>
                <w:szCs w:val="24"/>
                <w:lang w:val="en-GB" w:eastAsia="en-GB"/>
              </w:rPr>
            </w:pPr>
            <w:r w:rsidRPr="008A7487">
              <w:rPr>
                <w:rFonts w:ascii="Times New Roman" w:hAnsi="Times New Roman" w:cs="Times New Roman"/>
                <w:b/>
                <w:i/>
                <w:color w:val="000000"/>
                <w:sz w:val="24"/>
                <w:szCs w:val="24"/>
                <w:lang w:val="en-GB"/>
              </w:rPr>
              <w:t>ΔGDP</w:t>
            </w:r>
          </w:p>
        </w:tc>
        <w:tc>
          <w:tcPr>
            <w:tcW w:w="980" w:type="dxa"/>
            <w:tcBorders>
              <w:top w:val="nil"/>
              <w:left w:val="nil"/>
              <w:bottom w:val="nil"/>
              <w:right w:val="nil"/>
            </w:tcBorders>
            <w:shd w:val="clear" w:color="auto" w:fill="auto"/>
            <w:noWrap/>
            <w:vAlign w:val="bottom"/>
            <w:hideMark/>
          </w:tcPr>
          <w:p w14:paraId="3207DA23" w14:textId="77777777" w:rsidR="00B75F05" w:rsidRPr="008A7487" w:rsidRDefault="00B75F05" w:rsidP="00C21D6F">
            <w:pPr>
              <w:spacing w:after="0" w:line="240" w:lineRule="auto"/>
              <w:jc w:val="center"/>
              <w:rPr>
                <w:rFonts w:ascii="Times New Roman" w:eastAsia="Times New Roman" w:hAnsi="Times New Roman" w:cs="Times New Roman"/>
                <w:b/>
                <w:bCs/>
                <w:color w:val="000000"/>
                <w:sz w:val="24"/>
                <w:szCs w:val="24"/>
                <w:lang w:val="en-GB" w:eastAsia="en-GB"/>
              </w:rPr>
            </w:pPr>
            <w:r w:rsidRPr="008A7487">
              <w:rPr>
                <w:rFonts w:ascii="Times New Roman" w:eastAsia="Times New Roman" w:hAnsi="Times New Roman" w:cs="Times New Roman"/>
                <w:b/>
                <w:bCs/>
                <w:color w:val="000000"/>
                <w:sz w:val="24"/>
                <w:szCs w:val="24"/>
                <w:lang w:val="en-GB" w:eastAsia="en-GB"/>
              </w:rPr>
              <w:t xml:space="preserve">       INF</w:t>
            </w:r>
          </w:p>
        </w:tc>
      </w:tr>
      <w:tr w:rsidR="00B75F05" w:rsidRPr="008A7487" w14:paraId="4FC83987" w14:textId="77777777" w:rsidTr="00C21D6F">
        <w:trPr>
          <w:trHeight w:val="300"/>
        </w:trPr>
        <w:tc>
          <w:tcPr>
            <w:tcW w:w="1580" w:type="dxa"/>
            <w:tcBorders>
              <w:top w:val="nil"/>
              <w:left w:val="nil"/>
              <w:bottom w:val="nil"/>
              <w:right w:val="nil"/>
            </w:tcBorders>
            <w:shd w:val="clear" w:color="auto" w:fill="auto"/>
            <w:noWrap/>
            <w:vAlign w:val="bottom"/>
            <w:hideMark/>
          </w:tcPr>
          <w:p w14:paraId="5B74EED7" w14:textId="77777777" w:rsidR="00B75F05" w:rsidRPr="008A7487" w:rsidRDefault="00B75F05" w:rsidP="00C21D6F">
            <w:pPr>
              <w:spacing w:after="0" w:line="240" w:lineRule="auto"/>
              <w:rPr>
                <w:rFonts w:ascii="Times New Roman" w:eastAsia="Times New Roman" w:hAnsi="Times New Roman" w:cs="Times New Roman"/>
                <w:b/>
                <w:color w:val="000000"/>
                <w:sz w:val="24"/>
                <w:szCs w:val="24"/>
                <w:lang w:val="en-GB" w:eastAsia="en-GB"/>
              </w:rPr>
            </w:pPr>
            <w:r w:rsidRPr="008A7487">
              <w:rPr>
                <w:rFonts w:ascii="Times New Roman" w:eastAsia="Times New Roman" w:hAnsi="Times New Roman" w:cs="Times New Roman"/>
                <w:b/>
                <w:color w:val="000000"/>
                <w:sz w:val="24"/>
                <w:szCs w:val="24"/>
                <w:lang w:val="en-GB" w:eastAsia="en-GB"/>
              </w:rPr>
              <w:t xml:space="preserve"> Mean</w:t>
            </w:r>
          </w:p>
        </w:tc>
        <w:tc>
          <w:tcPr>
            <w:tcW w:w="1120" w:type="dxa"/>
            <w:tcBorders>
              <w:top w:val="nil"/>
              <w:left w:val="nil"/>
              <w:bottom w:val="nil"/>
              <w:right w:val="nil"/>
            </w:tcBorders>
            <w:shd w:val="clear" w:color="auto" w:fill="auto"/>
            <w:noWrap/>
            <w:vAlign w:val="bottom"/>
            <w:hideMark/>
          </w:tcPr>
          <w:p w14:paraId="2FFBA205" w14:textId="77777777" w:rsidR="00B75F05" w:rsidRPr="008A7487" w:rsidRDefault="00B75F05" w:rsidP="00C21D6F">
            <w:pPr>
              <w:spacing w:after="0" w:line="240" w:lineRule="auto"/>
              <w:jc w:val="right"/>
              <w:rPr>
                <w:rFonts w:ascii="Times New Roman" w:eastAsia="Times New Roman" w:hAnsi="Times New Roman" w:cs="Times New Roman"/>
                <w:color w:val="000000"/>
                <w:sz w:val="24"/>
                <w:szCs w:val="24"/>
                <w:lang w:val="en-GB" w:eastAsia="en-GB"/>
              </w:rPr>
            </w:pPr>
            <w:r w:rsidRPr="008A7487">
              <w:rPr>
                <w:rFonts w:ascii="Times New Roman" w:eastAsia="Times New Roman" w:hAnsi="Times New Roman" w:cs="Times New Roman"/>
                <w:color w:val="000000"/>
                <w:sz w:val="24"/>
                <w:szCs w:val="24"/>
                <w:lang w:val="en-GB" w:eastAsia="en-GB"/>
              </w:rPr>
              <w:t>3.36</w:t>
            </w:r>
          </w:p>
        </w:tc>
        <w:tc>
          <w:tcPr>
            <w:tcW w:w="1320" w:type="dxa"/>
            <w:tcBorders>
              <w:top w:val="nil"/>
              <w:left w:val="nil"/>
              <w:bottom w:val="nil"/>
              <w:right w:val="nil"/>
            </w:tcBorders>
            <w:shd w:val="clear" w:color="auto" w:fill="auto"/>
            <w:noWrap/>
            <w:vAlign w:val="bottom"/>
            <w:hideMark/>
          </w:tcPr>
          <w:p w14:paraId="63837394" w14:textId="77777777" w:rsidR="00B75F05" w:rsidRPr="008A7487" w:rsidRDefault="00B75F05" w:rsidP="00C21D6F">
            <w:pPr>
              <w:spacing w:after="0" w:line="240" w:lineRule="auto"/>
              <w:jc w:val="right"/>
              <w:rPr>
                <w:rFonts w:ascii="Times New Roman" w:eastAsia="Times New Roman" w:hAnsi="Times New Roman" w:cs="Times New Roman"/>
                <w:color w:val="000000"/>
                <w:sz w:val="24"/>
                <w:szCs w:val="24"/>
                <w:lang w:val="en-GB" w:eastAsia="en-GB"/>
              </w:rPr>
            </w:pPr>
            <w:r w:rsidRPr="008A7487">
              <w:rPr>
                <w:rFonts w:ascii="Times New Roman" w:eastAsia="Times New Roman" w:hAnsi="Times New Roman" w:cs="Times New Roman"/>
                <w:color w:val="000000"/>
                <w:sz w:val="24"/>
                <w:szCs w:val="24"/>
                <w:lang w:val="en-GB" w:eastAsia="en-GB"/>
              </w:rPr>
              <w:t>6.74</w:t>
            </w:r>
          </w:p>
        </w:tc>
        <w:tc>
          <w:tcPr>
            <w:tcW w:w="1000" w:type="dxa"/>
            <w:tcBorders>
              <w:top w:val="nil"/>
              <w:left w:val="nil"/>
              <w:bottom w:val="nil"/>
              <w:right w:val="nil"/>
            </w:tcBorders>
            <w:shd w:val="clear" w:color="auto" w:fill="auto"/>
            <w:noWrap/>
            <w:vAlign w:val="bottom"/>
            <w:hideMark/>
          </w:tcPr>
          <w:p w14:paraId="44F5E5D5" w14:textId="77777777" w:rsidR="00B75F05" w:rsidRPr="008A7487" w:rsidRDefault="00B75F05" w:rsidP="00C21D6F">
            <w:pPr>
              <w:spacing w:after="0" w:line="240" w:lineRule="auto"/>
              <w:jc w:val="right"/>
              <w:rPr>
                <w:rFonts w:ascii="Times New Roman" w:eastAsia="Times New Roman" w:hAnsi="Times New Roman" w:cs="Times New Roman"/>
                <w:color w:val="000000"/>
                <w:sz w:val="24"/>
                <w:szCs w:val="24"/>
                <w:lang w:val="en-GB" w:eastAsia="en-GB"/>
              </w:rPr>
            </w:pPr>
            <w:r w:rsidRPr="008A7487">
              <w:rPr>
                <w:rFonts w:ascii="Times New Roman" w:eastAsia="Times New Roman" w:hAnsi="Times New Roman" w:cs="Times New Roman"/>
                <w:color w:val="000000"/>
                <w:sz w:val="24"/>
                <w:szCs w:val="24"/>
                <w:lang w:val="en-GB" w:eastAsia="en-GB"/>
              </w:rPr>
              <w:t>10.99</w:t>
            </w:r>
          </w:p>
        </w:tc>
        <w:tc>
          <w:tcPr>
            <w:tcW w:w="1000" w:type="dxa"/>
            <w:tcBorders>
              <w:top w:val="nil"/>
              <w:left w:val="nil"/>
              <w:bottom w:val="nil"/>
              <w:right w:val="nil"/>
            </w:tcBorders>
            <w:shd w:val="clear" w:color="auto" w:fill="auto"/>
            <w:noWrap/>
            <w:vAlign w:val="bottom"/>
            <w:hideMark/>
          </w:tcPr>
          <w:p w14:paraId="287EF9E4" w14:textId="77777777" w:rsidR="00B75F05" w:rsidRPr="008A7487" w:rsidRDefault="00B75F05" w:rsidP="00C21D6F">
            <w:pPr>
              <w:spacing w:after="0" w:line="240" w:lineRule="auto"/>
              <w:jc w:val="right"/>
              <w:rPr>
                <w:rFonts w:ascii="Times New Roman" w:eastAsia="Times New Roman" w:hAnsi="Times New Roman" w:cs="Times New Roman"/>
                <w:color w:val="000000"/>
                <w:sz w:val="24"/>
                <w:szCs w:val="24"/>
                <w:lang w:val="en-GB" w:eastAsia="en-GB"/>
              </w:rPr>
            </w:pPr>
            <w:r w:rsidRPr="008A7487">
              <w:rPr>
                <w:rFonts w:ascii="Times New Roman" w:eastAsia="Times New Roman" w:hAnsi="Times New Roman" w:cs="Times New Roman"/>
                <w:color w:val="000000"/>
                <w:sz w:val="24"/>
                <w:szCs w:val="24"/>
                <w:lang w:val="en-GB" w:eastAsia="en-GB"/>
              </w:rPr>
              <w:t>6.23</w:t>
            </w:r>
          </w:p>
        </w:tc>
        <w:tc>
          <w:tcPr>
            <w:tcW w:w="1120" w:type="dxa"/>
            <w:tcBorders>
              <w:top w:val="nil"/>
              <w:left w:val="nil"/>
              <w:bottom w:val="nil"/>
              <w:right w:val="nil"/>
            </w:tcBorders>
            <w:shd w:val="clear" w:color="auto" w:fill="auto"/>
            <w:noWrap/>
            <w:vAlign w:val="bottom"/>
            <w:hideMark/>
          </w:tcPr>
          <w:p w14:paraId="2A456DAE" w14:textId="77777777" w:rsidR="00B75F05" w:rsidRPr="008A7487" w:rsidRDefault="00B75F05" w:rsidP="00C21D6F">
            <w:pPr>
              <w:spacing w:after="0" w:line="240" w:lineRule="auto"/>
              <w:jc w:val="right"/>
              <w:rPr>
                <w:rFonts w:ascii="Times New Roman" w:eastAsia="Times New Roman" w:hAnsi="Times New Roman" w:cs="Times New Roman"/>
                <w:color w:val="000000"/>
                <w:sz w:val="24"/>
                <w:szCs w:val="24"/>
                <w:lang w:val="en-GB" w:eastAsia="en-GB"/>
              </w:rPr>
            </w:pPr>
            <w:r w:rsidRPr="008A7487">
              <w:rPr>
                <w:rFonts w:ascii="Times New Roman" w:eastAsia="Times New Roman" w:hAnsi="Times New Roman" w:cs="Times New Roman"/>
                <w:color w:val="000000"/>
                <w:sz w:val="24"/>
                <w:szCs w:val="24"/>
                <w:lang w:val="en-GB" w:eastAsia="en-GB"/>
              </w:rPr>
              <w:t>30.94</w:t>
            </w:r>
          </w:p>
        </w:tc>
        <w:tc>
          <w:tcPr>
            <w:tcW w:w="1120" w:type="dxa"/>
            <w:tcBorders>
              <w:top w:val="nil"/>
              <w:left w:val="nil"/>
              <w:bottom w:val="nil"/>
              <w:right w:val="nil"/>
            </w:tcBorders>
            <w:shd w:val="clear" w:color="auto" w:fill="auto"/>
            <w:noWrap/>
            <w:vAlign w:val="bottom"/>
            <w:hideMark/>
          </w:tcPr>
          <w:p w14:paraId="448D7B7C" w14:textId="77777777" w:rsidR="00B75F05" w:rsidRPr="008A7487" w:rsidRDefault="00B75F05" w:rsidP="00C21D6F">
            <w:pPr>
              <w:spacing w:after="0" w:line="240" w:lineRule="auto"/>
              <w:jc w:val="right"/>
              <w:rPr>
                <w:rFonts w:ascii="Times New Roman" w:eastAsia="Times New Roman" w:hAnsi="Times New Roman" w:cs="Times New Roman"/>
                <w:color w:val="000000"/>
                <w:sz w:val="24"/>
                <w:szCs w:val="24"/>
                <w:lang w:val="en-GB" w:eastAsia="en-GB"/>
              </w:rPr>
            </w:pPr>
            <w:r w:rsidRPr="008A7487">
              <w:rPr>
                <w:rFonts w:ascii="Times New Roman" w:eastAsia="Times New Roman" w:hAnsi="Times New Roman" w:cs="Times New Roman"/>
                <w:color w:val="000000"/>
                <w:sz w:val="24"/>
                <w:szCs w:val="24"/>
                <w:lang w:val="en-GB" w:eastAsia="en-GB"/>
              </w:rPr>
              <w:t>40.48</w:t>
            </w:r>
          </w:p>
        </w:tc>
        <w:tc>
          <w:tcPr>
            <w:tcW w:w="1120" w:type="dxa"/>
            <w:tcBorders>
              <w:top w:val="nil"/>
              <w:left w:val="nil"/>
              <w:bottom w:val="nil"/>
              <w:right w:val="nil"/>
            </w:tcBorders>
            <w:shd w:val="clear" w:color="auto" w:fill="auto"/>
            <w:noWrap/>
            <w:vAlign w:val="bottom"/>
            <w:hideMark/>
          </w:tcPr>
          <w:p w14:paraId="02C724A2" w14:textId="77777777" w:rsidR="00B75F05" w:rsidRPr="008A7487" w:rsidRDefault="00B75F05" w:rsidP="00C21D6F">
            <w:pPr>
              <w:spacing w:after="0" w:line="240" w:lineRule="auto"/>
              <w:jc w:val="right"/>
              <w:rPr>
                <w:rFonts w:ascii="Times New Roman" w:eastAsia="Times New Roman" w:hAnsi="Times New Roman" w:cs="Times New Roman"/>
                <w:color w:val="000000"/>
                <w:sz w:val="24"/>
                <w:szCs w:val="24"/>
                <w:lang w:val="en-GB" w:eastAsia="en-GB"/>
              </w:rPr>
            </w:pPr>
            <w:r w:rsidRPr="008A7487">
              <w:rPr>
                <w:rFonts w:ascii="Times New Roman" w:eastAsia="Times New Roman" w:hAnsi="Times New Roman" w:cs="Times New Roman"/>
                <w:color w:val="000000"/>
                <w:sz w:val="24"/>
                <w:szCs w:val="24"/>
                <w:lang w:val="en-GB" w:eastAsia="en-GB"/>
              </w:rPr>
              <w:t>23.60</w:t>
            </w:r>
          </w:p>
        </w:tc>
        <w:tc>
          <w:tcPr>
            <w:tcW w:w="1120" w:type="dxa"/>
            <w:tcBorders>
              <w:top w:val="nil"/>
              <w:left w:val="nil"/>
              <w:bottom w:val="nil"/>
              <w:right w:val="nil"/>
            </w:tcBorders>
            <w:shd w:val="clear" w:color="auto" w:fill="auto"/>
            <w:noWrap/>
            <w:vAlign w:val="bottom"/>
            <w:hideMark/>
          </w:tcPr>
          <w:p w14:paraId="2CD51380" w14:textId="77777777" w:rsidR="00B75F05" w:rsidRPr="008A7487" w:rsidRDefault="00B75F05" w:rsidP="00C21D6F">
            <w:pPr>
              <w:spacing w:after="0" w:line="240" w:lineRule="auto"/>
              <w:jc w:val="right"/>
              <w:rPr>
                <w:rFonts w:ascii="Times New Roman" w:eastAsia="Times New Roman" w:hAnsi="Times New Roman" w:cs="Times New Roman"/>
                <w:color w:val="000000"/>
                <w:sz w:val="24"/>
                <w:szCs w:val="24"/>
                <w:lang w:val="en-GB" w:eastAsia="en-GB"/>
              </w:rPr>
            </w:pPr>
            <w:r w:rsidRPr="008A7487">
              <w:rPr>
                <w:rFonts w:ascii="Times New Roman" w:eastAsia="Times New Roman" w:hAnsi="Times New Roman" w:cs="Times New Roman"/>
                <w:color w:val="000000"/>
                <w:sz w:val="24"/>
                <w:szCs w:val="24"/>
                <w:lang w:val="en-GB" w:eastAsia="en-GB"/>
              </w:rPr>
              <w:t>0.01</w:t>
            </w:r>
          </w:p>
        </w:tc>
        <w:tc>
          <w:tcPr>
            <w:tcW w:w="980" w:type="dxa"/>
            <w:tcBorders>
              <w:top w:val="nil"/>
              <w:left w:val="nil"/>
              <w:bottom w:val="nil"/>
              <w:right w:val="nil"/>
            </w:tcBorders>
            <w:shd w:val="clear" w:color="auto" w:fill="auto"/>
            <w:noWrap/>
            <w:vAlign w:val="bottom"/>
            <w:hideMark/>
          </w:tcPr>
          <w:p w14:paraId="0559D545" w14:textId="77777777" w:rsidR="00B75F05" w:rsidRPr="008A7487" w:rsidRDefault="00B75F05" w:rsidP="00C21D6F">
            <w:pPr>
              <w:spacing w:after="0" w:line="240" w:lineRule="auto"/>
              <w:jc w:val="right"/>
              <w:rPr>
                <w:rFonts w:ascii="Times New Roman" w:eastAsia="Times New Roman" w:hAnsi="Times New Roman" w:cs="Times New Roman"/>
                <w:color w:val="000000"/>
                <w:sz w:val="24"/>
                <w:szCs w:val="24"/>
                <w:lang w:val="en-GB" w:eastAsia="en-GB"/>
              </w:rPr>
            </w:pPr>
            <w:r w:rsidRPr="008A7487">
              <w:rPr>
                <w:rFonts w:ascii="Times New Roman" w:eastAsia="Times New Roman" w:hAnsi="Times New Roman" w:cs="Times New Roman"/>
                <w:color w:val="000000"/>
                <w:sz w:val="24"/>
                <w:szCs w:val="24"/>
                <w:lang w:val="en-GB" w:eastAsia="en-GB"/>
              </w:rPr>
              <w:t>1.55</w:t>
            </w:r>
          </w:p>
        </w:tc>
        <w:tc>
          <w:tcPr>
            <w:tcW w:w="980" w:type="dxa"/>
            <w:tcBorders>
              <w:top w:val="nil"/>
              <w:left w:val="nil"/>
              <w:bottom w:val="nil"/>
              <w:right w:val="nil"/>
            </w:tcBorders>
            <w:shd w:val="clear" w:color="auto" w:fill="auto"/>
            <w:noWrap/>
            <w:vAlign w:val="bottom"/>
            <w:hideMark/>
          </w:tcPr>
          <w:p w14:paraId="62577249" w14:textId="77777777" w:rsidR="00B75F05" w:rsidRPr="008A7487" w:rsidRDefault="00B75F05" w:rsidP="00C21D6F">
            <w:pPr>
              <w:spacing w:after="0" w:line="240" w:lineRule="auto"/>
              <w:jc w:val="right"/>
              <w:rPr>
                <w:rFonts w:ascii="Times New Roman" w:eastAsia="Times New Roman" w:hAnsi="Times New Roman" w:cs="Times New Roman"/>
                <w:color w:val="000000"/>
                <w:sz w:val="24"/>
                <w:szCs w:val="24"/>
                <w:lang w:val="en-GB" w:eastAsia="en-GB"/>
              </w:rPr>
            </w:pPr>
            <w:r w:rsidRPr="008A7487">
              <w:rPr>
                <w:rFonts w:ascii="Times New Roman" w:eastAsia="Times New Roman" w:hAnsi="Times New Roman" w:cs="Times New Roman"/>
                <w:color w:val="000000"/>
                <w:sz w:val="24"/>
                <w:szCs w:val="24"/>
                <w:lang w:val="en-GB" w:eastAsia="en-GB"/>
              </w:rPr>
              <w:t>6.90</w:t>
            </w:r>
          </w:p>
        </w:tc>
      </w:tr>
      <w:tr w:rsidR="00B75F05" w:rsidRPr="008A7487" w14:paraId="561E7F33" w14:textId="77777777" w:rsidTr="00C21D6F">
        <w:trPr>
          <w:trHeight w:val="300"/>
        </w:trPr>
        <w:tc>
          <w:tcPr>
            <w:tcW w:w="1580" w:type="dxa"/>
            <w:tcBorders>
              <w:top w:val="nil"/>
              <w:left w:val="nil"/>
              <w:bottom w:val="nil"/>
              <w:right w:val="nil"/>
            </w:tcBorders>
            <w:shd w:val="clear" w:color="auto" w:fill="auto"/>
            <w:noWrap/>
            <w:vAlign w:val="bottom"/>
            <w:hideMark/>
          </w:tcPr>
          <w:p w14:paraId="4F53D62B" w14:textId="77777777" w:rsidR="00B75F05" w:rsidRPr="008A7487" w:rsidRDefault="00B75F05" w:rsidP="00C21D6F">
            <w:pPr>
              <w:spacing w:after="0" w:line="240" w:lineRule="auto"/>
              <w:rPr>
                <w:rFonts w:ascii="Times New Roman" w:eastAsia="Times New Roman" w:hAnsi="Times New Roman" w:cs="Times New Roman"/>
                <w:b/>
                <w:color w:val="000000"/>
                <w:sz w:val="24"/>
                <w:szCs w:val="24"/>
                <w:lang w:val="en-GB" w:eastAsia="en-GB"/>
              </w:rPr>
            </w:pPr>
            <w:r w:rsidRPr="008A7487">
              <w:rPr>
                <w:rFonts w:ascii="Times New Roman" w:eastAsia="Times New Roman" w:hAnsi="Times New Roman" w:cs="Times New Roman"/>
                <w:b/>
                <w:color w:val="000000"/>
                <w:sz w:val="24"/>
                <w:szCs w:val="24"/>
                <w:lang w:val="en-GB" w:eastAsia="en-GB"/>
              </w:rPr>
              <w:t xml:space="preserve"> Maximum</w:t>
            </w:r>
          </w:p>
        </w:tc>
        <w:tc>
          <w:tcPr>
            <w:tcW w:w="1120" w:type="dxa"/>
            <w:tcBorders>
              <w:top w:val="nil"/>
              <w:left w:val="nil"/>
              <w:bottom w:val="nil"/>
              <w:right w:val="nil"/>
            </w:tcBorders>
            <w:shd w:val="clear" w:color="auto" w:fill="auto"/>
            <w:noWrap/>
            <w:vAlign w:val="bottom"/>
            <w:hideMark/>
          </w:tcPr>
          <w:p w14:paraId="5E4C1F90" w14:textId="77777777" w:rsidR="00B75F05" w:rsidRPr="008A7487" w:rsidRDefault="00B75F05" w:rsidP="00C21D6F">
            <w:pPr>
              <w:spacing w:after="0" w:line="240" w:lineRule="auto"/>
              <w:jc w:val="right"/>
              <w:rPr>
                <w:rFonts w:ascii="Times New Roman" w:eastAsia="Times New Roman" w:hAnsi="Times New Roman" w:cs="Times New Roman"/>
                <w:color w:val="000000"/>
                <w:sz w:val="24"/>
                <w:szCs w:val="24"/>
                <w:lang w:val="en-GB" w:eastAsia="en-GB"/>
              </w:rPr>
            </w:pPr>
            <w:r w:rsidRPr="008A7487">
              <w:rPr>
                <w:rFonts w:ascii="Times New Roman" w:eastAsia="Times New Roman" w:hAnsi="Times New Roman" w:cs="Times New Roman"/>
                <w:color w:val="000000"/>
                <w:sz w:val="24"/>
                <w:szCs w:val="24"/>
                <w:lang w:val="en-GB" w:eastAsia="en-GB"/>
              </w:rPr>
              <w:t>24.11</w:t>
            </w:r>
          </w:p>
        </w:tc>
        <w:tc>
          <w:tcPr>
            <w:tcW w:w="1320" w:type="dxa"/>
            <w:tcBorders>
              <w:top w:val="nil"/>
              <w:left w:val="nil"/>
              <w:bottom w:val="nil"/>
              <w:right w:val="nil"/>
            </w:tcBorders>
            <w:shd w:val="clear" w:color="auto" w:fill="auto"/>
            <w:noWrap/>
            <w:vAlign w:val="bottom"/>
            <w:hideMark/>
          </w:tcPr>
          <w:p w14:paraId="2963BF64" w14:textId="77777777" w:rsidR="00B75F05" w:rsidRPr="008A7487" w:rsidRDefault="00B75F05" w:rsidP="00C21D6F">
            <w:pPr>
              <w:spacing w:after="0" w:line="240" w:lineRule="auto"/>
              <w:jc w:val="right"/>
              <w:rPr>
                <w:rFonts w:ascii="Times New Roman" w:eastAsia="Times New Roman" w:hAnsi="Times New Roman" w:cs="Times New Roman"/>
                <w:color w:val="000000"/>
                <w:sz w:val="24"/>
                <w:szCs w:val="24"/>
                <w:lang w:val="en-GB" w:eastAsia="en-GB"/>
              </w:rPr>
            </w:pPr>
            <w:r w:rsidRPr="008A7487">
              <w:rPr>
                <w:rFonts w:ascii="Times New Roman" w:eastAsia="Times New Roman" w:hAnsi="Times New Roman" w:cs="Times New Roman"/>
                <w:color w:val="000000"/>
                <w:sz w:val="24"/>
                <w:szCs w:val="24"/>
                <w:lang w:val="en-GB" w:eastAsia="en-GB"/>
              </w:rPr>
              <w:t>51.46</w:t>
            </w:r>
          </w:p>
        </w:tc>
        <w:tc>
          <w:tcPr>
            <w:tcW w:w="1000" w:type="dxa"/>
            <w:tcBorders>
              <w:top w:val="nil"/>
              <w:left w:val="nil"/>
              <w:bottom w:val="nil"/>
              <w:right w:val="nil"/>
            </w:tcBorders>
            <w:shd w:val="clear" w:color="auto" w:fill="auto"/>
            <w:noWrap/>
            <w:vAlign w:val="bottom"/>
            <w:hideMark/>
          </w:tcPr>
          <w:p w14:paraId="72B21E44" w14:textId="77777777" w:rsidR="00B75F05" w:rsidRPr="008A7487" w:rsidRDefault="00B75F05" w:rsidP="00C21D6F">
            <w:pPr>
              <w:spacing w:after="0" w:line="240" w:lineRule="auto"/>
              <w:jc w:val="right"/>
              <w:rPr>
                <w:rFonts w:ascii="Times New Roman" w:eastAsia="Times New Roman" w:hAnsi="Times New Roman" w:cs="Times New Roman"/>
                <w:color w:val="000000"/>
                <w:sz w:val="24"/>
                <w:szCs w:val="24"/>
                <w:lang w:val="en-GB" w:eastAsia="en-GB"/>
              </w:rPr>
            </w:pPr>
            <w:r w:rsidRPr="008A7487">
              <w:rPr>
                <w:rFonts w:ascii="Times New Roman" w:eastAsia="Times New Roman" w:hAnsi="Times New Roman" w:cs="Times New Roman"/>
                <w:color w:val="000000"/>
                <w:sz w:val="24"/>
                <w:szCs w:val="24"/>
                <w:lang w:val="en-GB" w:eastAsia="en-GB"/>
              </w:rPr>
              <w:t>26.21</w:t>
            </w:r>
          </w:p>
        </w:tc>
        <w:tc>
          <w:tcPr>
            <w:tcW w:w="1000" w:type="dxa"/>
            <w:tcBorders>
              <w:top w:val="nil"/>
              <w:left w:val="nil"/>
              <w:bottom w:val="nil"/>
              <w:right w:val="nil"/>
            </w:tcBorders>
            <w:shd w:val="clear" w:color="auto" w:fill="auto"/>
            <w:noWrap/>
            <w:vAlign w:val="bottom"/>
            <w:hideMark/>
          </w:tcPr>
          <w:p w14:paraId="364006B9" w14:textId="77777777" w:rsidR="00B75F05" w:rsidRPr="008A7487" w:rsidRDefault="00B75F05" w:rsidP="00C21D6F">
            <w:pPr>
              <w:spacing w:after="0" w:line="240" w:lineRule="auto"/>
              <w:jc w:val="right"/>
              <w:rPr>
                <w:rFonts w:ascii="Times New Roman" w:eastAsia="Times New Roman" w:hAnsi="Times New Roman" w:cs="Times New Roman"/>
                <w:color w:val="000000"/>
                <w:sz w:val="24"/>
                <w:szCs w:val="24"/>
                <w:lang w:val="en-GB" w:eastAsia="en-GB"/>
              </w:rPr>
            </w:pPr>
            <w:r w:rsidRPr="008A7487">
              <w:rPr>
                <w:rFonts w:ascii="Times New Roman" w:eastAsia="Times New Roman" w:hAnsi="Times New Roman" w:cs="Times New Roman"/>
                <w:color w:val="000000"/>
                <w:sz w:val="24"/>
                <w:szCs w:val="24"/>
                <w:lang w:val="en-GB" w:eastAsia="en-GB"/>
              </w:rPr>
              <w:t>98.80</w:t>
            </w:r>
          </w:p>
        </w:tc>
        <w:tc>
          <w:tcPr>
            <w:tcW w:w="1120" w:type="dxa"/>
            <w:tcBorders>
              <w:top w:val="nil"/>
              <w:left w:val="nil"/>
              <w:bottom w:val="nil"/>
              <w:right w:val="nil"/>
            </w:tcBorders>
            <w:shd w:val="clear" w:color="auto" w:fill="auto"/>
            <w:noWrap/>
            <w:vAlign w:val="bottom"/>
            <w:hideMark/>
          </w:tcPr>
          <w:p w14:paraId="514EAFF6" w14:textId="77777777" w:rsidR="00B75F05" w:rsidRPr="008A7487" w:rsidRDefault="00B75F05" w:rsidP="00C21D6F">
            <w:pPr>
              <w:spacing w:after="0" w:line="240" w:lineRule="auto"/>
              <w:jc w:val="right"/>
              <w:rPr>
                <w:rFonts w:ascii="Times New Roman" w:eastAsia="Times New Roman" w:hAnsi="Times New Roman" w:cs="Times New Roman"/>
                <w:color w:val="000000"/>
                <w:sz w:val="24"/>
                <w:szCs w:val="24"/>
                <w:lang w:val="en-GB" w:eastAsia="en-GB"/>
              </w:rPr>
            </w:pPr>
            <w:r w:rsidRPr="008A7487">
              <w:rPr>
                <w:rFonts w:ascii="Times New Roman" w:eastAsia="Times New Roman" w:hAnsi="Times New Roman" w:cs="Times New Roman"/>
                <w:color w:val="000000"/>
                <w:sz w:val="24"/>
                <w:szCs w:val="24"/>
                <w:lang w:val="en-GB" w:eastAsia="en-GB"/>
              </w:rPr>
              <w:t>246.27</w:t>
            </w:r>
          </w:p>
        </w:tc>
        <w:tc>
          <w:tcPr>
            <w:tcW w:w="1120" w:type="dxa"/>
            <w:tcBorders>
              <w:top w:val="nil"/>
              <w:left w:val="nil"/>
              <w:bottom w:val="nil"/>
              <w:right w:val="nil"/>
            </w:tcBorders>
            <w:shd w:val="clear" w:color="auto" w:fill="auto"/>
            <w:noWrap/>
            <w:vAlign w:val="bottom"/>
            <w:hideMark/>
          </w:tcPr>
          <w:p w14:paraId="52C15884" w14:textId="77777777" w:rsidR="00B75F05" w:rsidRPr="008A7487" w:rsidRDefault="00B75F05" w:rsidP="00C21D6F">
            <w:pPr>
              <w:spacing w:after="0" w:line="240" w:lineRule="auto"/>
              <w:jc w:val="right"/>
              <w:rPr>
                <w:rFonts w:ascii="Times New Roman" w:eastAsia="Times New Roman" w:hAnsi="Times New Roman" w:cs="Times New Roman"/>
                <w:color w:val="000000"/>
                <w:sz w:val="24"/>
                <w:szCs w:val="24"/>
                <w:lang w:val="en-GB" w:eastAsia="en-GB"/>
              </w:rPr>
            </w:pPr>
            <w:r w:rsidRPr="008A7487">
              <w:rPr>
                <w:rFonts w:ascii="Times New Roman" w:eastAsia="Times New Roman" w:hAnsi="Times New Roman" w:cs="Times New Roman"/>
                <w:color w:val="000000"/>
                <w:sz w:val="24"/>
                <w:szCs w:val="24"/>
                <w:lang w:val="en-GB" w:eastAsia="en-GB"/>
              </w:rPr>
              <w:t>314.29</w:t>
            </w:r>
          </w:p>
        </w:tc>
        <w:tc>
          <w:tcPr>
            <w:tcW w:w="1120" w:type="dxa"/>
            <w:tcBorders>
              <w:top w:val="nil"/>
              <w:left w:val="nil"/>
              <w:bottom w:val="nil"/>
              <w:right w:val="nil"/>
            </w:tcBorders>
            <w:shd w:val="clear" w:color="auto" w:fill="auto"/>
            <w:noWrap/>
            <w:vAlign w:val="bottom"/>
            <w:hideMark/>
          </w:tcPr>
          <w:p w14:paraId="5E6DAC39" w14:textId="77777777" w:rsidR="00B75F05" w:rsidRPr="008A7487" w:rsidRDefault="00B75F05" w:rsidP="00C21D6F">
            <w:pPr>
              <w:spacing w:after="0" w:line="240" w:lineRule="auto"/>
              <w:jc w:val="right"/>
              <w:rPr>
                <w:rFonts w:ascii="Times New Roman" w:eastAsia="Times New Roman" w:hAnsi="Times New Roman" w:cs="Times New Roman"/>
                <w:color w:val="000000"/>
                <w:sz w:val="24"/>
                <w:szCs w:val="24"/>
                <w:lang w:val="en-GB" w:eastAsia="en-GB"/>
              </w:rPr>
            </w:pPr>
            <w:r w:rsidRPr="008A7487">
              <w:rPr>
                <w:rFonts w:ascii="Times New Roman" w:eastAsia="Times New Roman" w:hAnsi="Times New Roman" w:cs="Times New Roman"/>
                <w:color w:val="000000"/>
                <w:sz w:val="24"/>
                <w:szCs w:val="24"/>
                <w:lang w:val="en-GB" w:eastAsia="en-GB"/>
              </w:rPr>
              <w:t>109.75</w:t>
            </w:r>
          </w:p>
        </w:tc>
        <w:tc>
          <w:tcPr>
            <w:tcW w:w="1120" w:type="dxa"/>
            <w:tcBorders>
              <w:top w:val="nil"/>
              <w:left w:val="nil"/>
              <w:bottom w:val="nil"/>
              <w:right w:val="nil"/>
            </w:tcBorders>
            <w:shd w:val="clear" w:color="auto" w:fill="auto"/>
            <w:noWrap/>
            <w:vAlign w:val="bottom"/>
            <w:hideMark/>
          </w:tcPr>
          <w:p w14:paraId="3074F29B" w14:textId="77777777" w:rsidR="00B75F05" w:rsidRPr="008A7487" w:rsidRDefault="00B75F05" w:rsidP="00C21D6F">
            <w:pPr>
              <w:spacing w:after="0" w:line="240" w:lineRule="auto"/>
              <w:jc w:val="right"/>
              <w:rPr>
                <w:rFonts w:ascii="Times New Roman" w:eastAsia="Times New Roman" w:hAnsi="Times New Roman" w:cs="Times New Roman"/>
                <w:color w:val="000000"/>
                <w:sz w:val="24"/>
                <w:szCs w:val="24"/>
                <w:lang w:val="en-GB" w:eastAsia="en-GB"/>
              </w:rPr>
            </w:pPr>
            <w:r w:rsidRPr="008A7487">
              <w:rPr>
                <w:rFonts w:ascii="Times New Roman" w:eastAsia="Times New Roman" w:hAnsi="Times New Roman" w:cs="Times New Roman"/>
                <w:color w:val="000000"/>
                <w:sz w:val="24"/>
                <w:szCs w:val="24"/>
                <w:lang w:val="en-GB" w:eastAsia="en-GB"/>
              </w:rPr>
              <w:t>0.65</w:t>
            </w:r>
          </w:p>
        </w:tc>
        <w:tc>
          <w:tcPr>
            <w:tcW w:w="980" w:type="dxa"/>
            <w:tcBorders>
              <w:top w:val="nil"/>
              <w:left w:val="nil"/>
              <w:bottom w:val="nil"/>
              <w:right w:val="nil"/>
            </w:tcBorders>
            <w:shd w:val="clear" w:color="auto" w:fill="auto"/>
            <w:noWrap/>
            <w:vAlign w:val="bottom"/>
            <w:hideMark/>
          </w:tcPr>
          <w:p w14:paraId="118BED5E" w14:textId="77777777" w:rsidR="00B75F05" w:rsidRPr="008A7487" w:rsidRDefault="00B75F05" w:rsidP="00C21D6F">
            <w:pPr>
              <w:spacing w:after="0" w:line="240" w:lineRule="auto"/>
              <w:jc w:val="right"/>
              <w:rPr>
                <w:rFonts w:ascii="Times New Roman" w:eastAsia="Times New Roman" w:hAnsi="Times New Roman" w:cs="Times New Roman"/>
                <w:color w:val="000000"/>
                <w:sz w:val="24"/>
                <w:szCs w:val="24"/>
                <w:lang w:val="en-GB" w:eastAsia="en-GB"/>
              </w:rPr>
            </w:pPr>
            <w:r w:rsidRPr="008A7487">
              <w:rPr>
                <w:rFonts w:ascii="Times New Roman" w:eastAsia="Times New Roman" w:hAnsi="Times New Roman" w:cs="Times New Roman"/>
                <w:color w:val="000000"/>
                <w:sz w:val="24"/>
                <w:szCs w:val="24"/>
                <w:lang w:val="en-GB" w:eastAsia="en-GB"/>
              </w:rPr>
              <w:t>3.52</w:t>
            </w:r>
          </w:p>
        </w:tc>
        <w:tc>
          <w:tcPr>
            <w:tcW w:w="980" w:type="dxa"/>
            <w:tcBorders>
              <w:top w:val="nil"/>
              <w:left w:val="nil"/>
              <w:bottom w:val="nil"/>
              <w:right w:val="nil"/>
            </w:tcBorders>
            <w:shd w:val="clear" w:color="auto" w:fill="auto"/>
            <w:noWrap/>
            <w:vAlign w:val="bottom"/>
            <w:hideMark/>
          </w:tcPr>
          <w:p w14:paraId="401DE672" w14:textId="77777777" w:rsidR="00B75F05" w:rsidRPr="008A7487" w:rsidRDefault="00B75F05" w:rsidP="00C21D6F">
            <w:pPr>
              <w:spacing w:after="0" w:line="240" w:lineRule="auto"/>
              <w:jc w:val="right"/>
              <w:rPr>
                <w:rFonts w:ascii="Times New Roman" w:eastAsia="Times New Roman" w:hAnsi="Times New Roman" w:cs="Times New Roman"/>
                <w:color w:val="000000"/>
                <w:sz w:val="24"/>
                <w:szCs w:val="24"/>
                <w:lang w:val="en-GB" w:eastAsia="en-GB"/>
              </w:rPr>
            </w:pPr>
            <w:r w:rsidRPr="008A7487">
              <w:rPr>
                <w:rFonts w:ascii="Times New Roman" w:eastAsia="Times New Roman" w:hAnsi="Times New Roman" w:cs="Times New Roman"/>
                <w:color w:val="000000"/>
                <w:sz w:val="24"/>
                <w:szCs w:val="24"/>
                <w:lang w:val="en-GB" w:eastAsia="en-GB"/>
              </w:rPr>
              <w:t>34.70</w:t>
            </w:r>
          </w:p>
        </w:tc>
      </w:tr>
      <w:tr w:rsidR="00B75F05" w:rsidRPr="008A7487" w14:paraId="0DFC8E12" w14:textId="77777777" w:rsidTr="00C21D6F">
        <w:trPr>
          <w:trHeight w:val="300"/>
        </w:trPr>
        <w:tc>
          <w:tcPr>
            <w:tcW w:w="1580" w:type="dxa"/>
            <w:tcBorders>
              <w:top w:val="nil"/>
              <w:left w:val="nil"/>
              <w:bottom w:val="nil"/>
              <w:right w:val="nil"/>
            </w:tcBorders>
            <w:shd w:val="clear" w:color="auto" w:fill="auto"/>
            <w:noWrap/>
            <w:vAlign w:val="bottom"/>
            <w:hideMark/>
          </w:tcPr>
          <w:p w14:paraId="6B02B4EC" w14:textId="77777777" w:rsidR="00B75F05" w:rsidRPr="008A7487" w:rsidRDefault="00B75F05" w:rsidP="00C21D6F">
            <w:pPr>
              <w:spacing w:after="0" w:line="240" w:lineRule="auto"/>
              <w:rPr>
                <w:rFonts w:ascii="Times New Roman" w:eastAsia="Times New Roman" w:hAnsi="Times New Roman" w:cs="Times New Roman"/>
                <w:b/>
                <w:color w:val="000000"/>
                <w:sz w:val="24"/>
                <w:szCs w:val="24"/>
                <w:lang w:val="en-GB" w:eastAsia="en-GB"/>
              </w:rPr>
            </w:pPr>
            <w:r w:rsidRPr="008A7487">
              <w:rPr>
                <w:rFonts w:ascii="Times New Roman" w:eastAsia="Times New Roman" w:hAnsi="Times New Roman" w:cs="Times New Roman"/>
                <w:b/>
                <w:color w:val="000000"/>
                <w:sz w:val="24"/>
                <w:szCs w:val="24"/>
                <w:lang w:val="en-GB" w:eastAsia="en-GB"/>
              </w:rPr>
              <w:t xml:space="preserve"> Minimum</w:t>
            </w:r>
          </w:p>
        </w:tc>
        <w:tc>
          <w:tcPr>
            <w:tcW w:w="1120" w:type="dxa"/>
            <w:tcBorders>
              <w:top w:val="nil"/>
              <w:left w:val="nil"/>
              <w:bottom w:val="nil"/>
              <w:right w:val="nil"/>
            </w:tcBorders>
            <w:shd w:val="clear" w:color="auto" w:fill="auto"/>
            <w:noWrap/>
            <w:vAlign w:val="bottom"/>
            <w:hideMark/>
          </w:tcPr>
          <w:p w14:paraId="61E3A311" w14:textId="77777777" w:rsidR="00B75F05" w:rsidRPr="008A7487" w:rsidRDefault="00B75F05" w:rsidP="00C21D6F">
            <w:pPr>
              <w:spacing w:after="0" w:line="240" w:lineRule="auto"/>
              <w:jc w:val="right"/>
              <w:rPr>
                <w:rFonts w:ascii="Times New Roman" w:eastAsia="Times New Roman" w:hAnsi="Times New Roman" w:cs="Times New Roman"/>
                <w:color w:val="000000"/>
                <w:sz w:val="24"/>
                <w:szCs w:val="24"/>
                <w:lang w:val="en-GB" w:eastAsia="en-GB"/>
              </w:rPr>
            </w:pPr>
            <w:r w:rsidRPr="008A7487">
              <w:rPr>
                <w:rFonts w:ascii="Times New Roman" w:eastAsia="Times New Roman" w:hAnsi="Times New Roman" w:cs="Times New Roman"/>
                <w:color w:val="000000"/>
                <w:sz w:val="24"/>
                <w:szCs w:val="24"/>
                <w:lang w:val="en-GB" w:eastAsia="en-GB"/>
              </w:rPr>
              <w:t>-40.51</w:t>
            </w:r>
          </w:p>
        </w:tc>
        <w:tc>
          <w:tcPr>
            <w:tcW w:w="1320" w:type="dxa"/>
            <w:tcBorders>
              <w:top w:val="nil"/>
              <w:left w:val="nil"/>
              <w:bottom w:val="nil"/>
              <w:right w:val="nil"/>
            </w:tcBorders>
            <w:shd w:val="clear" w:color="auto" w:fill="auto"/>
            <w:noWrap/>
            <w:vAlign w:val="bottom"/>
            <w:hideMark/>
          </w:tcPr>
          <w:p w14:paraId="74F39B37" w14:textId="77777777" w:rsidR="00B75F05" w:rsidRPr="008A7487" w:rsidRDefault="00B75F05" w:rsidP="00C21D6F">
            <w:pPr>
              <w:spacing w:after="0" w:line="240" w:lineRule="auto"/>
              <w:jc w:val="right"/>
              <w:rPr>
                <w:rFonts w:ascii="Times New Roman" w:eastAsia="Times New Roman" w:hAnsi="Times New Roman" w:cs="Times New Roman"/>
                <w:color w:val="000000"/>
                <w:sz w:val="24"/>
                <w:szCs w:val="24"/>
                <w:lang w:val="en-GB" w:eastAsia="en-GB"/>
              </w:rPr>
            </w:pPr>
            <w:r w:rsidRPr="008A7487">
              <w:rPr>
                <w:rFonts w:ascii="Times New Roman" w:eastAsia="Times New Roman" w:hAnsi="Times New Roman" w:cs="Times New Roman"/>
                <w:color w:val="000000"/>
                <w:sz w:val="24"/>
                <w:szCs w:val="24"/>
                <w:lang w:val="en-GB" w:eastAsia="en-GB"/>
              </w:rPr>
              <w:t>-1.80</w:t>
            </w:r>
          </w:p>
        </w:tc>
        <w:tc>
          <w:tcPr>
            <w:tcW w:w="1000" w:type="dxa"/>
            <w:tcBorders>
              <w:top w:val="nil"/>
              <w:left w:val="nil"/>
              <w:bottom w:val="nil"/>
              <w:right w:val="nil"/>
            </w:tcBorders>
            <w:shd w:val="clear" w:color="auto" w:fill="auto"/>
            <w:noWrap/>
            <w:vAlign w:val="bottom"/>
            <w:hideMark/>
          </w:tcPr>
          <w:p w14:paraId="4096773B" w14:textId="77777777" w:rsidR="00B75F05" w:rsidRPr="008A7487" w:rsidRDefault="00B75F05" w:rsidP="00C21D6F">
            <w:pPr>
              <w:spacing w:after="0" w:line="240" w:lineRule="auto"/>
              <w:jc w:val="right"/>
              <w:rPr>
                <w:rFonts w:ascii="Times New Roman" w:eastAsia="Times New Roman" w:hAnsi="Times New Roman" w:cs="Times New Roman"/>
                <w:color w:val="000000"/>
                <w:sz w:val="24"/>
                <w:szCs w:val="24"/>
                <w:lang w:val="en-GB" w:eastAsia="en-GB"/>
              </w:rPr>
            </w:pPr>
            <w:r w:rsidRPr="008A7487">
              <w:rPr>
                <w:rFonts w:ascii="Times New Roman" w:eastAsia="Times New Roman" w:hAnsi="Times New Roman" w:cs="Times New Roman"/>
                <w:color w:val="000000"/>
                <w:sz w:val="24"/>
                <w:szCs w:val="24"/>
                <w:lang w:val="en-GB" w:eastAsia="en-GB"/>
              </w:rPr>
              <w:t>6.72</w:t>
            </w:r>
          </w:p>
        </w:tc>
        <w:tc>
          <w:tcPr>
            <w:tcW w:w="1000" w:type="dxa"/>
            <w:tcBorders>
              <w:top w:val="nil"/>
              <w:left w:val="nil"/>
              <w:bottom w:val="nil"/>
              <w:right w:val="nil"/>
            </w:tcBorders>
            <w:shd w:val="clear" w:color="auto" w:fill="auto"/>
            <w:noWrap/>
            <w:vAlign w:val="bottom"/>
            <w:hideMark/>
          </w:tcPr>
          <w:p w14:paraId="6768DBC9" w14:textId="77777777" w:rsidR="00B75F05" w:rsidRPr="008A7487" w:rsidRDefault="00B75F05" w:rsidP="00C21D6F">
            <w:pPr>
              <w:spacing w:after="0" w:line="240" w:lineRule="auto"/>
              <w:jc w:val="right"/>
              <w:rPr>
                <w:rFonts w:ascii="Times New Roman" w:eastAsia="Times New Roman" w:hAnsi="Times New Roman" w:cs="Times New Roman"/>
                <w:color w:val="000000"/>
                <w:sz w:val="24"/>
                <w:szCs w:val="24"/>
                <w:lang w:val="en-GB" w:eastAsia="en-GB"/>
              </w:rPr>
            </w:pPr>
            <w:r w:rsidRPr="008A7487">
              <w:rPr>
                <w:rFonts w:ascii="Times New Roman" w:eastAsia="Times New Roman" w:hAnsi="Times New Roman" w:cs="Times New Roman"/>
                <w:color w:val="000000"/>
                <w:sz w:val="24"/>
                <w:szCs w:val="24"/>
                <w:lang w:val="en-GB" w:eastAsia="en-GB"/>
              </w:rPr>
              <w:t>-97.08</w:t>
            </w:r>
          </w:p>
        </w:tc>
        <w:tc>
          <w:tcPr>
            <w:tcW w:w="1120" w:type="dxa"/>
            <w:tcBorders>
              <w:top w:val="nil"/>
              <w:left w:val="nil"/>
              <w:bottom w:val="nil"/>
              <w:right w:val="nil"/>
            </w:tcBorders>
            <w:shd w:val="clear" w:color="auto" w:fill="auto"/>
            <w:noWrap/>
            <w:vAlign w:val="bottom"/>
            <w:hideMark/>
          </w:tcPr>
          <w:p w14:paraId="3CC4A78E" w14:textId="77777777" w:rsidR="00B75F05" w:rsidRPr="008A7487" w:rsidRDefault="00B75F05" w:rsidP="00C21D6F">
            <w:pPr>
              <w:spacing w:after="0" w:line="240" w:lineRule="auto"/>
              <w:jc w:val="right"/>
              <w:rPr>
                <w:rFonts w:ascii="Times New Roman" w:eastAsia="Times New Roman" w:hAnsi="Times New Roman" w:cs="Times New Roman"/>
                <w:color w:val="000000"/>
                <w:sz w:val="24"/>
                <w:szCs w:val="24"/>
                <w:lang w:val="en-GB" w:eastAsia="en-GB"/>
              </w:rPr>
            </w:pPr>
            <w:r w:rsidRPr="008A7487">
              <w:rPr>
                <w:rFonts w:ascii="Times New Roman" w:eastAsia="Times New Roman" w:hAnsi="Times New Roman" w:cs="Times New Roman"/>
                <w:color w:val="000000"/>
                <w:sz w:val="24"/>
                <w:szCs w:val="24"/>
                <w:lang w:val="en-GB" w:eastAsia="en-GB"/>
              </w:rPr>
              <w:t>0.00</w:t>
            </w:r>
          </w:p>
        </w:tc>
        <w:tc>
          <w:tcPr>
            <w:tcW w:w="1120" w:type="dxa"/>
            <w:tcBorders>
              <w:top w:val="nil"/>
              <w:left w:val="nil"/>
              <w:bottom w:val="nil"/>
              <w:right w:val="nil"/>
            </w:tcBorders>
            <w:shd w:val="clear" w:color="auto" w:fill="auto"/>
            <w:noWrap/>
            <w:vAlign w:val="bottom"/>
            <w:hideMark/>
          </w:tcPr>
          <w:p w14:paraId="5F5CBDE3" w14:textId="77777777" w:rsidR="00B75F05" w:rsidRPr="008A7487" w:rsidRDefault="00B75F05" w:rsidP="00C21D6F">
            <w:pPr>
              <w:spacing w:after="0" w:line="240" w:lineRule="auto"/>
              <w:jc w:val="right"/>
              <w:rPr>
                <w:rFonts w:ascii="Times New Roman" w:eastAsia="Times New Roman" w:hAnsi="Times New Roman" w:cs="Times New Roman"/>
                <w:color w:val="000000"/>
                <w:sz w:val="24"/>
                <w:szCs w:val="24"/>
                <w:lang w:val="en-GB" w:eastAsia="en-GB"/>
              </w:rPr>
            </w:pPr>
            <w:r w:rsidRPr="008A7487">
              <w:rPr>
                <w:rFonts w:ascii="Times New Roman" w:eastAsia="Times New Roman" w:hAnsi="Times New Roman" w:cs="Times New Roman"/>
                <w:color w:val="000000"/>
                <w:sz w:val="24"/>
                <w:szCs w:val="24"/>
                <w:lang w:val="en-GB" w:eastAsia="en-GB"/>
              </w:rPr>
              <w:t>-19.75</w:t>
            </w:r>
          </w:p>
        </w:tc>
        <w:tc>
          <w:tcPr>
            <w:tcW w:w="1120" w:type="dxa"/>
            <w:tcBorders>
              <w:top w:val="nil"/>
              <w:left w:val="nil"/>
              <w:bottom w:val="nil"/>
              <w:right w:val="nil"/>
            </w:tcBorders>
            <w:shd w:val="clear" w:color="auto" w:fill="auto"/>
            <w:noWrap/>
            <w:vAlign w:val="bottom"/>
            <w:hideMark/>
          </w:tcPr>
          <w:p w14:paraId="03ED9C5D" w14:textId="77777777" w:rsidR="00B75F05" w:rsidRPr="008A7487" w:rsidRDefault="00B75F05" w:rsidP="00C21D6F">
            <w:pPr>
              <w:spacing w:after="0" w:line="240" w:lineRule="auto"/>
              <w:jc w:val="right"/>
              <w:rPr>
                <w:rFonts w:ascii="Times New Roman" w:eastAsia="Times New Roman" w:hAnsi="Times New Roman" w:cs="Times New Roman"/>
                <w:color w:val="000000"/>
                <w:sz w:val="24"/>
                <w:szCs w:val="24"/>
                <w:lang w:val="en-GB" w:eastAsia="en-GB"/>
              </w:rPr>
            </w:pPr>
            <w:r w:rsidRPr="008A7487">
              <w:rPr>
                <w:rFonts w:ascii="Times New Roman" w:eastAsia="Times New Roman" w:hAnsi="Times New Roman" w:cs="Times New Roman"/>
                <w:color w:val="000000"/>
                <w:sz w:val="24"/>
                <w:szCs w:val="24"/>
                <w:lang w:val="en-GB" w:eastAsia="en-GB"/>
              </w:rPr>
              <w:t>0.00</w:t>
            </w:r>
          </w:p>
        </w:tc>
        <w:tc>
          <w:tcPr>
            <w:tcW w:w="1120" w:type="dxa"/>
            <w:tcBorders>
              <w:top w:val="nil"/>
              <w:left w:val="nil"/>
              <w:bottom w:val="nil"/>
              <w:right w:val="nil"/>
            </w:tcBorders>
            <w:shd w:val="clear" w:color="auto" w:fill="auto"/>
            <w:noWrap/>
            <w:vAlign w:val="bottom"/>
            <w:hideMark/>
          </w:tcPr>
          <w:p w14:paraId="4D9448AB" w14:textId="77777777" w:rsidR="00B75F05" w:rsidRPr="008A7487" w:rsidRDefault="00B75F05" w:rsidP="00C21D6F">
            <w:pPr>
              <w:spacing w:after="0" w:line="240" w:lineRule="auto"/>
              <w:jc w:val="right"/>
              <w:rPr>
                <w:rFonts w:ascii="Times New Roman" w:eastAsia="Times New Roman" w:hAnsi="Times New Roman" w:cs="Times New Roman"/>
                <w:color w:val="000000"/>
                <w:sz w:val="24"/>
                <w:szCs w:val="24"/>
                <w:lang w:val="en-GB" w:eastAsia="en-GB"/>
              </w:rPr>
            </w:pPr>
            <w:r w:rsidRPr="008A7487">
              <w:rPr>
                <w:rFonts w:ascii="Times New Roman" w:eastAsia="Times New Roman" w:hAnsi="Times New Roman" w:cs="Times New Roman"/>
                <w:color w:val="000000"/>
                <w:sz w:val="24"/>
                <w:szCs w:val="24"/>
                <w:lang w:val="en-GB" w:eastAsia="en-GB"/>
              </w:rPr>
              <w:t>0.00</w:t>
            </w:r>
          </w:p>
        </w:tc>
        <w:tc>
          <w:tcPr>
            <w:tcW w:w="980" w:type="dxa"/>
            <w:tcBorders>
              <w:top w:val="nil"/>
              <w:left w:val="nil"/>
              <w:bottom w:val="nil"/>
              <w:right w:val="nil"/>
            </w:tcBorders>
            <w:shd w:val="clear" w:color="auto" w:fill="auto"/>
            <w:noWrap/>
            <w:vAlign w:val="bottom"/>
            <w:hideMark/>
          </w:tcPr>
          <w:p w14:paraId="4CB49A64" w14:textId="77777777" w:rsidR="00B75F05" w:rsidRPr="008A7487" w:rsidRDefault="00B75F05" w:rsidP="00C21D6F">
            <w:pPr>
              <w:spacing w:after="0" w:line="240" w:lineRule="auto"/>
              <w:jc w:val="right"/>
              <w:rPr>
                <w:rFonts w:ascii="Times New Roman" w:eastAsia="Times New Roman" w:hAnsi="Times New Roman" w:cs="Times New Roman"/>
                <w:color w:val="000000"/>
                <w:sz w:val="24"/>
                <w:szCs w:val="24"/>
                <w:lang w:val="en-GB" w:eastAsia="en-GB"/>
              </w:rPr>
            </w:pPr>
            <w:r w:rsidRPr="008A7487">
              <w:rPr>
                <w:rFonts w:ascii="Times New Roman" w:eastAsia="Times New Roman" w:hAnsi="Times New Roman" w:cs="Times New Roman"/>
                <w:color w:val="000000"/>
                <w:sz w:val="24"/>
                <w:szCs w:val="24"/>
                <w:lang w:val="en-GB" w:eastAsia="en-GB"/>
              </w:rPr>
              <w:t>-2.30</w:t>
            </w:r>
          </w:p>
        </w:tc>
        <w:tc>
          <w:tcPr>
            <w:tcW w:w="980" w:type="dxa"/>
            <w:tcBorders>
              <w:top w:val="nil"/>
              <w:left w:val="nil"/>
              <w:bottom w:val="nil"/>
              <w:right w:val="nil"/>
            </w:tcBorders>
            <w:shd w:val="clear" w:color="auto" w:fill="auto"/>
            <w:noWrap/>
            <w:vAlign w:val="bottom"/>
            <w:hideMark/>
          </w:tcPr>
          <w:p w14:paraId="4793D91A" w14:textId="77777777" w:rsidR="00B75F05" w:rsidRPr="008A7487" w:rsidRDefault="00B75F05" w:rsidP="00C21D6F">
            <w:pPr>
              <w:spacing w:after="0" w:line="240" w:lineRule="auto"/>
              <w:jc w:val="right"/>
              <w:rPr>
                <w:rFonts w:ascii="Times New Roman" w:eastAsia="Times New Roman" w:hAnsi="Times New Roman" w:cs="Times New Roman"/>
                <w:color w:val="000000"/>
                <w:sz w:val="24"/>
                <w:szCs w:val="24"/>
                <w:lang w:val="en-GB" w:eastAsia="en-GB"/>
              </w:rPr>
            </w:pPr>
            <w:r w:rsidRPr="008A7487">
              <w:rPr>
                <w:rFonts w:ascii="Times New Roman" w:eastAsia="Times New Roman" w:hAnsi="Times New Roman" w:cs="Times New Roman"/>
                <w:color w:val="000000"/>
                <w:sz w:val="24"/>
                <w:szCs w:val="24"/>
                <w:lang w:val="en-GB" w:eastAsia="en-GB"/>
              </w:rPr>
              <w:t>-4.40</w:t>
            </w:r>
          </w:p>
        </w:tc>
      </w:tr>
      <w:tr w:rsidR="00B75F05" w:rsidRPr="008A7487" w14:paraId="7D2010D5" w14:textId="77777777" w:rsidTr="00C21D6F">
        <w:trPr>
          <w:trHeight w:val="300"/>
        </w:trPr>
        <w:tc>
          <w:tcPr>
            <w:tcW w:w="1580" w:type="dxa"/>
            <w:tcBorders>
              <w:top w:val="nil"/>
              <w:left w:val="nil"/>
              <w:bottom w:val="nil"/>
              <w:right w:val="nil"/>
            </w:tcBorders>
            <w:shd w:val="clear" w:color="auto" w:fill="auto"/>
            <w:noWrap/>
            <w:vAlign w:val="bottom"/>
            <w:hideMark/>
          </w:tcPr>
          <w:p w14:paraId="2CE2F0ED" w14:textId="77777777" w:rsidR="00B75F05" w:rsidRPr="008A7487" w:rsidRDefault="00B75F05" w:rsidP="00C21D6F">
            <w:pPr>
              <w:spacing w:after="0" w:line="240" w:lineRule="auto"/>
              <w:rPr>
                <w:rFonts w:ascii="Times New Roman" w:eastAsia="Times New Roman" w:hAnsi="Times New Roman" w:cs="Times New Roman"/>
                <w:b/>
                <w:color w:val="000000"/>
                <w:sz w:val="24"/>
                <w:szCs w:val="24"/>
                <w:lang w:val="en-GB" w:eastAsia="en-GB"/>
              </w:rPr>
            </w:pPr>
            <w:r w:rsidRPr="008A7487">
              <w:rPr>
                <w:rFonts w:ascii="Times New Roman" w:eastAsia="Times New Roman" w:hAnsi="Times New Roman" w:cs="Times New Roman"/>
                <w:b/>
                <w:color w:val="000000"/>
                <w:sz w:val="24"/>
                <w:szCs w:val="24"/>
                <w:lang w:val="en-GB" w:eastAsia="en-GB"/>
              </w:rPr>
              <w:t xml:space="preserve"> Std. Dev.</w:t>
            </w:r>
          </w:p>
        </w:tc>
        <w:tc>
          <w:tcPr>
            <w:tcW w:w="1120" w:type="dxa"/>
            <w:tcBorders>
              <w:top w:val="nil"/>
              <w:left w:val="nil"/>
              <w:bottom w:val="nil"/>
              <w:right w:val="nil"/>
            </w:tcBorders>
            <w:shd w:val="clear" w:color="auto" w:fill="auto"/>
            <w:noWrap/>
            <w:vAlign w:val="bottom"/>
            <w:hideMark/>
          </w:tcPr>
          <w:p w14:paraId="19418A45" w14:textId="77777777" w:rsidR="00B75F05" w:rsidRPr="008A7487" w:rsidRDefault="00B75F05" w:rsidP="00C21D6F">
            <w:pPr>
              <w:spacing w:after="0" w:line="240" w:lineRule="auto"/>
              <w:jc w:val="right"/>
              <w:rPr>
                <w:rFonts w:ascii="Times New Roman" w:eastAsia="Times New Roman" w:hAnsi="Times New Roman" w:cs="Times New Roman"/>
                <w:color w:val="000000"/>
                <w:sz w:val="24"/>
                <w:szCs w:val="24"/>
                <w:lang w:val="en-GB" w:eastAsia="en-GB"/>
              </w:rPr>
            </w:pPr>
            <w:r w:rsidRPr="008A7487">
              <w:rPr>
                <w:rFonts w:ascii="Times New Roman" w:eastAsia="Times New Roman" w:hAnsi="Times New Roman" w:cs="Times New Roman"/>
                <w:color w:val="000000"/>
                <w:sz w:val="24"/>
                <w:szCs w:val="24"/>
                <w:lang w:val="en-GB" w:eastAsia="en-GB"/>
              </w:rPr>
              <w:t>4.21</w:t>
            </w:r>
          </w:p>
        </w:tc>
        <w:tc>
          <w:tcPr>
            <w:tcW w:w="1320" w:type="dxa"/>
            <w:tcBorders>
              <w:top w:val="nil"/>
              <w:left w:val="nil"/>
              <w:bottom w:val="nil"/>
              <w:right w:val="nil"/>
            </w:tcBorders>
            <w:shd w:val="clear" w:color="auto" w:fill="auto"/>
            <w:noWrap/>
            <w:vAlign w:val="bottom"/>
            <w:hideMark/>
          </w:tcPr>
          <w:p w14:paraId="02622833" w14:textId="77777777" w:rsidR="00B75F05" w:rsidRPr="008A7487" w:rsidRDefault="00B75F05" w:rsidP="00C21D6F">
            <w:pPr>
              <w:spacing w:after="0" w:line="240" w:lineRule="auto"/>
              <w:jc w:val="right"/>
              <w:rPr>
                <w:rFonts w:ascii="Times New Roman" w:eastAsia="Times New Roman" w:hAnsi="Times New Roman" w:cs="Times New Roman"/>
                <w:color w:val="000000"/>
                <w:sz w:val="24"/>
                <w:szCs w:val="24"/>
                <w:lang w:val="en-GB" w:eastAsia="en-GB"/>
              </w:rPr>
            </w:pPr>
            <w:r w:rsidRPr="008A7487">
              <w:rPr>
                <w:rFonts w:ascii="Times New Roman" w:eastAsia="Times New Roman" w:hAnsi="Times New Roman" w:cs="Times New Roman"/>
                <w:color w:val="000000"/>
                <w:sz w:val="24"/>
                <w:szCs w:val="24"/>
                <w:lang w:val="en-GB" w:eastAsia="en-GB"/>
              </w:rPr>
              <w:t>13.44</w:t>
            </w:r>
          </w:p>
        </w:tc>
        <w:tc>
          <w:tcPr>
            <w:tcW w:w="1000" w:type="dxa"/>
            <w:tcBorders>
              <w:top w:val="nil"/>
              <w:left w:val="nil"/>
              <w:bottom w:val="nil"/>
              <w:right w:val="nil"/>
            </w:tcBorders>
            <w:shd w:val="clear" w:color="auto" w:fill="auto"/>
            <w:noWrap/>
            <w:vAlign w:val="bottom"/>
            <w:hideMark/>
          </w:tcPr>
          <w:p w14:paraId="0AACE9AC" w14:textId="77777777" w:rsidR="00B75F05" w:rsidRPr="008A7487" w:rsidRDefault="00B75F05" w:rsidP="00C21D6F">
            <w:pPr>
              <w:spacing w:after="0" w:line="240" w:lineRule="auto"/>
              <w:jc w:val="right"/>
              <w:rPr>
                <w:rFonts w:ascii="Times New Roman" w:eastAsia="Times New Roman" w:hAnsi="Times New Roman" w:cs="Times New Roman"/>
                <w:color w:val="000000"/>
                <w:sz w:val="24"/>
                <w:szCs w:val="24"/>
                <w:lang w:val="en-GB" w:eastAsia="en-GB"/>
              </w:rPr>
            </w:pPr>
            <w:r w:rsidRPr="008A7487">
              <w:rPr>
                <w:rFonts w:ascii="Times New Roman" w:eastAsia="Times New Roman" w:hAnsi="Times New Roman" w:cs="Times New Roman"/>
                <w:color w:val="000000"/>
                <w:sz w:val="24"/>
                <w:szCs w:val="24"/>
                <w:lang w:val="en-GB" w:eastAsia="en-GB"/>
              </w:rPr>
              <w:t>9.20</w:t>
            </w:r>
          </w:p>
        </w:tc>
        <w:tc>
          <w:tcPr>
            <w:tcW w:w="1000" w:type="dxa"/>
            <w:tcBorders>
              <w:top w:val="nil"/>
              <w:left w:val="nil"/>
              <w:bottom w:val="nil"/>
              <w:right w:val="nil"/>
            </w:tcBorders>
            <w:shd w:val="clear" w:color="auto" w:fill="auto"/>
            <w:noWrap/>
            <w:vAlign w:val="bottom"/>
            <w:hideMark/>
          </w:tcPr>
          <w:p w14:paraId="268D275B" w14:textId="77777777" w:rsidR="00B75F05" w:rsidRPr="008A7487" w:rsidRDefault="00B75F05" w:rsidP="00C21D6F">
            <w:pPr>
              <w:spacing w:after="0" w:line="240" w:lineRule="auto"/>
              <w:jc w:val="right"/>
              <w:rPr>
                <w:rFonts w:ascii="Times New Roman" w:eastAsia="Times New Roman" w:hAnsi="Times New Roman" w:cs="Times New Roman"/>
                <w:color w:val="000000"/>
                <w:sz w:val="24"/>
                <w:szCs w:val="24"/>
                <w:lang w:val="en-GB" w:eastAsia="en-GB"/>
              </w:rPr>
            </w:pPr>
            <w:r w:rsidRPr="008A7487">
              <w:rPr>
                <w:rFonts w:ascii="Times New Roman" w:eastAsia="Times New Roman" w:hAnsi="Times New Roman" w:cs="Times New Roman"/>
                <w:color w:val="000000"/>
                <w:sz w:val="24"/>
                <w:szCs w:val="24"/>
                <w:lang w:val="en-GB" w:eastAsia="en-GB"/>
              </w:rPr>
              <w:t>9.73</w:t>
            </w:r>
          </w:p>
        </w:tc>
        <w:tc>
          <w:tcPr>
            <w:tcW w:w="1120" w:type="dxa"/>
            <w:tcBorders>
              <w:top w:val="nil"/>
              <w:left w:val="nil"/>
              <w:bottom w:val="nil"/>
              <w:right w:val="nil"/>
            </w:tcBorders>
            <w:shd w:val="clear" w:color="auto" w:fill="auto"/>
            <w:noWrap/>
            <w:vAlign w:val="bottom"/>
            <w:hideMark/>
          </w:tcPr>
          <w:p w14:paraId="102B9D8D" w14:textId="77777777" w:rsidR="00B75F05" w:rsidRPr="008A7487" w:rsidRDefault="00B75F05" w:rsidP="00C21D6F">
            <w:pPr>
              <w:spacing w:after="0" w:line="240" w:lineRule="auto"/>
              <w:jc w:val="right"/>
              <w:rPr>
                <w:rFonts w:ascii="Times New Roman" w:eastAsia="Times New Roman" w:hAnsi="Times New Roman" w:cs="Times New Roman"/>
                <w:color w:val="000000"/>
                <w:sz w:val="24"/>
                <w:szCs w:val="24"/>
                <w:lang w:val="en-GB" w:eastAsia="en-GB"/>
              </w:rPr>
            </w:pPr>
            <w:r w:rsidRPr="008A7487">
              <w:rPr>
                <w:rFonts w:ascii="Times New Roman" w:eastAsia="Times New Roman" w:hAnsi="Times New Roman" w:cs="Times New Roman"/>
                <w:color w:val="000000"/>
                <w:sz w:val="24"/>
                <w:szCs w:val="24"/>
                <w:lang w:val="en-GB" w:eastAsia="en-GB"/>
              </w:rPr>
              <w:t>33.48</w:t>
            </w:r>
          </w:p>
        </w:tc>
        <w:tc>
          <w:tcPr>
            <w:tcW w:w="1120" w:type="dxa"/>
            <w:tcBorders>
              <w:top w:val="nil"/>
              <w:left w:val="nil"/>
              <w:bottom w:val="nil"/>
              <w:right w:val="nil"/>
            </w:tcBorders>
            <w:shd w:val="clear" w:color="auto" w:fill="auto"/>
            <w:noWrap/>
            <w:vAlign w:val="bottom"/>
            <w:hideMark/>
          </w:tcPr>
          <w:p w14:paraId="7447EA19" w14:textId="77777777" w:rsidR="00B75F05" w:rsidRPr="008A7487" w:rsidRDefault="00B75F05" w:rsidP="00C21D6F">
            <w:pPr>
              <w:spacing w:after="0" w:line="240" w:lineRule="auto"/>
              <w:jc w:val="right"/>
              <w:rPr>
                <w:rFonts w:ascii="Times New Roman" w:eastAsia="Times New Roman" w:hAnsi="Times New Roman" w:cs="Times New Roman"/>
                <w:color w:val="000000"/>
                <w:sz w:val="24"/>
                <w:szCs w:val="24"/>
                <w:lang w:val="en-GB" w:eastAsia="en-GB"/>
              </w:rPr>
            </w:pPr>
            <w:r w:rsidRPr="008A7487">
              <w:rPr>
                <w:rFonts w:ascii="Times New Roman" w:eastAsia="Times New Roman" w:hAnsi="Times New Roman" w:cs="Times New Roman"/>
                <w:color w:val="000000"/>
                <w:sz w:val="24"/>
                <w:szCs w:val="24"/>
                <w:lang w:val="en-GB" w:eastAsia="en-GB"/>
              </w:rPr>
              <w:t>37.80</w:t>
            </w:r>
          </w:p>
        </w:tc>
        <w:tc>
          <w:tcPr>
            <w:tcW w:w="1120" w:type="dxa"/>
            <w:tcBorders>
              <w:top w:val="nil"/>
              <w:left w:val="nil"/>
              <w:bottom w:val="nil"/>
              <w:right w:val="nil"/>
            </w:tcBorders>
            <w:shd w:val="clear" w:color="auto" w:fill="auto"/>
            <w:noWrap/>
            <w:vAlign w:val="bottom"/>
            <w:hideMark/>
          </w:tcPr>
          <w:p w14:paraId="05ECA84D" w14:textId="77777777" w:rsidR="00B75F05" w:rsidRPr="008A7487" w:rsidRDefault="00B75F05" w:rsidP="00C21D6F">
            <w:pPr>
              <w:spacing w:after="0" w:line="240" w:lineRule="auto"/>
              <w:jc w:val="right"/>
              <w:rPr>
                <w:rFonts w:ascii="Times New Roman" w:eastAsia="Times New Roman" w:hAnsi="Times New Roman" w:cs="Times New Roman"/>
                <w:color w:val="000000"/>
                <w:sz w:val="24"/>
                <w:szCs w:val="24"/>
                <w:lang w:val="en-GB" w:eastAsia="en-GB"/>
              </w:rPr>
            </w:pPr>
            <w:r w:rsidRPr="008A7487">
              <w:rPr>
                <w:rFonts w:ascii="Times New Roman" w:eastAsia="Times New Roman" w:hAnsi="Times New Roman" w:cs="Times New Roman"/>
                <w:color w:val="000000"/>
                <w:sz w:val="24"/>
                <w:szCs w:val="24"/>
                <w:lang w:val="en-GB" w:eastAsia="en-GB"/>
              </w:rPr>
              <w:t>35.66</w:t>
            </w:r>
          </w:p>
        </w:tc>
        <w:tc>
          <w:tcPr>
            <w:tcW w:w="1120" w:type="dxa"/>
            <w:tcBorders>
              <w:top w:val="nil"/>
              <w:left w:val="nil"/>
              <w:bottom w:val="nil"/>
              <w:right w:val="nil"/>
            </w:tcBorders>
            <w:shd w:val="clear" w:color="auto" w:fill="auto"/>
            <w:noWrap/>
            <w:vAlign w:val="bottom"/>
            <w:hideMark/>
          </w:tcPr>
          <w:p w14:paraId="63013A5B" w14:textId="77777777" w:rsidR="00B75F05" w:rsidRPr="008A7487" w:rsidRDefault="00B75F05" w:rsidP="00C21D6F">
            <w:pPr>
              <w:spacing w:after="0" w:line="240" w:lineRule="auto"/>
              <w:jc w:val="right"/>
              <w:rPr>
                <w:rFonts w:ascii="Times New Roman" w:eastAsia="Times New Roman" w:hAnsi="Times New Roman" w:cs="Times New Roman"/>
                <w:color w:val="000000"/>
                <w:sz w:val="24"/>
                <w:szCs w:val="24"/>
                <w:lang w:val="en-GB" w:eastAsia="en-GB"/>
              </w:rPr>
            </w:pPr>
            <w:r w:rsidRPr="008A7487">
              <w:rPr>
                <w:rFonts w:ascii="Times New Roman" w:eastAsia="Times New Roman" w:hAnsi="Times New Roman" w:cs="Times New Roman"/>
                <w:color w:val="000000"/>
                <w:sz w:val="24"/>
                <w:szCs w:val="24"/>
                <w:lang w:val="en-GB" w:eastAsia="en-GB"/>
              </w:rPr>
              <w:t>0.03</w:t>
            </w:r>
          </w:p>
        </w:tc>
        <w:tc>
          <w:tcPr>
            <w:tcW w:w="980" w:type="dxa"/>
            <w:tcBorders>
              <w:top w:val="nil"/>
              <w:left w:val="nil"/>
              <w:bottom w:val="nil"/>
              <w:right w:val="nil"/>
            </w:tcBorders>
            <w:shd w:val="clear" w:color="auto" w:fill="auto"/>
            <w:noWrap/>
            <w:vAlign w:val="bottom"/>
            <w:hideMark/>
          </w:tcPr>
          <w:p w14:paraId="4128B197" w14:textId="77777777" w:rsidR="00B75F05" w:rsidRPr="008A7487" w:rsidRDefault="00B75F05" w:rsidP="00C21D6F">
            <w:pPr>
              <w:spacing w:after="0" w:line="240" w:lineRule="auto"/>
              <w:jc w:val="right"/>
              <w:rPr>
                <w:rFonts w:ascii="Times New Roman" w:eastAsia="Times New Roman" w:hAnsi="Times New Roman" w:cs="Times New Roman"/>
                <w:color w:val="000000"/>
                <w:sz w:val="24"/>
                <w:szCs w:val="24"/>
                <w:lang w:val="en-GB" w:eastAsia="en-GB"/>
              </w:rPr>
            </w:pPr>
            <w:r w:rsidRPr="008A7487">
              <w:rPr>
                <w:rFonts w:ascii="Times New Roman" w:eastAsia="Times New Roman" w:hAnsi="Times New Roman" w:cs="Times New Roman"/>
                <w:color w:val="000000"/>
                <w:sz w:val="24"/>
                <w:szCs w:val="24"/>
                <w:lang w:val="en-GB" w:eastAsia="en-GB"/>
              </w:rPr>
              <w:t>0.69</w:t>
            </w:r>
          </w:p>
        </w:tc>
        <w:tc>
          <w:tcPr>
            <w:tcW w:w="980" w:type="dxa"/>
            <w:tcBorders>
              <w:top w:val="nil"/>
              <w:left w:val="nil"/>
              <w:bottom w:val="nil"/>
              <w:right w:val="nil"/>
            </w:tcBorders>
            <w:shd w:val="clear" w:color="auto" w:fill="auto"/>
            <w:noWrap/>
            <w:vAlign w:val="bottom"/>
            <w:hideMark/>
          </w:tcPr>
          <w:p w14:paraId="5131C359" w14:textId="77777777" w:rsidR="00B75F05" w:rsidRPr="008A7487" w:rsidRDefault="00B75F05" w:rsidP="00C21D6F">
            <w:pPr>
              <w:spacing w:after="0" w:line="240" w:lineRule="auto"/>
              <w:jc w:val="right"/>
              <w:rPr>
                <w:rFonts w:ascii="Times New Roman" w:eastAsia="Times New Roman" w:hAnsi="Times New Roman" w:cs="Times New Roman"/>
                <w:color w:val="000000"/>
                <w:sz w:val="24"/>
                <w:szCs w:val="24"/>
                <w:lang w:val="en-GB" w:eastAsia="en-GB"/>
              </w:rPr>
            </w:pPr>
            <w:r w:rsidRPr="008A7487">
              <w:rPr>
                <w:rFonts w:ascii="Times New Roman" w:eastAsia="Times New Roman" w:hAnsi="Times New Roman" w:cs="Times New Roman"/>
                <w:color w:val="000000"/>
                <w:sz w:val="24"/>
                <w:szCs w:val="24"/>
                <w:lang w:val="en-GB" w:eastAsia="en-GB"/>
              </w:rPr>
              <w:t>7.40</w:t>
            </w:r>
          </w:p>
        </w:tc>
      </w:tr>
      <w:tr w:rsidR="00B75F05" w:rsidRPr="008A7487" w14:paraId="3DAE4AF1" w14:textId="77777777" w:rsidTr="00C21D6F">
        <w:trPr>
          <w:trHeight w:val="300"/>
        </w:trPr>
        <w:tc>
          <w:tcPr>
            <w:tcW w:w="1580" w:type="dxa"/>
            <w:tcBorders>
              <w:top w:val="nil"/>
              <w:left w:val="nil"/>
              <w:bottom w:val="nil"/>
              <w:right w:val="nil"/>
            </w:tcBorders>
            <w:shd w:val="clear" w:color="auto" w:fill="auto"/>
            <w:noWrap/>
            <w:vAlign w:val="bottom"/>
            <w:hideMark/>
          </w:tcPr>
          <w:p w14:paraId="5232C3F9" w14:textId="77777777" w:rsidR="00B75F05" w:rsidRPr="008A7487" w:rsidRDefault="00B75F05" w:rsidP="00C21D6F">
            <w:pPr>
              <w:spacing w:after="0" w:line="240" w:lineRule="auto"/>
              <w:rPr>
                <w:rFonts w:ascii="Times New Roman" w:eastAsia="Times New Roman" w:hAnsi="Times New Roman" w:cs="Times New Roman"/>
                <w:b/>
                <w:color w:val="000000"/>
                <w:sz w:val="24"/>
                <w:szCs w:val="24"/>
                <w:lang w:val="en-GB" w:eastAsia="en-GB"/>
              </w:rPr>
            </w:pPr>
            <w:r w:rsidRPr="008A7487">
              <w:rPr>
                <w:rFonts w:ascii="Times New Roman" w:eastAsia="Times New Roman" w:hAnsi="Times New Roman" w:cs="Times New Roman"/>
                <w:b/>
                <w:color w:val="000000"/>
                <w:sz w:val="24"/>
                <w:szCs w:val="24"/>
                <w:lang w:val="en-GB" w:eastAsia="en-GB"/>
              </w:rPr>
              <w:t xml:space="preserve"> Observations</w:t>
            </w:r>
          </w:p>
        </w:tc>
        <w:tc>
          <w:tcPr>
            <w:tcW w:w="1120" w:type="dxa"/>
            <w:tcBorders>
              <w:top w:val="nil"/>
              <w:left w:val="nil"/>
              <w:bottom w:val="nil"/>
              <w:right w:val="nil"/>
            </w:tcBorders>
            <w:shd w:val="clear" w:color="auto" w:fill="auto"/>
            <w:noWrap/>
            <w:vAlign w:val="bottom"/>
            <w:hideMark/>
          </w:tcPr>
          <w:p w14:paraId="00950665" w14:textId="77777777" w:rsidR="00B75F05" w:rsidRPr="008A7487" w:rsidRDefault="00B75F05" w:rsidP="00C21D6F">
            <w:pPr>
              <w:spacing w:after="0" w:line="240" w:lineRule="auto"/>
              <w:jc w:val="right"/>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1673</w:t>
            </w:r>
          </w:p>
        </w:tc>
        <w:tc>
          <w:tcPr>
            <w:tcW w:w="1320" w:type="dxa"/>
            <w:tcBorders>
              <w:top w:val="nil"/>
              <w:left w:val="nil"/>
              <w:bottom w:val="nil"/>
              <w:right w:val="nil"/>
            </w:tcBorders>
            <w:shd w:val="clear" w:color="auto" w:fill="auto"/>
            <w:noWrap/>
            <w:vAlign w:val="bottom"/>
            <w:hideMark/>
          </w:tcPr>
          <w:p w14:paraId="7023097C" w14:textId="77777777" w:rsidR="00B75F05" w:rsidRPr="008A7487" w:rsidRDefault="00B75F05" w:rsidP="00C21D6F">
            <w:pPr>
              <w:spacing w:after="0" w:line="240" w:lineRule="auto"/>
              <w:jc w:val="right"/>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1673</w:t>
            </w:r>
          </w:p>
        </w:tc>
        <w:tc>
          <w:tcPr>
            <w:tcW w:w="1000" w:type="dxa"/>
            <w:tcBorders>
              <w:top w:val="nil"/>
              <w:left w:val="nil"/>
              <w:bottom w:val="nil"/>
              <w:right w:val="nil"/>
            </w:tcBorders>
            <w:shd w:val="clear" w:color="auto" w:fill="auto"/>
            <w:noWrap/>
            <w:vAlign w:val="bottom"/>
            <w:hideMark/>
          </w:tcPr>
          <w:p w14:paraId="0B2FCE1E" w14:textId="77777777" w:rsidR="00B75F05" w:rsidRPr="008A7487" w:rsidRDefault="00B75F05" w:rsidP="00C21D6F">
            <w:pPr>
              <w:spacing w:after="0" w:line="240" w:lineRule="auto"/>
              <w:jc w:val="right"/>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1673</w:t>
            </w:r>
          </w:p>
        </w:tc>
        <w:tc>
          <w:tcPr>
            <w:tcW w:w="1000" w:type="dxa"/>
            <w:tcBorders>
              <w:top w:val="nil"/>
              <w:left w:val="nil"/>
              <w:bottom w:val="nil"/>
              <w:right w:val="nil"/>
            </w:tcBorders>
            <w:shd w:val="clear" w:color="auto" w:fill="auto"/>
            <w:noWrap/>
            <w:vAlign w:val="bottom"/>
            <w:hideMark/>
          </w:tcPr>
          <w:p w14:paraId="4402FB7D" w14:textId="77777777" w:rsidR="00B75F05" w:rsidRPr="008A7487" w:rsidRDefault="00B75F05" w:rsidP="00C21D6F">
            <w:pPr>
              <w:spacing w:after="0" w:line="240" w:lineRule="auto"/>
              <w:jc w:val="right"/>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1673</w:t>
            </w:r>
          </w:p>
        </w:tc>
        <w:tc>
          <w:tcPr>
            <w:tcW w:w="1120" w:type="dxa"/>
            <w:tcBorders>
              <w:top w:val="nil"/>
              <w:left w:val="nil"/>
              <w:bottom w:val="nil"/>
              <w:right w:val="nil"/>
            </w:tcBorders>
            <w:shd w:val="clear" w:color="auto" w:fill="auto"/>
            <w:noWrap/>
            <w:vAlign w:val="bottom"/>
            <w:hideMark/>
          </w:tcPr>
          <w:p w14:paraId="4176B2CB" w14:textId="77777777" w:rsidR="00B75F05" w:rsidRPr="008A7487" w:rsidRDefault="00B75F05" w:rsidP="00C21D6F">
            <w:pPr>
              <w:spacing w:after="0" w:line="240" w:lineRule="auto"/>
              <w:jc w:val="right"/>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1673</w:t>
            </w:r>
          </w:p>
        </w:tc>
        <w:tc>
          <w:tcPr>
            <w:tcW w:w="1120" w:type="dxa"/>
            <w:tcBorders>
              <w:top w:val="nil"/>
              <w:left w:val="nil"/>
              <w:bottom w:val="nil"/>
              <w:right w:val="nil"/>
            </w:tcBorders>
            <w:shd w:val="clear" w:color="auto" w:fill="auto"/>
            <w:noWrap/>
            <w:vAlign w:val="bottom"/>
            <w:hideMark/>
          </w:tcPr>
          <w:p w14:paraId="01B5DB0F" w14:textId="77777777" w:rsidR="00B75F05" w:rsidRPr="008A7487" w:rsidRDefault="00B75F05" w:rsidP="00C21D6F">
            <w:pPr>
              <w:spacing w:after="0" w:line="240" w:lineRule="auto"/>
              <w:jc w:val="right"/>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1673</w:t>
            </w:r>
          </w:p>
        </w:tc>
        <w:tc>
          <w:tcPr>
            <w:tcW w:w="1120" w:type="dxa"/>
            <w:tcBorders>
              <w:top w:val="nil"/>
              <w:left w:val="nil"/>
              <w:bottom w:val="nil"/>
              <w:right w:val="nil"/>
            </w:tcBorders>
            <w:shd w:val="clear" w:color="auto" w:fill="auto"/>
            <w:noWrap/>
            <w:vAlign w:val="bottom"/>
            <w:hideMark/>
          </w:tcPr>
          <w:p w14:paraId="38A1829A" w14:textId="77777777" w:rsidR="00B75F05" w:rsidRPr="008A7487" w:rsidRDefault="00B75F05" w:rsidP="00C21D6F">
            <w:pPr>
              <w:spacing w:after="0" w:line="240" w:lineRule="auto"/>
              <w:jc w:val="right"/>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1673</w:t>
            </w:r>
          </w:p>
        </w:tc>
        <w:tc>
          <w:tcPr>
            <w:tcW w:w="1120" w:type="dxa"/>
            <w:tcBorders>
              <w:top w:val="nil"/>
              <w:left w:val="nil"/>
              <w:bottom w:val="nil"/>
              <w:right w:val="nil"/>
            </w:tcBorders>
            <w:shd w:val="clear" w:color="auto" w:fill="auto"/>
            <w:noWrap/>
            <w:vAlign w:val="bottom"/>
            <w:hideMark/>
          </w:tcPr>
          <w:p w14:paraId="271C119C" w14:textId="77777777" w:rsidR="00B75F05" w:rsidRPr="008A7487" w:rsidRDefault="00B75F05" w:rsidP="00C21D6F">
            <w:pPr>
              <w:spacing w:after="0" w:line="240" w:lineRule="auto"/>
              <w:jc w:val="right"/>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1673</w:t>
            </w:r>
          </w:p>
        </w:tc>
        <w:tc>
          <w:tcPr>
            <w:tcW w:w="980" w:type="dxa"/>
            <w:tcBorders>
              <w:top w:val="nil"/>
              <w:left w:val="nil"/>
              <w:bottom w:val="nil"/>
              <w:right w:val="nil"/>
            </w:tcBorders>
            <w:shd w:val="clear" w:color="auto" w:fill="auto"/>
            <w:noWrap/>
            <w:vAlign w:val="bottom"/>
            <w:hideMark/>
          </w:tcPr>
          <w:p w14:paraId="7ADC58F9" w14:textId="77777777" w:rsidR="00B75F05" w:rsidRPr="008A7487" w:rsidRDefault="00B75F05" w:rsidP="00C21D6F">
            <w:pPr>
              <w:spacing w:after="0" w:line="240" w:lineRule="auto"/>
              <w:jc w:val="right"/>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sz w:val="24"/>
                <w:szCs w:val="24"/>
                <w:lang w:val="en-GB" w:eastAsia="en-GB"/>
              </w:rPr>
              <w:t>1672</w:t>
            </w:r>
          </w:p>
        </w:tc>
        <w:tc>
          <w:tcPr>
            <w:tcW w:w="980" w:type="dxa"/>
            <w:tcBorders>
              <w:top w:val="nil"/>
              <w:left w:val="nil"/>
              <w:bottom w:val="nil"/>
              <w:right w:val="nil"/>
            </w:tcBorders>
            <w:shd w:val="clear" w:color="auto" w:fill="auto"/>
            <w:noWrap/>
            <w:vAlign w:val="bottom"/>
            <w:hideMark/>
          </w:tcPr>
          <w:p w14:paraId="724E3759" w14:textId="77777777" w:rsidR="00B75F05" w:rsidRPr="008A7487" w:rsidRDefault="00B75F05" w:rsidP="00C21D6F">
            <w:pPr>
              <w:spacing w:after="0" w:line="240" w:lineRule="auto"/>
              <w:jc w:val="right"/>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1673</w:t>
            </w:r>
          </w:p>
        </w:tc>
      </w:tr>
    </w:tbl>
    <w:p w14:paraId="627DD1E5" w14:textId="77777777" w:rsidR="00B75F05" w:rsidRPr="008A7487" w:rsidRDefault="00B75F05" w:rsidP="00B75F05">
      <w:pPr>
        <w:autoSpaceDE w:val="0"/>
        <w:autoSpaceDN w:val="0"/>
        <w:adjustRightInd w:val="0"/>
        <w:spacing w:after="0" w:line="240" w:lineRule="auto"/>
        <w:rPr>
          <w:rFonts w:ascii="Times New Roman" w:hAnsi="Times New Roman" w:cs="Times New Roman"/>
          <w:b/>
          <w:sz w:val="24"/>
          <w:szCs w:val="24"/>
          <w:lang w:val="en-GB"/>
        </w:rPr>
      </w:pPr>
    </w:p>
    <w:p w14:paraId="0FEA2FF0" w14:textId="77777777" w:rsidR="00B75F05" w:rsidRPr="008A7487" w:rsidRDefault="00B75F05" w:rsidP="00B75F05">
      <w:pPr>
        <w:autoSpaceDE w:val="0"/>
        <w:autoSpaceDN w:val="0"/>
        <w:adjustRightInd w:val="0"/>
        <w:spacing w:after="0" w:line="240" w:lineRule="auto"/>
        <w:rPr>
          <w:rFonts w:ascii="Times New Roman" w:hAnsi="Times New Roman" w:cs="Times New Roman"/>
          <w:sz w:val="18"/>
          <w:szCs w:val="18"/>
          <w:lang w:val="en-GB"/>
        </w:rPr>
      </w:pPr>
    </w:p>
    <w:p w14:paraId="263DB353" w14:textId="77777777" w:rsidR="00B75F05" w:rsidRPr="008A7487" w:rsidRDefault="00B75F05" w:rsidP="00B75F05">
      <w:pPr>
        <w:spacing w:line="480" w:lineRule="auto"/>
        <w:contextualSpacing/>
        <w:rPr>
          <w:rFonts w:ascii="Times New Roman" w:hAnsi="Times New Roman" w:cs="Times New Roman"/>
          <w:sz w:val="24"/>
          <w:szCs w:val="24"/>
        </w:rPr>
      </w:pPr>
    </w:p>
    <w:p w14:paraId="28154647" w14:textId="77777777" w:rsidR="00B75F05" w:rsidRPr="008A7487" w:rsidRDefault="00B75F05" w:rsidP="00B75F05">
      <w:pPr>
        <w:spacing w:line="480" w:lineRule="auto"/>
        <w:contextualSpacing/>
        <w:rPr>
          <w:rFonts w:ascii="Times New Roman" w:hAnsi="Times New Roman" w:cs="Times New Roman"/>
          <w:sz w:val="24"/>
          <w:szCs w:val="24"/>
        </w:rPr>
      </w:pPr>
    </w:p>
    <w:p w14:paraId="5335E470" w14:textId="77777777" w:rsidR="00B75F05" w:rsidRPr="008A7487" w:rsidRDefault="00B75F05" w:rsidP="00B75F05">
      <w:pPr>
        <w:spacing w:line="480" w:lineRule="auto"/>
        <w:contextualSpacing/>
        <w:rPr>
          <w:rFonts w:ascii="Times New Roman" w:hAnsi="Times New Roman" w:cs="Times New Roman"/>
          <w:sz w:val="24"/>
          <w:szCs w:val="24"/>
        </w:rPr>
      </w:pPr>
    </w:p>
    <w:p w14:paraId="558983F0" w14:textId="77777777" w:rsidR="00B75F05" w:rsidRPr="008A7487" w:rsidRDefault="00B75F05" w:rsidP="00B75F05">
      <w:pPr>
        <w:spacing w:line="480" w:lineRule="auto"/>
        <w:contextualSpacing/>
        <w:rPr>
          <w:rFonts w:ascii="Times New Roman" w:hAnsi="Times New Roman" w:cs="Times New Roman"/>
          <w:sz w:val="24"/>
          <w:szCs w:val="24"/>
        </w:rPr>
      </w:pPr>
    </w:p>
    <w:p w14:paraId="17977391" w14:textId="77777777" w:rsidR="00B75F05" w:rsidRPr="008A7487" w:rsidRDefault="00B75F05" w:rsidP="00B75F05">
      <w:pPr>
        <w:spacing w:line="480" w:lineRule="auto"/>
        <w:contextualSpacing/>
        <w:rPr>
          <w:rFonts w:ascii="Times New Roman" w:hAnsi="Times New Roman" w:cs="Times New Roman"/>
          <w:sz w:val="24"/>
          <w:szCs w:val="24"/>
        </w:rPr>
      </w:pPr>
    </w:p>
    <w:p w14:paraId="2839524D" w14:textId="77777777" w:rsidR="00B75F05" w:rsidRDefault="00B75F05" w:rsidP="00B75F05">
      <w:pPr>
        <w:spacing w:line="480" w:lineRule="auto"/>
        <w:contextualSpacing/>
        <w:rPr>
          <w:rFonts w:ascii="Times New Roman" w:hAnsi="Times New Roman" w:cs="Times New Roman"/>
          <w:sz w:val="24"/>
          <w:szCs w:val="24"/>
        </w:rPr>
      </w:pPr>
    </w:p>
    <w:p w14:paraId="3A171888" w14:textId="77777777" w:rsidR="00B75F05" w:rsidRDefault="00B75F05" w:rsidP="00B75F05">
      <w:pPr>
        <w:spacing w:line="480" w:lineRule="auto"/>
        <w:contextualSpacing/>
        <w:rPr>
          <w:rFonts w:ascii="Times New Roman" w:hAnsi="Times New Roman" w:cs="Times New Roman"/>
          <w:sz w:val="24"/>
          <w:szCs w:val="24"/>
        </w:rPr>
      </w:pPr>
    </w:p>
    <w:p w14:paraId="2314FAF7" w14:textId="77777777" w:rsidR="00B75F05" w:rsidRDefault="00B75F05" w:rsidP="00B75F05">
      <w:pPr>
        <w:spacing w:line="480" w:lineRule="auto"/>
        <w:contextualSpacing/>
        <w:rPr>
          <w:rFonts w:ascii="Times New Roman" w:hAnsi="Times New Roman" w:cs="Times New Roman"/>
          <w:sz w:val="24"/>
          <w:szCs w:val="24"/>
        </w:rPr>
      </w:pPr>
    </w:p>
    <w:p w14:paraId="76EC9C3C" w14:textId="77777777" w:rsidR="00B75F05" w:rsidRPr="008A7487" w:rsidRDefault="00B75F05" w:rsidP="00B75F05">
      <w:pPr>
        <w:spacing w:line="480" w:lineRule="auto"/>
        <w:contextualSpacing/>
        <w:rPr>
          <w:rFonts w:ascii="Times New Roman" w:hAnsi="Times New Roman" w:cs="Times New Roman"/>
          <w:sz w:val="24"/>
          <w:szCs w:val="24"/>
        </w:rPr>
      </w:pPr>
    </w:p>
    <w:p w14:paraId="6E32A713" w14:textId="77777777" w:rsidR="00B75F05" w:rsidRPr="008A7487" w:rsidRDefault="00B75F05" w:rsidP="00B75F05">
      <w:pPr>
        <w:spacing w:line="480" w:lineRule="auto"/>
        <w:contextualSpacing/>
        <w:rPr>
          <w:rFonts w:ascii="Times New Roman" w:hAnsi="Times New Roman" w:cs="Times New Roman"/>
          <w:sz w:val="24"/>
          <w:szCs w:val="24"/>
        </w:rPr>
      </w:pPr>
    </w:p>
    <w:p w14:paraId="284078B8" w14:textId="77777777" w:rsidR="00B75F05" w:rsidRPr="008A7487" w:rsidRDefault="00B75F05" w:rsidP="00B75F05">
      <w:pPr>
        <w:spacing w:line="480" w:lineRule="auto"/>
        <w:contextualSpacing/>
        <w:rPr>
          <w:rFonts w:ascii="Times New Roman" w:hAnsi="Times New Roman" w:cs="Times New Roman"/>
          <w:sz w:val="24"/>
          <w:szCs w:val="24"/>
        </w:rPr>
      </w:pPr>
    </w:p>
    <w:p w14:paraId="4C63E536" w14:textId="77777777" w:rsidR="00B75F05" w:rsidRPr="008A7487" w:rsidRDefault="00B75F05" w:rsidP="00B75F05">
      <w:pPr>
        <w:autoSpaceDE w:val="0"/>
        <w:autoSpaceDN w:val="0"/>
        <w:adjustRightInd w:val="0"/>
        <w:spacing w:after="0" w:line="240" w:lineRule="auto"/>
        <w:rPr>
          <w:rFonts w:ascii="Times New Roman" w:hAnsi="Times New Roman" w:cs="Times New Roman"/>
          <w:b/>
          <w:sz w:val="24"/>
          <w:szCs w:val="24"/>
          <w:lang w:val="en-GB"/>
        </w:rPr>
      </w:pPr>
      <w:r>
        <w:rPr>
          <w:rFonts w:ascii="Times New Roman" w:hAnsi="Times New Roman" w:cs="Times New Roman"/>
          <w:b/>
          <w:sz w:val="24"/>
          <w:szCs w:val="24"/>
          <w:lang w:val="en-GB"/>
        </w:rPr>
        <w:t>Table 4</w:t>
      </w:r>
      <w:r w:rsidRPr="008A7487">
        <w:rPr>
          <w:rFonts w:ascii="Times New Roman" w:hAnsi="Times New Roman" w:cs="Times New Roman"/>
          <w:b/>
          <w:sz w:val="24"/>
          <w:szCs w:val="24"/>
          <w:lang w:val="en-GB"/>
        </w:rPr>
        <w:t xml:space="preserve">: Correlation matrix </w:t>
      </w:r>
    </w:p>
    <w:p w14:paraId="2F5D3590" w14:textId="77777777" w:rsidR="00B75F05" w:rsidRPr="008A7487" w:rsidRDefault="00B75F05" w:rsidP="00B75F05">
      <w:pPr>
        <w:autoSpaceDE w:val="0"/>
        <w:autoSpaceDN w:val="0"/>
        <w:adjustRightInd w:val="0"/>
        <w:spacing w:after="0" w:line="240" w:lineRule="auto"/>
        <w:rPr>
          <w:rFonts w:ascii="Times New Roman" w:hAnsi="Times New Roman" w:cs="Times New Roman"/>
          <w:sz w:val="18"/>
          <w:szCs w:val="18"/>
          <w:lang w:val="en-GB"/>
        </w:rPr>
      </w:pPr>
    </w:p>
    <w:tbl>
      <w:tblPr>
        <w:tblpPr w:leftFromText="180" w:rightFromText="180" w:vertAnchor="text" w:horzAnchor="page" w:tblpX="784" w:tblpY="130"/>
        <w:tblW w:w="11576" w:type="dxa"/>
        <w:tblLook w:val="04A0" w:firstRow="1" w:lastRow="0" w:firstColumn="1" w:lastColumn="0" w:noHBand="0" w:noVBand="1"/>
      </w:tblPr>
      <w:tblGrid>
        <w:gridCol w:w="1097"/>
        <w:gridCol w:w="960"/>
        <w:gridCol w:w="960"/>
        <w:gridCol w:w="1097"/>
        <w:gridCol w:w="960"/>
        <w:gridCol w:w="960"/>
        <w:gridCol w:w="960"/>
        <w:gridCol w:w="960"/>
        <w:gridCol w:w="988"/>
        <w:gridCol w:w="960"/>
        <w:gridCol w:w="960"/>
        <w:gridCol w:w="960"/>
      </w:tblGrid>
      <w:tr w:rsidR="00B75F05" w:rsidRPr="008A7487" w14:paraId="0F79EEA1" w14:textId="77777777" w:rsidTr="00C21D6F">
        <w:trPr>
          <w:trHeight w:val="300"/>
        </w:trPr>
        <w:tc>
          <w:tcPr>
            <w:tcW w:w="988" w:type="dxa"/>
            <w:tcBorders>
              <w:top w:val="nil"/>
              <w:left w:val="nil"/>
              <w:bottom w:val="nil"/>
              <w:right w:val="nil"/>
            </w:tcBorders>
            <w:shd w:val="clear" w:color="auto" w:fill="auto"/>
            <w:noWrap/>
            <w:vAlign w:val="bottom"/>
            <w:hideMark/>
          </w:tcPr>
          <w:p w14:paraId="25DCB333" w14:textId="77777777" w:rsidR="00B75F05" w:rsidRPr="008A7487" w:rsidRDefault="00B75F05" w:rsidP="00C21D6F">
            <w:pPr>
              <w:spacing w:after="0" w:line="240" w:lineRule="auto"/>
              <w:rPr>
                <w:rFonts w:ascii="Times New Roman" w:eastAsia="Times New Roman" w:hAnsi="Times New Roman" w:cs="Times New Roman"/>
                <w:color w:val="000000"/>
                <w:sz w:val="24"/>
                <w:szCs w:val="24"/>
                <w:lang w:val="en-GB" w:eastAsia="en-GB"/>
              </w:rPr>
            </w:pPr>
          </w:p>
        </w:tc>
        <w:tc>
          <w:tcPr>
            <w:tcW w:w="960" w:type="dxa"/>
            <w:tcBorders>
              <w:top w:val="nil"/>
              <w:left w:val="nil"/>
              <w:bottom w:val="nil"/>
              <w:right w:val="nil"/>
            </w:tcBorders>
            <w:shd w:val="clear" w:color="auto" w:fill="auto"/>
            <w:noWrap/>
            <w:vAlign w:val="bottom"/>
            <w:hideMark/>
          </w:tcPr>
          <w:p w14:paraId="1ED375DC" w14:textId="77777777" w:rsidR="00B75F05" w:rsidRPr="008A7487" w:rsidRDefault="00B75F05" w:rsidP="00C21D6F">
            <w:pPr>
              <w:spacing w:after="0" w:line="240" w:lineRule="auto"/>
              <w:rPr>
                <w:rFonts w:ascii="Times New Roman" w:eastAsia="Times New Roman" w:hAnsi="Times New Roman" w:cs="Times New Roman"/>
                <w:b/>
                <w:color w:val="000000"/>
                <w:sz w:val="24"/>
                <w:szCs w:val="24"/>
                <w:lang w:val="en-GB" w:eastAsia="en-GB"/>
              </w:rPr>
            </w:pPr>
            <w:r w:rsidRPr="008A7487">
              <w:rPr>
                <w:rFonts w:ascii="Times New Roman" w:eastAsia="Times New Roman" w:hAnsi="Times New Roman" w:cs="Times New Roman"/>
                <w:b/>
                <w:color w:val="000000"/>
                <w:sz w:val="24"/>
                <w:szCs w:val="24"/>
                <w:lang w:val="en-GB" w:eastAsia="en-GB"/>
              </w:rPr>
              <w:t xml:space="preserve">       ROA</w:t>
            </w:r>
          </w:p>
        </w:tc>
        <w:tc>
          <w:tcPr>
            <w:tcW w:w="960" w:type="dxa"/>
            <w:tcBorders>
              <w:top w:val="nil"/>
              <w:left w:val="nil"/>
              <w:bottom w:val="nil"/>
              <w:right w:val="nil"/>
            </w:tcBorders>
            <w:shd w:val="clear" w:color="auto" w:fill="auto"/>
            <w:noWrap/>
            <w:vAlign w:val="bottom"/>
            <w:hideMark/>
          </w:tcPr>
          <w:p w14:paraId="315D3398" w14:textId="77777777" w:rsidR="00B75F05" w:rsidRPr="008A7487" w:rsidRDefault="00B75F05" w:rsidP="00C21D6F">
            <w:pPr>
              <w:spacing w:after="0" w:line="240" w:lineRule="auto"/>
              <w:rPr>
                <w:rFonts w:ascii="Times New Roman" w:eastAsia="Times New Roman" w:hAnsi="Times New Roman" w:cs="Times New Roman"/>
                <w:b/>
                <w:color w:val="000000"/>
                <w:sz w:val="24"/>
                <w:szCs w:val="24"/>
                <w:lang w:val="en-GB" w:eastAsia="en-GB"/>
              </w:rPr>
            </w:pPr>
            <w:r w:rsidRPr="008A7487">
              <w:rPr>
                <w:rFonts w:ascii="Times New Roman" w:eastAsia="Times New Roman" w:hAnsi="Times New Roman" w:cs="Times New Roman"/>
                <w:b/>
                <w:color w:val="000000"/>
                <w:sz w:val="24"/>
                <w:szCs w:val="24"/>
                <w:lang w:val="en-GB" w:eastAsia="en-GB"/>
              </w:rPr>
              <w:t xml:space="preserve">         NIM</w:t>
            </w:r>
          </w:p>
        </w:tc>
        <w:tc>
          <w:tcPr>
            <w:tcW w:w="960" w:type="dxa"/>
            <w:tcBorders>
              <w:top w:val="nil"/>
              <w:left w:val="nil"/>
              <w:bottom w:val="nil"/>
              <w:right w:val="nil"/>
            </w:tcBorders>
            <w:shd w:val="clear" w:color="auto" w:fill="auto"/>
            <w:noWrap/>
            <w:vAlign w:val="bottom"/>
            <w:hideMark/>
          </w:tcPr>
          <w:p w14:paraId="5F910A4F" w14:textId="77777777" w:rsidR="00B75F05" w:rsidRPr="008A7487" w:rsidRDefault="00B75F05" w:rsidP="00C21D6F">
            <w:pPr>
              <w:spacing w:after="0" w:line="240" w:lineRule="auto"/>
              <w:rPr>
                <w:rFonts w:ascii="Times New Roman" w:eastAsia="Times New Roman" w:hAnsi="Times New Roman" w:cs="Times New Roman"/>
                <w:b/>
                <w:color w:val="000000"/>
                <w:sz w:val="24"/>
                <w:szCs w:val="24"/>
                <w:lang w:val="en-GB" w:eastAsia="en-GB"/>
              </w:rPr>
            </w:pPr>
            <w:r w:rsidRPr="008A7487">
              <w:rPr>
                <w:rFonts w:ascii="Times New Roman" w:eastAsia="Times New Roman" w:hAnsi="Times New Roman" w:cs="Times New Roman"/>
                <w:b/>
                <w:color w:val="000000"/>
                <w:sz w:val="24"/>
                <w:szCs w:val="24"/>
                <w:lang w:val="en-GB" w:eastAsia="en-GB"/>
              </w:rPr>
              <w:t>LNSIZE</w:t>
            </w:r>
          </w:p>
        </w:tc>
        <w:tc>
          <w:tcPr>
            <w:tcW w:w="960" w:type="dxa"/>
            <w:tcBorders>
              <w:top w:val="nil"/>
              <w:left w:val="nil"/>
              <w:bottom w:val="nil"/>
              <w:right w:val="nil"/>
            </w:tcBorders>
            <w:shd w:val="clear" w:color="auto" w:fill="auto"/>
            <w:noWrap/>
            <w:vAlign w:val="bottom"/>
            <w:hideMark/>
          </w:tcPr>
          <w:p w14:paraId="5A456C76" w14:textId="77777777" w:rsidR="00B75F05" w:rsidRPr="008A7487" w:rsidRDefault="00B75F05" w:rsidP="00C21D6F">
            <w:pPr>
              <w:spacing w:after="0" w:line="240" w:lineRule="auto"/>
              <w:rPr>
                <w:rFonts w:ascii="Times New Roman" w:eastAsia="Times New Roman" w:hAnsi="Times New Roman" w:cs="Times New Roman"/>
                <w:b/>
                <w:color w:val="000000"/>
                <w:sz w:val="24"/>
                <w:szCs w:val="24"/>
                <w:lang w:val="en-GB" w:eastAsia="en-GB"/>
              </w:rPr>
            </w:pPr>
            <w:r w:rsidRPr="008A7487">
              <w:rPr>
                <w:rFonts w:ascii="Times New Roman" w:eastAsia="Times New Roman" w:hAnsi="Times New Roman" w:cs="Times New Roman"/>
                <w:b/>
                <w:color w:val="000000"/>
                <w:sz w:val="24"/>
                <w:szCs w:val="24"/>
                <w:lang w:val="en-GB" w:eastAsia="en-GB"/>
              </w:rPr>
              <w:t xml:space="preserve">        CAP</w:t>
            </w:r>
          </w:p>
        </w:tc>
        <w:tc>
          <w:tcPr>
            <w:tcW w:w="960" w:type="dxa"/>
            <w:tcBorders>
              <w:top w:val="nil"/>
              <w:left w:val="nil"/>
              <w:bottom w:val="nil"/>
              <w:right w:val="nil"/>
            </w:tcBorders>
            <w:shd w:val="clear" w:color="auto" w:fill="auto"/>
            <w:noWrap/>
            <w:vAlign w:val="bottom"/>
            <w:hideMark/>
          </w:tcPr>
          <w:p w14:paraId="345EDD0F" w14:textId="77777777" w:rsidR="00B75F05" w:rsidRPr="008A7487" w:rsidRDefault="00B75F05" w:rsidP="00C21D6F">
            <w:pPr>
              <w:spacing w:after="0" w:line="240" w:lineRule="auto"/>
              <w:rPr>
                <w:rFonts w:ascii="Times New Roman" w:eastAsia="Times New Roman" w:hAnsi="Times New Roman" w:cs="Times New Roman"/>
                <w:b/>
                <w:color w:val="000000"/>
                <w:sz w:val="24"/>
                <w:szCs w:val="24"/>
                <w:lang w:val="en-GB" w:eastAsia="en-GB"/>
              </w:rPr>
            </w:pPr>
            <w:r w:rsidRPr="008A7487">
              <w:rPr>
                <w:rFonts w:ascii="Times New Roman" w:eastAsia="Times New Roman" w:hAnsi="Times New Roman" w:cs="Times New Roman"/>
                <w:b/>
                <w:color w:val="000000"/>
                <w:sz w:val="24"/>
                <w:szCs w:val="24"/>
                <w:lang w:val="en-GB" w:eastAsia="en-GB"/>
              </w:rPr>
              <w:t xml:space="preserve">       CR</w:t>
            </w:r>
          </w:p>
        </w:tc>
        <w:tc>
          <w:tcPr>
            <w:tcW w:w="960" w:type="dxa"/>
            <w:tcBorders>
              <w:top w:val="nil"/>
              <w:left w:val="nil"/>
              <w:bottom w:val="nil"/>
              <w:right w:val="nil"/>
            </w:tcBorders>
            <w:shd w:val="clear" w:color="auto" w:fill="auto"/>
            <w:noWrap/>
            <w:vAlign w:val="bottom"/>
            <w:hideMark/>
          </w:tcPr>
          <w:p w14:paraId="36535B65" w14:textId="77777777" w:rsidR="00B75F05" w:rsidRPr="008A7487" w:rsidRDefault="00B75F05" w:rsidP="00C21D6F">
            <w:pPr>
              <w:spacing w:after="0" w:line="240" w:lineRule="auto"/>
              <w:rPr>
                <w:rFonts w:ascii="Times New Roman" w:eastAsia="Times New Roman" w:hAnsi="Times New Roman" w:cs="Times New Roman"/>
                <w:b/>
                <w:color w:val="000000"/>
                <w:sz w:val="24"/>
                <w:szCs w:val="24"/>
                <w:lang w:val="en-GB" w:eastAsia="en-GB"/>
              </w:rPr>
            </w:pPr>
            <w:r w:rsidRPr="008A7487">
              <w:rPr>
                <w:rFonts w:ascii="Times New Roman" w:eastAsia="Times New Roman" w:hAnsi="Times New Roman" w:cs="Times New Roman"/>
                <w:b/>
                <w:color w:val="000000"/>
                <w:sz w:val="24"/>
                <w:szCs w:val="24"/>
                <w:lang w:val="en-GB" w:eastAsia="en-GB"/>
              </w:rPr>
              <w:t xml:space="preserve">          CM</w:t>
            </w:r>
          </w:p>
        </w:tc>
        <w:tc>
          <w:tcPr>
            <w:tcW w:w="960" w:type="dxa"/>
            <w:tcBorders>
              <w:top w:val="nil"/>
              <w:left w:val="nil"/>
              <w:bottom w:val="nil"/>
              <w:right w:val="nil"/>
            </w:tcBorders>
            <w:shd w:val="clear" w:color="auto" w:fill="auto"/>
            <w:noWrap/>
            <w:vAlign w:val="bottom"/>
            <w:hideMark/>
          </w:tcPr>
          <w:p w14:paraId="36E60E74" w14:textId="77777777" w:rsidR="00B75F05" w:rsidRPr="008A7487" w:rsidRDefault="00B75F05" w:rsidP="00C21D6F">
            <w:pPr>
              <w:spacing w:after="0" w:line="240" w:lineRule="auto"/>
              <w:rPr>
                <w:rFonts w:ascii="Times New Roman" w:eastAsia="Times New Roman" w:hAnsi="Times New Roman" w:cs="Times New Roman"/>
                <w:b/>
                <w:color w:val="000000"/>
                <w:sz w:val="24"/>
                <w:szCs w:val="24"/>
                <w:lang w:val="en-GB" w:eastAsia="en-GB"/>
              </w:rPr>
            </w:pPr>
            <w:r w:rsidRPr="008A7487">
              <w:rPr>
                <w:rFonts w:ascii="Times New Roman" w:eastAsia="Times New Roman" w:hAnsi="Times New Roman" w:cs="Times New Roman"/>
                <w:b/>
                <w:color w:val="000000"/>
                <w:sz w:val="24"/>
                <w:szCs w:val="24"/>
                <w:lang w:val="en-GB" w:eastAsia="en-GB"/>
              </w:rPr>
              <w:t xml:space="preserve">          LQ</w:t>
            </w:r>
          </w:p>
        </w:tc>
        <w:tc>
          <w:tcPr>
            <w:tcW w:w="988" w:type="dxa"/>
            <w:tcBorders>
              <w:top w:val="nil"/>
              <w:left w:val="nil"/>
              <w:bottom w:val="nil"/>
              <w:right w:val="nil"/>
            </w:tcBorders>
            <w:shd w:val="clear" w:color="auto" w:fill="auto"/>
            <w:noWrap/>
            <w:vAlign w:val="bottom"/>
            <w:hideMark/>
          </w:tcPr>
          <w:p w14:paraId="32C54D09" w14:textId="77777777" w:rsidR="00B75F05" w:rsidRPr="008A7487" w:rsidRDefault="00B75F05" w:rsidP="00C21D6F">
            <w:pPr>
              <w:spacing w:after="0" w:line="240" w:lineRule="auto"/>
              <w:rPr>
                <w:rFonts w:ascii="Times New Roman" w:eastAsia="Times New Roman" w:hAnsi="Times New Roman" w:cs="Times New Roman"/>
                <w:b/>
                <w:color w:val="000000"/>
                <w:sz w:val="24"/>
                <w:szCs w:val="24"/>
                <w:lang w:val="en-GB" w:eastAsia="en-GB"/>
              </w:rPr>
            </w:pPr>
            <w:r w:rsidRPr="008A7487">
              <w:rPr>
                <w:rFonts w:ascii="Times New Roman" w:eastAsia="Times New Roman" w:hAnsi="Times New Roman" w:cs="Times New Roman"/>
                <w:b/>
                <w:color w:val="000000"/>
                <w:sz w:val="24"/>
                <w:szCs w:val="24"/>
                <w:lang w:val="en-GB" w:eastAsia="en-GB"/>
              </w:rPr>
              <w:t>MP</w:t>
            </w:r>
          </w:p>
        </w:tc>
        <w:tc>
          <w:tcPr>
            <w:tcW w:w="960" w:type="dxa"/>
            <w:tcBorders>
              <w:top w:val="nil"/>
              <w:left w:val="nil"/>
              <w:bottom w:val="nil"/>
              <w:right w:val="nil"/>
            </w:tcBorders>
            <w:shd w:val="clear" w:color="auto" w:fill="auto"/>
            <w:noWrap/>
            <w:vAlign w:val="bottom"/>
            <w:hideMark/>
          </w:tcPr>
          <w:p w14:paraId="56292464" w14:textId="77777777" w:rsidR="00B75F05" w:rsidRPr="008A7487" w:rsidRDefault="00B75F05" w:rsidP="00C21D6F">
            <w:pPr>
              <w:spacing w:after="0" w:line="240" w:lineRule="auto"/>
              <w:rPr>
                <w:rFonts w:ascii="Times New Roman" w:hAnsi="Times New Roman" w:cs="Times New Roman"/>
                <w:b/>
                <w:i/>
                <w:color w:val="000000"/>
                <w:sz w:val="24"/>
                <w:szCs w:val="24"/>
                <w:lang w:val="en-GB"/>
              </w:rPr>
            </w:pPr>
            <w:r w:rsidRPr="008A7487">
              <w:rPr>
                <w:rFonts w:ascii="Times New Roman" w:hAnsi="Times New Roman" w:cs="Times New Roman"/>
                <w:b/>
                <w:i/>
                <w:color w:val="000000"/>
                <w:sz w:val="24"/>
                <w:szCs w:val="24"/>
                <w:lang w:val="en-GB"/>
              </w:rPr>
              <w:t xml:space="preserve">   </w:t>
            </w:r>
          </w:p>
          <w:p w14:paraId="0365ED2B" w14:textId="77777777" w:rsidR="00B75F05" w:rsidRPr="008A7487" w:rsidRDefault="00B75F05" w:rsidP="00C21D6F">
            <w:pPr>
              <w:spacing w:after="0" w:line="240" w:lineRule="auto"/>
              <w:rPr>
                <w:rFonts w:ascii="Times New Roman" w:eastAsia="Times New Roman" w:hAnsi="Times New Roman" w:cs="Times New Roman"/>
                <w:b/>
                <w:color w:val="000000"/>
                <w:sz w:val="24"/>
                <w:szCs w:val="24"/>
                <w:lang w:val="en-GB" w:eastAsia="en-GB"/>
              </w:rPr>
            </w:pPr>
            <w:r w:rsidRPr="008A7487">
              <w:rPr>
                <w:rFonts w:ascii="Times New Roman" w:hAnsi="Times New Roman" w:cs="Times New Roman"/>
                <w:b/>
                <w:i/>
                <w:color w:val="000000"/>
                <w:sz w:val="24"/>
                <w:szCs w:val="24"/>
                <w:lang w:val="en-GB"/>
              </w:rPr>
              <w:t>Δ</w:t>
            </w:r>
            <w:r w:rsidRPr="008A7487">
              <w:rPr>
                <w:rFonts w:ascii="Times New Roman" w:eastAsia="Times New Roman" w:hAnsi="Times New Roman" w:cs="Times New Roman"/>
                <w:b/>
                <w:color w:val="000000"/>
                <w:sz w:val="24"/>
                <w:szCs w:val="24"/>
                <w:lang w:val="en-GB" w:eastAsia="en-GB"/>
              </w:rPr>
              <w:t>GDP</w:t>
            </w:r>
          </w:p>
        </w:tc>
        <w:tc>
          <w:tcPr>
            <w:tcW w:w="960" w:type="dxa"/>
            <w:tcBorders>
              <w:top w:val="nil"/>
              <w:left w:val="nil"/>
              <w:bottom w:val="nil"/>
              <w:right w:val="nil"/>
            </w:tcBorders>
            <w:shd w:val="clear" w:color="auto" w:fill="auto"/>
            <w:noWrap/>
            <w:vAlign w:val="bottom"/>
            <w:hideMark/>
          </w:tcPr>
          <w:p w14:paraId="7848401E" w14:textId="77777777" w:rsidR="00B75F05" w:rsidRPr="008A7487" w:rsidRDefault="00B75F05" w:rsidP="00C21D6F">
            <w:pPr>
              <w:spacing w:after="0" w:line="240" w:lineRule="auto"/>
              <w:rPr>
                <w:rFonts w:ascii="Times New Roman" w:eastAsia="Times New Roman" w:hAnsi="Times New Roman" w:cs="Times New Roman"/>
                <w:b/>
                <w:color w:val="000000"/>
                <w:sz w:val="24"/>
                <w:szCs w:val="24"/>
                <w:lang w:val="en-GB" w:eastAsia="en-GB"/>
              </w:rPr>
            </w:pPr>
            <w:r w:rsidRPr="008A7487">
              <w:rPr>
                <w:rFonts w:ascii="Times New Roman" w:eastAsia="Times New Roman" w:hAnsi="Times New Roman" w:cs="Times New Roman"/>
                <w:b/>
                <w:color w:val="000000"/>
                <w:sz w:val="24"/>
                <w:szCs w:val="24"/>
                <w:lang w:val="en-GB" w:eastAsia="en-GB"/>
              </w:rPr>
              <w:t xml:space="preserve">     INF</w:t>
            </w:r>
          </w:p>
        </w:tc>
        <w:tc>
          <w:tcPr>
            <w:tcW w:w="960" w:type="dxa"/>
            <w:tcBorders>
              <w:top w:val="nil"/>
              <w:left w:val="nil"/>
              <w:bottom w:val="nil"/>
              <w:right w:val="nil"/>
            </w:tcBorders>
            <w:shd w:val="clear" w:color="auto" w:fill="auto"/>
            <w:noWrap/>
            <w:vAlign w:val="bottom"/>
            <w:hideMark/>
          </w:tcPr>
          <w:p w14:paraId="06D0B344" w14:textId="77777777" w:rsidR="00B75F05" w:rsidRPr="008A7487" w:rsidRDefault="00B75F05" w:rsidP="00C21D6F">
            <w:pPr>
              <w:spacing w:after="0" w:line="240" w:lineRule="auto"/>
              <w:rPr>
                <w:rFonts w:ascii="Times New Roman" w:eastAsia="Times New Roman" w:hAnsi="Times New Roman" w:cs="Times New Roman"/>
                <w:b/>
                <w:color w:val="000000"/>
                <w:sz w:val="24"/>
                <w:szCs w:val="24"/>
                <w:lang w:val="en-GB" w:eastAsia="en-GB"/>
              </w:rPr>
            </w:pPr>
          </w:p>
        </w:tc>
      </w:tr>
      <w:tr w:rsidR="00B75F05" w:rsidRPr="008A7487" w14:paraId="532DA7D5" w14:textId="77777777" w:rsidTr="00C21D6F">
        <w:trPr>
          <w:trHeight w:val="300"/>
        </w:trPr>
        <w:tc>
          <w:tcPr>
            <w:tcW w:w="988" w:type="dxa"/>
            <w:tcBorders>
              <w:top w:val="nil"/>
              <w:left w:val="nil"/>
              <w:bottom w:val="nil"/>
              <w:right w:val="nil"/>
            </w:tcBorders>
            <w:shd w:val="clear" w:color="auto" w:fill="auto"/>
            <w:noWrap/>
            <w:vAlign w:val="bottom"/>
            <w:hideMark/>
          </w:tcPr>
          <w:p w14:paraId="53C44F6F" w14:textId="77777777" w:rsidR="00B75F05" w:rsidRPr="008A7487" w:rsidRDefault="00B75F05" w:rsidP="00C21D6F">
            <w:pPr>
              <w:spacing w:after="0" w:line="240" w:lineRule="auto"/>
              <w:rPr>
                <w:rFonts w:ascii="Times New Roman" w:eastAsia="Times New Roman" w:hAnsi="Times New Roman" w:cs="Times New Roman"/>
                <w:b/>
                <w:color w:val="000000"/>
                <w:sz w:val="24"/>
                <w:szCs w:val="24"/>
                <w:lang w:val="en-GB" w:eastAsia="en-GB"/>
              </w:rPr>
            </w:pPr>
            <w:r w:rsidRPr="008A7487">
              <w:rPr>
                <w:rFonts w:ascii="Times New Roman" w:eastAsia="Times New Roman" w:hAnsi="Times New Roman" w:cs="Times New Roman"/>
                <w:b/>
                <w:color w:val="000000"/>
                <w:sz w:val="24"/>
                <w:szCs w:val="24"/>
                <w:lang w:val="en-GB" w:eastAsia="en-GB"/>
              </w:rPr>
              <w:t>ROA</w:t>
            </w:r>
          </w:p>
        </w:tc>
        <w:tc>
          <w:tcPr>
            <w:tcW w:w="960" w:type="dxa"/>
            <w:tcBorders>
              <w:top w:val="nil"/>
              <w:left w:val="nil"/>
              <w:bottom w:val="nil"/>
              <w:right w:val="nil"/>
            </w:tcBorders>
            <w:shd w:val="clear" w:color="auto" w:fill="auto"/>
            <w:noWrap/>
            <w:vAlign w:val="bottom"/>
            <w:hideMark/>
          </w:tcPr>
          <w:p w14:paraId="2D2830F7" w14:textId="77777777" w:rsidR="00B75F05" w:rsidRPr="008A7487" w:rsidRDefault="00B75F05" w:rsidP="00C21D6F">
            <w:pPr>
              <w:spacing w:after="0" w:line="240" w:lineRule="auto"/>
              <w:jc w:val="right"/>
              <w:rPr>
                <w:rFonts w:ascii="Times New Roman" w:eastAsia="Times New Roman" w:hAnsi="Times New Roman" w:cs="Times New Roman"/>
                <w:color w:val="000000"/>
                <w:sz w:val="24"/>
                <w:szCs w:val="24"/>
                <w:lang w:val="en-GB" w:eastAsia="en-GB"/>
              </w:rPr>
            </w:pPr>
            <w:r w:rsidRPr="008A7487">
              <w:rPr>
                <w:rFonts w:ascii="Times New Roman" w:eastAsia="Times New Roman" w:hAnsi="Times New Roman" w:cs="Times New Roman"/>
                <w:color w:val="000000"/>
                <w:sz w:val="24"/>
                <w:szCs w:val="24"/>
                <w:lang w:val="en-GB" w:eastAsia="en-GB"/>
              </w:rPr>
              <w:t>1.00</w:t>
            </w:r>
          </w:p>
        </w:tc>
        <w:tc>
          <w:tcPr>
            <w:tcW w:w="960" w:type="dxa"/>
            <w:tcBorders>
              <w:top w:val="nil"/>
              <w:left w:val="nil"/>
              <w:bottom w:val="nil"/>
              <w:right w:val="nil"/>
            </w:tcBorders>
            <w:shd w:val="clear" w:color="auto" w:fill="auto"/>
            <w:noWrap/>
            <w:vAlign w:val="bottom"/>
            <w:hideMark/>
          </w:tcPr>
          <w:p w14:paraId="79EB2CD3" w14:textId="77777777" w:rsidR="00B75F05" w:rsidRPr="008A7487" w:rsidRDefault="00B75F05" w:rsidP="00C21D6F">
            <w:pPr>
              <w:spacing w:after="0" w:line="240" w:lineRule="auto"/>
              <w:rPr>
                <w:rFonts w:ascii="Times New Roman" w:eastAsia="Times New Roman" w:hAnsi="Times New Roman" w:cs="Times New Roman"/>
                <w:color w:val="000000"/>
                <w:sz w:val="24"/>
                <w:szCs w:val="24"/>
                <w:lang w:val="en-GB" w:eastAsia="en-GB"/>
              </w:rPr>
            </w:pPr>
          </w:p>
        </w:tc>
        <w:tc>
          <w:tcPr>
            <w:tcW w:w="960" w:type="dxa"/>
            <w:tcBorders>
              <w:top w:val="nil"/>
              <w:left w:val="nil"/>
              <w:bottom w:val="nil"/>
              <w:right w:val="nil"/>
            </w:tcBorders>
            <w:shd w:val="clear" w:color="auto" w:fill="auto"/>
            <w:noWrap/>
            <w:vAlign w:val="bottom"/>
            <w:hideMark/>
          </w:tcPr>
          <w:p w14:paraId="4E23843A" w14:textId="77777777" w:rsidR="00B75F05" w:rsidRPr="008A7487" w:rsidRDefault="00B75F05" w:rsidP="00C21D6F">
            <w:pPr>
              <w:spacing w:after="0" w:line="240" w:lineRule="auto"/>
              <w:rPr>
                <w:rFonts w:ascii="Times New Roman" w:eastAsia="Times New Roman" w:hAnsi="Times New Roman" w:cs="Times New Roman"/>
                <w:color w:val="000000"/>
                <w:sz w:val="24"/>
                <w:szCs w:val="24"/>
                <w:lang w:val="en-GB" w:eastAsia="en-GB"/>
              </w:rPr>
            </w:pPr>
          </w:p>
        </w:tc>
        <w:tc>
          <w:tcPr>
            <w:tcW w:w="960" w:type="dxa"/>
            <w:tcBorders>
              <w:top w:val="nil"/>
              <w:left w:val="nil"/>
              <w:bottom w:val="nil"/>
              <w:right w:val="nil"/>
            </w:tcBorders>
            <w:shd w:val="clear" w:color="auto" w:fill="auto"/>
            <w:noWrap/>
            <w:vAlign w:val="bottom"/>
            <w:hideMark/>
          </w:tcPr>
          <w:p w14:paraId="43947C5D" w14:textId="77777777" w:rsidR="00B75F05" w:rsidRPr="008A7487" w:rsidRDefault="00B75F05" w:rsidP="00C21D6F">
            <w:pPr>
              <w:spacing w:after="0" w:line="240" w:lineRule="auto"/>
              <w:rPr>
                <w:rFonts w:ascii="Times New Roman" w:eastAsia="Times New Roman" w:hAnsi="Times New Roman" w:cs="Times New Roman"/>
                <w:color w:val="000000"/>
                <w:sz w:val="24"/>
                <w:szCs w:val="24"/>
                <w:lang w:val="en-GB" w:eastAsia="en-GB"/>
              </w:rPr>
            </w:pPr>
          </w:p>
        </w:tc>
        <w:tc>
          <w:tcPr>
            <w:tcW w:w="960" w:type="dxa"/>
            <w:tcBorders>
              <w:top w:val="nil"/>
              <w:left w:val="nil"/>
              <w:bottom w:val="nil"/>
              <w:right w:val="nil"/>
            </w:tcBorders>
            <w:shd w:val="clear" w:color="auto" w:fill="auto"/>
            <w:noWrap/>
            <w:vAlign w:val="bottom"/>
            <w:hideMark/>
          </w:tcPr>
          <w:p w14:paraId="3273C6B7" w14:textId="77777777" w:rsidR="00B75F05" w:rsidRPr="008A7487" w:rsidRDefault="00B75F05" w:rsidP="00C21D6F">
            <w:pPr>
              <w:spacing w:after="0" w:line="240" w:lineRule="auto"/>
              <w:rPr>
                <w:rFonts w:ascii="Times New Roman" w:eastAsia="Times New Roman" w:hAnsi="Times New Roman" w:cs="Times New Roman"/>
                <w:color w:val="000000"/>
                <w:sz w:val="24"/>
                <w:szCs w:val="24"/>
                <w:lang w:val="en-GB" w:eastAsia="en-GB"/>
              </w:rPr>
            </w:pPr>
          </w:p>
        </w:tc>
        <w:tc>
          <w:tcPr>
            <w:tcW w:w="960" w:type="dxa"/>
            <w:tcBorders>
              <w:top w:val="nil"/>
              <w:left w:val="nil"/>
              <w:bottom w:val="nil"/>
              <w:right w:val="nil"/>
            </w:tcBorders>
            <w:shd w:val="clear" w:color="auto" w:fill="auto"/>
            <w:noWrap/>
            <w:vAlign w:val="bottom"/>
            <w:hideMark/>
          </w:tcPr>
          <w:p w14:paraId="1E9B2689" w14:textId="77777777" w:rsidR="00B75F05" w:rsidRPr="008A7487" w:rsidRDefault="00B75F05" w:rsidP="00C21D6F">
            <w:pPr>
              <w:spacing w:after="0" w:line="240" w:lineRule="auto"/>
              <w:rPr>
                <w:rFonts w:ascii="Times New Roman" w:eastAsia="Times New Roman" w:hAnsi="Times New Roman" w:cs="Times New Roman"/>
                <w:color w:val="000000"/>
                <w:sz w:val="24"/>
                <w:szCs w:val="24"/>
                <w:lang w:val="en-GB" w:eastAsia="en-GB"/>
              </w:rPr>
            </w:pPr>
          </w:p>
        </w:tc>
        <w:tc>
          <w:tcPr>
            <w:tcW w:w="960" w:type="dxa"/>
            <w:tcBorders>
              <w:top w:val="nil"/>
              <w:left w:val="nil"/>
              <w:bottom w:val="nil"/>
              <w:right w:val="nil"/>
            </w:tcBorders>
            <w:shd w:val="clear" w:color="auto" w:fill="auto"/>
            <w:noWrap/>
            <w:vAlign w:val="bottom"/>
            <w:hideMark/>
          </w:tcPr>
          <w:p w14:paraId="41221742" w14:textId="77777777" w:rsidR="00B75F05" w:rsidRPr="008A7487" w:rsidRDefault="00B75F05" w:rsidP="00C21D6F">
            <w:pPr>
              <w:spacing w:after="0" w:line="240" w:lineRule="auto"/>
              <w:rPr>
                <w:rFonts w:ascii="Times New Roman" w:eastAsia="Times New Roman" w:hAnsi="Times New Roman" w:cs="Times New Roman"/>
                <w:color w:val="000000"/>
                <w:sz w:val="24"/>
                <w:szCs w:val="24"/>
                <w:lang w:val="en-GB" w:eastAsia="en-GB"/>
              </w:rPr>
            </w:pPr>
          </w:p>
        </w:tc>
        <w:tc>
          <w:tcPr>
            <w:tcW w:w="988" w:type="dxa"/>
            <w:tcBorders>
              <w:top w:val="nil"/>
              <w:left w:val="nil"/>
              <w:bottom w:val="nil"/>
              <w:right w:val="nil"/>
            </w:tcBorders>
            <w:shd w:val="clear" w:color="auto" w:fill="auto"/>
            <w:noWrap/>
            <w:vAlign w:val="bottom"/>
            <w:hideMark/>
          </w:tcPr>
          <w:p w14:paraId="53E30F60" w14:textId="77777777" w:rsidR="00B75F05" w:rsidRPr="008A7487" w:rsidRDefault="00B75F05" w:rsidP="00C21D6F">
            <w:pPr>
              <w:spacing w:after="0" w:line="240" w:lineRule="auto"/>
              <w:rPr>
                <w:rFonts w:ascii="Times New Roman" w:eastAsia="Times New Roman" w:hAnsi="Times New Roman" w:cs="Times New Roman"/>
                <w:color w:val="000000"/>
                <w:sz w:val="24"/>
                <w:szCs w:val="24"/>
                <w:lang w:val="en-GB" w:eastAsia="en-GB"/>
              </w:rPr>
            </w:pPr>
          </w:p>
        </w:tc>
        <w:tc>
          <w:tcPr>
            <w:tcW w:w="960" w:type="dxa"/>
            <w:tcBorders>
              <w:top w:val="nil"/>
              <w:left w:val="nil"/>
              <w:bottom w:val="nil"/>
              <w:right w:val="nil"/>
            </w:tcBorders>
            <w:shd w:val="clear" w:color="auto" w:fill="auto"/>
            <w:noWrap/>
            <w:vAlign w:val="bottom"/>
            <w:hideMark/>
          </w:tcPr>
          <w:p w14:paraId="48D1ABE4" w14:textId="77777777" w:rsidR="00B75F05" w:rsidRPr="008A7487" w:rsidRDefault="00B75F05" w:rsidP="00C21D6F">
            <w:pPr>
              <w:spacing w:after="0" w:line="240" w:lineRule="auto"/>
              <w:rPr>
                <w:rFonts w:ascii="Times New Roman" w:eastAsia="Times New Roman" w:hAnsi="Times New Roman" w:cs="Times New Roman"/>
                <w:color w:val="000000"/>
                <w:sz w:val="24"/>
                <w:szCs w:val="24"/>
                <w:lang w:val="en-GB" w:eastAsia="en-GB"/>
              </w:rPr>
            </w:pPr>
          </w:p>
        </w:tc>
        <w:tc>
          <w:tcPr>
            <w:tcW w:w="960" w:type="dxa"/>
            <w:tcBorders>
              <w:top w:val="nil"/>
              <w:left w:val="nil"/>
              <w:bottom w:val="nil"/>
              <w:right w:val="nil"/>
            </w:tcBorders>
            <w:shd w:val="clear" w:color="auto" w:fill="auto"/>
            <w:noWrap/>
            <w:vAlign w:val="bottom"/>
            <w:hideMark/>
          </w:tcPr>
          <w:p w14:paraId="2EBC37C0" w14:textId="77777777" w:rsidR="00B75F05" w:rsidRPr="008A7487" w:rsidRDefault="00B75F05" w:rsidP="00C21D6F">
            <w:pPr>
              <w:spacing w:after="0" w:line="240" w:lineRule="auto"/>
              <w:rPr>
                <w:rFonts w:ascii="Times New Roman" w:eastAsia="Times New Roman" w:hAnsi="Times New Roman" w:cs="Times New Roman"/>
                <w:color w:val="000000"/>
                <w:sz w:val="24"/>
                <w:szCs w:val="24"/>
                <w:lang w:val="en-GB" w:eastAsia="en-GB"/>
              </w:rPr>
            </w:pPr>
          </w:p>
        </w:tc>
        <w:tc>
          <w:tcPr>
            <w:tcW w:w="960" w:type="dxa"/>
            <w:tcBorders>
              <w:top w:val="nil"/>
              <w:left w:val="nil"/>
              <w:bottom w:val="nil"/>
              <w:right w:val="nil"/>
            </w:tcBorders>
            <w:shd w:val="clear" w:color="auto" w:fill="auto"/>
            <w:noWrap/>
            <w:vAlign w:val="bottom"/>
            <w:hideMark/>
          </w:tcPr>
          <w:p w14:paraId="05B38623" w14:textId="77777777" w:rsidR="00B75F05" w:rsidRPr="008A7487" w:rsidRDefault="00B75F05" w:rsidP="00C21D6F">
            <w:pPr>
              <w:spacing w:after="0" w:line="240" w:lineRule="auto"/>
              <w:rPr>
                <w:rFonts w:ascii="Times New Roman" w:eastAsia="Times New Roman" w:hAnsi="Times New Roman" w:cs="Times New Roman"/>
                <w:color w:val="000000"/>
                <w:sz w:val="24"/>
                <w:szCs w:val="24"/>
                <w:lang w:val="en-GB" w:eastAsia="en-GB"/>
              </w:rPr>
            </w:pPr>
          </w:p>
        </w:tc>
      </w:tr>
      <w:tr w:rsidR="00B75F05" w:rsidRPr="008A7487" w14:paraId="4573555B" w14:textId="77777777" w:rsidTr="00C21D6F">
        <w:trPr>
          <w:trHeight w:val="300"/>
        </w:trPr>
        <w:tc>
          <w:tcPr>
            <w:tcW w:w="988" w:type="dxa"/>
            <w:tcBorders>
              <w:top w:val="nil"/>
              <w:left w:val="nil"/>
              <w:bottom w:val="nil"/>
              <w:right w:val="nil"/>
            </w:tcBorders>
            <w:shd w:val="clear" w:color="auto" w:fill="auto"/>
            <w:noWrap/>
            <w:vAlign w:val="bottom"/>
            <w:hideMark/>
          </w:tcPr>
          <w:p w14:paraId="198C7C49" w14:textId="77777777" w:rsidR="00B75F05" w:rsidRPr="008A7487" w:rsidRDefault="00B75F05" w:rsidP="00C21D6F">
            <w:pPr>
              <w:spacing w:after="0" w:line="240" w:lineRule="auto"/>
              <w:rPr>
                <w:rFonts w:ascii="Times New Roman" w:eastAsia="Times New Roman" w:hAnsi="Times New Roman" w:cs="Times New Roman"/>
                <w:b/>
                <w:color w:val="000000"/>
                <w:sz w:val="24"/>
                <w:szCs w:val="24"/>
                <w:lang w:val="en-GB" w:eastAsia="en-GB"/>
              </w:rPr>
            </w:pPr>
            <w:r w:rsidRPr="008A7487">
              <w:rPr>
                <w:rFonts w:ascii="Times New Roman" w:eastAsia="Times New Roman" w:hAnsi="Times New Roman" w:cs="Times New Roman"/>
                <w:b/>
                <w:color w:val="000000"/>
                <w:sz w:val="24"/>
                <w:szCs w:val="24"/>
                <w:lang w:val="en-GB" w:eastAsia="en-GB"/>
              </w:rPr>
              <w:t>NIM</w:t>
            </w:r>
          </w:p>
        </w:tc>
        <w:tc>
          <w:tcPr>
            <w:tcW w:w="960" w:type="dxa"/>
            <w:tcBorders>
              <w:top w:val="nil"/>
              <w:left w:val="nil"/>
              <w:bottom w:val="nil"/>
              <w:right w:val="nil"/>
            </w:tcBorders>
            <w:shd w:val="clear" w:color="auto" w:fill="auto"/>
            <w:noWrap/>
            <w:vAlign w:val="bottom"/>
            <w:hideMark/>
          </w:tcPr>
          <w:p w14:paraId="3D88B132" w14:textId="77777777" w:rsidR="00B75F05" w:rsidRPr="008A7487" w:rsidRDefault="00B75F05" w:rsidP="00C21D6F">
            <w:pPr>
              <w:spacing w:after="0" w:line="240" w:lineRule="auto"/>
              <w:jc w:val="right"/>
              <w:rPr>
                <w:rFonts w:ascii="Times New Roman" w:eastAsia="Times New Roman" w:hAnsi="Times New Roman" w:cs="Times New Roman"/>
                <w:color w:val="000000"/>
                <w:sz w:val="24"/>
                <w:szCs w:val="24"/>
                <w:lang w:val="en-GB" w:eastAsia="en-GB"/>
              </w:rPr>
            </w:pPr>
            <w:r w:rsidRPr="008A7487">
              <w:rPr>
                <w:rFonts w:ascii="Times New Roman" w:eastAsia="Times New Roman" w:hAnsi="Times New Roman" w:cs="Times New Roman"/>
                <w:color w:val="000000"/>
                <w:sz w:val="24"/>
                <w:szCs w:val="24"/>
                <w:lang w:val="en-GB" w:eastAsia="en-GB"/>
              </w:rPr>
              <w:t>-0.04</w:t>
            </w:r>
          </w:p>
        </w:tc>
        <w:tc>
          <w:tcPr>
            <w:tcW w:w="960" w:type="dxa"/>
            <w:tcBorders>
              <w:top w:val="nil"/>
              <w:left w:val="nil"/>
              <w:bottom w:val="nil"/>
              <w:right w:val="nil"/>
            </w:tcBorders>
            <w:shd w:val="clear" w:color="auto" w:fill="auto"/>
            <w:noWrap/>
            <w:vAlign w:val="bottom"/>
            <w:hideMark/>
          </w:tcPr>
          <w:p w14:paraId="4002993D" w14:textId="77777777" w:rsidR="00B75F05" w:rsidRPr="008A7487" w:rsidRDefault="00B75F05" w:rsidP="00C21D6F">
            <w:pPr>
              <w:spacing w:after="0" w:line="240" w:lineRule="auto"/>
              <w:jc w:val="right"/>
              <w:rPr>
                <w:rFonts w:ascii="Times New Roman" w:eastAsia="Times New Roman" w:hAnsi="Times New Roman" w:cs="Times New Roman"/>
                <w:color w:val="000000"/>
                <w:sz w:val="24"/>
                <w:szCs w:val="24"/>
                <w:lang w:val="en-GB" w:eastAsia="en-GB"/>
              </w:rPr>
            </w:pPr>
            <w:r w:rsidRPr="008A7487">
              <w:rPr>
                <w:rFonts w:ascii="Times New Roman" w:eastAsia="Times New Roman" w:hAnsi="Times New Roman" w:cs="Times New Roman"/>
                <w:color w:val="000000"/>
                <w:sz w:val="24"/>
                <w:szCs w:val="24"/>
                <w:lang w:val="en-GB" w:eastAsia="en-GB"/>
              </w:rPr>
              <w:t>1.00</w:t>
            </w:r>
          </w:p>
        </w:tc>
        <w:tc>
          <w:tcPr>
            <w:tcW w:w="960" w:type="dxa"/>
            <w:tcBorders>
              <w:top w:val="nil"/>
              <w:left w:val="nil"/>
              <w:bottom w:val="nil"/>
              <w:right w:val="nil"/>
            </w:tcBorders>
            <w:shd w:val="clear" w:color="auto" w:fill="auto"/>
            <w:noWrap/>
            <w:vAlign w:val="bottom"/>
            <w:hideMark/>
          </w:tcPr>
          <w:p w14:paraId="3EBD9D57" w14:textId="77777777" w:rsidR="00B75F05" w:rsidRPr="008A7487" w:rsidRDefault="00B75F05" w:rsidP="00C21D6F">
            <w:pPr>
              <w:spacing w:after="0" w:line="240" w:lineRule="auto"/>
              <w:rPr>
                <w:rFonts w:ascii="Times New Roman" w:eastAsia="Times New Roman" w:hAnsi="Times New Roman" w:cs="Times New Roman"/>
                <w:color w:val="000000"/>
                <w:sz w:val="24"/>
                <w:szCs w:val="24"/>
                <w:lang w:val="en-GB" w:eastAsia="en-GB"/>
              </w:rPr>
            </w:pPr>
          </w:p>
        </w:tc>
        <w:tc>
          <w:tcPr>
            <w:tcW w:w="960" w:type="dxa"/>
            <w:tcBorders>
              <w:top w:val="nil"/>
              <w:left w:val="nil"/>
              <w:bottom w:val="nil"/>
              <w:right w:val="nil"/>
            </w:tcBorders>
            <w:shd w:val="clear" w:color="auto" w:fill="auto"/>
            <w:noWrap/>
            <w:vAlign w:val="bottom"/>
            <w:hideMark/>
          </w:tcPr>
          <w:p w14:paraId="0B49E6D4" w14:textId="77777777" w:rsidR="00B75F05" w:rsidRPr="008A7487" w:rsidRDefault="00B75F05" w:rsidP="00C21D6F">
            <w:pPr>
              <w:spacing w:after="0" w:line="240" w:lineRule="auto"/>
              <w:rPr>
                <w:rFonts w:ascii="Times New Roman" w:eastAsia="Times New Roman" w:hAnsi="Times New Roman" w:cs="Times New Roman"/>
                <w:color w:val="000000"/>
                <w:sz w:val="24"/>
                <w:szCs w:val="24"/>
                <w:lang w:val="en-GB" w:eastAsia="en-GB"/>
              </w:rPr>
            </w:pPr>
          </w:p>
        </w:tc>
        <w:tc>
          <w:tcPr>
            <w:tcW w:w="960" w:type="dxa"/>
            <w:tcBorders>
              <w:top w:val="nil"/>
              <w:left w:val="nil"/>
              <w:bottom w:val="nil"/>
              <w:right w:val="nil"/>
            </w:tcBorders>
            <w:shd w:val="clear" w:color="auto" w:fill="auto"/>
            <w:noWrap/>
            <w:vAlign w:val="bottom"/>
            <w:hideMark/>
          </w:tcPr>
          <w:p w14:paraId="2D290CC9" w14:textId="77777777" w:rsidR="00B75F05" w:rsidRPr="008A7487" w:rsidRDefault="00B75F05" w:rsidP="00C21D6F">
            <w:pPr>
              <w:spacing w:after="0" w:line="240" w:lineRule="auto"/>
              <w:rPr>
                <w:rFonts w:ascii="Times New Roman" w:eastAsia="Times New Roman" w:hAnsi="Times New Roman" w:cs="Times New Roman"/>
                <w:color w:val="000000"/>
                <w:sz w:val="24"/>
                <w:szCs w:val="24"/>
                <w:lang w:val="en-GB" w:eastAsia="en-GB"/>
              </w:rPr>
            </w:pPr>
          </w:p>
        </w:tc>
        <w:tc>
          <w:tcPr>
            <w:tcW w:w="960" w:type="dxa"/>
            <w:tcBorders>
              <w:top w:val="nil"/>
              <w:left w:val="nil"/>
              <w:bottom w:val="nil"/>
              <w:right w:val="nil"/>
            </w:tcBorders>
            <w:shd w:val="clear" w:color="auto" w:fill="auto"/>
            <w:noWrap/>
            <w:vAlign w:val="bottom"/>
            <w:hideMark/>
          </w:tcPr>
          <w:p w14:paraId="1ADC5696" w14:textId="77777777" w:rsidR="00B75F05" w:rsidRPr="008A7487" w:rsidRDefault="00B75F05" w:rsidP="00C21D6F">
            <w:pPr>
              <w:spacing w:after="0" w:line="240" w:lineRule="auto"/>
              <w:rPr>
                <w:rFonts w:ascii="Times New Roman" w:eastAsia="Times New Roman" w:hAnsi="Times New Roman" w:cs="Times New Roman"/>
                <w:color w:val="000000"/>
                <w:sz w:val="24"/>
                <w:szCs w:val="24"/>
                <w:lang w:val="en-GB" w:eastAsia="en-GB"/>
              </w:rPr>
            </w:pPr>
          </w:p>
        </w:tc>
        <w:tc>
          <w:tcPr>
            <w:tcW w:w="960" w:type="dxa"/>
            <w:tcBorders>
              <w:top w:val="nil"/>
              <w:left w:val="nil"/>
              <w:bottom w:val="nil"/>
              <w:right w:val="nil"/>
            </w:tcBorders>
            <w:shd w:val="clear" w:color="auto" w:fill="auto"/>
            <w:noWrap/>
            <w:vAlign w:val="bottom"/>
            <w:hideMark/>
          </w:tcPr>
          <w:p w14:paraId="11F26A9F" w14:textId="77777777" w:rsidR="00B75F05" w:rsidRPr="008A7487" w:rsidRDefault="00B75F05" w:rsidP="00C21D6F">
            <w:pPr>
              <w:spacing w:after="0" w:line="240" w:lineRule="auto"/>
              <w:rPr>
                <w:rFonts w:ascii="Times New Roman" w:eastAsia="Times New Roman" w:hAnsi="Times New Roman" w:cs="Times New Roman"/>
                <w:color w:val="000000"/>
                <w:sz w:val="24"/>
                <w:szCs w:val="24"/>
                <w:lang w:val="en-GB" w:eastAsia="en-GB"/>
              </w:rPr>
            </w:pPr>
          </w:p>
        </w:tc>
        <w:tc>
          <w:tcPr>
            <w:tcW w:w="988" w:type="dxa"/>
            <w:tcBorders>
              <w:top w:val="nil"/>
              <w:left w:val="nil"/>
              <w:bottom w:val="nil"/>
              <w:right w:val="nil"/>
            </w:tcBorders>
            <w:shd w:val="clear" w:color="auto" w:fill="auto"/>
            <w:noWrap/>
            <w:vAlign w:val="bottom"/>
            <w:hideMark/>
          </w:tcPr>
          <w:p w14:paraId="1BF11D19" w14:textId="77777777" w:rsidR="00B75F05" w:rsidRPr="008A7487" w:rsidRDefault="00B75F05" w:rsidP="00C21D6F">
            <w:pPr>
              <w:spacing w:after="0" w:line="240" w:lineRule="auto"/>
              <w:rPr>
                <w:rFonts w:ascii="Times New Roman" w:eastAsia="Times New Roman" w:hAnsi="Times New Roman" w:cs="Times New Roman"/>
                <w:color w:val="000000"/>
                <w:sz w:val="24"/>
                <w:szCs w:val="24"/>
                <w:lang w:val="en-GB" w:eastAsia="en-GB"/>
              </w:rPr>
            </w:pPr>
          </w:p>
        </w:tc>
        <w:tc>
          <w:tcPr>
            <w:tcW w:w="960" w:type="dxa"/>
            <w:tcBorders>
              <w:top w:val="nil"/>
              <w:left w:val="nil"/>
              <w:bottom w:val="nil"/>
              <w:right w:val="nil"/>
            </w:tcBorders>
            <w:shd w:val="clear" w:color="auto" w:fill="auto"/>
            <w:noWrap/>
            <w:vAlign w:val="bottom"/>
            <w:hideMark/>
          </w:tcPr>
          <w:p w14:paraId="0BF5F890" w14:textId="77777777" w:rsidR="00B75F05" w:rsidRPr="008A7487" w:rsidRDefault="00B75F05" w:rsidP="00C21D6F">
            <w:pPr>
              <w:spacing w:after="0" w:line="240" w:lineRule="auto"/>
              <w:rPr>
                <w:rFonts w:ascii="Times New Roman" w:eastAsia="Times New Roman" w:hAnsi="Times New Roman" w:cs="Times New Roman"/>
                <w:color w:val="000000"/>
                <w:sz w:val="24"/>
                <w:szCs w:val="24"/>
                <w:lang w:val="en-GB" w:eastAsia="en-GB"/>
              </w:rPr>
            </w:pPr>
          </w:p>
        </w:tc>
        <w:tc>
          <w:tcPr>
            <w:tcW w:w="960" w:type="dxa"/>
            <w:tcBorders>
              <w:top w:val="nil"/>
              <w:left w:val="nil"/>
              <w:bottom w:val="nil"/>
              <w:right w:val="nil"/>
            </w:tcBorders>
            <w:shd w:val="clear" w:color="auto" w:fill="auto"/>
            <w:noWrap/>
            <w:vAlign w:val="bottom"/>
            <w:hideMark/>
          </w:tcPr>
          <w:p w14:paraId="764D73CB" w14:textId="77777777" w:rsidR="00B75F05" w:rsidRPr="008A7487" w:rsidRDefault="00B75F05" w:rsidP="00C21D6F">
            <w:pPr>
              <w:spacing w:after="0" w:line="240" w:lineRule="auto"/>
              <w:rPr>
                <w:rFonts w:ascii="Times New Roman" w:eastAsia="Times New Roman" w:hAnsi="Times New Roman" w:cs="Times New Roman"/>
                <w:color w:val="000000"/>
                <w:sz w:val="24"/>
                <w:szCs w:val="24"/>
                <w:lang w:val="en-GB" w:eastAsia="en-GB"/>
              </w:rPr>
            </w:pPr>
          </w:p>
        </w:tc>
        <w:tc>
          <w:tcPr>
            <w:tcW w:w="960" w:type="dxa"/>
            <w:tcBorders>
              <w:top w:val="nil"/>
              <w:left w:val="nil"/>
              <w:bottom w:val="nil"/>
              <w:right w:val="nil"/>
            </w:tcBorders>
            <w:shd w:val="clear" w:color="auto" w:fill="auto"/>
            <w:noWrap/>
            <w:vAlign w:val="bottom"/>
            <w:hideMark/>
          </w:tcPr>
          <w:p w14:paraId="14601787" w14:textId="77777777" w:rsidR="00B75F05" w:rsidRPr="008A7487" w:rsidRDefault="00B75F05" w:rsidP="00C21D6F">
            <w:pPr>
              <w:spacing w:after="0" w:line="240" w:lineRule="auto"/>
              <w:rPr>
                <w:rFonts w:ascii="Times New Roman" w:eastAsia="Times New Roman" w:hAnsi="Times New Roman" w:cs="Times New Roman"/>
                <w:color w:val="000000"/>
                <w:sz w:val="24"/>
                <w:szCs w:val="24"/>
                <w:lang w:val="en-GB" w:eastAsia="en-GB"/>
              </w:rPr>
            </w:pPr>
          </w:p>
        </w:tc>
      </w:tr>
      <w:tr w:rsidR="00B75F05" w:rsidRPr="008A7487" w14:paraId="4C630F20" w14:textId="77777777" w:rsidTr="00C21D6F">
        <w:trPr>
          <w:trHeight w:val="300"/>
        </w:trPr>
        <w:tc>
          <w:tcPr>
            <w:tcW w:w="988" w:type="dxa"/>
            <w:tcBorders>
              <w:top w:val="nil"/>
              <w:left w:val="nil"/>
              <w:bottom w:val="nil"/>
              <w:right w:val="nil"/>
            </w:tcBorders>
            <w:shd w:val="clear" w:color="auto" w:fill="auto"/>
            <w:noWrap/>
            <w:vAlign w:val="bottom"/>
            <w:hideMark/>
          </w:tcPr>
          <w:p w14:paraId="749E708D" w14:textId="77777777" w:rsidR="00B75F05" w:rsidRPr="008A7487" w:rsidRDefault="00B75F05" w:rsidP="00C21D6F">
            <w:pPr>
              <w:spacing w:after="0" w:line="240" w:lineRule="auto"/>
              <w:rPr>
                <w:rFonts w:ascii="Times New Roman" w:eastAsia="Times New Roman" w:hAnsi="Times New Roman" w:cs="Times New Roman"/>
                <w:b/>
                <w:color w:val="000000"/>
                <w:sz w:val="24"/>
                <w:szCs w:val="24"/>
                <w:lang w:val="en-GB" w:eastAsia="en-GB"/>
              </w:rPr>
            </w:pPr>
            <w:r w:rsidRPr="008A7487">
              <w:rPr>
                <w:rFonts w:ascii="Times New Roman" w:eastAsia="Times New Roman" w:hAnsi="Times New Roman" w:cs="Times New Roman"/>
                <w:b/>
                <w:color w:val="000000"/>
                <w:sz w:val="24"/>
                <w:szCs w:val="24"/>
                <w:lang w:val="en-GB" w:eastAsia="en-GB"/>
              </w:rPr>
              <w:t>LNSIZE</w:t>
            </w:r>
          </w:p>
        </w:tc>
        <w:tc>
          <w:tcPr>
            <w:tcW w:w="960" w:type="dxa"/>
            <w:tcBorders>
              <w:top w:val="nil"/>
              <w:left w:val="nil"/>
              <w:bottom w:val="nil"/>
              <w:right w:val="nil"/>
            </w:tcBorders>
            <w:shd w:val="clear" w:color="auto" w:fill="auto"/>
            <w:noWrap/>
            <w:vAlign w:val="bottom"/>
            <w:hideMark/>
          </w:tcPr>
          <w:p w14:paraId="7D50D205" w14:textId="77777777" w:rsidR="00B75F05" w:rsidRPr="008A7487" w:rsidRDefault="00B75F05" w:rsidP="00C21D6F">
            <w:pPr>
              <w:spacing w:after="0" w:line="240" w:lineRule="auto"/>
              <w:jc w:val="right"/>
              <w:rPr>
                <w:rFonts w:ascii="Times New Roman" w:eastAsia="Times New Roman" w:hAnsi="Times New Roman" w:cs="Times New Roman"/>
                <w:color w:val="000000"/>
                <w:sz w:val="24"/>
                <w:szCs w:val="24"/>
                <w:lang w:val="en-GB" w:eastAsia="en-GB"/>
              </w:rPr>
            </w:pPr>
            <w:r w:rsidRPr="008A7487">
              <w:rPr>
                <w:rFonts w:ascii="Times New Roman" w:eastAsia="Times New Roman" w:hAnsi="Times New Roman" w:cs="Times New Roman"/>
                <w:color w:val="000000"/>
                <w:sz w:val="24"/>
                <w:szCs w:val="24"/>
                <w:lang w:val="en-GB" w:eastAsia="en-GB"/>
              </w:rPr>
              <w:t>0.17</w:t>
            </w:r>
          </w:p>
        </w:tc>
        <w:tc>
          <w:tcPr>
            <w:tcW w:w="960" w:type="dxa"/>
            <w:tcBorders>
              <w:top w:val="nil"/>
              <w:left w:val="nil"/>
              <w:bottom w:val="nil"/>
              <w:right w:val="nil"/>
            </w:tcBorders>
            <w:shd w:val="clear" w:color="auto" w:fill="auto"/>
            <w:noWrap/>
            <w:vAlign w:val="bottom"/>
            <w:hideMark/>
          </w:tcPr>
          <w:p w14:paraId="20961350" w14:textId="77777777" w:rsidR="00B75F05" w:rsidRPr="008A7487" w:rsidRDefault="00B75F05" w:rsidP="00C21D6F">
            <w:pPr>
              <w:spacing w:after="0" w:line="240" w:lineRule="auto"/>
              <w:jc w:val="right"/>
              <w:rPr>
                <w:rFonts w:ascii="Times New Roman" w:eastAsia="Times New Roman" w:hAnsi="Times New Roman" w:cs="Times New Roman"/>
                <w:color w:val="000000"/>
                <w:sz w:val="24"/>
                <w:szCs w:val="24"/>
                <w:lang w:val="en-GB" w:eastAsia="en-GB"/>
              </w:rPr>
            </w:pPr>
            <w:r w:rsidRPr="008A7487">
              <w:rPr>
                <w:rFonts w:ascii="Times New Roman" w:eastAsia="Times New Roman" w:hAnsi="Times New Roman" w:cs="Times New Roman"/>
                <w:color w:val="000000"/>
                <w:sz w:val="24"/>
                <w:szCs w:val="24"/>
                <w:lang w:val="en-GB" w:eastAsia="en-GB"/>
              </w:rPr>
              <w:t>0.22</w:t>
            </w:r>
          </w:p>
        </w:tc>
        <w:tc>
          <w:tcPr>
            <w:tcW w:w="960" w:type="dxa"/>
            <w:tcBorders>
              <w:top w:val="nil"/>
              <w:left w:val="nil"/>
              <w:bottom w:val="nil"/>
              <w:right w:val="nil"/>
            </w:tcBorders>
            <w:shd w:val="clear" w:color="auto" w:fill="auto"/>
            <w:noWrap/>
            <w:vAlign w:val="bottom"/>
            <w:hideMark/>
          </w:tcPr>
          <w:p w14:paraId="386FA387" w14:textId="77777777" w:rsidR="00B75F05" w:rsidRPr="008A7487" w:rsidRDefault="00B75F05" w:rsidP="00C21D6F">
            <w:pPr>
              <w:spacing w:after="0" w:line="240" w:lineRule="auto"/>
              <w:jc w:val="right"/>
              <w:rPr>
                <w:rFonts w:ascii="Times New Roman" w:eastAsia="Times New Roman" w:hAnsi="Times New Roman" w:cs="Times New Roman"/>
                <w:color w:val="000000"/>
                <w:sz w:val="24"/>
                <w:szCs w:val="24"/>
                <w:lang w:val="en-GB" w:eastAsia="en-GB"/>
              </w:rPr>
            </w:pPr>
            <w:r w:rsidRPr="008A7487">
              <w:rPr>
                <w:rFonts w:ascii="Times New Roman" w:eastAsia="Times New Roman" w:hAnsi="Times New Roman" w:cs="Times New Roman"/>
                <w:color w:val="000000"/>
                <w:sz w:val="24"/>
                <w:szCs w:val="24"/>
                <w:lang w:val="en-GB" w:eastAsia="en-GB"/>
              </w:rPr>
              <w:t>1.00</w:t>
            </w:r>
          </w:p>
        </w:tc>
        <w:tc>
          <w:tcPr>
            <w:tcW w:w="960" w:type="dxa"/>
            <w:tcBorders>
              <w:top w:val="nil"/>
              <w:left w:val="nil"/>
              <w:bottom w:val="nil"/>
              <w:right w:val="nil"/>
            </w:tcBorders>
            <w:shd w:val="clear" w:color="auto" w:fill="auto"/>
            <w:noWrap/>
            <w:vAlign w:val="bottom"/>
            <w:hideMark/>
          </w:tcPr>
          <w:p w14:paraId="2DE1461D" w14:textId="77777777" w:rsidR="00B75F05" w:rsidRPr="008A7487" w:rsidRDefault="00B75F05" w:rsidP="00C21D6F">
            <w:pPr>
              <w:spacing w:after="0" w:line="240" w:lineRule="auto"/>
              <w:rPr>
                <w:rFonts w:ascii="Times New Roman" w:eastAsia="Times New Roman" w:hAnsi="Times New Roman" w:cs="Times New Roman"/>
                <w:color w:val="000000"/>
                <w:sz w:val="24"/>
                <w:szCs w:val="24"/>
                <w:lang w:val="en-GB" w:eastAsia="en-GB"/>
              </w:rPr>
            </w:pPr>
          </w:p>
        </w:tc>
        <w:tc>
          <w:tcPr>
            <w:tcW w:w="960" w:type="dxa"/>
            <w:tcBorders>
              <w:top w:val="nil"/>
              <w:left w:val="nil"/>
              <w:bottom w:val="nil"/>
              <w:right w:val="nil"/>
            </w:tcBorders>
            <w:shd w:val="clear" w:color="auto" w:fill="auto"/>
            <w:noWrap/>
            <w:vAlign w:val="bottom"/>
            <w:hideMark/>
          </w:tcPr>
          <w:p w14:paraId="364B98BB" w14:textId="77777777" w:rsidR="00B75F05" w:rsidRPr="008A7487" w:rsidRDefault="00B75F05" w:rsidP="00C21D6F">
            <w:pPr>
              <w:spacing w:after="0" w:line="240" w:lineRule="auto"/>
              <w:rPr>
                <w:rFonts w:ascii="Times New Roman" w:eastAsia="Times New Roman" w:hAnsi="Times New Roman" w:cs="Times New Roman"/>
                <w:color w:val="000000"/>
                <w:sz w:val="24"/>
                <w:szCs w:val="24"/>
                <w:lang w:val="en-GB" w:eastAsia="en-GB"/>
              </w:rPr>
            </w:pPr>
          </w:p>
        </w:tc>
        <w:tc>
          <w:tcPr>
            <w:tcW w:w="960" w:type="dxa"/>
            <w:tcBorders>
              <w:top w:val="nil"/>
              <w:left w:val="nil"/>
              <w:bottom w:val="nil"/>
              <w:right w:val="nil"/>
            </w:tcBorders>
            <w:shd w:val="clear" w:color="auto" w:fill="auto"/>
            <w:noWrap/>
            <w:vAlign w:val="bottom"/>
            <w:hideMark/>
          </w:tcPr>
          <w:p w14:paraId="0D2F21BE" w14:textId="77777777" w:rsidR="00B75F05" w:rsidRPr="008A7487" w:rsidRDefault="00B75F05" w:rsidP="00C21D6F">
            <w:pPr>
              <w:spacing w:after="0" w:line="240" w:lineRule="auto"/>
              <w:rPr>
                <w:rFonts w:ascii="Times New Roman" w:eastAsia="Times New Roman" w:hAnsi="Times New Roman" w:cs="Times New Roman"/>
                <w:color w:val="000000"/>
                <w:sz w:val="24"/>
                <w:szCs w:val="24"/>
                <w:lang w:val="en-GB" w:eastAsia="en-GB"/>
              </w:rPr>
            </w:pPr>
          </w:p>
        </w:tc>
        <w:tc>
          <w:tcPr>
            <w:tcW w:w="960" w:type="dxa"/>
            <w:tcBorders>
              <w:top w:val="nil"/>
              <w:left w:val="nil"/>
              <w:bottom w:val="nil"/>
              <w:right w:val="nil"/>
            </w:tcBorders>
            <w:shd w:val="clear" w:color="auto" w:fill="auto"/>
            <w:noWrap/>
            <w:vAlign w:val="bottom"/>
            <w:hideMark/>
          </w:tcPr>
          <w:p w14:paraId="642E2766" w14:textId="77777777" w:rsidR="00B75F05" w:rsidRPr="008A7487" w:rsidRDefault="00B75F05" w:rsidP="00C21D6F">
            <w:pPr>
              <w:spacing w:after="0" w:line="240" w:lineRule="auto"/>
              <w:rPr>
                <w:rFonts w:ascii="Times New Roman" w:eastAsia="Times New Roman" w:hAnsi="Times New Roman" w:cs="Times New Roman"/>
                <w:color w:val="000000"/>
                <w:sz w:val="24"/>
                <w:szCs w:val="24"/>
                <w:lang w:val="en-GB" w:eastAsia="en-GB"/>
              </w:rPr>
            </w:pPr>
          </w:p>
        </w:tc>
        <w:tc>
          <w:tcPr>
            <w:tcW w:w="988" w:type="dxa"/>
            <w:tcBorders>
              <w:top w:val="nil"/>
              <w:left w:val="nil"/>
              <w:bottom w:val="nil"/>
              <w:right w:val="nil"/>
            </w:tcBorders>
            <w:shd w:val="clear" w:color="auto" w:fill="auto"/>
            <w:noWrap/>
            <w:vAlign w:val="bottom"/>
            <w:hideMark/>
          </w:tcPr>
          <w:p w14:paraId="59AA68CB" w14:textId="77777777" w:rsidR="00B75F05" w:rsidRPr="008A7487" w:rsidRDefault="00B75F05" w:rsidP="00C21D6F">
            <w:pPr>
              <w:spacing w:after="0" w:line="240" w:lineRule="auto"/>
              <w:rPr>
                <w:rFonts w:ascii="Times New Roman" w:eastAsia="Times New Roman" w:hAnsi="Times New Roman" w:cs="Times New Roman"/>
                <w:color w:val="000000"/>
                <w:sz w:val="24"/>
                <w:szCs w:val="24"/>
                <w:lang w:val="en-GB" w:eastAsia="en-GB"/>
              </w:rPr>
            </w:pPr>
          </w:p>
        </w:tc>
        <w:tc>
          <w:tcPr>
            <w:tcW w:w="960" w:type="dxa"/>
            <w:tcBorders>
              <w:top w:val="nil"/>
              <w:left w:val="nil"/>
              <w:bottom w:val="nil"/>
              <w:right w:val="nil"/>
            </w:tcBorders>
            <w:shd w:val="clear" w:color="auto" w:fill="auto"/>
            <w:noWrap/>
            <w:vAlign w:val="bottom"/>
            <w:hideMark/>
          </w:tcPr>
          <w:p w14:paraId="79830D6F" w14:textId="77777777" w:rsidR="00B75F05" w:rsidRPr="008A7487" w:rsidRDefault="00B75F05" w:rsidP="00C21D6F">
            <w:pPr>
              <w:spacing w:after="0" w:line="240" w:lineRule="auto"/>
              <w:rPr>
                <w:rFonts w:ascii="Times New Roman" w:eastAsia="Times New Roman" w:hAnsi="Times New Roman" w:cs="Times New Roman"/>
                <w:color w:val="000000"/>
                <w:sz w:val="24"/>
                <w:szCs w:val="24"/>
                <w:lang w:val="en-GB" w:eastAsia="en-GB"/>
              </w:rPr>
            </w:pPr>
          </w:p>
        </w:tc>
        <w:tc>
          <w:tcPr>
            <w:tcW w:w="960" w:type="dxa"/>
            <w:tcBorders>
              <w:top w:val="nil"/>
              <w:left w:val="nil"/>
              <w:bottom w:val="nil"/>
              <w:right w:val="nil"/>
            </w:tcBorders>
            <w:shd w:val="clear" w:color="auto" w:fill="auto"/>
            <w:noWrap/>
            <w:vAlign w:val="bottom"/>
            <w:hideMark/>
          </w:tcPr>
          <w:p w14:paraId="33A7456C" w14:textId="77777777" w:rsidR="00B75F05" w:rsidRPr="008A7487" w:rsidRDefault="00B75F05" w:rsidP="00C21D6F">
            <w:pPr>
              <w:spacing w:after="0" w:line="240" w:lineRule="auto"/>
              <w:rPr>
                <w:rFonts w:ascii="Times New Roman" w:eastAsia="Times New Roman" w:hAnsi="Times New Roman" w:cs="Times New Roman"/>
                <w:color w:val="000000"/>
                <w:sz w:val="24"/>
                <w:szCs w:val="24"/>
                <w:lang w:val="en-GB" w:eastAsia="en-GB"/>
              </w:rPr>
            </w:pPr>
          </w:p>
        </w:tc>
        <w:tc>
          <w:tcPr>
            <w:tcW w:w="960" w:type="dxa"/>
            <w:tcBorders>
              <w:top w:val="nil"/>
              <w:left w:val="nil"/>
              <w:bottom w:val="nil"/>
              <w:right w:val="nil"/>
            </w:tcBorders>
            <w:shd w:val="clear" w:color="auto" w:fill="auto"/>
            <w:noWrap/>
            <w:vAlign w:val="bottom"/>
            <w:hideMark/>
          </w:tcPr>
          <w:p w14:paraId="331F21DE" w14:textId="77777777" w:rsidR="00B75F05" w:rsidRPr="008A7487" w:rsidRDefault="00B75F05" w:rsidP="00C21D6F">
            <w:pPr>
              <w:spacing w:after="0" w:line="240" w:lineRule="auto"/>
              <w:rPr>
                <w:rFonts w:ascii="Times New Roman" w:eastAsia="Times New Roman" w:hAnsi="Times New Roman" w:cs="Times New Roman"/>
                <w:color w:val="000000"/>
                <w:sz w:val="24"/>
                <w:szCs w:val="24"/>
                <w:lang w:val="en-GB" w:eastAsia="en-GB"/>
              </w:rPr>
            </w:pPr>
          </w:p>
        </w:tc>
      </w:tr>
      <w:tr w:rsidR="00B75F05" w:rsidRPr="008A7487" w14:paraId="36651862" w14:textId="77777777" w:rsidTr="00C21D6F">
        <w:trPr>
          <w:trHeight w:val="300"/>
        </w:trPr>
        <w:tc>
          <w:tcPr>
            <w:tcW w:w="988" w:type="dxa"/>
            <w:tcBorders>
              <w:top w:val="nil"/>
              <w:left w:val="nil"/>
              <w:bottom w:val="nil"/>
              <w:right w:val="nil"/>
            </w:tcBorders>
            <w:shd w:val="clear" w:color="auto" w:fill="auto"/>
            <w:noWrap/>
            <w:vAlign w:val="bottom"/>
            <w:hideMark/>
          </w:tcPr>
          <w:p w14:paraId="0F48116D" w14:textId="77777777" w:rsidR="00B75F05" w:rsidRPr="008A7487" w:rsidRDefault="00B75F05" w:rsidP="00C21D6F">
            <w:pPr>
              <w:spacing w:after="0" w:line="240" w:lineRule="auto"/>
              <w:rPr>
                <w:rFonts w:ascii="Times New Roman" w:eastAsia="Times New Roman" w:hAnsi="Times New Roman" w:cs="Times New Roman"/>
                <w:b/>
                <w:color w:val="000000"/>
                <w:sz w:val="24"/>
                <w:szCs w:val="24"/>
                <w:lang w:val="en-GB" w:eastAsia="en-GB"/>
              </w:rPr>
            </w:pPr>
            <w:r w:rsidRPr="008A7487">
              <w:rPr>
                <w:rFonts w:ascii="Times New Roman" w:eastAsia="Times New Roman" w:hAnsi="Times New Roman" w:cs="Times New Roman"/>
                <w:b/>
                <w:color w:val="000000"/>
                <w:sz w:val="24"/>
                <w:szCs w:val="24"/>
                <w:lang w:val="en-GB" w:eastAsia="en-GB"/>
              </w:rPr>
              <w:t>CAP</w:t>
            </w:r>
          </w:p>
        </w:tc>
        <w:tc>
          <w:tcPr>
            <w:tcW w:w="960" w:type="dxa"/>
            <w:tcBorders>
              <w:top w:val="nil"/>
              <w:left w:val="nil"/>
              <w:bottom w:val="nil"/>
              <w:right w:val="nil"/>
            </w:tcBorders>
            <w:shd w:val="clear" w:color="auto" w:fill="auto"/>
            <w:noWrap/>
            <w:vAlign w:val="bottom"/>
            <w:hideMark/>
          </w:tcPr>
          <w:p w14:paraId="5AD12B0F" w14:textId="77777777" w:rsidR="00B75F05" w:rsidRPr="008A7487" w:rsidRDefault="00B75F05" w:rsidP="00C21D6F">
            <w:pPr>
              <w:spacing w:after="0" w:line="240" w:lineRule="auto"/>
              <w:jc w:val="right"/>
              <w:rPr>
                <w:rFonts w:ascii="Times New Roman" w:eastAsia="Times New Roman" w:hAnsi="Times New Roman" w:cs="Times New Roman"/>
                <w:color w:val="000000"/>
                <w:sz w:val="24"/>
                <w:szCs w:val="24"/>
                <w:lang w:val="en-GB" w:eastAsia="en-GB"/>
              </w:rPr>
            </w:pPr>
            <w:r w:rsidRPr="008A7487">
              <w:rPr>
                <w:rFonts w:ascii="Times New Roman" w:eastAsia="Times New Roman" w:hAnsi="Times New Roman" w:cs="Times New Roman"/>
                <w:color w:val="000000"/>
                <w:sz w:val="24"/>
                <w:szCs w:val="24"/>
                <w:lang w:val="en-GB" w:eastAsia="en-GB"/>
              </w:rPr>
              <w:t>0.21</w:t>
            </w:r>
          </w:p>
        </w:tc>
        <w:tc>
          <w:tcPr>
            <w:tcW w:w="960" w:type="dxa"/>
            <w:tcBorders>
              <w:top w:val="nil"/>
              <w:left w:val="nil"/>
              <w:bottom w:val="nil"/>
              <w:right w:val="nil"/>
            </w:tcBorders>
            <w:shd w:val="clear" w:color="auto" w:fill="auto"/>
            <w:noWrap/>
            <w:vAlign w:val="bottom"/>
            <w:hideMark/>
          </w:tcPr>
          <w:p w14:paraId="256DBB96" w14:textId="77777777" w:rsidR="00B75F05" w:rsidRPr="008A7487" w:rsidRDefault="00B75F05" w:rsidP="00C21D6F">
            <w:pPr>
              <w:spacing w:after="0" w:line="240" w:lineRule="auto"/>
              <w:jc w:val="right"/>
              <w:rPr>
                <w:rFonts w:ascii="Times New Roman" w:eastAsia="Times New Roman" w:hAnsi="Times New Roman" w:cs="Times New Roman"/>
                <w:color w:val="000000"/>
                <w:sz w:val="24"/>
                <w:szCs w:val="24"/>
                <w:lang w:val="en-GB" w:eastAsia="en-GB"/>
              </w:rPr>
            </w:pPr>
            <w:r w:rsidRPr="008A7487">
              <w:rPr>
                <w:rFonts w:ascii="Times New Roman" w:eastAsia="Times New Roman" w:hAnsi="Times New Roman" w:cs="Times New Roman"/>
                <w:color w:val="000000"/>
                <w:sz w:val="24"/>
                <w:szCs w:val="24"/>
                <w:lang w:val="en-GB" w:eastAsia="en-GB"/>
              </w:rPr>
              <w:t>0.22</w:t>
            </w:r>
          </w:p>
        </w:tc>
        <w:tc>
          <w:tcPr>
            <w:tcW w:w="960" w:type="dxa"/>
            <w:tcBorders>
              <w:top w:val="nil"/>
              <w:left w:val="nil"/>
              <w:bottom w:val="nil"/>
              <w:right w:val="nil"/>
            </w:tcBorders>
            <w:shd w:val="clear" w:color="auto" w:fill="auto"/>
            <w:noWrap/>
            <w:vAlign w:val="bottom"/>
            <w:hideMark/>
          </w:tcPr>
          <w:p w14:paraId="7DC23ADC" w14:textId="77777777" w:rsidR="00B75F05" w:rsidRPr="008A7487" w:rsidRDefault="00B75F05" w:rsidP="00C21D6F">
            <w:pPr>
              <w:spacing w:after="0" w:line="240" w:lineRule="auto"/>
              <w:jc w:val="right"/>
              <w:rPr>
                <w:rFonts w:ascii="Times New Roman" w:eastAsia="Times New Roman" w:hAnsi="Times New Roman" w:cs="Times New Roman"/>
                <w:color w:val="000000"/>
                <w:sz w:val="24"/>
                <w:szCs w:val="24"/>
                <w:lang w:val="en-GB" w:eastAsia="en-GB"/>
              </w:rPr>
            </w:pPr>
            <w:r w:rsidRPr="008A7487">
              <w:rPr>
                <w:rFonts w:ascii="Times New Roman" w:eastAsia="Times New Roman" w:hAnsi="Times New Roman" w:cs="Times New Roman"/>
                <w:color w:val="000000"/>
                <w:sz w:val="24"/>
                <w:szCs w:val="24"/>
                <w:lang w:val="en-GB" w:eastAsia="en-GB"/>
              </w:rPr>
              <w:t>0.55</w:t>
            </w:r>
          </w:p>
        </w:tc>
        <w:tc>
          <w:tcPr>
            <w:tcW w:w="960" w:type="dxa"/>
            <w:tcBorders>
              <w:top w:val="nil"/>
              <w:left w:val="nil"/>
              <w:bottom w:val="nil"/>
              <w:right w:val="nil"/>
            </w:tcBorders>
            <w:shd w:val="clear" w:color="auto" w:fill="auto"/>
            <w:noWrap/>
            <w:vAlign w:val="bottom"/>
            <w:hideMark/>
          </w:tcPr>
          <w:p w14:paraId="1F59142B" w14:textId="77777777" w:rsidR="00B75F05" w:rsidRPr="008A7487" w:rsidRDefault="00B75F05" w:rsidP="00C21D6F">
            <w:pPr>
              <w:spacing w:after="0" w:line="240" w:lineRule="auto"/>
              <w:jc w:val="right"/>
              <w:rPr>
                <w:rFonts w:ascii="Times New Roman" w:eastAsia="Times New Roman" w:hAnsi="Times New Roman" w:cs="Times New Roman"/>
                <w:color w:val="000000"/>
                <w:sz w:val="24"/>
                <w:szCs w:val="24"/>
                <w:lang w:val="en-GB" w:eastAsia="en-GB"/>
              </w:rPr>
            </w:pPr>
            <w:r w:rsidRPr="008A7487">
              <w:rPr>
                <w:rFonts w:ascii="Times New Roman" w:eastAsia="Times New Roman" w:hAnsi="Times New Roman" w:cs="Times New Roman"/>
                <w:color w:val="000000"/>
                <w:sz w:val="24"/>
                <w:szCs w:val="24"/>
                <w:lang w:val="en-GB" w:eastAsia="en-GB"/>
              </w:rPr>
              <w:t>1.00</w:t>
            </w:r>
          </w:p>
        </w:tc>
        <w:tc>
          <w:tcPr>
            <w:tcW w:w="960" w:type="dxa"/>
            <w:tcBorders>
              <w:top w:val="nil"/>
              <w:left w:val="nil"/>
              <w:bottom w:val="nil"/>
              <w:right w:val="nil"/>
            </w:tcBorders>
            <w:shd w:val="clear" w:color="auto" w:fill="auto"/>
            <w:noWrap/>
            <w:vAlign w:val="bottom"/>
            <w:hideMark/>
          </w:tcPr>
          <w:p w14:paraId="37676E0B" w14:textId="77777777" w:rsidR="00B75F05" w:rsidRPr="008A7487" w:rsidRDefault="00B75F05" w:rsidP="00C21D6F">
            <w:pPr>
              <w:spacing w:after="0" w:line="240" w:lineRule="auto"/>
              <w:rPr>
                <w:rFonts w:ascii="Times New Roman" w:eastAsia="Times New Roman" w:hAnsi="Times New Roman" w:cs="Times New Roman"/>
                <w:color w:val="000000"/>
                <w:sz w:val="24"/>
                <w:szCs w:val="24"/>
                <w:lang w:val="en-GB" w:eastAsia="en-GB"/>
              </w:rPr>
            </w:pPr>
          </w:p>
        </w:tc>
        <w:tc>
          <w:tcPr>
            <w:tcW w:w="960" w:type="dxa"/>
            <w:tcBorders>
              <w:top w:val="nil"/>
              <w:left w:val="nil"/>
              <w:bottom w:val="nil"/>
              <w:right w:val="nil"/>
            </w:tcBorders>
            <w:shd w:val="clear" w:color="auto" w:fill="auto"/>
            <w:noWrap/>
            <w:vAlign w:val="bottom"/>
            <w:hideMark/>
          </w:tcPr>
          <w:p w14:paraId="15F56D39" w14:textId="77777777" w:rsidR="00B75F05" w:rsidRPr="008A7487" w:rsidRDefault="00B75F05" w:rsidP="00C21D6F">
            <w:pPr>
              <w:spacing w:after="0" w:line="240" w:lineRule="auto"/>
              <w:rPr>
                <w:rFonts w:ascii="Times New Roman" w:eastAsia="Times New Roman" w:hAnsi="Times New Roman" w:cs="Times New Roman"/>
                <w:color w:val="000000"/>
                <w:sz w:val="24"/>
                <w:szCs w:val="24"/>
                <w:lang w:val="en-GB" w:eastAsia="en-GB"/>
              </w:rPr>
            </w:pPr>
          </w:p>
        </w:tc>
        <w:tc>
          <w:tcPr>
            <w:tcW w:w="960" w:type="dxa"/>
            <w:tcBorders>
              <w:top w:val="nil"/>
              <w:left w:val="nil"/>
              <w:bottom w:val="nil"/>
              <w:right w:val="nil"/>
            </w:tcBorders>
            <w:shd w:val="clear" w:color="auto" w:fill="auto"/>
            <w:noWrap/>
            <w:vAlign w:val="bottom"/>
            <w:hideMark/>
          </w:tcPr>
          <w:p w14:paraId="036BD34A" w14:textId="77777777" w:rsidR="00B75F05" w:rsidRPr="008A7487" w:rsidRDefault="00B75F05" w:rsidP="00C21D6F">
            <w:pPr>
              <w:spacing w:after="0" w:line="240" w:lineRule="auto"/>
              <w:rPr>
                <w:rFonts w:ascii="Times New Roman" w:eastAsia="Times New Roman" w:hAnsi="Times New Roman" w:cs="Times New Roman"/>
                <w:color w:val="000000"/>
                <w:sz w:val="24"/>
                <w:szCs w:val="24"/>
                <w:lang w:val="en-GB" w:eastAsia="en-GB"/>
              </w:rPr>
            </w:pPr>
          </w:p>
        </w:tc>
        <w:tc>
          <w:tcPr>
            <w:tcW w:w="988" w:type="dxa"/>
            <w:tcBorders>
              <w:top w:val="nil"/>
              <w:left w:val="nil"/>
              <w:bottom w:val="nil"/>
              <w:right w:val="nil"/>
            </w:tcBorders>
            <w:shd w:val="clear" w:color="auto" w:fill="auto"/>
            <w:noWrap/>
            <w:vAlign w:val="bottom"/>
            <w:hideMark/>
          </w:tcPr>
          <w:p w14:paraId="5A957E78" w14:textId="77777777" w:rsidR="00B75F05" w:rsidRPr="008A7487" w:rsidRDefault="00B75F05" w:rsidP="00C21D6F">
            <w:pPr>
              <w:spacing w:after="0" w:line="240" w:lineRule="auto"/>
              <w:rPr>
                <w:rFonts w:ascii="Times New Roman" w:eastAsia="Times New Roman" w:hAnsi="Times New Roman" w:cs="Times New Roman"/>
                <w:color w:val="000000"/>
                <w:sz w:val="24"/>
                <w:szCs w:val="24"/>
                <w:lang w:val="en-GB" w:eastAsia="en-GB"/>
              </w:rPr>
            </w:pPr>
          </w:p>
        </w:tc>
        <w:tc>
          <w:tcPr>
            <w:tcW w:w="960" w:type="dxa"/>
            <w:tcBorders>
              <w:top w:val="nil"/>
              <w:left w:val="nil"/>
              <w:bottom w:val="nil"/>
              <w:right w:val="nil"/>
            </w:tcBorders>
            <w:shd w:val="clear" w:color="auto" w:fill="auto"/>
            <w:noWrap/>
            <w:vAlign w:val="bottom"/>
            <w:hideMark/>
          </w:tcPr>
          <w:p w14:paraId="3421B176" w14:textId="77777777" w:rsidR="00B75F05" w:rsidRPr="008A7487" w:rsidRDefault="00B75F05" w:rsidP="00C21D6F">
            <w:pPr>
              <w:spacing w:after="0" w:line="240" w:lineRule="auto"/>
              <w:rPr>
                <w:rFonts w:ascii="Times New Roman" w:eastAsia="Times New Roman" w:hAnsi="Times New Roman" w:cs="Times New Roman"/>
                <w:color w:val="000000"/>
                <w:sz w:val="24"/>
                <w:szCs w:val="24"/>
                <w:lang w:val="en-GB" w:eastAsia="en-GB"/>
              </w:rPr>
            </w:pPr>
          </w:p>
        </w:tc>
        <w:tc>
          <w:tcPr>
            <w:tcW w:w="960" w:type="dxa"/>
            <w:tcBorders>
              <w:top w:val="nil"/>
              <w:left w:val="nil"/>
              <w:bottom w:val="nil"/>
              <w:right w:val="nil"/>
            </w:tcBorders>
            <w:shd w:val="clear" w:color="auto" w:fill="auto"/>
            <w:noWrap/>
            <w:vAlign w:val="bottom"/>
            <w:hideMark/>
          </w:tcPr>
          <w:p w14:paraId="0BA1DCFA" w14:textId="77777777" w:rsidR="00B75F05" w:rsidRPr="008A7487" w:rsidRDefault="00B75F05" w:rsidP="00C21D6F">
            <w:pPr>
              <w:spacing w:after="0" w:line="240" w:lineRule="auto"/>
              <w:rPr>
                <w:rFonts w:ascii="Times New Roman" w:eastAsia="Times New Roman" w:hAnsi="Times New Roman" w:cs="Times New Roman"/>
                <w:color w:val="000000"/>
                <w:sz w:val="24"/>
                <w:szCs w:val="24"/>
                <w:lang w:val="en-GB" w:eastAsia="en-GB"/>
              </w:rPr>
            </w:pPr>
          </w:p>
        </w:tc>
        <w:tc>
          <w:tcPr>
            <w:tcW w:w="960" w:type="dxa"/>
            <w:tcBorders>
              <w:top w:val="nil"/>
              <w:left w:val="nil"/>
              <w:bottom w:val="nil"/>
              <w:right w:val="nil"/>
            </w:tcBorders>
            <w:shd w:val="clear" w:color="auto" w:fill="auto"/>
            <w:noWrap/>
            <w:vAlign w:val="bottom"/>
            <w:hideMark/>
          </w:tcPr>
          <w:p w14:paraId="5BA725E1" w14:textId="77777777" w:rsidR="00B75F05" w:rsidRPr="008A7487" w:rsidRDefault="00B75F05" w:rsidP="00C21D6F">
            <w:pPr>
              <w:spacing w:after="0" w:line="240" w:lineRule="auto"/>
              <w:rPr>
                <w:rFonts w:ascii="Times New Roman" w:eastAsia="Times New Roman" w:hAnsi="Times New Roman" w:cs="Times New Roman"/>
                <w:color w:val="000000"/>
                <w:sz w:val="24"/>
                <w:szCs w:val="24"/>
                <w:lang w:val="en-GB" w:eastAsia="en-GB"/>
              </w:rPr>
            </w:pPr>
          </w:p>
        </w:tc>
      </w:tr>
      <w:tr w:rsidR="00B75F05" w:rsidRPr="008A7487" w14:paraId="45E70720" w14:textId="77777777" w:rsidTr="00C21D6F">
        <w:trPr>
          <w:trHeight w:val="300"/>
        </w:trPr>
        <w:tc>
          <w:tcPr>
            <w:tcW w:w="988" w:type="dxa"/>
            <w:tcBorders>
              <w:top w:val="nil"/>
              <w:left w:val="nil"/>
              <w:bottom w:val="nil"/>
              <w:right w:val="nil"/>
            </w:tcBorders>
            <w:shd w:val="clear" w:color="auto" w:fill="auto"/>
            <w:noWrap/>
            <w:vAlign w:val="bottom"/>
            <w:hideMark/>
          </w:tcPr>
          <w:p w14:paraId="5F6533CD" w14:textId="77777777" w:rsidR="00B75F05" w:rsidRPr="008A7487" w:rsidRDefault="00B75F05" w:rsidP="00C21D6F">
            <w:pPr>
              <w:spacing w:after="0" w:line="240" w:lineRule="auto"/>
              <w:rPr>
                <w:rFonts w:ascii="Times New Roman" w:eastAsia="Times New Roman" w:hAnsi="Times New Roman" w:cs="Times New Roman"/>
                <w:b/>
                <w:color w:val="000000"/>
                <w:sz w:val="24"/>
                <w:szCs w:val="24"/>
                <w:lang w:val="en-GB" w:eastAsia="en-GB"/>
              </w:rPr>
            </w:pPr>
            <w:r w:rsidRPr="008A7487">
              <w:rPr>
                <w:rFonts w:ascii="Times New Roman" w:eastAsia="Times New Roman" w:hAnsi="Times New Roman" w:cs="Times New Roman"/>
                <w:b/>
                <w:color w:val="000000"/>
                <w:sz w:val="24"/>
                <w:szCs w:val="24"/>
                <w:lang w:val="en-GB" w:eastAsia="en-GB"/>
              </w:rPr>
              <w:t>CR</w:t>
            </w:r>
          </w:p>
        </w:tc>
        <w:tc>
          <w:tcPr>
            <w:tcW w:w="960" w:type="dxa"/>
            <w:tcBorders>
              <w:top w:val="nil"/>
              <w:left w:val="nil"/>
              <w:bottom w:val="nil"/>
              <w:right w:val="nil"/>
            </w:tcBorders>
            <w:shd w:val="clear" w:color="auto" w:fill="auto"/>
            <w:noWrap/>
            <w:vAlign w:val="bottom"/>
            <w:hideMark/>
          </w:tcPr>
          <w:p w14:paraId="48813542" w14:textId="77777777" w:rsidR="00B75F05" w:rsidRPr="008A7487" w:rsidRDefault="00B75F05" w:rsidP="00C21D6F">
            <w:pPr>
              <w:spacing w:after="0" w:line="240" w:lineRule="auto"/>
              <w:jc w:val="right"/>
              <w:rPr>
                <w:rFonts w:ascii="Times New Roman" w:eastAsia="Times New Roman" w:hAnsi="Times New Roman" w:cs="Times New Roman"/>
                <w:color w:val="000000"/>
                <w:sz w:val="24"/>
                <w:szCs w:val="24"/>
                <w:lang w:val="en-GB" w:eastAsia="en-GB"/>
              </w:rPr>
            </w:pPr>
            <w:r w:rsidRPr="008A7487">
              <w:rPr>
                <w:rFonts w:ascii="Times New Roman" w:eastAsia="Times New Roman" w:hAnsi="Times New Roman" w:cs="Times New Roman"/>
                <w:color w:val="000000"/>
                <w:sz w:val="24"/>
                <w:szCs w:val="24"/>
                <w:lang w:val="en-GB" w:eastAsia="en-GB"/>
              </w:rPr>
              <w:t>0.09</w:t>
            </w:r>
          </w:p>
        </w:tc>
        <w:tc>
          <w:tcPr>
            <w:tcW w:w="960" w:type="dxa"/>
            <w:tcBorders>
              <w:top w:val="nil"/>
              <w:left w:val="nil"/>
              <w:bottom w:val="nil"/>
              <w:right w:val="nil"/>
            </w:tcBorders>
            <w:shd w:val="clear" w:color="auto" w:fill="auto"/>
            <w:noWrap/>
            <w:vAlign w:val="bottom"/>
            <w:hideMark/>
          </w:tcPr>
          <w:p w14:paraId="1FE51380" w14:textId="77777777" w:rsidR="00B75F05" w:rsidRPr="008A7487" w:rsidRDefault="00B75F05" w:rsidP="00C21D6F">
            <w:pPr>
              <w:spacing w:after="0" w:line="240" w:lineRule="auto"/>
              <w:jc w:val="right"/>
              <w:rPr>
                <w:rFonts w:ascii="Times New Roman" w:eastAsia="Times New Roman" w:hAnsi="Times New Roman" w:cs="Times New Roman"/>
                <w:color w:val="000000"/>
                <w:sz w:val="24"/>
                <w:szCs w:val="24"/>
                <w:lang w:val="en-GB" w:eastAsia="en-GB"/>
              </w:rPr>
            </w:pPr>
            <w:r w:rsidRPr="008A7487">
              <w:rPr>
                <w:rFonts w:ascii="Times New Roman" w:eastAsia="Times New Roman" w:hAnsi="Times New Roman" w:cs="Times New Roman"/>
                <w:color w:val="000000"/>
                <w:sz w:val="24"/>
                <w:szCs w:val="24"/>
                <w:lang w:val="en-GB" w:eastAsia="en-GB"/>
              </w:rPr>
              <w:t>0.18</w:t>
            </w:r>
          </w:p>
        </w:tc>
        <w:tc>
          <w:tcPr>
            <w:tcW w:w="960" w:type="dxa"/>
            <w:tcBorders>
              <w:top w:val="nil"/>
              <w:left w:val="nil"/>
              <w:bottom w:val="nil"/>
              <w:right w:val="nil"/>
            </w:tcBorders>
            <w:shd w:val="clear" w:color="auto" w:fill="auto"/>
            <w:noWrap/>
            <w:vAlign w:val="bottom"/>
            <w:hideMark/>
          </w:tcPr>
          <w:p w14:paraId="3229C5E8" w14:textId="77777777" w:rsidR="00B75F05" w:rsidRPr="008A7487" w:rsidRDefault="00B75F05" w:rsidP="00C21D6F">
            <w:pPr>
              <w:spacing w:after="0" w:line="240" w:lineRule="auto"/>
              <w:jc w:val="right"/>
              <w:rPr>
                <w:rFonts w:ascii="Times New Roman" w:eastAsia="Times New Roman" w:hAnsi="Times New Roman" w:cs="Times New Roman"/>
                <w:color w:val="000000"/>
                <w:sz w:val="24"/>
                <w:szCs w:val="24"/>
                <w:lang w:val="en-GB" w:eastAsia="en-GB"/>
              </w:rPr>
            </w:pPr>
            <w:r w:rsidRPr="008A7487">
              <w:rPr>
                <w:rFonts w:ascii="Times New Roman" w:eastAsia="Times New Roman" w:hAnsi="Times New Roman" w:cs="Times New Roman"/>
                <w:color w:val="000000"/>
                <w:sz w:val="24"/>
                <w:szCs w:val="24"/>
                <w:lang w:val="en-GB" w:eastAsia="en-GB"/>
              </w:rPr>
              <w:t>0.48</w:t>
            </w:r>
          </w:p>
        </w:tc>
        <w:tc>
          <w:tcPr>
            <w:tcW w:w="960" w:type="dxa"/>
            <w:tcBorders>
              <w:top w:val="nil"/>
              <w:left w:val="nil"/>
              <w:bottom w:val="nil"/>
              <w:right w:val="nil"/>
            </w:tcBorders>
            <w:shd w:val="clear" w:color="auto" w:fill="auto"/>
            <w:noWrap/>
            <w:vAlign w:val="bottom"/>
            <w:hideMark/>
          </w:tcPr>
          <w:p w14:paraId="079A15CC" w14:textId="77777777" w:rsidR="00B75F05" w:rsidRPr="008A7487" w:rsidRDefault="00B75F05" w:rsidP="00C21D6F">
            <w:pPr>
              <w:spacing w:after="0" w:line="240" w:lineRule="auto"/>
              <w:jc w:val="right"/>
              <w:rPr>
                <w:rFonts w:ascii="Times New Roman" w:eastAsia="Times New Roman" w:hAnsi="Times New Roman" w:cs="Times New Roman"/>
                <w:color w:val="000000"/>
                <w:sz w:val="24"/>
                <w:szCs w:val="24"/>
                <w:lang w:val="en-GB" w:eastAsia="en-GB"/>
              </w:rPr>
            </w:pPr>
            <w:r w:rsidRPr="008A7487">
              <w:rPr>
                <w:rFonts w:ascii="Times New Roman" w:eastAsia="Times New Roman" w:hAnsi="Times New Roman" w:cs="Times New Roman"/>
                <w:color w:val="000000"/>
                <w:sz w:val="24"/>
                <w:szCs w:val="24"/>
                <w:lang w:val="en-GB" w:eastAsia="en-GB"/>
              </w:rPr>
              <w:t>0.49</w:t>
            </w:r>
          </w:p>
        </w:tc>
        <w:tc>
          <w:tcPr>
            <w:tcW w:w="960" w:type="dxa"/>
            <w:tcBorders>
              <w:top w:val="nil"/>
              <w:left w:val="nil"/>
              <w:bottom w:val="nil"/>
              <w:right w:val="nil"/>
            </w:tcBorders>
            <w:shd w:val="clear" w:color="auto" w:fill="auto"/>
            <w:noWrap/>
            <w:vAlign w:val="bottom"/>
            <w:hideMark/>
          </w:tcPr>
          <w:p w14:paraId="3D42F5A5" w14:textId="77777777" w:rsidR="00B75F05" w:rsidRPr="008A7487" w:rsidRDefault="00B75F05" w:rsidP="00C21D6F">
            <w:pPr>
              <w:spacing w:after="0" w:line="240" w:lineRule="auto"/>
              <w:jc w:val="right"/>
              <w:rPr>
                <w:rFonts w:ascii="Times New Roman" w:eastAsia="Times New Roman" w:hAnsi="Times New Roman" w:cs="Times New Roman"/>
                <w:color w:val="000000"/>
                <w:sz w:val="24"/>
                <w:szCs w:val="24"/>
                <w:lang w:val="en-GB" w:eastAsia="en-GB"/>
              </w:rPr>
            </w:pPr>
            <w:r w:rsidRPr="008A7487">
              <w:rPr>
                <w:rFonts w:ascii="Times New Roman" w:eastAsia="Times New Roman" w:hAnsi="Times New Roman" w:cs="Times New Roman"/>
                <w:color w:val="000000"/>
                <w:sz w:val="24"/>
                <w:szCs w:val="24"/>
                <w:lang w:val="en-GB" w:eastAsia="en-GB"/>
              </w:rPr>
              <w:t>1.00</w:t>
            </w:r>
          </w:p>
        </w:tc>
        <w:tc>
          <w:tcPr>
            <w:tcW w:w="960" w:type="dxa"/>
            <w:tcBorders>
              <w:top w:val="nil"/>
              <w:left w:val="nil"/>
              <w:bottom w:val="nil"/>
              <w:right w:val="nil"/>
            </w:tcBorders>
            <w:shd w:val="clear" w:color="auto" w:fill="auto"/>
            <w:noWrap/>
            <w:vAlign w:val="bottom"/>
            <w:hideMark/>
          </w:tcPr>
          <w:p w14:paraId="4CD6A02B" w14:textId="77777777" w:rsidR="00B75F05" w:rsidRPr="008A7487" w:rsidRDefault="00B75F05" w:rsidP="00C21D6F">
            <w:pPr>
              <w:spacing w:after="0" w:line="240" w:lineRule="auto"/>
              <w:rPr>
                <w:rFonts w:ascii="Times New Roman" w:eastAsia="Times New Roman" w:hAnsi="Times New Roman" w:cs="Times New Roman"/>
                <w:color w:val="000000"/>
                <w:sz w:val="24"/>
                <w:szCs w:val="24"/>
                <w:lang w:val="en-GB" w:eastAsia="en-GB"/>
              </w:rPr>
            </w:pPr>
          </w:p>
        </w:tc>
        <w:tc>
          <w:tcPr>
            <w:tcW w:w="960" w:type="dxa"/>
            <w:tcBorders>
              <w:top w:val="nil"/>
              <w:left w:val="nil"/>
              <w:bottom w:val="nil"/>
              <w:right w:val="nil"/>
            </w:tcBorders>
            <w:shd w:val="clear" w:color="auto" w:fill="auto"/>
            <w:noWrap/>
            <w:vAlign w:val="bottom"/>
            <w:hideMark/>
          </w:tcPr>
          <w:p w14:paraId="60CB7AAB" w14:textId="77777777" w:rsidR="00B75F05" w:rsidRPr="008A7487" w:rsidRDefault="00B75F05" w:rsidP="00C21D6F">
            <w:pPr>
              <w:spacing w:after="0" w:line="240" w:lineRule="auto"/>
              <w:rPr>
                <w:rFonts w:ascii="Times New Roman" w:eastAsia="Times New Roman" w:hAnsi="Times New Roman" w:cs="Times New Roman"/>
                <w:color w:val="000000"/>
                <w:sz w:val="24"/>
                <w:szCs w:val="24"/>
                <w:lang w:val="en-GB" w:eastAsia="en-GB"/>
              </w:rPr>
            </w:pPr>
          </w:p>
        </w:tc>
        <w:tc>
          <w:tcPr>
            <w:tcW w:w="988" w:type="dxa"/>
            <w:tcBorders>
              <w:top w:val="nil"/>
              <w:left w:val="nil"/>
              <w:bottom w:val="nil"/>
              <w:right w:val="nil"/>
            </w:tcBorders>
            <w:shd w:val="clear" w:color="auto" w:fill="auto"/>
            <w:noWrap/>
            <w:vAlign w:val="bottom"/>
            <w:hideMark/>
          </w:tcPr>
          <w:p w14:paraId="792DE548" w14:textId="77777777" w:rsidR="00B75F05" w:rsidRPr="008A7487" w:rsidRDefault="00B75F05" w:rsidP="00C21D6F">
            <w:pPr>
              <w:spacing w:after="0" w:line="240" w:lineRule="auto"/>
              <w:rPr>
                <w:rFonts w:ascii="Times New Roman" w:eastAsia="Times New Roman" w:hAnsi="Times New Roman" w:cs="Times New Roman"/>
                <w:color w:val="000000"/>
                <w:sz w:val="24"/>
                <w:szCs w:val="24"/>
                <w:lang w:val="en-GB" w:eastAsia="en-GB"/>
              </w:rPr>
            </w:pPr>
          </w:p>
        </w:tc>
        <w:tc>
          <w:tcPr>
            <w:tcW w:w="960" w:type="dxa"/>
            <w:tcBorders>
              <w:top w:val="nil"/>
              <w:left w:val="nil"/>
              <w:bottom w:val="nil"/>
              <w:right w:val="nil"/>
            </w:tcBorders>
            <w:shd w:val="clear" w:color="auto" w:fill="auto"/>
            <w:noWrap/>
            <w:vAlign w:val="bottom"/>
            <w:hideMark/>
          </w:tcPr>
          <w:p w14:paraId="70C20253" w14:textId="77777777" w:rsidR="00B75F05" w:rsidRPr="008A7487" w:rsidRDefault="00B75F05" w:rsidP="00C21D6F">
            <w:pPr>
              <w:spacing w:after="0" w:line="240" w:lineRule="auto"/>
              <w:rPr>
                <w:rFonts w:ascii="Times New Roman" w:eastAsia="Times New Roman" w:hAnsi="Times New Roman" w:cs="Times New Roman"/>
                <w:color w:val="000000"/>
                <w:sz w:val="24"/>
                <w:szCs w:val="24"/>
                <w:lang w:val="en-GB" w:eastAsia="en-GB"/>
              </w:rPr>
            </w:pPr>
          </w:p>
        </w:tc>
        <w:tc>
          <w:tcPr>
            <w:tcW w:w="960" w:type="dxa"/>
            <w:tcBorders>
              <w:top w:val="nil"/>
              <w:left w:val="nil"/>
              <w:bottom w:val="nil"/>
              <w:right w:val="nil"/>
            </w:tcBorders>
            <w:shd w:val="clear" w:color="auto" w:fill="auto"/>
            <w:noWrap/>
            <w:vAlign w:val="bottom"/>
            <w:hideMark/>
          </w:tcPr>
          <w:p w14:paraId="5DE01E11" w14:textId="77777777" w:rsidR="00B75F05" w:rsidRPr="008A7487" w:rsidRDefault="00B75F05" w:rsidP="00C21D6F">
            <w:pPr>
              <w:spacing w:after="0" w:line="240" w:lineRule="auto"/>
              <w:rPr>
                <w:rFonts w:ascii="Times New Roman" w:eastAsia="Times New Roman" w:hAnsi="Times New Roman" w:cs="Times New Roman"/>
                <w:color w:val="000000"/>
                <w:sz w:val="24"/>
                <w:szCs w:val="24"/>
                <w:lang w:val="en-GB" w:eastAsia="en-GB"/>
              </w:rPr>
            </w:pPr>
          </w:p>
        </w:tc>
        <w:tc>
          <w:tcPr>
            <w:tcW w:w="960" w:type="dxa"/>
            <w:tcBorders>
              <w:top w:val="nil"/>
              <w:left w:val="nil"/>
              <w:bottom w:val="nil"/>
              <w:right w:val="nil"/>
            </w:tcBorders>
            <w:shd w:val="clear" w:color="auto" w:fill="auto"/>
            <w:noWrap/>
            <w:vAlign w:val="bottom"/>
            <w:hideMark/>
          </w:tcPr>
          <w:p w14:paraId="79EE4C03" w14:textId="77777777" w:rsidR="00B75F05" w:rsidRPr="008A7487" w:rsidRDefault="00B75F05" w:rsidP="00C21D6F">
            <w:pPr>
              <w:spacing w:after="0" w:line="240" w:lineRule="auto"/>
              <w:rPr>
                <w:rFonts w:ascii="Times New Roman" w:eastAsia="Times New Roman" w:hAnsi="Times New Roman" w:cs="Times New Roman"/>
                <w:color w:val="000000"/>
                <w:sz w:val="24"/>
                <w:szCs w:val="24"/>
                <w:lang w:val="en-GB" w:eastAsia="en-GB"/>
              </w:rPr>
            </w:pPr>
          </w:p>
        </w:tc>
      </w:tr>
      <w:tr w:rsidR="00B75F05" w:rsidRPr="008A7487" w14:paraId="3877B0E1" w14:textId="77777777" w:rsidTr="00C21D6F">
        <w:trPr>
          <w:trHeight w:val="300"/>
        </w:trPr>
        <w:tc>
          <w:tcPr>
            <w:tcW w:w="988" w:type="dxa"/>
            <w:tcBorders>
              <w:top w:val="nil"/>
              <w:left w:val="nil"/>
              <w:bottom w:val="nil"/>
              <w:right w:val="nil"/>
            </w:tcBorders>
            <w:shd w:val="clear" w:color="auto" w:fill="auto"/>
            <w:noWrap/>
            <w:vAlign w:val="bottom"/>
            <w:hideMark/>
          </w:tcPr>
          <w:p w14:paraId="4B09302A" w14:textId="77777777" w:rsidR="00B75F05" w:rsidRPr="008A7487" w:rsidRDefault="00B75F05" w:rsidP="00C21D6F">
            <w:pPr>
              <w:spacing w:after="0" w:line="240" w:lineRule="auto"/>
              <w:rPr>
                <w:rFonts w:ascii="Times New Roman" w:eastAsia="Times New Roman" w:hAnsi="Times New Roman" w:cs="Times New Roman"/>
                <w:b/>
                <w:color w:val="000000"/>
                <w:sz w:val="24"/>
                <w:szCs w:val="24"/>
                <w:lang w:val="en-GB" w:eastAsia="en-GB"/>
              </w:rPr>
            </w:pPr>
            <w:r w:rsidRPr="008A7487">
              <w:rPr>
                <w:rFonts w:ascii="Times New Roman" w:eastAsia="Times New Roman" w:hAnsi="Times New Roman" w:cs="Times New Roman"/>
                <w:b/>
                <w:color w:val="000000"/>
                <w:sz w:val="24"/>
                <w:szCs w:val="24"/>
                <w:lang w:val="en-GB" w:eastAsia="en-GB"/>
              </w:rPr>
              <w:t>CM</w:t>
            </w:r>
          </w:p>
        </w:tc>
        <w:tc>
          <w:tcPr>
            <w:tcW w:w="960" w:type="dxa"/>
            <w:tcBorders>
              <w:top w:val="nil"/>
              <w:left w:val="nil"/>
              <w:bottom w:val="nil"/>
              <w:right w:val="nil"/>
            </w:tcBorders>
            <w:shd w:val="clear" w:color="auto" w:fill="auto"/>
            <w:noWrap/>
            <w:vAlign w:val="bottom"/>
            <w:hideMark/>
          </w:tcPr>
          <w:p w14:paraId="3A89976C" w14:textId="77777777" w:rsidR="00B75F05" w:rsidRPr="008A7487" w:rsidRDefault="00B75F05" w:rsidP="00C21D6F">
            <w:pPr>
              <w:spacing w:after="0" w:line="240" w:lineRule="auto"/>
              <w:jc w:val="right"/>
              <w:rPr>
                <w:rFonts w:ascii="Times New Roman" w:eastAsia="Times New Roman" w:hAnsi="Times New Roman" w:cs="Times New Roman"/>
                <w:color w:val="000000"/>
                <w:sz w:val="24"/>
                <w:szCs w:val="24"/>
                <w:lang w:val="en-GB" w:eastAsia="en-GB"/>
              </w:rPr>
            </w:pPr>
            <w:r w:rsidRPr="008A7487">
              <w:rPr>
                <w:rFonts w:ascii="Times New Roman" w:eastAsia="Times New Roman" w:hAnsi="Times New Roman" w:cs="Times New Roman"/>
                <w:color w:val="000000"/>
                <w:sz w:val="24"/>
                <w:szCs w:val="24"/>
                <w:lang w:val="en-GB" w:eastAsia="en-GB"/>
              </w:rPr>
              <w:t>-0.24</w:t>
            </w:r>
          </w:p>
        </w:tc>
        <w:tc>
          <w:tcPr>
            <w:tcW w:w="960" w:type="dxa"/>
            <w:tcBorders>
              <w:top w:val="nil"/>
              <w:left w:val="nil"/>
              <w:bottom w:val="nil"/>
              <w:right w:val="nil"/>
            </w:tcBorders>
            <w:shd w:val="clear" w:color="auto" w:fill="auto"/>
            <w:noWrap/>
            <w:vAlign w:val="bottom"/>
            <w:hideMark/>
          </w:tcPr>
          <w:p w14:paraId="4B82CDBF" w14:textId="77777777" w:rsidR="00B75F05" w:rsidRPr="008A7487" w:rsidRDefault="00B75F05" w:rsidP="00C21D6F">
            <w:pPr>
              <w:spacing w:after="0" w:line="240" w:lineRule="auto"/>
              <w:jc w:val="right"/>
              <w:rPr>
                <w:rFonts w:ascii="Times New Roman" w:eastAsia="Times New Roman" w:hAnsi="Times New Roman" w:cs="Times New Roman"/>
                <w:color w:val="000000"/>
                <w:sz w:val="24"/>
                <w:szCs w:val="24"/>
                <w:lang w:val="en-GB" w:eastAsia="en-GB"/>
              </w:rPr>
            </w:pPr>
            <w:r w:rsidRPr="008A7487">
              <w:rPr>
                <w:rFonts w:ascii="Times New Roman" w:eastAsia="Times New Roman" w:hAnsi="Times New Roman" w:cs="Times New Roman"/>
                <w:color w:val="000000"/>
                <w:sz w:val="24"/>
                <w:szCs w:val="24"/>
                <w:lang w:val="en-GB" w:eastAsia="en-GB"/>
              </w:rPr>
              <w:t>0.28</w:t>
            </w:r>
          </w:p>
        </w:tc>
        <w:tc>
          <w:tcPr>
            <w:tcW w:w="960" w:type="dxa"/>
            <w:tcBorders>
              <w:top w:val="nil"/>
              <w:left w:val="nil"/>
              <w:bottom w:val="nil"/>
              <w:right w:val="nil"/>
            </w:tcBorders>
            <w:shd w:val="clear" w:color="auto" w:fill="auto"/>
            <w:noWrap/>
            <w:vAlign w:val="bottom"/>
            <w:hideMark/>
          </w:tcPr>
          <w:p w14:paraId="741BE51C" w14:textId="77777777" w:rsidR="00B75F05" w:rsidRPr="008A7487" w:rsidRDefault="00B75F05" w:rsidP="00C21D6F">
            <w:pPr>
              <w:spacing w:after="0" w:line="240" w:lineRule="auto"/>
              <w:jc w:val="right"/>
              <w:rPr>
                <w:rFonts w:ascii="Times New Roman" w:eastAsia="Times New Roman" w:hAnsi="Times New Roman" w:cs="Times New Roman"/>
                <w:color w:val="000000"/>
                <w:sz w:val="24"/>
                <w:szCs w:val="24"/>
                <w:lang w:val="en-GB" w:eastAsia="en-GB"/>
              </w:rPr>
            </w:pPr>
            <w:r w:rsidRPr="008A7487">
              <w:rPr>
                <w:rFonts w:ascii="Times New Roman" w:eastAsia="Times New Roman" w:hAnsi="Times New Roman" w:cs="Times New Roman"/>
                <w:color w:val="000000"/>
                <w:sz w:val="24"/>
                <w:szCs w:val="24"/>
                <w:lang w:val="en-GB" w:eastAsia="en-GB"/>
              </w:rPr>
              <w:t>0.39</w:t>
            </w:r>
          </w:p>
        </w:tc>
        <w:tc>
          <w:tcPr>
            <w:tcW w:w="960" w:type="dxa"/>
            <w:tcBorders>
              <w:top w:val="nil"/>
              <w:left w:val="nil"/>
              <w:bottom w:val="nil"/>
              <w:right w:val="nil"/>
            </w:tcBorders>
            <w:shd w:val="clear" w:color="auto" w:fill="auto"/>
            <w:noWrap/>
            <w:vAlign w:val="bottom"/>
            <w:hideMark/>
          </w:tcPr>
          <w:p w14:paraId="6D31635F" w14:textId="77777777" w:rsidR="00B75F05" w:rsidRPr="008A7487" w:rsidRDefault="00B75F05" w:rsidP="00C21D6F">
            <w:pPr>
              <w:spacing w:after="0" w:line="240" w:lineRule="auto"/>
              <w:jc w:val="right"/>
              <w:rPr>
                <w:rFonts w:ascii="Times New Roman" w:eastAsia="Times New Roman" w:hAnsi="Times New Roman" w:cs="Times New Roman"/>
                <w:color w:val="000000"/>
                <w:sz w:val="24"/>
                <w:szCs w:val="24"/>
                <w:lang w:val="en-GB" w:eastAsia="en-GB"/>
              </w:rPr>
            </w:pPr>
            <w:r w:rsidRPr="008A7487">
              <w:rPr>
                <w:rFonts w:ascii="Times New Roman" w:eastAsia="Times New Roman" w:hAnsi="Times New Roman" w:cs="Times New Roman"/>
                <w:color w:val="000000"/>
                <w:sz w:val="24"/>
                <w:szCs w:val="24"/>
                <w:lang w:val="en-GB" w:eastAsia="en-GB"/>
              </w:rPr>
              <w:t>0.44</w:t>
            </w:r>
          </w:p>
        </w:tc>
        <w:tc>
          <w:tcPr>
            <w:tcW w:w="960" w:type="dxa"/>
            <w:tcBorders>
              <w:top w:val="nil"/>
              <w:left w:val="nil"/>
              <w:bottom w:val="nil"/>
              <w:right w:val="nil"/>
            </w:tcBorders>
            <w:shd w:val="clear" w:color="auto" w:fill="auto"/>
            <w:noWrap/>
            <w:vAlign w:val="bottom"/>
            <w:hideMark/>
          </w:tcPr>
          <w:p w14:paraId="1ABE2BA0" w14:textId="77777777" w:rsidR="00B75F05" w:rsidRPr="008A7487" w:rsidRDefault="00B75F05" w:rsidP="00C21D6F">
            <w:pPr>
              <w:spacing w:after="0" w:line="240" w:lineRule="auto"/>
              <w:jc w:val="right"/>
              <w:rPr>
                <w:rFonts w:ascii="Times New Roman" w:eastAsia="Times New Roman" w:hAnsi="Times New Roman" w:cs="Times New Roman"/>
                <w:color w:val="000000"/>
                <w:sz w:val="24"/>
                <w:szCs w:val="24"/>
                <w:lang w:val="en-GB" w:eastAsia="en-GB"/>
              </w:rPr>
            </w:pPr>
            <w:r w:rsidRPr="008A7487">
              <w:rPr>
                <w:rFonts w:ascii="Times New Roman" w:eastAsia="Times New Roman" w:hAnsi="Times New Roman" w:cs="Times New Roman"/>
                <w:color w:val="000000"/>
                <w:sz w:val="24"/>
                <w:szCs w:val="24"/>
                <w:lang w:val="en-GB" w:eastAsia="en-GB"/>
              </w:rPr>
              <w:t>0.54</w:t>
            </w:r>
          </w:p>
        </w:tc>
        <w:tc>
          <w:tcPr>
            <w:tcW w:w="960" w:type="dxa"/>
            <w:tcBorders>
              <w:top w:val="nil"/>
              <w:left w:val="nil"/>
              <w:bottom w:val="nil"/>
              <w:right w:val="nil"/>
            </w:tcBorders>
            <w:shd w:val="clear" w:color="auto" w:fill="auto"/>
            <w:noWrap/>
            <w:vAlign w:val="bottom"/>
            <w:hideMark/>
          </w:tcPr>
          <w:p w14:paraId="0C9C5333" w14:textId="77777777" w:rsidR="00B75F05" w:rsidRPr="008A7487" w:rsidRDefault="00B75F05" w:rsidP="00C21D6F">
            <w:pPr>
              <w:spacing w:after="0" w:line="240" w:lineRule="auto"/>
              <w:jc w:val="right"/>
              <w:rPr>
                <w:rFonts w:ascii="Times New Roman" w:eastAsia="Times New Roman" w:hAnsi="Times New Roman" w:cs="Times New Roman"/>
                <w:color w:val="000000"/>
                <w:sz w:val="24"/>
                <w:szCs w:val="24"/>
                <w:lang w:val="en-GB" w:eastAsia="en-GB"/>
              </w:rPr>
            </w:pPr>
            <w:r w:rsidRPr="008A7487">
              <w:rPr>
                <w:rFonts w:ascii="Times New Roman" w:eastAsia="Times New Roman" w:hAnsi="Times New Roman" w:cs="Times New Roman"/>
                <w:color w:val="000000"/>
                <w:sz w:val="24"/>
                <w:szCs w:val="24"/>
                <w:lang w:val="en-GB" w:eastAsia="en-GB"/>
              </w:rPr>
              <w:t>1.00</w:t>
            </w:r>
          </w:p>
        </w:tc>
        <w:tc>
          <w:tcPr>
            <w:tcW w:w="960" w:type="dxa"/>
            <w:tcBorders>
              <w:top w:val="nil"/>
              <w:left w:val="nil"/>
              <w:bottom w:val="nil"/>
              <w:right w:val="nil"/>
            </w:tcBorders>
            <w:shd w:val="clear" w:color="auto" w:fill="auto"/>
            <w:noWrap/>
            <w:vAlign w:val="bottom"/>
            <w:hideMark/>
          </w:tcPr>
          <w:p w14:paraId="6430763C" w14:textId="77777777" w:rsidR="00B75F05" w:rsidRPr="008A7487" w:rsidRDefault="00B75F05" w:rsidP="00C21D6F">
            <w:pPr>
              <w:spacing w:after="0" w:line="240" w:lineRule="auto"/>
              <w:rPr>
                <w:rFonts w:ascii="Times New Roman" w:eastAsia="Times New Roman" w:hAnsi="Times New Roman" w:cs="Times New Roman"/>
                <w:color w:val="000000"/>
                <w:sz w:val="24"/>
                <w:szCs w:val="24"/>
                <w:lang w:val="en-GB" w:eastAsia="en-GB"/>
              </w:rPr>
            </w:pPr>
          </w:p>
        </w:tc>
        <w:tc>
          <w:tcPr>
            <w:tcW w:w="988" w:type="dxa"/>
            <w:tcBorders>
              <w:top w:val="nil"/>
              <w:left w:val="nil"/>
              <w:bottom w:val="nil"/>
              <w:right w:val="nil"/>
            </w:tcBorders>
            <w:shd w:val="clear" w:color="auto" w:fill="auto"/>
            <w:noWrap/>
            <w:vAlign w:val="bottom"/>
            <w:hideMark/>
          </w:tcPr>
          <w:p w14:paraId="3234CA2B" w14:textId="77777777" w:rsidR="00B75F05" w:rsidRPr="008A7487" w:rsidRDefault="00B75F05" w:rsidP="00C21D6F">
            <w:pPr>
              <w:spacing w:after="0" w:line="240" w:lineRule="auto"/>
              <w:rPr>
                <w:rFonts w:ascii="Times New Roman" w:eastAsia="Times New Roman" w:hAnsi="Times New Roman" w:cs="Times New Roman"/>
                <w:color w:val="000000"/>
                <w:sz w:val="24"/>
                <w:szCs w:val="24"/>
                <w:lang w:val="en-GB" w:eastAsia="en-GB"/>
              </w:rPr>
            </w:pPr>
          </w:p>
        </w:tc>
        <w:tc>
          <w:tcPr>
            <w:tcW w:w="960" w:type="dxa"/>
            <w:tcBorders>
              <w:top w:val="nil"/>
              <w:left w:val="nil"/>
              <w:bottom w:val="nil"/>
              <w:right w:val="nil"/>
            </w:tcBorders>
            <w:shd w:val="clear" w:color="auto" w:fill="auto"/>
            <w:noWrap/>
            <w:vAlign w:val="bottom"/>
            <w:hideMark/>
          </w:tcPr>
          <w:p w14:paraId="2E3C9C74" w14:textId="77777777" w:rsidR="00B75F05" w:rsidRPr="008A7487" w:rsidRDefault="00B75F05" w:rsidP="00C21D6F">
            <w:pPr>
              <w:spacing w:after="0" w:line="240" w:lineRule="auto"/>
              <w:rPr>
                <w:rFonts w:ascii="Times New Roman" w:eastAsia="Times New Roman" w:hAnsi="Times New Roman" w:cs="Times New Roman"/>
                <w:color w:val="000000"/>
                <w:sz w:val="24"/>
                <w:szCs w:val="24"/>
                <w:lang w:val="en-GB" w:eastAsia="en-GB"/>
              </w:rPr>
            </w:pPr>
          </w:p>
        </w:tc>
        <w:tc>
          <w:tcPr>
            <w:tcW w:w="960" w:type="dxa"/>
            <w:tcBorders>
              <w:top w:val="nil"/>
              <w:left w:val="nil"/>
              <w:bottom w:val="nil"/>
              <w:right w:val="nil"/>
            </w:tcBorders>
            <w:shd w:val="clear" w:color="auto" w:fill="auto"/>
            <w:noWrap/>
            <w:vAlign w:val="bottom"/>
            <w:hideMark/>
          </w:tcPr>
          <w:p w14:paraId="664AD6E5" w14:textId="77777777" w:rsidR="00B75F05" w:rsidRPr="008A7487" w:rsidRDefault="00B75F05" w:rsidP="00C21D6F">
            <w:pPr>
              <w:spacing w:after="0" w:line="240" w:lineRule="auto"/>
              <w:rPr>
                <w:rFonts w:ascii="Times New Roman" w:eastAsia="Times New Roman" w:hAnsi="Times New Roman" w:cs="Times New Roman"/>
                <w:color w:val="000000"/>
                <w:sz w:val="24"/>
                <w:szCs w:val="24"/>
                <w:lang w:val="en-GB" w:eastAsia="en-GB"/>
              </w:rPr>
            </w:pPr>
          </w:p>
        </w:tc>
        <w:tc>
          <w:tcPr>
            <w:tcW w:w="960" w:type="dxa"/>
            <w:tcBorders>
              <w:top w:val="nil"/>
              <w:left w:val="nil"/>
              <w:bottom w:val="nil"/>
              <w:right w:val="nil"/>
            </w:tcBorders>
            <w:shd w:val="clear" w:color="auto" w:fill="auto"/>
            <w:noWrap/>
            <w:vAlign w:val="bottom"/>
            <w:hideMark/>
          </w:tcPr>
          <w:p w14:paraId="6022F757" w14:textId="77777777" w:rsidR="00B75F05" w:rsidRPr="008A7487" w:rsidRDefault="00B75F05" w:rsidP="00C21D6F">
            <w:pPr>
              <w:spacing w:after="0" w:line="240" w:lineRule="auto"/>
              <w:rPr>
                <w:rFonts w:ascii="Times New Roman" w:eastAsia="Times New Roman" w:hAnsi="Times New Roman" w:cs="Times New Roman"/>
                <w:color w:val="000000"/>
                <w:sz w:val="24"/>
                <w:szCs w:val="24"/>
                <w:lang w:val="en-GB" w:eastAsia="en-GB"/>
              </w:rPr>
            </w:pPr>
          </w:p>
        </w:tc>
      </w:tr>
      <w:tr w:rsidR="00B75F05" w:rsidRPr="008A7487" w14:paraId="0FEB9F59" w14:textId="77777777" w:rsidTr="00C21D6F">
        <w:trPr>
          <w:trHeight w:val="300"/>
        </w:trPr>
        <w:tc>
          <w:tcPr>
            <w:tcW w:w="988" w:type="dxa"/>
            <w:tcBorders>
              <w:top w:val="nil"/>
              <w:left w:val="nil"/>
              <w:bottom w:val="nil"/>
              <w:right w:val="nil"/>
            </w:tcBorders>
            <w:shd w:val="clear" w:color="auto" w:fill="auto"/>
            <w:noWrap/>
            <w:vAlign w:val="bottom"/>
            <w:hideMark/>
          </w:tcPr>
          <w:p w14:paraId="62C96D45" w14:textId="77777777" w:rsidR="00B75F05" w:rsidRPr="008A7487" w:rsidRDefault="00B75F05" w:rsidP="00C21D6F">
            <w:pPr>
              <w:spacing w:after="0" w:line="240" w:lineRule="auto"/>
              <w:rPr>
                <w:rFonts w:ascii="Times New Roman" w:eastAsia="Times New Roman" w:hAnsi="Times New Roman" w:cs="Times New Roman"/>
                <w:b/>
                <w:color w:val="000000"/>
                <w:sz w:val="24"/>
                <w:szCs w:val="24"/>
                <w:lang w:val="en-GB" w:eastAsia="en-GB"/>
              </w:rPr>
            </w:pPr>
            <w:r w:rsidRPr="008A7487">
              <w:rPr>
                <w:rFonts w:ascii="Times New Roman" w:eastAsia="Times New Roman" w:hAnsi="Times New Roman" w:cs="Times New Roman"/>
                <w:b/>
                <w:color w:val="000000"/>
                <w:sz w:val="24"/>
                <w:szCs w:val="24"/>
                <w:lang w:val="en-GB" w:eastAsia="en-GB"/>
              </w:rPr>
              <w:t>LQ</w:t>
            </w:r>
          </w:p>
        </w:tc>
        <w:tc>
          <w:tcPr>
            <w:tcW w:w="960" w:type="dxa"/>
            <w:tcBorders>
              <w:top w:val="nil"/>
              <w:left w:val="nil"/>
              <w:bottom w:val="nil"/>
              <w:right w:val="nil"/>
            </w:tcBorders>
            <w:shd w:val="clear" w:color="auto" w:fill="auto"/>
            <w:noWrap/>
            <w:vAlign w:val="bottom"/>
            <w:hideMark/>
          </w:tcPr>
          <w:p w14:paraId="6471DF7C" w14:textId="77777777" w:rsidR="00B75F05" w:rsidRPr="008A7487" w:rsidRDefault="00B75F05" w:rsidP="00C21D6F">
            <w:pPr>
              <w:spacing w:after="0" w:line="240" w:lineRule="auto"/>
              <w:jc w:val="right"/>
              <w:rPr>
                <w:rFonts w:ascii="Times New Roman" w:eastAsia="Times New Roman" w:hAnsi="Times New Roman" w:cs="Times New Roman"/>
                <w:color w:val="000000"/>
                <w:sz w:val="24"/>
                <w:szCs w:val="24"/>
                <w:lang w:val="en-GB" w:eastAsia="en-GB"/>
              </w:rPr>
            </w:pPr>
            <w:r w:rsidRPr="008A7487">
              <w:rPr>
                <w:rFonts w:ascii="Times New Roman" w:eastAsia="Times New Roman" w:hAnsi="Times New Roman" w:cs="Times New Roman"/>
                <w:color w:val="000000"/>
                <w:sz w:val="24"/>
                <w:szCs w:val="24"/>
                <w:lang w:val="en-GB" w:eastAsia="en-GB"/>
              </w:rPr>
              <w:t>0.04</w:t>
            </w:r>
          </w:p>
        </w:tc>
        <w:tc>
          <w:tcPr>
            <w:tcW w:w="960" w:type="dxa"/>
            <w:tcBorders>
              <w:top w:val="nil"/>
              <w:left w:val="nil"/>
              <w:bottom w:val="nil"/>
              <w:right w:val="nil"/>
            </w:tcBorders>
            <w:shd w:val="clear" w:color="auto" w:fill="auto"/>
            <w:noWrap/>
            <w:vAlign w:val="bottom"/>
            <w:hideMark/>
          </w:tcPr>
          <w:p w14:paraId="7F9775B4" w14:textId="77777777" w:rsidR="00B75F05" w:rsidRPr="008A7487" w:rsidRDefault="00B75F05" w:rsidP="00C21D6F">
            <w:pPr>
              <w:spacing w:after="0" w:line="240" w:lineRule="auto"/>
              <w:jc w:val="right"/>
              <w:rPr>
                <w:rFonts w:ascii="Times New Roman" w:eastAsia="Times New Roman" w:hAnsi="Times New Roman" w:cs="Times New Roman"/>
                <w:color w:val="000000"/>
                <w:sz w:val="24"/>
                <w:szCs w:val="24"/>
                <w:lang w:val="en-GB" w:eastAsia="en-GB"/>
              </w:rPr>
            </w:pPr>
            <w:r w:rsidRPr="008A7487">
              <w:rPr>
                <w:rFonts w:ascii="Times New Roman" w:eastAsia="Times New Roman" w:hAnsi="Times New Roman" w:cs="Times New Roman"/>
                <w:color w:val="000000"/>
                <w:sz w:val="24"/>
                <w:szCs w:val="24"/>
                <w:lang w:val="en-GB" w:eastAsia="en-GB"/>
              </w:rPr>
              <w:t>0.23</w:t>
            </w:r>
          </w:p>
        </w:tc>
        <w:tc>
          <w:tcPr>
            <w:tcW w:w="960" w:type="dxa"/>
            <w:tcBorders>
              <w:top w:val="nil"/>
              <w:left w:val="nil"/>
              <w:bottom w:val="nil"/>
              <w:right w:val="nil"/>
            </w:tcBorders>
            <w:shd w:val="clear" w:color="auto" w:fill="auto"/>
            <w:noWrap/>
            <w:vAlign w:val="bottom"/>
            <w:hideMark/>
          </w:tcPr>
          <w:p w14:paraId="708B7C8A" w14:textId="77777777" w:rsidR="00B75F05" w:rsidRPr="008A7487" w:rsidRDefault="00B75F05" w:rsidP="00C21D6F">
            <w:pPr>
              <w:spacing w:after="0" w:line="240" w:lineRule="auto"/>
              <w:jc w:val="right"/>
              <w:rPr>
                <w:rFonts w:ascii="Times New Roman" w:eastAsia="Times New Roman" w:hAnsi="Times New Roman" w:cs="Times New Roman"/>
                <w:color w:val="000000"/>
                <w:sz w:val="24"/>
                <w:szCs w:val="24"/>
                <w:lang w:val="en-GB" w:eastAsia="en-GB"/>
              </w:rPr>
            </w:pPr>
            <w:r w:rsidRPr="008A7487">
              <w:rPr>
                <w:rFonts w:ascii="Times New Roman" w:eastAsia="Times New Roman" w:hAnsi="Times New Roman" w:cs="Times New Roman"/>
                <w:color w:val="000000"/>
                <w:sz w:val="24"/>
                <w:szCs w:val="24"/>
                <w:lang w:val="en-GB" w:eastAsia="en-GB"/>
              </w:rPr>
              <w:t>0.44</w:t>
            </w:r>
          </w:p>
        </w:tc>
        <w:tc>
          <w:tcPr>
            <w:tcW w:w="960" w:type="dxa"/>
            <w:tcBorders>
              <w:top w:val="nil"/>
              <w:left w:val="nil"/>
              <w:bottom w:val="nil"/>
              <w:right w:val="nil"/>
            </w:tcBorders>
            <w:shd w:val="clear" w:color="auto" w:fill="auto"/>
            <w:noWrap/>
            <w:vAlign w:val="bottom"/>
            <w:hideMark/>
          </w:tcPr>
          <w:p w14:paraId="3235A79B" w14:textId="77777777" w:rsidR="00B75F05" w:rsidRPr="008A7487" w:rsidRDefault="00B75F05" w:rsidP="00C21D6F">
            <w:pPr>
              <w:spacing w:after="0" w:line="240" w:lineRule="auto"/>
              <w:jc w:val="right"/>
              <w:rPr>
                <w:rFonts w:ascii="Times New Roman" w:eastAsia="Times New Roman" w:hAnsi="Times New Roman" w:cs="Times New Roman"/>
                <w:color w:val="000000"/>
                <w:sz w:val="24"/>
                <w:szCs w:val="24"/>
                <w:lang w:val="en-GB" w:eastAsia="en-GB"/>
              </w:rPr>
            </w:pPr>
            <w:r w:rsidRPr="008A7487">
              <w:rPr>
                <w:rFonts w:ascii="Times New Roman" w:eastAsia="Times New Roman" w:hAnsi="Times New Roman" w:cs="Times New Roman"/>
                <w:color w:val="000000"/>
                <w:sz w:val="24"/>
                <w:szCs w:val="24"/>
                <w:lang w:val="en-GB" w:eastAsia="en-GB"/>
              </w:rPr>
              <w:t>0.49</w:t>
            </w:r>
          </w:p>
        </w:tc>
        <w:tc>
          <w:tcPr>
            <w:tcW w:w="960" w:type="dxa"/>
            <w:tcBorders>
              <w:top w:val="nil"/>
              <w:left w:val="nil"/>
              <w:bottom w:val="nil"/>
              <w:right w:val="nil"/>
            </w:tcBorders>
            <w:shd w:val="clear" w:color="auto" w:fill="auto"/>
            <w:noWrap/>
            <w:vAlign w:val="bottom"/>
            <w:hideMark/>
          </w:tcPr>
          <w:p w14:paraId="4F6BA752" w14:textId="77777777" w:rsidR="00B75F05" w:rsidRPr="008A7487" w:rsidRDefault="00B75F05" w:rsidP="00C21D6F">
            <w:pPr>
              <w:spacing w:after="0" w:line="240" w:lineRule="auto"/>
              <w:jc w:val="right"/>
              <w:rPr>
                <w:rFonts w:ascii="Times New Roman" w:eastAsia="Times New Roman" w:hAnsi="Times New Roman" w:cs="Times New Roman"/>
                <w:color w:val="000000"/>
                <w:sz w:val="24"/>
                <w:szCs w:val="24"/>
                <w:lang w:val="en-GB" w:eastAsia="en-GB"/>
              </w:rPr>
            </w:pPr>
            <w:r w:rsidRPr="008A7487">
              <w:rPr>
                <w:rFonts w:ascii="Times New Roman" w:eastAsia="Times New Roman" w:hAnsi="Times New Roman" w:cs="Times New Roman"/>
                <w:color w:val="000000"/>
                <w:sz w:val="24"/>
                <w:szCs w:val="24"/>
                <w:lang w:val="en-GB" w:eastAsia="en-GB"/>
              </w:rPr>
              <w:t>0.27</w:t>
            </w:r>
          </w:p>
        </w:tc>
        <w:tc>
          <w:tcPr>
            <w:tcW w:w="960" w:type="dxa"/>
            <w:tcBorders>
              <w:top w:val="nil"/>
              <w:left w:val="nil"/>
              <w:bottom w:val="nil"/>
              <w:right w:val="nil"/>
            </w:tcBorders>
            <w:shd w:val="clear" w:color="auto" w:fill="auto"/>
            <w:noWrap/>
            <w:vAlign w:val="bottom"/>
            <w:hideMark/>
          </w:tcPr>
          <w:p w14:paraId="6FFECF99" w14:textId="77777777" w:rsidR="00B75F05" w:rsidRPr="008A7487" w:rsidRDefault="00B75F05" w:rsidP="00C21D6F">
            <w:pPr>
              <w:spacing w:after="0" w:line="240" w:lineRule="auto"/>
              <w:jc w:val="right"/>
              <w:rPr>
                <w:rFonts w:ascii="Times New Roman" w:eastAsia="Times New Roman" w:hAnsi="Times New Roman" w:cs="Times New Roman"/>
                <w:color w:val="000000"/>
                <w:sz w:val="24"/>
                <w:szCs w:val="24"/>
                <w:lang w:val="en-GB" w:eastAsia="en-GB"/>
              </w:rPr>
            </w:pPr>
            <w:r w:rsidRPr="008A7487">
              <w:rPr>
                <w:rFonts w:ascii="Times New Roman" w:eastAsia="Times New Roman" w:hAnsi="Times New Roman" w:cs="Times New Roman"/>
                <w:color w:val="000000"/>
                <w:sz w:val="24"/>
                <w:szCs w:val="24"/>
                <w:lang w:val="en-GB" w:eastAsia="en-GB"/>
              </w:rPr>
              <w:t>0.36</w:t>
            </w:r>
          </w:p>
        </w:tc>
        <w:tc>
          <w:tcPr>
            <w:tcW w:w="960" w:type="dxa"/>
            <w:tcBorders>
              <w:top w:val="nil"/>
              <w:left w:val="nil"/>
              <w:bottom w:val="nil"/>
              <w:right w:val="nil"/>
            </w:tcBorders>
            <w:shd w:val="clear" w:color="auto" w:fill="auto"/>
            <w:noWrap/>
            <w:vAlign w:val="bottom"/>
            <w:hideMark/>
          </w:tcPr>
          <w:p w14:paraId="1D6F267B" w14:textId="77777777" w:rsidR="00B75F05" w:rsidRPr="008A7487" w:rsidRDefault="00B75F05" w:rsidP="00C21D6F">
            <w:pPr>
              <w:spacing w:after="0" w:line="240" w:lineRule="auto"/>
              <w:jc w:val="right"/>
              <w:rPr>
                <w:rFonts w:ascii="Times New Roman" w:eastAsia="Times New Roman" w:hAnsi="Times New Roman" w:cs="Times New Roman"/>
                <w:color w:val="000000"/>
                <w:sz w:val="24"/>
                <w:szCs w:val="24"/>
                <w:lang w:val="en-GB" w:eastAsia="en-GB"/>
              </w:rPr>
            </w:pPr>
            <w:r w:rsidRPr="008A7487">
              <w:rPr>
                <w:rFonts w:ascii="Times New Roman" w:eastAsia="Times New Roman" w:hAnsi="Times New Roman" w:cs="Times New Roman"/>
                <w:color w:val="000000"/>
                <w:sz w:val="24"/>
                <w:szCs w:val="24"/>
                <w:lang w:val="en-GB" w:eastAsia="en-GB"/>
              </w:rPr>
              <w:t>1.00</w:t>
            </w:r>
          </w:p>
        </w:tc>
        <w:tc>
          <w:tcPr>
            <w:tcW w:w="988" w:type="dxa"/>
            <w:tcBorders>
              <w:top w:val="nil"/>
              <w:left w:val="nil"/>
              <w:bottom w:val="nil"/>
              <w:right w:val="nil"/>
            </w:tcBorders>
            <w:shd w:val="clear" w:color="auto" w:fill="auto"/>
            <w:noWrap/>
            <w:vAlign w:val="bottom"/>
            <w:hideMark/>
          </w:tcPr>
          <w:p w14:paraId="4C2406F0" w14:textId="77777777" w:rsidR="00B75F05" w:rsidRPr="008A7487" w:rsidRDefault="00B75F05" w:rsidP="00C21D6F">
            <w:pPr>
              <w:spacing w:after="0" w:line="240" w:lineRule="auto"/>
              <w:rPr>
                <w:rFonts w:ascii="Times New Roman" w:eastAsia="Times New Roman" w:hAnsi="Times New Roman" w:cs="Times New Roman"/>
                <w:color w:val="000000"/>
                <w:sz w:val="24"/>
                <w:szCs w:val="24"/>
                <w:lang w:val="en-GB" w:eastAsia="en-GB"/>
              </w:rPr>
            </w:pPr>
          </w:p>
        </w:tc>
        <w:tc>
          <w:tcPr>
            <w:tcW w:w="960" w:type="dxa"/>
            <w:tcBorders>
              <w:top w:val="nil"/>
              <w:left w:val="nil"/>
              <w:bottom w:val="nil"/>
              <w:right w:val="nil"/>
            </w:tcBorders>
            <w:shd w:val="clear" w:color="auto" w:fill="auto"/>
            <w:noWrap/>
            <w:vAlign w:val="bottom"/>
            <w:hideMark/>
          </w:tcPr>
          <w:p w14:paraId="1D2AFF41" w14:textId="77777777" w:rsidR="00B75F05" w:rsidRPr="008A7487" w:rsidRDefault="00B75F05" w:rsidP="00C21D6F">
            <w:pPr>
              <w:spacing w:after="0" w:line="240" w:lineRule="auto"/>
              <w:rPr>
                <w:rFonts w:ascii="Times New Roman" w:eastAsia="Times New Roman" w:hAnsi="Times New Roman" w:cs="Times New Roman"/>
                <w:color w:val="000000"/>
                <w:sz w:val="24"/>
                <w:szCs w:val="24"/>
                <w:lang w:val="en-GB" w:eastAsia="en-GB"/>
              </w:rPr>
            </w:pPr>
          </w:p>
        </w:tc>
        <w:tc>
          <w:tcPr>
            <w:tcW w:w="960" w:type="dxa"/>
            <w:tcBorders>
              <w:top w:val="nil"/>
              <w:left w:val="nil"/>
              <w:bottom w:val="nil"/>
              <w:right w:val="nil"/>
            </w:tcBorders>
            <w:shd w:val="clear" w:color="auto" w:fill="auto"/>
            <w:noWrap/>
            <w:vAlign w:val="bottom"/>
            <w:hideMark/>
          </w:tcPr>
          <w:p w14:paraId="158F20D4" w14:textId="77777777" w:rsidR="00B75F05" w:rsidRPr="008A7487" w:rsidRDefault="00B75F05" w:rsidP="00C21D6F">
            <w:pPr>
              <w:spacing w:after="0" w:line="240" w:lineRule="auto"/>
              <w:rPr>
                <w:rFonts w:ascii="Times New Roman" w:eastAsia="Times New Roman" w:hAnsi="Times New Roman" w:cs="Times New Roman"/>
                <w:color w:val="000000"/>
                <w:sz w:val="24"/>
                <w:szCs w:val="24"/>
                <w:lang w:val="en-GB" w:eastAsia="en-GB"/>
              </w:rPr>
            </w:pPr>
          </w:p>
        </w:tc>
        <w:tc>
          <w:tcPr>
            <w:tcW w:w="960" w:type="dxa"/>
            <w:tcBorders>
              <w:top w:val="nil"/>
              <w:left w:val="nil"/>
              <w:bottom w:val="nil"/>
              <w:right w:val="nil"/>
            </w:tcBorders>
            <w:shd w:val="clear" w:color="auto" w:fill="auto"/>
            <w:noWrap/>
            <w:vAlign w:val="bottom"/>
            <w:hideMark/>
          </w:tcPr>
          <w:p w14:paraId="2EEB320B" w14:textId="77777777" w:rsidR="00B75F05" w:rsidRPr="008A7487" w:rsidRDefault="00B75F05" w:rsidP="00C21D6F">
            <w:pPr>
              <w:spacing w:after="0" w:line="240" w:lineRule="auto"/>
              <w:rPr>
                <w:rFonts w:ascii="Times New Roman" w:eastAsia="Times New Roman" w:hAnsi="Times New Roman" w:cs="Times New Roman"/>
                <w:color w:val="000000"/>
                <w:sz w:val="24"/>
                <w:szCs w:val="24"/>
                <w:lang w:val="en-GB" w:eastAsia="en-GB"/>
              </w:rPr>
            </w:pPr>
          </w:p>
        </w:tc>
      </w:tr>
      <w:tr w:rsidR="00B75F05" w:rsidRPr="008A7487" w14:paraId="5E079B93" w14:textId="77777777" w:rsidTr="00C21D6F">
        <w:trPr>
          <w:trHeight w:val="300"/>
        </w:trPr>
        <w:tc>
          <w:tcPr>
            <w:tcW w:w="988" w:type="dxa"/>
            <w:tcBorders>
              <w:top w:val="nil"/>
              <w:left w:val="nil"/>
              <w:bottom w:val="nil"/>
              <w:right w:val="nil"/>
            </w:tcBorders>
            <w:shd w:val="clear" w:color="auto" w:fill="auto"/>
            <w:noWrap/>
            <w:vAlign w:val="bottom"/>
            <w:hideMark/>
          </w:tcPr>
          <w:p w14:paraId="5D4CDA85" w14:textId="77777777" w:rsidR="00B75F05" w:rsidRPr="008A7487" w:rsidRDefault="00B75F05" w:rsidP="00C21D6F">
            <w:pPr>
              <w:spacing w:after="0" w:line="240" w:lineRule="auto"/>
              <w:rPr>
                <w:rFonts w:ascii="Times New Roman" w:eastAsia="Times New Roman" w:hAnsi="Times New Roman" w:cs="Times New Roman"/>
                <w:b/>
                <w:color w:val="000000"/>
                <w:sz w:val="24"/>
                <w:szCs w:val="24"/>
                <w:lang w:val="en-GB" w:eastAsia="en-GB"/>
              </w:rPr>
            </w:pPr>
            <w:r w:rsidRPr="008A7487">
              <w:rPr>
                <w:rFonts w:ascii="Times New Roman" w:eastAsia="Times New Roman" w:hAnsi="Times New Roman" w:cs="Times New Roman"/>
                <w:b/>
                <w:color w:val="000000"/>
                <w:sz w:val="24"/>
                <w:szCs w:val="24"/>
                <w:lang w:val="en-GB" w:eastAsia="en-GB"/>
              </w:rPr>
              <w:t>MP</w:t>
            </w:r>
          </w:p>
        </w:tc>
        <w:tc>
          <w:tcPr>
            <w:tcW w:w="960" w:type="dxa"/>
            <w:tcBorders>
              <w:top w:val="nil"/>
              <w:left w:val="nil"/>
              <w:bottom w:val="nil"/>
              <w:right w:val="nil"/>
            </w:tcBorders>
            <w:shd w:val="clear" w:color="auto" w:fill="auto"/>
            <w:noWrap/>
            <w:vAlign w:val="bottom"/>
            <w:hideMark/>
          </w:tcPr>
          <w:p w14:paraId="6867FB34" w14:textId="77777777" w:rsidR="00B75F05" w:rsidRPr="008A7487" w:rsidRDefault="00B75F05" w:rsidP="00C21D6F">
            <w:pPr>
              <w:spacing w:after="0" w:line="240" w:lineRule="auto"/>
              <w:jc w:val="right"/>
              <w:rPr>
                <w:rFonts w:ascii="Times New Roman" w:eastAsia="Times New Roman" w:hAnsi="Times New Roman" w:cs="Times New Roman"/>
                <w:color w:val="000000"/>
                <w:sz w:val="24"/>
                <w:szCs w:val="24"/>
                <w:lang w:val="en-GB" w:eastAsia="en-GB"/>
              </w:rPr>
            </w:pPr>
            <w:r w:rsidRPr="008A7487">
              <w:rPr>
                <w:rFonts w:ascii="Times New Roman" w:eastAsia="Times New Roman" w:hAnsi="Times New Roman" w:cs="Times New Roman"/>
                <w:color w:val="000000"/>
                <w:sz w:val="24"/>
                <w:szCs w:val="24"/>
                <w:lang w:val="en-GB" w:eastAsia="en-GB"/>
              </w:rPr>
              <w:t>0.08</w:t>
            </w:r>
          </w:p>
        </w:tc>
        <w:tc>
          <w:tcPr>
            <w:tcW w:w="960" w:type="dxa"/>
            <w:tcBorders>
              <w:top w:val="nil"/>
              <w:left w:val="nil"/>
              <w:bottom w:val="nil"/>
              <w:right w:val="nil"/>
            </w:tcBorders>
            <w:shd w:val="clear" w:color="auto" w:fill="auto"/>
            <w:noWrap/>
            <w:vAlign w:val="bottom"/>
            <w:hideMark/>
          </w:tcPr>
          <w:p w14:paraId="781CE064" w14:textId="77777777" w:rsidR="00B75F05" w:rsidRPr="008A7487" w:rsidRDefault="00B75F05" w:rsidP="00C21D6F">
            <w:pPr>
              <w:spacing w:after="0" w:line="240" w:lineRule="auto"/>
              <w:jc w:val="right"/>
              <w:rPr>
                <w:rFonts w:ascii="Times New Roman" w:eastAsia="Times New Roman" w:hAnsi="Times New Roman" w:cs="Times New Roman"/>
                <w:color w:val="000000"/>
                <w:sz w:val="24"/>
                <w:szCs w:val="24"/>
                <w:lang w:val="en-GB" w:eastAsia="en-GB"/>
              </w:rPr>
            </w:pPr>
            <w:r w:rsidRPr="008A7487">
              <w:rPr>
                <w:rFonts w:ascii="Times New Roman" w:eastAsia="Times New Roman" w:hAnsi="Times New Roman" w:cs="Times New Roman"/>
                <w:color w:val="000000"/>
                <w:sz w:val="24"/>
                <w:szCs w:val="24"/>
                <w:lang w:val="en-GB" w:eastAsia="en-GB"/>
              </w:rPr>
              <w:t>0.07</w:t>
            </w:r>
          </w:p>
        </w:tc>
        <w:tc>
          <w:tcPr>
            <w:tcW w:w="960" w:type="dxa"/>
            <w:tcBorders>
              <w:top w:val="nil"/>
              <w:left w:val="nil"/>
              <w:bottom w:val="nil"/>
              <w:right w:val="nil"/>
            </w:tcBorders>
            <w:shd w:val="clear" w:color="auto" w:fill="auto"/>
            <w:noWrap/>
            <w:vAlign w:val="bottom"/>
            <w:hideMark/>
          </w:tcPr>
          <w:p w14:paraId="06D948C1" w14:textId="77777777" w:rsidR="00B75F05" w:rsidRPr="008A7487" w:rsidRDefault="00B75F05" w:rsidP="00C21D6F">
            <w:pPr>
              <w:spacing w:after="0" w:line="240" w:lineRule="auto"/>
              <w:jc w:val="right"/>
              <w:rPr>
                <w:rFonts w:ascii="Times New Roman" w:eastAsia="Times New Roman" w:hAnsi="Times New Roman" w:cs="Times New Roman"/>
                <w:color w:val="000000"/>
                <w:sz w:val="24"/>
                <w:szCs w:val="24"/>
                <w:lang w:val="en-GB" w:eastAsia="en-GB"/>
              </w:rPr>
            </w:pPr>
            <w:r w:rsidRPr="008A7487">
              <w:rPr>
                <w:rFonts w:ascii="Times New Roman" w:eastAsia="Times New Roman" w:hAnsi="Times New Roman" w:cs="Times New Roman"/>
                <w:color w:val="000000"/>
                <w:sz w:val="24"/>
                <w:szCs w:val="24"/>
                <w:lang w:val="en-GB" w:eastAsia="en-GB"/>
              </w:rPr>
              <w:t>0.34</w:t>
            </w:r>
          </w:p>
        </w:tc>
        <w:tc>
          <w:tcPr>
            <w:tcW w:w="960" w:type="dxa"/>
            <w:tcBorders>
              <w:top w:val="nil"/>
              <w:left w:val="nil"/>
              <w:bottom w:val="nil"/>
              <w:right w:val="nil"/>
            </w:tcBorders>
            <w:shd w:val="clear" w:color="auto" w:fill="auto"/>
            <w:noWrap/>
            <w:vAlign w:val="bottom"/>
            <w:hideMark/>
          </w:tcPr>
          <w:p w14:paraId="58C8C14B" w14:textId="77777777" w:rsidR="00B75F05" w:rsidRPr="008A7487" w:rsidRDefault="00B75F05" w:rsidP="00C21D6F">
            <w:pPr>
              <w:spacing w:after="0" w:line="240" w:lineRule="auto"/>
              <w:jc w:val="right"/>
              <w:rPr>
                <w:rFonts w:ascii="Times New Roman" w:eastAsia="Times New Roman" w:hAnsi="Times New Roman" w:cs="Times New Roman"/>
                <w:color w:val="000000"/>
                <w:sz w:val="24"/>
                <w:szCs w:val="24"/>
                <w:lang w:val="en-GB" w:eastAsia="en-GB"/>
              </w:rPr>
            </w:pPr>
            <w:r w:rsidRPr="008A7487">
              <w:rPr>
                <w:rFonts w:ascii="Times New Roman" w:eastAsia="Times New Roman" w:hAnsi="Times New Roman" w:cs="Times New Roman"/>
                <w:color w:val="000000"/>
                <w:sz w:val="24"/>
                <w:szCs w:val="24"/>
                <w:lang w:val="en-GB" w:eastAsia="en-GB"/>
              </w:rPr>
              <w:t>0.13</w:t>
            </w:r>
          </w:p>
        </w:tc>
        <w:tc>
          <w:tcPr>
            <w:tcW w:w="960" w:type="dxa"/>
            <w:tcBorders>
              <w:top w:val="nil"/>
              <w:left w:val="nil"/>
              <w:bottom w:val="nil"/>
              <w:right w:val="nil"/>
            </w:tcBorders>
            <w:shd w:val="clear" w:color="auto" w:fill="auto"/>
            <w:noWrap/>
            <w:vAlign w:val="bottom"/>
            <w:hideMark/>
          </w:tcPr>
          <w:p w14:paraId="28AC4864" w14:textId="77777777" w:rsidR="00B75F05" w:rsidRPr="008A7487" w:rsidRDefault="00B75F05" w:rsidP="00C21D6F">
            <w:pPr>
              <w:spacing w:after="0" w:line="240" w:lineRule="auto"/>
              <w:jc w:val="right"/>
              <w:rPr>
                <w:rFonts w:ascii="Times New Roman" w:eastAsia="Times New Roman" w:hAnsi="Times New Roman" w:cs="Times New Roman"/>
                <w:color w:val="000000"/>
                <w:sz w:val="24"/>
                <w:szCs w:val="24"/>
                <w:lang w:val="en-GB" w:eastAsia="en-GB"/>
              </w:rPr>
            </w:pPr>
            <w:r w:rsidRPr="008A7487">
              <w:rPr>
                <w:rFonts w:ascii="Times New Roman" w:eastAsia="Times New Roman" w:hAnsi="Times New Roman" w:cs="Times New Roman"/>
                <w:color w:val="000000"/>
                <w:sz w:val="24"/>
                <w:szCs w:val="24"/>
                <w:lang w:val="en-GB" w:eastAsia="en-GB"/>
              </w:rPr>
              <w:t>0.23</w:t>
            </w:r>
          </w:p>
        </w:tc>
        <w:tc>
          <w:tcPr>
            <w:tcW w:w="960" w:type="dxa"/>
            <w:tcBorders>
              <w:top w:val="nil"/>
              <w:left w:val="nil"/>
              <w:bottom w:val="nil"/>
              <w:right w:val="nil"/>
            </w:tcBorders>
            <w:shd w:val="clear" w:color="auto" w:fill="auto"/>
            <w:noWrap/>
            <w:vAlign w:val="bottom"/>
            <w:hideMark/>
          </w:tcPr>
          <w:p w14:paraId="7461FE9D" w14:textId="77777777" w:rsidR="00B75F05" w:rsidRPr="008A7487" w:rsidRDefault="00B75F05" w:rsidP="00C21D6F">
            <w:pPr>
              <w:spacing w:after="0" w:line="240" w:lineRule="auto"/>
              <w:jc w:val="right"/>
              <w:rPr>
                <w:rFonts w:ascii="Times New Roman" w:eastAsia="Times New Roman" w:hAnsi="Times New Roman" w:cs="Times New Roman"/>
                <w:color w:val="000000"/>
                <w:sz w:val="24"/>
                <w:szCs w:val="24"/>
                <w:lang w:val="en-GB" w:eastAsia="en-GB"/>
              </w:rPr>
            </w:pPr>
            <w:r w:rsidRPr="008A7487">
              <w:rPr>
                <w:rFonts w:ascii="Times New Roman" w:eastAsia="Times New Roman" w:hAnsi="Times New Roman" w:cs="Times New Roman"/>
                <w:color w:val="000000"/>
                <w:sz w:val="24"/>
                <w:szCs w:val="24"/>
                <w:lang w:val="en-GB" w:eastAsia="en-GB"/>
              </w:rPr>
              <w:t>0.12</w:t>
            </w:r>
          </w:p>
        </w:tc>
        <w:tc>
          <w:tcPr>
            <w:tcW w:w="960" w:type="dxa"/>
            <w:tcBorders>
              <w:top w:val="nil"/>
              <w:left w:val="nil"/>
              <w:bottom w:val="nil"/>
              <w:right w:val="nil"/>
            </w:tcBorders>
            <w:shd w:val="clear" w:color="auto" w:fill="auto"/>
            <w:noWrap/>
            <w:vAlign w:val="bottom"/>
            <w:hideMark/>
          </w:tcPr>
          <w:p w14:paraId="6E71C884" w14:textId="77777777" w:rsidR="00B75F05" w:rsidRPr="008A7487" w:rsidRDefault="00B75F05" w:rsidP="00C21D6F">
            <w:pPr>
              <w:spacing w:after="0" w:line="240" w:lineRule="auto"/>
              <w:jc w:val="right"/>
              <w:rPr>
                <w:rFonts w:ascii="Times New Roman" w:eastAsia="Times New Roman" w:hAnsi="Times New Roman" w:cs="Times New Roman"/>
                <w:color w:val="000000"/>
                <w:sz w:val="24"/>
                <w:szCs w:val="24"/>
                <w:lang w:val="en-GB" w:eastAsia="en-GB"/>
              </w:rPr>
            </w:pPr>
            <w:r w:rsidRPr="008A7487">
              <w:rPr>
                <w:rFonts w:ascii="Times New Roman" w:eastAsia="Times New Roman" w:hAnsi="Times New Roman" w:cs="Times New Roman"/>
                <w:color w:val="000000"/>
                <w:sz w:val="24"/>
                <w:szCs w:val="24"/>
                <w:lang w:val="en-GB" w:eastAsia="en-GB"/>
              </w:rPr>
              <w:t>0.12</w:t>
            </w:r>
          </w:p>
        </w:tc>
        <w:tc>
          <w:tcPr>
            <w:tcW w:w="988" w:type="dxa"/>
            <w:tcBorders>
              <w:top w:val="nil"/>
              <w:left w:val="nil"/>
              <w:bottom w:val="nil"/>
              <w:right w:val="nil"/>
            </w:tcBorders>
            <w:shd w:val="clear" w:color="auto" w:fill="auto"/>
            <w:noWrap/>
            <w:vAlign w:val="bottom"/>
            <w:hideMark/>
          </w:tcPr>
          <w:p w14:paraId="1E2656FB" w14:textId="77777777" w:rsidR="00B75F05" w:rsidRPr="008A7487" w:rsidRDefault="00B75F05" w:rsidP="00C21D6F">
            <w:pPr>
              <w:spacing w:after="0" w:line="240" w:lineRule="auto"/>
              <w:jc w:val="right"/>
              <w:rPr>
                <w:rFonts w:ascii="Times New Roman" w:eastAsia="Times New Roman" w:hAnsi="Times New Roman" w:cs="Times New Roman"/>
                <w:color w:val="000000"/>
                <w:sz w:val="24"/>
                <w:szCs w:val="24"/>
                <w:lang w:val="en-GB" w:eastAsia="en-GB"/>
              </w:rPr>
            </w:pPr>
            <w:r w:rsidRPr="008A7487">
              <w:rPr>
                <w:rFonts w:ascii="Times New Roman" w:eastAsia="Times New Roman" w:hAnsi="Times New Roman" w:cs="Times New Roman"/>
                <w:color w:val="000000"/>
                <w:sz w:val="24"/>
                <w:szCs w:val="24"/>
                <w:lang w:val="en-GB" w:eastAsia="en-GB"/>
              </w:rPr>
              <w:t>1.00</w:t>
            </w:r>
          </w:p>
        </w:tc>
        <w:tc>
          <w:tcPr>
            <w:tcW w:w="960" w:type="dxa"/>
            <w:tcBorders>
              <w:top w:val="nil"/>
              <w:left w:val="nil"/>
              <w:bottom w:val="nil"/>
              <w:right w:val="nil"/>
            </w:tcBorders>
            <w:shd w:val="clear" w:color="auto" w:fill="auto"/>
            <w:noWrap/>
            <w:vAlign w:val="bottom"/>
            <w:hideMark/>
          </w:tcPr>
          <w:p w14:paraId="3FE3ABBB" w14:textId="77777777" w:rsidR="00B75F05" w:rsidRPr="008A7487" w:rsidRDefault="00B75F05" w:rsidP="00C21D6F">
            <w:pPr>
              <w:spacing w:after="0" w:line="240" w:lineRule="auto"/>
              <w:rPr>
                <w:rFonts w:ascii="Times New Roman" w:eastAsia="Times New Roman" w:hAnsi="Times New Roman" w:cs="Times New Roman"/>
                <w:color w:val="000000"/>
                <w:sz w:val="24"/>
                <w:szCs w:val="24"/>
                <w:lang w:val="en-GB" w:eastAsia="en-GB"/>
              </w:rPr>
            </w:pPr>
          </w:p>
        </w:tc>
        <w:tc>
          <w:tcPr>
            <w:tcW w:w="960" w:type="dxa"/>
            <w:tcBorders>
              <w:top w:val="nil"/>
              <w:left w:val="nil"/>
              <w:bottom w:val="nil"/>
              <w:right w:val="nil"/>
            </w:tcBorders>
            <w:shd w:val="clear" w:color="auto" w:fill="auto"/>
            <w:noWrap/>
            <w:vAlign w:val="bottom"/>
            <w:hideMark/>
          </w:tcPr>
          <w:p w14:paraId="1C4008E4" w14:textId="77777777" w:rsidR="00B75F05" w:rsidRPr="008A7487" w:rsidRDefault="00B75F05" w:rsidP="00C21D6F">
            <w:pPr>
              <w:spacing w:after="0" w:line="240" w:lineRule="auto"/>
              <w:rPr>
                <w:rFonts w:ascii="Times New Roman" w:eastAsia="Times New Roman" w:hAnsi="Times New Roman" w:cs="Times New Roman"/>
                <w:color w:val="000000"/>
                <w:sz w:val="24"/>
                <w:szCs w:val="24"/>
                <w:lang w:val="en-GB" w:eastAsia="en-GB"/>
              </w:rPr>
            </w:pPr>
          </w:p>
        </w:tc>
        <w:tc>
          <w:tcPr>
            <w:tcW w:w="960" w:type="dxa"/>
            <w:tcBorders>
              <w:top w:val="nil"/>
              <w:left w:val="nil"/>
              <w:bottom w:val="nil"/>
              <w:right w:val="nil"/>
            </w:tcBorders>
            <w:shd w:val="clear" w:color="auto" w:fill="auto"/>
            <w:noWrap/>
            <w:vAlign w:val="bottom"/>
            <w:hideMark/>
          </w:tcPr>
          <w:p w14:paraId="5FA1D224" w14:textId="77777777" w:rsidR="00B75F05" w:rsidRPr="008A7487" w:rsidRDefault="00B75F05" w:rsidP="00C21D6F">
            <w:pPr>
              <w:spacing w:after="0" w:line="240" w:lineRule="auto"/>
              <w:rPr>
                <w:rFonts w:ascii="Times New Roman" w:eastAsia="Times New Roman" w:hAnsi="Times New Roman" w:cs="Times New Roman"/>
                <w:color w:val="000000"/>
                <w:sz w:val="24"/>
                <w:szCs w:val="24"/>
                <w:lang w:val="en-GB" w:eastAsia="en-GB"/>
              </w:rPr>
            </w:pPr>
          </w:p>
        </w:tc>
      </w:tr>
      <w:tr w:rsidR="00B75F05" w:rsidRPr="008A7487" w14:paraId="237AC7A5" w14:textId="77777777" w:rsidTr="00C21D6F">
        <w:trPr>
          <w:trHeight w:val="300"/>
        </w:trPr>
        <w:tc>
          <w:tcPr>
            <w:tcW w:w="988" w:type="dxa"/>
            <w:tcBorders>
              <w:top w:val="nil"/>
              <w:left w:val="nil"/>
              <w:bottom w:val="nil"/>
              <w:right w:val="nil"/>
            </w:tcBorders>
            <w:shd w:val="clear" w:color="auto" w:fill="auto"/>
            <w:noWrap/>
            <w:vAlign w:val="bottom"/>
            <w:hideMark/>
          </w:tcPr>
          <w:p w14:paraId="64E830D7" w14:textId="77777777" w:rsidR="00B75F05" w:rsidRPr="008A7487" w:rsidRDefault="00B75F05" w:rsidP="00C21D6F">
            <w:pPr>
              <w:spacing w:after="0" w:line="240" w:lineRule="auto"/>
              <w:rPr>
                <w:rFonts w:ascii="Times New Roman" w:eastAsia="Times New Roman" w:hAnsi="Times New Roman" w:cs="Times New Roman"/>
                <w:b/>
                <w:color w:val="000000"/>
                <w:sz w:val="24"/>
                <w:szCs w:val="24"/>
                <w:lang w:val="en-GB" w:eastAsia="en-GB"/>
              </w:rPr>
            </w:pPr>
            <w:r w:rsidRPr="008A7487">
              <w:rPr>
                <w:rFonts w:ascii="Times New Roman" w:eastAsia="Times New Roman" w:hAnsi="Times New Roman" w:cs="Times New Roman"/>
                <w:b/>
                <w:color w:val="000000"/>
                <w:sz w:val="24"/>
                <w:szCs w:val="24"/>
                <w:lang w:val="en-GB" w:eastAsia="en-GB"/>
              </w:rPr>
              <w:t>∆GDP</w:t>
            </w:r>
          </w:p>
        </w:tc>
        <w:tc>
          <w:tcPr>
            <w:tcW w:w="960" w:type="dxa"/>
            <w:tcBorders>
              <w:top w:val="nil"/>
              <w:left w:val="nil"/>
              <w:bottom w:val="nil"/>
              <w:right w:val="nil"/>
            </w:tcBorders>
            <w:shd w:val="clear" w:color="auto" w:fill="auto"/>
            <w:noWrap/>
            <w:vAlign w:val="bottom"/>
            <w:hideMark/>
          </w:tcPr>
          <w:p w14:paraId="3AA68B29" w14:textId="77777777" w:rsidR="00B75F05" w:rsidRPr="008A7487" w:rsidRDefault="00B75F05" w:rsidP="00C21D6F">
            <w:pPr>
              <w:spacing w:after="0" w:line="240" w:lineRule="auto"/>
              <w:jc w:val="right"/>
              <w:rPr>
                <w:rFonts w:ascii="Times New Roman" w:eastAsia="Times New Roman" w:hAnsi="Times New Roman" w:cs="Times New Roman"/>
                <w:color w:val="000000"/>
                <w:sz w:val="24"/>
                <w:szCs w:val="24"/>
                <w:lang w:val="en-GB" w:eastAsia="en-GB"/>
              </w:rPr>
            </w:pPr>
            <w:r w:rsidRPr="008A7487">
              <w:rPr>
                <w:rFonts w:ascii="Times New Roman" w:eastAsia="Times New Roman" w:hAnsi="Times New Roman" w:cs="Times New Roman"/>
                <w:color w:val="000000"/>
                <w:sz w:val="24"/>
                <w:szCs w:val="24"/>
                <w:lang w:val="en-GB" w:eastAsia="en-GB"/>
              </w:rPr>
              <w:t>0.04</w:t>
            </w:r>
          </w:p>
        </w:tc>
        <w:tc>
          <w:tcPr>
            <w:tcW w:w="960" w:type="dxa"/>
            <w:tcBorders>
              <w:top w:val="nil"/>
              <w:left w:val="nil"/>
              <w:bottom w:val="nil"/>
              <w:right w:val="nil"/>
            </w:tcBorders>
            <w:shd w:val="clear" w:color="auto" w:fill="auto"/>
            <w:noWrap/>
            <w:vAlign w:val="bottom"/>
            <w:hideMark/>
          </w:tcPr>
          <w:p w14:paraId="223582AE" w14:textId="77777777" w:rsidR="00B75F05" w:rsidRPr="008A7487" w:rsidRDefault="00B75F05" w:rsidP="00C21D6F">
            <w:pPr>
              <w:spacing w:after="0" w:line="240" w:lineRule="auto"/>
              <w:jc w:val="right"/>
              <w:rPr>
                <w:rFonts w:ascii="Times New Roman" w:eastAsia="Times New Roman" w:hAnsi="Times New Roman" w:cs="Times New Roman"/>
                <w:color w:val="000000"/>
                <w:sz w:val="24"/>
                <w:szCs w:val="24"/>
                <w:lang w:val="en-GB" w:eastAsia="en-GB"/>
              </w:rPr>
            </w:pPr>
            <w:r w:rsidRPr="008A7487">
              <w:rPr>
                <w:rFonts w:ascii="Times New Roman" w:eastAsia="Times New Roman" w:hAnsi="Times New Roman" w:cs="Times New Roman"/>
                <w:color w:val="000000"/>
                <w:sz w:val="24"/>
                <w:szCs w:val="24"/>
                <w:lang w:val="en-GB" w:eastAsia="en-GB"/>
              </w:rPr>
              <w:t>0.08</w:t>
            </w:r>
          </w:p>
        </w:tc>
        <w:tc>
          <w:tcPr>
            <w:tcW w:w="960" w:type="dxa"/>
            <w:tcBorders>
              <w:top w:val="nil"/>
              <w:left w:val="nil"/>
              <w:bottom w:val="nil"/>
              <w:right w:val="nil"/>
            </w:tcBorders>
            <w:shd w:val="clear" w:color="auto" w:fill="auto"/>
            <w:noWrap/>
            <w:vAlign w:val="bottom"/>
            <w:hideMark/>
          </w:tcPr>
          <w:p w14:paraId="79E31E6E" w14:textId="77777777" w:rsidR="00B75F05" w:rsidRPr="008A7487" w:rsidRDefault="00B75F05" w:rsidP="00C21D6F">
            <w:pPr>
              <w:spacing w:after="0" w:line="240" w:lineRule="auto"/>
              <w:jc w:val="right"/>
              <w:rPr>
                <w:rFonts w:ascii="Times New Roman" w:eastAsia="Times New Roman" w:hAnsi="Times New Roman" w:cs="Times New Roman"/>
                <w:color w:val="000000"/>
                <w:sz w:val="24"/>
                <w:szCs w:val="24"/>
                <w:lang w:val="en-GB" w:eastAsia="en-GB"/>
              </w:rPr>
            </w:pPr>
            <w:r w:rsidRPr="008A7487">
              <w:rPr>
                <w:rFonts w:ascii="Times New Roman" w:eastAsia="Times New Roman" w:hAnsi="Times New Roman" w:cs="Times New Roman"/>
                <w:color w:val="000000"/>
                <w:sz w:val="24"/>
                <w:szCs w:val="24"/>
                <w:lang w:val="en-GB" w:eastAsia="en-GB"/>
              </w:rPr>
              <w:t>-0.04</w:t>
            </w:r>
          </w:p>
        </w:tc>
        <w:tc>
          <w:tcPr>
            <w:tcW w:w="960" w:type="dxa"/>
            <w:tcBorders>
              <w:top w:val="nil"/>
              <w:left w:val="nil"/>
              <w:bottom w:val="nil"/>
              <w:right w:val="nil"/>
            </w:tcBorders>
            <w:shd w:val="clear" w:color="auto" w:fill="auto"/>
            <w:noWrap/>
            <w:vAlign w:val="bottom"/>
            <w:hideMark/>
          </w:tcPr>
          <w:p w14:paraId="19135E45" w14:textId="77777777" w:rsidR="00B75F05" w:rsidRPr="008A7487" w:rsidRDefault="00B75F05" w:rsidP="00C21D6F">
            <w:pPr>
              <w:spacing w:after="0" w:line="240" w:lineRule="auto"/>
              <w:jc w:val="right"/>
              <w:rPr>
                <w:rFonts w:ascii="Times New Roman" w:eastAsia="Times New Roman" w:hAnsi="Times New Roman" w:cs="Times New Roman"/>
                <w:color w:val="000000"/>
                <w:sz w:val="24"/>
                <w:szCs w:val="24"/>
                <w:lang w:val="en-GB" w:eastAsia="en-GB"/>
              </w:rPr>
            </w:pPr>
            <w:r w:rsidRPr="008A7487">
              <w:rPr>
                <w:rFonts w:ascii="Times New Roman" w:eastAsia="Times New Roman" w:hAnsi="Times New Roman" w:cs="Times New Roman"/>
                <w:color w:val="000000"/>
                <w:sz w:val="24"/>
                <w:szCs w:val="24"/>
                <w:lang w:val="en-GB" w:eastAsia="en-GB"/>
              </w:rPr>
              <w:t>0.00</w:t>
            </w:r>
          </w:p>
        </w:tc>
        <w:tc>
          <w:tcPr>
            <w:tcW w:w="960" w:type="dxa"/>
            <w:tcBorders>
              <w:top w:val="nil"/>
              <w:left w:val="nil"/>
              <w:bottom w:val="nil"/>
              <w:right w:val="nil"/>
            </w:tcBorders>
            <w:shd w:val="clear" w:color="auto" w:fill="auto"/>
            <w:noWrap/>
            <w:vAlign w:val="bottom"/>
            <w:hideMark/>
          </w:tcPr>
          <w:p w14:paraId="17143DBB" w14:textId="77777777" w:rsidR="00B75F05" w:rsidRPr="008A7487" w:rsidRDefault="00B75F05" w:rsidP="00C21D6F">
            <w:pPr>
              <w:spacing w:after="0" w:line="240" w:lineRule="auto"/>
              <w:jc w:val="right"/>
              <w:rPr>
                <w:rFonts w:ascii="Times New Roman" w:eastAsia="Times New Roman" w:hAnsi="Times New Roman" w:cs="Times New Roman"/>
                <w:color w:val="000000"/>
                <w:sz w:val="24"/>
                <w:szCs w:val="24"/>
                <w:lang w:val="en-GB" w:eastAsia="en-GB"/>
              </w:rPr>
            </w:pPr>
            <w:r w:rsidRPr="008A7487">
              <w:rPr>
                <w:rFonts w:ascii="Times New Roman" w:eastAsia="Times New Roman" w:hAnsi="Times New Roman" w:cs="Times New Roman"/>
                <w:color w:val="000000"/>
                <w:sz w:val="24"/>
                <w:szCs w:val="24"/>
                <w:lang w:val="en-GB" w:eastAsia="en-GB"/>
              </w:rPr>
              <w:t>-0.12</w:t>
            </w:r>
          </w:p>
        </w:tc>
        <w:tc>
          <w:tcPr>
            <w:tcW w:w="960" w:type="dxa"/>
            <w:tcBorders>
              <w:top w:val="nil"/>
              <w:left w:val="nil"/>
              <w:bottom w:val="nil"/>
              <w:right w:val="nil"/>
            </w:tcBorders>
            <w:shd w:val="clear" w:color="auto" w:fill="auto"/>
            <w:noWrap/>
            <w:vAlign w:val="bottom"/>
            <w:hideMark/>
          </w:tcPr>
          <w:p w14:paraId="7E90FF67" w14:textId="77777777" w:rsidR="00B75F05" w:rsidRPr="008A7487" w:rsidRDefault="00B75F05" w:rsidP="00C21D6F">
            <w:pPr>
              <w:spacing w:after="0" w:line="240" w:lineRule="auto"/>
              <w:jc w:val="right"/>
              <w:rPr>
                <w:rFonts w:ascii="Times New Roman" w:eastAsia="Times New Roman" w:hAnsi="Times New Roman" w:cs="Times New Roman"/>
                <w:color w:val="000000"/>
                <w:sz w:val="24"/>
                <w:szCs w:val="24"/>
                <w:lang w:val="en-GB" w:eastAsia="en-GB"/>
              </w:rPr>
            </w:pPr>
            <w:r w:rsidRPr="008A7487">
              <w:rPr>
                <w:rFonts w:ascii="Times New Roman" w:eastAsia="Times New Roman" w:hAnsi="Times New Roman" w:cs="Times New Roman"/>
                <w:color w:val="000000"/>
                <w:sz w:val="24"/>
                <w:szCs w:val="24"/>
                <w:lang w:val="en-GB" w:eastAsia="en-GB"/>
              </w:rPr>
              <w:t>-0.08</w:t>
            </w:r>
          </w:p>
        </w:tc>
        <w:tc>
          <w:tcPr>
            <w:tcW w:w="960" w:type="dxa"/>
            <w:tcBorders>
              <w:top w:val="nil"/>
              <w:left w:val="nil"/>
              <w:bottom w:val="nil"/>
              <w:right w:val="nil"/>
            </w:tcBorders>
            <w:shd w:val="clear" w:color="auto" w:fill="auto"/>
            <w:noWrap/>
            <w:vAlign w:val="bottom"/>
            <w:hideMark/>
          </w:tcPr>
          <w:p w14:paraId="1BA315C5" w14:textId="77777777" w:rsidR="00B75F05" w:rsidRPr="008A7487" w:rsidRDefault="00B75F05" w:rsidP="00C21D6F">
            <w:pPr>
              <w:spacing w:after="0" w:line="240" w:lineRule="auto"/>
              <w:jc w:val="right"/>
              <w:rPr>
                <w:rFonts w:ascii="Times New Roman" w:eastAsia="Times New Roman" w:hAnsi="Times New Roman" w:cs="Times New Roman"/>
                <w:color w:val="000000"/>
                <w:sz w:val="24"/>
                <w:szCs w:val="24"/>
                <w:lang w:val="en-GB" w:eastAsia="en-GB"/>
              </w:rPr>
            </w:pPr>
            <w:r w:rsidRPr="008A7487">
              <w:rPr>
                <w:rFonts w:ascii="Times New Roman" w:eastAsia="Times New Roman" w:hAnsi="Times New Roman" w:cs="Times New Roman"/>
                <w:color w:val="000000"/>
                <w:sz w:val="24"/>
                <w:szCs w:val="24"/>
                <w:lang w:val="en-GB" w:eastAsia="en-GB"/>
              </w:rPr>
              <w:t>0.00</w:t>
            </w:r>
          </w:p>
        </w:tc>
        <w:tc>
          <w:tcPr>
            <w:tcW w:w="988" w:type="dxa"/>
            <w:tcBorders>
              <w:top w:val="nil"/>
              <w:left w:val="nil"/>
              <w:bottom w:val="nil"/>
              <w:right w:val="nil"/>
            </w:tcBorders>
            <w:shd w:val="clear" w:color="auto" w:fill="auto"/>
            <w:noWrap/>
            <w:vAlign w:val="bottom"/>
            <w:hideMark/>
          </w:tcPr>
          <w:p w14:paraId="5A86EA13" w14:textId="77777777" w:rsidR="00B75F05" w:rsidRPr="008A7487" w:rsidRDefault="00B75F05" w:rsidP="00C21D6F">
            <w:pPr>
              <w:spacing w:after="0" w:line="240" w:lineRule="auto"/>
              <w:jc w:val="right"/>
              <w:rPr>
                <w:rFonts w:ascii="Times New Roman" w:eastAsia="Times New Roman" w:hAnsi="Times New Roman" w:cs="Times New Roman"/>
                <w:color w:val="000000"/>
                <w:sz w:val="24"/>
                <w:szCs w:val="24"/>
                <w:lang w:val="en-GB" w:eastAsia="en-GB"/>
              </w:rPr>
            </w:pPr>
            <w:r w:rsidRPr="008A7487">
              <w:rPr>
                <w:rFonts w:ascii="Times New Roman" w:eastAsia="Times New Roman" w:hAnsi="Times New Roman" w:cs="Times New Roman"/>
                <w:color w:val="000000"/>
                <w:sz w:val="24"/>
                <w:szCs w:val="24"/>
                <w:lang w:val="en-GB" w:eastAsia="en-GB"/>
              </w:rPr>
              <w:t>-0.03</w:t>
            </w:r>
          </w:p>
        </w:tc>
        <w:tc>
          <w:tcPr>
            <w:tcW w:w="960" w:type="dxa"/>
            <w:tcBorders>
              <w:top w:val="nil"/>
              <w:left w:val="nil"/>
              <w:bottom w:val="nil"/>
              <w:right w:val="nil"/>
            </w:tcBorders>
            <w:shd w:val="clear" w:color="auto" w:fill="auto"/>
            <w:noWrap/>
            <w:vAlign w:val="bottom"/>
            <w:hideMark/>
          </w:tcPr>
          <w:p w14:paraId="04CECDFF" w14:textId="77777777" w:rsidR="00B75F05" w:rsidRPr="008A7487" w:rsidRDefault="00B75F05" w:rsidP="00C21D6F">
            <w:pPr>
              <w:spacing w:after="0" w:line="240" w:lineRule="auto"/>
              <w:jc w:val="right"/>
              <w:rPr>
                <w:rFonts w:ascii="Times New Roman" w:eastAsia="Times New Roman" w:hAnsi="Times New Roman" w:cs="Times New Roman"/>
                <w:color w:val="000000"/>
                <w:sz w:val="24"/>
                <w:szCs w:val="24"/>
                <w:lang w:val="en-GB" w:eastAsia="en-GB"/>
              </w:rPr>
            </w:pPr>
            <w:r w:rsidRPr="008A7487">
              <w:rPr>
                <w:rFonts w:ascii="Times New Roman" w:eastAsia="Times New Roman" w:hAnsi="Times New Roman" w:cs="Times New Roman"/>
                <w:color w:val="000000"/>
                <w:sz w:val="24"/>
                <w:szCs w:val="24"/>
                <w:lang w:val="en-GB" w:eastAsia="en-GB"/>
              </w:rPr>
              <w:t>1.00</w:t>
            </w:r>
          </w:p>
        </w:tc>
        <w:tc>
          <w:tcPr>
            <w:tcW w:w="960" w:type="dxa"/>
            <w:tcBorders>
              <w:top w:val="nil"/>
              <w:left w:val="nil"/>
              <w:bottom w:val="nil"/>
              <w:right w:val="nil"/>
            </w:tcBorders>
            <w:shd w:val="clear" w:color="auto" w:fill="auto"/>
            <w:noWrap/>
            <w:vAlign w:val="bottom"/>
            <w:hideMark/>
          </w:tcPr>
          <w:p w14:paraId="0CC1631E" w14:textId="77777777" w:rsidR="00B75F05" w:rsidRPr="008A7487" w:rsidRDefault="00B75F05" w:rsidP="00C21D6F">
            <w:pPr>
              <w:spacing w:after="0" w:line="240" w:lineRule="auto"/>
              <w:rPr>
                <w:rFonts w:ascii="Times New Roman" w:eastAsia="Times New Roman" w:hAnsi="Times New Roman" w:cs="Times New Roman"/>
                <w:color w:val="000000"/>
                <w:sz w:val="24"/>
                <w:szCs w:val="24"/>
                <w:lang w:val="en-GB" w:eastAsia="en-GB"/>
              </w:rPr>
            </w:pPr>
          </w:p>
        </w:tc>
        <w:tc>
          <w:tcPr>
            <w:tcW w:w="960" w:type="dxa"/>
            <w:tcBorders>
              <w:top w:val="nil"/>
              <w:left w:val="nil"/>
              <w:bottom w:val="nil"/>
              <w:right w:val="nil"/>
            </w:tcBorders>
            <w:shd w:val="clear" w:color="auto" w:fill="auto"/>
            <w:noWrap/>
            <w:vAlign w:val="bottom"/>
            <w:hideMark/>
          </w:tcPr>
          <w:p w14:paraId="72042134" w14:textId="77777777" w:rsidR="00B75F05" w:rsidRPr="008A7487" w:rsidRDefault="00B75F05" w:rsidP="00C21D6F">
            <w:pPr>
              <w:spacing w:after="0" w:line="240" w:lineRule="auto"/>
              <w:rPr>
                <w:rFonts w:ascii="Times New Roman" w:eastAsia="Times New Roman" w:hAnsi="Times New Roman" w:cs="Times New Roman"/>
                <w:color w:val="000000"/>
                <w:sz w:val="24"/>
                <w:szCs w:val="24"/>
                <w:lang w:val="en-GB" w:eastAsia="en-GB"/>
              </w:rPr>
            </w:pPr>
          </w:p>
        </w:tc>
      </w:tr>
      <w:tr w:rsidR="00B75F05" w:rsidRPr="008A7487" w14:paraId="51E633C7" w14:textId="77777777" w:rsidTr="00C21D6F">
        <w:trPr>
          <w:trHeight w:val="300"/>
        </w:trPr>
        <w:tc>
          <w:tcPr>
            <w:tcW w:w="988" w:type="dxa"/>
            <w:tcBorders>
              <w:top w:val="nil"/>
              <w:left w:val="nil"/>
              <w:bottom w:val="nil"/>
              <w:right w:val="nil"/>
            </w:tcBorders>
            <w:shd w:val="clear" w:color="auto" w:fill="auto"/>
            <w:noWrap/>
            <w:vAlign w:val="bottom"/>
            <w:hideMark/>
          </w:tcPr>
          <w:p w14:paraId="3849D33E" w14:textId="77777777" w:rsidR="00B75F05" w:rsidRPr="008A7487" w:rsidRDefault="00B75F05" w:rsidP="00C21D6F">
            <w:pPr>
              <w:spacing w:after="0" w:line="240" w:lineRule="auto"/>
              <w:rPr>
                <w:rFonts w:ascii="Times New Roman" w:eastAsia="Times New Roman" w:hAnsi="Times New Roman" w:cs="Times New Roman"/>
                <w:b/>
                <w:color w:val="000000"/>
                <w:sz w:val="24"/>
                <w:szCs w:val="24"/>
                <w:lang w:val="en-GB" w:eastAsia="en-GB"/>
              </w:rPr>
            </w:pPr>
            <w:r w:rsidRPr="008A7487">
              <w:rPr>
                <w:rFonts w:ascii="Times New Roman" w:eastAsia="Times New Roman" w:hAnsi="Times New Roman" w:cs="Times New Roman"/>
                <w:b/>
                <w:color w:val="000000"/>
                <w:sz w:val="24"/>
                <w:szCs w:val="24"/>
                <w:lang w:val="en-GB" w:eastAsia="en-GB"/>
              </w:rPr>
              <w:t>INF</w:t>
            </w:r>
          </w:p>
        </w:tc>
        <w:tc>
          <w:tcPr>
            <w:tcW w:w="960" w:type="dxa"/>
            <w:tcBorders>
              <w:top w:val="nil"/>
              <w:left w:val="nil"/>
              <w:bottom w:val="nil"/>
              <w:right w:val="nil"/>
            </w:tcBorders>
            <w:shd w:val="clear" w:color="auto" w:fill="auto"/>
            <w:noWrap/>
            <w:vAlign w:val="bottom"/>
            <w:hideMark/>
          </w:tcPr>
          <w:p w14:paraId="0339C440" w14:textId="77777777" w:rsidR="00B75F05" w:rsidRPr="008A7487" w:rsidRDefault="00B75F05" w:rsidP="00C21D6F">
            <w:pPr>
              <w:spacing w:after="0" w:line="240" w:lineRule="auto"/>
              <w:jc w:val="right"/>
              <w:rPr>
                <w:rFonts w:ascii="Times New Roman" w:eastAsia="Times New Roman" w:hAnsi="Times New Roman" w:cs="Times New Roman"/>
                <w:color w:val="000000"/>
                <w:sz w:val="24"/>
                <w:szCs w:val="24"/>
                <w:lang w:val="en-GB" w:eastAsia="en-GB"/>
              </w:rPr>
            </w:pPr>
            <w:r w:rsidRPr="008A7487">
              <w:rPr>
                <w:rFonts w:ascii="Times New Roman" w:eastAsia="Times New Roman" w:hAnsi="Times New Roman" w:cs="Times New Roman"/>
                <w:color w:val="000000"/>
                <w:sz w:val="24"/>
                <w:szCs w:val="24"/>
                <w:lang w:val="en-GB" w:eastAsia="en-GB"/>
              </w:rPr>
              <w:t>0.03</w:t>
            </w:r>
          </w:p>
        </w:tc>
        <w:tc>
          <w:tcPr>
            <w:tcW w:w="960" w:type="dxa"/>
            <w:tcBorders>
              <w:top w:val="nil"/>
              <w:left w:val="nil"/>
              <w:bottom w:val="nil"/>
              <w:right w:val="nil"/>
            </w:tcBorders>
            <w:shd w:val="clear" w:color="auto" w:fill="auto"/>
            <w:noWrap/>
            <w:vAlign w:val="bottom"/>
            <w:hideMark/>
          </w:tcPr>
          <w:p w14:paraId="5A2A6CBE" w14:textId="77777777" w:rsidR="00B75F05" w:rsidRPr="008A7487" w:rsidRDefault="00B75F05" w:rsidP="00C21D6F">
            <w:pPr>
              <w:spacing w:after="0" w:line="240" w:lineRule="auto"/>
              <w:jc w:val="right"/>
              <w:rPr>
                <w:rFonts w:ascii="Times New Roman" w:eastAsia="Times New Roman" w:hAnsi="Times New Roman" w:cs="Times New Roman"/>
                <w:color w:val="000000"/>
                <w:sz w:val="24"/>
                <w:szCs w:val="24"/>
                <w:lang w:val="en-GB" w:eastAsia="en-GB"/>
              </w:rPr>
            </w:pPr>
            <w:r w:rsidRPr="008A7487">
              <w:rPr>
                <w:rFonts w:ascii="Times New Roman" w:eastAsia="Times New Roman" w:hAnsi="Times New Roman" w:cs="Times New Roman"/>
                <w:color w:val="000000"/>
                <w:sz w:val="24"/>
                <w:szCs w:val="24"/>
                <w:lang w:val="en-GB" w:eastAsia="en-GB"/>
              </w:rPr>
              <w:t>0.01</w:t>
            </w:r>
          </w:p>
        </w:tc>
        <w:tc>
          <w:tcPr>
            <w:tcW w:w="960" w:type="dxa"/>
            <w:tcBorders>
              <w:top w:val="nil"/>
              <w:left w:val="nil"/>
              <w:bottom w:val="nil"/>
              <w:right w:val="nil"/>
            </w:tcBorders>
            <w:shd w:val="clear" w:color="auto" w:fill="auto"/>
            <w:noWrap/>
            <w:vAlign w:val="bottom"/>
            <w:hideMark/>
          </w:tcPr>
          <w:p w14:paraId="289A9649" w14:textId="77777777" w:rsidR="00B75F05" w:rsidRPr="008A7487" w:rsidRDefault="00B75F05" w:rsidP="00C21D6F">
            <w:pPr>
              <w:spacing w:after="0" w:line="240" w:lineRule="auto"/>
              <w:jc w:val="right"/>
              <w:rPr>
                <w:rFonts w:ascii="Times New Roman" w:eastAsia="Times New Roman" w:hAnsi="Times New Roman" w:cs="Times New Roman"/>
                <w:color w:val="000000"/>
                <w:sz w:val="24"/>
                <w:szCs w:val="24"/>
                <w:lang w:val="en-GB" w:eastAsia="en-GB"/>
              </w:rPr>
            </w:pPr>
            <w:r w:rsidRPr="008A7487">
              <w:rPr>
                <w:rFonts w:ascii="Times New Roman" w:eastAsia="Times New Roman" w:hAnsi="Times New Roman" w:cs="Times New Roman"/>
                <w:color w:val="000000"/>
                <w:sz w:val="24"/>
                <w:szCs w:val="24"/>
                <w:lang w:val="en-GB" w:eastAsia="en-GB"/>
              </w:rPr>
              <w:t>-0.08</w:t>
            </w:r>
          </w:p>
        </w:tc>
        <w:tc>
          <w:tcPr>
            <w:tcW w:w="960" w:type="dxa"/>
            <w:tcBorders>
              <w:top w:val="nil"/>
              <w:left w:val="nil"/>
              <w:bottom w:val="nil"/>
              <w:right w:val="nil"/>
            </w:tcBorders>
            <w:shd w:val="clear" w:color="auto" w:fill="auto"/>
            <w:noWrap/>
            <w:vAlign w:val="bottom"/>
            <w:hideMark/>
          </w:tcPr>
          <w:p w14:paraId="4D843028" w14:textId="77777777" w:rsidR="00B75F05" w:rsidRPr="008A7487" w:rsidRDefault="00B75F05" w:rsidP="00C21D6F">
            <w:pPr>
              <w:spacing w:after="0" w:line="240" w:lineRule="auto"/>
              <w:jc w:val="right"/>
              <w:rPr>
                <w:rFonts w:ascii="Times New Roman" w:eastAsia="Times New Roman" w:hAnsi="Times New Roman" w:cs="Times New Roman"/>
                <w:color w:val="000000"/>
                <w:sz w:val="24"/>
                <w:szCs w:val="24"/>
                <w:lang w:val="en-GB" w:eastAsia="en-GB"/>
              </w:rPr>
            </w:pPr>
            <w:r w:rsidRPr="008A7487">
              <w:rPr>
                <w:rFonts w:ascii="Times New Roman" w:eastAsia="Times New Roman" w:hAnsi="Times New Roman" w:cs="Times New Roman"/>
                <w:color w:val="000000"/>
                <w:sz w:val="24"/>
                <w:szCs w:val="24"/>
                <w:lang w:val="en-GB" w:eastAsia="en-GB"/>
              </w:rPr>
              <w:t>0.01</w:t>
            </w:r>
          </w:p>
        </w:tc>
        <w:tc>
          <w:tcPr>
            <w:tcW w:w="960" w:type="dxa"/>
            <w:tcBorders>
              <w:top w:val="nil"/>
              <w:left w:val="nil"/>
              <w:bottom w:val="nil"/>
              <w:right w:val="nil"/>
            </w:tcBorders>
            <w:shd w:val="clear" w:color="auto" w:fill="auto"/>
            <w:noWrap/>
            <w:vAlign w:val="bottom"/>
            <w:hideMark/>
          </w:tcPr>
          <w:p w14:paraId="63384CDD" w14:textId="77777777" w:rsidR="00B75F05" w:rsidRPr="008A7487" w:rsidRDefault="00B75F05" w:rsidP="00C21D6F">
            <w:pPr>
              <w:spacing w:after="0" w:line="240" w:lineRule="auto"/>
              <w:jc w:val="right"/>
              <w:rPr>
                <w:rFonts w:ascii="Times New Roman" w:eastAsia="Times New Roman" w:hAnsi="Times New Roman" w:cs="Times New Roman"/>
                <w:color w:val="000000"/>
                <w:sz w:val="24"/>
                <w:szCs w:val="24"/>
                <w:lang w:val="en-GB" w:eastAsia="en-GB"/>
              </w:rPr>
            </w:pPr>
            <w:r w:rsidRPr="008A7487">
              <w:rPr>
                <w:rFonts w:ascii="Times New Roman" w:eastAsia="Times New Roman" w:hAnsi="Times New Roman" w:cs="Times New Roman"/>
                <w:color w:val="000000"/>
                <w:sz w:val="24"/>
                <w:szCs w:val="24"/>
                <w:lang w:val="en-GB" w:eastAsia="en-GB"/>
              </w:rPr>
              <w:t>-0.17</w:t>
            </w:r>
          </w:p>
        </w:tc>
        <w:tc>
          <w:tcPr>
            <w:tcW w:w="960" w:type="dxa"/>
            <w:tcBorders>
              <w:top w:val="nil"/>
              <w:left w:val="nil"/>
              <w:bottom w:val="nil"/>
              <w:right w:val="nil"/>
            </w:tcBorders>
            <w:shd w:val="clear" w:color="auto" w:fill="auto"/>
            <w:noWrap/>
            <w:vAlign w:val="bottom"/>
            <w:hideMark/>
          </w:tcPr>
          <w:p w14:paraId="01E9AE6E" w14:textId="77777777" w:rsidR="00B75F05" w:rsidRPr="008A7487" w:rsidRDefault="00B75F05" w:rsidP="00C21D6F">
            <w:pPr>
              <w:spacing w:after="0" w:line="240" w:lineRule="auto"/>
              <w:jc w:val="right"/>
              <w:rPr>
                <w:rFonts w:ascii="Times New Roman" w:eastAsia="Times New Roman" w:hAnsi="Times New Roman" w:cs="Times New Roman"/>
                <w:color w:val="000000"/>
                <w:sz w:val="24"/>
                <w:szCs w:val="24"/>
                <w:lang w:val="en-GB" w:eastAsia="en-GB"/>
              </w:rPr>
            </w:pPr>
            <w:r w:rsidRPr="008A7487">
              <w:rPr>
                <w:rFonts w:ascii="Times New Roman" w:eastAsia="Times New Roman" w:hAnsi="Times New Roman" w:cs="Times New Roman"/>
                <w:color w:val="000000"/>
                <w:sz w:val="24"/>
                <w:szCs w:val="24"/>
                <w:lang w:val="en-GB" w:eastAsia="en-GB"/>
              </w:rPr>
              <w:t>-0.11</w:t>
            </w:r>
          </w:p>
        </w:tc>
        <w:tc>
          <w:tcPr>
            <w:tcW w:w="960" w:type="dxa"/>
            <w:tcBorders>
              <w:top w:val="nil"/>
              <w:left w:val="nil"/>
              <w:bottom w:val="nil"/>
              <w:right w:val="nil"/>
            </w:tcBorders>
            <w:shd w:val="clear" w:color="auto" w:fill="auto"/>
            <w:noWrap/>
            <w:vAlign w:val="bottom"/>
            <w:hideMark/>
          </w:tcPr>
          <w:p w14:paraId="7CD553E6" w14:textId="77777777" w:rsidR="00B75F05" w:rsidRPr="008A7487" w:rsidRDefault="00B75F05" w:rsidP="00C21D6F">
            <w:pPr>
              <w:spacing w:after="0" w:line="240" w:lineRule="auto"/>
              <w:jc w:val="right"/>
              <w:rPr>
                <w:rFonts w:ascii="Times New Roman" w:eastAsia="Times New Roman" w:hAnsi="Times New Roman" w:cs="Times New Roman"/>
                <w:color w:val="000000"/>
                <w:sz w:val="24"/>
                <w:szCs w:val="24"/>
                <w:lang w:val="en-GB" w:eastAsia="en-GB"/>
              </w:rPr>
            </w:pPr>
            <w:r w:rsidRPr="008A7487">
              <w:rPr>
                <w:rFonts w:ascii="Times New Roman" w:eastAsia="Times New Roman" w:hAnsi="Times New Roman" w:cs="Times New Roman"/>
                <w:color w:val="000000"/>
                <w:sz w:val="24"/>
                <w:szCs w:val="24"/>
                <w:lang w:val="en-GB" w:eastAsia="en-GB"/>
              </w:rPr>
              <w:t>0.11</w:t>
            </w:r>
          </w:p>
        </w:tc>
        <w:tc>
          <w:tcPr>
            <w:tcW w:w="988" w:type="dxa"/>
            <w:tcBorders>
              <w:top w:val="nil"/>
              <w:left w:val="nil"/>
              <w:bottom w:val="nil"/>
              <w:right w:val="nil"/>
            </w:tcBorders>
            <w:shd w:val="clear" w:color="auto" w:fill="auto"/>
            <w:noWrap/>
            <w:vAlign w:val="bottom"/>
            <w:hideMark/>
          </w:tcPr>
          <w:p w14:paraId="1F00A9A0" w14:textId="77777777" w:rsidR="00B75F05" w:rsidRPr="008A7487" w:rsidRDefault="00B75F05" w:rsidP="00C21D6F">
            <w:pPr>
              <w:spacing w:after="0" w:line="240" w:lineRule="auto"/>
              <w:jc w:val="right"/>
              <w:rPr>
                <w:rFonts w:ascii="Times New Roman" w:eastAsia="Times New Roman" w:hAnsi="Times New Roman" w:cs="Times New Roman"/>
                <w:color w:val="000000"/>
                <w:sz w:val="24"/>
                <w:szCs w:val="24"/>
                <w:lang w:val="en-GB" w:eastAsia="en-GB"/>
              </w:rPr>
            </w:pPr>
            <w:r w:rsidRPr="008A7487">
              <w:rPr>
                <w:rFonts w:ascii="Times New Roman" w:eastAsia="Times New Roman" w:hAnsi="Times New Roman" w:cs="Times New Roman"/>
                <w:color w:val="000000"/>
                <w:sz w:val="24"/>
                <w:szCs w:val="24"/>
                <w:lang w:val="en-GB" w:eastAsia="en-GB"/>
              </w:rPr>
              <w:t>-0.05</w:t>
            </w:r>
          </w:p>
        </w:tc>
        <w:tc>
          <w:tcPr>
            <w:tcW w:w="960" w:type="dxa"/>
            <w:tcBorders>
              <w:top w:val="nil"/>
              <w:left w:val="nil"/>
              <w:bottom w:val="nil"/>
              <w:right w:val="nil"/>
            </w:tcBorders>
            <w:shd w:val="clear" w:color="auto" w:fill="auto"/>
            <w:noWrap/>
            <w:vAlign w:val="bottom"/>
            <w:hideMark/>
          </w:tcPr>
          <w:p w14:paraId="77782E79" w14:textId="77777777" w:rsidR="00B75F05" w:rsidRPr="008A7487" w:rsidRDefault="00B75F05" w:rsidP="00C21D6F">
            <w:pPr>
              <w:spacing w:after="0" w:line="240" w:lineRule="auto"/>
              <w:jc w:val="right"/>
              <w:rPr>
                <w:rFonts w:ascii="Times New Roman" w:eastAsia="Times New Roman" w:hAnsi="Times New Roman" w:cs="Times New Roman"/>
                <w:color w:val="000000"/>
                <w:sz w:val="24"/>
                <w:szCs w:val="24"/>
                <w:lang w:val="en-GB" w:eastAsia="en-GB"/>
              </w:rPr>
            </w:pPr>
            <w:r w:rsidRPr="008A7487">
              <w:rPr>
                <w:rFonts w:ascii="Times New Roman" w:eastAsia="Times New Roman" w:hAnsi="Times New Roman" w:cs="Times New Roman"/>
                <w:color w:val="000000"/>
                <w:sz w:val="24"/>
                <w:szCs w:val="24"/>
                <w:lang w:val="en-GB" w:eastAsia="en-GB"/>
              </w:rPr>
              <w:t>0.15</w:t>
            </w:r>
          </w:p>
        </w:tc>
        <w:tc>
          <w:tcPr>
            <w:tcW w:w="960" w:type="dxa"/>
            <w:tcBorders>
              <w:top w:val="nil"/>
              <w:left w:val="nil"/>
              <w:bottom w:val="nil"/>
              <w:right w:val="nil"/>
            </w:tcBorders>
            <w:shd w:val="clear" w:color="auto" w:fill="auto"/>
            <w:noWrap/>
            <w:vAlign w:val="bottom"/>
            <w:hideMark/>
          </w:tcPr>
          <w:p w14:paraId="589BBF82" w14:textId="77777777" w:rsidR="00B75F05" w:rsidRPr="008A7487" w:rsidRDefault="00B75F05" w:rsidP="00C21D6F">
            <w:pPr>
              <w:spacing w:after="0" w:line="240" w:lineRule="auto"/>
              <w:jc w:val="right"/>
              <w:rPr>
                <w:rFonts w:ascii="Times New Roman" w:eastAsia="Times New Roman" w:hAnsi="Times New Roman" w:cs="Times New Roman"/>
                <w:color w:val="000000"/>
                <w:sz w:val="24"/>
                <w:szCs w:val="24"/>
                <w:lang w:val="en-GB" w:eastAsia="en-GB"/>
              </w:rPr>
            </w:pPr>
            <w:r w:rsidRPr="008A7487">
              <w:rPr>
                <w:rFonts w:ascii="Times New Roman" w:eastAsia="Times New Roman" w:hAnsi="Times New Roman" w:cs="Times New Roman"/>
                <w:color w:val="000000"/>
                <w:sz w:val="24"/>
                <w:szCs w:val="24"/>
                <w:lang w:val="en-GB" w:eastAsia="en-GB"/>
              </w:rPr>
              <w:t>1.00</w:t>
            </w:r>
          </w:p>
        </w:tc>
        <w:tc>
          <w:tcPr>
            <w:tcW w:w="960" w:type="dxa"/>
            <w:tcBorders>
              <w:top w:val="nil"/>
              <w:left w:val="nil"/>
              <w:bottom w:val="nil"/>
              <w:right w:val="nil"/>
            </w:tcBorders>
            <w:shd w:val="clear" w:color="auto" w:fill="auto"/>
            <w:noWrap/>
            <w:vAlign w:val="bottom"/>
            <w:hideMark/>
          </w:tcPr>
          <w:p w14:paraId="6A0EB943" w14:textId="77777777" w:rsidR="00B75F05" w:rsidRPr="008A7487" w:rsidRDefault="00B75F05" w:rsidP="00C21D6F">
            <w:pPr>
              <w:spacing w:after="0" w:line="240" w:lineRule="auto"/>
              <w:rPr>
                <w:rFonts w:ascii="Times New Roman" w:eastAsia="Times New Roman" w:hAnsi="Times New Roman" w:cs="Times New Roman"/>
                <w:color w:val="000000"/>
                <w:sz w:val="24"/>
                <w:szCs w:val="24"/>
                <w:lang w:val="en-GB" w:eastAsia="en-GB"/>
              </w:rPr>
            </w:pPr>
          </w:p>
        </w:tc>
      </w:tr>
    </w:tbl>
    <w:p w14:paraId="075D3D7A" w14:textId="77777777" w:rsidR="00B75F05" w:rsidRPr="008A7487" w:rsidRDefault="00B75F05" w:rsidP="00B75F05">
      <w:pPr>
        <w:spacing w:line="480" w:lineRule="auto"/>
        <w:contextualSpacing/>
        <w:rPr>
          <w:rFonts w:ascii="Times New Roman" w:hAnsi="Times New Roman" w:cs="Times New Roman"/>
          <w:sz w:val="24"/>
          <w:szCs w:val="24"/>
        </w:rPr>
      </w:pPr>
    </w:p>
    <w:p w14:paraId="1F0C1F2E" w14:textId="77777777" w:rsidR="00B75F05" w:rsidRPr="008A7487" w:rsidRDefault="00B75F05" w:rsidP="00B75F05">
      <w:pPr>
        <w:spacing w:line="480" w:lineRule="auto"/>
        <w:contextualSpacing/>
        <w:rPr>
          <w:rFonts w:ascii="Times New Roman" w:hAnsi="Times New Roman" w:cs="Times New Roman"/>
          <w:sz w:val="24"/>
          <w:szCs w:val="24"/>
        </w:rPr>
      </w:pPr>
    </w:p>
    <w:p w14:paraId="2F14E17B" w14:textId="77777777" w:rsidR="00B75F05" w:rsidRPr="008A7487" w:rsidRDefault="00B75F05" w:rsidP="00B75F05">
      <w:pPr>
        <w:spacing w:line="480" w:lineRule="auto"/>
        <w:contextualSpacing/>
        <w:rPr>
          <w:rFonts w:ascii="Times New Roman" w:hAnsi="Times New Roman" w:cs="Times New Roman"/>
          <w:sz w:val="24"/>
          <w:szCs w:val="24"/>
        </w:rPr>
      </w:pPr>
    </w:p>
    <w:p w14:paraId="4F1B073F" w14:textId="77777777" w:rsidR="00B75F05" w:rsidRPr="008A7487" w:rsidRDefault="00B75F05" w:rsidP="00B75F05">
      <w:pPr>
        <w:spacing w:line="480" w:lineRule="auto"/>
        <w:contextualSpacing/>
        <w:rPr>
          <w:rFonts w:ascii="Times New Roman" w:hAnsi="Times New Roman" w:cs="Times New Roman"/>
          <w:sz w:val="24"/>
          <w:szCs w:val="24"/>
        </w:rPr>
      </w:pPr>
    </w:p>
    <w:p w14:paraId="5AF1D460" w14:textId="77777777" w:rsidR="00B75F05" w:rsidRPr="008A7487" w:rsidRDefault="00B75F05" w:rsidP="00B75F05">
      <w:pPr>
        <w:spacing w:line="480" w:lineRule="auto"/>
        <w:contextualSpacing/>
        <w:rPr>
          <w:rFonts w:ascii="Times New Roman" w:hAnsi="Times New Roman" w:cs="Times New Roman"/>
          <w:sz w:val="24"/>
          <w:szCs w:val="24"/>
        </w:rPr>
      </w:pPr>
    </w:p>
    <w:p w14:paraId="0A6D5493" w14:textId="77777777" w:rsidR="00B75F05" w:rsidRPr="008A7487" w:rsidRDefault="00B75F05" w:rsidP="00B75F05">
      <w:pPr>
        <w:spacing w:line="480" w:lineRule="auto"/>
        <w:contextualSpacing/>
        <w:rPr>
          <w:rFonts w:ascii="Times New Roman" w:hAnsi="Times New Roman" w:cs="Times New Roman"/>
          <w:sz w:val="24"/>
          <w:szCs w:val="24"/>
        </w:rPr>
      </w:pPr>
    </w:p>
    <w:p w14:paraId="1F523BE2" w14:textId="77777777" w:rsidR="00B75F05" w:rsidRPr="008A7487" w:rsidRDefault="00B75F05" w:rsidP="00B75F05">
      <w:pPr>
        <w:spacing w:line="480" w:lineRule="auto"/>
        <w:contextualSpacing/>
        <w:rPr>
          <w:rFonts w:ascii="Times New Roman" w:hAnsi="Times New Roman" w:cs="Times New Roman"/>
          <w:sz w:val="24"/>
          <w:szCs w:val="24"/>
        </w:rPr>
      </w:pPr>
    </w:p>
    <w:p w14:paraId="30D01496" w14:textId="77777777" w:rsidR="00B75F05" w:rsidRPr="008A7487" w:rsidRDefault="00B75F05" w:rsidP="00B75F05">
      <w:pPr>
        <w:spacing w:line="480" w:lineRule="auto"/>
        <w:contextualSpacing/>
        <w:rPr>
          <w:rFonts w:ascii="Times New Roman" w:hAnsi="Times New Roman" w:cs="Times New Roman"/>
          <w:sz w:val="24"/>
          <w:szCs w:val="24"/>
        </w:rPr>
      </w:pPr>
    </w:p>
    <w:p w14:paraId="39B27CE8" w14:textId="77777777" w:rsidR="00B75F05" w:rsidRPr="008A7487" w:rsidRDefault="00B75F05" w:rsidP="00B75F05">
      <w:pPr>
        <w:spacing w:line="480" w:lineRule="auto"/>
        <w:contextualSpacing/>
        <w:rPr>
          <w:rFonts w:ascii="Times New Roman" w:hAnsi="Times New Roman" w:cs="Times New Roman"/>
          <w:sz w:val="24"/>
          <w:szCs w:val="24"/>
        </w:rPr>
      </w:pPr>
    </w:p>
    <w:p w14:paraId="0F6EB5E3" w14:textId="77777777" w:rsidR="00B75F05" w:rsidRPr="008A7487" w:rsidRDefault="00B75F05" w:rsidP="00B75F05">
      <w:pPr>
        <w:spacing w:line="480" w:lineRule="auto"/>
        <w:contextualSpacing/>
        <w:rPr>
          <w:rFonts w:ascii="Times New Roman" w:hAnsi="Times New Roman" w:cs="Times New Roman"/>
          <w:sz w:val="24"/>
          <w:szCs w:val="24"/>
        </w:rPr>
      </w:pPr>
    </w:p>
    <w:p w14:paraId="254484A2" w14:textId="77777777" w:rsidR="00B75F05" w:rsidRPr="008A7487" w:rsidRDefault="00B75F05" w:rsidP="00B75F05">
      <w:pPr>
        <w:spacing w:line="480" w:lineRule="auto"/>
        <w:contextualSpacing/>
        <w:rPr>
          <w:rFonts w:ascii="Times New Roman" w:hAnsi="Times New Roman" w:cs="Times New Roman"/>
          <w:sz w:val="24"/>
          <w:szCs w:val="24"/>
        </w:rPr>
      </w:pPr>
    </w:p>
    <w:p w14:paraId="50A0F30C" w14:textId="77777777" w:rsidR="00B75F05" w:rsidRPr="008A7487" w:rsidRDefault="00B75F05" w:rsidP="00B75F05">
      <w:pPr>
        <w:spacing w:line="480" w:lineRule="auto"/>
        <w:contextualSpacing/>
        <w:rPr>
          <w:rFonts w:ascii="Times New Roman" w:hAnsi="Times New Roman" w:cs="Times New Roman"/>
          <w:sz w:val="24"/>
          <w:szCs w:val="24"/>
        </w:rPr>
        <w:sectPr w:rsidR="00B75F05" w:rsidRPr="008A7487" w:rsidSect="00B75F05">
          <w:pgSz w:w="16838" w:h="11906" w:orient="landscape" w:code="9"/>
          <w:pgMar w:top="1440" w:right="1276" w:bottom="1440" w:left="1440" w:header="709" w:footer="709" w:gutter="0"/>
          <w:cols w:space="708"/>
          <w:docGrid w:linePitch="360"/>
        </w:sectPr>
      </w:pPr>
    </w:p>
    <w:p w14:paraId="4998F60A" w14:textId="77777777" w:rsidR="00B75F05" w:rsidRPr="008A7487" w:rsidRDefault="00B75F05" w:rsidP="00B75F05">
      <w:pPr>
        <w:spacing w:line="480" w:lineRule="auto"/>
        <w:contextualSpacing/>
        <w:rPr>
          <w:rFonts w:ascii="Times New Roman" w:hAnsi="Times New Roman" w:cs="Times New Roman"/>
          <w:sz w:val="24"/>
          <w:szCs w:val="24"/>
        </w:rPr>
      </w:pPr>
    </w:p>
    <w:p w14:paraId="0C23BFF1" w14:textId="77777777" w:rsidR="00B75F05" w:rsidRPr="008A7487" w:rsidRDefault="00B75F05" w:rsidP="00B75F05">
      <w:pPr>
        <w:spacing w:after="0" w:line="240" w:lineRule="auto"/>
        <w:rPr>
          <w:rFonts w:ascii="Times New Roman" w:hAnsi="Times New Roman" w:cs="Times New Roman"/>
          <w:b/>
          <w:sz w:val="20"/>
          <w:szCs w:val="20"/>
        </w:rPr>
      </w:pPr>
      <w:r>
        <w:rPr>
          <w:rFonts w:ascii="Times New Roman" w:hAnsi="Times New Roman" w:cs="Times New Roman"/>
          <w:b/>
          <w:sz w:val="20"/>
          <w:szCs w:val="20"/>
        </w:rPr>
        <w:t>Table 5</w:t>
      </w:r>
      <w:r w:rsidRPr="008A7487">
        <w:rPr>
          <w:rFonts w:ascii="Times New Roman" w:hAnsi="Times New Roman" w:cs="Times New Roman"/>
          <w:b/>
          <w:sz w:val="20"/>
          <w:szCs w:val="20"/>
        </w:rPr>
        <w:t xml:space="preserve">: Regression result for the entire sample  </w:t>
      </w:r>
    </w:p>
    <w:tbl>
      <w:tblPr>
        <w:tblStyle w:val="TableGrid"/>
        <w:tblW w:w="0" w:type="auto"/>
        <w:tblInd w:w="250" w:type="dxa"/>
        <w:tblLook w:val="04A0" w:firstRow="1" w:lastRow="0" w:firstColumn="1" w:lastColumn="0" w:noHBand="0" w:noVBand="1"/>
      </w:tblPr>
      <w:tblGrid>
        <w:gridCol w:w="1559"/>
        <w:gridCol w:w="736"/>
        <w:gridCol w:w="975"/>
        <w:gridCol w:w="983"/>
        <w:gridCol w:w="977"/>
        <w:gridCol w:w="871"/>
        <w:gridCol w:w="953"/>
      </w:tblGrid>
      <w:tr w:rsidR="00B75F05" w:rsidRPr="008A7487" w14:paraId="378B3474" w14:textId="77777777" w:rsidTr="00C21D6F">
        <w:tc>
          <w:tcPr>
            <w:tcW w:w="1559" w:type="dxa"/>
          </w:tcPr>
          <w:p w14:paraId="52874004" w14:textId="77777777" w:rsidR="00B75F05" w:rsidRPr="008A7487" w:rsidRDefault="00B75F05" w:rsidP="00C21D6F">
            <w:pPr>
              <w:spacing w:line="480" w:lineRule="auto"/>
              <w:contextualSpacing/>
              <w:rPr>
                <w:rFonts w:ascii="Times New Roman" w:hAnsi="Times New Roman" w:cs="Times New Roman"/>
                <w:b/>
                <w:sz w:val="16"/>
                <w:szCs w:val="16"/>
              </w:rPr>
            </w:pPr>
          </w:p>
        </w:tc>
        <w:tc>
          <w:tcPr>
            <w:tcW w:w="1690" w:type="dxa"/>
            <w:gridSpan w:val="2"/>
          </w:tcPr>
          <w:p w14:paraId="29AFAD86" w14:textId="77777777" w:rsidR="00B75F05" w:rsidRPr="008A7487" w:rsidRDefault="00B75F05" w:rsidP="00C21D6F">
            <w:pPr>
              <w:contextualSpacing/>
              <w:jc w:val="center"/>
              <w:rPr>
                <w:rFonts w:ascii="Times New Roman" w:hAnsi="Times New Roman" w:cs="Times New Roman"/>
                <w:b/>
                <w:sz w:val="16"/>
                <w:szCs w:val="16"/>
              </w:rPr>
            </w:pPr>
            <w:r w:rsidRPr="008A7487">
              <w:rPr>
                <w:rFonts w:ascii="Times New Roman" w:hAnsi="Times New Roman" w:cs="Times New Roman"/>
                <w:b/>
                <w:sz w:val="16"/>
                <w:szCs w:val="16"/>
              </w:rPr>
              <w:t>Column 1</w:t>
            </w:r>
          </w:p>
        </w:tc>
        <w:tc>
          <w:tcPr>
            <w:tcW w:w="1960" w:type="dxa"/>
            <w:gridSpan w:val="2"/>
          </w:tcPr>
          <w:p w14:paraId="53A0BFE0" w14:textId="77777777" w:rsidR="00B75F05" w:rsidRPr="008A7487" w:rsidRDefault="00B75F05" w:rsidP="00C21D6F">
            <w:pPr>
              <w:contextualSpacing/>
              <w:jc w:val="center"/>
              <w:rPr>
                <w:rFonts w:ascii="Times New Roman" w:hAnsi="Times New Roman" w:cs="Times New Roman"/>
                <w:b/>
                <w:sz w:val="16"/>
                <w:szCs w:val="16"/>
              </w:rPr>
            </w:pPr>
            <w:r w:rsidRPr="008A7487">
              <w:rPr>
                <w:rFonts w:ascii="Times New Roman" w:hAnsi="Times New Roman" w:cs="Times New Roman"/>
                <w:b/>
                <w:sz w:val="16"/>
                <w:szCs w:val="16"/>
              </w:rPr>
              <w:t>Column 2</w:t>
            </w:r>
          </w:p>
        </w:tc>
        <w:tc>
          <w:tcPr>
            <w:tcW w:w="1824" w:type="dxa"/>
            <w:gridSpan w:val="2"/>
          </w:tcPr>
          <w:p w14:paraId="58EDD82E" w14:textId="77777777" w:rsidR="00B75F05" w:rsidRPr="008A7487" w:rsidRDefault="00B75F05" w:rsidP="00C21D6F">
            <w:pPr>
              <w:contextualSpacing/>
              <w:jc w:val="center"/>
              <w:rPr>
                <w:rFonts w:ascii="Times New Roman" w:hAnsi="Times New Roman" w:cs="Times New Roman"/>
                <w:b/>
                <w:sz w:val="16"/>
                <w:szCs w:val="16"/>
              </w:rPr>
            </w:pPr>
            <w:r w:rsidRPr="008A7487">
              <w:rPr>
                <w:rFonts w:ascii="Times New Roman" w:hAnsi="Times New Roman" w:cs="Times New Roman"/>
                <w:b/>
                <w:sz w:val="16"/>
                <w:szCs w:val="16"/>
              </w:rPr>
              <w:t>Column 3</w:t>
            </w:r>
          </w:p>
        </w:tc>
      </w:tr>
      <w:tr w:rsidR="00B75F05" w:rsidRPr="008A7487" w14:paraId="7AE12BBD" w14:textId="77777777" w:rsidTr="00C21D6F">
        <w:tc>
          <w:tcPr>
            <w:tcW w:w="1559" w:type="dxa"/>
          </w:tcPr>
          <w:p w14:paraId="72681483" w14:textId="77777777" w:rsidR="00B75F05" w:rsidRPr="008A7487" w:rsidRDefault="00B75F05" w:rsidP="00C21D6F">
            <w:pPr>
              <w:spacing w:line="480" w:lineRule="auto"/>
              <w:contextualSpacing/>
              <w:rPr>
                <w:rFonts w:ascii="Times New Roman" w:hAnsi="Times New Roman" w:cs="Times New Roman"/>
                <w:b/>
                <w:sz w:val="16"/>
                <w:szCs w:val="16"/>
              </w:rPr>
            </w:pPr>
            <w:r w:rsidRPr="008A7487">
              <w:rPr>
                <w:rFonts w:ascii="Times New Roman" w:hAnsi="Times New Roman" w:cs="Times New Roman"/>
                <w:b/>
                <w:sz w:val="16"/>
                <w:szCs w:val="16"/>
              </w:rPr>
              <w:t xml:space="preserve">Dependent variable </w:t>
            </w:r>
          </w:p>
        </w:tc>
        <w:tc>
          <w:tcPr>
            <w:tcW w:w="1690" w:type="dxa"/>
            <w:gridSpan w:val="2"/>
          </w:tcPr>
          <w:p w14:paraId="1DE7E5A5" w14:textId="77777777" w:rsidR="00B75F05" w:rsidRPr="008A7487" w:rsidRDefault="00B75F05" w:rsidP="00C21D6F">
            <w:pPr>
              <w:contextualSpacing/>
              <w:jc w:val="center"/>
              <w:rPr>
                <w:rFonts w:ascii="Times New Roman" w:hAnsi="Times New Roman" w:cs="Times New Roman"/>
                <w:b/>
                <w:sz w:val="16"/>
                <w:szCs w:val="16"/>
              </w:rPr>
            </w:pPr>
            <w:r w:rsidRPr="008A7487">
              <w:rPr>
                <w:rFonts w:ascii="Times New Roman" w:hAnsi="Times New Roman" w:cs="Times New Roman"/>
                <w:b/>
                <w:sz w:val="16"/>
                <w:szCs w:val="16"/>
              </w:rPr>
              <w:t>Fixed effects model</w:t>
            </w:r>
          </w:p>
          <w:p w14:paraId="6461AEC0" w14:textId="77777777" w:rsidR="00B75F05" w:rsidRPr="008A7487" w:rsidRDefault="00B75F05" w:rsidP="00C21D6F">
            <w:pPr>
              <w:contextualSpacing/>
              <w:jc w:val="center"/>
              <w:rPr>
                <w:rFonts w:ascii="Times New Roman" w:hAnsi="Times New Roman" w:cs="Times New Roman"/>
                <w:b/>
                <w:sz w:val="16"/>
                <w:szCs w:val="16"/>
              </w:rPr>
            </w:pPr>
            <w:r w:rsidRPr="008A7487">
              <w:rPr>
                <w:rFonts w:ascii="Times New Roman" w:hAnsi="Times New Roman" w:cs="Times New Roman"/>
                <w:b/>
                <w:sz w:val="16"/>
                <w:szCs w:val="16"/>
              </w:rPr>
              <w:t>ROA</w:t>
            </w:r>
          </w:p>
        </w:tc>
        <w:tc>
          <w:tcPr>
            <w:tcW w:w="1960" w:type="dxa"/>
            <w:gridSpan w:val="2"/>
          </w:tcPr>
          <w:p w14:paraId="1279E45A" w14:textId="77777777" w:rsidR="00B75F05" w:rsidRPr="008A7487" w:rsidRDefault="00B75F05" w:rsidP="00C21D6F">
            <w:pPr>
              <w:contextualSpacing/>
              <w:jc w:val="center"/>
              <w:rPr>
                <w:rFonts w:ascii="Times New Roman" w:hAnsi="Times New Roman" w:cs="Times New Roman"/>
                <w:b/>
                <w:sz w:val="16"/>
                <w:szCs w:val="16"/>
              </w:rPr>
            </w:pPr>
            <w:r w:rsidRPr="008A7487">
              <w:rPr>
                <w:rFonts w:ascii="Times New Roman" w:hAnsi="Times New Roman" w:cs="Times New Roman"/>
                <w:b/>
                <w:sz w:val="16"/>
                <w:szCs w:val="16"/>
              </w:rPr>
              <w:t>Random effect model</w:t>
            </w:r>
          </w:p>
          <w:p w14:paraId="693A1A0C" w14:textId="77777777" w:rsidR="00B75F05" w:rsidRPr="008A7487" w:rsidRDefault="00B75F05" w:rsidP="00C21D6F">
            <w:pPr>
              <w:contextualSpacing/>
              <w:jc w:val="center"/>
              <w:rPr>
                <w:rFonts w:ascii="Times New Roman" w:hAnsi="Times New Roman" w:cs="Times New Roman"/>
                <w:b/>
                <w:sz w:val="16"/>
                <w:szCs w:val="16"/>
              </w:rPr>
            </w:pPr>
            <w:r w:rsidRPr="008A7487">
              <w:rPr>
                <w:rFonts w:ascii="Times New Roman" w:hAnsi="Times New Roman" w:cs="Times New Roman"/>
                <w:b/>
                <w:sz w:val="16"/>
                <w:szCs w:val="16"/>
              </w:rPr>
              <w:t>ROA</w:t>
            </w:r>
          </w:p>
        </w:tc>
        <w:tc>
          <w:tcPr>
            <w:tcW w:w="1824" w:type="dxa"/>
            <w:gridSpan w:val="2"/>
          </w:tcPr>
          <w:p w14:paraId="750637E4" w14:textId="77777777" w:rsidR="00B75F05" w:rsidRPr="008A7487" w:rsidRDefault="00B75F05" w:rsidP="00C21D6F">
            <w:pPr>
              <w:contextualSpacing/>
              <w:jc w:val="center"/>
              <w:rPr>
                <w:rFonts w:ascii="Times New Roman" w:hAnsi="Times New Roman" w:cs="Times New Roman"/>
                <w:b/>
                <w:sz w:val="16"/>
                <w:szCs w:val="16"/>
              </w:rPr>
            </w:pPr>
            <w:r w:rsidRPr="008A7487">
              <w:rPr>
                <w:rFonts w:ascii="Times New Roman" w:hAnsi="Times New Roman" w:cs="Times New Roman"/>
                <w:b/>
                <w:sz w:val="16"/>
                <w:szCs w:val="16"/>
              </w:rPr>
              <w:t>Fixed effect model</w:t>
            </w:r>
          </w:p>
          <w:p w14:paraId="0A9B177F" w14:textId="77777777" w:rsidR="00B75F05" w:rsidRPr="008A7487" w:rsidRDefault="00B75F05" w:rsidP="00C21D6F">
            <w:pPr>
              <w:contextualSpacing/>
              <w:jc w:val="center"/>
              <w:rPr>
                <w:rFonts w:ascii="Times New Roman" w:hAnsi="Times New Roman" w:cs="Times New Roman"/>
                <w:b/>
                <w:sz w:val="16"/>
                <w:szCs w:val="16"/>
              </w:rPr>
            </w:pPr>
            <w:r w:rsidRPr="008A7487">
              <w:rPr>
                <w:rFonts w:ascii="Times New Roman" w:hAnsi="Times New Roman" w:cs="Times New Roman"/>
                <w:b/>
                <w:sz w:val="16"/>
                <w:szCs w:val="16"/>
              </w:rPr>
              <w:t>NIM</w:t>
            </w:r>
          </w:p>
        </w:tc>
      </w:tr>
      <w:tr w:rsidR="00B75F05" w:rsidRPr="008A7487" w14:paraId="5698984D" w14:textId="77777777" w:rsidTr="00C21D6F">
        <w:tc>
          <w:tcPr>
            <w:tcW w:w="1559" w:type="dxa"/>
          </w:tcPr>
          <w:p w14:paraId="2B57F23D" w14:textId="77777777" w:rsidR="00B75F05" w:rsidRPr="008A7487" w:rsidRDefault="00B75F05" w:rsidP="00C21D6F">
            <w:pPr>
              <w:spacing w:line="480" w:lineRule="auto"/>
              <w:contextualSpacing/>
              <w:rPr>
                <w:rFonts w:ascii="Times New Roman" w:hAnsi="Times New Roman" w:cs="Times New Roman"/>
                <w:sz w:val="16"/>
                <w:szCs w:val="16"/>
              </w:rPr>
            </w:pPr>
          </w:p>
        </w:tc>
        <w:tc>
          <w:tcPr>
            <w:tcW w:w="715" w:type="dxa"/>
            <w:vAlign w:val="bottom"/>
          </w:tcPr>
          <w:p w14:paraId="67F4DC4F" w14:textId="77777777" w:rsidR="00B75F05" w:rsidRPr="008A7487" w:rsidRDefault="00B75F05" w:rsidP="00C21D6F">
            <w:pPr>
              <w:autoSpaceDE w:val="0"/>
              <w:autoSpaceDN w:val="0"/>
              <w:adjustRightInd w:val="0"/>
              <w:ind w:right="10"/>
              <w:jc w:val="right"/>
              <w:rPr>
                <w:rFonts w:ascii="Times New Roman" w:hAnsi="Times New Roman" w:cs="Times New Roman"/>
                <w:b/>
                <w:color w:val="000000"/>
                <w:sz w:val="16"/>
                <w:szCs w:val="16"/>
                <w:lang w:val="en-GB"/>
              </w:rPr>
            </w:pPr>
            <w:r w:rsidRPr="008A7487">
              <w:rPr>
                <w:rFonts w:ascii="Times New Roman" w:hAnsi="Times New Roman" w:cs="Times New Roman"/>
                <w:b/>
                <w:color w:val="000000"/>
                <w:sz w:val="16"/>
                <w:szCs w:val="16"/>
                <w:lang w:val="en-GB"/>
              </w:rPr>
              <w:t>Coeff</w:t>
            </w:r>
          </w:p>
        </w:tc>
        <w:tc>
          <w:tcPr>
            <w:tcW w:w="975" w:type="dxa"/>
            <w:vAlign w:val="bottom"/>
          </w:tcPr>
          <w:p w14:paraId="37B4ADD9" w14:textId="77777777" w:rsidR="00B75F05" w:rsidRPr="008A7487" w:rsidRDefault="00B75F05" w:rsidP="00C21D6F">
            <w:pPr>
              <w:autoSpaceDE w:val="0"/>
              <w:autoSpaceDN w:val="0"/>
              <w:adjustRightInd w:val="0"/>
              <w:ind w:right="10"/>
              <w:jc w:val="right"/>
              <w:rPr>
                <w:rFonts w:ascii="Times New Roman" w:hAnsi="Times New Roman" w:cs="Times New Roman"/>
                <w:b/>
                <w:color w:val="000000"/>
                <w:sz w:val="16"/>
                <w:szCs w:val="16"/>
                <w:lang w:val="en-GB"/>
              </w:rPr>
            </w:pPr>
            <w:r w:rsidRPr="008A7487">
              <w:rPr>
                <w:rFonts w:ascii="Times New Roman" w:hAnsi="Times New Roman" w:cs="Times New Roman"/>
                <w:b/>
                <w:color w:val="000000"/>
                <w:sz w:val="16"/>
                <w:szCs w:val="16"/>
                <w:lang w:val="en-GB"/>
              </w:rPr>
              <w:t xml:space="preserve">T-stat </w:t>
            </w:r>
          </w:p>
        </w:tc>
        <w:tc>
          <w:tcPr>
            <w:tcW w:w="983" w:type="dxa"/>
            <w:vAlign w:val="bottom"/>
          </w:tcPr>
          <w:p w14:paraId="297E2DEF" w14:textId="77777777" w:rsidR="00B75F05" w:rsidRPr="008A7487" w:rsidRDefault="00B75F05" w:rsidP="00C21D6F">
            <w:pPr>
              <w:autoSpaceDE w:val="0"/>
              <w:autoSpaceDN w:val="0"/>
              <w:adjustRightInd w:val="0"/>
              <w:ind w:right="10"/>
              <w:jc w:val="right"/>
              <w:rPr>
                <w:rFonts w:ascii="Times New Roman" w:hAnsi="Times New Roman" w:cs="Times New Roman"/>
                <w:b/>
                <w:color w:val="000000"/>
                <w:sz w:val="16"/>
                <w:szCs w:val="16"/>
                <w:lang w:val="en-GB"/>
              </w:rPr>
            </w:pPr>
            <w:r w:rsidRPr="008A7487">
              <w:rPr>
                <w:rFonts w:ascii="Times New Roman" w:hAnsi="Times New Roman" w:cs="Times New Roman"/>
                <w:b/>
                <w:color w:val="000000"/>
                <w:sz w:val="16"/>
                <w:szCs w:val="16"/>
                <w:lang w:val="en-GB"/>
              </w:rPr>
              <w:t>Coeff</w:t>
            </w:r>
          </w:p>
        </w:tc>
        <w:tc>
          <w:tcPr>
            <w:tcW w:w="977" w:type="dxa"/>
            <w:vAlign w:val="bottom"/>
          </w:tcPr>
          <w:p w14:paraId="68B4E3F7" w14:textId="77777777" w:rsidR="00B75F05" w:rsidRPr="008A7487" w:rsidRDefault="00B75F05" w:rsidP="00C21D6F">
            <w:pPr>
              <w:autoSpaceDE w:val="0"/>
              <w:autoSpaceDN w:val="0"/>
              <w:adjustRightInd w:val="0"/>
              <w:ind w:right="10"/>
              <w:jc w:val="right"/>
              <w:rPr>
                <w:rFonts w:ascii="Times New Roman" w:hAnsi="Times New Roman" w:cs="Times New Roman"/>
                <w:b/>
                <w:color w:val="000000"/>
                <w:sz w:val="16"/>
                <w:szCs w:val="16"/>
                <w:lang w:val="en-GB"/>
              </w:rPr>
            </w:pPr>
            <w:r w:rsidRPr="008A7487">
              <w:rPr>
                <w:rFonts w:ascii="Times New Roman" w:hAnsi="Times New Roman" w:cs="Times New Roman"/>
                <w:b/>
                <w:color w:val="000000"/>
                <w:sz w:val="16"/>
                <w:szCs w:val="16"/>
                <w:lang w:val="en-GB"/>
              </w:rPr>
              <w:t>T-Stat</w:t>
            </w:r>
          </w:p>
        </w:tc>
        <w:tc>
          <w:tcPr>
            <w:tcW w:w="871" w:type="dxa"/>
            <w:vAlign w:val="bottom"/>
          </w:tcPr>
          <w:p w14:paraId="7E9A7922" w14:textId="77777777" w:rsidR="00B75F05" w:rsidRPr="008A7487" w:rsidRDefault="00B75F05" w:rsidP="00C21D6F">
            <w:pPr>
              <w:autoSpaceDE w:val="0"/>
              <w:autoSpaceDN w:val="0"/>
              <w:adjustRightInd w:val="0"/>
              <w:ind w:right="10"/>
              <w:jc w:val="right"/>
              <w:rPr>
                <w:rFonts w:ascii="Times New Roman" w:hAnsi="Times New Roman" w:cs="Times New Roman"/>
                <w:b/>
                <w:color w:val="000000"/>
                <w:sz w:val="16"/>
                <w:szCs w:val="16"/>
                <w:lang w:val="en-GB"/>
              </w:rPr>
            </w:pPr>
            <w:r w:rsidRPr="008A7487">
              <w:rPr>
                <w:rFonts w:ascii="Times New Roman" w:hAnsi="Times New Roman" w:cs="Times New Roman"/>
                <w:b/>
                <w:color w:val="000000"/>
                <w:sz w:val="16"/>
                <w:szCs w:val="16"/>
                <w:lang w:val="en-GB"/>
              </w:rPr>
              <w:t>Coeff</w:t>
            </w:r>
          </w:p>
        </w:tc>
        <w:tc>
          <w:tcPr>
            <w:tcW w:w="953" w:type="dxa"/>
            <w:vAlign w:val="bottom"/>
          </w:tcPr>
          <w:p w14:paraId="0725F79B" w14:textId="77777777" w:rsidR="00B75F05" w:rsidRPr="008A7487" w:rsidRDefault="00B75F05" w:rsidP="00C21D6F">
            <w:pPr>
              <w:autoSpaceDE w:val="0"/>
              <w:autoSpaceDN w:val="0"/>
              <w:adjustRightInd w:val="0"/>
              <w:ind w:right="10"/>
              <w:jc w:val="right"/>
              <w:rPr>
                <w:rFonts w:ascii="Times New Roman" w:hAnsi="Times New Roman" w:cs="Times New Roman"/>
                <w:b/>
                <w:color w:val="000000"/>
                <w:sz w:val="16"/>
                <w:szCs w:val="16"/>
                <w:lang w:val="en-GB"/>
              </w:rPr>
            </w:pPr>
            <w:r w:rsidRPr="008A7487">
              <w:rPr>
                <w:rFonts w:ascii="Times New Roman" w:hAnsi="Times New Roman" w:cs="Times New Roman"/>
                <w:b/>
                <w:color w:val="000000"/>
                <w:sz w:val="16"/>
                <w:szCs w:val="16"/>
                <w:lang w:val="en-GB"/>
              </w:rPr>
              <w:t xml:space="preserve">T-Stat </w:t>
            </w:r>
          </w:p>
        </w:tc>
      </w:tr>
      <w:tr w:rsidR="00B75F05" w:rsidRPr="008A7487" w14:paraId="4ACE5784" w14:textId="77777777" w:rsidTr="00C21D6F">
        <w:tc>
          <w:tcPr>
            <w:tcW w:w="1559" w:type="dxa"/>
          </w:tcPr>
          <w:p w14:paraId="37179525" w14:textId="77777777" w:rsidR="00B75F05" w:rsidRPr="008A7487" w:rsidRDefault="00B75F05" w:rsidP="00C21D6F">
            <w:pPr>
              <w:spacing w:line="480" w:lineRule="auto"/>
              <w:contextualSpacing/>
              <w:rPr>
                <w:rFonts w:ascii="Times New Roman" w:hAnsi="Times New Roman" w:cs="Times New Roman"/>
                <w:sz w:val="16"/>
                <w:szCs w:val="16"/>
              </w:rPr>
            </w:pPr>
            <w:r w:rsidRPr="008A7487">
              <w:rPr>
                <w:rFonts w:ascii="Times New Roman" w:hAnsi="Times New Roman" w:cs="Times New Roman"/>
                <w:sz w:val="16"/>
                <w:szCs w:val="16"/>
              </w:rPr>
              <w:t>LNSIZE</w:t>
            </w:r>
          </w:p>
        </w:tc>
        <w:tc>
          <w:tcPr>
            <w:tcW w:w="715" w:type="dxa"/>
            <w:vAlign w:val="bottom"/>
          </w:tcPr>
          <w:p w14:paraId="1EC177BF" w14:textId="77777777" w:rsidR="00B75F05" w:rsidRPr="008A7487" w:rsidRDefault="00B75F05" w:rsidP="00C21D6F">
            <w:pPr>
              <w:autoSpaceDE w:val="0"/>
              <w:autoSpaceDN w:val="0"/>
              <w:adjustRightInd w:val="0"/>
              <w:ind w:right="10"/>
              <w:rPr>
                <w:rFonts w:ascii="Times New Roman" w:hAnsi="Times New Roman" w:cs="Times New Roman"/>
                <w:color w:val="000000"/>
                <w:sz w:val="16"/>
                <w:szCs w:val="16"/>
                <w:lang w:val="en-GB"/>
              </w:rPr>
            </w:pPr>
            <w:r w:rsidRPr="008A7487">
              <w:rPr>
                <w:rFonts w:ascii="Times New Roman" w:hAnsi="Times New Roman" w:cs="Times New Roman"/>
                <w:color w:val="000000"/>
                <w:sz w:val="16"/>
                <w:szCs w:val="16"/>
                <w:lang w:val="en-GB"/>
              </w:rPr>
              <w:t>0.36</w:t>
            </w:r>
          </w:p>
        </w:tc>
        <w:tc>
          <w:tcPr>
            <w:tcW w:w="975" w:type="dxa"/>
            <w:vAlign w:val="bottom"/>
          </w:tcPr>
          <w:p w14:paraId="7F1BA2EA" w14:textId="77777777" w:rsidR="00B75F05" w:rsidRPr="008A7487" w:rsidRDefault="00B75F05" w:rsidP="00C21D6F">
            <w:pPr>
              <w:autoSpaceDE w:val="0"/>
              <w:autoSpaceDN w:val="0"/>
              <w:adjustRightInd w:val="0"/>
              <w:ind w:right="10"/>
              <w:rPr>
                <w:rFonts w:ascii="Times New Roman" w:hAnsi="Times New Roman" w:cs="Times New Roman"/>
                <w:color w:val="000000"/>
                <w:sz w:val="16"/>
                <w:szCs w:val="16"/>
                <w:lang w:val="en-GB"/>
              </w:rPr>
            </w:pPr>
            <w:r w:rsidRPr="008A7487">
              <w:rPr>
                <w:rFonts w:ascii="Times New Roman" w:hAnsi="Times New Roman" w:cs="Times New Roman"/>
                <w:color w:val="000000"/>
                <w:sz w:val="16"/>
                <w:szCs w:val="16"/>
                <w:lang w:val="en-GB"/>
              </w:rPr>
              <w:t>2.45***</w:t>
            </w:r>
          </w:p>
        </w:tc>
        <w:tc>
          <w:tcPr>
            <w:tcW w:w="983" w:type="dxa"/>
            <w:vAlign w:val="bottom"/>
          </w:tcPr>
          <w:p w14:paraId="6245E49D" w14:textId="77777777" w:rsidR="00B75F05" w:rsidRPr="008A7487" w:rsidRDefault="00B75F05" w:rsidP="00C21D6F">
            <w:pPr>
              <w:autoSpaceDE w:val="0"/>
              <w:autoSpaceDN w:val="0"/>
              <w:adjustRightInd w:val="0"/>
              <w:ind w:right="10"/>
              <w:rPr>
                <w:rFonts w:ascii="Times New Roman" w:hAnsi="Times New Roman" w:cs="Times New Roman"/>
                <w:color w:val="000000"/>
                <w:sz w:val="16"/>
                <w:szCs w:val="16"/>
                <w:lang w:val="en-GB"/>
              </w:rPr>
            </w:pPr>
            <w:r w:rsidRPr="008A7487">
              <w:rPr>
                <w:rFonts w:ascii="Times New Roman" w:hAnsi="Times New Roman" w:cs="Times New Roman"/>
                <w:color w:val="000000"/>
                <w:sz w:val="16"/>
                <w:szCs w:val="16"/>
                <w:lang w:val="en-GB"/>
              </w:rPr>
              <w:t>0.22</w:t>
            </w:r>
          </w:p>
        </w:tc>
        <w:tc>
          <w:tcPr>
            <w:tcW w:w="977" w:type="dxa"/>
            <w:vAlign w:val="bottom"/>
          </w:tcPr>
          <w:p w14:paraId="2E6053BF" w14:textId="77777777" w:rsidR="00B75F05" w:rsidRPr="008A7487" w:rsidRDefault="00B75F05" w:rsidP="00C21D6F">
            <w:pPr>
              <w:autoSpaceDE w:val="0"/>
              <w:autoSpaceDN w:val="0"/>
              <w:adjustRightInd w:val="0"/>
              <w:ind w:right="10"/>
              <w:rPr>
                <w:rFonts w:ascii="Times New Roman" w:hAnsi="Times New Roman" w:cs="Times New Roman"/>
                <w:color w:val="000000"/>
                <w:sz w:val="16"/>
                <w:szCs w:val="16"/>
                <w:lang w:val="en-GB"/>
              </w:rPr>
            </w:pPr>
            <w:r w:rsidRPr="008A7487">
              <w:rPr>
                <w:rFonts w:ascii="Times New Roman" w:hAnsi="Times New Roman" w:cs="Times New Roman"/>
                <w:color w:val="000000"/>
                <w:sz w:val="16"/>
                <w:szCs w:val="16"/>
                <w:lang w:val="en-GB"/>
              </w:rPr>
              <w:t>10.48***</w:t>
            </w:r>
          </w:p>
        </w:tc>
        <w:tc>
          <w:tcPr>
            <w:tcW w:w="871" w:type="dxa"/>
            <w:vAlign w:val="bottom"/>
          </w:tcPr>
          <w:p w14:paraId="407991C4" w14:textId="77777777" w:rsidR="00B75F05" w:rsidRPr="008A7487" w:rsidRDefault="00B75F05" w:rsidP="00C21D6F">
            <w:pPr>
              <w:autoSpaceDE w:val="0"/>
              <w:autoSpaceDN w:val="0"/>
              <w:adjustRightInd w:val="0"/>
              <w:ind w:right="10"/>
              <w:rPr>
                <w:rFonts w:ascii="Times New Roman" w:hAnsi="Times New Roman" w:cs="Times New Roman"/>
                <w:color w:val="000000"/>
                <w:sz w:val="16"/>
                <w:szCs w:val="16"/>
                <w:lang w:val="en-GB"/>
              </w:rPr>
            </w:pPr>
            <w:r w:rsidRPr="008A7487">
              <w:rPr>
                <w:rFonts w:ascii="Times New Roman" w:hAnsi="Times New Roman" w:cs="Times New Roman"/>
                <w:color w:val="000000"/>
                <w:sz w:val="16"/>
                <w:szCs w:val="16"/>
                <w:lang w:val="en-GB"/>
              </w:rPr>
              <w:t>-0.06</w:t>
            </w:r>
          </w:p>
        </w:tc>
        <w:tc>
          <w:tcPr>
            <w:tcW w:w="953" w:type="dxa"/>
            <w:vAlign w:val="bottom"/>
          </w:tcPr>
          <w:p w14:paraId="12D9DBB5" w14:textId="77777777" w:rsidR="00B75F05" w:rsidRPr="008A7487" w:rsidRDefault="00B75F05" w:rsidP="00C21D6F">
            <w:pPr>
              <w:autoSpaceDE w:val="0"/>
              <w:autoSpaceDN w:val="0"/>
              <w:adjustRightInd w:val="0"/>
              <w:ind w:right="10"/>
              <w:rPr>
                <w:rFonts w:ascii="Times New Roman" w:hAnsi="Times New Roman" w:cs="Times New Roman"/>
                <w:color w:val="000000"/>
                <w:sz w:val="16"/>
                <w:szCs w:val="16"/>
                <w:lang w:val="en-GB"/>
              </w:rPr>
            </w:pPr>
            <w:r w:rsidRPr="008A7487">
              <w:rPr>
                <w:rFonts w:ascii="Times New Roman" w:hAnsi="Times New Roman" w:cs="Times New Roman"/>
                <w:color w:val="000000"/>
                <w:sz w:val="16"/>
                <w:szCs w:val="16"/>
                <w:lang w:val="en-GB"/>
              </w:rPr>
              <w:t>-0.84</w:t>
            </w:r>
          </w:p>
        </w:tc>
      </w:tr>
      <w:tr w:rsidR="00B75F05" w:rsidRPr="008A7487" w14:paraId="3AA04047" w14:textId="77777777" w:rsidTr="00C21D6F">
        <w:tc>
          <w:tcPr>
            <w:tcW w:w="1559" w:type="dxa"/>
          </w:tcPr>
          <w:p w14:paraId="69003599" w14:textId="77777777" w:rsidR="00B75F05" w:rsidRPr="008A7487" w:rsidRDefault="00B75F05" w:rsidP="00C21D6F">
            <w:pPr>
              <w:spacing w:line="480" w:lineRule="auto"/>
              <w:contextualSpacing/>
              <w:rPr>
                <w:rFonts w:ascii="Times New Roman" w:hAnsi="Times New Roman" w:cs="Times New Roman"/>
                <w:sz w:val="16"/>
                <w:szCs w:val="16"/>
              </w:rPr>
            </w:pPr>
            <w:r w:rsidRPr="008A7487">
              <w:rPr>
                <w:rFonts w:ascii="Times New Roman" w:hAnsi="Times New Roman" w:cs="Times New Roman"/>
                <w:sz w:val="16"/>
                <w:szCs w:val="16"/>
              </w:rPr>
              <w:t>CAP</w:t>
            </w:r>
          </w:p>
        </w:tc>
        <w:tc>
          <w:tcPr>
            <w:tcW w:w="715" w:type="dxa"/>
            <w:vAlign w:val="bottom"/>
          </w:tcPr>
          <w:p w14:paraId="481515D5" w14:textId="77777777" w:rsidR="00B75F05" w:rsidRPr="008A7487" w:rsidRDefault="00B75F05" w:rsidP="00C21D6F">
            <w:pPr>
              <w:autoSpaceDE w:val="0"/>
              <w:autoSpaceDN w:val="0"/>
              <w:adjustRightInd w:val="0"/>
              <w:ind w:right="10"/>
              <w:rPr>
                <w:rFonts w:ascii="Times New Roman" w:hAnsi="Times New Roman" w:cs="Times New Roman"/>
                <w:color w:val="000000"/>
                <w:sz w:val="16"/>
                <w:szCs w:val="16"/>
                <w:lang w:val="en-GB"/>
              </w:rPr>
            </w:pPr>
            <w:r w:rsidRPr="008A7487">
              <w:rPr>
                <w:rFonts w:ascii="Times New Roman" w:hAnsi="Times New Roman" w:cs="Times New Roman"/>
                <w:color w:val="000000"/>
                <w:sz w:val="16"/>
                <w:szCs w:val="16"/>
                <w:lang w:val="en-GB"/>
              </w:rPr>
              <w:t>0.12</w:t>
            </w:r>
          </w:p>
        </w:tc>
        <w:tc>
          <w:tcPr>
            <w:tcW w:w="975" w:type="dxa"/>
            <w:vAlign w:val="bottom"/>
          </w:tcPr>
          <w:p w14:paraId="6BF371C1" w14:textId="77777777" w:rsidR="00B75F05" w:rsidRPr="008A7487" w:rsidRDefault="00B75F05" w:rsidP="00C21D6F">
            <w:pPr>
              <w:autoSpaceDE w:val="0"/>
              <w:autoSpaceDN w:val="0"/>
              <w:adjustRightInd w:val="0"/>
              <w:ind w:right="10"/>
              <w:rPr>
                <w:rFonts w:ascii="Times New Roman" w:hAnsi="Times New Roman" w:cs="Times New Roman"/>
                <w:color w:val="000000"/>
                <w:sz w:val="16"/>
                <w:szCs w:val="16"/>
                <w:lang w:val="en-GB"/>
              </w:rPr>
            </w:pPr>
            <w:r w:rsidRPr="008A7487">
              <w:rPr>
                <w:rFonts w:ascii="Times New Roman" w:hAnsi="Times New Roman" w:cs="Times New Roman"/>
                <w:color w:val="000000"/>
                <w:sz w:val="16"/>
                <w:szCs w:val="16"/>
                <w:lang w:val="en-GB"/>
              </w:rPr>
              <w:t>9.50***</w:t>
            </w:r>
          </w:p>
        </w:tc>
        <w:tc>
          <w:tcPr>
            <w:tcW w:w="983" w:type="dxa"/>
            <w:vAlign w:val="bottom"/>
          </w:tcPr>
          <w:p w14:paraId="755FF019" w14:textId="77777777" w:rsidR="00B75F05" w:rsidRPr="008A7487" w:rsidRDefault="00B75F05" w:rsidP="00C21D6F">
            <w:pPr>
              <w:autoSpaceDE w:val="0"/>
              <w:autoSpaceDN w:val="0"/>
              <w:adjustRightInd w:val="0"/>
              <w:ind w:right="10"/>
              <w:rPr>
                <w:rFonts w:ascii="Times New Roman" w:hAnsi="Times New Roman" w:cs="Times New Roman"/>
                <w:color w:val="000000"/>
                <w:sz w:val="16"/>
                <w:szCs w:val="16"/>
                <w:lang w:val="en-GB"/>
              </w:rPr>
            </w:pPr>
            <w:r w:rsidRPr="008A7487">
              <w:rPr>
                <w:rFonts w:ascii="Times New Roman" w:hAnsi="Times New Roman" w:cs="Times New Roman"/>
                <w:color w:val="000000"/>
                <w:sz w:val="16"/>
                <w:szCs w:val="16"/>
                <w:lang w:val="en-GB"/>
              </w:rPr>
              <w:t>0.12</w:t>
            </w:r>
          </w:p>
        </w:tc>
        <w:tc>
          <w:tcPr>
            <w:tcW w:w="977" w:type="dxa"/>
            <w:vAlign w:val="bottom"/>
          </w:tcPr>
          <w:p w14:paraId="7C8ADA00" w14:textId="77777777" w:rsidR="00B75F05" w:rsidRPr="008A7487" w:rsidRDefault="00B75F05" w:rsidP="00C21D6F">
            <w:pPr>
              <w:autoSpaceDE w:val="0"/>
              <w:autoSpaceDN w:val="0"/>
              <w:adjustRightInd w:val="0"/>
              <w:ind w:right="10"/>
              <w:rPr>
                <w:rFonts w:ascii="Times New Roman" w:hAnsi="Times New Roman" w:cs="Times New Roman"/>
                <w:color w:val="000000"/>
                <w:sz w:val="16"/>
                <w:szCs w:val="16"/>
                <w:lang w:val="en-GB"/>
              </w:rPr>
            </w:pPr>
            <w:r w:rsidRPr="008A7487">
              <w:rPr>
                <w:rFonts w:ascii="Times New Roman" w:hAnsi="Times New Roman" w:cs="Times New Roman"/>
                <w:color w:val="000000"/>
                <w:sz w:val="16"/>
                <w:szCs w:val="16"/>
                <w:lang w:val="en-GB"/>
              </w:rPr>
              <w:t>10.36***</w:t>
            </w:r>
          </w:p>
        </w:tc>
        <w:tc>
          <w:tcPr>
            <w:tcW w:w="871" w:type="dxa"/>
            <w:vAlign w:val="bottom"/>
          </w:tcPr>
          <w:p w14:paraId="75DA39FE" w14:textId="77777777" w:rsidR="00B75F05" w:rsidRPr="008A7487" w:rsidRDefault="00B75F05" w:rsidP="00C21D6F">
            <w:pPr>
              <w:autoSpaceDE w:val="0"/>
              <w:autoSpaceDN w:val="0"/>
              <w:adjustRightInd w:val="0"/>
              <w:ind w:right="10"/>
              <w:rPr>
                <w:rFonts w:ascii="Times New Roman" w:hAnsi="Times New Roman" w:cs="Times New Roman"/>
                <w:color w:val="000000"/>
                <w:sz w:val="16"/>
                <w:szCs w:val="16"/>
                <w:lang w:val="en-GB"/>
              </w:rPr>
            </w:pPr>
            <w:r w:rsidRPr="008A7487">
              <w:rPr>
                <w:rFonts w:ascii="Times New Roman" w:hAnsi="Times New Roman" w:cs="Times New Roman"/>
                <w:color w:val="000000"/>
                <w:sz w:val="16"/>
                <w:szCs w:val="16"/>
                <w:lang w:val="en-GB"/>
              </w:rPr>
              <w:t>0.09</w:t>
            </w:r>
          </w:p>
        </w:tc>
        <w:tc>
          <w:tcPr>
            <w:tcW w:w="953" w:type="dxa"/>
            <w:vAlign w:val="bottom"/>
          </w:tcPr>
          <w:p w14:paraId="4FEFB930" w14:textId="77777777" w:rsidR="00B75F05" w:rsidRPr="008A7487" w:rsidRDefault="00B75F05" w:rsidP="00C21D6F">
            <w:pPr>
              <w:autoSpaceDE w:val="0"/>
              <w:autoSpaceDN w:val="0"/>
              <w:adjustRightInd w:val="0"/>
              <w:ind w:right="10"/>
              <w:rPr>
                <w:rFonts w:ascii="Times New Roman" w:hAnsi="Times New Roman" w:cs="Times New Roman"/>
                <w:color w:val="000000"/>
                <w:sz w:val="16"/>
                <w:szCs w:val="16"/>
                <w:lang w:val="en-GB"/>
              </w:rPr>
            </w:pPr>
            <w:r w:rsidRPr="008A7487">
              <w:rPr>
                <w:rFonts w:ascii="Times New Roman" w:hAnsi="Times New Roman" w:cs="Times New Roman"/>
                <w:color w:val="000000"/>
                <w:sz w:val="16"/>
                <w:szCs w:val="16"/>
                <w:lang w:val="en-GB"/>
              </w:rPr>
              <w:t>2.27**</w:t>
            </w:r>
          </w:p>
        </w:tc>
      </w:tr>
      <w:tr w:rsidR="00B75F05" w:rsidRPr="008A7487" w14:paraId="780A6947" w14:textId="77777777" w:rsidTr="00C21D6F">
        <w:tc>
          <w:tcPr>
            <w:tcW w:w="1559" w:type="dxa"/>
          </w:tcPr>
          <w:p w14:paraId="30CEB577" w14:textId="77777777" w:rsidR="00B75F05" w:rsidRPr="008A7487" w:rsidRDefault="00B75F05" w:rsidP="00C21D6F">
            <w:pPr>
              <w:spacing w:line="480" w:lineRule="auto"/>
              <w:contextualSpacing/>
              <w:rPr>
                <w:rFonts w:ascii="Times New Roman" w:hAnsi="Times New Roman" w:cs="Times New Roman"/>
                <w:sz w:val="16"/>
                <w:szCs w:val="16"/>
              </w:rPr>
            </w:pPr>
            <w:r w:rsidRPr="008A7487">
              <w:rPr>
                <w:rFonts w:ascii="Times New Roman" w:hAnsi="Times New Roman" w:cs="Times New Roman"/>
                <w:sz w:val="16"/>
                <w:szCs w:val="16"/>
              </w:rPr>
              <w:t>CR</w:t>
            </w:r>
          </w:p>
        </w:tc>
        <w:tc>
          <w:tcPr>
            <w:tcW w:w="715" w:type="dxa"/>
            <w:vAlign w:val="bottom"/>
          </w:tcPr>
          <w:p w14:paraId="05146FA0" w14:textId="77777777" w:rsidR="00B75F05" w:rsidRPr="008A7487" w:rsidRDefault="00B75F05" w:rsidP="00C21D6F">
            <w:pPr>
              <w:autoSpaceDE w:val="0"/>
              <w:autoSpaceDN w:val="0"/>
              <w:adjustRightInd w:val="0"/>
              <w:ind w:right="10"/>
              <w:rPr>
                <w:rFonts w:ascii="Times New Roman" w:hAnsi="Times New Roman" w:cs="Times New Roman"/>
                <w:color w:val="000000"/>
                <w:sz w:val="16"/>
                <w:szCs w:val="16"/>
                <w:lang w:val="en-GB"/>
              </w:rPr>
            </w:pPr>
            <w:r w:rsidRPr="008A7487">
              <w:rPr>
                <w:rFonts w:ascii="Times New Roman" w:hAnsi="Times New Roman" w:cs="Times New Roman"/>
                <w:color w:val="000000"/>
                <w:sz w:val="16"/>
                <w:szCs w:val="16"/>
                <w:lang w:val="en-GB"/>
              </w:rPr>
              <w:t>-0.02</w:t>
            </w:r>
          </w:p>
        </w:tc>
        <w:tc>
          <w:tcPr>
            <w:tcW w:w="975" w:type="dxa"/>
            <w:vAlign w:val="bottom"/>
          </w:tcPr>
          <w:p w14:paraId="7C0AF4FC" w14:textId="77777777" w:rsidR="00B75F05" w:rsidRPr="008A7487" w:rsidRDefault="00B75F05" w:rsidP="00C21D6F">
            <w:pPr>
              <w:autoSpaceDE w:val="0"/>
              <w:autoSpaceDN w:val="0"/>
              <w:adjustRightInd w:val="0"/>
              <w:ind w:right="10"/>
              <w:rPr>
                <w:rFonts w:ascii="Times New Roman" w:hAnsi="Times New Roman" w:cs="Times New Roman"/>
                <w:color w:val="000000"/>
                <w:sz w:val="16"/>
                <w:szCs w:val="16"/>
                <w:lang w:val="en-GB"/>
              </w:rPr>
            </w:pPr>
            <w:r w:rsidRPr="008A7487">
              <w:rPr>
                <w:rFonts w:ascii="Times New Roman" w:hAnsi="Times New Roman" w:cs="Times New Roman"/>
                <w:color w:val="000000"/>
                <w:sz w:val="16"/>
                <w:szCs w:val="16"/>
                <w:lang w:val="en-GB"/>
              </w:rPr>
              <w:t>-3.11***</w:t>
            </w:r>
          </w:p>
        </w:tc>
        <w:tc>
          <w:tcPr>
            <w:tcW w:w="983" w:type="dxa"/>
            <w:vAlign w:val="bottom"/>
          </w:tcPr>
          <w:p w14:paraId="4B6559AA" w14:textId="77777777" w:rsidR="00B75F05" w:rsidRPr="008A7487" w:rsidRDefault="00B75F05" w:rsidP="00C21D6F">
            <w:pPr>
              <w:autoSpaceDE w:val="0"/>
              <w:autoSpaceDN w:val="0"/>
              <w:adjustRightInd w:val="0"/>
              <w:ind w:right="10"/>
              <w:rPr>
                <w:rFonts w:ascii="Times New Roman" w:hAnsi="Times New Roman" w:cs="Times New Roman"/>
                <w:color w:val="000000"/>
                <w:sz w:val="16"/>
                <w:szCs w:val="16"/>
                <w:lang w:val="en-GB"/>
              </w:rPr>
            </w:pPr>
            <w:r w:rsidRPr="008A7487">
              <w:rPr>
                <w:rFonts w:ascii="Times New Roman" w:hAnsi="Times New Roman" w:cs="Times New Roman"/>
                <w:color w:val="000000"/>
                <w:sz w:val="16"/>
                <w:szCs w:val="16"/>
                <w:lang w:val="en-GB"/>
              </w:rPr>
              <w:t>-0.02</w:t>
            </w:r>
          </w:p>
        </w:tc>
        <w:tc>
          <w:tcPr>
            <w:tcW w:w="977" w:type="dxa"/>
            <w:vAlign w:val="bottom"/>
          </w:tcPr>
          <w:p w14:paraId="0A2D9AD0" w14:textId="77777777" w:rsidR="00B75F05" w:rsidRPr="008A7487" w:rsidRDefault="00B75F05" w:rsidP="00C21D6F">
            <w:pPr>
              <w:autoSpaceDE w:val="0"/>
              <w:autoSpaceDN w:val="0"/>
              <w:adjustRightInd w:val="0"/>
              <w:ind w:right="10"/>
              <w:rPr>
                <w:rFonts w:ascii="Times New Roman" w:hAnsi="Times New Roman" w:cs="Times New Roman"/>
                <w:color w:val="000000"/>
                <w:sz w:val="16"/>
                <w:szCs w:val="16"/>
                <w:lang w:val="en-GB"/>
              </w:rPr>
            </w:pPr>
            <w:r w:rsidRPr="008A7487">
              <w:rPr>
                <w:rFonts w:ascii="Times New Roman" w:hAnsi="Times New Roman" w:cs="Times New Roman"/>
                <w:color w:val="000000"/>
                <w:sz w:val="16"/>
                <w:szCs w:val="16"/>
                <w:lang w:val="en-GB"/>
              </w:rPr>
              <w:t>-3.79***</w:t>
            </w:r>
          </w:p>
        </w:tc>
        <w:tc>
          <w:tcPr>
            <w:tcW w:w="871" w:type="dxa"/>
            <w:vAlign w:val="bottom"/>
          </w:tcPr>
          <w:p w14:paraId="1298DF0E" w14:textId="77777777" w:rsidR="00B75F05" w:rsidRPr="008A7487" w:rsidRDefault="00B75F05" w:rsidP="00C21D6F">
            <w:pPr>
              <w:autoSpaceDE w:val="0"/>
              <w:autoSpaceDN w:val="0"/>
              <w:adjustRightInd w:val="0"/>
              <w:ind w:right="10"/>
              <w:rPr>
                <w:rFonts w:ascii="Times New Roman" w:hAnsi="Times New Roman" w:cs="Times New Roman"/>
                <w:color w:val="000000"/>
                <w:sz w:val="16"/>
                <w:szCs w:val="16"/>
                <w:lang w:val="en-GB"/>
              </w:rPr>
            </w:pPr>
            <w:r w:rsidRPr="008A7487">
              <w:rPr>
                <w:rFonts w:ascii="Times New Roman" w:hAnsi="Times New Roman" w:cs="Times New Roman"/>
                <w:color w:val="000000"/>
                <w:sz w:val="16"/>
                <w:szCs w:val="16"/>
                <w:lang w:val="en-GB"/>
              </w:rPr>
              <w:t>0.01</w:t>
            </w:r>
          </w:p>
        </w:tc>
        <w:tc>
          <w:tcPr>
            <w:tcW w:w="953" w:type="dxa"/>
            <w:vAlign w:val="bottom"/>
          </w:tcPr>
          <w:p w14:paraId="0DB1C620" w14:textId="77777777" w:rsidR="00B75F05" w:rsidRPr="008A7487" w:rsidRDefault="00B75F05" w:rsidP="00C21D6F">
            <w:pPr>
              <w:autoSpaceDE w:val="0"/>
              <w:autoSpaceDN w:val="0"/>
              <w:adjustRightInd w:val="0"/>
              <w:ind w:right="10"/>
              <w:rPr>
                <w:rFonts w:ascii="Times New Roman" w:hAnsi="Times New Roman" w:cs="Times New Roman"/>
                <w:color w:val="000000"/>
                <w:sz w:val="16"/>
                <w:szCs w:val="16"/>
                <w:lang w:val="en-GB"/>
              </w:rPr>
            </w:pPr>
            <w:r w:rsidRPr="008A7487">
              <w:rPr>
                <w:rFonts w:ascii="Times New Roman" w:hAnsi="Times New Roman" w:cs="Times New Roman"/>
                <w:color w:val="000000"/>
                <w:sz w:val="16"/>
                <w:szCs w:val="16"/>
                <w:lang w:val="en-GB"/>
              </w:rPr>
              <w:t>0.81</w:t>
            </w:r>
          </w:p>
        </w:tc>
      </w:tr>
      <w:tr w:rsidR="00B75F05" w:rsidRPr="008A7487" w14:paraId="6D472A1C" w14:textId="77777777" w:rsidTr="00C21D6F">
        <w:tc>
          <w:tcPr>
            <w:tcW w:w="1559" w:type="dxa"/>
          </w:tcPr>
          <w:p w14:paraId="4275B6B7" w14:textId="77777777" w:rsidR="00B75F05" w:rsidRPr="008A7487" w:rsidRDefault="00B75F05" w:rsidP="00C21D6F">
            <w:pPr>
              <w:spacing w:line="480" w:lineRule="auto"/>
              <w:contextualSpacing/>
              <w:rPr>
                <w:rFonts w:ascii="Times New Roman" w:hAnsi="Times New Roman" w:cs="Times New Roman"/>
                <w:sz w:val="16"/>
                <w:szCs w:val="16"/>
              </w:rPr>
            </w:pPr>
            <w:r w:rsidRPr="008A7487">
              <w:rPr>
                <w:rFonts w:ascii="Times New Roman" w:hAnsi="Times New Roman" w:cs="Times New Roman"/>
                <w:sz w:val="16"/>
                <w:szCs w:val="16"/>
              </w:rPr>
              <w:t>CM</w:t>
            </w:r>
          </w:p>
        </w:tc>
        <w:tc>
          <w:tcPr>
            <w:tcW w:w="715" w:type="dxa"/>
            <w:vAlign w:val="bottom"/>
          </w:tcPr>
          <w:p w14:paraId="38EF4FF1" w14:textId="77777777" w:rsidR="00B75F05" w:rsidRPr="008A7487" w:rsidRDefault="00B75F05" w:rsidP="00C21D6F">
            <w:pPr>
              <w:autoSpaceDE w:val="0"/>
              <w:autoSpaceDN w:val="0"/>
              <w:adjustRightInd w:val="0"/>
              <w:ind w:right="10"/>
              <w:rPr>
                <w:rFonts w:ascii="Times New Roman" w:hAnsi="Times New Roman" w:cs="Times New Roman"/>
                <w:color w:val="000000"/>
                <w:sz w:val="16"/>
                <w:szCs w:val="16"/>
                <w:lang w:val="en-GB"/>
              </w:rPr>
            </w:pPr>
            <w:r w:rsidRPr="008A7487">
              <w:rPr>
                <w:rFonts w:ascii="Times New Roman" w:hAnsi="Times New Roman" w:cs="Times New Roman"/>
                <w:color w:val="000000"/>
                <w:sz w:val="16"/>
                <w:szCs w:val="16"/>
                <w:lang w:val="en-GB"/>
              </w:rPr>
              <w:t>-0.04</w:t>
            </w:r>
          </w:p>
        </w:tc>
        <w:tc>
          <w:tcPr>
            <w:tcW w:w="975" w:type="dxa"/>
            <w:vAlign w:val="bottom"/>
          </w:tcPr>
          <w:p w14:paraId="4FDA92A3" w14:textId="77777777" w:rsidR="00B75F05" w:rsidRPr="008A7487" w:rsidRDefault="00B75F05" w:rsidP="00C21D6F">
            <w:pPr>
              <w:autoSpaceDE w:val="0"/>
              <w:autoSpaceDN w:val="0"/>
              <w:adjustRightInd w:val="0"/>
              <w:ind w:right="10"/>
              <w:rPr>
                <w:rFonts w:ascii="Times New Roman" w:hAnsi="Times New Roman" w:cs="Times New Roman"/>
                <w:color w:val="000000"/>
                <w:sz w:val="16"/>
                <w:szCs w:val="16"/>
                <w:lang w:val="en-GB"/>
              </w:rPr>
            </w:pPr>
            <w:r w:rsidRPr="008A7487">
              <w:rPr>
                <w:rFonts w:ascii="Times New Roman" w:hAnsi="Times New Roman" w:cs="Times New Roman"/>
                <w:color w:val="000000"/>
                <w:sz w:val="16"/>
                <w:szCs w:val="16"/>
                <w:lang w:val="en-GB"/>
              </w:rPr>
              <w:t>-17.63***</w:t>
            </w:r>
          </w:p>
        </w:tc>
        <w:tc>
          <w:tcPr>
            <w:tcW w:w="983" w:type="dxa"/>
            <w:vAlign w:val="bottom"/>
          </w:tcPr>
          <w:p w14:paraId="0F385900" w14:textId="77777777" w:rsidR="00B75F05" w:rsidRPr="008A7487" w:rsidRDefault="00B75F05" w:rsidP="00C21D6F">
            <w:pPr>
              <w:autoSpaceDE w:val="0"/>
              <w:autoSpaceDN w:val="0"/>
              <w:adjustRightInd w:val="0"/>
              <w:ind w:right="10"/>
              <w:rPr>
                <w:rFonts w:ascii="Times New Roman" w:hAnsi="Times New Roman" w:cs="Times New Roman"/>
                <w:color w:val="000000"/>
                <w:sz w:val="16"/>
                <w:szCs w:val="16"/>
                <w:lang w:val="en-GB"/>
              </w:rPr>
            </w:pPr>
            <w:r w:rsidRPr="008A7487">
              <w:rPr>
                <w:rFonts w:ascii="Times New Roman" w:hAnsi="Times New Roman" w:cs="Times New Roman"/>
                <w:color w:val="000000"/>
                <w:sz w:val="16"/>
                <w:szCs w:val="16"/>
                <w:lang w:val="en-GB"/>
              </w:rPr>
              <w:t>-0.04</w:t>
            </w:r>
          </w:p>
        </w:tc>
        <w:tc>
          <w:tcPr>
            <w:tcW w:w="977" w:type="dxa"/>
            <w:vAlign w:val="bottom"/>
          </w:tcPr>
          <w:p w14:paraId="7FBB0A0C" w14:textId="77777777" w:rsidR="00B75F05" w:rsidRPr="008A7487" w:rsidRDefault="00B75F05" w:rsidP="00C21D6F">
            <w:pPr>
              <w:autoSpaceDE w:val="0"/>
              <w:autoSpaceDN w:val="0"/>
              <w:adjustRightInd w:val="0"/>
              <w:ind w:right="10"/>
              <w:rPr>
                <w:rFonts w:ascii="Times New Roman" w:hAnsi="Times New Roman" w:cs="Times New Roman"/>
                <w:color w:val="000000"/>
                <w:sz w:val="16"/>
                <w:szCs w:val="16"/>
                <w:lang w:val="en-GB"/>
              </w:rPr>
            </w:pPr>
            <w:r w:rsidRPr="008A7487">
              <w:rPr>
                <w:rFonts w:ascii="Times New Roman" w:hAnsi="Times New Roman" w:cs="Times New Roman"/>
                <w:color w:val="000000"/>
                <w:sz w:val="16"/>
                <w:szCs w:val="16"/>
                <w:lang w:val="en-GB"/>
              </w:rPr>
              <w:t>-20.05***</w:t>
            </w:r>
          </w:p>
        </w:tc>
        <w:tc>
          <w:tcPr>
            <w:tcW w:w="871" w:type="dxa"/>
            <w:vAlign w:val="bottom"/>
          </w:tcPr>
          <w:p w14:paraId="457D5F47" w14:textId="77777777" w:rsidR="00B75F05" w:rsidRPr="008A7487" w:rsidRDefault="00B75F05" w:rsidP="00C21D6F">
            <w:pPr>
              <w:autoSpaceDE w:val="0"/>
              <w:autoSpaceDN w:val="0"/>
              <w:adjustRightInd w:val="0"/>
              <w:ind w:right="10"/>
              <w:rPr>
                <w:rFonts w:ascii="Times New Roman" w:hAnsi="Times New Roman" w:cs="Times New Roman"/>
                <w:color w:val="000000"/>
                <w:sz w:val="16"/>
                <w:szCs w:val="16"/>
                <w:lang w:val="en-GB"/>
              </w:rPr>
            </w:pPr>
            <w:r w:rsidRPr="008A7487">
              <w:rPr>
                <w:rFonts w:ascii="Times New Roman" w:hAnsi="Times New Roman" w:cs="Times New Roman"/>
                <w:color w:val="000000"/>
                <w:sz w:val="16"/>
                <w:szCs w:val="16"/>
                <w:lang w:val="en-GB"/>
              </w:rPr>
              <w:t>-0.05</w:t>
            </w:r>
          </w:p>
        </w:tc>
        <w:tc>
          <w:tcPr>
            <w:tcW w:w="953" w:type="dxa"/>
            <w:vAlign w:val="bottom"/>
          </w:tcPr>
          <w:p w14:paraId="75BCF670" w14:textId="77777777" w:rsidR="00B75F05" w:rsidRPr="008A7487" w:rsidRDefault="00B75F05" w:rsidP="00C21D6F">
            <w:pPr>
              <w:autoSpaceDE w:val="0"/>
              <w:autoSpaceDN w:val="0"/>
              <w:adjustRightInd w:val="0"/>
              <w:ind w:right="10"/>
              <w:rPr>
                <w:rFonts w:ascii="Times New Roman" w:hAnsi="Times New Roman" w:cs="Times New Roman"/>
                <w:color w:val="000000"/>
                <w:sz w:val="16"/>
                <w:szCs w:val="16"/>
                <w:lang w:val="en-GB"/>
              </w:rPr>
            </w:pPr>
            <w:r w:rsidRPr="008A7487">
              <w:rPr>
                <w:rFonts w:ascii="Times New Roman" w:hAnsi="Times New Roman" w:cs="Times New Roman"/>
                <w:color w:val="000000"/>
                <w:sz w:val="16"/>
                <w:szCs w:val="16"/>
                <w:lang w:val="en-GB"/>
              </w:rPr>
              <w:t>-7.36***</w:t>
            </w:r>
          </w:p>
        </w:tc>
      </w:tr>
      <w:tr w:rsidR="00B75F05" w:rsidRPr="008A7487" w14:paraId="7AAD4D1E" w14:textId="77777777" w:rsidTr="00C21D6F">
        <w:tc>
          <w:tcPr>
            <w:tcW w:w="1559" w:type="dxa"/>
          </w:tcPr>
          <w:p w14:paraId="5E276516" w14:textId="77777777" w:rsidR="00B75F05" w:rsidRPr="008A7487" w:rsidRDefault="00B75F05" w:rsidP="00C21D6F">
            <w:pPr>
              <w:spacing w:line="480" w:lineRule="auto"/>
              <w:contextualSpacing/>
              <w:rPr>
                <w:rFonts w:ascii="Times New Roman" w:hAnsi="Times New Roman" w:cs="Times New Roman"/>
                <w:sz w:val="16"/>
                <w:szCs w:val="16"/>
              </w:rPr>
            </w:pPr>
            <w:r w:rsidRPr="008A7487">
              <w:rPr>
                <w:rFonts w:ascii="Times New Roman" w:hAnsi="Times New Roman" w:cs="Times New Roman"/>
                <w:sz w:val="16"/>
                <w:szCs w:val="16"/>
              </w:rPr>
              <w:t>LQ</w:t>
            </w:r>
          </w:p>
        </w:tc>
        <w:tc>
          <w:tcPr>
            <w:tcW w:w="715" w:type="dxa"/>
            <w:vAlign w:val="bottom"/>
          </w:tcPr>
          <w:p w14:paraId="285DF302" w14:textId="77777777" w:rsidR="00B75F05" w:rsidRPr="008A7487" w:rsidRDefault="00B75F05" w:rsidP="00C21D6F">
            <w:pPr>
              <w:autoSpaceDE w:val="0"/>
              <w:autoSpaceDN w:val="0"/>
              <w:adjustRightInd w:val="0"/>
              <w:ind w:right="10"/>
              <w:rPr>
                <w:rFonts w:ascii="Times New Roman" w:hAnsi="Times New Roman" w:cs="Times New Roman"/>
                <w:color w:val="000000"/>
                <w:sz w:val="16"/>
                <w:szCs w:val="16"/>
                <w:lang w:val="en-GB"/>
              </w:rPr>
            </w:pPr>
            <w:r w:rsidRPr="008A7487">
              <w:rPr>
                <w:rFonts w:ascii="Times New Roman" w:hAnsi="Times New Roman" w:cs="Times New Roman"/>
                <w:color w:val="000000"/>
                <w:sz w:val="16"/>
                <w:szCs w:val="16"/>
                <w:lang w:val="en-GB"/>
              </w:rPr>
              <w:t>-0.01</w:t>
            </w:r>
          </w:p>
        </w:tc>
        <w:tc>
          <w:tcPr>
            <w:tcW w:w="975" w:type="dxa"/>
            <w:vAlign w:val="bottom"/>
          </w:tcPr>
          <w:p w14:paraId="37404A6D" w14:textId="77777777" w:rsidR="00B75F05" w:rsidRPr="008A7487" w:rsidRDefault="00B75F05" w:rsidP="00C21D6F">
            <w:pPr>
              <w:autoSpaceDE w:val="0"/>
              <w:autoSpaceDN w:val="0"/>
              <w:adjustRightInd w:val="0"/>
              <w:ind w:right="10"/>
              <w:rPr>
                <w:rFonts w:ascii="Times New Roman" w:hAnsi="Times New Roman" w:cs="Times New Roman"/>
                <w:color w:val="000000"/>
                <w:sz w:val="16"/>
                <w:szCs w:val="16"/>
                <w:lang w:val="en-GB"/>
              </w:rPr>
            </w:pPr>
            <w:r w:rsidRPr="008A7487">
              <w:rPr>
                <w:rFonts w:ascii="Times New Roman" w:hAnsi="Times New Roman" w:cs="Times New Roman"/>
                <w:color w:val="000000"/>
                <w:sz w:val="16"/>
                <w:szCs w:val="16"/>
                <w:lang w:val="en-GB"/>
              </w:rPr>
              <w:t>-3.55***</w:t>
            </w:r>
          </w:p>
        </w:tc>
        <w:tc>
          <w:tcPr>
            <w:tcW w:w="983" w:type="dxa"/>
            <w:vAlign w:val="bottom"/>
          </w:tcPr>
          <w:p w14:paraId="38740201" w14:textId="77777777" w:rsidR="00B75F05" w:rsidRPr="008A7487" w:rsidRDefault="00B75F05" w:rsidP="00C21D6F">
            <w:pPr>
              <w:autoSpaceDE w:val="0"/>
              <w:autoSpaceDN w:val="0"/>
              <w:adjustRightInd w:val="0"/>
              <w:ind w:right="10"/>
              <w:rPr>
                <w:rFonts w:ascii="Times New Roman" w:hAnsi="Times New Roman" w:cs="Times New Roman"/>
                <w:color w:val="000000"/>
                <w:sz w:val="16"/>
                <w:szCs w:val="16"/>
                <w:lang w:val="en-GB"/>
              </w:rPr>
            </w:pPr>
            <w:r w:rsidRPr="008A7487">
              <w:rPr>
                <w:rFonts w:ascii="Times New Roman" w:hAnsi="Times New Roman" w:cs="Times New Roman"/>
                <w:color w:val="000000"/>
                <w:sz w:val="16"/>
                <w:szCs w:val="16"/>
                <w:lang w:val="en-GB"/>
              </w:rPr>
              <w:t>-0.01</w:t>
            </w:r>
          </w:p>
        </w:tc>
        <w:tc>
          <w:tcPr>
            <w:tcW w:w="977" w:type="dxa"/>
            <w:vAlign w:val="bottom"/>
          </w:tcPr>
          <w:p w14:paraId="557DA200" w14:textId="77777777" w:rsidR="00B75F05" w:rsidRPr="008A7487" w:rsidRDefault="00B75F05" w:rsidP="00C21D6F">
            <w:pPr>
              <w:autoSpaceDE w:val="0"/>
              <w:autoSpaceDN w:val="0"/>
              <w:adjustRightInd w:val="0"/>
              <w:ind w:right="10"/>
              <w:rPr>
                <w:rFonts w:ascii="Times New Roman" w:hAnsi="Times New Roman" w:cs="Times New Roman"/>
                <w:color w:val="000000"/>
                <w:sz w:val="16"/>
                <w:szCs w:val="16"/>
                <w:lang w:val="en-GB"/>
              </w:rPr>
            </w:pPr>
            <w:r w:rsidRPr="008A7487">
              <w:rPr>
                <w:rFonts w:ascii="Times New Roman" w:hAnsi="Times New Roman" w:cs="Times New Roman"/>
                <w:color w:val="000000"/>
                <w:sz w:val="16"/>
                <w:szCs w:val="16"/>
                <w:lang w:val="en-GB"/>
              </w:rPr>
              <w:t>-3.44***</w:t>
            </w:r>
          </w:p>
        </w:tc>
        <w:tc>
          <w:tcPr>
            <w:tcW w:w="871" w:type="dxa"/>
            <w:vAlign w:val="bottom"/>
          </w:tcPr>
          <w:p w14:paraId="4FBCB856" w14:textId="77777777" w:rsidR="00B75F05" w:rsidRPr="008A7487" w:rsidRDefault="00B75F05" w:rsidP="00C21D6F">
            <w:pPr>
              <w:autoSpaceDE w:val="0"/>
              <w:autoSpaceDN w:val="0"/>
              <w:adjustRightInd w:val="0"/>
              <w:ind w:right="10"/>
              <w:rPr>
                <w:rFonts w:ascii="Times New Roman" w:hAnsi="Times New Roman" w:cs="Times New Roman"/>
                <w:color w:val="000000"/>
                <w:sz w:val="16"/>
                <w:szCs w:val="16"/>
                <w:lang w:val="en-GB"/>
              </w:rPr>
            </w:pPr>
            <w:r w:rsidRPr="008A7487">
              <w:rPr>
                <w:rFonts w:ascii="Times New Roman" w:hAnsi="Times New Roman" w:cs="Times New Roman"/>
                <w:color w:val="000000"/>
                <w:sz w:val="16"/>
                <w:szCs w:val="16"/>
                <w:lang w:val="en-GB"/>
              </w:rPr>
              <w:t>0.04</w:t>
            </w:r>
          </w:p>
        </w:tc>
        <w:tc>
          <w:tcPr>
            <w:tcW w:w="953" w:type="dxa"/>
            <w:vAlign w:val="bottom"/>
          </w:tcPr>
          <w:p w14:paraId="15F88905" w14:textId="77777777" w:rsidR="00B75F05" w:rsidRPr="008A7487" w:rsidRDefault="00B75F05" w:rsidP="00C21D6F">
            <w:pPr>
              <w:autoSpaceDE w:val="0"/>
              <w:autoSpaceDN w:val="0"/>
              <w:adjustRightInd w:val="0"/>
              <w:ind w:right="10"/>
              <w:rPr>
                <w:rFonts w:ascii="Times New Roman" w:hAnsi="Times New Roman" w:cs="Times New Roman"/>
                <w:color w:val="000000"/>
                <w:sz w:val="16"/>
                <w:szCs w:val="16"/>
                <w:lang w:val="en-GB"/>
              </w:rPr>
            </w:pPr>
            <w:r w:rsidRPr="008A7487">
              <w:rPr>
                <w:rFonts w:ascii="Times New Roman" w:hAnsi="Times New Roman" w:cs="Times New Roman"/>
                <w:color w:val="000000"/>
                <w:sz w:val="16"/>
                <w:szCs w:val="16"/>
                <w:lang w:val="en-GB"/>
              </w:rPr>
              <w:t>4.22***</w:t>
            </w:r>
          </w:p>
        </w:tc>
      </w:tr>
      <w:tr w:rsidR="00B75F05" w:rsidRPr="008A7487" w14:paraId="586EFF63" w14:textId="77777777" w:rsidTr="00C21D6F">
        <w:tc>
          <w:tcPr>
            <w:tcW w:w="1559" w:type="dxa"/>
          </w:tcPr>
          <w:p w14:paraId="657482F7" w14:textId="77777777" w:rsidR="00B75F05" w:rsidRPr="008A7487" w:rsidRDefault="00B75F05" w:rsidP="00C21D6F">
            <w:pPr>
              <w:spacing w:line="480" w:lineRule="auto"/>
              <w:contextualSpacing/>
              <w:rPr>
                <w:rFonts w:ascii="Times New Roman" w:hAnsi="Times New Roman" w:cs="Times New Roman"/>
                <w:sz w:val="16"/>
                <w:szCs w:val="16"/>
              </w:rPr>
            </w:pPr>
            <w:r w:rsidRPr="008A7487">
              <w:rPr>
                <w:rFonts w:ascii="Times New Roman" w:hAnsi="Times New Roman" w:cs="Times New Roman"/>
                <w:sz w:val="16"/>
                <w:szCs w:val="16"/>
              </w:rPr>
              <w:t>MP</w:t>
            </w:r>
          </w:p>
        </w:tc>
        <w:tc>
          <w:tcPr>
            <w:tcW w:w="715" w:type="dxa"/>
            <w:vAlign w:val="bottom"/>
          </w:tcPr>
          <w:p w14:paraId="41D11C5D" w14:textId="77777777" w:rsidR="00B75F05" w:rsidRPr="008A7487" w:rsidRDefault="00B75F05" w:rsidP="00C21D6F">
            <w:pPr>
              <w:autoSpaceDE w:val="0"/>
              <w:autoSpaceDN w:val="0"/>
              <w:adjustRightInd w:val="0"/>
              <w:ind w:right="10"/>
              <w:rPr>
                <w:rFonts w:ascii="Times New Roman" w:hAnsi="Times New Roman" w:cs="Times New Roman"/>
                <w:color w:val="000000"/>
                <w:sz w:val="16"/>
                <w:szCs w:val="16"/>
                <w:lang w:val="en-GB"/>
              </w:rPr>
            </w:pPr>
            <w:r w:rsidRPr="008A7487">
              <w:rPr>
                <w:rFonts w:ascii="Times New Roman" w:hAnsi="Times New Roman" w:cs="Times New Roman"/>
                <w:color w:val="000000"/>
                <w:sz w:val="16"/>
                <w:szCs w:val="16"/>
                <w:lang w:val="en-GB"/>
              </w:rPr>
              <w:t>-1.54</w:t>
            </w:r>
          </w:p>
        </w:tc>
        <w:tc>
          <w:tcPr>
            <w:tcW w:w="975" w:type="dxa"/>
            <w:vAlign w:val="bottom"/>
          </w:tcPr>
          <w:p w14:paraId="0E3A0570" w14:textId="77777777" w:rsidR="00B75F05" w:rsidRPr="008A7487" w:rsidRDefault="00B75F05" w:rsidP="00C21D6F">
            <w:pPr>
              <w:autoSpaceDE w:val="0"/>
              <w:autoSpaceDN w:val="0"/>
              <w:adjustRightInd w:val="0"/>
              <w:ind w:right="10"/>
              <w:rPr>
                <w:rFonts w:ascii="Times New Roman" w:hAnsi="Times New Roman" w:cs="Times New Roman"/>
                <w:color w:val="000000"/>
                <w:sz w:val="16"/>
                <w:szCs w:val="16"/>
                <w:lang w:val="en-GB"/>
              </w:rPr>
            </w:pPr>
            <w:r w:rsidRPr="008A7487">
              <w:rPr>
                <w:rFonts w:ascii="Times New Roman" w:hAnsi="Times New Roman" w:cs="Times New Roman"/>
                <w:color w:val="000000"/>
                <w:sz w:val="16"/>
                <w:szCs w:val="16"/>
                <w:lang w:val="en-GB"/>
              </w:rPr>
              <w:t>-0.35</w:t>
            </w:r>
          </w:p>
        </w:tc>
        <w:tc>
          <w:tcPr>
            <w:tcW w:w="983" w:type="dxa"/>
            <w:vAlign w:val="bottom"/>
          </w:tcPr>
          <w:p w14:paraId="62EF5182" w14:textId="77777777" w:rsidR="00B75F05" w:rsidRPr="008A7487" w:rsidRDefault="00B75F05" w:rsidP="00C21D6F">
            <w:pPr>
              <w:autoSpaceDE w:val="0"/>
              <w:autoSpaceDN w:val="0"/>
              <w:adjustRightInd w:val="0"/>
              <w:ind w:right="10"/>
              <w:rPr>
                <w:rFonts w:ascii="Times New Roman" w:hAnsi="Times New Roman" w:cs="Times New Roman"/>
                <w:color w:val="000000"/>
                <w:sz w:val="16"/>
                <w:szCs w:val="16"/>
                <w:lang w:val="en-GB"/>
              </w:rPr>
            </w:pPr>
            <w:r w:rsidRPr="008A7487">
              <w:rPr>
                <w:rFonts w:ascii="Times New Roman" w:hAnsi="Times New Roman" w:cs="Times New Roman"/>
                <w:color w:val="000000"/>
                <w:sz w:val="16"/>
                <w:szCs w:val="16"/>
                <w:lang w:val="en-GB"/>
              </w:rPr>
              <w:t>-1.43</w:t>
            </w:r>
          </w:p>
        </w:tc>
        <w:tc>
          <w:tcPr>
            <w:tcW w:w="977" w:type="dxa"/>
            <w:vAlign w:val="bottom"/>
          </w:tcPr>
          <w:p w14:paraId="1216CE6F" w14:textId="77777777" w:rsidR="00B75F05" w:rsidRPr="008A7487" w:rsidRDefault="00B75F05" w:rsidP="00C21D6F">
            <w:pPr>
              <w:autoSpaceDE w:val="0"/>
              <w:autoSpaceDN w:val="0"/>
              <w:adjustRightInd w:val="0"/>
              <w:ind w:right="10"/>
              <w:rPr>
                <w:rFonts w:ascii="Times New Roman" w:hAnsi="Times New Roman" w:cs="Times New Roman"/>
                <w:color w:val="000000"/>
                <w:sz w:val="16"/>
                <w:szCs w:val="16"/>
                <w:lang w:val="en-GB"/>
              </w:rPr>
            </w:pPr>
            <w:r w:rsidRPr="008A7487">
              <w:rPr>
                <w:rFonts w:ascii="Times New Roman" w:hAnsi="Times New Roman" w:cs="Times New Roman"/>
                <w:color w:val="000000"/>
                <w:sz w:val="16"/>
                <w:szCs w:val="16"/>
                <w:lang w:val="en-GB"/>
              </w:rPr>
              <w:t>-0.39</w:t>
            </w:r>
          </w:p>
        </w:tc>
        <w:tc>
          <w:tcPr>
            <w:tcW w:w="871" w:type="dxa"/>
            <w:vAlign w:val="bottom"/>
          </w:tcPr>
          <w:p w14:paraId="0FFA2283" w14:textId="77777777" w:rsidR="00B75F05" w:rsidRPr="008A7487" w:rsidRDefault="00B75F05" w:rsidP="00C21D6F">
            <w:pPr>
              <w:autoSpaceDE w:val="0"/>
              <w:autoSpaceDN w:val="0"/>
              <w:adjustRightInd w:val="0"/>
              <w:ind w:right="10"/>
              <w:rPr>
                <w:rFonts w:ascii="Times New Roman" w:hAnsi="Times New Roman" w:cs="Times New Roman"/>
                <w:color w:val="000000"/>
                <w:sz w:val="16"/>
                <w:szCs w:val="16"/>
                <w:lang w:val="en-GB"/>
              </w:rPr>
            </w:pPr>
            <w:r w:rsidRPr="008A7487">
              <w:rPr>
                <w:rFonts w:ascii="Times New Roman" w:hAnsi="Times New Roman" w:cs="Times New Roman"/>
                <w:color w:val="000000"/>
                <w:sz w:val="16"/>
                <w:szCs w:val="16"/>
                <w:lang w:val="en-GB"/>
              </w:rPr>
              <w:t>2.46</w:t>
            </w:r>
          </w:p>
        </w:tc>
        <w:tc>
          <w:tcPr>
            <w:tcW w:w="953" w:type="dxa"/>
            <w:vAlign w:val="bottom"/>
          </w:tcPr>
          <w:p w14:paraId="0A0AB92F" w14:textId="77777777" w:rsidR="00B75F05" w:rsidRPr="008A7487" w:rsidRDefault="00B75F05" w:rsidP="00C21D6F">
            <w:pPr>
              <w:autoSpaceDE w:val="0"/>
              <w:autoSpaceDN w:val="0"/>
              <w:adjustRightInd w:val="0"/>
              <w:ind w:right="10"/>
              <w:rPr>
                <w:rFonts w:ascii="Times New Roman" w:hAnsi="Times New Roman" w:cs="Times New Roman"/>
                <w:color w:val="000000"/>
                <w:sz w:val="16"/>
                <w:szCs w:val="16"/>
                <w:lang w:val="en-GB"/>
              </w:rPr>
            </w:pPr>
            <w:r w:rsidRPr="008A7487">
              <w:rPr>
                <w:rFonts w:ascii="Times New Roman" w:hAnsi="Times New Roman" w:cs="Times New Roman"/>
                <w:color w:val="000000"/>
                <w:sz w:val="16"/>
                <w:szCs w:val="16"/>
                <w:lang w:val="en-GB"/>
              </w:rPr>
              <w:t>2.72***</w:t>
            </w:r>
          </w:p>
        </w:tc>
      </w:tr>
      <w:tr w:rsidR="00B75F05" w:rsidRPr="008A7487" w14:paraId="71ABBC27" w14:textId="77777777" w:rsidTr="00C21D6F">
        <w:tc>
          <w:tcPr>
            <w:tcW w:w="1559" w:type="dxa"/>
          </w:tcPr>
          <w:p w14:paraId="35486576" w14:textId="77777777" w:rsidR="00B75F05" w:rsidRPr="008A7487" w:rsidRDefault="00B75F05" w:rsidP="00C21D6F">
            <w:pPr>
              <w:spacing w:line="480" w:lineRule="auto"/>
              <w:contextualSpacing/>
              <w:rPr>
                <w:rFonts w:ascii="Times New Roman" w:hAnsi="Times New Roman" w:cs="Times New Roman"/>
                <w:sz w:val="16"/>
                <w:szCs w:val="16"/>
              </w:rPr>
            </w:pPr>
            <w:r w:rsidRPr="008A7487">
              <w:rPr>
                <w:rFonts w:ascii="Times New Roman" w:hAnsi="Times New Roman" w:cs="Times New Roman"/>
                <w:sz w:val="16"/>
                <w:szCs w:val="16"/>
              </w:rPr>
              <w:t>ΔGDP</w:t>
            </w:r>
          </w:p>
        </w:tc>
        <w:tc>
          <w:tcPr>
            <w:tcW w:w="715" w:type="dxa"/>
            <w:vAlign w:val="bottom"/>
          </w:tcPr>
          <w:p w14:paraId="35693A4E" w14:textId="77777777" w:rsidR="00B75F05" w:rsidRPr="008A7487" w:rsidRDefault="00B75F05" w:rsidP="00C21D6F">
            <w:pPr>
              <w:autoSpaceDE w:val="0"/>
              <w:autoSpaceDN w:val="0"/>
              <w:adjustRightInd w:val="0"/>
              <w:ind w:right="11"/>
              <w:rPr>
                <w:rFonts w:ascii="Times New Roman" w:hAnsi="Times New Roman" w:cs="Times New Roman"/>
                <w:color w:val="000000"/>
                <w:sz w:val="16"/>
                <w:szCs w:val="16"/>
                <w:lang w:val="en-GB"/>
              </w:rPr>
            </w:pPr>
            <w:r w:rsidRPr="008A7487">
              <w:rPr>
                <w:rFonts w:ascii="Times New Roman" w:hAnsi="Times New Roman" w:cs="Times New Roman"/>
                <w:color w:val="000000"/>
                <w:sz w:val="16"/>
                <w:szCs w:val="16"/>
                <w:lang w:val="en-GB"/>
              </w:rPr>
              <w:t>0.06</w:t>
            </w:r>
          </w:p>
        </w:tc>
        <w:tc>
          <w:tcPr>
            <w:tcW w:w="975" w:type="dxa"/>
            <w:vAlign w:val="bottom"/>
          </w:tcPr>
          <w:p w14:paraId="20EEA565" w14:textId="77777777" w:rsidR="00B75F05" w:rsidRPr="008A7487" w:rsidRDefault="00B75F05" w:rsidP="00C21D6F">
            <w:pPr>
              <w:autoSpaceDE w:val="0"/>
              <w:autoSpaceDN w:val="0"/>
              <w:adjustRightInd w:val="0"/>
              <w:ind w:right="11"/>
              <w:rPr>
                <w:rFonts w:ascii="Times New Roman" w:hAnsi="Times New Roman" w:cs="Times New Roman"/>
                <w:color w:val="000000"/>
                <w:sz w:val="16"/>
                <w:szCs w:val="16"/>
                <w:lang w:val="en-GB"/>
              </w:rPr>
            </w:pPr>
            <w:r w:rsidRPr="008A7487">
              <w:rPr>
                <w:rFonts w:ascii="Times New Roman" w:hAnsi="Times New Roman" w:cs="Times New Roman"/>
                <w:color w:val="000000"/>
                <w:sz w:val="16"/>
                <w:szCs w:val="16"/>
                <w:lang w:val="en-GB"/>
              </w:rPr>
              <w:t>0.39</w:t>
            </w:r>
          </w:p>
        </w:tc>
        <w:tc>
          <w:tcPr>
            <w:tcW w:w="983" w:type="dxa"/>
            <w:vAlign w:val="bottom"/>
          </w:tcPr>
          <w:p w14:paraId="7E4BCC1C" w14:textId="77777777" w:rsidR="00B75F05" w:rsidRPr="008A7487" w:rsidRDefault="00B75F05" w:rsidP="00C21D6F">
            <w:pPr>
              <w:autoSpaceDE w:val="0"/>
              <w:autoSpaceDN w:val="0"/>
              <w:adjustRightInd w:val="0"/>
              <w:ind w:right="11"/>
              <w:rPr>
                <w:rFonts w:ascii="Times New Roman" w:hAnsi="Times New Roman" w:cs="Times New Roman"/>
                <w:color w:val="000000"/>
                <w:sz w:val="16"/>
                <w:szCs w:val="16"/>
                <w:lang w:val="en-GB"/>
              </w:rPr>
            </w:pPr>
            <w:r w:rsidRPr="008A7487">
              <w:rPr>
                <w:rFonts w:ascii="Times New Roman" w:hAnsi="Times New Roman" w:cs="Times New Roman"/>
                <w:color w:val="000000"/>
                <w:sz w:val="16"/>
                <w:szCs w:val="16"/>
                <w:lang w:val="en-GB"/>
              </w:rPr>
              <w:t>-0.01</w:t>
            </w:r>
          </w:p>
        </w:tc>
        <w:tc>
          <w:tcPr>
            <w:tcW w:w="977" w:type="dxa"/>
            <w:vAlign w:val="bottom"/>
          </w:tcPr>
          <w:p w14:paraId="3CE245C2" w14:textId="77777777" w:rsidR="00B75F05" w:rsidRPr="008A7487" w:rsidRDefault="00B75F05" w:rsidP="00C21D6F">
            <w:pPr>
              <w:autoSpaceDE w:val="0"/>
              <w:autoSpaceDN w:val="0"/>
              <w:adjustRightInd w:val="0"/>
              <w:ind w:right="11"/>
              <w:rPr>
                <w:rFonts w:ascii="Times New Roman" w:hAnsi="Times New Roman" w:cs="Times New Roman"/>
                <w:color w:val="000000"/>
                <w:sz w:val="16"/>
                <w:szCs w:val="16"/>
                <w:lang w:val="en-GB"/>
              </w:rPr>
            </w:pPr>
            <w:r w:rsidRPr="008A7487">
              <w:rPr>
                <w:rFonts w:ascii="Times New Roman" w:hAnsi="Times New Roman" w:cs="Times New Roman"/>
                <w:color w:val="000000"/>
                <w:sz w:val="16"/>
                <w:szCs w:val="16"/>
                <w:lang w:val="en-GB"/>
              </w:rPr>
              <w:t>-0.07</w:t>
            </w:r>
          </w:p>
        </w:tc>
        <w:tc>
          <w:tcPr>
            <w:tcW w:w="871" w:type="dxa"/>
            <w:vAlign w:val="bottom"/>
          </w:tcPr>
          <w:p w14:paraId="4F9AF96B" w14:textId="77777777" w:rsidR="00B75F05" w:rsidRPr="008A7487" w:rsidRDefault="00B75F05" w:rsidP="00C21D6F">
            <w:pPr>
              <w:autoSpaceDE w:val="0"/>
              <w:autoSpaceDN w:val="0"/>
              <w:adjustRightInd w:val="0"/>
              <w:ind w:right="11"/>
              <w:rPr>
                <w:rFonts w:ascii="Times New Roman" w:hAnsi="Times New Roman" w:cs="Times New Roman"/>
                <w:color w:val="000000"/>
                <w:sz w:val="16"/>
                <w:szCs w:val="16"/>
                <w:lang w:val="en-GB"/>
              </w:rPr>
            </w:pPr>
            <w:r w:rsidRPr="008A7487">
              <w:rPr>
                <w:rFonts w:ascii="Times New Roman" w:hAnsi="Times New Roman" w:cs="Times New Roman"/>
                <w:color w:val="000000"/>
                <w:sz w:val="16"/>
                <w:szCs w:val="16"/>
                <w:lang w:val="en-GB"/>
              </w:rPr>
              <w:t>1.68</w:t>
            </w:r>
          </w:p>
        </w:tc>
        <w:tc>
          <w:tcPr>
            <w:tcW w:w="953" w:type="dxa"/>
            <w:vAlign w:val="bottom"/>
          </w:tcPr>
          <w:p w14:paraId="075F64D4" w14:textId="77777777" w:rsidR="00B75F05" w:rsidRPr="008A7487" w:rsidRDefault="00B75F05" w:rsidP="00C21D6F">
            <w:pPr>
              <w:autoSpaceDE w:val="0"/>
              <w:autoSpaceDN w:val="0"/>
              <w:adjustRightInd w:val="0"/>
              <w:ind w:right="11"/>
              <w:rPr>
                <w:rFonts w:ascii="Times New Roman" w:hAnsi="Times New Roman" w:cs="Times New Roman"/>
                <w:color w:val="000000"/>
                <w:sz w:val="16"/>
                <w:szCs w:val="16"/>
                <w:lang w:val="en-GB"/>
              </w:rPr>
            </w:pPr>
            <w:r w:rsidRPr="008A7487">
              <w:rPr>
                <w:rFonts w:ascii="Times New Roman" w:hAnsi="Times New Roman" w:cs="Times New Roman"/>
                <w:color w:val="000000"/>
                <w:sz w:val="16"/>
                <w:szCs w:val="16"/>
                <w:lang w:val="en-GB"/>
              </w:rPr>
              <w:t>3.59***</w:t>
            </w:r>
          </w:p>
        </w:tc>
      </w:tr>
      <w:tr w:rsidR="00B75F05" w:rsidRPr="008A7487" w14:paraId="7D9F4FF0" w14:textId="77777777" w:rsidTr="00C21D6F">
        <w:tc>
          <w:tcPr>
            <w:tcW w:w="1559" w:type="dxa"/>
          </w:tcPr>
          <w:p w14:paraId="645E2BA3" w14:textId="77777777" w:rsidR="00B75F05" w:rsidRPr="008A7487" w:rsidRDefault="00B75F05" w:rsidP="00C21D6F">
            <w:pPr>
              <w:spacing w:line="480" w:lineRule="auto"/>
              <w:contextualSpacing/>
              <w:rPr>
                <w:rFonts w:ascii="Times New Roman" w:hAnsi="Times New Roman" w:cs="Times New Roman"/>
                <w:sz w:val="16"/>
                <w:szCs w:val="16"/>
              </w:rPr>
            </w:pPr>
            <w:r w:rsidRPr="008A7487">
              <w:rPr>
                <w:rFonts w:ascii="Times New Roman" w:hAnsi="Times New Roman" w:cs="Times New Roman"/>
                <w:sz w:val="16"/>
                <w:szCs w:val="16"/>
              </w:rPr>
              <w:t>INF</w:t>
            </w:r>
          </w:p>
        </w:tc>
        <w:tc>
          <w:tcPr>
            <w:tcW w:w="715" w:type="dxa"/>
            <w:vAlign w:val="bottom"/>
          </w:tcPr>
          <w:p w14:paraId="0BBCF5A4" w14:textId="77777777" w:rsidR="00B75F05" w:rsidRPr="008A7487" w:rsidRDefault="00B75F05" w:rsidP="00C21D6F">
            <w:pPr>
              <w:autoSpaceDE w:val="0"/>
              <w:autoSpaceDN w:val="0"/>
              <w:adjustRightInd w:val="0"/>
              <w:ind w:right="11"/>
              <w:rPr>
                <w:rFonts w:ascii="Times New Roman" w:hAnsi="Times New Roman" w:cs="Times New Roman"/>
                <w:color w:val="000000"/>
                <w:sz w:val="16"/>
                <w:szCs w:val="16"/>
                <w:lang w:val="en-GB"/>
              </w:rPr>
            </w:pPr>
            <w:r w:rsidRPr="008A7487">
              <w:rPr>
                <w:rFonts w:ascii="Times New Roman" w:hAnsi="Times New Roman" w:cs="Times New Roman"/>
                <w:sz w:val="16"/>
                <w:szCs w:val="16"/>
                <w:lang w:val="en-GB"/>
              </w:rPr>
              <w:t>-0.04</w:t>
            </w:r>
          </w:p>
        </w:tc>
        <w:tc>
          <w:tcPr>
            <w:tcW w:w="975" w:type="dxa"/>
            <w:vAlign w:val="bottom"/>
          </w:tcPr>
          <w:p w14:paraId="6B285DDB" w14:textId="77777777" w:rsidR="00B75F05" w:rsidRPr="008A7487" w:rsidRDefault="00B75F05" w:rsidP="00C21D6F">
            <w:pPr>
              <w:autoSpaceDE w:val="0"/>
              <w:autoSpaceDN w:val="0"/>
              <w:adjustRightInd w:val="0"/>
              <w:ind w:right="11"/>
              <w:rPr>
                <w:rFonts w:ascii="Times New Roman" w:hAnsi="Times New Roman" w:cs="Times New Roman"/>
                <w:color w:val="000000"/>
                <w:sz w:val="16"/>
                <w:szCs w:val="16"/>
                <w:lang w:val="en-GB"/>
              </w:rPr>
            </w:pPr>
            <w:r w:rsidRPr="008A7487">
              <w:rPr>
                <w:rFonts w:ascii="Times New Roman" w:hAnsi="Times New Roman" w:cs="Times New Roman"/>
                <w:sz w:val="16"/>
                <w:szCs w:val="16"/>
                <w:lang w:val="en-GB"/>
              </w:rPr>
              <w:t>-2.14**</w:t>
            </w:r>
          </w:p>
        </w:tc>
        <w:tc>
          <w:tcPr>
            <w:tcW w:w="983" w:type="dxa"/>
            <w:vAlign w:val="bottom"/>
          </w:tcPr>
          <w:p w14:paraId="06A58D21" w14:textId="77777777" w:rsidR="00B75F05" w:rsidRPr="008A7487" w:rsidRDefault="00B75F05" w:rsidP="00C21D6F">
            <w:pPr>
              <w:autoSpaceDE w:val="0"/>
              <w:autoSpaceDN w:val="0"/>
              <w:adjustRightInd w:val="0"/>
              <w:ind w:right="11"/>
              <w:rPr>
                <w:rFonts w:ascii="Times New Roman" w:hAnsi="Times New Roman" w:cs="Times New Roman"/>
                <w:color w:val="000000"/>
                <w:sz w:val="16"/>
                <w:szCs w:val="16"/>
                <w:lang w:val="en-GB"/>
              </w:rPr>
            </w:pPr>
            <w:r w:rsidRPr="008A7487">
              <w:rPr>
                <w:rFonts w:ascii="Times New Roman" w:hAnsi="Times New Roman" w:cs="Times New Roman"/>
                <w:color w:val="000000"/>
                <w:sz w:val="16"/>
                <w:szCs w:val="16"/>
                <w:lang w:val="en-GB"/>
              </w:rPr>
              <w:t>-0.01</w:t>
            </w:r>
          </w:p>
        </w:tc>
        <w:tc>
          <w:tcPr>
            <w:tcW w:w="977" w:type="dxa"/>
            <w:vAlign w:val="bottom"/>
          </w:tcPr>
          <w:p w14:paraId="1823D420" w14:textId="77777777" w:rsidR="00B75F05" w:rsidRPr="008A7487" w:rsidRDefault="00B75F05" w:rsidP="00C21D6F">
            <w:pPr>
              <w:autoSpaceDE w:val="0"/>
              <w:autoSpaceDN w:val="0"/>
              <w:adjustRightInd w:val="0"/>
              <w:ind w:right="11"/>
              <w:rPr>
                <w:rFonts w:ascii="Times New Roman" w:hAnsi="Times New Roman" w:cs="Times New Roman"/>
                <w:color w:val="000000"/>
                <w:sz w:val="16"/>
                <w:szCs w:val="16"/>
                <w:lang w:val="en-GB"/>
              </w:rPr>
            </w:pPr>
            <w:r w:rsidRPr="008A7487">
              <w:rPr>
                <w:rFonts w:ascii="Times New Roman" w:hAnsi="Times New Roman" w:cs="Times New Roman"/>
                <w:color w:val="000000"/>
                <w:sz w:val="16"/>
                <w:szCs w:val="16"/>
                <w:lang w:val="en-GB"/>
              </w:rPr>
              <w:t>-0.69</w:t>
            </w:r>
          </w:p>
        </w:tc>
        <w:tc>
          <w:tcPr>
            <w:tcW w:w="871" w:type="dxa"/>
            <w:vAlign w:val="bottom"/>
          </w:tcPr>
          <w:p w14:paraId="318D9EC0" w14:textId="77777777" w:rsidR="00B75F05" w:rsidRPr="008A7487" w:rsidRDefault="00B75F05" w:rsidP="00C21D6F">
            <w:pPr>
              <w:autoSpaceDE w:val="0"/>
              <w:autoSpaceDN w:val="0"/>
              <w:adjustRightInd w:val="0"/>
              <w:ind w:right="11"/>
              <w:rPr>
                <w:rFonts w:ascii="Times New Roman" w:hAnsi="Times New Roman" w:cs="Times New Roman"/>
                <w:color w:val="000000"/>
                <w:sz w:val="16"/>
                <w:szCs w:val="16"/>
                <w:lang w:val="en-GB"/>
              </w:rPr>
            </w:pPr>
            <w:r w:rsidRPr="008A7487">
              <w:rPr>
                <w:rFonts w:ascii="Times New Roman" w:hAnsi="Times New Roman" w:cs="Times New Roman"/>
                <w:color w:val="000000"/>
                <w:sz w:val="16"/>
                <w:szCs w:val="16"/>
                <w:lang w:val="en-GB"/>
              </w:rPr>
              <w:t>-0.02</w:t>
            </w:r>
          </w:p>
        </w:tc>
        <w:tc>
          <w:tcPr>
            <w:tcW w:w="953" w:type="dxa"/>
            <w:vAlign w:val="bottom"/>
          </w:tcPr>
          <w:p w14:paraId="210FFE66" w14:textId="77777777" w:rsidR="00B75F05" w:rsidRPr="008A7487" w:rsidRDefault="00B75F05" w:rsidP="00C21D6F">
            <w:pPr>
              <w:autoSpaceDE w:val="0"/>
              <w:autoSpaceDN w:val="0"/>
              <w:adjustRightInd w:val="0"/>
              <w:ind w:right="11"/>
              <w:rPr>
                <w:rFonts w:ascii="Times New Roman" w:hAnsi="Times New Roman" w:cs="Times New Roman"/>
                <w:color w:val="000000"/>
                <w:sz w:val="16"/>
                <w:szCs w:val="16"/>
                <w:lang w:val="en-GB"/>
              </w:rPr>
            </w:pPr>
            <w:r w:rsidRPr="008A7487">
              <w:rPr>
                <w:rFonts w:ascii="Times New Roman" w:hAnsi="Times New Roman" w:cs="Times New Roman"/>
                <w:color w:val="000000"/>
                <w:sz w:val="16"/>
                <w:szCs w:val="16"/>
                <w:lang w:val="en-GB"/>
              </w:rPr>
              <w:t>-0.39</w:t>
            </w:r>
          </w:p>
        </w:tc>
      </w:tr>
      <w:tr w:rsidR="00B75F05" w:rsidRPr="008A7487" w14:paraId="66127FEA" w14:textId="77777777" w:rsidTr="00C21D6F">
        <w:tc>
          <w:tcPr>
            <w:tcW w:w="1559" w:type="dxa"/>
          </w:tcPr>
          <w:p w14:paraId="63CAB5ED" w14:textId="77777777" w:rsidR="00B75F05" w:rsidRPr="008A7487" w:rsidRDefault="00B75F05" w:rsidP="00C21D6F">
            <w:pPr>
              <w:spacing w:line="480" w:lineRule="auto"/>
              <w:contextualSpacing/>
              <w:rPr>
                <w:rFonts w:ascii="Times New Roman" w:hAnsi="Times New Roman" w:cs="Times New Roman"/>
                <w:sz w:val="16"/>
                <w:szCs w:val="16"/>
              </w:rPr>
            </w:pPr>
            <w:r w:rsidRPr="008A7487">
              <w:rPr>
                <w:rFonts w:ascii="Times New Roman" w:hAnsi="Times New Roman" w:cs="Times New Roman"/>
                <w:sz w:val="16"/>
                <w:szCs w:val="16"/>
              </w:rPr>
              <w:t>Cont</w:t>
            </w:r>
          </w:p>
        </w:tc>
        <w:tc>
          <w:tcPr>
            <w:tcW w:w="715" w:type="dxa"/>
          </w:tcPr>
          <w:p w14:paraId="72B23C28" w14:textId="77777777" w:rsidR="00B75F05" w:rsidRPr="008A7487" w:rsidRDefault="00B75F05" w:rsidP="00C21D6F">
            <w:pPr>
              <w:rPr>
                <w:rFonts w:ascii="Times New Roman" w:hAnsi="Times New Roman" w:cs="Times New Roman"/>
                <w:sz w:val="16"/>
                <w:szCs w:val="16"/>
              </w:rPr>
            </w:pPr>
          </w:p>
          <w:p w14:paraId="3ABABC6C" w14:textId="77777777" w:rsidR="00B75F05" w:rsidRPr="008A7487" w:rsidRDefault="00B75F05" w:rsidP="00C21D6F">
            <w:pPr>
              <w:rPr>
                <w:rFonts w:ascii="Times New Roman" w:hAnsi="Times New Roman" w:cs="Times New Roman"/>
                <w:sz w:val="16"/>
                <w:szCs w:val="16"/>
              </w:rPr>
            </w:pPr>
            <w:r w:rsidRPr="008A7487">
              <w:rPr>
                <w:rFonts w:ascii="Times New Roman" w:hAnsi="Times New Roman" w:cs="Times New Roman"/>
                <w:sz w:val="16"/>
                <w:szCs w:val="16"/>
              </w:rPr>
              <w:t>0.83</w:t>
            </w:r>
          </w:p>
        </w:tc>
        <w:tc>
          <w:tcPr>
            <w:tcW w:w="975" w:type="dxa"/>
          </w:tcPr>
          <w:p w14:paraId="28DB58AC" w14:textId="77777777" w:rsidR="00B75F05" w:rsidRPr="008A7487" w:rsidRDefault="00B75F05" w:rsidP="00C21D6F">
            <w:pPr>
              <w:rPr>
                <w:rFonts w:ascii="Times New Roman" w:hAnsi="Times New Roman" w:cs="Times New Roman"/>
                <w:sz w:val="16"/>
                <w:szCs w:val="16"/>
              </w:rPr>
            </w:pPr>
            <w:r w:rsidRPr="008A7487">
              <w:rPr>
                <w:rFonts w:ascii="Times New Roman" w:hAnsi="Times New Roman" w:cs="Times New Roman"/>
                <w:sz w:val="16"/>
                <w:szCs w:val="16"/>
              </w:rPr>
              <w:t xml:space="preserve">   </w:t>
            </w:r>
          </w:p>
          <w:p w14:paraId="01E5855F" w14:textId="77777777" w:rsidR="00B75F05" w:rsidRPr="008A7487" w:rsidRDefault="00B75F05" w:rsidP="00C21D6F">
            <w:pPr>
              <w:rPr>
                <w:rFonts w:ascii="Times New Roman" w:hAnsi="Times New Roman" w:cs="Times New Roman"/>
                <w:sz w:val="16"/>
                <w:szCs w:val="16"/>
              </w:rPr>
            </w:pPr>
            <w:r w:rsidRPr="008A7487">
              <w:rPr>
                <w:rFonts w:ascii="Times New Roman" w:hAnsi="Times New Roman" w:cs="Times New Roman"/>
                <w:sz w:val="16"/>
                <w:szCs w:val="16"/>
              </w:rPr>
              <w:t xml:space="preserve"> 1.41</w:t>
            </w:r>
          </w:p>
        </w:tc>
        <w:tc>
          <w:tcPr>
            <w:tcW w:w="983" w:type="dxa"/>
          </w:tcPr>
          <w:p w14:paraId="5D3A3A8B" w14:textId="77777777" w:rsidR="00B75F05" w:rsidRPr="008A7487" w:rsidRDefault="00B75F05" w:rsidP="00C21D6F">
            <w:pPr>
              <w:rPr>
                <w:rFonts w:ascii="Times New Roman" w:hAnsi="Times New Roman" w:cs="Times New Roman"/>
                <w:sz w:val="16"/>
                <w:szCs w:val="16"/>
              </w:rPr>
            </w:pPr>
          </w:p>
          <w:p w14:paraId="1DE4C6B5" w14:textId="77777777" w:rsidR="00B75F05" w:rsidRPr="008A7487" w:rsidRDefault="00B75F05" w:rsidP="00C21D6F">
            <w:pPr>
              <w:rPr>
                <w:rFonts w:ascii="Times New Roman" w:hAnsi="Times New Roman" w:cs="Times New Roman"/>
                <w:sz w:val="16"/>
                <w:szCs w:val="16"/>
              </w:rPr>
            </w:pPr>
            <w:r w:rsidRPr="008A7487">
              <w:rPr>
                <w:rFonts w:ascii="Times New Roman" w:hAnsi="Times New Roman" w:cs="Times New Roman"/>
                <w:sz w:val="16"/>
                <w:szCs w:val="16"/>
              </w:rPr>
              <w:t>0.54</w:t>
            </w:r>
          </w:p>
        </w:tc>
        <w:tc>
          <w:tcPr>
            <w:tcW w:w="977" w:type="dxa"/>
          </w:tcPr>
          <w:p w14:paraId="6CA7E0EC" w14:textId="77777777" w:rsidR="00B75F05" w:rsidRPr="008A7487" w:rsidRDefault="00B75F05" w:rsidP="00C21D6F">
            <w:pPr>
              <w:rPr>
                <w:rFonts w:ascii="Times New Roman" w:hAnsi="Times New Roman" w:cs="Times New Roman"/>
                <w:sz w:val="16"/>
                <w:szCs w:val="16"/>
              </w:rPr>
            </w:pPr>
          </w:p>
          <w:p w14:paraId="7F6CAF66" w14:textId="77777777" w:rsidR="00B75F05" w:rsidRPr="008A7487" w:rsidRDefault="00B75F05" w:rsidP="00C21D6F">
            <w:pPr>
              <w:rPr>
                <w:rFonts w:ascii="Times New Roman" w:hAnsi="Times New Roman" w:cs="Times New Roman"/>
                <w:sz w:val="16"/>
                <w:szCs w:val="16"/>
              </w:rPr>
            </w:pPr>
            <w:r w:rsidRPr="008A7487">
              <w:rPr>
                <w:rFonts w:ascii="Times New Roman" w:hAnsi="Times New Roman" w:cs="Times New Roman"/>
                <w:sz w:val="16"/>
                <w:szCs w:val="16"/>
              </w:rPr>
              <w:t>1.09</w:t>
            </w:r>
          </w:p>
        </w:tc>
        <w:tc>
          <w:tcPr>
            <w:tcW w:w="871" w:type="dxa"/>
          </w:tcPr>
          <w:p w14:paraId="0791CB07" w14:textId="77777777" w:rsidR="00B75F05" w:rsidRPr="008A7487" w:rsidRDefault="00B75F05" w:rsidP="00C21D6F">
            <w:pPr>
              <w:rPr>
                <w:rFonts w:ascii="Times New Roman" w:hAnsi="Times New Roman" w:cs="Times New Roman"/>
                <w:sz w:val="16"/>
                <w:szCs w:val="16"/>
              </w:rPr>
            </w:pPr>
          </w:p>
          <w:p w14:paraId="7F267F77" w14:textId="77777777" w:rsidR="00B75F05" w:rsidRPr="008A7487" w:rsidRDefault="00B75F05" w:rsidP="00C21D6F">
            <w:pPr>
              <w:rPr>
                <w:rFonts w:ascii="Times New Roman" w:hAnsi="Times New Roman" w:cs="Times New Roman"/>
                <w:sz w:val="16"/>
                <w:szCs w:val="16"/>
              </w:rPr>
            </w:pPr>
            <w:r w:rsidRPr="008A7487">
              <w:rPr>
                <w:rFonts w:ascii="Times New Roman" w:hAnsi="Times New Roman" w:cs="Times New Roman"/>
                <w:sz w:val="16"/>
                <w:szCs w:val="16"/>
              </w:rPr>
              <w:t>-3.46</w:t>
            </w:r>
          </w:p>
        </w:tc>
        <w:tc>
          <w:tcPr>
            <w:tcW w:w="953" w:type="dxa"/>
          </w:tcPr>
          <w:p w14:paraId="02F4F3B7" w14:textId="77777777" w:rsidR="00B75F05" w:rsidRPr="008A7487" w:rsidRDefault="00B75F05" w:rsidP="00C21D6F">
            <w:pPr>
              <w:rPr>
                <w:rFonts w:ascii="Times New Roman" w:hAnsi="Times New Roman" w:cs="Times New Roman"/>
                <w:sz w:val="16"/>
                <w:szCs w:val="16"/>
              </w:rPr>
            </w:pPr>
          </w:p>
          <w:p w14:paraId="0A367426" w14:textId="77777777" w:rsidR="00B75F05" w:rsidRPr="008A7487" w:rsidRDefault="00B75F05" w:rsidP="00C21D6F">
            <w:pPr>
              <w:rPr>
                <w:rFonts w:ascii="Times New Roman" w:hAnsi="Times New Roman" w:cs="Times New Roman"/>
                <w:sz w:val="16"/>
                <w:szCs w:val="16"/>
              </w:rPr>
            </w:pPr>
            <w:r w:rsidRPr="008A7487">
              <w:rPr>
                <w:rFonts w:ascii="Times New Roman" w:hAnsi="Times New Roman" w:cs="Times New Roman"/>
                <w:sz w:val="16"/>
                <w:szCs w:val="16"/>
              </w:rPr>
              <w:t>-2.04**</w:t>
            </w:r>
          </w:p>
        </w:tc>
      </w:tr>
      <w:tr w:rsidR="00B75F05" w:rsidRPr="008A7487" w14:paraId="5C3C58FA" w14:textId="77777777" w:rsidTr="00C21D6F">
        <w:tc>
          <w:tcPr>
            <w:tcW w:w="1559" w:type="dxa"/>
          </w:tcPr>
          <w:p w14:paraId="6EC227FC" w14:textId="77777777" w:rsidR="00B75F05" w:rsidRPr="008A7487" w:rsidRDefault="00B75F05" w:rsidP="00C21D6F">
            <w:pPr>
              <w:spacing w:line="480" w:lineRule="auto"/>
              <w:contextualSpacing/>
              <w:rPr>
                <w:rFonts w:ascii="Times New Roman" w:hAnsi="Times New Roman" w:cs="Times New Roman"/>
                <w:sz w:val="16"/>
                <w:szCs w:val="16"/>
                <w:vertAlign w:val="superscript"/>
              </w:rPr>
            </w:pPr>
            <w:r w:rsidRPr="008A7487">
              <w:rPr>
                <w:rFonts w:ascii="Times New Roman" w:hAnsi="Times New Roman" w:cs="Times New Roman"/>
                <w:sz w:val="16"/>
                <w:szCs w:val="16"/>
              </w:rPr>
              <w:t>R</w:t>
            </w:r>
            <w:r w:rsidRPr="008A7487">
              <w:rPr>
                <w:rFonts w:ascii="Times New Roman" w:hAnsi="Times New Roman" w:cs="Times New Roman"/>
                <w:sz w:val="16"/>
                <w:szCs w:val="16"/>
                <w:vertAlign w:val="superscript"/>
              </w:rPr>
              <w:t>2</w:t>
            </w:r>
          </w:p>
        </w:tc>
        <w:tc>
          <w:tcPr>
            <w:tcW w:w="715" w:type="dxa"/>
          </w:tcPr>
          <w:p w14:paraId="2984E65C" w14:textId="77777777" w:rsidR="00B75F05" w:rsidRPr="008A7487" w:rsidRDefault="00B75F05" w:rsidP="00C21D6F">
            <w:pPr>
              <w:contextualSpacing/>
              <w:rPr>
                <w:rFonts w:ascii="Times New Roman" w:hAnsi="Times New Roman" w:cs="Times New Roman"/>
                <w:sz w:val="16"/>
                <w:szCs w:val="16"/>
              </w:rPr>
            </w:pPr>
          </w:p>
        </w:tc>
        <w:tc>
          <w:tcPr>
            <w:tcW w:w="975" w:type="dxa"/>
          </w:tcPr>
          <w:p w14:paraId="6A861BFB" w14:textId="77777777" w:rsidR="00B75F05" w:rsidRPr="008A7487" w:rsidRDefault="00B75F05" w:rsidP="00C21D6F">
            <w:pPr>
              <w:contextualSpacing/>
              <w:rPr>
                <w:rFonts w:ascii="Times New Roman" w:hAnsi="Times New Roman" w:cs="Times New Roman"/>
                <w:sz w:val="16"/>
                <w:szCs w:val="16"/>
              </w:rPr>
            </w:pPr>
          </w:p>
          <w:p w14:paraId="35EC4DBE" w14:textId="77777777" w:rsidR="00B75F05" w:rsidRPr="008A7487" w:rsidRDefault="00B75F05" w:rsidP="00C21D6F">
            <w:pPr>
              <w:contextualSpacing/>
              <w:rPr>
                <w:rFonts w:ascii="Times New Roman" w:hAnsi="Times New Roman" w:cs="Times New Roman"/>
                <w:sz w:val="16"/>
                <w:szCs w:val="16"/>
              </w:rPr>
            </w:pPr>
            <w:r w:rsidRPr="008A7487">
              <w:rPr>
                <w:rFonts w:ascii="Times New Roman" w:hAnsi="Times New Roman" w:cs="Times New Roman"/>
                <w:sz w:val="16"/>
                <w:szCs w:val="16"/>
              </w:rPr>
              <w:t>30%</w:t>
            </w:r>
          </w:p>
        </w:tc>
        <w:tc>
          <w:tcPr>
            <w:tcW w:w="983" w:type="dxa"/>
          </w:tcPr>
          <w:p w14:paraId="456F3888" w14:textId="77777777" w:rsidR="00B75F05" w:rsidRPr="008A7487" w:rsidRDefault="00B75F05" w:rsidP="00C21D6F">
            <w:pPr>
              <w:contextualSpacing/>
              <w:rPr>
                <w:rFonts w:ascii="Times New Roman" w:hAnsi="Times New Roman" w:cs="Times New Roman"/>
                <w:sz w:val="16"/>
                <w:szCs w:val="16"/>
              </w:rPr>
            </w:pPr>
          </w:p>
        </w:tc>
        <w:tc>
          <w:tcPr>
            <w:tcW w:w="977" w:type="dxa"/>
          </w:tcPr>
          <w:p w14:paraId="56D89052" w14:textId="77777777" w:rsidR="00B75F05" w:rsidRPr="008A7487" w:rsidRDefault="00B75F05" w:rsidP="00C21D6F">
            <w:pPr>
              <w:contextualSpacing/>
              <w:rPr>
                <w:rFonts w:ascii="Times New Roman" w:hAnsi="Times New Roman" w:cs="Times New Roman"/>
                <w:sz w:val="16"/>
                <w:szCs w:val="16"/>
              </w:rPr>
            </w:pPr>
          </w:p>
          <w:p w14:paraId="4D258E9A" w14:textId="77777777" w:rsidR="00B75F05" w:rsidRPr="008A7487" w:rsidRDefault="00B75F05" w:rsidP="00C21D6F">
            <w:pPr>
              <w:contextualSpacing/>
              <w:rPr>
                <w:rFonts w:ascii="Times New Roman" w:hAnsi="Times New Roman" w:cs="Times New Roman"/>
                <w:sz w:val="16"/>
                <w:szCs w:val="16"/>
              </w:rPr>
            </w:pPr>
            <w:r w:rsidRPr="008A7487">
              <w:rPr>
                <w:rFonts w:ascii="Times New Roman" w:hAnsi="Times New Roman" w:cs="Times New Roman"/>
                <w:sz w:val="16"/>
                <w:szCs w:val="16"/>
              </w:rPr>
              <w:t>24%</w:t>
            </w:r>
          </w:p>
        </w:tc>
        <w:tc>
          <w:tcPr>
            <w:tcW w:w="871" w:type="dxa"/>
          </w:tcPr>
          <w:p w14:paraId="34DC8A9B" w14:textId="77777777" w:rsidR="00B75F05" w:rsidRPr="008A7487" w:rsidRDefault="00B75F05" w:rsidP="00C21D6F">
            <w:pPr>
              <w:contextualSpacing/>
              <w:rPr>
                <w:rFonts w:ascii="Times New Roman" w:hAnsi="Times New Roman" w:cs="Times New Roman"/>
                <w:sz w:val="16"/>
                <w:szCs w:val="16"/>
              </w:rPr>
            </w:pPr>
          </w:p>
        </w:tc>
        <w:tc>
          <w:tcPr>
            <w:tcW w:w="953" w:type="dxa"/>
          </w:tcPr>
          <w:p w14:paraId="0BBE1BED" w14:textId="77777777" w:rsidR="00B75F05" w:rsidRPr="008A7487" w:rsidRDefault="00B75F05" w:rsidP="00C21D6F">
            <w:pPr>
              <w:contextualSpacing/>
              <w:rPr>
                <w:rFonts w:ascii="Times New Roman" w:hAnsi="Times New Roman" w:cs="Times New Roman"/>
                <w:sz w:val="16"/>
                <w:szCs w:val="16"/>
              </w:rPr>
            </w:pPr>
          </w:p>
          <w:p w14:paraId="17420EBE" w14:textId="77777777" w:rsidR="00B75F05" w:rsidRPr="008A7487" w:rsidRDefault="00B75F05" w:rsidP="00C21D6F">
            <w:pPr>
              <w:contextualSpacing/>
              <w:rPr>
                <w:rFonts w:ascii="Times New Roman" w:hAnsi="Times New Roman" w:cs="Times New Roman"/>
                <w:sz w:val="16"/>
                <w:szCs w:val="16"/>
              </w:rPr>
            </w:pPr>
            <w:r w:rsidRPr="008A7487">
              <w:rPr>
                <w:rFonts w:ascii="Times New Roman" w:hAnsi="Times New Roman" w:cs="Times New Roman"/>
                <w:sz w:val="16"/>
                <w:szCs w:val="16"/>
              </w:rPr>
              <w:t>21%</w:t>
            </w:r>
          </w:p>
        </w:tc>
      </w:tr>
      <w:tr w:rsidR="00B75F05" w:rsidRPr="008A7487" w14:paraId="54BB4604" w14:textId="77777777" w:rsidTr="00C21D6F">
        <w:tc>
          <w:tcPr>
            <w:tcW w:w="1559" w:type="dxa"/>
          </w:tcPr>
          <w:p w14:paraId="122E5361" w14:textId="77777777" w:rsidR="00B75F05" w:rsidRPr="008A7487" w:rsidRDefault="00B75F05" w:rsidP="00C21D6F">
            <w:pPr>
              <w:spacing w:line="480" w:lineRule="auto"/>
              <w:contextualSpacing/>
              <w:rPr>
                <w:rFonts w:ascii="Times New Roman" w:hAnsi="Times New Roman" w:cs="Times New Roman"/>
                <w:sz w:val="16"/>
                <w:szCs w:val="16"/>
                <w:vertAlign w:val="superscript"/>
              </w:rPr>
            </w:pPr>
            <w:r w:rsidRPr="008A7487">
              <w:rPr>
                <w:rFonts w:ascii="Times New Roman" w:hAnsi="Times New Roman" w:cs="Times New Roman"/>
                <w:sz w:val="16"/>
                <w:szCs w:val="16"/>
              </w:rPr>
              <w:t>F-stat</w:t>
            </w:r>
          </w:p>
        </w:tc>
        <w:tc>
          <w:tcPr>
            <w:tcW w:w="715" w:type="dxa"/>
          </w:tcPr>
          <w:p w14:paraId="16415A93" w14:textId="77777777" w:rsidR="00B75F05" w:rsidRPr="008A7487" w:rsidRDefault="00B75F05" w:rsidP="00C21D6F">
            <w:pPr>
              <w:contextualSpacing/>
              <w:rPr>
                <w:rFonts w:ascii="Times New Roman" w:hAnsi="Times New Roman" w:cs="Times New Roman"/>
                <w:sz w:val="16"/>
                <w:szCs w:val="16"/>
              </w:rPr>
            </w:pPr>
          </w:p>
          <w:p w14:paraId="643C84EE" w14:textId="77777777" w:rsidR="00B75F05" w:rsidRPr="008A7487" w:rsidRDefault="00B75F05" w:rsidP="00C21D6F">
            <w:pPr>
              <w:contextualSpacing/>
              <w:rPr>
                <w:rFonts w:ascii="Times New Roman" w:hAnsi="Times New Roman" w:cs="Times New Roman"/>
                <w:sz w:val="16"/>
                <w:szCs w:val="16"/>
              </w:rPr>
            </w:pPr>
            <w:r w:rsidRPr="008A7487">
              <w:rPr>
                <w:rFonts w:ascii="Times New Roman" w:hAnsi="Times New Roman" w:cs="Times New Roman"/>
                <w:sz w:val="16"/>
                <w:szCs w:val="16"/>
              </w:rPr>
              <w:t>6.35***</w:t>
            </w:r>
          </w:p>
        </w:tc>
        <w:tc>
          <w:tcPr>
            <w:tcW w:w="975" w:type="dxa"/>
          </w:tcPr>
          <w:p w14:paraId="00C47BE7" w14:textId="77777777" w:rsidR="00B75F05" w:rsidRPr="008A7487" w:rsidRDefault="00B75F05" w:rsidP="00C21D6F">
            <w:pPr>
              <w:contextualSpacing/>
              <w:rPr>
                <w:rFonts w:ascii="Times New Roman" w:hAnsi="Times New Roman" w:cs="Times New Roman"/>
                <w:sz w:val="16"/>
                <w:szCs w:val="16"/>
              </w:rPr>
            </w:pPr>
          </w:p>
        </w:tc>
        <w:tc>
          <w:tcPr>
            <w:tcW w:w="983" w:type="dxa"/>
          </w:tcPr>
          <w:p w14:paraId="0CD1ED71" w14:textId="77777777" w:rsidR="00B75F05" w:rsidRPr="008A7487" w:rsidRDefault="00B75F05" w:rsidP="00C21D6F">
            <w:pPr>
              <w:contextualSpacing/>
              <w:rPr>
                <w:rFonts w:ascii="Times New Roman" w:hAnsi="Times New Roman" w:cs="Times New Roman"/>
                <w:sz w:val="16"/>
                <w:szCs w:val="16"/>
              </w:rPr>
            </w:pPr>
          </w:p>
          <w:p w14:paraId="6C8EB515" w14:textId="77777777" w:rsidR="00B75F05" w:rsidRPr="008A7487" w:rsidRDefault="00B75F05" w:rsidP="00C21D6F">
            <w:pPr>
              <w:contextualSpacing/>
              <w:rPr>
                <w:rFonts w:ascii="Times New Roman" w:hAnsi="Times New Roman" w:cs="Times New Roman"/>
                <w:sz w:val="16"/>
                <w:szCs w:val="16"/>
              </w:rPr>
            </w:pPr>
            <w:r>
              <w:rPr>
                <w:rFonts w:ascii="Times New Roman" w:hAnsi="Times New Roman" w:cs="Times New Roman"/>
                <w:sz w:val="16"/>
                <w:szCs w:val="16"/>
              </w:rPr>
              <w:t>59.23***</w:t>
            </w:r>
          </w:p>
        </w:tc>
        <w:tc>
          <w:tcPr>
            <w:tcW w:w="977" w:type="dxa"/>
          </w:tcPr>
          <w:p w14:paraId="39C5D257" w14:textId="77777777" w:rsidR="00B75F05" w:rsidRPr="008A7487" w:rsidRDefault="00B75F05" w:rsidP="00C21D6F">
            <w:pPr>
              <w:contextualSpacing/>
              <w:rPr>
                <w:rFonts w:ascii="Times New Roman" w:hAnsi="Times New Roman" w:cs="Times New Roman"/>
                <w:sz w:val="16"/>
                <w:szCs w:val="16"/>
              </w:rPr>
            </w:pPr>
          </w:p>
        </w:tc>
        <w:tc>
          <w:tcPr>
            <w:tcW w:w="871" w:type="dxa"/>
          </w:tcPr>
          <w:p w14:paraId="75231E75" w14:textId="77777777" w:rsidR="00B75F05" w:rsidRPr="008A7487" w:rsidRDefault="00B75F05" w:rsidP="00C21D6F">
            <w:pPr>
              <w:contextualSpacing/>
              <w:rPr>
                <w:rFonts w:ascii="Times New Roman" w:hAnsi="Times New Roman" w:cs="Times New Roman"/>
                <w:sz w:val="16"/>
                <w:szCs w:val="16"/>
              </w:rPr>
            </w:pPr>
          </w:p>
          <w:p w14:paraId="5F5459F3" w14:textId="77777777" w:rsidR="00B75F05" w:rsidRPr="008A7487" w:rsidRDefault="00B75F05" w:rsidP="00C21D6F">
            <w:pPr>
              <w:contextualSpacing/>
              <w:rPr>
                <w:rFonts w:ascii="Times New Roman" w:hAnsi="Times New Roman" w:cs="Times New Roman"/>
                <w:sz w:val="16"/>
                <w:szCs w:val="16"/>
              </w:rPr>
            </w:pPr>
            <w:r w:rsidRPr="008A7487">
              <w:rPr>
                <w:rFonts w:ascii="Times New Roman" w:hAnsi="Times New Roman" w:cs="Times New Roman"/>
                <w:sz w:val="16"/>
                <w:szCs w:val="16"/>
              </w:rPr>
              <w:t>3.16***</w:t>
            </w:r>
          </w:p>
        </w:tc>
        <w:tc>
          <w:tcPr>
            <w:tcW w:w="953" w:type="dxa"/>
          </w:tcPr>
          <w:p w14:paraId="420BAB66" w14:textId="77777777" w:rsidR="00B75F05" w:rsidRPr="008A7487" w:rsidRDefault="00B75F05" w:rsidP="00C21D6F">
            <w:pPr>
              <w:contextualSpacing/>
              <w:rPr>
                <w:rFonts w:ascii="Times New Roman" w:hAnsi="Times New Roman" w:cs="Times New Roman"/>
                <w:b/>
                <w:sz w:val="16"/>
                <w:szCs w:val="16"/>
              </w:rPr>
            </w:pPr>
          </w:p>
        </w:tc>
      </w:tr>
      <w:tr w:rsidR="00B75F05" w:rsidRPr="008A7487" w14:paraId="3E34EDE6" w14:textId="77777777" w:rsidTr="00C21D6F">
        <w:tc>
          <w:tcPr>
            <w:tcW w:w="1559" w:type="dxa"/>
          </w:tcPr>
          <w:p w14:paraId="2F79D8C0" w14:textId="77777777" w:rsidR="00B75F05" w:rsidRPr="006D7BB8" w:rsidRDefault="00B75F05" w:rsidP="00C21D6F">
            <w:pPr>
              <w:spacing w:line="480" w:lineRule="auto"/>
              <w:contextualSpacing/>
              <w:rPr>
                <w:rFonts w:ascii="Times New Roman" w:hAnsi="Times New Roman" w:cs="Times New Roman"/>
                <w:sz w:val="16"/>
                <w:szCs w:val="16"/>
              </w:rPr>
            </w:pPr>
            <w:r w:rsidRPr="006D7BB8">
              <w:rPr>
                <w:rFonts w:ascii="Times New Roman" w:hAnsi="Times New Roman" w:cs="Times New Roman"/>
                <w:sz w:val="16"/>
                <w:szCs w:val="16"/>
              </w:rPr>
              <w:t>Obs</w:t>
            </w:r>
          </w:p>
        </w:tc>
        <w:tc>
          <w:tcPr>
            <w:tcW w:w="715" w:type="dxa"/>
          </w:tcPr>
          <w:p w14:paraId="707D1AA9" w14:textId="77777777" w:rsidR="00B75F05" w:rsidRPr="006D7BB8" w:rsidRDefault="00B75F05" w:rsidP="00C21D6F">
            <w:pPr>
              <w:contextualSpacing/>
              <w:rPr>
                <w:rFonts w:ascii="Times New Roman" w:hAnsi="Times New Roman" w:cs="Times New Roman"/>
                <w:sz w:val="16"/>
                <w:szCs w:val="16"/>
              </w:rPr>
            </w:pPr>
          </w:p>
          <w:p w14:paraId="0A74A83B" w14:textId="77777777" w:rsidR="00B75F05" w:rsidRPr="006D7BB8" w:rsidRDefault="00B75F05" w:rsidP="00C21D6F">
            <w:pPr>
              <w:contextualSpacing/>
              <w:rPr>
                <w:rFonts w:ascii="Times New Roman" w:hAnsi="Times New Roman" w:cs="Times New Roman"/>
                <w:sz w:val="16"/>
                <w:szCs w:val="16"/>
              </w:rPr>
            </w:pPr>
            <w:r w:rsidRPr="006D7BB8">
              <w:rPr>
                <w:rFonts w:ascii="Times New Roman" w:hAnsi="Times New Roman" w:cs="Times New Roman"/>
                <w:sz w:val="16"/>
                <w:szCs w:val="16"/>
              </w:rPr>
              <w:t>1673</w:t>
            </w:r>
          </w:p>
        </w:tc>
        <w:tc>
          <w:tcPr>
            <w:tcW w:w="975" w:type="dxa"/>
          </w:tcPr>
          <w:p w14:paraId="38668306" w14:textId="77777777" w:rsidR="00B75F05" w:rsidRPr="006D7BB8" w:rsidRDefault="00B75F05" w:rsidP="00C21D6F">
            <w:pPr>
              <w:contextualSpacing/>
              <w:rPr>
                <w:rFonts w:ascii="Times New Roman" w:hAnsi="Times New Roman" w:cs="Times New Roman"/>
                <w:sz w:val="16"/>
                <w:szCs w:val="16"/>
              </w:rPr>
            </w:pPr>
          </w:p>
        </w:tc>
        <w:tc>
          <w:tcPr>
            <w:tcW w:w="983" w:type="dxa"/>
          </w:tcPr>
          <w:p w14:paraId="4FBD61BC" w14:textId="77777777" w:rsidR="00B75F05" w:rsidRPr="006D7BB8" w:rsidRDefault="00B75F05" w:rsidP="00C21D6F">
            <w:pPr>
              <w:contextualSpacing/>
              <w:rPr>
                <w:rFonts w:ascii="Times New Roman" w:hAnsi="Times New Roman" w:cs="Times New Roman"/>
                <w:sz w:val="16"/>
                <w:szCs w:val="16"/>
              </w:rPr>
            </w:pPr>
          </w:p>
          <w:p w14:paraId="2F5B39FF" w14:textId="77777777" w:rsidR="00B75F05" w:rsidRPr="006D7BB8" w:rsidRDefault="00B75F05" w:rsidP="00C21D6F">
            <w:pPr>
              <w:contextualSpacing/>
              <w:rPr>
                <w:rFonts w:ascii="Times New Roman" w:hAnsi="Times New Roman" w:cs="Times New Roman"/>
                <w:sz w:val="16"/>
                <w:szCs w:val="16"/>
              </w:rPr>
            </w:pPr>
            <w:r w:rsidRPr="006D7BB8">
              <w:rPr>
                <w:rFonts w:ascii="Times New Roman" w:hAnsi="Times New Roman" w:cs="Times New Roman"/>
                <w:sz w:val="16"/>
                <w:szCs w:val="16"/>
              </w:rPr>
              <w:t>1673</w:t>
            </w:r>
          </w:p>
        </w:tc>
        <w:tc>
          <w:tcPr>
            <w:tcW w:w="977" w:type="dxa"/>
          </w:tcPr>
          <w:p w14:paraId="59CCB72A" w14:textId="77777777" w:rsidR="00B75F05" w:rsidRPr="006D7BB8" w:rsidRDefault="00B75F05" w:rsidP="00C21D6F">
            <w:pPr>
              <w:contextualSpacing/>
              <w:rPr>
                <w:rFonts w:ascii="Times New Roman" w:hAnsi="Times New Roman" w:cs="Times New Roman"/>
                <w:sz w:val="16"/>
                <w:szCs w:val="16"/>
              </w:rPr>
            </w:pPr>
          </w:p>
        </w:tc>
        <w:tc>
          <w:tcPr>
            <w:tcW w:w="871" w:type="dxa"/>
          </w:tcPr>
          <w:p w14:paraId="1D9BA3B2" w14:textId="77777777" w:rsidR="00B75F05" w:rsidRPr="006D7BB8" w:rsidRDefault="00B75F05" w:rsidP="00C21D6F">
            <w:pPr>
              <w:contextualSpacing/>
              <w:rPr>
                <w:rFonts w:ascii="Times New Roman" w:hAnsi="Times New Roman" w:cs="Times New Roman"/>
                <w:sz w:val="16"/>
                <w:szCs w:val="16"/>
              </w:rPr>
            </w:pPr>
          </w:p>
          <w:p w14:paraId="76E3AA8B" w14:textId="77777777" w:rsidR="00B75F05" w:rsidRPr="006D7BB8" w:rsidRDefault="00B75F05" w:rsidP="00C21D6F">
            <w:pPr>
              <w:contextualSpacing/>
              <w:rPr>
                <w:rFonts w:ascii="Times New Roman" w:hAnsi="Times New Roman" w:cs="Times New Roman"/>
                <w:sz w:val="16"/>
                <w:szCs w:val="16"/>
              </w:rPr>
            </w:pPr>
            <w:r w:rsidRPr="006D7BB8">
              <w:rPr>
                <w:rFonts w:ascii="Times New Roman" w:hAnsi="Times New Roman" w:cs="Times New Roman"/>
                <w:sz w:val="16"/>
                <w:szCs w:val="16"/>
              </w:rPr>
              <w:t>1673</w:t>
            </w:r>
          </w:p>
        </w:tc>
        <w:tc>
          <w:tcPr>
            <w:tcW w:w="953" w:type="dxa"/>
          </w:tcPr>
          <w:p w14:paraId="17129042" w14:textId="77777777" w:rsidR="00B75F05" w:rsidRPr="008A7487" w:rsidRDefault="00B75F05" w:rsidP="00C21D6F">
            <w:pPr>
              <w:contextualSpacing/>
              <w:rPr>
                <w:rFonts w:ascii="Times New Roman" w:hAnsi="Times New Roman" w:cs="Times New Roman"/>
                <w:b/>
                <w:sz w:val="16"/>
                <w:szCs w:val="16"/>
              </w:rPr>
            </w:pPr>
          </w:p>
        </w:tc>
      </w:tr>
    </w:tbl>
    <w:p w14:paraId="0F9753B2" w14:textId="77777777" w:rsidR="00B75F05" w:rsidRPr="008A7487" w:rsidRDefault="00B75F05" w:rsidP="00B75F05">
      <w:pPr>
        <w:spacing w:after="0" w:line="240" w:lineRule="auto"/>
        <w:rPr>
          <w:rFonts w:ascii="Times New Roman" w:hAnsi="Times New Roman" w:cs="Times New Roman"/>
          <w:b/>
          <w:sz w:val="20"/>
          <w:szCs w:val="20"/>
        </w:rPr>
      </w:pPr>
    </w:p>
    <w:p w14:paraId="3B727D8D" w14:textId="77777777" w:rsidR="00B75F05" w:rsidRPr="008A7487" w:rsidRDefault="00B75F05" w:rsidP="00B75F05">
      <w:pPr>
        <w:spacing w:after="0"/>
        <w:rPr>
          <w:rFonts w:ascii="Times New Roman" w:hAnsi="Times New Roman" w:cs="Times New Roman"/>
          <w:sz w:val="16"/>
          <w:szCs w:val="16"/>
          <w:lang w:val="en-GB"/>
        </w:rPr>
      </w:pPr>
      <w:r w:rsidRPr="008A7487">
        <w:rPr>
          <w:rFonts w:ascii="Times New Roman" w:hAnsi="Times New Roman" w:cs="Times New Roman"/>
          <w:sz w:val="16"/>
          <w:szCs w:val="16"/>
          <w:lang w:val="en-GB"/>
        </w:rPr>
        <w:t xml:space="preserve">ROA defined as profit before tax divided by total assets.  NIM is the difference between interest </w:t>
      </w:r>
    </w:p>
    <w:p w14:paraId="3247524E" w14:textId="77777777" w:rsidR="00B75F05" w:rsidRPr="008A7487" w:rsidRDefault="00B75F05" w:rsidP="00B75F05">
      <w:pPr>
        <w:spacing w:after="0"/>
        <w:rPr>
          <w:rFonts w:ascii="Times New Roman" w:hAnsi="Times New Roman" w:cs="Times New Roman"/>
          <w:sz w:val="16"/>
          <w:szCs w:val="16"/>
          <w:lang w:val="en-GB"/>
        </w:rPr>
      </w:pPr>
      <w:r w:rsidRPr="008A7487">
        <w:rPr>
          <w:rFonts w:ascii="Times New Roman" w:hAnsi="Times New Roman" w:cs="Times New Roman"/>
          <w:sz w:val="16"/>
          <w:szCs w:val="16"/>
          <w:lang w:val="en-GB"/>
        </w:rPr>
        <w:t>income and interest expense</w:t>
      </w:r>
      <w:r>
        <w:rPr>
          <w:rFonts w:ascii="Times New Roman" w:hAnsi="Times New Roman" w:cs="Times New Roman"/>
          <w:sz w:val="16"/>
          <w:szCs w:val="16"/>
          <w:lang w:val="en-GB"/>
        </w:rPr>
        <w:t xml:space="preserve"> %</w:t>
      </w:r>
      <w:r w:rsidRPr="008A7487">
        <w:rPr>
          <w:rFonts w:ascii="Times New Roman" w:hAnsi="Times New Roman" w:cs="Times New Roman"/>
          <w:sz w:val="16"/>
          <w:szCs w:val="16"/>
          <w:lang w:val="en-GB"/>
        </w:rPr>
        <w:t xml:space="preserve">. LNSIZE is the natural log of bank’s total assets. CAP is a measure of </w:t>
      </w:r>
    </w:p>
    <w:p w14:paraId="752D4A22" w14:textId="77777777" w:rsidR="00B75F05" w:rsidRPr="008A7487" w:rsidRDefault="00B75F05" w:rsidP="00B75F05">
      <w:pPr>
        <w:spacing w:after="0"/>
        <w:rPr>
          <w:rFonts w:ascii="Times New Roman" w:hAnsi="Times New Roman" w:cs="Times New Roman"/>
          <w:sz w:val="16"/>
          <w:szCs w:val="16"/>
          <w:lang w:val="en-GB"/>
        </w:rPr>
      </w:pPr>
      <w:r w:rsidRPr="008A7487">
        <w:rPr>
          <w:rFonts w:ascii="Times New Roman" w:hAnsi="Times New Roman" w:cs="Times New Roman"/>
          <w:sz w:val="16"/>
          <w:szCs w:val="16"/>
          <w:lang w:val="en-GB"/>
        </w:rPr>
        <w:t xml:space="preserve">capital strength, calculated as equity to total assets.  CR is a measure of credit risk and is the ratio </w:t>
      </w:r>
    </w:p>
    <w:p w14:paraId="6581E559" w14:textId="77777777" w:rsidR="00B75F05" w:rsidRPr="008A7487" w:rsidRDefault="00B75F05" w:rsidP="00B75F05">
      <w:pPr>
        <w:spacing w:after="0"/>
        <w:rPr>
          <w:rFonts w:ascii="Times New Roman" w:hAnsi="Times New Roman" w:cs="Times New Roman"/>
          <w:sz w:val="16"/>
          <w:szCs w:val="16"/>
          <w:lang w:val="en-GB"/>
        </w:rPr>
      </w:pPr>
      <w:r w:rsidRPr="008A7487">
        <w:rPr>
          <w:rFonts w:ascii="Times New Roman" w:hAnsi="Times New Roman" w:cs="Times New Roman"/>
          <w:sz w:val="16"/>
          <w:szCs w:val="16"/>
          <w:lang w:val="en-GB"/>
        </w:rPr>
        <w:t xml:space="preserve">of net loans to deposits and short-term funding. CM is the total operating cost to total income. </w:t>
      </w:r>
    </w:p>
    <w:p w14:paraId="43486FDB" w14:textId="77777777" w:rsidR="00B75F05" w:rsidRPr="008A7487" w:rsidRDefault="00B75F05" w:rsidP="00B75F05">
      <w:pPr>
        <w:spacing w:after="0"/>
        <w:rPr>
          <w:rFonts w:ascii="Times New Roman" w:hAnsi="Times New Roman" w:cs="Times New Roman"/>
          <w:sz w:val="16"/>
          <w:szCs w:val="16"/>
          <w:lang w:val="en-GB"/>
        </w:rPr>
      </w:pPr>
      <w:r w:rsidRPr="008A7487">
        <w:rPr>
          <w:rFonts w:ascii="Times New Roman" w:hAnsi="Times New Roman" w:cs="Times New Roman"/>
          <w:sz w:val="16"/>
          <w:szCs w:val="16"/>
          <w:lang w:val="en-GB"/>
        </w:rPr>
        <w:t xml:space="preserve">LQ is a measure of liquidity, calculated as liquid assets to customer and short-term funding. </w:t>
      </w:r>
    </w:p>
    <w:p w14:paraId="4CF80D4F" w14:textId="77777777" w:rsidR="00B75F05" w:rsidRPr="008A7487" w:rsidRDefault="00B75F05" w:rsidP="00B75F05">
      <w:pPr>
        <w:spacing w:after="0"/>
        <w:rPr>
          <w:rFonts w:ascii="Times New Roman" w:hAnsi="Times New Roman" w:cs="Times New Roman"/>
          <w:sz w:val="16"/>
          <w:szCs w:val="16"/>
          <w:lang w:val="en-GB"/>
        </w:rPr>
      </w:pPr>
      <w:r w:rsidRPr="008A7487">
        <w:rPr>
          <w:rFonts w:ascii="Times New Roman" w:hAnsi="Times New Roman" w:cs="Times New Roman"/>
          <w:sz w:val="16"/>
          <w:szCs w:val="16"/>
          <w:lang w:val="en-GB"/>
        </w:rPr>
        <w:t xml:space="preserve">MP is a measure of market power defined as the ratio of a bank total asset to the total asset of the entire </w:t>
      </w:r>
    </w:p>
    <w:p w14:paraId="632366FD" w14:textId="77777777" w:rsidR="00B75F05" w:rsidRPr="008A7487" w:rsidRDefault="00B75F05" w:rsidP="00B75F05">
      <w:pPr>
        <w:spacing w:after="0"/>
        <w:rPr>
          <w:rFonts w:ascii="Times New Roman" w:hAnsi="Times New Roman" w:cs="Times New Roman"/>
          <w:sz w:val="16"/>
          <w:szCs w:val="16"/>
          <w:lang w:val="en-GB"/>
        </w:rPr>
      </w:pPr>
      <w:r w:rsidRPr="008A7487">
        <w:rPr>
          <w:rFonts w:ascii="Times New Roman" w:hAnsi="Times New Roman" w:cs="Times New Roman"/>
          <w:sz w:val="16"/>
          <w:szCs w:val="16"/>
          <w:lang w:val="en-GB"/>
        </w:rPr>
        <w:t>banks in a country</w:t>
      </w:r>
      <w:r w:rsidRPr="008A7487">
        <w:rPr>
          <w:rFonts w:ascii="Times New Roman" w:hAnsi="Times New Roman" w:cs="Times New Roman"/>
          <w:color w:val="FF0000"/>
          <w:sz w:val="16"/>
          <w:szCs w:val="16"/>
          <w:lang w:val="en-GB"/>
        </w:rPr>
        <w:t>.</w:t>
      </w:r>
      <w:r w:rsidRPr="008A7487">
        <w:rPr>
          <w:rFonts w:ascii="Times New Roman" w:hAnsi="Times New Roman" w:cs="Times New Roman"/>
          <w:sz w:val="16"/>
          <w:szCs w:val="16"/>
          <w:lang w:val="en-GB"/>
        </w:rPr>
        <w:t xml:space="preserve"> ∆ GDP is the annual percentage change in real gross domestic product.  INF is </w:t>
      </w:r>
    </w:p>
    <w:p w14:paraId="6032E933" w14:textId="77777777" w:rsidR="00B75F05" w:rsidRPr="008A7487" w:rsidRDefault="00B75F05" w:rsidP="00B75F05">
      <w:pPr>
        <w:spacing w:after="0"/>
        <w:rPr>
          <w:rFonts w:ascii="Times New Roman" w:hAnsi="Times New Roman" w:cs="Times New Roman"/>
          <w:sz w:val="16"/>
          <w:szCs w:val="16"/>
          <w:lang w:val="en-GB"/>
        </w:rPr>
      </w:pPr>
      <w:r w:rsidRPr="008A7487">
        <w:rPr>
          <w:rFonts w:ascii="Times New Roman" w:hAnsi="Times New Roman" w:cs="Times New Roman"/>
          <w:sz w:val="16"/>
          <w:szCs w:val="16"/>
          <w:lang w:val="en-GB"/>
        </w:rPr>
        <w:t>the yearly gro</w:t>
      </w:r>
      <w:r>
        <w:rPr>
          <w:rFonts w:ascii="Times New Roman" w:hAnsi="Times New Roman" w:cs="Times New Roman"/>
          <w:sz w:val="16"/>
          <w:szCs w:val="16"/>
          <w:lang w:val="en-GB"/>
        </w:rPr>
        <w:t xml:space="preserve">wth in consumer price index. </w:t>
      </w:r>
      <w:r w:rsidRPr="008A7487">
        <w:rPr>
          <w:rFonts w:ascii="Times New Roman" w:hAnsi="Times New Roman" w:cs="Times New Roman"/>
          <w:sz w:val="16"/>
          <w:szCs w:val="16"/>
          <w:lang w:val="en-GB"/>
        </w:rPr>
        <w:t xml:space="preserve">*, **, *** indicate significance at 10%, 5% and 1% level respectively. </w:t>
      </w:r>
    </w:p>
    <w:p w14:paraId="1C293BF2" w14:textId="77777777" w:rsidR="00B75F05" w:rsidRPr="008A7487" w:rsidRDefault="00B75F05" w:rsidP="00B75F05">
      <w:pPr>
        <w:spacing w:after="0"/>
        <w:rPr>
          <w:rFonts w:ascii="Times New Roman" w:hAnsi="Times New Roman" w:cs="Times New Roman"/>
          <w:sz w:val="16"/>
          <w:szCs w:val="16"/>
          <w:lang w:val="en-GB"/>
        </w:rPr>
      </w:pPr>
    </w:p>
    <w:p w14:paraId="74ED7466" w14:textId="77777777" w:rsidR="00B75F05" w:rsidRPr="008A7487" w:rsidRDefault="00B75F05" w:rsidP="00B75F05">
      <w:pPr>
        <w:spacing w:after="0"/>
        <w:rPr>
          <w:rFonts w:ascii="Times New Roman" w:hAnsi="Times New Roman" w:cs="Times New Roman"/>
          <w:sz w:val="16"/>
          <w:szCs w:val="16"/>
          <w:lang w:val="en-GB"/>
        </w:rPr>
      </w:pPr>
    </w:p>
    <w:p w14:paraId="549763D1" w14:textId="77777777" w:rsidR="00B75F05" w:rsidRDefault="00B75F05" w:rsidP="00B75F05">
      <w:pPr>
        <w:spacing w:after="0"/>
        <w:rPr>
          <w:rFonts w:ascii="Times New Roman" w:hAnsi="Times New Roman" w:cs="Times New Roman"/>
          <w:sz w:val="16"/>
          <w:szCs w:val="16"/>
          <w:lang w:val="en-GB"/>
        </w:rPr>
      </w:pPr>
    </w:p>
    <w:p w14:paraId="4EDD1F05" w14:textId="77777777" w:rsidR="00B75F05" w:rsidRDefault="00B75F05" w:rsidP="00B75F05">
      <w:pPr>
        <w:spacing w:after="0"/>
        <w:rPr>
          <w:rFonts w:ascii="Times New Roman" w:hAnsi="Times New Roman" w:cs="Times New Roman"/>
          <w:sz w:val="16"/>
          <w:szCs w:val="16"/>
          <w:lang w:val="en-GB"/>
        </w:rPr>
      </w:pPr>
    </w:p>
    <w:p w14:paraId="13FBD158" w14:textId="77777777" w:rsidR="00B75F05" w:rsidRDefault="00B75F05" w:rsidP="00B75F05">
      <w:pPr>
        <w:spacing w:after="0"/>
        <w:rPr>
          <w:rFonts w:ascii="Times New Roman" w:hAnsi="Times New Roman" w:cs="Times New Roman"/>
          <w:sz w:val="16"/>
          <w:szCs w:val="16"/>
          <w:lang w:val="en-GB"/>
        </w:rPr>
      </w:pPr>
    </w:p>
    <w:p w14:paraId="3E9ADE3B" w14:textId="77777777" w:rsidR="00B75F05" w:rsidRDefault="00B75F05" w:rsidP="00B75F05">
      <w:pPr>
        <w:spacing w:after="0"/>
        <w:rPr>
          <w:rFonts w:ascii="Times New Roman" w:hAnsi="Times New Roman" w:cs="Times New Roman"/>
          <w:sz w:val="16"/>
          <w:szCs w:val="16"/>
          <w:lang w:val="en-GB"/>
        </w:rPr>
      </w:pPr>
    </w:p>
    <w:p w14:paraId="564C5F4A" w14:textId="77777777" w:rsidR="00B75F05" w:rsidRDefault="00B75F05" w:rsidP="00B75F05">
      <w:pPr>
        <w:spacing w:after="0"/>
        <w:rPr>
          <w:rFonts w:ascii="Times New Roman" w:hAnsi="Times New Roman" w:cs="Times New Roman"/>
          <w:sz w:val="16"/>
          <w:szCs w:val="16"/>
          <w:lang w:val="en-GB"/>
        </w:rPr>
      </w:pPr>
    </w:p>
    <w:p w14:paraId="4AF07C43" w14:textId="77777777" w:rsidR="00B75F05" w:rsidRDefault="00B75F05" w:rsidP="00B75F05">
      <w:pPr>
        <w:spacing w:after="0"/>
        <w:rPr>
          <w:rFonts w:ascii="Times New Roman" w:hAnsi="Times New Roman" w:cs="Times New Roman"/>
          <w:sz w:val="16"/>
          <w:szCs w:val="16"/>
          <w:lang w:val="en-GB"/>
        </w:rPr>
      </w:pPr>
    </w:p>
    <w:p w14:paraId="06DC0324" w14:textId="77777777" w:rsidR="00B75F05" w:rsidRDefault="00B75F05" w:rsidP="00B75F05">
      <w:pPr>
        <w:spacing w:after="0"/>
        <w:rPr>
          <w:rFonts w:ascii="Times New Roman" w:hAnsi="Times New Roman" w:cs="Times New Roman"/>
          <w:sz w:val="16"/>
          <w:szCs w:val="16"/>
          <w:lang w:val="en-GB"/>
        </w:rPr>
      </w:pPr>
    </w:p>
    <w:p w14:paraId="417125AA" w14:textId="77777777" w:rsidR="00B75F05" w:rsidRDefault="00B75F05" w:rsidP="00B75F05">
      <w:pPr>
        <w:spacing w:after="0"/>
        <w:rPr>
          <w:rFonts w:ascii="Times New Roman" w:hAnsi="Times New Roman" w:cs="Times New Roman"/>
          <w:sz w:val="16"/>
          <w:szCs w:val="16"/>
          <w:lang w:val="en-GB"/>
        </w:rPr>
      </w:pPr>
    </w:p>
    <w:p w14:paraId="2CBEBD55" w14:textId="77777777" w:rsidR="00B75F05" w:rsidRDefault="00B75F05" w:rsidP="00B75F05">
      <w:pPr>
        <w:spacing w:after="0"/>
        <w:rPr>
          <w:rFonts w:ascii="Times New Roman" w:hAnsi="Times New Roman" w:cs="Times New Roman"/>
          <w:sz w:val="16"/>
          <w:szCs w:val="16"/>
          <w:lang w:val="en-GB"/>
        </w:rPr>
      </w:pPr>
    </w:p>
    <w:p w14:paraId="2C721FCD" w14:textId="77777777" w:rsidR="00B75F05" w:rsidRDefault="00B75F05" w:rsidP="00B75F05">
      <w:pPr>
        <w:spacing w:after="0"/>
        <w:rPr>
          <w:rFonts w:ascii="Times New Roman" w:hAnsi="Times New Roman" w:cs="Times New Roman"/>
          <w:sz w:val="16"/>
          <w:szCs w:val="16"/>
          <w:lang w:val="en-GB"/>
        </w:rPr>
      </w:pPr>
    </w:p>
    <w:p w14:paraId="313ABE9C" w14:textId="77777777" w:rsidR="00B75F05" w:rsidRDefault="00B75F05" w:rsidP="00B75F05">
      <w:pPr>
        <w:spacing w:after="0"/>
        <w:rPr>
          <w:rFonts w:ascii="Times New Roman" w:hAnsi="Times New Roman" w:cs="Times New Roman"/>
          <w:sz w:val="16"/>
          <w:szCs w:val="16"/>
          <w:lang w:val="en-GB"/>
        </w:rPr>
      </w:pPr>
    </w:p>
    <w:p w14:paraId="35AF36EC" w14:textId="77777777" w:rsidR="00B75F05" w:rsidRDefault="00B75F05" w:rsidP="00B75F05">
      <w:pPr>
        <w:spacing w:after="0"/>
        <w:rPr>
          <w:rFonts w:ascii="Times New Roman" w:hAnsi="Times New Roman" w:cs="Times New Roman"/>
          <w:sz w:val="16"/>
          <w:szCs w:val="16"/>
          <w:lang w:val="en-GB"/>
        </w:rPr>
      </w:pPr>
    </w:p>
    <w:p w14:paraId="1DDAC3D1" w14:textId="77777777" w:rsidR="00B75F05" w:rsidRDefault="00B75F05" w:rsidP="00B75F05">
      <w:pPr>
        <w:spacing w:after="0"/>
        <w:rPr>
          <w:rFonts w:ascii="Times New Roman" w:hAnsi="Times New Roman" w:cs="Times New Roman"/>
          <w:sz w:val="16"/>
          <w:szCs w:val="16"/>
          <w:lang w:val="en-GB"/>
        </w:rPr>
      </w:pPr>
    </w:p>
    <w:p w14:paraId="6C96F8B9" w14:textId="77777777" w:rsidR="00B75F05" w:rsidRDefault="00B75F05" w:rsidP="00B75F05">
      <w:pPr>
        <w:spacing w:after="0"/>
        <w:rPr>
          <w:rFonts w:ascii="Times New Roman" w:hAnsi="Times New Roman" w:cs="Times New Roman"/>
          <w:sz w:val="16"/>
          <w:szCs w:val="16"/>
          <w:lang w:val="en-GB"/>
        </w:rPr>
      </w:pPr>
    </w:p>
    <w:p w14:paraId="76D0BC34" w14:textId="77777777" w:rsidR="00B75F05" w:rsidRDefault="00B75F05" w:rsidP="00B75F05">
      <w:pPr>
        <w:spacing w:after="0"/>
        <w:rPr>
          <w:rFonts w:ascii="Times New Roman" w:hAnsi="Times New Roman" w:cs="Times New Roman"/>
          <w:sz w:val="16"/>
          <w:szCs w:val="16"/>
          <w:lang w:val="en-GB"/>
        </w:rPr>
      </w:pPr>
    </w:p>
    <w:p w14:paraId="40D0FF6A" w14:textId="77777777" w:rsidR="00B75F05" w:rsidRDefault="00B75F05" w:rsidP="00B75F05">
      <w:pPr>
        <w:spacing w:after="0"/>
        <w:rPr>
          <w:rFonts w:ascii="Times New Roman" w:hAnsi="Times New Roman" w:cs="Times New Roman"/>
          <w:sz w:val="16"/>
          <w:szCs w:val="16"/>
          <w:lang w:val="en-GB"/>
        </w:rPr>
      </w:pPr>
    </w:p>
    <w:p w14:paraId="2CE36E55" w14:textId="77777777" w:rsidR="00B75F05" w:rsidRDefault="00B75F05" w:rsidP="00B75F05">
      <w:pPr>
        <w:spacing w:after="0"/>
        <w:rPr>
          <w:rFonts w:ascii="Times New Roman" w:hAnsi="Times New Roman" w:cs="Times New Roman"/>
          <w:sz w:val="16"/>
          <w:szCs w:val="16"/>
          <w:lang w:val="en-GB"/>
        </w:rPr>
      </w:pPr>
    </w:p>
    <w:p w14:paraId="2C0C9124" w14:textId="77777777" w:rsidR="00B75F05" w:rsidRDefault="00B75F05" w:rsidP="00B75F05">
      <w:pPr>
        <w:spacing w:after="0"/>
        <w:rPr>
          <w:rFonts w:ascii="Times New Roman" w:hAnsi="Times New Roman" w:cs="Times New Roman"/>
          <w:sz w:val="16"/>
          <w:szCs w:val="16"/>
          <w:lang w:val="en-GB"/>
        </w:rPr>
      </w:pPr>
    </w:p>
    <w:p w14:paraId="7928D8E2" w14:textId="77777777" w:rsidR="00B75F05" w:rsidRDefault="00B75F05" w:rsidP="00B75F05">
      <w:pPr>
        <w:spacing w:after="0"/>
        <w:rPr>
          <w:rFonts w:ascii="Times New Roman" w:hAnsi="Times New Roman" w:cs="Times New Roman"/>
          <w:sz w:val="16"/>
          <w:szCs w:val="16"/>
          <w:lang w:val="en-GB"/>
        </w:rPr>
      </w:pPr>
    </w:p>
    <w:p w14:paraId="2F1548E5" w14:textId="77777777" w:rsidR="00B75F05" w:rsidRDefault="00B75F05" w:rsidP="00B75F05">
      <w:pPr>
        <w:spacing w:after="0"/>
        <w:rPr>
          <w:rFonts w:ascii="Times New Roman" w:hAnsi="Times New Roman" w:cs="Times New Roman"/>
          <w:sz w:val="16"/>
          <w:szCs w:val="16"/>
          <w:lang w:val="en-GB"/>
        </w:rPr>
      </w:pPr>
    </w:p>
    <w:p w14:paraId="5E9A3728" w14:textId="77777777" w:rsidR="00B75F05" w:rsidRDefault="00B75F05" w:rsidP="00B75F05">
      <w:pPr>
        <w:spacing w:after="0"/>
        <w:rPr>
          <w:rFonts w:ascii="Times New Roman" w:hAnsi="Times New Roman" w:cs="Times New Roman"/>
          <w:sz w:val="16"/>
          <w:szCs w:val="16"/>
          <w:lang w:val="en-GB"/>
        </w:rPr>
      </w:pPr>
    </w:p>
    <w:p w14:paraId="5D42DBB0" w14:textId="77777777" w:rsidR="00B75F05" w:rsidRDefault="00B75F05" w:rsidP="00B75F05">
      <w:pPr>
        <w:spacing w:after="0"/>
        <w:rPr>
          <w:rFonts w:ascii="Times New Roman" w:hAnsi="Times New Roman" w:cs="Times New Roman"/>
          <w:sz w:val="16"/>
          <w:szCs w:val="16"/>
          <w:lang w:val="en-GB"/>
        </w:rPr>
      </w:pPr>
    </w:p>
    <w:p w14:paraId="68F2C6D4" w14:textId="77777777" w:rsidR="00B75F05" w:rsidRPr="008A7487" w:rsidRDefault="00B75F05" w:rsidP="00B75F05">
      <w:pPr>
        <w:spacing w:after="0"/>
        <w:rPr>
          <w:rFonts w:ascii="Times New Roman" w:hAnsi="Times New Roman" w:cs="Times New Roman"/>
          <w:sz w:val="16"/>
          <w:szCs w:val="16"/>
          <w:lang w:val="en-GB"/>
        </w:rPr>
      </w:pPr>
    </w:p>
    <w:p w14:paraId="44C28F54" w14:textId="77777777" w:rsidR="00B75F05" w:rsidRPr="008A7487" w:rsidRDefault="00B75F05" w:rsidP="00B75F05">
      <w:pPr>
        <w:spacing w:after="0"/>
        <w:rPr>
          <w:rFonts w:ascii="Times New Roman" w:hAnsi="Times New Roman" w:cs="Times New Roman"/>
          <w:sz w:val="16"/>
          <w:szCs w:val="16"/>
          <w:lang w:val="en-GB"/>
        </w:rPr>
      </w:pPr>
    </w:p>
    <w:p w14:paraId="77015AF6" w14:textId="77777777" w:rsidR="00B75F05" w:rsidRPr="008A7487" w:rsidRDefault="00B75F05" w:rsidP="00B75F05">
      <w:pPr>
        <w:spacing w:after="0"/>
        <w:rPr>
          <w:rFonts w:ascii="Times New Roman" w:hAnsi="Times New Roman" w:cs="Times New Roman"/>
          <w:sz w:val="16"/>
          <w:szCs w:val="16"/>
          <w:lang w:val="en-GB"/>
        </w:rPr>
      </w:pPr>
    </w:p>
    <w:p w14:paraId="0A0B7A38" w14:textId="77777777" w:rsidR="00B75F05" w:rsidRPr="008A7487" w:rsidRDefault="00B75F05" w:rsidP="00B75F05">
      <w:pPr>
        <w:spacing w:after="0"/>
        <w:rPr>
          <w:rFonts w:ascii="Times New Roman" w:hAnsi="Times New Roman" w:cs="Times New Roman"/>
          <w:sz w:val="16"/>
          <w:szCs w:val="16"/>
          <w:lang w:val="en-GB"/>
        </w:rPr>
      </w:pPr>
    </w:p>
    <w:p w14:paraId="755C6AB7" w14:textId="77777777" w:rsidR="00B75F05" w:rsidRPr="008A7487" w:rsidRDefault="00B75F05" w:rsidP="00B75F05">
      <w:pPr>
        <w:spacing w:after="0" w:line="240" w:lineRule="auto"/>
        <w:rPr>
          <w:rFonts w:ascii="Times New Roman" w:hAnsi="Times New Roman" w:cs="Times New Roman"/>
          <w:b/>
          <w:sz w:val="20"/>
          <w:szCs w:val="20"/>
        </w:rPr>
      </w:pPr>
    </w:p>
    <w:p w14:paraId="7576ED68" w14:textId="77777777" w:rsidR="00B75F05" w:rsidRPr="008A7487" w:rsidRDefault="00B75F05" w:rsidP="00B75F05">
      <w:pPr>
        <w:autoSpaceDE w:val="0"/>
        <w:autoSpaceDN w:val="0"/>
        <w:adjustRightInd w:val="0"/>
        <w:spacing w:after="0" w:line="240" w:lineRule="auto"/>
        <w:rPr>
          <w:rFonts w:ascii="Times New Roman" w:hAnsi="Times New Roman" w:cs="Times New Roman"/>
          <w:b/>
          <w:sz w:val="20"/>
          <w:szCs w:val="20"/>
          <w:lang w:val="en-GB"/>
        </w:rPr>
      </w:pPr>
      <w:r>
        <w:rPr>
          <w:rFonts w:ascii="Times New Roman" w:hAnsi="Times New Roman" w:cs="Times New Roman"/>
          <w:b/>
          <w:sz w:val="20"/>
          <w:szCs w:val="20"/>
        </w:rPr>
        <w:t>Table 6</w:t>
      </w:r>
      <w:r w:rsidRPr="008A7487">
        <w:rPr>
          <w:rFonts w:ascii="Times New Roman" w:hAnsi="Times New Roman" w:cs="Times New Roman"/>
          <w:b/>
          <w:sz w:val="20"/>
          <w:szCs w:val="20"/>
        </w:rPr>
        <w:t xml:space="preserve">: </w:t>
      </w:r>
      <w:r w:rsidRPr="008A7487">
        <w:rPr>
          <w:rFonts w:ascii="Times New Roman" w:hAnsi="Times New Roman" w:cs="Times New Roman"/>
          <w:b/>
          <w:sz w:val="20"/>
          <w:szCs w:val="20"/>
          <w:lang w:val="en-GB"/>
        </w:rPr>
        <w:t xml:space="preserve">Fixed Effects- ROA as the Dependent Variable </w:t>
      </w:r>
    </w:p>
    <w:tbl>
      <w:tblPr>
        <w:tblStyle w:val="TableGrid"/>
        <w:tblW w:w="0" w:type="auto"/>
        <w:tblInd w:w="108" w:type="dxa"/>
        <w:tblLook w:val="04A0" w:firstRow="1" w:lastRow="0" w:firstColumn="1" w:lastColumn="0" w:noHBand="0" w:noVBand="1"/>
      </w:tblPr>
      <w:tblGrid>
        <w:gridCol w:w="1186"/>
        <w:gridCol w:w="973"/>
        <w:gridCol w:w="974"/>
        <w:gridCol w:w="950"/>
        <w:gridCol w:w="960"/>
        <w:gridCol w:w="957"/>
        <w:gridCol w:w="1230"/>
      </w:tblGrid>
      <w:tr w:rsidR="00B75F05" w:rsidRPr="008A7487" w14:paraId="4DBB6870" w14:textId="77777777" w:rsidTr="00C21D6F">
        <w:tc>
          <w:tcPr>
            <w:tcW w:w="1186" w:type="dxa"/>
          </w:tcPr>
          <w:p w14:paraId="6E7EA398" w14:textId="77777777" w:rsidR="00B75F05" w:rsidRPr="008A7487" w:rsidRDefault="00B75F05" w:rsidP="00C21D6F">
            <w:pPr>
              <w:spacing w:line="480" w:lineRule="auto"/>
              <w:contextualSpacing/>
              <w:rPr>
                <w:rFonts w:ascii="Times New Roman" w:hAnsi="Times New Roman" w:cs="Times New Roman"/>
                <w:b/>
                <w:sz w:val="16"/>
                <w:szCs w:val="16"/>
              </w:rPr>
            </w:pPr>
          </w:p>
        </w:tc>
        <w:tc>
          <w:tcPr>
            <w:tcW w:w="1947" w:type="dxa"/>
            <w:gridSpan w:val="2"/>
          </w:tcPr>
          <w:p w14:paraId="0B56DEF4" w14:textId="77777777" w:rsidR="00B75F05" w:rsidRPr="008A7487" w:rsidRDefault="00B75F05" w:rsidP="00C21D6F">
            <w:pPr>
              <w:contextualSpacing/>
              <w:jc w:val="center"/>
              <w:rPr>
                <w:rFonts w:ascii="Times New Roman" w:hAnsi="Times New Roman" w:cs="Times New Roman"/>
                <w:b/>
                <w:sz w:val="16"/>
                <w:szCs w:val="16"/>
              </w:rPr>
            </w:pPr>
            <w:r w:rsidRPr="008A7487">
              <w:rPr>
                <w:rFonts w:ascii="Times New Roman" w:hAnsi="Times New Roman" w:cs="Times New Roman"/>
                <w:b/>
                <w:sz w:val="16"/>
                <w:szCs w:val="16"/>
              </w:rPr>
              <w:t>Column 1</w:t>
            </w:r>
          </w:p>
        </w:tc>
        <w:tc>
          <w:tcPr>
            <w:tcW w:w="1910" w:type="dxa"/>
            <w:gridSpan w:val="2"/>
          </w:tcPr>
          <w:p w14:paraId="1EB3FD4D" w14:textId="77777777" w:rsidR="00B75F05" w:rsidRPr="008A7487" w:rsidRDefault="00B75F05" w:rsidP="00C21D6F">
            <w:pPr>
              <w:contextualSpacing/>
              <w:jc w:val="center"/>
              <w:rPr>
                <w:rFonts w:ascii="Times New Roman" w:hAnsi="Times New Roman" w:cs="Times New Roman"/>
                <w:b/>
                <w:sz w:val="16"/>
                <w:szCs w:val="16"/>
              </w:rPr>
            </w:pPr>
            <w:r w:rsidRPr="008A7487">
              <w:rPr>
                <w:rFonts w:ascii="Times New Roman" w:hAnsi="Times New Roman" w:cs="Times New Roman"/>
                <w:b/>
                <w:sz w:val="16"/>
                <w:szCs w:val="16"/>
              </w:rPr>
              <w:t>Column 2</w:t>
            </w:r>
          </w:p>
        </w:tc>
        <w:tc>
          <w:tcPr>
            <w:tcW w:w="2187" w:type="dxa"/>
            <w:gridSpan w:val="2"/>
          </w:tcPr>
          <w:p w14:paraId="7A093176" w14:textId="77777777" w:rsidR="00B75F05" w:rsidRPr="008A7487" w:rsidRDefault="00B75F05" w:rsidP="00C21D6F">
            <w:pPr>
              <w:contextualSpacing/>
              <w:jc w:val="center"/>
              <w:rPr>
                <w:rFonts w:ascii="Times New Roman" w:hAnsi="Times New Roman" w:cs="Times New Roman"/>
                <w:b/>
                <w:sz w:val="16"/>
                <w:szCs w:val="16"/>
              </w:rPr>
            </w:pPr>
            <w:r w:rsidRPr="008A7487">
              <w:rPr>
                <w:rFonts w:ascii="Times New Roman" w:hAnsi="Times New Roman" w:cs="Times New Roman"/>
                <w:b/>
                <w:sz w:val="16"/>
                <w:szCs w:val="16"/>
              </w:rPr>
              <w:t>Column 3</w:t>
            </w:r>
          </w:p>
        </w:tc>
      </w:tr>
      <w:tr w:rsidR="00B75F05" w:rsidRPr="008A7487" w14:paraId="367A2042" w14:textId="77777777" w:rsidTr="00C21D6F">
        <w:tc>
          <w:tcPr>
            <w:tcW w:w="1186" w:type="dxa"/>
          </w:tcPr>
          <w:p w14:paraId="29A2722C" w14:textId="77777777" w:rsidR="00B75F05" w:rsidRPr="008A7487" w:rsidRDefault="00B75F05" w:rsidP="00C21D6F">
            <w:pPr>
              <w:spacing w:line="480" w:lineRule="auto"/>
              <w:contextualSpacing/>
              <w:rPr>
                <w:rFonts w:ascii="Times New Roman" w:hAnsi="Times New Roman" w:cs="Times New Roman"/>
                <w:b/>
                <w:sz w:val="16"/>
                <w:szCs w:val="16"/>
              </w:rPr>
            </w:pPr>
            <w:r w:rsidRPr="008A7487">
              <w:rPr>
                <w:rFonts w:ascii="Times New Roman" w:hAnsi="Times New Roman" w:cs="Times New Roman"/>
                <w:b/>
                <w:sz w:val="16"/>
                <w:szCs w:val="16"/>
              </w:rPr>
              <w:t>ROA</w:t>
            </w:r>
          </w:p>
        </w:tc>
        <w:tc>
          <w:tcPr>
            <w:tcW w:w="1947" w:type="dxa"/>
            <w:gridSpan w:val="2"/>
          </w:tcPr>
          <w:p w14:paraId="5802C186" w14:textId="77777777" w:rsidR="00B75F05" w:rsidRPr="008A7487" w:rsidRDefault="00B75F05" w:rsidP="00C21D6F">
            <w:pPr>
              <w:contextualSpacing/>
              <w:rPr>
                <w:rFonts w:ascii="Times New Roman" w:hAnsi="Times New Roman" w:cs="Times New Roman"/>
                <w:b/>
                <w:sz w:val="16"/>
                <w:szCs w:val="16"/>
              </w:rPr>
            </w:pPr>
            <w:r w:rsidRPr="008A7487">
              <w:rPr>
                <w:rFonts w:ascii="Times New Roman" w:hAnsi="Times New Roman" w:cs="Times New Roman"/>
                <w:b/>
                <w:sz w:val="16"/>
                <w:szCs w:val="16"/>
              </w:rPr>
              <w:t>Before the crisis (1999-2006)</w:t>
            </w:r>
          </w:p>
        </w:tc>
        <w:tc>
          <w:tcPr>
            <w:tcW w:w="1910" w:type="dxa"/>
            <w:gridSpan w:val="2"/>
          </w:tcPr>
          <w:p w14:paraId="7CC70CB7" w14:textId="77777777" w:rsidR="00B75F05" w:rsidRPr="008A7487" w:rsidRDefault="00B75F05" w:rsidP="00C21D6F">
            <w:pPr>
              <w:contextualSpacing/>
              <w:rPr>
                <w:rFonts w:ascii="Times New Roman" w:hAnsi="Times New Roman" w:cs="Times New Roman"/>
                <w:b/>
                <w:sz w:val="16"/>
                <w:szCs w:val="16"/>
              </w:rPr>
            </w:pPr>
            <w:r w:rsidRPr="008A7487">
              <w:rPr>
                <w:rFonts w:ascii="Times New Roman" w:hAnsi="Times New Roman" w:cs="Times New Roman"/>
                <w:b/>
                <w:sz w:val="16"/>
                <w:szCs w:val="16"/>
              </w:rPr>
              <w:t>During the crisis</w:t>
            </w:r>
          </w:p>
          <w:p w14:paraId="7B3FBCEA" w14:textId="77777777" w:rsidR="00B75F05" w:rsidRPr="008A7487" w:rsidRDefault="00B75F05" w:rsidP="00C21D6F">
            <w:pPr>
              <w:contextualSpacing/>
              <w:rPr>
                <w:rFonts w:ascii="Times New Roman" w:hAnsi="Times New Roman" w:cs="Times New Roman"/>
                <w:b/>
                <w:sz w:val="16"/>
                <w:szCs w:val="16"/>
              </w:rPr>
            </w:pPr>
            <w:r w:rsidRPr="008A7487">
              <w:rPr>
                <w:rFonts w:ascii="Times New Roman" w:hAnsi="Times New Roman" w:cs="Times New Roman"/>
                <w:b/>
                <w:sz w:val="16"/>
                <w:szCs w:val="16"/>
              </w:rPr>
              <w:t>(2007-2009)</w:t>
            </w:r>
          </w:p>
        </w:tc>
        <w:tc>
          <w:tcPr>
            <w:tcW w:w="2187" w:type="dxa"/>
            <w:gridSpan w:val="2"/>
          </w:tcPr>
          <w:p w14:paraId="573F67B3" w14:textId="77777777" w:rsidR="00B75F05" w:rsidRPr="008A7487" w:rsidRDefault="00B75F05" w:rsidP="00C21D6F">
            <w:pPr>
              <w:contextualSpacing/>
              <w:rPr>
                <w:rFonts w:ascii="Times New Roman" w:hAnsi="Times New Roman" w:cs="Times New Roman"/>
                <w:b/>
                <w:sz w:val="16"/>
                <w:szCs w:val="16"/>
              </w:rPr>
            </w:pPr>
            <w:r w:rsidRPr="008A7487">
              <w:rPr>
                <w:rFonts w:ascii="Times New Roman" w:hAnsi="Times New Roman" w:cs="Times New Roman"/>
                <w:b/>
                <w:sz w:val="16"/>
                <w:szCs w:val="16"/>
              </w:rPr>
              <w:t>After the crisis (2010-2013)</w:t>
            </w:r>
          </w:p>
        </w:tc>
      </w:tr>
      <w:tr w:rsidR="00B75F05" w:rsidRPr="008A7487" w14:paraId="0BC9A067" w14:textId="77777777" w:rsidTr="00C21D6F">
        <w:tc>
          <w:tcPr>
            <w:tcW w:w="1186" w:type="dxa"/>
          </w:tcPr>
          <w:p w14:paraId="063462D7" w14:textId="77777777" w:rsidR="00B75F05" w:rsidRPr="008A7487" w:rsidRDefault="00B75F05" w:rsidP="00C21D6F">
            <w:pPr>
              <w:spacing w:line="480" w:lineRule="auto"/>
              <w:contextualSpacing/>
              <w:rPr>
                <w:rFonts w:ascii="Times New Roman" w:hAnsi="Times New Roman" w:cs="Times New Roman"/>
                <w:sz w:val="16"/>
                <w:szCs w:val="16"/>
              </w:rPr>
            </w:pPr>
          </w:p>
        </w:tc>
        <w:tc>
          <w:tcPr>
            <w:tcW w:w="973" w:type="dxa"/>
            <w:vAlign w:val="bottom"/>
          </w:tcPr>
          <w:p w14:paraId="22C083EF" w14:textId="77777777" w:rsidR="00B75F05" w:rsidRPr="008A7487" w:rsidRDefault="00B75F05" w:rsidP="00C21D6F">
            <w:pPr>
              <w:autoSpaceDE w:val="0"/>
              <w:autoSpaceDN w:val="0"/>
              <w:adjustRightInd w:val="0"/>
              <w:ind w:right="10"/>
              <w:jc w:val="right"/>
              <w:rPr>
                <w:rFonts w:ascii="Times New Roman" w:hAnsi="Times New Roman" w:cs="Times New Roman"/>
                <w:color w:val="000000"/>
                <w:sz w:val="16"/>
                <w:szCs w:val="16"/>
                <w:lang w:val="en-GB"/>
              </w:rPr>
            </w:pPr>
            <w:r w:rsidRPr="008A7487">
              <w:rPr>
                <w:rFonts w:ascii="Times New Roman" w:hAnsi="Times New Roman" w:cs="Times New Roman"/>
                <w:color w:val="000000"/>
                <w:sz w:val="16"/>
                <w:szCs w:val="16"/>
                <w:lang w:val="en-GB"/>
              </w:rPr>
              <w:t>Coeff</w:t>
            </w:r>
          </w:p>
        </w:tc>
        <w:tc>
          <w:tcPr>
            <w:tcW w:w="974" w:type="dxa"/>
            <w:vAlign w:val="bottom"/>
          </w:tcPr>
          <w:p w14:paraId="4E9239A5" w14:textId="77777777" w:rsidR="00B75F05" w:rsidRPr="008A7487" w:rsidRDefault="00B75F05" w:rsidP="00C21D6F">
            <w:pPr>
              <w:autoSpaceDE w:val="0"/>
              <w:autoSpaceDN w:val="0"/>
              <w:adjustRightInd w:val="0"/>
              <w:ind w:right="10"/>
              <w:jc w:val="right"/>
              <w:rPr>
                <w:rFonts w:ascii="Times New Roman" w:hAnsi="Times New Roman" w:cs="Times New Roman"/>
                <w:color w:val="000000"/>
                <w:sz w:val="16"/>
                <w:szCs w:val="16"/>
                <w:lang w:val="en-GB"/>
              </w:rPr>
            </w:pPr>
            <w:r w:rsidRPr="008A7487">
              <w:rPr>
                <w:rFonts w:ascii="Times New Roman" w:hAnsi="Times New Roman" w:cs="Times New Roman"/>
                <w:color w:val="000000"/>
                <w:sz w:val="16"/>
                <w:szCs w:val="16"/>
                <w:lang w:val="en-GB"/>
              </w:rPr>
              <w:t>T-Stat</w:t>
            </w:r>
          </w:p>
        </w:tc>
        <w:tc>
          <w:tcPr>
            <w:tcW w:w="950" w:type="dxa"/>
            <w:vAlign w:val="bottom"/>
          </w:tcPr>
          <w:p w14:paraId="5ABA5644" w14:textId="77777777" w:rsidR="00B75F05" w:rsidRPr="008A7487" w:rsidRDefault="00B75F05" w:rsidP="00C21D6F">
            <w:pPr>
              <w:autoSpaceDE w:val="0"/>
              <w:autoSpaceDN w:val="0"/>
              <w:adjustRightInd w:val="0"/>
              <w:ind w:right="10"/>
              <w:jc w:val="right"/>
              <w:rPr>
                <w:rFonts w:ascii="Times New Roman" w:hAnsi="Times New Roman" w:cs="Times New Roman"/>
                <w:color w:val="000000"/>
                <w:sz w:val="16"/>
                <w:szCs w:val="16"/>
                <w:lang w:val="en-GB"/>
              </w:rPr>
            </w:pPr>
            <w:r w:rsidRPr="008A7487">
              <w:rPr>
                <w:rFonts w:ascii="Times New Roman" w:hAnsi="Times New Roman" w:cs="Times New Roman"/>
                <w:color w:val="000000"/>
                <w:sz w:val="16"/>
                <w:szCs w:val="16"/>
                <w:lang w:val="en-GB"/>
              </w:rPr>
              <w:t>Coeff</w:t>
            </w:r>
          </w:p>
        </w:tc>
        <w:tc>
          <w:tcPr>
            <w:tcW w:w="960" w:type="dxa"/>
            <w:vAlign w:val="bottom"/>
          </w:tcPr>
          <w:p w14:paraId="398C5B0D" w14:textId="77777777" w:rsidR="00B75F05" w:rsidRPr="008A7487" w:rsidRDefault="00B75F05" w:rsidP="00C21D6F">
            <w:pPr>
              <w:autoSpaceDE w:val="0"/>
              <w:autoSpaceDN w:val="0"/>
              <w:adjustRightInd w:val="0"/>
              <w:ind w:right="10"/>
              <w:jc w:val="right"/>
              <w:rPr>
                <w:rFonts w:ascii="Times New Roman" w:hAnsi="Times New Roman" w:cs="Times New Roman"/>
                <w:color w:val="000000"/>
                <w:sz w:val="16"/>
                <w:szCs w:val="16"/>
                <w:lang w:val="en-GB"/>
              </w:rPr>
            </w:pPr>
            <w:r w:rsidRPr="008A7487">
              <w:rPr>
                <w:rFonts w:ascii="Times New Roman" w:hAnsi="Times New Roman" w:cs="Times New Roman"/>
                <w:color w:val="000000"/>
                <w:sz w:val="16"/>
                <w:szCs w:val="16"/>
                <w:lang w:val="en-GB"/>
              </w:rPr>
              <w:t xml:space="preserve">T-Stat </w:t>
            </w:r>
          </w:p>
        </w:tc>
        <w:tc>
          <w:tcPr>
            <w:tcW w:w="957" w:type="dxa"/>
            <w:vAlign w:val="bottom"/>
          </w:tcPr>
          <w:p w14:paraId="588DCE39" w14:textId="77777777" w:rsidR="00B75F05" w:rsidRPr="008A7487" w:rsidRDefault="00B75F05" w:rsidP="00C21D6F">
            <w:pPr>
              <w:autoSpaceDE w:val="0"/>
              <w:autoSpaceDN w:val="0"/>
              <w:adjustRightInd w:val="0"/>
              <w:ind w:right="10"/>
              <w:jc w:val="right"/>
              <w:rPr>
                <w:rFonts w:ascii="Times New Roman" w:hAnsi="Times New Roman" w:cs="Times New Roman"/>
                <w:color w:val="000000"/>
                <w:sz w:val="16"/>
                <w:szCs w:val="16"/>
                <w:lang w:val="en-GB"/>
              </w:rPr>
            </w:pPr>
            <w:r w:rsidRPr="008A7487">
              <w:rPr>
                <w:rFonts w:ascii="Times New Roman" w:hAnsi="Times New Roman" w:cs="Times New Roman"/>
                <w:color w:val="000000"/>
                <w:sz w:val="16"/>
                <w:szCs w:val="16"/>
                <w:lang w:val="en-GB"/>
              </w:rPr>
              <w:t xml:space="preserve">Coeff </w:t>
            </w:r>
          </w:p>
        </w:tc>
        <w:tc>
          <w:tcPr>
            <w:tcW w:w="1230" w:type="dxa"/>
            <w:vAlign w:val="bottom"/>
          </w:tcPr>
          <w:p w14:paraId="532D4C01" w14:textId="77777777" w:rsidR="00B75F05" w:rsidRPr="008A7487" w:rsidRDefault="00B75F05" w:rsidP="00C21D6F">
            <w:pPr>
              <w:autoSpaceDE w:val="0"/>
              <w:autoSpaceDN w:val="0"/>
              <w:adjustRightInd w:val="0"/>
              <w:ind w:right="10"/>
              <w:jc w:val="right"/>
              <w:rPr>
                <w:rFonts w:ascii="Times New Roman" w:hAnsi="Times New Roman" w:cs="Times New Roman"/>
                <w:color w:val="000000"/>
                <w:sz w:val="16"/>
                <w:szCs w:val="16"/>
                <w:lang w:val="en-GB"/>
              </w:rPr>
            </w:pPr>
            <w:r w:rsidRPr="008A7487">
              <w:rPr>
                <w:rFonts w:ascii="Times New Roman" w:hAnsi="Times New Roman" w:cs="Times New Roman"/>
                <w:color w:val="000000"/>
                <w:sz w:val="16"/>
                <w:szCs w:val="16"/>
                <w:lang w:val="en-GB"/>
              </w:rPr>
              <w:t xml:space="preserve">T-Stat  </w:t>
            </w:r>
          </w:p>
        </w:tc>
      </w:tr>
      <w:tr w:rsidR="00B75F05" w:rsidRPr="008A7487" w14:paraId="65547602" w14:textId="77777777" w:rsidTr="00C21D6F">
        <w:tc>
          <w:tcPr>
            <w:tcW w:w="1186" w:type="dxa"/>
          </w:tcPr>
          <w:p w14:paraId="511B4152" w14:textId="77777777" w:rsidR="00B75F05" w:rsidRPr="008A7487" w:rsidRDefault="00B75F05" w:rsidP="00C21D6F">
            <w:pPr>
              <w:spacing w:line="480" w:lineRule="auto"/>
              <w:contextualSpacing/>
              <w:rPr>
                <w:rFonts w:ascii="Times New Roman" w:hAnsi="Times New Roman" w:cs="Times New Roman"/>
                <w:sz w:val="16"/>
                <w:szCs w:val="16"/>
              </w:rPr>
            </w:pPr>
            <w:r w:rsidRPr="008A7487">
              <w:rPr>
                <w:rFonts w:ascii="Times New Roman" w:hAnsi="Times New Roman" w:cs="Times New Roman"/>
                <w:sz w:val="16"/>
                <w:szCs w:val="16"/>
              </w:rPr>
              <w:t>LNSIZE</w:t>
            </w:r>
          </w:p>
        </w:tc>
        <w:tc>
          <w:tcPr>
            <w:tcW w:w="973" w:type="dxa"/>
            <w:vAlign w:val="bottom"/>
          </w:tcPr>
          <w:p w14:paraId="1DA5BF95" w14:textId="77777777" w:rsidR="00B75F05" w:rsidRPr="008A7487" w:rsidRDefault="00B75F05" w:rsidP="00C21D6F">
            <w:pPr>
              <w:autoSpaceDE w:val="0"/>
              <w:autoSpaceDN w:val="0"/>
              <w:adjustRightInd w:val="0"/>
              <w:ind w:right="10"/>
              <w:rPr>
                <w:rFonts w:ascii="Times New Roman" w:hAnsi="Times New Roman" w:cs="Times New Roman"/>
                <w:color w:val="000000"/>
                <w:sz w:val="16"/>
                <w:szCs w:val="16"/>
                <w:lang w:val="en-GB"/>
              </w:rPr>
            </w:pPr>
            <w:r w:rsidRPr="008A7487">
              <w:rPr>
                <w:rFonts w:ascii="Times New Roman" w:hAnsi="Times New Roman" w:cs="Times New Roman"/>
                <w:color w:val="000000"/>
                <w:sz w:val="16"/>
                <w:szCs w:val="16"/>
                <w:lang w:val="en-GB"/>
              </w:rPr>
              <w:t>0.30</w:t>
            </w:r>
          </w:p>
        </w:tc>
        <w:tc>
          <w:tcPr>
            <w:tcW w:w="974" w:type="dxa"/>
            <w:vAlign w:val="bottom"/>
          </w:tcPr>
          <w:p w14:paraId="7AB373F8" w14:textId="77777777" w:rsidR="00B75F05" w:rsidRPr="008A7487" w:rsidRDefault="00B75F05" w:rsidP="00C21D6F">
            <w:pPr>
              <w:autoSpaceDE w:val="0"/>
              <w:autoSpaceDN w:val="0"/>
              <w:adjustRightInd w:val="0"/>
              <w:ind w:right="10"/>
              <w:rPr>
                <w:rFonts w:ascii="Times New Roman" w:hAnsi="Times New Roman" w:cs="Times New Roman"/>
                <w:color w:val="000000"/>
                <w:sz w:val="16"/>
                <w:szCs w:val="16"/>
                <w:lang w:val="en-GB"/>
              </w:rPr>
            </w:pPr>
            <w:r w:rsidRPr="008A7487">
              <w:rPr>
                <w:rFonts w:ascii="Times New Roman" w:hAnsi="Times New Roman" w:cs="Times New Roman"/>
                <w:color w:val="000000"/>
                <w:sz w:val="16"/>
                <w:szCs w:val="16"/>
                <w:lang w:val="en-GB"/>
              </w:rPr>
              <w:t>2.36***</w:t>
            </w:r>
          </w:p>
        </w:tc>
        <w:tc>
          <w:tcPr>
            <w:tcW w:w="950" w:type="dxa"/>
            <w:vAlign w:val="bottom"/>
          </w:tcPr>
          <w:p w14:paraId="5174DDD0" w14:textId="77777777" w:rsidR="00B75F05" w:rsidRPr="008A7487" w:rsidRDefault="00B75F05" w:rsidP="00C21D6F">
            <w:pPr>
              <w:autoSpaceDE w:val="0"/>
              <w:autoSpaceDN w:val="0"/>
              <w:adjustRightInd w:val="0"/>
              <w:ind w:right="10"/>
              <w:rPr>
                <w:rFonts w:ascii="Times New Roman" w:hAnsi="Times New Roman" w:cs="Times New Roman"/>
                <w:color w:val="000000"/>
                <w:sz w:val="16"/>
                <w:szCs w:val="16"/>
                <w:lang w:val="en-GB"/>
              </w:rPr>
            </w:pPr>
            <w:r w:rsidRPr="008A7487">
              <w:rPr>
                <w:rFonts w:ascii="Times New Roman" w:hAnsi="Times New Roman" w:cs="Times New Roman"/>
                <w:color w:val="000000"/>
                <w:sz w:val="16"/>
                <w:szCs w:val="16"/>
                <w:lang w:val="en-GB"/>
              </w:rPr>
              <w:t>0.35</w:t>
            </w:r>
          </w:p>
        </w:tc>
        <w:tc>
          <w:tcPr>
            <w:tcW w:w="960" w:type="dxa"/>
            <w:vAlign w:val="bottom"/>
          </w:tcPr>
          <w:p w14:paraId="0B6E63FC" w14:textId="77777777" w:rsidR="00B75F05" w:rsidRPr="008A7487" w:rsidRDefault="00B75F05" w:rsidP="00C21D6F">
            <w:pPr>
              <w:autoSpaceDE w:val="0"/>
              <w:autoSpaceDN w:val="0"/>
              <w:adjustRightInd w:val="0"/>
              <w:ind w:right="10"/>
              <w:rPr>
                <w:rFonts w:ascii="Times New Roman" w:hAnsi="Times New Roman" w:cs="Times New Roman"/>
                <w:color w:val="000000"/>
                <w:sz w:val="16"/>
                <w:szCs w:val="16"/>
                <w:lang w:val="en-GB"/>
              </w:rPr>
            </w:pPr>
            <w:r w:rsidRPr="008A7487">
              <w:rPr>
                <w:rFonts w:ascii="Times New Roman" w:hAnsi="Times New Roman" w:cs="Times New Roman"/>
                <w:color w:val="000000"/>
                <w:sz w:val="16"/>
                <w:szCs w:val="16"/>
                <w:lang w:val="en-GB"/>
              </w:rPr>
              <w:t>2.58***</w:t>
            </w:r>
          </w:p>
        </w:tc>
        <w:tc>
          <w:tcPr>
            <w:tcW w:w="957" w:type="dxa"/>
            <w:vAlign w:val="bottom"/>
          </w:tcPr>
          <w:p w14:paraId="24FE71D9" w14:textId="77777777" w:rsidR="00B75F05" w:rsidRPr="008A7487" w:rsidRDefault="00B75F05" w:rsidP="00C21D6F">
            <w:pPr>
              <w:autoSpaceDE w:val="0"/>
              <w:autoSpaceDN w:val="0"/>
              <w:adjustRightInd w:val="0"/>
              <w:ind w:right="10"/>
              <w:rPr>
                <w:rFonts w:ascii="Times New Roman" w:hAnsi="Times New Roman" w:cs="Times New Roman"/>
                <w:color w:val="000000"/>
                <w:sz w:val="16"/>
                <w:szCs w:val="16"/>
                <w:lang w:val="en-GB"/>
              </w:rPr>
            </w:pPr>
            <w:r w:rsidRPr="008A7487">
              <w:rPr>
                <w:rFonts w:ascii="Times New Roman" w:hAnsi="Times New Roman" w:cs="Times New Roman"/>
                <w:color w:val="000000"/>
                <w:sz w:val="16"/>
                <w:szCs w:val="16"/>
                <w:lang w:val="en-GB"/>
              </w:rPr>
              <w:t>0.27</w:t>
            </w:r>
          </w:p>
        </w:tc>
        <w:tc>
          <w:tcPr>
            <w:tcW w:w="1230" w:type="dxa"/>
            <w:vAlign w:val="bottom"/>
          </w:tcPr>
          <w:p w14:paraId="50624741" w14:textId="77777777" w:rsidR="00B75F05" w:rsidRPr="008A7487" w:rsidRDefault="00B75F05" w:rsidP="00C21D6F">
            <w:pPr>
              <w:autoSpaceDE w:val="0"/>
              <w:autoSpaceDN w:val="0"/>
              <w:adjustRightInd w:val="0"/>
              <w:ind w:right="10"/>
              <w:rPr>
                <w:rFonts w:ascii="Times New Roman" w:hAnsi="Times New Roman" w:cs="Times New Roman"/>
                <w:color w:val="000000"/>
                <w:sz w:val="16"/>
                <w:szCs w:val="16"/>
                <w:lang w:val="en-GB"/>
              </w:rPr>
            </w:pPr>
            <w:r w:rsidRPr="008A7487">
              <w:rPr>
                <w:rFonts w:ascii="Times New Roman" w:hAnsi="Times New Roman" w:cs="Times New Roman"/>
                <w:color w:val="000000"/>
                <w:sz w:val="16"/>
                <w:szCs w:val="16"/>
                <w:lang w:val="en-GB"/>
              </w:rPr>
              <w:t>5.03***</w:t>
            </w:r>
          </w:p>
        </w:tc>
      </w:tr>
      <w:tr w:rsidR="00B75F05" w:rsidRPr="008A7487" w14:paraId="774BC850" w14:textId="77777777" w:rsidTr="00C21D6F">
        <w:tc>
          <w:tcPr>
            <w:tcW w:w="1186" w:type="dxa"/>
          </w:tcPr>
          <w:p w14:paraId="74400C0E" w14:textId="77777777" w:rsidR="00B75F05" w:rsidRPr="008A7487" w:rsidRDefault="00B75F05" w:rsidP="00C21D6F">
            <w:pPr>
              <w:spacing w:line="480" w:lineRule="auto"/>
              <w:contextualSpacing/>
              <w:rPr>
                <w:rFonts w:ascii="Times New Roman" w:hAnsi="Times New Roman" w:cs="Times New Roman"/>
                <w:sz w:val="16"/>
                <w:szCs w:val="16"/>
              </w:rPr>
            </w:pPr>
            <w:r w:rsidRPr="008A7487">
              <w:rPr>
                <w:rFonts w:ascii="Times New Roman" w:hAnsi="Times New Roman" w:cs="Times New Roman"/>
                <w:sz w:val="16"/>
                <w:szCs w:val="16"/>
              </w:rPr>
              <w:t>CAP</w:t>
            </w:r>
          </w:p>
        </w:tc>
        <w:tc>
          <w:tcPr>
            <w:tcW w:w="973" w:type="dxa"/>
            <w:vAlign w:val="bottom"/>
          </w:tcPr>
          <w:p w14:paraId="581B736A" w14:textId="77777777" w:rsidR="00B75F05" w:rsidRPr="008A7487" w:rsidRDefault="00B75F05" w:rsidP="00C21D6F">
            <w:pPr>
              <w:autoSpaceDE w:val="0"/>
              <w:autoSpaceDN w:val="0"/>
              <w:adjustRightInd w:val="0"/>
              <w:ind w:right="10"/>
              <w:rPr>
                <w:rFonts w:ascii="Times New Roman" w:hAnsi="Times New Roman" w:cs="Times New Roman"/>
                <w:color w:val="000000"/>
                <w:sz w:val="16"/>
                <w:szCs w:val="16"/>
                <w:lang w:val="en-GB"/>
              </w:rPr>
            </w:pPr>
            <w:r w:rsidRPr="008A7487">
              <w:rPr>
                <w:rFonts w:ascii="Times New Roman" w:hAnsi="Times New Roman" w:cs="Times New Roman"/>
                <w:color w:val="000000"/>
                <w:sz w:val="16"/>
                <w:szCs w:val="16"/>
                <w:lang w:val="en-GB"/>
              </w:rPr>
              <w:t>0.04</w:t>
            </w:r>
          </w:p>
        </w:tc>
        <w:tc>
          <w:tcPr>
            <w:tcW w:w="974" w:type="dxa"/>
            <w:vAlign w:val="bottom"/>
          </w:tcPr>
          <w:p w14:paraId="30278CF0" w14:textId="77777777" w:rsidR="00B75F05" w:rsidRPr="008A7487" w:rsidRDefault="00B75F05" w:rsidP="00C21D6F">
            <w:pPr>
              <w:autoSpaceDE w:val="0"/>
              <w:autoSpaceDN w:val="0"/>
              <w:adjustRightInd w:val="0"/>
              <w:ind w:right="10"/>
              <w:rPr>
                <w:rFonts w:ascii="Times New Roman" w:hAnsi="Times New Roman" w:cs="Times New Roman"/>
                <w:color w:val="000000"/>
                <w:sz w:val="16"/>
                <w:szCs w:val="16"/>
                <w:lang w:val="en-GB"/>
              </w:rPr>
            </w:pPr>
            <w:r w:rsidRPr="008A7487">
              <w:rPr>
                <w:rFonts w:ascii="Times New Roman" w:hAnsi="Times New Roman" w:cs="Times New Roman"/>
                <w:color w:val="000000"/>
                <w:sz w:val="16"/>
                <w:szCs w:val="16"/>
                <w:lang w:val="en-GB"/>
              </w:rPr>
              <w:t>2.95***</w:t>
            </w:r>
          </w:p>
        </w:tc>
        <w:tc>
          <w:tcPr>
            <w:tcW w:w="950" w:type="dxa"/>
            <w:vAlign w:val="bottom"/>
          </w:tcPr>
          <w:p w14:paraId="7856AE72" w14:textId="77777777" w:rsidR="00B75F05" w:rsidRPr="008A7487" w:rsidRDefault="00B75F05" w:rsidP="00C21D6F">
            <w:pPr>
              <w:autoSpaceDE w:val="0"/>
              <w:autoSpaceDN w:val="0"/>
              <w:adjustRightInd w:val="0"/>
              <w:ind w:right="10"/>
              <w:rPr>
                <w:rFonts w:ascii="Times New Roman" w:hAnsi="Times New Roman" w:cs="Times New Roman"/>
                <w:color w:val="000000"/>
                <w:sz w:val="16"/>
                <w:szCs w:val="16"/>
                <w:lang w:val="en-GB"/>
              </w:rPr>
            </w:pPr>
            <w:r w:rsidRPr="008A7487">
              <w:rPr>
                <w:rFonts w:ascii="Times New Roman" w:hAnsi="Times New Roman" w:cs="Times New Roman"/>
                <w:color w:val="000000"/>
                <w:sz w:val="16"/>
                <w:szCs w:val="16"/>
                <w:lang w:val="en-GB"/>
              </w:rPr>
              <w:t>0.53</w:t>
            </w:r>
          </w:p>
        </w:tc>
        <w:tc>
          <w:tcPr>
            <w:tcW w:w="960" w:type="dxa"/>
            <w:vAlign w:val="bottom"/>
          </w:tcPr>
          <w:p w14:paraId="306F54C2" w14:textId="77777777" w:rsidR="00B75F05" w:rsidRPr="008A7487" w:rsidRDefault="00B75F05" w:rsidP="00C21D6F">
            <w:pPr>
              <w:autoSpaceDE w:val="0"/>
              <w:autoSpaceDN w:val="0"/>
              <w:adjustRightInd w:val="0"/>
              <w:ind w:right="10"/>
              <w:rPr>
                <w:rFonts w:ascii="Times New Roman" w:hAnsi="Times New Roman" w:cs="Times New Roman"/>
                <w:color w:val="000000"/>
                <w:sz w:val="16"/>
                <w:szCs w:val="16"/>
                <w:lang w:val="en-GB"/>
              </w:rPr>
            </w:pPr>
            <w:r w:rsidRPr="008A7487">
              <w:rPr>
                <w:rFonts w:ascii="Times New Roman" w:hAnsi="Times New Roman" w:cs="Times New Roman"/>
                <w:color w:val="000000"/>
                <w:sz w:val="16"/>
                <w:szCs w:val="16"/>
                <w:lang w:val="en-GB"/>
              </w:rPr>
              <w:t>13.52***</w:t>
            </w:r>
          </w:p>
        </w:tc>
        <w:tc>
          <w:tcPr>
            <w:tcW w:w="957" w:type="dxa"/>
            <w:vAlign w:val="bottom"/>
          </w:tcPr>
          <w:p w14:paraId="3A136E5E" w14:textId="77777777" w:rsidR="00B75F05" w:rsidRPr="008A7487" w:rsidRDefault="00B75F05" w:rsidP="00C21D6F">
            <w:pPr>
              <w:autoSpaceDE w:val="0"/>
              <w:autoSpaceDN w:val="0"/>
              <w:adjustRightInd w:val="0"/>
              <w:ind w:right="10"/>
              <w:rPr>
                <w:rFonts w:ascii="Times New Roman" w:hAnsi="Times New Roman" w:cs="Times New Roman"/>
                <w:color w:val="000000"/>
                <w:sz w:val="16"/>
                <w:szCs w:val="16"/>
                <w:lang w:val="en-GB"/>
              </w:rPr>
            </w:pPr>
            <w:r w:rsidRPr="008A7487">
              <w:rPr>
                <w:rFonts w:ascii="Times New Roman" w:hAnsi="Times New Roman" w:cs="Times New Roman"/>
                <w:color w:val="000000"/>
                <w:sz w:val="16"/>
                <w:szCs w:val="16"/>
                <w:lang w:val="en-GB"/>
              </w:rPr>
              <w:t>-0.01</w:t>
            </w:r>
          </w:p>
        </w:tc>
        <w:tc>
          <w:tcPr>
            <w:tcW w:w="1230" w:type="dxa"/>
            <w:vAlign w:val="bottom"/>
          </w:tcPr>
          <w:p w14:paraId="167DE877" w14:textId="77777777" w:rsidR="00B75F05" w:rsidRPr="008A7487" w:rsidRDefault="00B75F05" w:rsidP="00C21D6F">
            <w:pPr>
              <w:autoSpaceDE w:val="0"/>
              <w:autoSpaceDN w:val="0"/>
              <w:adjustRightInd w:val="0"/>
              <w:ind w:right="10"/>
              <w:rPr>
                <w:rFonts w:ascii="Times New Roman" w:hAnsi="Times New Roman" w:cs="Times New Roman"/>
                <w:color w:val="000000"/>
                <w:sz w:val="16"/>
                <w:szCs w:val="16"/>
                <w:lang w:val="en-GB"/>
              </w:rPr>
            </w:pPr>
            <w:r w:rsidRPr="008A7487">
              <w:rPr>
                <w:rFonts w:ascii="Times New Roman" w:hAnsi="Times New Roman" w:cs="Times New Roman"/>
                <w:color w:val="000000"/>
                <w:sz w:val="16"/>
                <w:szCs w:val="16"/>
                <w:lang w:val="en-GB"/>
              </w:rPr>
              <w:t>-0.70</w:t>
            </w:r>
          </w:p>
        </w:tc>
      </w:tr>
      <w:tr w:rsidR="00B75F05" w:rsidRPr="008A7487" w14:paraId="44D1B426" w14:textId="77777777" w:rsidTr="00C21D6F">
        <w:tc>
          <w:tcPr>
            <w:tcW w:w="1186" w:type="dxa"/>
          </w:tcPr>
          <w:p w14:paraId="31508FE9" w14:textId="77777777" w:rsidR="00B75F05" w:rsidRPr="008A7487" w:rsidRDefault="00B75F05" w:rsidP="00C21D6F">
            <w:pPr>
              <w:spacing w:line="480" w:lineRule="auto"/>
              <w:contextualSpacing/>
              <w:rPr>
                <w:rFonts w:ascii="Times New Roman" w:hAnsi="Times New Roman" w:cs="Times New Roman"/>
                <w:sz w:val="16"/>
                <w:szCs w:val="16"/>
              </w:rPr>
            </w:pPr>
            <w:r w:rsidRPr="008A7487">
              <w:rPr>
                <w:rFonts w:ascii="Times New Roman" w:hAnsi="Times New Roman" w:cs="Times New Roman"/>
                <w:sz w:val="16"/>
                <w:szCs w:val="16"/>
              </w:rPr>
              <w:t>CR</w:t>
            </w:r>
          </w:p>
        </w:tc>
        <w:tc>
          <w:tcPr>
            <w:tcW w:w="973" w:type="dxa"/>
            <w:vAlign w:val="bottom"/>
          </w:tcPr>
          <w:p w14:paraId="7AADB861" w14:textId="77777777" w:rsidR="00B75F05" w:rsidRPr="008A7487" w:rsidRDefault="00B75F05" w:rsidP="00C21D6F">
            <w:pPr>
              <w:autoSpaceDE w:val="0"/>
              <w:autoSpaceDN w:val="0"/>
              <w:adjustRightInd w:val="0"/>
              <w:ind w:right="10"/>
              <w:rPr>
                <w:rFonts w:ascii="Times New Roman" w:hAnsi="Times New Roman" w:cs="Times New Roman"/>
                <w:color w:val="000000"/>
                <w:sz w:val="16"/>
                <w:szCs w:val="16"/>
                <w:lang w:val="en-GB"/>
              </w:rPr>
            </w:pPr>
            <w:r w:rsidRPr="008A7487">
              <w:rPr>
                <w:rFonts w:ascii="Times New Roman" w:hAnsi="Times New Roman" w:cs="Times New Roman"/>
                <w:color w:val="000000"/>
                <w:sz w:val="16"/>
                <w:szCs w:val="16"/>
                <w:lang w:val="en-GB"/>
              </w:rPr>
              <w:t>0.01</w:t>
            </w:r>
          </w:p>
        </w:tc>
        <w:tc>
          <w:tcPr>
            <w:tcW w:w="974" w:type="dxa"/>
            <w:vAlign w:val="bottom"/>
          </w:tcPr>
          <w:p w14:paraId="7587602A" w14:textId="77777777" w:rsidR="00B75F05" w:rsidRPr="008A7487" w:rsidRDefault="00B75F05" w:rsidP="00C21D6F">
            <w:pPr>
              <w:autoSpaceDE w:val="0"/>
              <w:autoSpaceDN w:val="0"/>
              <w:adjustRightInd w:val="0"/>
              <w:ind w:right="10"/>
              <w:rPr>
                <w:rFonts w:ascii="Times New Roman" w:hAnsi="Times New Roman" w:cs="Times New Roman"/>
                <w:color w:val="000000"/>
                <w:sz w:val="16"/>
                <w:szCs w:val="16"/>
                <w:lang w:val="en-GB"/>
              </w:rPr>
            </w:pPr>
            <w:r w:rsidRPr="008A7487">
              <w:rPr>
                <w:rFonts w:ascii="Times New Roman" w:hAnsi="Times New Roman" w:cs="Times New Roman"/>
                <w:color w:val="000000"/>
                <w:sz w:val="16"/>
                <w:szCs w:val="16"/>
                <w:lang w:val="en-GB"/>
              </w:rPr>
              <w:t>0.67</w:t>
            </w:r>
          </w:p>
        </w:tc>
        <w:tc>
          <w:tcPr>
            <w:tcW w:w="950" w:type="dxa"/>
            <w:vAlign w:val="bottom"/>
          </w:tcPr>
          <w:p w14:paraId="65812012" w14:textId="77777777" w:rsidR="00B75F05" w:rsidRPr="008A7487" w:rsidRDefault="00B75F05" w:rsidP="00C21D6F">
            <w:pPr>
              <w:autoSpaceDE w:val="0"/>
              <w:autoSpaceDN w:val="0"/>
              <w:adjustRightInd w:val="0"/>
              <w:ind w:right="10"/>
              <w:rPr>
                <w:rFonts w:ascii="Times New Roman" w:hAnsi="Times New Roman" w:cs="Times New Roman"/>
                <w:color w:val="000000"/>
                <w:sz w:val="16"/>
                <w:szCs w:val="16"/>
                <w:lang w:val="en-GB"/>
              </w:rPr>
            </w:pPr>
            <w:r w:rsidRPr="008A7487">
              <w:rPr>
                <w:rFonts w:ascii="Times New Roman" w:hAnsi="Times New Roman" w:cs="Times New Roman"/>
                <w:color w:val="000000"/>
                <w:sz w:val="16"/>
                <w:szCs w:val="16"/>
                <w:lang w:val="en-GB"/>
              </w:rPr>
              <w:t>-0.10</w:t>
            </w:r>
          </w:p>
        </w:tc>
        <w:tc>
          <w:tcPr>
            <w:tcW w:w="960" w:type="dxa"/>
            <w:vAlign w:val="bottom"/>
          </w:tcPr>
          <w:p w14:paraId="25B83346" w14:textId="77777777" w:rsidR="00B75F05" w:rsidRPr="008A7487" w:rsidRDefault="00B75F05" w:rsidP="00C21D6F">
            <w:pPr>
              <w:autoSpaceDE w:val="0"/>
              <w:autoSpaceDN w:val="0"/>
              <w:adjustRightInd w:val="0"/>
              <w:ind w:right="10"/>
              <w:rPr>
                <w:rFonts w:ascii="Times New Roman" w:hAnsi="Times New Roman" w:cs="Times New Roman"/>
                <w:color w:val="000000"/>
                <w:sz w:val="16"/>
                <w:szCs w:val="16"/>
                <w:lang w:val="en-GB"/>
              </w:rPr>
            </w:pPr>
            <w:r w:rsidRPr="008A7487">
              <w:rPr>
                <w:rFonts w:ascii="Times New Roman" w:hAnsi="Times New Roman" w:cs="Times New Roman"/>
                <w:color w:val="000000"/>
                <w:sz w:val="16"/>
                <w:szCs w:val="16"/>
                <w:lang w:val="en-GB"/>
              </w:rPr>
              <w:t>-4.53***</w:t>
            </w:r>
          </w:p>
        </w:tc>
        <w:tc>
          <w:tcPr>
            <w:tcW w:w="957" w:type="dxa"/>
            <w:vAlign w:val="bottom"/>
          </w:tcPr>
          <w:p w14:paraId="2693CB04" w14:textId="77777777" w:rsidR="00B75F05" w:rsidRPr="008A7487" w:rsidRDefault="00B75F05" w:rsidP="00C21D6F">
            <w:pPr>
              <w:autoSpaceDE w:val="0"/>
              <w:autoSpaceDN w:val="0"/>
              <w:adjustRightInd w:val="0"/>
              <w:ind w:right="10"/>
              <w:rPr>
                <w:rFonts w:ascii="Times New Roman" w:hAnsi="Times New Roman" w:cs="Times New Roman"/>
                <w:color w:val="000000"/>
                <w:sz w:val="16"/>
                <w:szCs w:val="16"/>
                <w:lang w:val="en-GB"/>
              </w:rPr>
            </w:pPr>
            <w:r w:rsidRPr="008A7487">
              <w:rPr>
                <w:rFonts w:ascii="Times New Roman" w:hAnsi="Times New Roman" w:cs="Times New Roman"/>
                <w:color w:val="000000"/>
                <w:sz w:val="16"/>
                <w:szCs w:val="16"/>
                <w:lang w:val="en-GB"/>
              </w:rPr>
              <w:t>-0.03</w:t>
            </w:r>
          </w:p>
        </w:tc>
        <w:tc>
          <w:tcPr>
            <w:tcW w:w="1230" w:type="dxa"/>
            <w:vAlign w:val="bottom"/>
          </w:tcPr>
          <w:p w14:paraId="0EE00FFA" w14:textId="77777777" w:rsidR="00B75F05" w:rsidRPr="008A7487" w:rsidRDefault="00B75F05" w:rsidP="00C21D6F">
            <w:pPr>
              <w:autoSpaceDE w:val="0"/>
              <w:autoSpaceDN w:val="0"/>
              <w:adjustRightInd w:val="0"/>
              <w:ind w:right="10"/>
              <w:rPr>
                <w:rFonts w:ascii="Times New Roman" w:hAnsi="Times New Roman" w:cs="Times New Roman"/>
                <w:color w:val="000000"/>
                <w:sz w:val="16"/>
                <w:szCs w:val="16"/>
                <w:lang w:val="en-GB"/>
              </w:rPr>
            </w:pPr>
            <w:r w:rsidRPr="008A7487">
              <w:rPr>
                <w:rFonts w:ascii="Times New Roman" w:hAnsi="Times New Roman" w:cs="Times New Roman"/>
                <w:color w:val="000000"/>
                <w:sz w:val="16"/>
                <w:szCs w:val="16"/>
                <w:lang w:val="en-GB"/>
              </w:rPr>
              <w:t>-2.24**</w:t>
            </w:r>
          </w:p>
        </w:tc>
      </w:tr>
      <w:tr w:rsidR="00B75F05" w:rsidRPr="008A7487" w14:paraId="6AF9E351" w14:textId="77777777" w:rsidTr="00C21D6F">
        <w:tc>
          <w:tcPr>
            <w:tcW w:w="1186" w:type="dxa"/>
          </w:tcPr>
          <w:p w14:paraId="3BF8F6D6" w14:textId="77777777" w:rsidR="00B75F05" w:rsidRPr="008A7487" w:rsidRDefault="00B75F05" w:rsidP="00C21D6F">
            <w:pPr>
              <w:spacing w:line="480" w:lineRule="auto"/>
              <w:contextualSpacing/>
              <w:rPr>
                <w:rFonts w:ascii="Times New Roman" w:hAnsi="Times New Roman" w:cs="Times New Roman"/>
                <w:sz w:val="16"/>
                <w:szCs w:val="16"/>
              </w:rPr>
            </w:pPr>
            <w:r w:rsidRPr="008A7487">
              <w:rPr>
                <w:rFonts w:ascii="Times New Roman" w:hAnsi="Times New Roman" w:cs="Times New Roman"/>
                <w:sz w:val="16"/>
                <w:szCs w:val="16"/>
              </w:rPr>
              <w:t>CM</w:t>
            </w:r>
          </w:p>
        </w:tc>
        <w:tc>
          <w:tcPr>
            <w:tcW w:w="973" w:type="dxa"/>
            <w:vAlign w:val="bottom"/>
          </w:tcPr>
          <w:p w14:paraId="59225232" w14:textId="77777777" w:rsidR="00B75F05" w:rsidRPr="008A7487" w:rsidRDefault="00B75F05" w:rsidP="00C21D6F">
            <w:pPr>
              <w:autoSpaceDE w:val="0"/>
              <w:autoSpaceDN w:val="0"/>
              <w:adjustRightInd w:val="0"/>
              <w:ind w:right="10"/>
              <w:rPr>
                <w:rFonts w:ascii="Times New Roman" w:hAnsi="Times New Roman" w:cs="Times New Roman"/>
                <w:color w:val="000000"/>
                <w:sz w:val="16"/>
                <w:szCs w:val="16"/>
                <w:lang w:val="en-GB"/>
              </w:rPr>
            </w:pPr>
            <w:r w:rsidRPr="008A7487">
              <w:rPr>
                <w:rFonts w:ascii="Times New Roman" w:hAnsi="Times New Roman" w:cs="Times New Roman"/>
                <w:color w:val="000000"/>
                <w:sz w:val="16"/>
                <w:szCs w:val="16"/>
                <w:lang w:val="en-GB"/>
              </w:rPr>
              <w:t>-0.04</w:t>
            </w:r>
          </w:p>
        </w:tc>
        <w:tc>
          <w:tcPr>
            <w:tcW w:w="974" w:type="dxa"/>
            <w:vAlign w:val="bottom"/>
          </w:tcPr>
          <w:p w14:paraId="14B83BEE" w14:textId="77777777" w:rsidR="00B75F05" w:rsidRPr="008A7487" w:rsidRDefault="00B75F05" w:rsidP="00C21D6F">
            <w:pPr>
              <w:autoSpaceDE w:val="0"/>
              <w:autoSpaceDN w:val="0"/>
              <w:adjustRightInd w:val="0"/>
              <w:ind w:right="10"/>
              <w:rPr>
                <w:rFonts w:ascii="Times New Roman" w:hAnsi="Times New Roman" w:cs="Times New Roman"/>
                <w:color w:val="000000"/>
                <w:sz w:val="16"/>
                <w:szCs w:val="16"/>
                <w:lang w:val="en-GB"/>
              </w:rPr>
            </w:pPr>
            <w:r w:rsidRPr="008A7487">
              <w:rPr>
                <w:rFonts w:ascii="Times New Roman" w:hAnsi="Times New Roman" w:cs="Times New Roman"/>
                <w:color w:val="000000"/>
                <w:sz w:val="16"/>
                <w:szCs w:val="16"/>
                <w:lang w:val="en-GB"/>
              </w:rPr>
              <w:t>-23.93***</w:t>
            </w:r>
          </w:p>
        </w:tc>
        <w:tc>
          <w:tcPr>
            <w:tcW w:w="950" w:type="dxa"/>
            <w:vAlign w:val="bottom"/>
          </w:tcPr>
          <w:p w14:paraId="7ADFE549" w14:textId="77777777" w:rsidR="00B75F05" w:rsidRPr="008A7487" w:rsidRDefault="00B75F05" w:rsidP="00C21D6F">
            <w:pPr>
              <w:autoSpaceDE w:val="0"/>
              <w:autoSpaceDN w:val="0"/>
              <w:adjustRightInd w:val="0"/>
              <w:ind w:right="10"/>
              <w:rPr>
                <w:rFonts w:ascii="Times New Roman" w:hAnsi="Times New Roman" w:cs="Times New Roman"/>
                <w:color w:val="000000"/>
                <w:sz w:val="16"/>
                <w:szCs w:val="16"/>
                <w:lang w:val="en-GB"/>
              </w:rPr>
            </w:pPr>
            <w:r w:rsidRPr="008A7487">
              <w:rPr>
                <w:rFonts w:ascii="Times New Roman" w:hAnsi="Times New Roman" w:cs="Times New Roman"/>
                <w:color w:val="000000"/>
                <w:sz w:val="16"/>
                <w:szCs w:val="16"/>
                <w:lang w:val="en-GB"/>
              </w:rPr>
              <w:t>-0.06</w:t>
            </w:r>
          </w:p>
        </w:tc>
        <w:tc>
          <w:tcPr>
            <w:tcW w:w="960" w:type="dxa"/>
            <w:vAlign w:val="bottom"/>
          </w:tcPr>
          <w:p w14:paraId="7A6C1AD3" w14:textId="77777777" w:rsidR="00B75F05" w:rsidRPr="008A7487" w:rsidRDefault="00B75F05" w:rsidP="00C21D6F">
            <w:pPr>
              <w:autoSpaceDE w:val="0"/>
              <w:autoSpaceDN w:val="0"/>
              <w:adjustRightInd w:val="0"/>
              <w:ind w:right="10"/>
              <w:rPr>
                <w:rFonts w:ascii="Times New Roman" w:hAnsi="Times New Roman" w:cs="Times New Roman"/>
                <w:color w:val="000000"/>
                <w:sz w:val="16"/>
                <w:szCs w:val="16"/>
                <w:lang w:val="en-GB"/>
              </w:rPr>
            </w:pPr>
            <w:r w:rsidRPr="008A7487">
              <w:rPr>
                <w:rFonts w:ascii="Times New Roman" w:hAnsi="Times New Roman" w:cs="Times New Roman"/>
                <w:color w:val="000000"/>
                <w:sz w:val="16"/>
                <w:szCs w:val="16"/>
                <w:lang w:val="en-GB"/>
              </w:rPr>
              <w:t>-7.43***</w:t>
            </w:r>
          </w:p>
        </w:tc>
        <w:tc>
          <w:tcPr>
            <w:tcW w:w="957" w:type="dxa"/>
            <w:vAlign w:val="bottom"/>
          </w:tcPr>
          <w:p w14:paraId="204E13DB" w14:textId="77777777" w:rsidR="00B75F05" w:rsidRPr="008A7487" w:rsidRDefault="00B75F05" w:rsidP="00C21D6F">
            <w:pPr>
              <w:autoSpaceDE w:val="0"/>
              <w:autoSpaceDN w:val="0"/>
              <w:adjustRightInd w:val="0"/>
              <w:ind w:right="10"/>
              <w:rPr>
                <w:rFonts w:ascii="Times New Roman" w:hAnsi="Times New Roman" w:cs="Times New Roman"/>
                <w:color w:val="000000"/>
                <w:sz w:val="16"/>
                <w:szCs w:val="16"/>
                <w:lang w:val="en-GB"/>
              </w:rPr>
            </w:pPr>
            <w:r w:rsidRPr="008A7487">
              <w:rPr>
                <w:rFonts w:ascii="Times New Roman" w:hAnsi="Times New Roman" w:cs="Times New Roman"/>
                <w:color w:val="000000"/>
                <w:sz w:val="16"/>
                <w:szCs w:val="16"/>
                <w:lang w:val="en-GB"/>
              </w:rPr>
              <w:t>-0.02</w:t>
            </w:r>
          </w:p>
        </w:tc>
        <w:tc>
          <w:tcPr>
            <w:tcW w:w="1230" w:type="dxa"/>
            <w:vAlign w:val="bottom"/>
          </w:tcPr>
          <w:p w14:paraId="6E5C6E21" w14:textId="77777777" w:rsidR="00B75F05" w:rsidRPr="008A7487" w:rsidRDefault="00B75F05" w:rsidP="00C21D6F">
            <w:pPr>
              <w:autoSpaceDE w:val="0"/>
              <w:autoSpaceDN w:val="0"/>
              <w:adjustRightInd w:val="0"/>
              <w:ind w:right="10"/>
              <w:rPr>
                <w:rFonts w:ascii="Times New Roman" w:hAnsi="Times New Roman" w:cs="Times New Roman"/>
                <w:color w:val="000000"/>
                <w:sz w:val="16"/>
                <w:szCs w:val="16"/>
                <w:lang w:val="en-GB"/>
              </w:rPr>
            </w:pPr>
            <w:r w:rsidRPr="008A7487">
              <w:rPr>
                <w:rFonts w:ascii="Times New Roman" w:hAnsi="Times New Roman" w:cs="Times New Roman"/>
                <w:color w:val="000000"/>
                <w:sz w:val="16"/>
                <w:szCs w:val="16"/>
                <w:lang w:val="en-GB"/>
              </w:rPr>
              <w:t>-3.59***</w:t>
            </w:r>
          </w:p>
        </w:tc>
      </w:tr>
      <w:tr w:rsidR="00B75F05" w:rsidRPr="008A7487" w14:paraId="1AC5E463" w14:textId="77777777" w:rsidTr="00C21D6F">
        <w:tc>
          <w:tcPr>
            <w:tcW w:w="1186" w:type="dxa"/>
          </w:tcPr>
          <w:p w14:paraId="0F929A08" w14:textId="77777777" w:rsidR="00B75F05" w:rsidRPr="008A7487" w:rsidRDefault="00B75F05" w:rsidP="00C21D6F">
            <w:pPr>
              <w:spacing w:line="480" w:lineRule="auto"/>
              <w:contextualSpacing/>
              <w:rPr>
                <w:rFonts w:ascii="Times New Roman" w:hAnsi="Times New Roman" w:cs="Times New Roman"/>
                <w:sz w:val="16"/>
                <w:szCs w:val="16"/>
              </w:rPr>
            </w:pPr>
            <w:r w:rsidRPr="008A7487">
              <w:rPr>
                <w:rFonts w:ascii="Times New Roman" w:hAnsi="Times New Roman" w:cs="Times New Roman"/>
                <w:sz w:val="16"/>
                <w:szCs w:val="16"/>
              </w:rPr>
              <w:t>LQ</w:t>
            </w:r>
          </w:p>
        </w:tc>
        <w:tc>
          <w:tcPr>
            <w:tcW w:w="973" w:type="dxa"/>
            <w:vAlign w:val="bottom"/>
          </w:tcPr>
          <w:p w14:paraId="062BE546" w14:textId="77777777" w:rsidR="00B75F05" w:rsidRPr="008A7487" w:rsidRDefault="00B75F05" w:rsidP="00C21D6F">
            <w:pPr>
              <w:autoSpaceDE w:val="0"/>
              <w:autoSpaceDN w:val="0"/>
              <w:adjustRightInd w:val="0"/>
              <w:ind w:right="10"/>
              <w:rPr>
                <w:rFonts w:ascii="Times New Roman" w:hAnsi="Times New Roman" w:cs="Times New Roman"/>
                <w:color w:val="000000"/>
                <w:sz w:val="16"/>
                <w:szCs w:val="16"/>
                <w:lang w:val="en-GB"/>
              </w:rPr>
            </w:pPr>
            <w:r w:rsidRPr="008A7487">
              <w:rPr>
                <w:rFonts w:ascii="Times New Roman" w:hAnsi="Times New Roman" w:cs="Times New Roman"/>
                <w:color w:val="000000"/>
                <w:sz w:val="16"/>
                <w:szCs w:val="16"/>
                <w:lang w:val="en-GB"/>
              </w:rPr>
              <w:t>-0.01</w:t>
            </w:r>
          </w:p>
        </w:tc>
        <w:tc>
          <w:tcPr>
            <w:tcW w:w="974" w:type="dxa"/>
            <w:vAlign w:val="bottom"/>
          </w:tcPr>
          <w:p w14:paraId="5D076307" w14:textId="77777777" w:rsidR="00B75F05" w:rsidRPr="008A7487" w:rsidRDefault="00B75F05" w:rsidP="00C21D6F">
            <w:pPr>
              <w:autoSpaceDE w:val="0"/>
              <w:autoSpaceDN w:val="0"/>
              <w:adjustRightInd w:val="0"/>
              <w:ind w:right="10"/>
              <w:rPr>
                <w:rFonts w:ascii="Times New Roman" w:hAnsi="Times New Roman" w:cs="Times New Roman"/>
                <w:color w:val="000000"/>
                <w:sz w:val="16"/>
                <w:szCs w:val="16"/>
                <w:lang w:val="en-GB"/>
              </w:rPr>
            </w:pPr>
            <w:r w:rsidRPr="008A7487">
              <w:rPr>
                <w:rFonts w:ascii="Times New Roman" w:hAnsi="Times New Roman" w:cs="Times New Roman"/>
                <w:color w:val="000000"/>
                <w:sz w:val="16"/>
                <w:szCs w:val="16"/>
                <w:lang w:val="en-GB"/>
              </w:rPr>
              <w:t>-2.57***</w:t>
            </w:r>
          </w:p>
        </w:tc>
        <w:tc>
          <w:tcPr>
            <w:tcW w:w="950" w:type="dxa"/>
            <w:vAlign w:val="bottom"/>
          </w:tcPr>
          <w:p w14:paraId="7F6EF102" w14:textId="77777777" w:rsidR="00B75F05" w:rsidRPr="008A7487" w:rsidRDefault="00B75F05" w:rsidP="00C21D6F">
            <w:pPr>
              <w:autoSpaceDE w:val="0"/>
              <w:autoSpaceDN w:val="0"/>
              <w:adjustRightInd w:val="0"/>
              <w:ind w:right="10"/>
              <w:rPr>
                <w:rFonts w:ascii="Times New Roman" w:hAnsi="Times New Roman" w:cs="Times New Roman"/>
                <w:color w:val="000000"/>
                <w:sz w:val="16"/>
                <w:szCs w:val="16"/>
                <w:lang w:val="en-GB"/>
              </w:rPr>
            </w:pPr>
            <w:r w:rsidRPr="008A7487">
              <w:rPr>
                <w:rFonts w:ascii="Times New Roman" w:hAnsi="Times New Roman" w:cs="Times New Roman"/>
                <w:color w:val="000000"/>
                <w:sz w:val="16"/>
                <w:szCs w:val="16"/>
                <w:lang w:val="en-GB"/>
              </w:rPr>
              <w:t>-0.03</w:t>
            </w:r>
          </w:p>
        </w:tc>
        <w:tc>
          <w:tcPr>
            <w:tcW w:w="960" w:type="dxa"/>
            <w:vAlign w:val="bottom"/>
          </w:tcPr>
          <w:p w14:paraId="5E20E863" w14:textId="77777777" w:rsidR="00B75F05" w:rsidRPr="008A7487" w:rsidRDefault="00B75F05" w:rsidP="00C21D6F">
            <w:pPr>
              <w:autoSpaceDE w:val="0"/>
              <w:autoSpaceDN w:val="0"/>
              <w:adjustRightInd w:val="0"/>
              <w:ind w:right="10"/>
              <w:rPr>
                <w:rFonts w:ascii="Times New Roman" w:hAnsi="Times New Roman" w:cs="Times New Roman"/>
                <w:color w:val="000000"/>
                <w:sz w:val="16"/>
                <w:szCs w:val="16"/>
                <w:lang w:val="en-GB"/>
              </w:rPr>
            </w:pPr>
            <w:r w:rsidRPr="008A7487">
              <w:rPr>
                <w:rFonts w:ascii="Times New Roman" w:hAnsi="Times New Roman" w:cs="Times New Roman"/>
                <w:color w:val="000000"/>
                <w:sz w:val="16"/>
                <w:szCs w:val="16"/>
                <w:lang w:val="en-GB"/>
              </w:rPr>
              <w:t>-4.04***</w:t>
            </w:r>
          </w:p>
        </w:tc>
        <w:tc>
          <w:tcPr>
            <w:tcW w:w="957" w:type="dxa"/>
            <w:vAlign w:val="bottom"/>
          </w:tcPr>
          <w:p w14:paraId="2F80182D" w14:textId="77777777" w:rsidR="00B75F05" w:rsidRPr="008A7487" w:rsidRDefault="00B75F05" w:rsidP="00C21D6F">
            <w:pPr>
              <w:autoSpaceDE w:val="0"/>
              <w:autoSpaceDN w:val="0"/>
              <w:adjustRightInd w:val="0"/>
              <w:ind w:right="10"/>
              <w:rPr>
                <w:rFonts w:ascii="Times New Roman" w:hAnsi="Times New Roman" w:cs="Times New Roman"/>
                <w:color w:val="000000"/>
                <w:sz w:val="16"/>
                <w:szCs w:val="16"/>
                <w:lang w:val="en-GB"/>
              </w:rPr>
            </w:pPr>
            <w:r w:rsidRPr="008A7487">
              <w:rPr>
                <w:rFonts w:ascii="Times New Roman" w:hAnsi="Times New Roman" w:cs="Times New Roman"/>
                <w:color w:val="000000"/>
                <w:sz w:val="16"/>
                <w:szCs w:val="16"/>
                <w:lang w:val="en-GB"/>
              </w:rPr>
              <w:t>-0.02</w:t>
            </w:r>
          </w:p>
        </w:tc>
        <w:tc>
          <w:tcPr>
            <w:tcW w:w="1230" w:type="dxa"/>
            <w:vAlign w:val="bottom"/>
          </w:tcPr>
          <w:p w14:paraId="602C33A3" w14:textId="77777777" w:rsidR="00B75F05" w:rsidRPr="008A7487" w:rsidRDefault="00B75F05" w:rsidP="00C21D6F">
            <w:pPr>
              <w:autoSpaceDE w:val="0"/>
              <w:autoSpaceDN w:val="0"/>
              <w:adjustRightInd w:val="0"/>
              <w:ind w:right="10"/>
              <w:rPr>
                <w:rFonts w:ascii="Times New Roman" w:hAnsi="Times New Roman" w:cs="Times New Roman"/>
                <w:color w:val="000000"/>
                <w:sz w:val="16"/>
                <w:szCs w:val="16"/>
                <w:lang w:val="en-GB"/>
              </w:rPr>
            </w:pPr>
            <w:r w:rsidRPr="008A7487">
              <w:rPr>
                <w:rFonts w:ascii="Times New Roman" w:hAnsi="Times New Roman" w:cs="Times New Roman"/>
                <w:color w:val="000000"/>
                <w:sz w:val="16"/>
                <w:szCs w:val="16"/>
                <w:lang w:val="en-GB"/>
              </w:rPr>
              <w:t>-2.18**</w:t>
            </w:r>
          </w:p>
        </w:tc>
      </w:tr>
      <w:tr w:rsidR="00B75F05" w:rsidRPr="008A7487" w14:paraId="5B4EAB21" w14:textId="77777777" w:rsidTr="00C21D6F">
        <w:tc>
          <w:tcPr>
            <w:tcW w:w="1186" w:type="dxa"/>
          </w:tcPr>
          <w:p w14:paraId="34D75A38" w14:textId="77777777" w:rsidR="00B75F05" w:rsidRPr="008A7487" w:rsidRDefault="00B75F05" w:rsidP="00C21D6F">
            <w:pPr>
              <w:spacing w:line="480" w:lineRule="auto"/>
              <w:contextualSpacing/>
              <w:rPr>
                <w:rFonts w:ascii="Times New Roman" w:hAnsi="Times New Roman" w:cs="Times New Roman"/>
                <w:sz w:val="16"/>
                <w:szCs w:val="16"/>
              </w:rPr>
            </w:pPr>
            <w:r w:rsidRPr="008A7487">
              <w:rPr>
                <w:rFonts w:ascii="Times New Roman" w:hAnsi="Times New Roman" w:cs="Times New Roman"/>
                <w:sz w:val="16"/>
                <w:szCs w:val="16"/>
              </w:rPr>
              <w:t>ΔGDP</w:t>
            </w:r>
          </w:p>
        </w:tc>
        <w:tc>
          <w:tcPr>
            <w:tcW w:w="973" w:type="dxa"/>
            <w:vAlign w:val="bottom"/>
          </w:tcPr>
          <w:p w14:paraId="44ACEF49" w14:textId="77777777" w:rsidR="00B75F05" w:rsidRPr="008A7487" w:rsidRDefault="00B75F05" w:rsidP="00C21D6F">
            <w:pPr>
              <w:autoSpaceDE w:val="0"/>
              <w:autoSpaceDN w:val="0"/>
              <w:adjustRightInd w:val="0"/>
              <w:ind w:right="10"/>
              <w:rPr>
                <w:rFonts w:ascii="Times New Roman" w:hAnsi="Times New Roman" w:cs="Times New Roman"/>
                <w:color w:val="000000"/>
                <w:sz w:val="16"/>
                <w:szCs w:val="16"/>
                <w:lang w:val="en-GB"/>
              </w:rPr>
            </w:pPr>
            <w:r w:rsidRPr="008A7487">
              <w:rPr>
                <w:rFonts w:ascii="Times New Roman" w:hAnsi="Times New Roman" w:cs="Times New Roman"/>
                <w:color w:val="000000"/>
                <w:sz w:val="16"/>
                <w:szCs w:val="16"/>
                <w:lang w:val="en-GB"/>
              </w:rPr>
              <w:t>-0.02</w:t>
            </w:r>
          </w:p>
        </w:tc>
        <w:tc>
          <w:tcPr>
            <w:tcW w:w="974" w:type="dxa"/>
            <w:vAlign w:val="bottom"/>
          </w:tcPr>
          <w:p w14:paraId="39648E4C" w14:textId="77777777" w:rsidR="00B75F05" w:rsidRPr="008A7487" w:rsidRDefault="00B75F05" w:rsidP="00C21D6F">
            <w:pPr>
              <w:autoSpaceDE w:val="0"/>
              <w:autoSpaceDN w:val="0"/>
              <w:adjustRightInd w:val="0"/>
              <w:ind w:right="10"/>
              <w:rPr>
                <w:rFonts w:ascii="Times New Roman" w:hAnsi="Times New Roman" w:cs="Times New Roman"/>
                <w:color w:val="000000"/>
                <w:sz w:val="16"/>
                <w:szCs w:val="16"/>
                <w:lang w:val="en-GB"/>
              </w:rPr>
            </w:pPr>
            <w:r w:rsidRPr="008A7487">
              <w:rPr>
                <w:rFonts w:ascii="Times New Roman" w:hAnsi="Times New Roman" w:cs="Times New Roman"/>
                <w:color w:val="000000"/>
                <w:sz w:val="16"/>
                <w:szCs w:val="16"/>
                <w:lang w:val="en-GB"/>
              </w:rPr>
              <w:t>-0.26</w:t>
            </w:r>
          </w:p>
        </w:tc>
        <w:tc>
          <w:tcPr>
            <w:tcW w:w="950" w:type="dxa"/>
            <w:vAlign w:val="bottom"/>
          </w:tcPr>
          <w:p w14:paraId="61B3DE16" w14:textId="77777777" w:rsidR="00B75F05" w:rsidRPr="008A7487" w:rsidRDefault="00B75F05" w:rsidP="00C21D6F">
            <w:pPr>
              <w:autoSpaceDE w:val="0"/>
              <w:autoSpaceDN w:val="0"/>
              <w:adjustRightInd w:val="0"/>
              <w:ind w:right="10"/>
              <w:rPr>
                <w:rFonts w:ascii="Times New Roman" w:hAnsi="Times New Roman" w:cs="Times New Roman"/>
                <w:color w:val="000000"/>
                <w:sz w:val="16"/>
                <w:szCs w:val="16"/>
                <w:lang w:val="en-GB"/>
              </w:rPr>
            </w:pPr>
            <w:r w:rsidRPr="008A7487">
              <w:rPr>
                <w:rFonts w:ascii="Times New Roman" w:hAnsi="Times New Roman" w:cs="Times New Roman"/>
                <w:color w:val="000000"/>
                <w:sz w:val="16"/>
                <w:szCs w:val="16"/>
                <w:lang w:val="en-GB"/>
              </w:rPr>
              <w:t>-0.89</w:t>
            </w:r>
          </w:p>
        </w:tc>
        <w:tc>
          <w:tcPr>
            <w:tcW w:w="960" w:type="dxa"/>
            <w:vAlign w:val="bottom"/>
          </w:tcPr>
          <w:p w14:paraId="4C5BE216" w14:textId="77777777" w:rsidR="00B75F05" w:rsidRPr="008A7487" w:rsidRDefault="00B75F05" w:rsidP="00C21D6F">
            <w:pPr>
              <w:autoSpaceDE w:val="0"/>
              <w:autoSpaceDN w:val="0"/>
              <w:adjustRightInd w:val="0"/>
              <w:ind w:right="10"/>
              <w:rPr>
                <w:rFonts w:ascii="Times New Roman" w:hAnsi="Times New Roman" w:cs="Times New Roman"/>
                <w:color w:val="000000"/>
                <w:sz w:val="16"/>
                <w:szCs w:val="16"/>
                <w:lang w:val="en-GB"/>
              </w:rPr>
            </w:pPr>
            <w:r w:rsidRPr="008A7487">
              <w:rPr>
                <w:rFonts w:ascii="Times New Roman" w:hAnsi="Times New Roman" w:cs="Times New Roman"/>
                <w:color w:val="000000"/>
                <w:sz w:val="16"/>
                <w:szCs w:val="16"/>
                <w:lang w:val="en-GB"/>
              </w:rPr>
              <w:t>-1.10</w:t>
            </w:r>
          </w:p>
        </w:tc>
        <w:tc>
          <w:tcPr>
            <w:tcW w:w="957" w:type="dxa"/>
            <w:vAlign w:val="bottom"/>
          </w:tcPr>
          <w:p w14:paraId="7BFD35A3" w14:textId="77777777" w:rsidR="00B75F05" w:rsidRPr="008A7487" w:rsidRDefault="00B75F05" w:rsidP="00C21D6F">
            <w:pPr>
              <w:autoSpaceDE w:val="0"/>
              <w:autoSpaceDN w:val="0"/>
              <w:adjustRightInd w:val="0"/>
              <w:ind w:right="10"/>
              <w:rPr>
                <w:rFonts w:ascii="Times New Roman" w:hAnsi="Times New Roman" w:cs="Times New Roman"/>
                <w:color w:val="000000"/>
                <w:sz w:val="16"/>
                <w:szCs w:val="16"/>
                <w:lang w:val="en-GB"/>
              </w:rPr>
            </w:pPr>
            <w:r w:rsidRPr="008A7487">
              <w:rPr>
                <w:rFonts w:ascii="Times New Roman" w:hAnsi="Times New Roman" w:cs="Times New Roman"/>
                <w:color w:val="000000"/>
                <w:sz w:val="16"/>
                <w:szCs w:val="16"/>
                <w:lang w:val="en-GB"/>
              </w:rPr>
              <w:t>0.16</w:t>
            </w:r>
          </w:p>
        </w:tc>
        <w:tc>
          <w:tcPr>
            <w:tcW w:w="1230" w:type="dxa"/>
            <w:vAlign w:val="bottom"/>
          </w:tcPr>
          <w:p w14:paraId="3BFFB1A4" w14:textId="77777777" w:rsidR="00B75F05" w:rsidRPr="008A7487" w:rsidRDefault="00B75F05" w:rsidP="00C21D6F">
            <w:pPr>
              <w:autoSpaceDE w:val="0"/>
              <w:autoSpaceDN w:val="0"/>
              <w:adjustRightInd w:val="0"/>
              <w:ind w:right="10"/>
              <w:rPr>
                <w:rFonts w:ascii="Times New Roman" w:hAnsi="Times New Roman" w:cs="Times New Roman"/>
                <w:color w:val="000000"/>
                <w:sz w:val="16"/>
                <w:szCs w:val="16"/>
                <w:lang w:val="en-GB"/>
              </w:rPr>
            </w:pPr>
            <w:r w:rsidRPr="008A7487">
              <w:rPr>
                <w:rFonts w:ascii="Times New Roman" w:hAnsi="Times New Roman" w:cs="Times New Roman"/>
                <w:color w:val="000000"/>
                <w:sz w:val="16"/>
                <w:szCs w:val="16"/>
                <w:lang w:val="en-GB"/>
              </w:rPr>
              <w:t>0.45</w:t>
            </w:r>
          </w:p>
        </w:tc>
      </w:tr>
      <w:tr w:rsidR="00B75F05" w:rsidRPr="008A7487" w14:paraId="710B453C" w14:textId="77777777" w:rsidTr="00C21D6F">
        <w:tc>
          <w:tcPr>
            <w:tcW w:w="1186" w:type="dxa"/>
          </w:tcPr>
          <w:p w14:paraId="740806EC" w14:textId="77777777" w:rsidR="00B75F05" w:rsidRPr="008A7487" w:rsidRDefault="00B75F05" w:rsidP="00C21D6F">
            <w:pPr>
              <w:spacing w:line="480" w:lineRule="auto"/>
              <w:contextualSpacing/>
              <w:rPr>
                <w:rFonts w:ascii="Times New Roman" w:hAnsi="Times New Roman" w:cs="Times New Roman"/>
                <w:sz w:val="16"/>
                <w:szCs w:val="16"/>
              </w:rPr>
            </w:pPr>
            <w:r w:rsidRPr="008A7487">
              <w:rPr>
                <w:rFonts w:ascii="Times New Roman" w:hAnsi="Times New Roman" w:cs="Times New Roman"/>
                <w:sz w:val="16"/>
                <w:szCs w:val="16"/>
              </w:rPr>
              <w:t>INF</w:t>
            </w:r>
          </w:p>
        </w:tc>
        <w:tc>
          <w:tcPr>
            <w:tcW w:w="973" w:type="dxa"/>
            <w:vAlign w:val="bottom"/>
          </w:tcPr>
          <w:p w14:paraId="72FE8830" w14:textId="77777777" w:rsidR="00B75F05" w:rsidRPr="008A7487" w:rsidRDefault="00B75F05" w:rsidP="00C21D6F">
            <w:pPr>
              <w:autoSpaceDE w:val="0"/>
              <w:autoSpaceDN w:val="0"/>
              <w:adjustRightInd w:val="0"/>
              <w:ind w:right="10"/>
              <w:rPr>
                <w:rFonts w:ascii="Times New Roman" w:hAnsi="Times New Roman" w:cs="Times New Roman"/>
                <w:color w:val="000000"/>
                <w:sz w:val="16"/>
                <w:szCs w:val="16"/>
                <w:lang w:val="en-GB"/>
              </w:rPr>
            </w:pPr>
            <w:r w:rsidRPr="008A7487">
              <w:rPr>
                <w:rFonts w:ascii="Times New Roman" w:hAnsi="Times New Roman" w:cs="Times New Roman"/>
                <w:color w:val="000000"/>
                <w:sz w:val="16"/>
                <w:szCs w:val="16"/>
                <w:lang w:val="en-GB"/>
              </w:rPr>
              <w:t>0.01</w:t>
            </w:r>
          </w:p>
        </w:tc>
        <w:tc>
          <w:tcPr>
            <w:tcW w:w="974" w:type="dxa"/>
            <w:vAlign w:val="bottom"/>
          </w:tcPr>
          <w:p w14:paraId="29BB8E67" w14:textId="77777777" w:rsidR="00B75F05" w:rsidRPr="008A7487" w:rsidRDefault="00B75F05" w:rsidP="00C21D6F">
            <w:pPr>
              <w:autoSpaceDE w:val="0"/>
              <w:autoSpaceDN w:val="0"/>
              <w:adjustRightInd w:val="0"/>
              <w:ind w:right="10"/>
              <w:rPr>
                <w:rFonts w:ascii="Times New Roman" w:hAnsi="Times New Roman" w:cs="Times New Roman"/>
                <w:color w:val="000000"/>
                <w:sz w:val="16"/>
                <w:szCs w:val="16"/>
                <w:lang w:val="en-GB"/>
              </w:rPr>
            </w:pPr>
            <w:r w:rsidRPr="008A7487">
              <w:rPr>
                <w:rFonts w:ascii="Times New Roman" w:hAnsi="Times New Roman" w:cs="Times New Roman"/>
                <w:color w:val="000000"/>
                <w:sz w:val="16"/>
                <w:szCs w:val="16"/>
                <w:lang w:val="en-GB"/>
              </w:rPr>
              <w:t>0.25</w:t>
            </w:r>
          </w:p>
        </w:tc>
        <w:tc>
          <w:tcPr>
            <w:tcW w:w="950" w:type="dxa"/>
            <w:vAlign w:val="bottom"/>
          </w:tcPr>
          <w:p w14:paraId="1B52CDBA" w14:textId="77777777" w:rsidR="00B75F05" w:rsidRPr="008A7487" w:rsidRDefault="00B75F05" w:rsidP="00C21D6F">
            <w:pPr>
              <w:autoSpaceDE w:val="0"/>
              <w:autoSpaceDN w:val="0"/>
              <w:adjustRightInd w:val="0"/>
              <w:ind w:right="10"/>
              <w:rPr>
                <w:rFonts w:ascii="Times New Roman" w:hAnsi="Times New Roman" w:cs="Times New Roman"/>
                <w:color w:val="000000"/>
                <w:sz w:val="16"/>
                <w:szCs w:val="16"/>
                <w:lang w:val="en-GB"/>
              </w:rPr>
            </w:pPr>
            <w:r w:rsidRPr="008A7487">
              <w:rPr>
                <w:rFonts w:ascii="Times New Roman" w:hAnsi="Times New Roman" w:cs="Times New Roman"/>
                <w:color w:val="000000"/>
                <w:sz w:val="16"/>
                <w:szCs w:val="16"/>
                <w:lang w:val="en-GB"/>
              </w:rPr>
              <w:t>-0.18</w:t>
            </w:r>
          </w:p>
        </w:tc>
        <w:tc>
          <w:tcPr>
            <w:tcW w:w="960" w:type="dxa"/>
            <w:vAlign w:val="bottom"/>
          </w:tcPr>
          <w:p w14:paraId="52AB16E9" w14:textId="77777777" w:rsidR="00B75F05" w:rsidRPr="008A7487" w:rsidRDefault="00B75F05" w:rsidP="00C21D6F">
            <w:pPr>
              <w:autoSpaceDE w:val="0"/>
              <w:autoSpaceDN w:val="0"/>
              <w:adjustRightInd w:val="0"/>
              <w:ind w:right="10"/>
              <w:rPr>
                <w:rFonts w:ascii="Times New Roman" w:hAnsi="Times New Roman" w:cs="Times New Roman"/>
                <w:color w:val="000000"/>
                <w:sz w:val="16"/>
                <w:szCs w:val="16"/>
                <w:lang w:val="en-GB"/>
              </w:rPr>
            </w:pPr>
            <w:r w:rsidRPr="008A7487">
              <w:rPr>
                <w:rFonts w:ascii="Times New Roman" w:hAnsi="Times New Roman" w:cs="Times New Roman"/>
                <w:color w:val="000000"/>
                <w:sz w:val="16"/>
                <w:szCs w:val="16"/>
                <w:lang w:val="en-GB"/>
              </w:rPr>
              <w:t>-2.17**</w:t>
            </w:r>
          </w:p>
        </w:tc>
        <w:tc>
          <w:tcPr>
            <w:tcW w:w="957" w:type="dxa"/>
            <w:vAlign w:val="bottom"/>
          </w:tcPr>
          <w:p w14:paraId="089AC748" w14:textId="77777777" w:rsidR="00B75F05" w:rsidRPr="008A7487" w:rsidRDefault="00B75F05" w:rsidP="00C21D6F">
            <w:pPr>
              <w:autoSpaceDE w:val="0"/>
              <w:autoSpaceDN w:val="0"/>
              <w:adjustRightInd w:val="0"/>
              <w:ind w:right="10"/>
              <w:rPr>
                <w:rFonts w:ascii="Times New Roman" w:hAnsi="Times New Roman" w:cs="Times New Roman"/>
                <w:color w:val="000000"/>
                <w:sz w:val="16"/>
                <w:szCs w:val="16"/>
                <w:lang w:val="en-GB"/>
              </w:rPr>
            </w:pPr>
            <w:r w:rsidRPr="008A7487">
              <w:rPr>
                <w:rFonts w:ascii="Times New Roman" w:hAnsi="Times New Roman" w:cs="Times New Roman"/>
                <w:color w:val="000000"/>
                <w:sz w:val="16"/>
                <w:szCs w:val="16"/>
                <w:lang w:val="en-GB"/>
              </w:rPr>
              <w:t>0.02</w:t>
            </w:r>
          </w:p>
        </w:tc>
        <w:tc>
          <w:tcPr>
            <w:tcW w:w="1230" w:type="dxa"/>
            <w:vAlign w:val="bottom"/>
          </w:tcPr>
          <w:p w14:paraId="34DBD871" w14:textId="77777777" w:rsidR="00B75F05" w:rsidRPr="008A7487" w:rsidRDefault="00B75F05" w:rsidP="00C21D6F">
            <w:pPr>
              <w:autoSpaceDE w:val="0"/>
              <w:autoSpaceDN w:val="0"/>
              <w:adjustRightInd w:val="0"/>
              <w:ind w:right="10"/>
              <w:rPr>
                <w:rFonts w:ascii="Times New Roman" w:hAnsi="Times New Roman" w:cs="Times New Roman"/>
                <w:color w:val="000000"/>
                <w:sz w:val="16"/>
                <w:szCs w:val="16"/>
                <w:lang w:val="en-GB"/>
              </w:rPr>
            </w:pPr>
            <w:r w:rsidRPr="008A7487">
              <w:rPr>
                <w:rFonts w:ascii="Times New Roman" w:hAnsi="Times New Roman" w:cs="Times New Roman"/>
                <w:color w:val="000000"/>
                <w:sz w:val="16"/>
                <w:szCs w:val="16"/>
                <w:lang w:val="en-GB"/>
              </w:rPr>
              <w:t>0.13</w:t>
            </w:r>
          </w:p>
        </w:tc>
      </w:tr>
      <w:tr w:rsidR="00B75F05" w:rsidRPr="008A7487" w14:paraId="352F0417" w14:textId="77777777" w:rsidTr="00C21D6F">
        <w:tc>
          <w:tcPr>
            <w:tcW w:w="1186" w:type="dxa"/>
          </w:tcPr>
          <w:p w14:paraId="586BF4FF" w14:textId="77777777" w:rsidR="00B75F05" w:rsidRPr="008A7487" w:rsidRDefault="00B75F05" w:rsidP="00C21D6F">
            <w:pPr>
              <w:spacing w:line="480" w:lineRule="auto"/>
              <w:contextualSpacing/>
              <w:rPr>
                <w:rFonts w:ascii="Times New Roman" w:hAnsi="Times New Roman" w:cs="Times New Roman"/>
                <w:sz w:val="16"/>
                <w:szCs w:val="16"/>
              </w:rPr>
            </w:pPr>
            <w:r w:rsidRPr="008A7487">
              <w:rPr>
                <w:rFonts w:ascii="Times New Roman" w:hAnsi="Times New Roman" w:cs="Times New Roman"/>
                <w:sz w:val="16"/>
                <w:szCs w:val="16"/>
              </w:rPr>
              <w:t>Cont</w:t>
            </w:r>
          </w:p>
        </w:tc>
        <w:tc>
          <w:tcPr>
            <w:tcW w:w="973" w:type="dxa"/>
          </w:tcPr>
          <w:p w14:paraId="40A2D18C" w14:textId="77777777" w:rsidR="00B75F05" w:rsidRPr="008A7487" w:rsidRDefault="00B75F05" w:rsidP="00C21D6F">
            <w:pPr>
              <w:contextualSpacing/>
              <w:rPr>
                <w:rFonts w:ascii="Times New Roman" w:hAnsi="Times New Roman" w:cs="Times New Roman"/>
                <w:sz w:val="16"/>
                <w:szCs w:val="16"/>
              </w:rPr>
            </w:pPr>
            <w:r w:rsidRPr="008A7487">
              <w:rPr>
                <w:rFonts w:ascii="Times New Roman" w:hAnsi="Times New Roman" w:cs="Times New Roman"/>
                <w:sz w:val="16"/>
                <w:szCs w:val="16"/>
              </w:rPr>
              <w:t>0.44</w:t>
            </w:r>
          </w:p>
        </w:tc>
        <w:tc>
          <w:tcPr>
            <w:tcW w:w="974" w:type="dxa"/>
          </w:tcPr>
          <w:p w14:paraId="414DCBD0" w14:textId="77777777" w:rsidR="00B75F05" w:rsidRPr="008A7487" w:rsidRDefault="00B75F05" w:rsidP="00C21D6F">
            <w:pPr>
              <w:contextualSpacing/>
              <w:rPr>
                <w:rFonts w:ascii="Times New Roman" w:hAnsi="Times New Roman" w:cs="Times New Roman"/>
                <w:sz w:val="16"/>
                <w:szCs w:val="16"/>
              </w:rPr>
            </w:pPr>
            <w:r w:rsidRPr="008A7487">
              <w:rPr>
                <w:rFonts w:ascii="Times New Roman" w:hAnsi="Times New Roman" w:cs="Times New Roman"/>
                <w:sz w:val="16"/>
                <w:szCs w:val="16"/>
              </w:rPr>
              <w:t>1.10</w:t>
            </w:r>
          </w:p>
        </w:tc>
        <w:tc>
          <w:tcPr>
            <w:tcW w:w="950" w:type="dxa"/>
          </w:tcPr>
          <w:p w14:paraId="6090D03D" w14:textId="77777777" w:rsidR="00B75F05" w:rsidRPr="008A7487" w:rsidRDefault="00B75F05" w:rsidP="00C21D6F">
            <w:pPr>
              <w:contextualSpacing/>
              <w:rPr>
                <w:rFonts w:ascii="Times New Roman" w:hAnsi="Times New Roman" w:cs="Times New Roman"/>
                <w:sz w:val="16"/>
                <w:szCs w:val="16"/>
              </w:rPr>
            </w:pPr>
            <w:r w:rsidRPr="008A7487">
              <w:rPr>
                <w:rFonts w:ascii="Times New Roman" w:hAnsi="Times New Roman" w:cs="Times New Roman"/>
                <w:sz w:val="16"/>
                <w:szCs w:val="16"/>
              </w:rPr>
              <w:t>5.77</w:t>
            </w:r>
          </w:p>
        </w:tc>
        <w:tc>
          <w:tcPr>
            <w:tcW w:w="960" w:type="dxa"/>
          </w:tcPr>
          <w:p w14:paraId="2E91A0A8" w14:textId="77777777" w:rsidR="00B75F05" w:rsidRPr="008A7487" w:rsidRDefault="00B75F05" w:rsidP="00C21D6F">
            <w:pPr>
              <w:contextualSpacing/>
              <w:rPr>
                <w:rFonts w:ascii="Times New Roman" w:hAnsi="Times New Roman" w:cs="Times New Roman"/>
                <w:sz w:val="16"/>
                <w:szCs w:val="16"/>
              </w:rPr>
            </w:pPr>
            <w:r w:rsidRPr="008A7487">
              <w:rPr>
                <w:rFonts w:ascii="Times New Roman" w:hAnsi="Times New Roman" w:cs="Times New Roman"/>
                <w:sz w:val="16"/>
                <w:szCs w:val="16"/>
              </w:rPr>
              <w:t>2.09**</w:t>
            </w:r>
          </w:p>
        </w:tc>
        <w:tc>
          <w:tcPr>
            <w:tcW w:w="957" w:type="dxa"/>
          </w:tcPr>
          <w:p w14:paraId="23CD2779" w14:textId="77777777" w:rsidR="00B75F05" w:rsidRPr="008A7487" w:rsidRDefault="00B75F05" w:rsidP="00C21D6F">
            <w:pPr>
              <w:contextualSpacing/>
              <w:rPr>
                <w:rFonts w:ascii="Times New Roman" w:hAnsi="Times New Roman" w:cs="Times New Roman"/>
                <w:sz w:val="16"/>
                <w:szCs w:val="16"/>
              </w:rPr>
            </w:pPr>
            <w:r w:rsidRPr="008A7487">
              <w:rPr>
                <w:rFonts w:ascii="Times New Roman" w:hAnsi="Times New Roman" w:cs="Times New Roman"/>
                <w:sz w:val="16"/>
                <w:szCs w:val="16"/>
              </w:rPr>
              <w:t>-2.04</w:t>
            </w:r>
          </w:p>
        </w:tc>
        <w:tc>
          <w:tcPr>
            <w:tcW w:w="1230" w:type="dxa"/>
          </w:tcPr>
          <w:p w14:paraId="107009A7" w14:textId="77777777" w:rsidR="00B75F05" w:rsidRPr="008A7487" w:rsidRDefault="00B75F05" w:rsidP="00C21D6F">
            <w:pPr>
              <w:contextualSpacing/>
              <w:rPr>
                <w:rFonts w:ascii="Times New Roman" w:hAnsi="Times New Roman" w:cs="Times New Roman"/>
                <w:sz w:val="16"/>
                <w:szCs w:val="16"/>
              </w:rPr>
            </w:pPr>
            <w:r w:rsidRPr="008A7487">
              <w:rPr>
                <w:rFonts w:ascii="Times New Roman" w:hAnsi="Times New Roman" w:cs="Times New Roman"/>
                <w:sz w:val="16"/>
                <w:szCs w:val="16"/>
              </w:rPr>
              <w:t>-0.37</w:t>
            </w:r>
          </w:p>
        </w:tc>
      </w:tr>
      <w:tr w:rsidR="00B75F05" w:rsidRPr="008A7487" w14:paraId="01FD018F" w14:textId="77777777" w:rsidTr="00C21D6F">
        <w:tc>
          <w:tcPr>
            <w:tcW w:w="1186" w:type="dxa"/>
          </w:tcPr>
          <w:p w14:paraId="67BCB793" w14:textId="77777777" w:rsidR="00B75F05" w:rsidRPr="008A7487" w:rsidRDefault="00B75F05" w:rsidP="00C21D6F">
            <w:pPr>
              <w:spacing w:line="480" w:lineRule="auto"/>
              <w:contextualSpacing/>
              <w:rPr>
                <w:rFonts w:ascii="Times New Roman" w:hAnsi="Times New Roman" w:cs="Times New Roman"/>
                <w:sz w:val="16"/>
                <w:szCs w:val="16"/>
                <w:vertAlign w:val="superscript"/>
              </w:rPr>
            </w:pPr>
            <w:r w:rsidRPr="008A7487">
              <w:rPr>
                <w:rFonts w:ascii="Times New Roman" w:hAnsi="Times New Roman" w:cs="Times New Roman"/>
                <w:sz w:val="16"/>
                <w:szCs w:val="16"/>
              </w:rPr>
              <w:t>R</w:t>
            </w:r>
            <w:r w:rsidRPr="008A7487">
              <w:rPr>
                <w:rFonts w:ascii="Times New Roman" w:hAnsi="Times New Roman" w:cs="Times New Roman"/>
                <w:sz w:val="16"/>
                <w:szCs w:val="16"/>
                <w:vertAlign w:val="superscript"/>
              </w:rPr>
              <w:t>2</w:t>
            </w:r>
          </w:p>
        </w:tc>
        <w:tc>
          <w:tcPr>
            <w:tcW w:w="973" w:type="dxa"/>
          </w:tcPr>
          <w:p w14:paraId="4DDB7EB5" w14:textId="77777777" w:rsidR="00B75F05" w:rsidRPr="008A7487" w:rsidRDefault="00B75F05" w:rsidP="00C21D6F">
            <w:pPr>
              <w:contextualSpacing/>
              <w:rPr>
                <w:rFonts w:ascii="Times New Roman" w:hAnsi="Times New Roman" w:cs="Times New Roman"/>
                <w:sz w:val="16"/>
                <w:szCs w:val="16"/>
              </w:rPr>
            </w:pPr>
            <w:r w:rsidRPr="008A7487">
              <w:rPr>
                <w:rFonts w:ascii="Times New Roman" w:hAnsi="Times New Roman" w:cs="Times New Roman"/>
                <w:sz w:val="16"/>
                <w:szCs w:val="16"/>
              </w:rPr>
              <w:t>70%</w:t>
            </w:r>
          </w:p>
        </w:tc>
        <w:tc>
          <w:tcPr>
            <w:tcW w:w="974" w:type="dxa"/>
          </w:tcPr>
          <w:p w14:paraId="7898CCB4" w14:textId="77777777" w:rsidR="00B75F05" w:rsidRPr="008A7487" w:rsidRDefault="00B75F05" w:rsidP="00C21D6F">
            <w:pPr>
              <w:contextualSpacing/>
              <w:rPr>
                <w:rFonts w:ascii="Times New Roman" w:hAnsi="Times New Roman" w:cs="Times New Roman"/>
                <w:sz w:val="16"/>
                <w:szCs w:val="16"/>
              </w:rPr>
            </w:pPr>
          </w:p>
        </w:tc>
        <w:tc>
          <w:tcPr>
            <w:tcW w:w="950" w:type="dxa"/>
          </w:tcPr>
          <w:p w14:paraId="18F20543" w14:textId="77777777" w:rsidR="00B75F05" w:rsidRPr="008A7487" w:rsidRDefault="00B75F05" w:rsidP="00C21D6F">
            <w:pPr>
              <w:contextualSpacing/>
              <w:rPr>
                <w:rFonts w:ascii="Times New Roman" w:hAnsi="Times New Roman" w:cs="Times New Roman"/>
                <w:sz w:val="16"/>
                <w:szCs w:val="16"/>
              </w:rPr>
            </w:pPr>
            <w:r w:rsidRPr="008A7487">
              <w:rPr>
                <w:rFonts w:ascii="Times New Roman" w:hAnsi="Times New Roman" w:cs="Times New Roman"/>
                <w:sz w:val="16"/>
                <w:szCs w:val="16"/>
              </w:rPr>
              <w:t>54%</w:t>
            </w:r>
          </w:p>
        </w:tc>
        <w:tc>
          <w:tcPr>
            <w:tcW w:w="960" w:type="dxa"/>
          </w:tcPr>
          <w:p w14:paraId="17C09629" w14:textId="77777777" w:rsidR="00B75F05" w:rsidRPr="008A7487" w:rsidRDefault="00B75F05" w:rsidP="00C21D6F">
            <w:pPr>
              <w:contextualSpacing/>
              <w:rPr>
                <w:rFonts w:ascii="Times New Roman" w:hAnsi="Times New Roman" w:cs="Times New Roman"/>
                <w:sz w:val="16"/>
                <w:szCs w:val="16"/>
              </w:rPr>
            </w:pPr>
          </w:p>
        </w:tc>
        <w:tc>
          <w:tcPr>
            <w:tcW w:w="957" w:type="dxa"/>
          </w:tcPr>
          <w:p w14:paraId="524D6CEC" w14:textId="77777777" w:rsidR="00B75F05" w:rsidRPr="008A7487" w:rsidRDefault="00B75F05" w:rsidP="00C21D6F">
            <w:pPr>
              <w:contextualSpacing/>
              <w:rPr>
                <w:rFonts w:ascii="Times New Roman" w:hAnsi="Times New Roman" w:cs="Times New Roman"/>
                <w:sz w:val="16"/>
                <w:szCs w:val="16"/>
              </w:rPr>
            </w:pPr>
            <w:r w:rsidRPr="008A7487">
              <w:rPr>
                <w:rFonts w:ascii="Times New Roman" w:hAnsi="Times New Roman" w:cs="Times New Roman"/>
                <w:sz w:val="16"/>
                <w:szCs w:val="16"/>
              </w:rPr>
              <w:t>27%</w:t>
            </w:r>
          </w:p>
        </w:tc>
        <w:tc>
          <w:tcPr>
            <w:tcW w:w="1230" w:type="dxa"/>
          </w:tcPr>
          <w:p w14:paraId="7F588541" w14:textId="77777777" w:rsidR="00B75F05" w:rsidRPr="008A7487" w:rsidRDefault="00B75F05" w:rsidP="00C21D6F">
            <w:pPr>
              <w:contextualSpacing/>
              <w:rPr>
                <w:rFonts w:ascii="Times New Roman" w:hAnsi="Times New Roman" w:cs="Times New Roman"/>
                <w:b/>
                <w:sz w:val="16"/>
                <w:szCs w:val="16"/>
              </w:rPr>
            </w:pPr>
          </w:p>
        </w:tc>
      </w:tr>
      <w:tr w:rsidR="00B75F05" w:rsidRPr="008A7487" w14:paraId="38E401A5" w14:textId="77777777" w:rsidTr="00C21D6F">
        <w:tc>
          <w:tcPr>
            <w:tcW w:w="1186" w:type="dxa"/>
          </w:tcPr>
          <w:p w14:paraId="623170A3" w14:textId="77777777" w:rsidR="00B75F05" w:rsidRPr="008A7487" w:rsidRDefault="00B75F05" w:rsidP="00C21D6F">
            <w:pPr>
              <w:spacing w:line="480" w:lineRule="auto"/>
              <w:contextualSpacing/>
              <w:rPr>
                <w:rFonts w:ascii="Times New Roman" w:hAnsi="Times New Roman" w:cs="Times New Roman"/>
                <w:sz w:val="16"/>
                <w:szCs w:val="16"/>
                <w:vertAlign w:val="superscript"/>
              </w:rPr>
            </w:pPr>
            <w:r w:rsidRPr="008A7487">
              <w:rPr>
                <w:rFonts w:ascii="Times New Roman" w:hAnsi="Times New Roman" w:cs="Times New Roman"/>
                <w:sz w:val="16"/>
                <w:szCs w:val="16"/>
              </w:rPr>
              <w:t>F-stat</w:t>
            </w:r>
          </w:p>
        </w:tc>
        <w:tc>
          <w:tcPr>
            <w:tcW w:w="973" w:type="dxa"/>
          </w:tcPr>
          <w:p w14:paraId="1DBB0512" w14:textId="77777777" w:rsidR="00B75F05" w:rsidRPr="008A7487" w:rsidRDefault="00B75F05" w:rsidP="00C21D6F">
            <w:pPr>
              <w:contextualSpacing/>
              <w:rPr>
                <w:rFonts w:ascii="Times New Roman" w:hAnsi="Times New Roman" w:cs="Times New Roman"/>
                <w:sz w:val="16"/>
                <w:szCs w:val="16"/>
              </w:rPr>
            </w:pPr>
            <w:r w:rsidRPr="008A7487">
              <w:rPr>
                <w:rFonts w:ascii="Times New Roman" w:hAnsi="Times New Roman" w:cs="Times New Roman"/>
                <w:sz w:val="16"/>
                <w:szCs w:val="16"/>
              </w:rPr>
              <w:t>15.65***</w:t>
            </w:r>
          </w:p>
        </w:tc>
        <w:tc>
          <w:tcPr>
            <w:tcW w:w="974" w:type="dxa"/>
          </w:tcPr>
          <w:p w14:paraId="2ABE4494" w14:textId="77777777" w:rsidR="00B75F05" w:rsidRPr="008A7487" w:rsidRDefault="00B75F05" w:rsidP="00C21D6F">
            <w:pPr>
              <w:contextualSpacing/>
              <w:rPr>
                <w:rFonts w:ascii="Times New Roman" w:hAnsi="Times New Roman" w:cs="Times New Roman"/>
                <w:sz w:val="16"/>
                <w:szCs w:val="16"/>
              </w:rPr>
            </w:pPr>
          </w:p>
        </w:tc>
        <w:tc>
          <w:tcPr>
            <w:tcW w:w="950" w:type="dxa"/>
          </w:tcPr>
          <w:p w14:paraId="6059AEB7" w14:textId="77777777" w:rsidR="00B75F05" w:rsidRPr="008A7487" w:rsidRDefault="00B75F05" w:rsidP="00C21D6F">
            <w:pPr>
              <w:contextualSpacing/>
              <w:rPr>
                <w:rFonts w:ascii="Times New Roman" w:hAnsi="Times New Roman" w:cs="Times New Roman"/>
                <w:sz w:val="16"/>
                <w:szCs w:val="16"/>
              </w:rPr>
            </w:pPr>
            <w:r w:rsidRPr="008A7487">
              <w:rPr>
                <w:rFonts w:ascii="Times New Roman" w:hAnsi="Times New Roman" w:cs="Times New Roman"/>
                <w:sz w:val="16"/>
                <w:szCs w:val="16"/>
              </w:rPr>
              <w:t>4.20***</w:t>
            </w:r>
          </w:p>
        </w:tc>
        <w:tc>
          <w:tcPr>
            <w:tcW w:w="960" w:type="dxa"/>
          </w:tcPr>
          <w:p w14:paraId="6B909139" w14:textId="77777777" w:rsidR="00B75F05" w:rsidRPr="008A7487" w:rsidRDefault="00B75F05" w:rsidP="00C21D6F">
            <w:pPr>
              <w:contextualSpacing/>
              <w:rPr>
                <w:rFonts w:ascii="Times New Roman" w:hAnsi="Times New Roman" w:cs="Times New Roman"/>
                <w:sz w:val="16"/>
                <w:szCs w:val="16"/>
              </w:rPr>
            </w:pPr>
          </w:p>
        </w:tc>
        <w:tc>
          <w:tcPr>
            <w:tcW w:w="957" w:type="dxa"/>
          </w:tcPr>
          <w:p w14:paraId="24202362" w14:textId="77777777" w:rsidR="00B75F05" w:rsidRPr="008A7487" w:rsidRDefault="00B75F05" w:rsidP="00C21D6F">
            <w:pPr>
              <w:contextualSpacing/>
              <w:rPr>
                <w:rFonts w:ascii="Times New Roman" w:hAnsi="Times New Roman" w:cs="Times New Roman"/>
                <w:sz w:val="16"/>
                <w:szCs w:val="16"/>
              </w:rPr>
            </w:pPr>
            <w:r w:rsidRPr="008A7487">
              <w:rPr>
                <w:rFonts w:ascii="Times New Roman" w:hAnsi="Times New Roman" w:cs="Times New Roman"/>
                <w:sz w:val="16"/>
                <w:szCs w:val="16"/>
              </w:rPr>
              <w:t>2.33***</w:t>
            </w:r>
          </w:p>
        </w:tc>
        <w:tc>
          <w:tcPr>
            <w:tcW w:w="1230" w:type="dxa"/>
          </w:tcPr>
          <w:p w14:paraId="7FFA1AD3" w14:textId="77777777" w:rsidR="00B75F05" w:rsidRPr="008A7487" w:rsidRDefault="00B75F05" w:rsidP="00C21D6F">
            <w:pPr>
              <w:contextualSpacing/>
              <w:rPr>
                <w:rFonts w:ascii="Times New Roman" w:hAnsi="Times New Roman" w:cs="Times New Roman"/>
                <w:b/>
                <w:sz w:val="16"/>
                <w:szCs w:val="16"/>
              </w:rPr>
            </w:pPr>
          </w:p>
        </w:tc>
      </w:tr>
      <w:tr w:rsidR="00B75F05" w:rsidRPr="008A7487" w14:paraId="332AED32" w14:textId="77777777" w:rsidTr="00C21D6F">
        <w:tc>
          <w:tcPr>
            <w:tcW w:w="1186" w:type="dxa"/>
          </w:tcPr>
          <w:p w14:paraId="1E1FED7C" w14:textId="77777777" w:rsidR="00B75F05" w:rsidRPr="008A7487" w:rsidRDefault="00B75F05" w:rsidP="00C21D6F">
            <w:pPr>
              <w:spacing w:line="480" w:lineRule="auto"/>
              <w:contextualSpacing/>
              <w:rPr>
                <w:rFonts w:ascii="Times New Roman" w:hAnsi="Times New Roman" w:cs="Times New Roman"/>
                <w:sz w:val="16"/>
                <w:szCs w:val="16"/>
              </w:rPr>
            </w:pPr>
            <w:r w:rsidRPr="008A7487">
              <w:rPr>
                <w:rFonts w:ascii="Times New Roman" w:hAnsi="Times New Roman" w:cs="Times New Roman"/>
                <w:sz w:val="16"/>
                <w:szCs w:val="16"/>
              </w:rPr>
              <w:t>Obs</w:t>
            </w:r>
          </w:p>
        </w:tc>
        <w:tc>
          <w:tcPr>
            <w:tcW w:w="973" w:type="dxa"/>
          </w:tcPr>
          <w:p w14:paraId="49E68005" w14:textId="77777777" w:rsidR="00B75F05" w:rsidRPr="006D7BB8" w:rsidRDefault="00B75F05" w:rsidP="00C21D6F">
            <w:pPr>
              <w:contextualSpacing/>
              <w:rPr>
                <w:rFonts w:ascii="Times New Roman" w:hAnsi="Times New Roman" w:cs="Times New Roman"/>
                <w:b/>
                <w:sz w:val="16"/>
                <w:szCs w:val="16"/>
              </w:rPr>
            </w:pPr>
            <w:r w:rsidRPr="006D7BB8">
              <w:rPr>
                <w:rFonts w:ascii="Times New Roman" w:hAnsi="Times New Roman" w:cs="Times New Roman"/>
                <w:b/>
                <w:sz w:val="16"/>
                <w:szCs w:val="16"/>
              </w:rPr>
              <w:t>856</w:t>
            </w:r>
          </w:p>
        </w:tc>
        <w:tc>
          <w:tcPr>
            <w:tcW w:w="974" w:type="dxa"/>
          </w:tcPr>
          <w:p w14:paraId="2ACA0EB8" w14:textId="77777777" w:rsidR="00B75F05" w:rsidRPr="006D7BB8" w:rsidRDefault="00B75F05" w:rsidP="00C21D6F">
            <w:pPr>
              <w:contextualSpacing/>
              <w:rPr>
                <w:rFonts w:ascii="Times New Roman" w:hAnsi="Times New Roman" w:cs="Times New Roman"/>
                <w:b/>
                <w:sz w:val="16"/>
                <w:szCs w:val="16"/>
              </w:rPr>
            </w:pPr>
          </w:p>
        </w:tc>
        <w:tc>
          <w:tcPr>
            <w:tcW w:w="950" w:type="dxa"/>
          </w:tcPr>
          <w:p w14:paraId="24A36696" w14:textId="77777777" w:rsidR="00B75F05" w:rsidRPr="006D7BB8" w:rsidRDefault="00B75F05" w:rsidP="00C21D6F">
            <w:pPr>
              <w:contextualSpacing/>
              <w:rPr>
                <w:rFonts w:ascii="Times New Roman" w:hAnsi="Times New Roman" w:cs="Times New Roman"/>
                <w:b/>
                <w:sz w:val="16"/>
                <w:szCs w:val="16"/>
              </w:rPr>
            </w:pPr>
            <w:r w:rsidRPr="006D7BB8">
              <w:rPr>
                <w:rFonts w:ascii="Times New Roman" w:hAnsi="Times New Roman" w:cs="Times New Roman"/>
                <w:b/>
                <w:sz w:val="16"/>
                <w:szCs w:val="16"/>
              </w:rPr>
              <w:t>356</w:t>
            </w:r>
          </w:p>
        </w:tc>
        <w:tc>
          <w:tcPr>
            <w:tcW w:w="960" w:type="dxa"/>
          </w:tcPr>
          <w:p w14:paraId="2BA355BF" w14:textId="77777777" w:rsidR="00B75F05" w:rsidRPr="006D7BB8" w:rsidRDefault="00B75F05" w:rsidP="00C21D6F">
            <w:pPr>
              <w:contextualSpacing/>
              <w:rPr>
                <w:rFonts w:ascii="Times New Roman" w:hAnsi="Times New Roman" w:cs="Times New Roman"/>
                <w:b/>
                <w:sz w:val="16"/>
                <w:szCs w:val="16"/>
              </w:rPr>
            </w:pPr>
          </w:p>
        </w:tc>
        <w:tc>
          <w:tcPr>
            <w:tcW w:w="957" w:type="dxa"/>
          </w:tcPr>
          <w:p w14:paraId="341D3E47" w14:textId="77777777" w:rsidR="00B75F05" w:rsidRPr="006D7BB8" w:rsidRDefault="00B75F05" w:rsidP="00C21D6F">
            <w:pPr>
              <w:contextualSpacing/>
              <w:rPr>
                <w:rFonts w:ascii="Times New Roman" w:hAnsi="Times New Roman" w:cs="Times New Roman"/>
                <w:b/>
                <w:sz w:val="16"/>
                <w:szCs w:val="16"/>
              </w:rPr>
            </w:pPr>
            <w:r w:rsidRPr="006D7BB8">
              <w:rPr>
                <w:rFonts w:ascii="Times New Roman" w:hAnsi="Times New Roman" w:cs="Times New Roman"/>
                <w:b/>
                <w:sz w:val="16"/>
                <w:szCs w:val="16"/>
              </w:rPr>
              <w:t>461</w:t>
            </w:r>
          </w:p>
        </w:tc>
        <w:tc>
          <w:tcPr>
            <w:tcW w:w="1230" w:type="dxa"/>
          </w:tcPr>
          <w:p w14:paraId="60EB04FB" w14:textId="77777777" w:rsidR="00B75F05" w:rsidRPr="008A7487" w:rsidRDefault="00B75F05" w:rsidP="00C21D6F">
            <w:pPr>
              <w:contextualSpacing/>
              <w:rPr>
                <w:rFonts w:ascii="Times New Roman" w:hAnsi="Times New Roman" w:cs="Times New Roman"/>
                <w:b/>
                <w:sz w:val="16"/>
                <w:szCs w:val="16"/>
              </w:rPr>
            </w:pPr>
          </w:p>
        </w:tc>
      </w:tr>
    </w:tbl>
    <w:p w14:paraId="10DA731B" w14:textId="77777777" w:rsidR="00B75F05" w:rsidRPr="008A7487" w:rsidRDefault="00B75F05" w:rsidP="00B75F05">
      <w:pPr>
        <w:spacing w:after="0"/>
        <w:rPr>
          <w:rFonts w:ascii="Times New Roman" w:hAnsi="Times New Roman" w:cs="Times New Roman"/>
          <w:sz w:val="16"/>
          <w:szCs w:val="16"/>
          <w:lang w:val="en-GB"/>
        </w:rPr>
      </w:pPr>
      <w:r w:rsidRPr="008A7487">
        <w:rPr>
          <w:rFonts w:ascii="Times New Roman" w:hAnsi="Times New Roman" w:cs="Times New Roman"/>
          <w:sz w:val="16"/>
          <w:szCs w:val="16"/>
          <w:lang w:val="en-GB"/>
        </w:rPr>
        <w:t xml:space="preserve">ROA defined as profit before tax divided by total assets.  NIM is the difference between interest </w:t>
      </w:r>
    </w:p>
    <w:p w14:paraId="277E816A" w14:textId="77777777" w:rsidR="00B75F05" w:rsidRPr="008A7487" w:rsidRDefault="00B75F05" w:rsidP="00B75F05">
      <w:pPr>
        <w:spacing w:after="0"/>
        <w:rPr>
          <w:rFonts w:ascii="Times New Roman" w:hAnsi="Times New Roman" w:cs="Times New Roman"/>
          <w:sz w:val="16"/>
          <w:szCs w:val="16"/>
          <w:lang w:val="en-GB"/>
        </w:rPr>
      </w:pPr>
      <w:r w:rsidRPr="008A7487">
        <w:rPr>
          <w:rFonts w:ascii="Times New Roman" w:hAnsi="Times New Roman" w:cs="Times New Roman"/>
          <w:sz w:val="16"/>
          <w:szCs w:val="16"/>
          <w:lang w:val="en-GB"/>
        </w:rPr>
        <w:t>income and interest expense</w:t>
      </w:r>
      <w:r>
        <w:rPr>
          <w:rFonts w:ascii="Times New Roman" w:hAnsi="Times New Roman" w:cs="Times New Roman"/>
          <w:sz w:val="16"/>
          <w:szCs w:val="16"/>
          <w:lang w:val="en-GB"/>
        </w:rPr>
        <w:t xml:space="preserve"> %</w:t>
      </w:r>
      <w:r w:rsidRPr="008A7487">
        <w:rPr>
          <w:rFonts w:ascii="Times New Roman" w:hAnsi="Times New Roman" w:cs="Times New Roman"/>
          <w:sz w:val="16"/>
          <w:szCs w:val="16"/>
          <w:lang w:val="en-GB"/>
        </w:rPr>
        <w:t xml:space="preserve">. LNSIZE is the natural log of bank’s total assets. CAP is a measure of </w:t>
      </w:r>
    </w:p>
    <w:p w14:paraId="3B379899" w14:textId="77777777" w:rsidR="00B75F05" w:rsidRPr="008A7487" w:rsidRDefault="00B75F05" w:rsidP="00B75F05">
      <w:pPr>
        <w:spacing w:after="0"/>
        <w:rPr>
          <w:rFonts w:ascii="Times New Roman" w:hAnsi="Times New Roman" w:cs="Times New Roman"/>
          <w:sz w:val="16"/>
          <w:szCs w:val="16"/>
          <w:lang w:val="en-GB"/>
        </w:rPr>
      </w:pPr>
      <w:r w:rsidRPr="008A7487">
        <w:rPr>
          <w:rFonts w:ascii="Times New Roman" w:hAnsi="Times New Roman" w:cs="Times New Roman"/>
          <w:sz w:val="16"/>
          <w:szCs w:val="16"/>
          <w:lang w:val="en-GB"/>
        </w:rPr>
        <w:t xml:space="preserve">capital strength, calculated as equity to total assets.  CR is a measure of credit risk and is the ratio </w:t>
      </w:r>
    </w:p>
    <w:p w14:paraId="5EE5FE4C" w14:textId="77777777" w:rsidR="00B75F05" w:rsidRPr="008A7487" w:rsidRDefault="00B75F05" w:rsidP="00B75F05">
      <w:pPr>
        <w:spacing w:after="0"/>
        <w:rPr>
          <w:rFonts w:ascii="Times New Roman" w:hAnsi="Times New Roman" w:cs="Times New Roman"/>
          <w:sz w:val="16"/>
          <w:szCs w:val="16"/>
          <w:lang w:val="en-GB"/>
        </w:rPr>
      </w:pPr>
      <w:r w:rsidRPr="008A7487">
        <w:rPr>
          <w:rFonts w:ascii="Times New Roman" w:hAnsi="Times New Roman" w:cs="Times New Roman"/>
          <w:sz w:val="16"/>
          <w:szCs w:val="16"/>
          <w:lang w:val="en-GB"/>
        </w:rPr>
        <w:t xml:space="preserve">of net loans to deposits and short-term funding. CM is the total operating cost to total income. </w:t>
      </w:r>
    </w:p>
    <w:p w14:paraId="385985D9" w14:textId="77777777" w:rsidR="00B75F05" w:rsidRPr="008A7487" w:rsidRDefault="00B75F05" w:rsidP="00B75F05">
      <w:pPr>
        <w:spacing w:after="0"/>
        <w:rPr>
          <w:rFonts w:ascii="Times New Roman" w:hAnsi="Times New Roman" w:cs="Times New Roman"/>
          <w:sz w:val="16"/>
          <w:szCs w:val="16"/>
          <w:lang w:val="en-GB"/>
        </w:rPr>
      </w:pPr>
      <w:r w:rsidRPr="008A7487">
        <w:rPr>
          <w:rFonts w:ascii="Times New Roman" w:hAnsi="Times New Roman" w:cs="Times New Roman"/>
          <w:sz w:val="16"/>
          <w:szCs w:val="16"/>
          <w:lang w:val="en-GB"/>
        </w:rPr>
        <w:t xml:space="preserve">LQ is a measure of liquidity, calculated as liquid assets to customer and short-term funding. </w:t>
      </w:r>
    </w:p>
    <w:p w14:paraId="5D70A04F" w14:textId="77777777" w:rsidR="00B75F05" w:rsidRPr="008A7487" w:rsidRDefault="00B75F05" w:rsidP="00B75F05">
      <w:pPr>
        <w:spacing w:after="0"/>
        <w:rPr>
          <w:rFonts w:ascii="Times New Roman" w:hAnsi="Times New Roman" w:cs="Times New Roman"/>
          <w:sz w:val="16"/>
          <w:szCs w:val="16"/>
          <w:lang w:val="en-GB"/>
        </w:rPr>
      </w:pPr>
      <w:r w:rsidRPr="008A7487">
        <w:rPr>
          <w:rFonts w:ascii="Times New Roman" w:hAnsi="Times New Roman" w:cs="Times New Roman"/>
          <w:sz w:val="16"/>
          <w:szCs w:val="16"/>
          <w:lang w:val="en-GB"/>
        </w:rPr>
        <w:t xml:space="preserve">MP is a measure of market power defined as the ratio of a bank total asset to the total asset of the entire </w:t>
      </w:r>
    </w:p>
    <w:p w14:paraId="44C2E5AB" w14:textId="77777777" w:rsidR="00B75F05" w:rsidRPr="008A7487" w:rsidRDefault="00B75F05" w:rsidP="00B75F05">
      <w:pPr>
        <w:spacing w:after="0"/>
        <w:rPr>
          <w:rFonts w:ascii="Times New Roman" w:hAnsi="Times New Roman" w:cs="Times New Roman"/>
          <w:sz w:val="16"/>
          <w:szCs w:val="16"/>
          <w:lang w:val="en-GB"/>
        </w:rPr>
      </w:pPr>
      <w:r w:rsidRPr="008A7487">
        <w:rPr>
          <w:rFonts w:ascii="Times New Roman" w:hAnsi="Times New Roman" w:cs="Times New Roman"/>
          <w:sz w:val="16"/>
          <w:szCs w:val="16"/>
          <w:lang w:val="en-GB"/>
        </w:rPr>
        <w:t>banks in a country</w:t>
      </w:r>
      <w:r w:rsidRPr="008A7487">
        <w:rPr>
          <w:rFonts w:ascii="Times New Roman" w:hAnsi="Times New Roman" w:cs="Times New Roman"/>
          <w:color w:val="FF0000"/>
          <w:sz w:val="16"/>
          <w:szCs w:val="16"/>
          <w:lang w:val="en-GB"/>
        </w:rPr>
        <w:t>.</w:t>
      </w:r>
      <w:r w:rsidRPr="008A7487">
        <w:rPr>
          <w:rFonts w:ascii="Times New Roman" w:hAnsi="Times New Roman" w:cs="Times New Roman"/>
          <w:sz w:val="16"/>
          <w:szCs w:val="16"/>
          <w:lang w:val="en-GB"/>
        </w:rPr>
        <w:t xml:space="preserve"> ∆ GDP is the annual percentage change in real gross domestic product.  INF is </w:t>
      </w:r>
    </w:p>
    <w:p w14:paraId="03F1AB57" w14:textId="77777777" w:rsidR="00B75F05" w:rsidRPr="008A7487" w:rsidRDefault="00B75F05" w:rsidP="00B75F05">
      <w:pPr>
        <w:spacing w:after="0"/>
        <w:rPr>
          <w:rFonts w:ascii="Times New Roman" w:hAnsi="Times New Roman" w:cs="Times New Roman"/>
          <w:sz w:val="16"/>
          <w:szCs w:val="16"/>
          <w:lang w:val="en-GB"/>
        </w:rPr>
      </w:pPr>
      <w:r w:rsidRPr="008A7487">
        <w:rPr>
          <w:rFonts w:ascii="Times New Roman" w:hAnsi="Times New Roman" w:cs="Times New Roman"/>
          <w:sz w:val="16"/>
          <w:szCs w:val="16"/>
          <w:lang w:val="en-GB"/>
        </w:rPr>
        <w:t>the yearly gro</w:t>
      </w:r>
      <w:r>
        <w:rPr>
          <w:rFonts w:ascii="Times New Roman" w:hAnsi="Times New Roman" w:cs="Times New Roman"/>
          <w:sz w:val="16"/>
          <w:szCs w:val="16"/>
          <w:lang w:val="en-GB"/>
        </w:rPr>
        <w:t xml:space="preserve">wth in consumer price index. </w:t>
      </w:r>
      <w:r w:rsidRPr="008A7487">
        <w:rPr>
          <w:rFonts w:ascii="Times New Roman" w:hAnsi="Times New Roman" w:cs="Times New Roman"/>
          <w:sz w:val="16"/>
          <w:szCs w:val="16"/>
          <w:lang w:val="en-GB"/>
        </w:rPr>
        <w:t xml:space="preserve">*, **, *** indicate significance at 10%, 5% and 1% level respectively. </w:t>
      </w:r>
      <w:r>
        <w:rPr>
          <w:rFonts w:ascii="Times New Roman" w:hAnsi="Times New Roman" w:cs="Times New Roman"/>
          <w:sz w:val="16"/>
          <w:szCs w:val="16"/>
          <w:lang w:val="en-GB"/>
        </w:rPr>
        <w:t xml:space="preserve">We deleted MP as it was not significant in any of the regression in this table. </w:t>
      </w:r>
    </w:p>
    <w:p w14:paraId="6946D064" w14:textId="77777777" w:rsidR="00B75F05" w:rsidRPr="008A7487" w:rsidRDefault="00B75F05" w:rsidP="00B75F05">
      <w:pPr>
        <w:spacing w:after="0"/>
        <w:rPr>
          <w:rFonts w:ascii="Times New Roman" w:hAnsi="Times New Roman" w:cs="Times New Roman"/>
          <w:sz w:val="16"/>
          <w:szCs w:val="16"/>
          <w:lang w:val="en-GB"/>
        </w:rPr>
      </w:pPr>
    </w:p>
    <w:p w14:paraId="5CB57779" w14:textId="77777777" w:rsidR="00B75F05" w:rsidRPr="008A7487" w:rsidRDefault="00B75F05" w:rsidP="00B75F05">
      <w:pPr>
        <w:spacing w:after="0"/>
        <w:rPr>
          <w:rFonts w:ascii="Times New Roman" w:hAnsi="Times New Roman" w:cs="Times New Roman"/>
          <w:sz w:val="16"/>
          <w:szCs w:val="16"/>
          <w:lang w:val="en-GB"/>
        </w:rPr>
      </w:pPr>
    </w:p>
    <w:p w14:paraId="38B5536B" w14:textId="77777777" w:rsidR="00B75F05" w:rsidRPr="008A7487" w:rsidRDefault="00B75F05" w:rsidP="00B75F05">
      <w:pPr>
        <w:spacing w:after="0"/>
        <w:rPr>
          <w:rFonts w:ascii="Times New Roman" w:hAnsi="Times New Roman" w:cs="Times New Roman"/>
          <w:sz w:val="16"/>
          <w:szCs w:val="16"/>
          <w:lang w:val="en-GB"/>
        </w:rPr>
      </w:pPr>
    </w:p>
    <w:p w14:paraId="1F4E1062" w14:textId="77777777" w:rsidR="00B75F05" w:rsidRPr="008A7487" w:rsidRDefault="00B75F05" w:rsidP="00B75F05">
      <w:pPr>
        <w:spacing w:after="0"/>
        <w:rPr>
          <w:rFonts w:ascii="Times New Roman" w:hAnsi="Times New Roman" w:cs="Times New Roman"/>
          <w:sz w:val="16"/>
          <w:szCs w:val="16"/>
          <w:lang w:val="en-GB"/>
        </w:rPr>
      </w:pPr>
    </w:p>
    <w:p w14:paraId="10D73148" w14:textId="77777777" w:rsidR="00B75F05" w:rsidRPr="008A7487" w:rsidRDefault="00B75F05" w:rsidP="00B75F05">
      <w:pPr>
        <w:spacing w:after="0"/>
        <w:rPr>
          <w:rFonts w:ascii="Times New Roman" w:hAnsi="Times New Roman" w:cs="Times New Roman"/>
          <w:sz w:val="16"/>
          <w:szCs w:val="16"/>
          <w:lang w:val="en-GB"/>
        </w:rPr>
      </w:pPr>
    </w:p>
    <w:p w14:paraId="2A8A5B0B" w14:textId="77777777" w:rsidR="00B75F05" w:rsidRPr="008A7487" w:rsidRDefault="00B75F05" w:rsidP="00B75F05">
      <w:pPr>
        <w:spacing w:after="0"/>
        <w:rPr>
          <w:rFonts w:ascii="Times New Roman" w:hAnsi="Times New Roman" w:cs="Times New Roman"/>
          <w:sz w:val="16"/>
          <w:szCs w:val="16"/>
          <w:lang w:val="en-GB"/>
        </w:rPr>
      </w:pPr>
    </w:p>
    <w:p w14:paraId="18D37E34" w14:textId="77777777" w:rsidR="00B75F05" w:rsidRPr="008A7487" w:rsidRDefault="00B75F05" w:rsidP="00B75F05">
      <w:pPr>
        <w:spacing w:after="0"/>
        <w:rPr>
          <w:rFonts w:ascii="Times New Roman" w:hAnsi="Times New Roman" w:cs="Times New Roman"/>
          <w:sz w:val="16"/>
          <w:szCs w:val="16"/>
          <w:lang w:val="en-GB"/>
        </w:rPr>
      </w:pPr>
    </w:p>
    <w:p w14:paraId="049D5621" w14:textId="77777777" w:rsidR="00B75F05" w:rsidRPr="008A7487" w:rsidRDefault="00B75F05" w:rsidP="00B75F05">
      <w:pPr>
        <w:spacing w:after="0"/>
        <w:rPr>
          <w:rFonts w:ascii="Times New Roman" w:hAnsi="Times New Roman" w:cs="Times New Roman"/>
          <w:sz w:val="16"/>
          <w:szCs w:val="16"/>
          <w:lang w:val="en-GB"/>
        </w:rPr>
      </w:pPr>
    </w:p>
    <w:p w14:paraId="22FDDD2C" w14:textId="77777777" w:rsidR="00B75F05" w:rsidRPr="008A7487" w:rsidRDefault="00B75F05" w:rsidP="00B75F05">
      <w:pPr>
        <w:spacing w:after="0"/>
        <w:rPr>
          <w:rFonts w:ascii="Times New Roman" w:hAnsi="Times New Roman" w:cs="Times New Roman"/>
          <w:sz w:val="16"/>
          <w:szCs w:val="16"/>
          <w:lang w:val="en-GB"/>
        </w:rPr>
      </w:pPr>
    </w:p>
    <w:p w14:paraId="001AA8C5" w14:textId="77777777" w:rsidR="00B75F05" w:rsidRPr="008A7487" w:rsidRDefault="00B75F05" w:rsidP="00B75F05">
      <w:pPr>
        <w:spacing w:after="0"/>
        <w:rPr>
          <w:rFonts w:ascii="Times New Roman" w:hAnsi="Times New Roman" w:cs="Times New Roman"/>
          <w:sz w:val="16"/>
          <w:szCs w:val="16"/>
          <w:lang w:val="en-GB"/>
        </w:rPr>
      </w:pPr>
    </w:p>
    <w:p w14:paraId="19C9417F" w14:textId="77777777" w:rsidR="00B75F05" w:rsidRPr="008A7487" w:rsidRDefault="00B75F05" w:rsidP="00B75F05">
      <w:pPr>
        <w:spacing w:after="0"/>
        <w:rPr>
          <w:rFonts w:ascii="Times New Roman" w:hAnsi="Times New Roman" w:cs="Times New Roman"/>
          <w:sz w:val="16"/>
          <w:szCs w:val="16"/>
          <w:lang w:val="en-GB"/>
        </w:rPr>
      </w:pPr>
    </w:p>
    <w:p w14:paraId="58E253E4" w14:textId="77777777" w:rsidR="00B75F05" w:rsidRPr="008A7487" w:rsidRDefault="00B75F05" w:rsidP="00B75F05">
      <w:pPr>
        <w:spacing w:after="0"/>
        <w:rPr>
          <w:rFonts w:ascii="Times New Roman" w:hAnsi="Times New Roman" w:cs="Times New Roman"/>
          <w:sz w:val="16"/>
          <w:szCs w:val="16"/>
          <w:lang w:val="en-GB"/>
        </w:rPr>
      </w:pPr>
    </w:p>
    <w:p w14:paraId="7DB94738" w14:textId="77777777" w:rsidR="00B75F05" w:rsidRPr="008A7487" w:rsidRDefault="00B75F05" w:rsidP="00B75F05">
      <w:pPr>
        <w:spacing w:after="0"/>
        <w:rPr>
          <w:rFonts w:ascii="Times New Roman" w:hAnsi="Times New Roman" w:cs="Times New Roman"/>
          <w:sz w:val="16"/>
          <w:szCs w:val="16"/>
          <w:lang w:val="en-GB"/>
        </w:rPr>
      </w:pPr>
    </w:p>
    <w:p w14:paraId="47EE2940" w14:textId="77777777" w:rsidR="00B75F05" w:rsidRPr="008A7487" w:rsidRDefault="00B75F05" w:rsidP="00B75F05">
      <w:pPr>
        <w:spacing w:after="0"/>
        <w:rPr>
          <w:rFonts w:ascii="Times New Roman" w:hAnsi="Times New Roman" w:cs="Times New Roman"/>
          <w:sz w:val="16"/>
          <w:szCs w:val="16"/>
          <w:lang w:val="en-GB"/>
        </w:rPr>
      </w:pPr>
    </w:p>
    <w:p w14:paraId="16B16A79" w14:textId="77777777" w:rsidR="00B75F05" w:rsidRPr="008A7487" w:rsidRDefault="00B75F05" w:rsidP="00B75F05">
      <w:pPr>
        <w:spacing w:after="0"/>
        <w:rPr>
          <w:rFonts w:ascii="Times New Roman" w:hAnsi="Times New Roman" w:cs="Times New Roman"/>
          <w:sz w:val="16"/>
          <w:szCs w:val="16"/>
          <w:lang w:val="en-GB"/>
        </w:rPr>
      </w:pPr>
    </w:p>
    <w:p w14:paraId="2F4E5EDA" w14:textId="77777777" w:rsidR="00B75F05" w:rsidRPr="008A7487" w:rsidRDefault="00B75F05" w:rsidP="00B75F05">
      <w:pPr>
        <w:spacing w:after="0"/>
        <w:rPr>
          <w:rFonts w:ascii="Times New Roman" w:hAnsi="Times New Roman" w:cs="Times New Roman"/>
          <w:sz w:val="16"/>
          <w:szCs w:val="16"/>
          <w:lang w:val="en-GB"/>
        </w:rPr>
      </w:pPr>
    </w:p>
    <w:p w14:paraId="6C99A231" w14:textId="77777777" w:rsidR="00B75F05" w:rsidRPr="008A7487" w:rsidRDefault="00B75F05" w:rsidP="00B75F05">
      <w:pPr>
        <w:spacing w:after="0"/>
        <w:rPr>
          <w:rFonts w:ascii="Times New Roman" w:hAnsi="Times New Roman" w:cs="Times New Roman"/>
          <w:sz w:val="16"/>
          <w:szCs w:val="16"/>
          <w:lang w:val="en-GB"/>
        </w:rPr>
      </w:pPr>
    </w:p>
    <w:p w14:paraId="5CF01933" w14:textId="77777777" w:rsidR="00B75F05" w:rsidRPr="008A7487" w:rsidRDefault="00B75F05" w:rsidP="00B75F05">
      <w:pPr>
        <w:spacing w:after="0"/>
        <w:rPr>
          <w:rFonts w:ascii="Times New Roman" w:hAnsi="Times New Roman" w:cs="Times New Roman"/>
          <w:sz w:val="16"/>
          <w:szCs w:val="16"/>
          <w:lang w:val="en-GB"/>
        </w:rPr>
      </w:pPr>
    </w:p>
    <w:p w14:paraId="0203ACD9" w14:textId="77777777" w:rsidR="00B75F05" w:rsidRPr="008A7487" w:rsidRDefault="00B75F05" w:rsidP="00B75F05">
      <w:pPr>
        <w:spacing w:after="0"/>
        <w:rPr>
          <w:rFonts w:ascii="Times New Roman" w:hAnsi="Times New Roman" w:cs="Times New Roman"/>
          <w:sz w:val="16"/>
          <w:szCs w:val="16"/>
          <w:lang w:val="en-GB"/>
        </w:rPr>
      </w:pPr>
    </w:p>
    <w:p w14:paraId="620AA2D9" w14:textId="77777777" w:rsidR="00B75F05" w:rsidRPr="008A7487" w:rsidRDefault="00B75F05" w:rsidP="00B75F05">
      <w:pPr>
        <w:spacing w:after="0"/>
        <w:rPr>
          <w:rFonts w:ascii="Times New Roman" w:hAnsi="Times New Roman" w:cs="Times New Roman"/>
          <w:sz w:val="16"/>
          <w:szCs w:val="16"/>
          <w:lang w:val="en-GB"/>
        </w:rPr>
      </w:pPr>
    </w:p>
    <w:p w14:paraId="4D164A81" w14:textId="77777777" w:rsidR="00B75F05" w:rsidRPr="008A7487" w:rsidRDefault="00B75F05" w:rsidP="00B75F05">
      <w:pPr>
        <w:spacing w:after="0"/>
        <w:rPr>
          <w:rFonts w:ascii="Times New Roman" w:hAnsi="Times New Roman" w:cs="Times New Roman"/>
          <w:sz w:val="16"/>
          <w:szCs w:val="16"/>
          <w:lang w:val="en-GB"/>
        </w:rPr>
      </w:pPr>
    </w:p>
    <w:p w14:paraId="6B352861" w14:textId="77777777" w:rsidR="00B75F05" w:rsidRPr="008A7487" w:rsidRDefault="00B75F05" w:rsidP="00B75F05">
      <w:pPr>
        <w:spacing w:after="0"/>
        <w:rPr>
          <w:rFonts w:ascii="Times New Roman" w:hAnsi="Times New Roman" w:cs="Times New Roman"/>
          <w:sz w:val="16"/>
          <w:szCs w:val="16"/>
          <w:lang w:val="en-GB"/>
        </w:rPr>
      </w:pPr>
    </w:p>
    <w:p w14:paraId="715AF231" w14:textId="77777777" w:rsidR="00B75F05" w:rsidRPr="008A7487" w:rsidRDefault="00B75F05" w:rsidP="00B75F05">
      <w:pPr>
        <w:spacing w:after="0"/>
        <w:rPr>
          <w:rFonts w:ascii="Times New Roman" w:hAnsi="Times New Roman" w:cs="Times New Roman"/>
          <w:sz w:val="16"/>
          <w:szCs w:val="16"/>
          <w:lang w:val="en-GB"/>
        </w:rPr>
      </w:pPr>
    </w:p>
    <w:p w14:paraId="490A43CD" w14:textId="77777777" w:rsidR="00B75F05" w:rsidRPr="008A7487" w:rsidRDefault="00B75F05" w:rsidP="00B75F05">
      <w:pPr>
        <w:spacing w:after="0"/>
        <w:rPr>
          <w:rFonts w:ascii="Times New Roman" w:hAnsi="Times New Roman" w:cs="Times New Roman"/>
          <w:sz w:val="16"/>
          <w:szCs w:val="16"/>
          <w:lang w:val="en-GB"/>
        </w:rPr>
      </w:pPr>
    </w:p>
    <w:p w14:paraId="29D7EF02" w14:textId="77777777" w:rsidR="00B75F05" w:rsidRPr="008A7487" w:rsidRDefault="00B75F05" w:rsidP="00B75F05">
      <w:pPr>
        <w:spacing w:after="0"/>
        <w:rPr>
          <w:rFonts w:ascii="Times New Roman" w:hAnsi="Times New Roman" w:cs="Times New Roman"/>
          <w:sz w:val="16"/>
          <w:szCs w:val="16"/>
          <w:lang w:val="en-GB"/>
        </w:rPr>
      </w:pPr>
    </w:p>
    <w:p w14:paraId="5BF8E9E7" w14:textId="77777777" w:rsidR="00B75F05" w:rsidRPr="008A7487" w:rsidRDefault="00B75F05" w:rsidP="00B75F05">
      <w:pPr>
        <w:spacing w:after="0"/>
        <w:rPr>
          <w:rFonts w:ascii="Times New Roman" w:hAnsi="Times New Roman" w:cs="Times New Roman"/>
          <w:sz w:val="16"/>
          <w:szCs w:val="16"/>
          <w:lang w:val="en-GB"/>
        </w:rPr>
      </w:pPr>
    </w:p>
    <w:p w14:paraId="77323C60" w14:textId="77777777" w:rsidR="00B75F05" w:rsidRPr="008A7487" w:rsidRDefault="00B75F05" w:rsidP="00B75F05">
      <w:pPr>
        <w:spacing w:after="0"/>
        <w:rPr>
          <w:rFonts w:ascii="Times New Roman" w:hAnsi="Times New Roman" w:cs="Times New Roman"/>
          <w:sz w:val="16"/>
          <w:szCs w:val="16"/>
          <w:lang w:val="en-GB"/>
        </w:rPr>
      </w:pPr>
    </w:p>
    <w:p w14:paraId="5D431992" w14:textId="77777777" w:rsidR="00B75F05" w:rsidRPr="008A7487" w:rsidRDefault="00B75F05" w:rsidP="00B75F05">
      <w:pPr>
        <w:spacing w:after="0"/>
        <w:rPr>
          <w:rFonts w:ascii="Times New Roman" w:hAnsi="Times New Roman" w:cs="Times New Roman"/>
          <w:sz w:val="16"/>
          <w:szCs w:val="16"/>
          <w:lang w:val="en-GB"/>
        </w:rPr>
      </w:pPr>
    </w:p>
    <w:p w14:paraId="7238E90D" w14:textId="77777777" w:rsidR="00B75F05" w:rsidRPr="008A7487" w:rsidRDefault="00B75F05" w:rsidP="00B75F05">
      <w:pPr>
        <w:spacing w:after="0"/>
        <w:rPr>
          <w:rFonts w:ascii="Times New Roman" w:hAnsi="Times New Roman" w:cs="Times New Roman"/>
          <w:sz w:val="16"/>
          <w:szCs w:val="16"/>
          <w:lang w:val="en-GB"/>
        </w:rPr>
      </w:pPr>
    </w:p>
    <w:p w14:paraId="0C5190F6" w14:textId="77777777" w:rsidR="00B75F05" w:rsidRPr="008A7487" w:rsidRDefault="00B75F05" w:rsidP="00B75F05">
      <w:pPr>
        <w:spacing w:after="0"/>
        <w:rPr>
          <w:rFonts w:ascii="Times New Roman" w:hAnsi="Times New Roman" w:cs="Times New Roman"/>
          <w:sz w:val="16"/>
          <w:szCs w:val="16"/>
          <w:lang w:val="en-GB"/>
        </w:rPr>
      </w:pPr>
    </w:p>
    <w:p w14:paraId="3032DCF3" w14:textId="77777777" w:rsidR="00B75F05" w:rsidRPr="008A7487" w:rsidRDefault="00B75F05" w:rsidP="00B75F05">
      <w:pPr>
        <w:autoSpaceDE w:val="0"/>
        <w:autoSpaceDN w:val="0"/>
        <w:adjustRightInd w:val="0"/>
        <w:spacing w:after="0" w:line="240" w:lineRule="auto"/>
        <w:rPr>
          <w:rFonts w:ascii="Times New Roman" w:hAnsi="Times New Roman" w:cs="Times New Roman"/>
          <w:b/>
          <w:sz w:val="20"/>
          <w:szCs w:val="20"/>
          <w:lang w:val="en-GB"/>
        </w:rPr>
      </w:pPr>
      <w:r w:rsidRPr="008A7487">
        <w:rPr>
          <w:rFonts w:ascii="Times New Roman" w:hAnsi="Times New Roman" w:cs="Times New Roman"/>
          <w:b/>
          <w:sz w:val="20"/>
          <w:szCs w:val="20"/>
          <w:lang w:val="en-GB"/>
        </w:rPr>
        <w:t xml:space="preserve">Table </w:t>
      </w:r>
      <w:r>
        <w:rPr>
          <w:rFonts w:ascii="Times New Roman" w:hAnsi="Times New Roman" w:cs="Times New Roman"/>
          <w:b/>
          <w:sz w:val="20"/>
          <w:szCs w:val="20"/>
          <w:lang w:val="en-GB"/>
        </w:rPr>
        <w:t>7</w:t>
      </w:r>
      <w:r w:rsidRPr="008A7487">
        <w:rPr>
          <w:rFonts w:ascii="Times New Roman" w:hAnsi="Times New Roman" w:cs="Times New Roman"/>
          <w:b/>
          <w:sz w:val="20"/>
          <w:szCs w:val="20"/>
          <w:lang w:val="en-GB"/>
        </w:rPr>
        <w:t xml:space="preserve">: Fixed Effects- NIM as the Dependent Variable </w:t>
      </w:r>
    </w:p>
    <w:tbl>
      <w:tblPr>
        <w:tblStyle w:val="TableGrid"/>
        <w:tblW w:w="0" w:type="auto"/>
        <w:tblInd w:w="108" w:type="dxa"/>
        <w:tblLook w:val="04A0" w:firstRow="1" w:lastRow="0" w:firstColumn="1" w:lastColumn="0" w:noHBand="0" w:noVBand="1"/>
      </w:tblPr>
      <w:tblGrid>
        <w:gridCol w:w="1174"/>
        <w:gridCol w:w="973"/>
        <w:gridCol w:w="965"/>
        <w:gridCol w:w="960"/>
        <w:gridCol w:w="952"/>
        <w:gridCol w:w="966"/>
        <w:gridCol w:w="962"/>
      </w:tblGrid>
      <w:tr w:rsidR="00B75F05" w:rsidRPr="008A7487" w14:paraId="4F9F25D6" w14:textId="77777777" w:rsidTr="00C21D6F">
        <w:tc>
          <w:tcPr>
            <w:tcW w:w="1174" w:type="dxa"/>
          </w:tcPr>
          <w:p w14:paraId="2A5316DE" w14:textId="77777777" w:rsidR="00B75F05" w:rsidRPr="008A7487" w:rsidRDefault="00B75F05" w:rsidP="00C21D6F">
            <w:pPr>
              <w:spacing w:line="480" w:lineRule="auto"/>
              <w:contextualSpacing/>
              <w:rPr>
                <w:rFonts w:ascii="Times New Roman" w:hAnsi="Times New Roman" w:cs="Times New Roman"/>
                <w:b/>
                <w:sz w:val="16"/>
                <w:szCs w:val="16"/>
              </w:rPr>
            </w:pPr>
          </w:p>
        </w:tc>
        <w:tc>
          <w:tcPr>
            <w:tcW w:w="1938" w:type="dxa"/>
            <w:gridSpan w:val="2"/>
          </w:tcPr>
          <w:p w14:paraId="50A10C27" w14:textId="77777777" w:rsidR="00B75F05" w:rsidRPr="008A7487" w:rsidRDefault="00B75F05" w:rsidP="00C21D6F">
            <w:pPr>
              <w:contextualSpacing/>
              <w:jc w:val="center"/>
              <w:rPr>
                <w:rFonts w:ascii="Times New Roman" w:hAnsi="Times New Roman" w:cs="Times New Roman"/>
                <w:b/>
                <w:sz w:val="16"/>
                <w:szCs w:val="16"/>
              </w:rPr>
            </w:pPr>
            <w:r w:rsidRPr="008A7487">
              <w:rPr>
                <w:rFonts w:ascii="Times New Roman" w:hAnsi="Times New Roman" w:cs="Times New Roman"/>
                <w:b/>
                <w:sz w:val="16"/>
                <w:szCs w:val="16"/>
              </w:rPr>
              <w:t>Column 1</w:t>
            </w:r>
          </w:p>
        </w:tc>
        <w:tc>
          <w:tcPr>
            <w:tcW w:w="1912" w:type="dxa"/>
            <w:gridSpan w:val="2"/>
          </w:tcPr>
          <w:p w14:paraId="4D5C1546" w14:textId="77777777" w:rsidR="00B75F05" w:rsidRPr="008A7487" w:rsidRDefault="00B75F05" w:rsidP="00C21D6F">
            <w:pPr>
              <w:contextualSpacing/>
              <w:jc w:val="center"/>
              <w:rPr>
                <w:rFonts w:ascii="Times New Roman" w:hAnsi="Times New Roman" w:cs="Times New Roman"/>
                <w:b/>
                <w:sz w:val="16"/>
                <w:szCs w:val="16"/>
              </w:rPr>
            </w:pPr>
            <w:r w:rsidRPr="008A7487">
              <w:rPr>
                <w:rFonts w:ascii="Times New Roman" w:hAnsi="Times New Roman" w:cs="Times New Roman"/>
                <w:b/>
                <w:sz w:val="16"/>
                <w:szCs w:val="16"/>
              </w:rPr>
              <w:t>Column 2</w:t>
            </w:r>
          </w:p>
        </w:tc>
        <w:tc>
          <w:tcPr>
            <w:tcW w:w="1928" w:type="dxa"/>
            <w:gridSpan w:val="2"/>
          </w:tcPr>
          <w:p w14:paraId="60A907DA" w14:textId="77777777" w:rsidR="00B75F05" w:rsidRPr="008A7487" w:rsidRDefault="00B75F05" w:rsidP="00C21D6F">
            <w:pPr>
              <w:contextualSpacing/>
              <w:jc w:val="center"/>
              <w:rPr>
                <w:rFonts w:ascii="Times New Roman" w:hAnsi="Times New Roman" w:cs="Times New Roman"/>
                <w:b/>
                <w:sz w:val="16"/>
                <w:szCs w:val="16"/>
              </w:rPr>
            </w:pPr>
            <w:r w:rsidRPr="008A7487">
              <w:rPr>
                <w:rFonts w:ascii="Times New Roman" w:hAnsi="Times New Roman" w:cs="Times New Roman"/>
                <w:b/>
                <w:sz w:val="16"/>
                <w:szCs w:val="16"/>
              </w:rPr>
              <w:t>Column 3</w:t>
            </w:r>
          </w:p>
        </w:tc>
      </w:tr>
      <w:tr w:rsidR="00B75F05" w:rsidRPr="008A7487" w14:paraId="18A65613" w14:textId="77777777" w:rsidTr="00C21D6F">
        <w:tc>
          <w:tcPr>
            <w:tcW w:w="1174" w:type="dxa"/>
          </w:tcPr>
          <w:p w14:paraId="277B754F" w14:textId="77777777" w:rsidR="00B75F05" w:rsidRPr="008A7487" w:rsidRDefault="00B75F05" w:rsidP="00C21D6F">
            <w:pPr>
              <w:spacing w:line="480" w:lineRule="auto"/>
              <w:contextualSpacing/>
              <w:rPr>
                <w:rFonts w:ascii="Times New Roman" w:hAnsi="Times New Roman" w:cs="Times New Roman"/>
                <w:b/>
                <w:sz w:val="16"/>
                <w:szCs w:val="16"/>
              </w:rPr>
            </w:pPr>
            <w:r w:rsidRPr="008A7487">
              <w:rPr>
                <w:rFonts w:ascii="Times New Roman" w:hAnsi="Times New Roman" w:cs="Times New Roman"/>
                <w:b/>
                <w:sz w:val="16"/>
                <w:szCs w:val="16"/>
              </w:rPr>
              <w:t xml:space="preserve">NIM </w:t>
            </w:r>
          </w:p>
        </w:tc>
        <w:tc>
          <w:tcPr>
            <w:tcW w:w="1938" w:type="dxa"/>
            <w:gridSpan w:val="2"/>
          </w:tcPr>
          <w:p w14:paraId="46502720" w14:textId="77777777" w:rsidR="00B75F05" w:rsidRPr="008A7487" w:rsidRDefault="00B75F05" w:rsidP="00C21D6F">
            <w:pPr>
              <w:contextualSpacing/>
              <w:rPr>
                <w:rFonts w:ascii="Times New Roman" w:hAnsi="Times New Roman" w:cs="Times New Roman"/>
                <w:b/>
                <w:sz w:val="16"/>
                <w:szCs w:val="16"/>
              </w:rPr>
            </w:pPr>
            <w:r w:rsidRPr="008A7487">
              <w:rPr>
                <w:rFonts w:ascii="Times New Roman" w:hAnsi="Times New Roman" w:cs="Times New Roman"/>
                <w:b/>
                <w:sz w:val="16"/>
                <w:szCs w:val="16"/>
              </w:rPr>
              <w:t>Before the crisis (1999-2006)</w:t>
            </w:r>
          </w:p>
        </w:tc>
        <w:tc>
          <w:tcPr>
            <w:tcW w:w="1912" w:type="dxa"/>
            <w:gridSpan w:val="2"/>
          </w:tcPr>
          <w:p w14:paraId="0BF9BEC9" w14:textId="77777777" w:rsidR="00B75F05" w:rsidRPr="008A7487" w:rsidRDefault="00B75F05" w:rsidP="00C21D6F">
            <w:pPr>
              <w:contextualSpacing/>
              <w:rPr>
                <w:rFonts w:ascii="Times New Roman" w:hAnsi="Times New Roman" w:cs="Times New Roman"/>
                <w:b/>
                <w:sz w:val="16"/>
                <w:szCs w:val="16"/>
              </w:rPr>
            </w:pPr>
            <w:r w:rsidRPr="008A7487">
              <w:rPr>
                <w:rFonts w:ascii="Times New Roman" w:hAnsi="Times New Roman" w:cs="Times New Roman"/>
                <w:b/>
                <w:sz w:val="16"/>
                <w:szCs w:val="16"/>
              </w:rPr>
              <w:t>During the crisis</w:t>
            </w:r>
          </w:p>
          <w:p w14:paraId="0718D56D" w14:textId="77777777" w:rsidR="00B75F05" w:rsidRPr="008A7487" w:rsidRDefault="00B75F05" w:rsidP="00C21D6F">
            <w:pPr>
              <w:contextualSpacing/>
              <w:rPr>
                <w:rFonts w:ascii="Times New Roman" w:hAnsi="Times New Roman" w:cs="Times New Roman"/>
                <w:b/>
                <w:sz w:val="16"/>
                <w:szCs w:val="16"/>
              </w:rPr>
            </w:pPr>
            <w:r w:rsidRPr="008A7487">
              <w:rPr>
                <w:rFonts w:ascii="Times New Roman" w:hAnsi="Times New Roman" w:cs="Times New Roman"/>
                <w:b/>
                <w:sz w:val="16"/>
                <w:szCs w:val="16"/>
              </w:rPr>
              <w:t>(2007-2009)</w:t>
            </w:r>
          </w:p>
        </w:tc>
        <w:tc>
          <w:tcPr>
            <w:tcW w:w="1928" w:type="dxa"/>
            <w:gridSpan w:val="2"/>
          </w:tcPr>
          <w:p w14:paraId="5EC0771C" w14:textId="77777777" w:rsidR="00B75F05" w:rsidRPr="008A7487" w:rsidRDefault="00B75F05" w:rsidP="00C21D6F">
            <w:pPr>
              <w:contextualSpacing/>
              <w:rPr>
                <w:rFonts w:ascii="Times New Roman" w:hAnsi="Times New Roman" w:cs="Times New Roman"/>
                <w:b/>
                <w:sz w:val="16"/>
                <w:szCs w:val="16"/>
              </w:rPr>
            </w:pPr>
            <w:r w:rsidRPr="008A7487">
              <w:rPr>
                <w:rFonts w:ascii="Times New Roman" w:hAnsi="Times New Roman" w:cs="Times New Roman"/>
                <w:b/>
                <w:sz w:val="16"/>
                <w:szCs w:val="16"/>
              </w:rPr>
              <w:t>After the crisis (2010-2013)</w:t>
            </w:r>
          </w:p>
        </w:tc>
      </w:tr>
      <w:tr w:rsidR="00B75F05" w:rsidRPr="008A7487" w14:paraId="688362AC" w14:textId="77777777" w:rsidTr="00C21D6F">
        <w:tc>
          <w:tcPr>
            <w:tcW w:w="1174" w:type="dxa"/>
          </w:tcPr>
          <w:p w14:paraId="4040D5C4" w14:textId="77777777" w:rsidR="00B75F05" w:rsidRPr="008A7487" w:rsidRDefault="00B75F05" w:rsidP="00C21D6F">
            <w:pPr>
              <w:spacing w:line="480" w:lineRule="auto"/>
              <w:contextualSpacing/>
              <w:rPr>
                <w:rFonts w:ascii="Times New Roman" w:hAnsi="Times New Roman" w:cs="Times New Roman"/>
                <w:sz w:val="16"/>
                <w:szCs w:val="16"/>
              </w:rPr>
            </w:pPr>
          </w:p>
        </w:tc>
        <w:tc>
          <w:tcPr>
            <w:tcW w:w="973" w:type="dxa"/>
            <w:vAlign w:val="bottom"/>
          </w:tcPr>
          <w:p w14:paraId="1255A941" w14:textId="77777777" w:rsidR="00B75F05" w:rsidRPr="008A7487" w:rsidRDefault="00B75F05" w:rsidP="00C21D6F">
            <w:pPr>
              <w:autoSpaceDE w:val="0"/>
              <w:autoSpaceDN w:val="0"/>
              <w:adjustRightInd w:val="0"/>
              <w:ind w:right="10"/>
              <w:jc w:val="right"/>
              <w:rPr>
                <w:rFonts w:ascii="Times New Roman" w:hAnsi="Times New Roman" w:cs="Times New Roman"/>
                <w:color w:val="000000"/>
                <w:sz w:val="16"/>
                <w:szCs w:val="16"/>
                <w:lang w:val="en-GB"/>
              </w:rPr>
            </w:pPr>
            <w:r w:rsidRPr="008A7487">
              <w:rPr>
                <w:rFonts w:ascii="Times New Roman" w:hAnsi="Times New Roman" w:cs="Times New Roman"/>
                <w:color w:val="000000"/>
                <w:sz w:val="16"/>
                <w:szCs w:val="16"/>
                <w:lang w:val="en-GB"/>
              </w:rPr>
              <w:t>Coeff</w:t>
            </w:r>
          </w:p>
        </w:tc>
        <w:tc>
          <w:tcPr>
            <w:tcW w:w="965" w:type="dxa"/>
            <w:vAlign w:val="bottom"/>
          </w:tcPr>
          <w:p w14:paraId="7B4AEF69" w14:textId="77777777" w:rsidR="00B75F05" w:rsidRPr="008A7487" w:rsidRDefault="00B75F05" w:rsidP="00C21D6F">
            <w:pPr>
              <w:autoSpaceDE w:val="0"/>
              <w:autoSpaceDN w:val="0"/>
              <w:adjustRightInd w:val="0"/>
              <w:ind w:right="10"/>
              <w:jc w:val="right"/>
              <w:rPr>
                <w:rFonts w:ascii="Times New Roman" w:hAnsi="Times New Roman" w:cs="Times New Roman"/>
                <w:color w:val="000000"/>
                <w:sz w:val="16"/>
                <w:szCs w:val="16"/>
                <w:lang w:val="en-GB"/>
              </w:rPr>
            </w:pPr>
            <w:r w:rsidRPr="008A7487">
              <w:rPr>
                <w:rFonts w:ascii="Times New Roman" w:hAnsi="Times New Roman" w:cs="Times New Roman"/>
                <w:color w:val="000000"/>
                <w:sz w:val="16"/>
                <w:szCs w:val="16"/>
                <w:lang w:val="en-GB"/>
              </w:rPr>
              <w:t>T-Stat</w:t>
            </w:r>
          </w:p>
        </w:tc>
        <w:tc>
          <w:tcPr>
            <w:tcW w:w="960" w:type="dxa"/>
            <w:vAlign w:val="bottom"/>
          </w:tcPr>
          <w:p w14:paraId="04CF9652" w14:textId="77777777" w:rsidR="00B75F05" w:rsidRPr="008A7487" w:rsidRDefault="00B75F05" w:rsidP="00C21D6F">
            <w:pPr>
              <w:autoSpaceDE w:val="0"/>
              <w:autoSpaceDN w:val="0"/>
              <w:adjustRightInd w:val="0"/>
              <w:ind w:right="10"/>
              <w:jc w:val="right"/>
              <w:rPr>
                <w:rFonts w:ascii="Times New Roman" w:hAnsi="Times New Roman" w:cs="Times New Roman"/>
                <w:color w:val="000000"/>
                <w:sz w:val="16"/>
                <w:szCs w:val="16"/>
                <w:lang w:val="en-GB"/>
              </w:rPr>
            </w:pPr>
            <w:r w:rsidRPr="008A7487">
              <w:rPr>
                <w:rFonts w:ascii="Times New Roman" w:hAnsi="Times New Roman" w:cs="Times New Roman"/>
                <w:color w:val="000000"/>
                <w:sz w:val="16"/>
                <w:szCs w:val="16"/>
                <w:lang w:val="en-GB"/>
              </w:rPr>
              <w:t>Coeff</w:t>
            </w:r>
          </w:p>
        </w:tc>
        <w:tc>
          <w:tcPr>
            <w:tcW w:w="952" w:type="dxa"/>
            <w:vAlign w:val="bottom"/>
          </w:tcPr>
          <w:p w14:paraId="2AC66EFA" w14:textId="77777777" w:rsidR="00B75F05" w:rsidRPr="008A7487" w:rsidRDefault="00B75F05" w:rsidP="00C21D6F">
            <w:pPr>
              <w:autoSpaceDE w:val="0"/>
              <w:autoSpaceDN w:val="0"/>
              <w:adjustRightInd w:val="0"/>
              <w:ind w:right="10"/>
              <w:jc w:val="right"/>
              <w:rPr>
                <w:rFonts w:ascii="Times New Roman" w:hAnsi="Times New Roman" w:cs="Times New Roman"/>
                <w:color w:val="000000"/>
                <w:sz w:val="16"/>
                <w:szCs w:val="16"/>
                <w:lang w:val="en-GB"/>
              </w:rPr>
            </w:pPr>
            <w:r w:rsidRPr="008A7487">
              <w:rPr>
                <w:rFonts w:ascii="Times New Roman" w:hAnsi="Times New Roman" w:cs="Times New Roman"/>
                <w:color w:val="000000"/>
                <w:sz w:val="16"/>
                <w:szCs w:val="16"/>
                <w:lang w:val="en-GB"/>
              </w:rPr>
              <w:t xml:space="preserve">T-Stat </w:t>
            </w:r>
          </w:p>
        </w:tc>
        <w:tc>
          <w:tcPr>
            <w:tcW w:w="966" w:type="dxa"/>
            <w:vAlign w:val="bottom"/>
          </w:tcPr>
          <w:p w14:paraId="199C4696" w14:textId="77777777" w:rsidR="00B75F05" w:rsidRPr="008A7487" w:rsidRDefault="00B75F05" w:rsidP="00C21D6F">
            <w:pPr>
              <w:autoSpaceDE w:val="0"/>
              <w:autoSpaceDN w:val="0"/>
              <w:adjustRightInd w:val="0"/>
              <w:ind w:right="10"/>
              <w:jc w:val="right"/>
              <w:rPr>
                <w:rFonts w:ascii="Times New Roman" w:hAnsi="Times New Roman" w:cs="Times New Roman"/>
                <w:color w:val="000000"/>
                <w:sz w:val="16"/>
                <w:szCs w:val="16"/>
                <w:lang w:val="en-GB"/>
              </w:rPr>
            </w:pPr>
            <w:r w:rsidRPr="008A7487">
              <w:rPr>
                <w:rFonts w:ascii="Times New Roman" w:hAnsi="Times New Roman" w:cs="Times New Roman"/>
                <w:color w:val="000000"/>
                <w:sz w:val="16"/>
                <w:szCs w:val="16"/>
                <w:lang w:val="en-GB"/>
              </w:rPr>
              <w:t xml:space="preserve">Coeff </w:t>
            </w:r>
          </w:p>
        </w:tc>
        <w:tc>
          <w:tcPr>
            <w:tcW w:w="962" w:type="dxa"/>
            <w:vAlign w:val="bottom"/>
          </w:tcPr>
          <w:p w14:paraId="1B4CB333" w14:textId="77777777" w:rsidR="00B75F05" w:rsidRPr="008A7487" w:rsidRDefault="00B75F05" w:rsidP="00C21D6F">
            <w:pPr>
              <w:autoSpaceDE w:val="0"/>
              <w:autoSpaceDN w:val="0"/>
              <w:adjustRightInd w:val="0"/>
              <w:ind w:right="10"/>
              <w:jc w:val="right"/>
              <w:rPr>
                <w:rFonts w:ascii="Times New Roman" w:hAnsi="Times New Roman" w:cs="Times New Roman"/>
                <w:color w:val="000000"/>
                <w:sz w:val="16"/>
                <w:szCs w:val="16"/>
                <w:lang w:val="en-GB"/>
              </w:rPr>
            </w:pPr>
            <w:r w:rsidRPr="008A7487">
              <w:rPr>
                <w:rFonts w:ascii="Times New Roman" w:hAnsi="Times New Roman" w:cs="Times New Roman"/>
                <w:color w:val="000000"/>
                <w:sz w:val="16"/>
                <w:szCs w:val="16"/>
                <w:lang w:val="en-GB"/>
              </w:rPr>
              <w:t xml:space="preserve">T-Stat  </w:t>
            </w:r>
          </w:p>
        </w:tc>
      </w:tr>
      <w:tr w:rsidR="00B75F05" w:rsidRPr="008A7487" w14:paraId="50F35825" w14:textId="77777777" w:rsidTr="00C21D6F">
        <w:tc>
          <w:tcPr>
            <w:tcW w:w="1174" w:type="dxa"/>
          </w:tcPr>
          <w:p w14:paraId="136D54B4" w14:textId="77777777" w:rsidR="00B75F05" w:rsidRPr="008A7487" w:rsidRDefault="00B75F05" w:rsidP="00C21D6F">
            <w:pPr>
              <w:spacing w:line="480" w:lineRule="auto"/>
              <w:contextualSpacing/>
              <w:rPr>
                <w:rFonts w:ascii="Times New Roman" w:hAnsi="Times New Roman" w:cs="Times New Roman"/>
                <w:sz w:val="16"/>
                <w:szCs w:val="16"/>
              </w:rPr>
            </w:pPr>
            <w:r w:rsidRPr="008A7487">
              <w:rPr>
                <w:rFonts w:ascii="Times New Roman" w:hAnsi="Times New Roman" w:cs="Times New Roman"/>
                <w:sz w:val="16"/>
                <w:szCs w:val="16"/>
              </w:rPr>
              <w:t>LNSIZE</w:t>
            </w:r>
          </w:p>
        </w:tc>
        <w:tc>
          <w:tcPr>
            <w:tcW w:w="973" w:type="dxa"/>
            <w:vAlign w:val="bottom"/>
          </w:tcPr>
          <w:p w14:paraId="6457264D" w14:textId="77777777" w:rsidR="00B75F05" w:rsidRPr="008A7487" w:rsidRDefault="00B75F05" w:rsidP="00C21D6F">
            <w:pPr>
              <w:autoSpaceDE w:val="0"/>
              <w:autoSpaceDN w:val="0"/>
              <w:adjustRightInd w:val="0"/>
              <w:ind w:right="10"/>
              <w:rPr>
                <w:rFonts w:ascii="Times New Roman" w:hAnsi="Times New Roman" w:cs="Times New Roman"/>
                <w:color w:val="000000"/>
                <w:sz w:val="16"/>
                <w:szCs w:val="16"/>
                <w:lang w:val="en-GB"/>
              </w:rPr>
            </w:pPr>
            <w:r w:rsidRPr="008A7487">
              <w:rPr>
                <w:rFonts w:ascii="Times New Roman" w:hAnsi="Times New Roman" w:cs="Times New Roman"/>
                <w:color w:val="000000"/>
                <w:sz w:val="16"/>
                <w:szCs w:val="16"/>
                <w:lang w:val="en-GB"/>
              </w:rPr>
              <w:t>-0.25</w:t>
            </w:r>
          </w:p>
        </w:tc>
        <w:tc>
          <w:tcPr>
            <w:tcW w:w="965" w:type="dxa"/>
            <w:vAlign w:val="bottom"/>
          </w:tcPr>
          <w:p w14:paraId="7E65388D" w14:textId="77777777" w:rsidR="00B75F05" w:rsidRPr="008A7487" w:rsidRDefault="00B75F05" w:rsidP="00C21D6F">
            <w:pPr>
              <w:autoSpaceDE w:val="0"/>
              <w:autoSpaceDN w:val="0"/>
              <w:adjustRightInd w:val="0"/>
              <w:ind w:right="10"/>
              <w:rPr>
                <w:rFonts w:ascii="Times New Roman" w:hAnsi="Times New Roman" w:cs="Times New Roman"/>
                <w:color w:val="000000"/>
                <w:sz w:val="16"/>
                <w:szCs w:val="16"/>
                <w:lang w:val="en-GB"/>
              </w:rPr>
            </w:pPr>
            <w:r w:rsidRPr="008A7487">
              <w:rPr>
                <w:rFonts w:ascii="Times New Roman" w:hAnsi="Times New Roman" w:cs="Times New Roman"/>
                <w:color w:val="000000"/>
                <w:sz w:val="16"/>
                <w:szCs w:val="16"/>
                <w:lang w:val="en-GB"/>
              </w:rPr>
              <w:t>-1.67*</w:t>
            </w:r>
          </w:p>
        </w:tc>
        <w:tc>
          <w:tcPr>
            <w:tcW w:w="960" w:type="dxa"/>
            <w:vAlign w:val="bottom"/>
          </w:tcPr>
          <w:p w14:paraId="0C377E99" w14:textId="77777777" w:rsidR="00B75F05" w:rsidRPr="008A7487" w:rsidRDefault="00B75F05" w:rsidP="00C21D6F">
            <w:pPr>
              <w:autoSpaceDE w:val="0"/>
              <w:autoSpaceDN w:val="0"/>
              <w:adjustRightInd w:val="0"/>
              <w:ind w:right="10"/>
              <w:rPr>
                <w:rFonts w:ascii="Times New Roman" w:hAnsi="Times New Roman" w:cs="Times New Roman"/>
                <w:color w:val="000000"/>
                <w:sz w:val="16"/>
                <w:szCs w:val="16"/>
                <w:lang w:val="en-GB"/>
              </w:rPr>
            </w:pPr>
            <w:r w:rsidRPr="008A7487">
              <w:rPr>
                <w:rFonts w:ascii="Times New Roman" w:hAnsi="Times New Roman" w:cs="Times New Roman"/>
                <w:color w:val="000000"/>
                <w:sz w:val="16"/>
                <w:szCs w:val="16"/>
                <w:lang w:val="en-GB"/>
              </w:rPr>
              <w:t>0.22</w:t>
            </w:r>
          </w:p>
        </w:tc>
        <w:tc>
          <w:tcPr>
            <w:tcW w:w="952" w:type="dxa"/>
            <w:vAlign w:val="bottom"/>
          </w:tcPr>
          <w:p w14:paraId="48007359" w14:textId="77777777" w:rsidR="00B75F05" w:rsidRPr="008A7487" w:rsidRDefault="00B75F05" w:rsidP="00C21D6F">
            <w:pPr>
              <w:autoSpaceDE w:val="0"/>
              <w:autoSpaceDN w:val="0"/>
              <w:adjustRightInd w:val="0"/>
              <w:ind w:right="10"/>
              <w:rPr>
                <w:rFonts w:ascii="Times New Roman" w:hAnsi="Times New Roman" w:cs="Times New Roman"/>
                <w:color w:val="000000"/>
                <w:sz w:val="16"/>
                <w:szCs w:val="16"/>
                <w:lang w:val="en-GB"/>
              </w:rPr>
            </w:pPr>
            <w:r w:rsidRPr="008A7487">
              <w:rPr>
                <w:rFonts w:ascii="Times New Roman" w:hAnsi="Times New Roman" w:cs="Times New Roman"/>
                <w:color w:val="000000"/>
                <w:sz w:val="16"/>
                <w:szCs w:val="16"/>
                <w:lang w:val="en-GB"/>
              </w:rPr>
              <w:t>5.55***</w:t>
            </w:r>
          </w:p>
        </w:tc>
        <w:tc>
          <w:tcPr>
            <w:tcW w:w="966" w:type="dxa"/>
            <w:vAlign w:val="bottom"/>
          </w:tcPr>
          <w:p w14:paraId="5455E6E9" w14:textId="77777777" w:rsidR="00B75F05" w:rsidRPr="008A7487" w:rsidRDefault="00B75F05" w:rsidP="00C21D6F">
            <w:pPr>
              <w:autoSpaceDE w:val="0"/>
              <w:autoSpaceDN w:val="0"/>
              <w:adjustRightInd w:val="0"/>
              <w:ind w:right="10"/>
              <w:rPr>
                <w:rFonts w:ascii="Times New Roman" w:hAnsi="Times New Roman" w:cs="Times New Roman"/>
                <w:color w:val="000000"/>
                <w:sz w:val="16"/>
                <w:szCs w:val="16"/>
                <w:lang w:val="en-GB"/>
              </w:rPr>
            </w:pPr>
            <w:r w:rsidRPr="008A7487">
              <w:rPr>
                <w:rFonts w:ascii="Times New Roman" w:hAnsi="Times New Roman" w:cs="Times New Roman"/>
                <w:color w:val="000000"/>
                <w:sz w:val="16"/>
                <w:szCs w:val="16"/>
                <w:lang w:val="en-GB"/>
              </w:rPr>
              <w:t>0.34</w:t>
            </w:r>
          </w:p>
        </w:tc>
        <w:tc>
          <w:tcPr>
            <w:tcW w:w="962" w:type="dxa"/>
            <w:vAlign w:val="bottom"/>
          </w:tcPr>
          <w:p w14:paraId="7E8860B7" w14:textId="77777777" w:rsidR="00B75F05" w:rsidRPr="008A7487" w:rsidRDefault="00B75F05" w:rsidP="00C21D6F">
            <w:pPr>
              <w:autoSpaceDE w:val="0"/>
              <w:autoSpaceDN w:val="0"/>
              <w:adjustRightInd w:val="0"/>
              <w:ind w:right="10"/>
              <w:rPr>
                <w:rFonts w:ascii="Times New Roman" w:hAnsi="Times New Roman" w:cs="Times New Roman"/>
                <w:color w:val="000000"/>
                <w:sz w:val="16"/>
                <w:szCs w:val="16"/>
                <w:lang w:val="en-GB"/>
              </w:rPr>
            </w:pPr>
            <w:r w:rsidRPr="008A7487">
              <w:rPr>
                <w:rFonts w:ascii="Times New Roman" w:hAnsi="Times New Roman" w:cs="Times New Roman"/>
                <w:color w:val="000000"/>
                <w:sz w:val="16"/>
                <w:szCs w:val="16"/>
                <w:lang w:val="en-GB"/>
              </w:rPr>
              <w:t>10.43***</w:t>
            </w:r>
          </w:p>
        </w:tc>
      </w:tr>
      <w:tr w:rsidR="00B75F05" w:rsidRPr="008A7487" w14:paraId="091DFD8E" w14:textId="77777777" w:rsidTr="00C21D6F">
        <w:tc>
          <w:tcPr>
            <w:tcW w:w="1174" w:type="dxa"/>
          </w:tcPr>
          <w:p w14:paraId="22897376" w14:textId="77777777" w:rsidR="00B75F05" w:rsidRPr="008A7487" w:rsidRDefault="00B75F05" w:rsidP="00C21D6F">
            <w:pPr>
              <w:spacing w:line="480" w:lineRule="auto"/>
              <w:contextualSpacing/>
              <w:rPr>
                <w:rFonts w:ascii="Times New Roman" w:hAnsi="Times New Roman" w:cs="Times New Roman"/>
                <w:sz w:val="16"/>
                <w:szCs w:val="16"/>
              </w:rPr>
            </w:pPr>
            <w:r w:rsidRPr="008A7487">
              <w:rPr>
                <w:rFonts w:ascii="Times New Roman" w:hAnsi="Times New Roman" w:cs="Times New Roman"/>
                <w:sz w:val="16"/>
                <w:szCs w:val="16"/>
              </w:rPr>
              <w:t>CAP</w:t>
            </w:r>
          </w:p>
        </w:tc>
        <w:tc>
          <w:tcPr>
            <w:tcW w:w="973" w:type="dxa"/>
            <w:vAlign w:val="bottom"/>
          </w:tcPr>
          <w:p w14:paraId="0E1F3E8D" w14:textId="77777777" w:rsidR="00B75F05" w:rsidRPr="008A7487" w:rsidRDefault="00B75F05" w:rsidP="00C21D6F">
            <w:pPr>
              <w:autoSpaceDE w:val="0"/>
              <w:autoSpaceDN w:val="0"/>
              <w:adjustRightInd w:val="0"/>
              <w:ind w:right="10"/>
              <w:rPr>
                <w:rFonts w:ascii="Times New Roman" w:hAnsi="Times New Roman" w:cs="Times New Roman"/>
                <w:color w:val="000000"/>
                <w:sz w:val="16"/>
                <w:szCs w:val="16"/>
                <w:lang w:val="en-GB"/>
              </w:rPr>
            </w:pPr>
            <w:r w:rsidRPr="008A7487">
              <w:rPr>
                <w:rFonts w:ascii="Times New Roman" w:hAnsi="Times New Roman" w:cs="Times New Roman"/>
                <w:color w:val="000000"/>
                <w:sz w:val="16"/>
                <w:szCs w:val="16"/>
                <w:lang w:val="en-GB"/>
              </w:rPr>
              <w:t>0.01</w:t>
            </w:r>
          </w:p>
        </w:tc>
        <w:tc>
          <w:tcPr>
            <w:tcW w:w="965" w:type="dxa"/>
            <w:vAlign w:val="bottom"/>
          </w:tcPr>
          <w:p w14:paraId="5FAF620A" w14:textId="77777777" w:rsidR="00B75F05" w:rsidRPr="008A7487" w:rsidRDefault="00B75F05" w:rsidP="00C21D6F">
            <w:pPr>
              <w:autoSpaceDE w:val="0"/>
              <w:autoSpaceDN w:val="0"/>
              <w:adjustRightInd w:val="0"/>
              <w:ind w:right="10"/>
              <w:rPr>
                <w:rFonts w:ascii="Times New Roman" w:hAnsi="Times New Roman" w:cs="Times New Roman"/>
                <w:color w:val="000000"/>
                <w:sz w:val="16"/>
                <w:szCs w:val="16"/>
                <w:lang w:val="en-GB"/>
              </w:rPr>
            </w:pPr>
            <w:r w:rsidRPr="008A7487">
              <w:rPr>
                <w:rFonts w:ascii="Times New Roman" w:hAnsi="Times New Roman" w:cs="Times New Roman"/>
                <w:color w:val="000000"/>
                <w:sz w:val="16"/>
                <w:szCs w:val="16"/>
                <w:lang w:val="en-GB"/>
              </w:rPr>
              <w:t>0.05</w:t>
            </w:r>
          </w:p>
        </w:tc>
        <w:tc>
          <w:tcPr>
            <w:tcW w:w="960" w:type="dxa"/>
            <w:vAlign w:val="bottom"/>
          </w:tcPr>
          <w:p w14:paraId="66510A06" w14:textId="77777777" w:rsidR="00B75F05" w:rsidRPr="008A7487" w:rsidRDefault="00B75F05" w:rsidP="00C21D6F">
            <w:pPr>
              <w:autoSpaceDE w:val="0"/>
              <w:autoSpaceDN w:val="0"/>
              <w:adjustRightInd w:val="0"/>
              <w:ind w:right="10"/>
              <w:rPr>
                <w:rFonts w:ascii="Times New Roman" w:hAnsi="Times New Roman" w:cs="Times New Roman"/>
                <w:color w:val="000000"/>
                <w:sz w:val="16"/>
                <w:szCs w:val="16"/>
                <w:lang w:val="en-GB"/>
              </w:rPr>
            </w:pPr>
            <w:r w:rsidRPr="008A7487">
              <w:rPr>
                <w:rFonts w:ascii="Times New Roman" w:hAnsi="Times New Roman" w:cs="Times New Roman"/>
                <w:color w:val="000000"/>
                <w:sz w:val="16"/>
                <w:szCs w:val="16"/>
                <w:lang w:val="en-GB"/>
              </w:rPr>
              <w:t>0.08</w:t>
            </w:r>
          </w:p>
        </w:tc>
        <w:tc>
          <w:tcPr>
            <w:tcW w:w="952" w:type="dxa"/>
            <w:vAlign w:val="bottom"/>
          </w:tcPr>
          <w:p w14:paraId="4DFA73B4" w14:textId="77777777" w:rsidR="00B75F05" w:rsidRPr="008A7487" w:rsidRDefault="00B75F05" w:rsidP="00C21D6F">
            <w:pPr>
              <w:autoSpaceDE w:val="0"/>
              <w:autoSpaceDN w:val="0"/>
              <w:adjustRightInd w:val="0"/>
              <w:ind w:right="10"/>
              <w:rPr>
                <w:rFonts w:ascii="Times New Roman" w:hAnsi="Times New Roman" w:cs="Times New Roman"/>
                <w:color w:val="000000"/>
                <w:sz w:val="16"/>
                <w:szCs w:val="16"/>
                <w:lang w:val="en-GB"/>
              </w:rPr>
            </w:pPr>
            <w:r w:rsidRPr="008A7487">
              <w:rPr>
                <w:rFonts w:ascii="Times New Roman" w:hAnsi="Times New Roman" w:cs="Times New Roman"/>
                <w:color w:val="000000"/>
                <w:sz w:val="16"/>
                <w:szCs w:val="16"/>
                <w:lang w:val="en-GB"/>
              </w:rPr>
              <w:t>4.80***</w:t>
            </w:r>
          </w:p>
        </w:tc>
        <w:tc>
          <w:tcPr>
            <w:tcW w:w="966" w:type="dxa"/>
            <w:vAlign w:val="bottom"/>
          </w:tcPr>
          <w:p w14:paraId="1C358CF8" w14:textId="77777777" w:rsidR="00B75F05" w:rsidRPr="008A7487" w:rsidRDefault="00B75F05" w:rsidP="00C21D6F">
            <w:pPr>
              <w:autoSpaceDE w:val="0"/>
              <w:autoSpaceDN w:val="0"/>
              <w:adjustRightInd w:val="0"/>
              <w:ind w:right="10"/>
              <w:rPr>
                <w:rFonts w:ascii="Times New Roman" w:hAnsi="Times New Roman" w:cs="Times New Roman"/>
                <w:color w:val="000000"/>
                <w:sz w:val="16"/>
                <w:szCs w:val="16"/>
                <w:lang w:val="en-GB"/>
              </w:rPr>
            </w:pPr>
            <w:r w:rsidRPr="008A7487">
              <w:rPr>
                <w:rFonts w:ascii="Times New Roman" w:hAnsi="Times New Roman" w:cs="Times New Roman"/>
                <w:color w:val="000000"/>
                <w:sz w:val="16"/>
                <w:szCs w:val="16"/>
                <w:lang w:val="en-GB"/>
              </w:rPr>
              <w:t>0.09</w:t>
            </w:r>
          </w:p>
        </w:tc>
        <w:tc>
          <w:tcPr>
            <w:tcW w:w="962" w:type="dxa"/>
            <w:vAlign w:val="bottom"/>
          </w:tcPr>
          <w:p w14:paraId="4D6DD1FF" w14:textId="77777777" w:rsidR="00B75F05" w:rsidRPr="008A7487" w:rsidRDefault="00B75F05" w:rsidP="00C21D6F">
            <w:pPr>
              <w:autoSpaceDE w:val="0"/>
              <w:autoSpaceDN w:val="0"/>
              <w:adjustRightInd w:val="0"/>
              <w:ind w:right="10"/>
              <w:rPr>
                <w:rFonts w:ascii="Times New Roman" w:hAnsi="Times New Roman" w:cs="Times New Roman"/>
                <w:color w:val="000000"/>
                <w:sz w:val="16"/>
                <w:szCs w:val="16"/>
                <w:lang w:val="en-GB"/>
              </w:rPr>
            </w:pPr>
            <w:r w:rsidRPr="008A7487">
              <w:rPr>
                <w:rFonts w:ascii="Times New Roman" w:hAnsi="Times New Roman" w:cs="Times New Roman"/>
                <w:color w:val="000000"/>
                <w:sz w:val="16"/>
                <w:szCs w:val="16"/>
                <w:lang w:val="en-GB"/>
              </w:rPr>
              <w:t>6.46***</w:t>
            </w:r>
          </w:p>
        </w:tc>
      </w:tr>
      <w:tr w:rsidR="00B75F05" w:rsidRPr="008A7487" w14:paraId="758D03F2" w14:textId="77777777" w:rsidTr="00C21D6F">
        <w:tc>
          <w:tcPr>
            <w:tcW w:w="1174" w:type="dxa"/>
          </w:tcPr>
          <w:p w14:paraId="5E94E2DC" w14:textId="77777777" w:rsidR="00B75F05" w:rsidRPr="008A7487" w:rsidRDefault="00B75F05" w:rsidP="00C21D6F">
            <w:pPr>
              <w:spacing w:line="480" w:lineRule="auto"/>
              <w:contextualSpacing/>
              <w:rPr>
                <w:rFonts w:ascii="Times New Roman" w:hAnsi="Times New Roman" w:cs="Times New Roman"/>
                <w:sz w:val="16"/>
                <w:szCs w:val="16"/>
              </w:rPr>
            </w:pPr>
            <w:r w:rsidRPr="008A7487">
              <w:rPr>
                <w:rFonts w:ascii="Times New Roman" w:hAnsi="Times New Roman" w:cs="Times New Roman"/>
                <w:sz w:val="16"/>
                <w:szCs w:val="16"/>
              </w:rPr>
              <w:t>CR</w:t>
            </w:r>
          </w:p>
        </w:tc>
        <w:tc>
          <w:tcPr>
            <w:tcW w:w="973" w:type="dxa"/>
            <w:vAlign w:val="bottom"/>
          </w:tcPr>
          <w:p w14:paraId="10D00D8F" w14:textId="77777777" w:rsidR="00B75F05" w:rsidRPr="008A7487" w:rsidRDefault="00B75F05" w:rsidP="00C21D6F">
            <w:pPr>
              <w:autoSpaceDE w:val="0"/>
              <w:autoSpaceDN w:val="0"/>
              <w:adjustRightInd w:val="0"/>
              <w:ind w:right="10"/>
              <w:rPr>
                <w:rFonts w:ascii="Times New Roman" w:hAnsi="Times New Roman" w:cs="Times New Roman"/>
                <w:color w:val="000000"/>
                <w:sz w:val="16"/>
                <w:szCs w:val="16"/>
                <w:lang w:val="en-GB"/>
              </w:rPr>
            </w:pPr>
            <w:r w:rsidRPr="008A7487">
              <w:rPr>
                <w:rFonts w:ascii="Times New Roman" w:hAnsi="Times New Roman" w:cs="Times New Roman"/>
                <w:color w:val="000000"/>
                <w:sz w:val="16"/>
                <w:szCs w:val="16"/>
                <w:lang w:val="en-GB"/>
              </w:rPr>
              <w:t>0.02</w:t>
            </w:r>
          </w:p>
        </w:tc>
        <w:tc>
          <w:tcPr>
            <w:tcW w:w="965" w:type="dxa"/>
            <w:vAlign w:val="bottom"/>
          </w:tcPr>
          <w:p w14:paraId="18A4CF30" w14:textId="77777777" w:rsidR="00B75F05" w:rsidRPr="008A7487" w:rsidRDefault="00B75F05" w:rsidP="00C21D6F">
            <w:pPr>
              <w:autoSpaceDE w:val="0"/>
              <w:autoSpaceDN w:val="0"/>
              <w:adjustRightInd w:val="0"/>
              <w:ind w:right="10"/>
              <w:rPr>
                <w:rFonts w:ascii="Times New Roman" w:hAnsi="Times New Roman" w:cs="Times New Roman"/>
                <w:color w:val="000000"/>
                <w:sz w:val="16"/>
                <w:szCs w:val="16"/>
                <w:lang w:val="en-GB"/>
              </w:rPr>
            </w:pPr>
            <w:r w:rsidRPr="008A7487">
              <w:rPr>
                <w:rFonts w:ascii="Times New Roman" w:hAnsi="Times New Roman" w:cs="Times New Roman"/>
                <w:color w:val="000000"/>
                <w:sz w:val="16"/>
                <w:szCs w:val="16"/>
                <w:lang w:val="en-GB"/>
              </w:rPr>
              <w:t>0.65</w:t>
            </w:r>
          </w:p>
        </w:tc>
        <w:tc>
          <w:tcPr>
            <w:tcW w:w="960" w:type="dxa"/>
            <w:vAlign w:val="bottom"/>
          </w:tcPr>
          <w:p w14:paraId="05AD2CAC" w14:textId="77777777" w:rsidR="00B75F05" w:rsidRPr="008A7487" w:rsidRDefault="00B75F05" w:rsidP="00C21D6F">
            <w:pPr>
              <w:autoSpaceDE w:val="0"/>
              <w:autoSpaceDN w:val="0"/>
              <w:adjustRightInd w:val="0"/>
              <w:ind w:right="10"/>
              <w:rPr>
                <w:rFonts w:ascii="Times New Roman" w:hAnsi="Times New Roman" w:cs="Times New Roman"/>
                <w:color w:val="000000"/>
                <w:sz w:val="16"/>
                <w:szCs w:val="16"/>
                <w:lang w:val="en-GB"/>
              </w:rPr>
            </w:pPr>
            <w:r w:rsidRPr="008A7487">
              <w:rPr>
                <w:rFonts w:ascii="Times New Roman" w:hAnsi="Times New Roman" w:cs="Times New Roman"/>
                <w:color w:val="000000"/>
                <w:sz w:val="16"/>
                <w:szCs w:val="16"/>
                <w:lang w:val="en-GB"/>
              </w:rPr>
              <w:t>0.03</w:t>
            </w:r>
          </w:p>
        </w:tc>
        <w:tc>
          <w:tcPr>
            <w:tcW w:w="952" w:type="dxa"/>
            <w:vAlign w:val="bottom"/>
          </w:tcPr>
          <w:p w14:paraId="5F9779DB" w14:textId="77777777" w:rsidR="00B75F05" w:rsidRPr="008A7487" w:rsidRDefault="00B75F05" w:rsidP="00C21D6F">
            <w:pPr>
              <w:autoSpaceDE w:val="0"/>
              <w:autoSpaceDN w:val="0"/>
              <w:adjustRightInd w:val="0"/>
              <w:ind w:right="10"/>
              <w:rPr>
                <w:rFonts w:ascii="Times New Roman" w:hAnsi="Times New Roman" w:cs="Times New Roman"/>
                <w:color w:val="000000"/>
                <w:sz w:val="16"/>
                <w:szCs w:val="16"/>
                <w:lang w:val="en-GB"/>
              </w:rPr>
            </w:pPr>
            <w:r w:rsidRPr="008A7487">
              <w:rPr>
                <w:rFonts w:ascii="Times New Roman" w:hAnsi="Times New Roman" w:cs="Times New Roman"/>
                <w:color w:val="000000"/>
                <w:sz w:val="16"/>
                <w:szCs w:val="16"/>
                <w:lang w:val="en-GB"/>
              </w:rPr>
              <w:t>3.64***</w:t>
            </w:r>
          </w:p>
        </w:tc>
        <w:tc>
          <w:tcPr>
            <w:tcW w:w="966" w:type="dxa"/>
            <w:vAlign w:val="bottom"/>
          </w:tcPr>
          <w:p w14:paraId="512AA950" w14:textId="77777777" w:rsidR="00B75F05" w:rsidRPr="008A7487" w:rsidRDefault="00B75F05" w:rsidP="00C21D6F">
            <w:pPr>
              <w:autoSpaceDE w:val="0"/>
              <w:autoSpaceDN w:val="0"/>
              <w:adjustRightInd w:val="0"/>
              <w:ind w:right="10"/>
              <w:rPr>
                <w:rFonts w:ascii="Times New Roman" w:hAnsi="Times New Roman" w:cs="Times New Roman"/>
                <w:color w:val="000000"/>
                <w:sz w:val="16"/>
                <w:szCs w:val="16"/>
                <w:lang w:val="en-GB"/>
              </w:rPr>
            </w:pPr>
            <w:r w:rsidRPr="008A7487">
              <w:rPr>
                <w:rFonts w:ascii="Times New Roman" w:hAnsi="Times New Roman" w:cs="Times New Roman"/>
                <w:color w:val="000000"/>
                <w:sz w:val="16"/>
                <w:szCs w:val="16"/>
                <w:lang w:val="en-GB"/>
              </w:rPr>
              <w:t>0.01</w:t>
            </w:r>
          </w:p>
        </w:tc>
        <w:tc>
          <w:tcPr>
            <w:tcW w:w="962" w:type="dxa"/>
            <w:vAlign w:val="bottom"/>
          </w:tcPr>
          <w:p w14:paraId="6CAE4B56" w14:textId="77777777" w:rsidR="00B75F05" w:rsidRPr="008A7487" w:rsidRDefault="00B75F05" w:rsidP="00C21D6F">
            <w:pPr>
              <w:autoSpaceDE w:val="0"/>
              <w:autoSpaceDN w:val="0"/>
              <w:adjustRightInd w:val="0"/>
              <w:ind w:right="10"/>
              <w:rPr>
                <w:rFonts w:ascii="Times New Roman" w:hAnsi="Times New Roman" w:cs="Times New Roman"/>
                <w:color w:val="000000"/>
                <w:sz w:val="16"/>
                <w:szCs w:val="16"/>
                <w:lang w:val="en-GB"/>
              </w:rPr>
            </w:pPr>
            <w:r w:rsidRPr="008A7487">
              <w:rPr>
                <w:rFonts w:ascii="Times New Roman" w:hAnsi="Times New Roman" w:cs="Times New Roman"/>
                <w:color w:val="000000"/>
                <w:sz w:val="16"/>
                <w:szCs w:val="16"/>
                <w:lang w:val="en-GB"/>
              </w:rPr>
              <w:t>1.80*</w:t>
            </w:r>
          </w:p>
        </w:tc>
      </w:tr>
      <w:tr w:rsidR="00B75F05" w:rsidRPr="008A7487" w14:paraId="61B18913" w14:textId="77777777" w:rsidTr="00C21D6F">
        <w:tc>
          <w:tcPr>
            <w:tcW w:w="1174" w:type="dxa"/>
          </w:tcPr>
          <w:p w14:paraId="3DDD55B9" w14:textId="77777777" w:rsidR="00B75F05" w:rsidRPr="008A7487" w:rsidRDefault="00B75F05" w:rsidP="00C21D6F">
            <w:pPr>
              <w:spacing w:line="480" w:lineRule="auto"/>
              <w:contextualSpacing/>
              <w:rPr>
                <w:rFonts w:ascii="Times New Roman" w:hAnsi="Times New Roman" w:cs="Times New Roman"/>
                <w:sz w:val="16"/>
                <w:szCs w:val="16"/>
              </w:rPr>
            </w:pPr>
            <w:r w:rsidRPr="008A7487">
              <w:rPr>
                <w:rFonts w:ascii="Times New Roman" w:hAnsi="Times New Roman" w:cs="Times New Roman"/>
                <w:sz w:val="16"/>
                <w:szCs w:val="16"/>
              </w:rPr>
              <w:t>CM</w:t>
            </w:r>
          </w:p>
        </w:tc>
        <w:tc>
          <w:tcPr>
            <w:tcW w:w="973" w:type="dxa"/>
            <w:vAlign w:val="bottom"/>
          </w:tcPr>
          <w:p w14:paraId="6F2E68F4" w14:textId="77777777" w:rsidR="00B75F05" w:rsidRPr="008A7487" w:rsidRDefault="00B75F05" w:rsidP="00C21D6F">
            <w:pPr>
              <w:autoSpaceDE w:val="0"/>
              <w:autoSpaceDN w:val="0"/>
              <w:adjustRightInd w:val="0"/>
              <w:ind w:right="10"/>
              <w:rPr>
                <w:rFonts w:ascii="Times New Roman" w:hAnsi="Times New Roman" w:cs="Times New Roman"/>
                <w:color w:val="000000"/>
                <w:sz w:val="16"/>
                <w:szCs w:val="16"/>
                <w:lang w:val="en-GB"/>
              </w:rPr>
            </w:pPr>
            <w:r w:rsidRPr="008A7487">
              <w:rPr>
                <w:rFonts w:ascii="Times New Roman" w:hAnsi="Times New Roman" w:cs="Times New Roman"/>
                <w:color w:val="000000"/>
                <w:sz w:val="16"/>
                <w:szCs w:val="16"/>
                <w:lang w:val="en-GB"/>
              </w:rPr>
              <w:t>-0.08</w:t>
            </w:r>
          </w:p>
        </w:tc>
        <w:tc>
          <w:tcPr>
            <w:tcW w:w="965" w:type="dxa"/>
            <w:vAlign w:val="bottom"/>
          </w:tcPr>
          <w:p w14:paraId="627D552B" w14:textId="77777777" w:rsidR="00B75F05" w:rsidRPr="008A7487" w:rsidRDefault="00B75F05" w:rsidP="00C21D6F">
            <w:pPr>
              <w:autoSpaceDE w:val="0"/>
              <w:autoSpaceDN w:val="0"/>
              <w:adjustRightInd w:val="0"/>
              <w:ind w:right="10"/>
              <w:rPr>
                <w:rFonts w:ascii="Times New Roman" w:hAnsi="Times New Roman" w:cs="Times New Roman"/>
                <w:color w:val="000000"/>
                <w:sz w:val="16"/>
                <w:szCs w:val="16"/>
                <w:lang w:val="en-GB"/>
              </w:rPr>
            </w:pPr>
            <w:r w:rsidRPr="008A7487">
              <w:rPr>
                <w:rFonts w:ascii="Times New Roman" w:hAnsi="Times New Roman" w:cs="Times New Roman"/>
                <w:color w:val="000000"/>
                <w:sz w:val="16"/>
                <w:szCs w:val="16"/>
                <w:lang w:val="en-GB"/>
              </w:rPr>
              <w:t>-6.52***</w:t>
            </w:r>
          </w:p>
        </w:tc>
        <w:tc>
          <w:tcPr>
            <w:tcW w:w="960" w:type="dxa"/>
            <w:vAlign w:val="bottom"/>
          </w:tcPr>
          <w:p w14:paraId="7D394EA0" w14:textId="77777777" w:rsidR="00B75F05" w:rsidRPr="008A7487" w:rsidRDefault="00B75F05" w:rsidP="00C21D6F">
            <w:pPr>
              <w:autoSpaceDE w:val="0"/>
              <w:autoSpaceDN w:val="0"/>
              <w:adjustRightInd w:val="0"/>
              <w:ind w:right="10"/>
              <w:rPr>
                <w:rFonts w:ascii="Times New Roman" w:hAnsi="Times New Roman" w:cs="Times New Roman"/>
                <w:color w:val="000000"/>
                <w:sz w:val="16"/>
                <w:szCs w:val="16"/>
                <w:lang w:val="en-GB"/>
              </w:rPr>
            </w:pPr>
            <w:r w:rsidRPr="008A7487">
              <w:rPr>
                <w:rFonts w:ascii="Times New Roman" w:hAnsi="Times New Roman" w:cs="Times New Roman"/>
                <w:color w:val="000000"/>
                <w:sz w:val="16"/>
                <w:szCs w:val="16"/>
                <w:lang w:val="en-GB"/>
              </w:rPr>
              <w:t>-0.01</w:t>
            </w:r>
          </w:p>
        </w:tc>
        <w:tc>
          <w:tcPr>
            <w:tcW w:w="952" w:type="dxa"/>
            <w:vAlign w:val="bottom"/>
          </w:tcPr>
          <w:p w14:paraId="1A8A4192" w14:textId="77777777" w:rsidR="00B75F05" w:rsidRPr="008A7487" w:rsidRDefault="00B75F05" w:rsidP="00C21D6F">
            <w:pPr>
              <w:autoSpaceDE w:val="0"/>
              <w:autoSpaceDN w:val="0"/>
              <w:adjustRightInd w:val="0"/>
              <w:ind w:right="10"/>
              <w:rPr>
                <w:rFonts w:ascii="Times New Roman" w:hAnsi="Times New Roman" w:cs="Times New Roman"/>
                <w:color w:val="000000"/>
                <w:sz w:val="16"/>
                <w:szCs w:val="16"/>
                <w:lang w:val="en-GB"/>
              </w:rPr>
            </w:pPr>
            <w:r w:rsidRPr="008A7487">
              <w:rPr>
                <w:rFonts w:ascii="Times New Roman" w:hAnsi="Times New Roman" w:cs="Times New Roman"/>
                <w:color w:val="000000"/>
                <w:sz w:val="16"/>
                <w:szCs w:val="16"/>
                <w:lang w:val="en-GB"/>
              </w:rPr>
              <w:t>-0.45</w:t>
            </w:r>
          </w:p>
        </w:tc>
        <w:tc>
          <w:tcPr>
            <w:tcW w:w="966" w:type="dxa"/>
            <w:vAlign w:val="bottom"/>
          </w:tcPr>
          <w:p w14:paraId="450231D1" w14:textId="77777777" w:rsidR="00B75F05" w:rsidRPr="008A7487" w:rsidRDefault="00B75F05" w:rsidP="00C21D6F">
            <w:pPr>
              <w:autoSpaceDE w:val="0"/>
              <w:autoSpaceDN w:val="0"/>
              <w:adjustRightInd w:val="0"/>
              <w:ind w:right="10"/>
              <w:rPr>
                <w:rFonts w:ascii="Times New Roman" w:hAnsi="Times New Roman" w:cs="Times New Roman"/>
                <w:color w:val="000000"/>
                <w:sz w:val="16"/>
                <w:szCs w:val="16"/>
                <w:lang w:val="en-GB"/>
              </w:rPr>
            </w:pPr>
            <w:r w:rsidRPr="008A7487">
              <w:rPr>
                <w:rFonts w:ascii="Times New Roman" w:hAnsi="Times New Roman" w:cs="Times New Roman"/>
                <w:color w:val="000000"/>
                <w:sz w:val="16"/>
                <w:szCs w:val="16"/>
                <w:lang w:val="en-GB"/>
              </w:rPr>
              <w:t>-0.01</w:t>
            </w:r>
          </w:p>
        </w:tc>
        <w:tc>
          <w:tcPr>
            <w:tcW w:w="962" w:type="dxa"/>
            <w:vAlign w:val="bottom"/>
          </w:tcPr>
          <w:p w14:paraId="003DE61D" w14:textId="77777777" w:rsidR="00B75F05" w:rsidRPr="008A7487" w:rsidRDefault="00B75F05" w:rsidP="00C21D6F">
            <w:pPr>
              <w:autoSpaceDE w:val="0"/>
              <w:autoSpaceDN w:val="0"/>
              <w:adjustRightInd w:val="0"/>
              <w:ind w:right="10"/>
              <w:rPr>
                <w:rFonts w:ascii="Times New Roman" w:hAnsi="Times New Roman" w:cs="Times New Roman"/>
                <w:color w:val="000000"/>
                <w:sz w:val="16"/>
                <w:szCs w:val="16"/>
                <w:lang w:val="en-GB"/>
              </w:rPr>
            </w:pPr>
            <w:r w:rsidRPr="008A7487">
              <w:rPr>
                <w:rFonts w:ascii="Times New Roman" w:hAnsi="Times New Roman" w:cs="Times New Roman"/>
                <w:color w:val="000000"/>
                <w:sz w:val="16"/>
                <w:szCs w:val="16"/>
                <w:lang w:val="en-GB"/>
              </w:rPr>
              <w:t>-1.95**</w:t>
            </w:r>
          </w:p>
        </w:tc>
      </w:tr>
      <w:tr w:rsidR="00B75F05" w:rsidRPr="008A7487" w14:paraId="36ADAA91" w14:textId="77777777" w:rsidTr="00C21D6F">
        <w:tc>
          <w:tcPr>
            <w:tcW w:w="1174" w:type="dxa"/>
          </w:tcPr>
          <w:p w14:paraId="72E493FD" w14:textId="77777777" w:rsidR="00B75F05" w:rsidRPr="008A7487" w:rsidRDefault="00B75F05" w:rsidP="00C21D6F">
            <w:pPr>
              <w:spacing w:line="480" w:lineRule="auto"/>
              <w:contextualSpacing/>
              <w:rPr>
                <w:rFonts w:ascii="Times New Roman" w:hAnsi="Times New Roman" w:cs="Times New Roman"/>
                <w:sz w:val="16"/>
                <w:szCs w:val="16"/>
              </w:rPr>
            </w:pPr>
            <w:r w:rsidRPr="008A7487">
              <w:rPr>
                <w:rFonts w:ascii="Times New Roman" w:hAnsi="Times New Roman" w:cs="Times New Roman"/>
                <w:sz w:val="16"/>
                <w:szCs w:val="16"/>
              </w:rPr>
              <w:t>LQ</w:t>
            </w:r>
          </w:p>
        </w:tc>
        <w:tc>
          <w:tcPr>
            <w:tcW w:w="973" w:type="dxa"/>
            <w:vAlign w:val="bottom"/>
          </w:tcPr>
          <w:p w14:paraId="460E4353" w14:textId="77777777" w:rsidR="00B75F05" w:rsidRPr="008A7487" w:rsidRDefault="00B75F05" w:rsidP="00C21D6F">
            <w:pPr>
              <w:autoSpaceDE w:val="0"/>
              <w:autoSpaceDN w:val="0"/>
              <w:adjustRightInd w:val="0"/>
              <w:ind w:right="10"/>
              <w:rPr>
                <w:rFonts w:ascii="Times New Roman" w:hAnsi="Times New Roman" w:cs="Times New Roman"/>
                <w:color w:val="000000"/>
                <w:sz w:val="16"/>
                <w:szCs w:val="16"/>
                <w:lang w:val="en-GB"/>
              </w:rPr>
            </w:pPr>
            <w:r w:rsidRPr="008A7487">
              <w:rPr>
                <w:rFonts w:ascii="Times New Roman" w:hAnsi="Times New Roman" w:cs="Times New Roman"/>
                <w:color w:val="000000"/>
                <w:sz w:val="16"/>
                <w:szCs w:val="16"/>
                <w:lang w:val="en-GB"/>
              </w:rPr>
              <w:t>0.06</w:t>
            </w:r>
          </w:p>
        </w:tc>
        <w:tc>
          <w:tcPr>
            <w:tcW w:w="965" w:type="dxa"/>
            <w:vAlign w:val="bottom"/>
          </w:tcPr>
          <w:p w14:paraId="2C39AF14" w14:textId="77777777" w:rsidR="00B75F05" w:rsidRPr="008A7487" w:rsidRDefault="00B75F05" w:rsidP="00C21D6F">
            <w:pPr>
              <w:autoSpaceDE w:val="0"/>
              <w:autoSpaceDN w:val="0"/>
              <w:adjustRightInd w:val="0"/>
              <w:ind w:right="10"/>
              <w:rPr>
                <w:rFonts w:ascii="Times New Roman" w:hAnsi="Times New Roman" w:cs="Times New Roman"/>
                <w:color w:val="000000"/>
                <w:sz w:val="16"/>
                <w:szCs w:val="16"/>
                <w:lang w:val="en-GB"/>
              </w:rPr>
            </w:pPr>
            <w:r w:rsidRPr="008A7487">
              <w:rPr>
                <w:rFonts w:ascii="Times New Roman" w:hAnsi="Times New Roman" w:cs="Times New Roman"/>
                <w:color w:val="000000"/>
                <w:sz w:val="16"/>
                <w:szCs w:val="16"/>
                <w:lang w:val="en-GB"/>
              </w:rPr>
              <w:t>3.84***</w:t>
            </w:r>
          </w:p>
        </w:tc>
        <w:tc>
          <w:tcPr>
            <w:tcW w:w="960" w:type="dxa"/>
            <w:vAlign w:val="bottom"/>
          </w:tcPr>
          <w:p w14:paraId="3BFE69A2" w14:textId="77777777" w:rsidR="00B75F05" w:rsidRPr="008A7487" w:rsidRDefault="00B75F05" w:rsidP="00C21D6F">
            <w:pPr>
              <w:autoSpaceDE w:val="0"/>
              <w:autoSpaceDN w:val="0"/>
              <w:adjustRightInd w:val="0"/>
              <w:ind w:right="10"/>
              <w:rPr>
                <w:rFonts w:ascii="Times New Roman" w:hAnsi="Times New Roman" w:cs="Times New Roman"/>
                <w:color w:val="000000"/>
                <w:sz w:val="16"/>
                <w:szCs w:val="16"/>
                <w:lang w:val="en-GB"/>
              </w:rPr>
            </w:pPr>
            <w:r w:rsidRPr="008A7487">
              <w:rPr>
                <w:rFonts w:ascii="Times New Roman" w:hAnsi="Times New Roman" w:cs="Times New Roman"/>
                <w:color w:val="000000"/>
                <w:sz w:val="16"/>
                <w:szCs w:val="16"/>
                <w:lang w:val="en-GB"/>
              </w:rPr>
              <w:t>-0.01</w:t>
            </w:r>
          </w:p>
        </w:tc>
        <w:tc>
          <w:tcPr>
            <w:tcW w:w="952" w:type="dxa"/>
            <w:vAlign w:val="bottom"/>
          </w:tcPr>
          <w:p w14:paraId="2A273DC0" w14:textId="77777777" w:rsidR="00B75F05" w:rsidRPr="008A7487" w:rsidRDefault="00B75F05" w:rsidP="00C21D6F">
            <w:pPr>
              <w:autoSpaceDE w:val="0"/>
              <w:autoSpaceDN w:val="0"/>
              <w:adjustRightInd w:val="0"/>
              <w:ind w:right="10"/>
              <w:rPr>
                <w:rFonts w:ascii="Times New Roman" w:hAnsi="Times New Roman" w:cs="Times New Roman"/>
                <w:color w:val="000000"/>
                <w:sz w:val="16"/>
                <w:szCs w:val="16"/>
                <w:lang w:val="en-GB"/>
              </w:rPr>
            </w:pPr>
            <w:r w:rsidRPr="008A7487">
              <w:rPr>
                <w:rFonts w:ascii="Times New Roman" w:hAnsi="Times New Roman" w:cs="Times New Roman"/>
                <w:color w:val="000000"/>
                <w:sz w:val="16"/>
                <w:szCs w:val="16"/>
                <w:lang w:val="en-GB"/>
              </w:rPr>
              <w:t>-2.01**</w:t>
            </w:r>
          </w:p>
        </w:tc>
        <w:tc>
          <w:tcPr>
            <w:tcW w:w="966" w:type="dxa"/>
            <w:vAlign w:val="bottom"/>
          </w:tcPr>
          <w:p w14:paraId="3E78B6AE" w14:textId="77777777" w:rsidR="00B75F05" w:rsidRPr="008A7487" w:rsidRDefault="00B75F05" w:rsidP="00C21D6F">
            <w:pPr>
              <w:autoSpaceDE w:val="0"/>
              <w:autoSpaceDN w:val="0"/>
              <w:adjustRightInd w:val="0"/>
              <w:ind w:right="10"/>
              <w:rPr>
                <w:rFonts w:ascii="Times New Roman" w:hAnsi="Times New Roman" w:cs="Times New Roman"/>
                <w:color w:val="000000"/>
                <w:sz w:val="16"/>
                <w:szCs w:val="16"/>
                <w:lang w:val="en-GB"/>
              </w:rPr>
            </w:pPr>
            <w:r w:rsidRPr="008A7487">
              <w:rPr>
                <w:rFonts w:ascii="Times New Roman" w:hAnsi="Times New Roman" w:cs="Times New Roman"/>
                <w:color w:val="000000"/>
                <w:sz w:val="16"/>
                <w:szCs w:val="16"/>
                <w:lang w:val="en-GB"/>
              </w:rPr>
              <w:t>-0.01</w:t>
            </w:r>
          </w:p>
        </w:tc>
        <w:tc>
          <w:tcPr>
            <w:tcW w:w="962" w:type="dxa"/>
            <w:vAlign w:val="bottom"/>
          </w:tcPr>
          <w:p w14:paraId="38051970" w14:textId="77777777" w:rsidR="00B75F05" w:rsidRPr="008A7487" w:rsidRDefault="00B75F05" w:rsidP="00C21D6F">
            <w:pPr>
              <w:autoSpaceDE w:val="0"/>
              <w:autoSpaceDN w:val="0"/>
              <w:adjustRightInd w:val="0"/>
              <w:ind w:right="10"/>
              <w:rPr>
                <w:rFonts w:ascii="Times New Roman" w:hAnsi="Times New Roman" w:cs="Times New Roman"/>
                <w:color w:val="000000"/>
                <w:sz w:val="16"/>
                <w:szCs w:val="16"/>
                <w:lang w:val="en-GB"/>
              </w:rPr>
            </w:pPr>
            <w:r w:rsidRPr="008A7487">
              <w:rPr>
                <w:rFonts w:ascii="Times New Roman" w:hAnsi="Times New Roman" w:cs="Times New Roman"/>
                <w:color w:val="000000"/>
                <w:sz w:val="16"/>
                <w:szCs w:val="16"/>
                <w:lang w:val="en-GB"/>
              </w:rPr>
              <w:t>-0.81</w:t>
            </w:r>
          </w:p>
        </w:tc>
      </w:tr>
      <w:tr w:rsidR="00B75F05" w:rsidRPr="008A7487" w14:paraId="1AE56DB6" w14:textId="77777777" w:rsidTr="00C21D6F">
        <w:tc>
          <w:tcPr>
            <w:tcW w:w="1174" w:type="dxa"/>
          </w:tcPr>
          <w:p w14:paraId="3F753E17" w14:textId="77777777" w:rsidR="00B75F05" w:rsidRPr="008A7487" w:rsidRDefault="00B75F05" w:rsidP="00C21D6F">
            <w:pPr>
              <w:spacing w:line="480" w:lineRule="auto"/>
              <w:contextualSpacing/>
              <w:rPr>
                <w:rFonts w:ascii="Times New Roman" w:hAnsi="Times New Roman" w:cs="Times New Roman"/>
                <w:sz w:val="16"/>
                <w:szCs w:val="16"/>
              </w:rPr>
            </w:pPr>
            <w:r w:rsidRPr="008A7487">
              <w:rPr>
                <w:rFonts w:ascii="Times New Roman" w:hAnsi="Times New Roman" w:cs="Times New Roman"/>
                <w:sz w:val="16"/>
                <w:szCs w:val="16"/>
              </w:rPr>
              <w:t>MP</w:t>
            </w:r>
          </w:p>
        </w:tc>
        <w:tc>
          <w:tcPr>
            <w:tcW w:w="973" w:type="dxa"/>
            <w:vAlign w:val="bottom"/>
          </w:tcPr>
          <w:p w14:paraId="0FDBC1CA" w14:textId="77777777" w:rsidR="00B75F05" w:rsidRPr="008A7487" w:rsidRDefault="00B75F05" w:rsidP="00C21D6F">
            <w:pPr>
              <w:autoSpaceDE w:val="0"/>
              <w:autoSpaceDN w:val="0"/>
              <w:adjustRightInd w:val="0"/>
              <w:ind w:right="10"/>
              <w:rPr>
                <w:rFonts w:ascii="Times New Roman" w:hAnsi="Times New Roman" w:cs="Times New Roman"/>
                <w:color w:val="000000"/>
                <w:sz w:val="16"/>
                <w:szCs w:val="16"/>
                <w:lang w:val="en-GB"/>
              </w:rPr>
            </w:pPr>
            <w:r w:rsidRPr="008A7487">
              <w:rPr>
                <w:rFonts w:ascii="Times New Roman" w:hAnsi="Times New Roman" w:cs="Times New Roman"/>
                <w:color w:val="000000"/>
                <w:sz w:val="16"/>
                <w:szCs w:val="16"/>
                <w:lang w:val="en-GB"/>
              </w:rPr>
              <w:t>0.01</w:t>
            </w:r>
          </w:p>
        </w:tc>
        <w:tc>
          <w:tcPr>
            <w:tcW w:w="965" w:type="dxa"/>
            <w:vAlign w:val="bottom"/>
          </w:tcPr>
          <w:p w14:paraId="7CA61628" w14:textId="77777777" w:rsidR="00B75F05" w:rsidRPr="008A7487" w:rsidRDefault="00B75F05" w:rsidP="00C21D6F">
            <w:pPr>
              <w:autoSpaceDE w:val="0"/>
              <w:autoSpaceDN w:val="0"/>
              <w:adjustRightInd w:val="0"/>
              <w:ind w:right="10"/>
              <w:rPr>
                <w:rFonts w:ascii="Times New Roman" w:hAnsi="Times New Roman" w:cs="Times New Roman"/>
                <w:color w:val="000000"/>
                <w:sz w:val="16"/>
                <w:szCs w:val="16"/>
                <w:lang w:val="en-GB"/>
              </w:rPr>
            </w:pPr>
            <w:r w:rsidRPr="008A7487">
              <w:rPr>
                <w:rFonts w:ascii="Times New Roman" w:hAnsi="Times New Roman" w:cs="Times New Roman"/>
                <w:color w:val="000000"/>
                <w:sz w:val="16"/>
                <w:szCs w:val="16"/>
                <w:lang w:val="en-GB"/>
              </w:rPr>
              <w:t>0.67</w:t>
            </w:r>
          </w:p>
        </w:tc>
        <w:tc>
          <w:tcPr>
            <w:tcW w:w="960" w:type="dxa"/>
            <w:vAlign w:val="bottom"/>
          </w:tcPr>
          <w:p w14:paraId="0AACEA14" w14:textId="77777777" w:rsidR="00B75F05" w:rsidRPr="008A7487" w:rsidRDefault="00B75F05" w:rsidP="00C21D6F">
            <w:pPr>
              <w:autoSpaceDE w:val="0"/>
              <w:autoSpaceDN w:val="0"/>
              <w:adjustRightInd w:val="0"/>
              <w:ind w:right="10"/>
              <w:rPr>
                <w:rFonts w:ascii="Times New Roman" w:hAnsi="Times New Roman" w:cs="Times New Roman"/>
                <w:color w:val="000000"/>
                <w:sz w:val="16"/>
                <w:szCs w:val="16"/>
                <w:lang w:val="en-GB"/>
              </w:rPr>
            </w:pPr>
            <w:r w:rsidRPr="008A7487">
              <w:rPr>
                <w:rFonts w:ascii="Times New Roman" w:hAnsi="Times New Roman" w:cs="Times New Roman"/>
                <w:color w:val="000000"/>
                <w:sz w:val="16"/>
                <w:szCs w:val="16"/>
                <w:lang w:val="en-GB"/>
              </w:rPr>
              <w:t>0.08</w:t>
            </w:r>
          </w:p>
        </w:tc>
        <w:tc>
          <w:tcPr>
            <w:tcW w:w="952" w:type="dxa"/>
            <w:vAlign w:val="bottom"/>
          </w:tcPr>
          <w:p w14:paraId="269CCA53" w14:textId="77777777" w:rsidR="00B75F05" w:rsidRPr="008A7487" w:rsidRDefault="00B75F05" w:rsidP="00C21D6F">
            <w:pPr>
              <w:autoSpaceDE w:val="0"/>
              <w:autoSpaceDN w:val="0"/>
              <w:adjustRightInd w:val="0"/>
              <w:ind w:right="10"/>
              <w:rPr>
                <w:rFonts w:ascii="Times New Roman" w:hAnsi="Times New Roman" w:cs="Times New Roman"/>
                <w:color w:val="000000"/>
                <w:sz w:val="16"/>
                <w:szCs w:val="16"/>
                <w:lang w:val="en-GB"/>
              </w:rPr>
            </w:pPr>
            <w:r w:rsidRPr="008A7487">
              <w:rPr>
                <w:rFonts w:ascii="Times New Roman" w:hAnsi="Times New Roman" w:cs="Times New Roman"/>
                <w:color w:val="000000"/>
                <w:sz w:val="16"/>
                <w:szCs w:val="16"/>
                <w:lang w:val="en-GB"/>
              </w:rPr>
              <w:t>0.004</w:t>
            </w:r>
          </w:p>
        </w:tc>
        <w:tc>
          <w:tcPr>
            <w:tcW w:w="966" w:type="dxa"/>
            <w:vAlign w:val="bottom"/>
          </w:tcPr>
          <w:p w14:paraId="680A8973" w14:textId="77777777" w:rsidR="00B75F05" w:rsidRPr="008A7487" w:rsidRDefault="00B75F05" w:rsidP="00C21D6F">
            <w:pPr>
              <w:autoSpaceDE w:val="0"/>
              <w:autoSpaceDN w:val="0"/>
              <w:adjustRightInd w:val="0"/>
              <w:ind w:right="10"/>
              <w:rPr>
                <w:rFonts w:ascii="Times New Roman" w:hAnsi="Times New Roman" w:cs="Times New Roman"/>
                <w:color w:val="000000"/>
                <w:sz w:val="16"/>
                <w:szCs w:val="16"/>
                <w:lang w:val="en-GB"/>
              </w:rPr>
            </w:pPr>
            <w:r w:rsidRPr="008A7487">
              <w:rPr>
                <w:rFonts w:ascii="Times New Roman" w:hAnsi="Times New Roman" w:cs="Times New Roman"/>
                <w:color w:val="000000"/>
                <w:sz w:val="16"/>
                <w:szCs w:val="16"/>
                <w:lang w:val="en-GB"/>
              </w:rPr>
              <w:t>1.82</w:t>
            </w:r>
          </w:p>
        </w:tc>
        <w:tc>
          <w:tcPr>
            <w:tcW w:w="962" w:type="dxa"/>
            <w:vAlign w:val="bottom"/>
          </w:tcPr>
          <w:p w14:paraId="7747DC90" w14:textId="77777777" w:rsidR="00B75F05" w:rsidRPr="008A7487" w:rsidRDefault="00B75F05" w:rsidP="00C21D6F">
            <w:pPr>
              <w:autoSpaceDE w:val="0"/>
              <w:autoSpaceDN w:val="0"/>
              <w:adjustRightInd w:val="0"/>
              <w:ind w:right="10"/>
              <w:rPr>
                <w:rFonts w:ascii="Times New Roman" w:hAnsi="Times New Roman" w:cs="Times New Roman"/>
                <w:color w:val="000000"/>
                <w:sz w:val="16"/>
                <w:szCs w:val="16"/>
                <w:lang w:val="en-GB"/>
              </w:rPr>
            </w:pPr>
            <w:r w:rsidRPr="008A7487">
              <w:rPr>
                <w:rFonts w:ascii="Times New Roman" w:hAnsi="Times New Roman" w:cs="Times New Roman"/>
                <w:color w:val="000000"/>
                <w:sz w:val="16"/>
                <w:szCs w:val="16"/>
                <w:lang w:val="en-GB"/>
              </w:rPr>
              <w:t>2.82***</w:t>
            </w:r>
          </w:p>
        </w:tc>
      </w:tr>
      <w:tr w:rsidR="00B75F05" w:rsidRPr="008A7487" w14:paraId="546B2DFF" w14:textId="77777777" w:rsidTr="00C21D6F">
        <w:tc>
          <w:tcPr>
            <w:tcW w:w="1174" w:type="dxa"/>
          </w:tcPr>
          <w:p w14:paraId="6EAE9A15" w14:textId="77777777" w:rsidR="00B75F05" w:rsidRPr="008A7487" w:rsidRDefault="00B75F05" w:rsidP="00C21D6F">
            <w:pPr>
              <w:spacing w:line="480" w:lineRule="auto"/>
              <w:contextualSpacing/>
              <w:rPr>
                <w:rFonts w:ascii="Times New Roman" w:hAnsi="Times New Roman" w:cs="Times New Roman"/>
                <w:sz w:val="16"/>
                <w:szCs w:val="16"/>
              </w:rPr>
            </w:pPr>
            <w:r w:rsidRPr="008A7487">
              <w:rPr>
                <w:rFonts w:ascii="Times New Roman" w:hAnsi="Times New Roman" w:cs="Times New Roman"/>
                <w:sz w:val="16"/>
                <w:szCs w:val="16"/>
              </w:rPr>
              <w:t>ΔGDP</w:t>
            </w:r>
          </w:p>
        </w:tc>
        <w:tc>
          <w:tcPr>
            <w:tcW w:w="973" w:type="dxa"/>
            <w:vAlign w:val="bottom"/>
          </w:tcPr>
          <w:p w14:paraId="3B5A15F5" w14:textId="77777777" w:rsidR="00B75F05" w:rsidRPr="008A7487" w:rsidRDefault="00B75F05" w:rsidP="00C21D6F">
            <w:pPr>
              <w:autoSpaceDE w:val="0"/>
              <w:autoSpaceDN w:val="0"/>
              <w:adjustRightInd w:val="0"/>
              <w:ind w:right="10"/>
              <w:rPr>
                <w:rFonts w:ascii="Times New Roman" w:hAnsi="Times New Roman" w:cs="Times New Roman"/>
                <w:color w:val="000000"/>
                <w:sz w:val="16"/>
                <w:szCs w:val="16"/>
                <w:lang w:val="en-GB"/>
              </w:rPr>
            </w:pPr>
            <w:r w:rsidRPr="008A7487">
              <w:rPr>
                <w:rFonts w:ascii="Times New Roman" w:hAnsi="Times New Roman" w:cs="Times New Roman"/>
                <w:color w:val="000000"/>
                <w:sz w:val="16"/>
                <w:szCs w:val="16"/>
                <w:lang w:val="en-GB"/>
              </w:rPr>
              <w:t>2.02</w:t>
            </w:r>
          </w:p>
        </w:tc>
        <w:tc>
          <w:tcPr>
            <w:tcW w:w="965" w:type="dxa"/>
            <w:vAlign w:val="bottom"/>
          </w:tcPr>
          <w:p w14:paraId="0A093B70" w14:textId="77777777" w:rsidR="00B75F05" w:rsidRPr="008A7487" w:rsidRDefault="00B75F05" w:rsidP="00C21D6F">
            <w:pPr>
              <w:autoSpaceDE w:val="0"/>
              <w:autoSpaceDN w:val="0"/>
              <w:adjustRightInd w:val="0"/>
              <w:ind w:right="10"/>
              <w:rPr>
                <w:rFonts w:ascii="Times New Roman" w:hAnsi="Times New Roman" w:cs="Times New Roman"/>
                <w:color w:val="000000"/>
                <w:sz w:val="16"/>
                <w:szCs w:val="16"/>
                <w:lang w:val="en-GB"/>
              </w:rPr>
            </w:pPr>
            <w:r w:rsidRPr="008A7487">
              <w:rPr>
                <w:rFonts w:ascii="Times New Roman" w:hAnsi="Times New Roman" w:cs="Times New Roman"/>
                <w:color w:val="000000"/>
                <w:sz w:val="16"/>
                <w:szCs w:val="16"/>
                <w:lang w:val="en-GB"/>
              </w:rPr>
              <w:t>2.58***</w:t>
            </w:r>
          </w:p>
        </w:tc>
        <w:tc>
          <w:tcPr>
            <w:tcW w:w="960" w:type="dxa"/>
            <w:vAlign w:val="bottom"/>
          </w:tcPr>
          <w:p w14:paraId="1F39EC97" w14:textId="77777777" w:rsidR="00B75F05" w:rsidRPr="008A7487" w:rsidRDefault="00B75F05" w:rsidP="00C21D6F">
            <w:pPr>
              <w:autoSpaceDE w:val="0"/>
              <w:autoSpaceDN w:val="0"/>
              <w:adjustRightInd w:val="0"/>
              <w:ind w:right="10"/>
              <w:rPr>
                <w:rFonts w:ascii="Times New Roman" w:hAnsi="Times New Roman" w:cs="Times New Roman"/>
                <w:color w:val="000000"/>
                <w:sz w:val="16"/>
                <w:szCs w:val="16"/>
                <w:lang w:val="en-GB"/>
              </w:rPr>
            </w:pPr>
            <w:r w:rsidRPr="008A7487">
              <w:rPr>
                <w:rFonts w:ascii="Times New Roman" w:hAnsi="Times New Roman" w:cs="Times New Roman"/>
                <w:color w:val="000000"/>
                <w:sz w:val="16"/>
                <w:szCs w:val="16"/>
                <w:lang w:val="en-GB"/>
              </w:rPr>
              <w:t>0.69</w:t>
            </w:r>
          </w:p>
        </w:tc>
        <w:tc>
          <w:tcPr>
            <w:tcW w:w="952" w:type="dxa"/>
            <w:vAlign w:val="bottom"/>
          </w:tcPr>
          <w:p w14:paraId="0C36197A" w14:textId="77777777" w:rsidR="00B75F05" w:rsidRPr="008A7487" w:rsidRDefault="00B75F05" w:rsidP="00C21D6F">
            <w:pPr>
              <w:autoSpaceDE w:val="0"/>
              <w:autoSpaceDN w:val="0"/>
              <w:adjustRightInd w:val="0"/>
              <w:ind w:right="10"/>
              <w:rPr>
                <w:rFonts w:ascii="Times New Roman" w:hAnsi="Times New Roman" w:cs="Times New Roman"/>
                <w:color w:val="000000"/>
                <w:sz w:val="16"/>
                <w:szCs w:val="16"/>
                <w:lang w:val="en-GB"/>
              </w:rPr>
            </w:pPr>
            <w:r w:rsidRPr="008A7487">
              <w:rPr>
                <w:rFonts w:ascii="Times New Roman" w:hAnsi="Times New Roman" w:cs="Times New Roman"/>
                <w:color w:val="000000"/>
                <w:sz w:val="16"/>
                <w:szCs w:val="16"/>
                <w:lang w:val="en-GB"/>
              </w:rPr>
              <w:t>1.98**</w:t>
            </w:r>
          </w:p>
        </w:tc>
        <w:tc>
          <w:tcPr>
            <w:tcW w:w="966" w:type="dxa"/>
            <w:vAlign w:val="bottom"/>
          </w:tcPr>
          <w:p w14:paraId="127C0EC7" w14:textId="77777777" w:rsidR="00B75F05" w:rsidRPr="008A7487" w:rsidRDefault="00B75F05" w:rsidP="00C21D6F">
            <w:pPr>
              <w:autoSpaceDE w:val="0"/>
              <w:autoSpaceDN w:val="0"/>
              <w:adjustRightInd w:val="0"/>
              <w:ind w:right="10"/>
              <w:rPr>
                <w:rFonts w:ascii="Times New Roman" w:hAnsi="Times New Roman" w:cs="Times New Roman"/>
                <w:color w:val="000000"/>
                <w:sz w:val="16"/>
                <w:szCs w:val="16"/>
                <w:lang w:val="en-GB"/>
              </w:rPr>
            </w:pPr>
            <w:r w:rsidRPr="008A7487">
              <w:rPr>
                <w:rFonts w:ascii="Times New Roman" w:hAnsi="Times New Roman" w:cs="Times New Roman"/>
                <w:color w:val="000000"/>
                <w:sz w:val="16"/>
                <w:szCs w:val="16"/>
                <w:lang w:val="en-GB"/>
              </w:rPr>
              <w:t>0.27</w:t>
            </w:r>
          </w:p>
        </w:tc>
        <w:tc>
          <w:tcPr>
            <w:tcW w:w="962" w:type="dxa"/>
            <w:vAlign w:val="bottom"/>
          </w:tcPr>
          <w:p w14:paraId="3C4F9746" w14:textId="77777777" w:rsidR="00B75F05" w:rsidRPr="008A7487" w:rsidRDefault="00B75F05" w:rsidP="00C21D6F">
            <w:pPr>
              <w:autoSpaceDE w:val="0"/>
              <w:autoSpaceDN w:val="0"/>
              <w:adjustRightInd w:val="0"/>
              <w:ind w:right="10"/>
              <w:rPr>
                <w:rFonts w:ascii="Times New Roman" w:hAnsi="Times New Roman" w:cs="Times New Roman"/>
                <w:color w:val="000000"/>
                <w:sz w:val="16"/>
                <w:szCs w:val="16"/>
                <w:lang w:val="en-GB"/>
              </w:rPr>
            </w:pPr>
            <w:r w:rsidRPr="008A7487">
              <w:rPr>
                <w:rFonts w:ascii="Times New Roman" w:hAnsi="Times New Roman" w:cs="Times New Roman"/>
                <w:color w:val="000000"/>
                <w:sz w:val="16"/>
                <w:szCs w:val="16"/>
                <w:lang w:val="en-GB"/>
              </w:rPr>
              <w:t>1.16</w:t>
            </w:r>
          </w:p>
        </w:tc>
      </w:tr>
      <w:tr w:rsidR="00B75F05" w:rsidRPr="008A7487" w14:paraId="602D6F57" w14:textId="77777777" w:rsidTr="00C21D6F">
        <w:tc>
          <w:tcPr>
            <w:tcW w:w="1174" w:type="dxa"/>
          </w:tcPr>
          <w:p w14:paraId="2ED07A1C" w14:textId="77777777" w:rsidR="00B75F05" w:rsidRPr="008A7487" w:rsidRDefault="00B75F05" w:rsidP="00C21D6F">
            <w:pPr>
              <w:spacing w:line="480" w:lineRule="auto"/>
              <w:contextualSpacing/>
              <w:rPr>
                <w:rFonts w:ascii="Times New Roman" w:hAnsi="Times New Roman" w:cs="Times New Roman"/>
                <w:sz w:val="16"/>
                <w:szCs w:val="16"/>
              </w:rPr>
            </w:pPr>
            <w:r w:rsidRPr="008A7487">
              <w:rPr>
                <w:rFonts w:ascii="Times New Roman" w:hAnsi="Times New Roman" w:cs="Times New Roman"/>
                <w:sz w:val="16"/>
                <w:szCs w:val="16"/>
              </w:rPr>
              <w:t>INF</w:t>
            </w:r>
          </w:p>
        </w:tc>
        <w:tc>
          <w:tcPr>
            <w:tcW w:w="973" w:type="dxa"/>
            <w:vAlign w:val="bottom"/>
          </w:tcPr>
          <w:p w14:paraId="0EE96249" w14:textId="77777777" w:rsidR="00B75F05" w:rsidRPr="008A7487" w:rsidRDefault="00B75F05" w:rsidP="00C21D6F">
            <w:pPr>
              <w:autoSpaceDE w:val="0"/>
              <w:autoSpaceDN w:val="0"/>
              <w:adjustRightInd w:val="0"/>
              <w:ind w:right="10"/>
              <w:rPr>
                <w:rFonts w:ascii="Times New Roman" w:hAnsi="Times New Roman" w:cs="Times New Roman"/>
                <w:color w:val="000000"/>
                <w:sz w:val="16"/>
                <w:szCs w:val="16"/>
                <w:lang w:val="en-GB"/>
              </w:rPr>
            </w:pPr>
            <w:r w:rsidRPr="008A7487">
              <w:rPr>
                <w:rFonts w:ascii="Times New Roman" w:hAnsi="Times New Roman" w:cs="Times New Roman"/>
                <w:color w:val="000000"/>
                <w:sz w:val="16"/>
                <w:szCs w:val="16"/>
                <w:lang w:val="en-GB"/>
              </w:rPr>
              <w:t>-0.04</w:t>
            </w:r>
          </w:p>
        </w:tc>
        <w:tc>
          <w:tcPr>
            <w:tcW w:w="965" w:type="dxa"/>
            <w:vAlign w:val="bottom"/>
          </w:tcPr>
          <w:p w14:paraId="2A6C4364" w14:textId="77777777" w:rsidR="00B75F05" w:rsidRPr="008A7487" w:rsidRDefault="00B75F05" w:rsidP="00C21D6F">
            <w:pPr>
              <w:autoSpaceDE w:val="0"/>
              <w:autoSpaceDN w:val="0"/>
              <w:adjustRightInd w:val="0"/>
              <w:ind w:right="10"/>
              <w:rPr>
                <w:rFonts w:ascii="Times New Roman" w:hAnsi="Times New Roman" w:cs="Times New Roman"/>
                <w:color w:val="000000"/>
                <w:sz w:val="16"/>
                <w:szCs w:val="16"/>
                <w:lang w:val="en-GB"/>
              </w:rPr>
            </w:pPr>
            <w:r w:rsidRPr="008A7487">
              <w:rPr>
                <w:rFonts w:ascii="Times New Roman" w:hAnsi="Times New Roman" w:cs="Times New Roman"/>
                <w:color w:val="000000"/>
                <w:sz w:val="16"/>
                <w:szCs w:val="16"/>
                <w:lang w:val="en-GB"/>
              </w:rPr>
              <w:t>-0.52</w:t>
            </w:r>
          </w:p>
        </w:tc>
        <w:tc>
          <w:tcPr>
            <w:tcW w:w="960" w:type="dxa"/>
            <w:vAlign w:val="bottom"/>
          </w:tcPr>
          <w:p w14:paraId="16622800" w14:textId="77777777" w:rsidR="00B75F05" w:rsidRPr="008A7487" w:rsidRDefault="00B75F05" w:rsidP="00C21D6F">
            <w:pPr>
              <w:autoSpaceDE w:val="0"/>
              <w:autoSpaceDN w:val="0"/>
              <w:adjustRightInd w:val="0"/>
              <w:ind w:right="10"/>
              <w:rPr>
                <w:rFonts w:ascii="Times New Roman" w:hAnsi="Times New Roman" w:cs="Times New Roman"/>
                <w:color w:val="000000"/>
                <w:sz w:val="16"/>
                <w:szCs w:val="16"/>
                <w:lang w:val="en-GB"/>
              </w:rPr>
            </w:pPr>
            <w:r w:rsidRPr="008A7487">
              <w:rPr>
                <w:rFonts w:ascii="Times New Roman" w:hAnsi="Times New Roman" w:cs="Times New Roman"/>
                <w:color w:val="000000"/>
                <w:sz w:val="16"/>
                <w:szCs w:val="16"/>
                <w:lang w:val="en-GB"/>
              </w:rPr>
              <w:t>0.15</w:t>
            </w:r>
          </w:p>
        </w:tc>
        <w:tc>
          <w:tcPr>
            <w:tcW w:w="952" w:type="dxa"/>
            <w:vAlign w:val="bottom"/>
          </w:tcPr>
          <w:p w14:paraId="4EA54537" w14:textId="77777777" w:rsidR="00B75F05" w:rsidRPr="008A7487" w:rsidRDefault="00B75F05" w:rsidP="00C21D6F">
            <w:pPr>
              <w:autoSpaceDE w:val="0"/>
              <w:autoSpaceDN w:val="0"/>
              <w:adjustRightInd w:val="0"/>
              <w:ind w:right="10"/>
              <w:rPr>
                <w:rFonts w:ascii="Times New Roman" w:hAnsi="Times New Roman" w:cs="Times New Roman"/>
                <w:color w:val="000000"/>
                <w:sz w:val="16"/>
                <w:szCs w:val="16"/>
                <w:lang w:val="en-GB"/>
              </w:rPr>
            </w:pPr>
            <w:r w:rsidRPr="008A7487">
              <w:rPr>
                <w:rFonts w:ascii="Times New Roman" w:hAnsi="Times New Roman" w:cs="Times New Roman"/>
                <w:color w:val="000000"/>
                <w:sz w:val="16"/>
                <w:szCs w:val="16"/>
                <w:lang w:val="en-GB"/>
              </w:rPr>
              <w:t>4.62***</w:t>
            </w:r>
          </w:p>
        </w:tc>
        <w:tc>
          <w:tcPr>
            <w:tcW w:w="966" w:type="dxa"/>
            <w:vAlign w:val="bottom"/>
          </w:tcPr>
          <w:p w14:paraId="355D382E" w14:textId="77777777" w:rsidR="00B75F05" w:rsidRPr="008A7487" w:rsidRDefault="00B75F05" w:rsidP="00C21D6F">
            <w:pPr>
              <w:autoSpaceDE w:val="0"/>
              <w:autoSpaceDN w:val="0"/>
              <w:adjustRightInd w:val="0"/>
              <w:ind w:right="10"/>
              <w:rPr>
                <w:rFonts w:ascii="Times New Roman" w:hAnsi="Times New Roman" w:cs="Times New Roman"/>
                <w:color w:val="000000"/>
                <w:sz w:val="16"/>
                <w:szCs w:val="16"/>
                <w:lang w:val="en-GB"/>
              </w:rPr>
            </w:pPr>
            <w:r w:rsidRPr="008A7487">
              <w:rPr>
                <w:rFonts w:ascii="Times New Roman" w:hAnsi="Times New Roman" w:cs="Times New Roman"/>
                <w:color w:val="000000"/>
                <w:sz w:val="16"/>
                <w:szCs w:val="16"/>
                <w:lang w:val="en-GB"/>
              </w:rPr>
              <w:t>0.20</w:t>
            </w:r>
          </w:p>
        </w:tc>
        <w:tc>
          <w:tcPr>
            <w:tcW w:w="962" w:type="dxa"/>
            <w:vAlign w:val="bottom"/>
          </w:tcPr>
          <w:p w14:paraId="54411773" w14:textId="77777777" w:rsidR="00B75F05" w:rsidRPr="008A7487" w:rsidRDefault="00B75F05" w:rsidP="00C21D6F">
            <w:pPr>
              <w:autoSpaceDE w:val="0"/>
              <w:autoSpaceDN w:val="0"/>
              <w:adjustRightInd w:val="0"/>
              <w:ind w:right="10"/>
              <w:rPr>
                <w:rFonts w:ascii="Times New Roman" w:hAnsi="Times New Roman" w:cs="Times New Roman"/>
                <w:color w:val="000000"/>
                <w:sz w:val="16"/>
                <w:szCs w:val="16"/>
                <w:lang w:val="en-GB"/>
              </w:rPr>
            </w:pPr>
            <w:r w:rsidRPr="008A7487">
              <w:rPr>
                <w:rFonts w:ascii="Times New Roman" w:hAnsi="Times New Roman" w:cs="Times New Roman"/>
                <w:color w:val="000000"/>
                <w:sz w:val="16"/>
                <w:szCs w:val="16"/>
                <w:lang w:val="en-GB"/>
              </w:rPr>
              <w:t>4.75***</w:t>
            </w:r>
          </w:p>
        </w:tc>
      </w:tr>
      <w:tr w:rsidR="00B75F05" w:rsidRPr="008A7487" w14:paraId="6C66A53A" w14:textId="77777777" w:rsidTr="00C21D6F">
        <w:tc>
          <w:tcPr>
            <w:tcW w:w="1174" w:type="dxa"/>
          </w:tcPr>
          <w:p w14:paraId="4A155145" w14:textId="77777777" w:rsidR="00B75F05" w:rsidRPr="008A7487" w:rsidRDefault="00B75F05" w:rsidP="00C21D6F">
            <w:pPr>
              <w:spacing w:line="480" w:lineRule="auto"/>
              <w:contextualSpacing/>
              <w:rPr>
                <w:rFonts w:ascii="Times New Roman" w:hAnsi="Times New Roman" w:cs="Times New Roman"/>
                <w:sz w:val="16"/>
                <w:szCs w:val="16"/>
              </w:rPr>
            </w:pPr>
            <w:r w:rsidRPr="008A7487">
              <w:rPr>
                <w:rFonts w:ascii="Times New Roman" w:hAnsi="Times New Roman" w:cs="Times New Roman"/>
                <w:sz w:val="16"/>
                <w:szCs w:val="16"/>
              </w:rPr>
              <w:t>Cont</w:t>
            </w:r>
          </w:p>
        </w:tc>
        <w:tc>
          <w:tcPr>
            <w:tcW w:w="973" w:type="dxa"/>
          </w:tcPr>
          <w:p w14:paraId="2EDB96CA" w14:textId="77777777" w:rsidR="00B75F05" w:rsidRPr="008A7487" w:rsidRDefault="00B75F05" w:rsidP="00C21D6F">
            <w:pPr>
              <w:contextualSpacing/>
              <w:rPr>
                <w:rFonts w:ascii="Times New Roman" w:hAnsi="Times New Roman" w:cs="Times New Roman"/>
                <w:b/>
                <w:sz w:val="16"/>
                <w:szCs w:val="16"/>
              </w:rPr>
            </w:pPr>
            <w:r w:rsidRPr="008A7487">
              <w:rPr>
                <w:rFonts w:ascii="Times New Roman" w:hAnsi="Times New Roman" w:cs="Times New Roman"/>
                <w:b/>
                <w:sz w:val="16"/>
                <w:szCs w:val="16"/>
              </w:rPr>
              <w:t>-3.98</w:t>
            </w:r>
          </w:p>
        </w:tc>
        <w:tc>
          <w:tcPr>
            <w:tcW w:w="965" w:type="dxa"/>
          </w:tcPr>
          <w:p w14:paraId="39348B3D" w14:textId="77777777" w:rsidR="00B75F05" w:rsidRPr="008A7487" w:rsidRDefault="00B75F05" w:rsidP="00C21D6F">
            <w:pPr>
              <w:contextualSpacing/>
              <w:rPr>
                <w:rFonts w:ascii="Times New Roman" w:hAnsi="Times New Roman" w:cs="Times New Roman"/>
                <w:b/>
                <w:sz w:val="16"/>
                <w:szCs w:val="16"/>
              </w:rPr>
            </w:pPr>
            <w:r w:rsidRPr="008A7487">
              <w:rPr>
                <w:rFonts w:ascii="Times New Roman" w:hAnsi="Times New Roman" w:cs="Times New Roman"/>
                <w:b/>
                <w:sz w:val="16"/>
                <w:szCs w:val="16"/>
              </w:rPr>
              <w:t>-1.33</w:t>
            </w:r>
          </w:p>
        </w:tc>
        <w:tc>
          <w:tcPr>
            <w:tcW w:w="960" w:type="dxa"/>
          </w:tcPr>
          <w:p w14:paraId="2FCE846B" w14:textId="77777777" w:rsidR="00B75F05" w:rsidRPr="008A7487" w:rsidRDefault="00B75F05" w:rsidP="00C21D6F">
            <w:pPr>
              <w:contextualSpacing/>
              <w:rPr>
                <w:rFonts w:ascii="Times New Roman" w:hAnsi="Times New Roman" w:cs="Times New Roman"/>
                <w:b/>
                <w:sz w:val="16"/>
                <w:szCs w:val="16"/>
              </w:rPr>
            </w:pPr>
            <w:r w:rsidRPr="008A7487">
              <w:rPr>
                <w:rFonts w:ascii="Times New Roman" w:hAnsi="Times New Roman" w:cs="Times New Roman"/>
                <w:b/>
                <w:sz w:val="16"/>
                <w:szCs w:val="16"/>
              </w:rPr>
              <w:t>-0.42</w:t>
            </w:r>
          </w:p>
        </w:tc>
        <w:tc>
          <w:tcPr>
            <w:tcW w:w="952" w:type="dxa"/>
          </w:tcPr>
          <w:p w14:paraId="20BACDDF" w14:textId="77777777" w:rsidR="00B75F05" w:rsidRPr="008A7487" w:rsidRDefault="00B75F05" w:rsidP="00C21D6F">
            <w:pPr>
              <w:contextualSpacing/>
              <w:rPr>
                <w:rFonts w:ascii="Times New Roman" w:hAnsi="Times New Roman" w:cs="Times New Roman"/>
                <w:b/>
                <w:sz w:val="16"/>
                <w:szCs w:val="16"/>
              </w:rPr>
            </w:pPr>
            <w:r w:rsidRPr="008A7487">
              <w:rPr>
                <w:rFonts w:ascii="Times New Roman" w:hAnsi="Times New Roman" w:cs="Times New Roman"/>
                <w:b/>
                <w:sz w:val="16"/>
                <w:szCs w:val="16"/>
              </w:rPr>
              <w:t>-0.42</w:t>
            </w:r>
          </w:p>
        </w:tc>
        <w:tc>
          <w:tcPr>
            <w:tcW w:w="966" w:type="dxa"/>
          </w:tcPr>
          <w:p w14:paraId="3978A50D" w14:textId="77777777" w:rsidR="00B75F05" w:rsidRPr="008A7487" w:rsidRDefault="00B75F05" w:rsidP="00C21D6F">
            <w:pPr>
              <w:contextualSpacing/>
              <w:rPr>
                <w:rFonts w:ascii="Times New Roman" w:hAnsi="Times New Roman" w:cs="Times New Roman"/>
                <w:b/>
                <w:sz w:val="16"/>
                <w:szCs w:val="16"/>
              </w:rPr>
            </w:pPr>
            <w:r w:rsidRPr="008A7487">
              <w:rPr>
                <w:rFonts w:ascii="Times New Roman" w:hAnsi="Times New Roman" w:cs="Times New Roman"/>
                <w:b/>
                <w:sz w:val="16"/>
                <w:szCs w:val="16"/>
              </w:rPr>
              <w:t>-3.23</w:t>
            </w:r>
          </w:p>
        </w:tc>
        <w:tc>
          <w:tcPr>
            <w:tcW w:w="962" w:type="dxa"/>
          </w:tcPr>
          <w:p w14:paraId="6460B0AC" w14:textId="77777777" w:rsidR="00B75F05" w:rsidRPr="008A7487" w:rsidRDefault="00B75F05" w:rsidP="00C21D6F">
            <w:pPr>
              <w:contextualSpacing/>
              <w:rPr>
                <w:rFonts w:ascii="Times New Roman" w:hAnsi="Times New Roman" w:cs="Times New Roman"/>
                <w:b/>
                <w:sz w:val="16"/>
                <w:szCs w:val="16"/>
              </w:rPr>
            </w:pPr>
            <w:r w:rsidRPr="008A7487">
              <w:rPr>
                <w:rFonts w:ascii="Times New Roman" w:hAnsi="Times New Roman" w:cs="Times New Roman"/>
                <w:b/>
                <w:sz w:val="16"/>
                <w:szCs w:val="16"/>
              </w:rPr>
              <w:t>-1.48</w:t>
            </w:r>
          </w:p>
        </w:tc>
      </w:tr>
      <w:tr w:rsidR="00B75F05" w:rsidRPr="008A7487" w14:paraId="667FC25F" w14:textId="77777777" w:rsidTr="00C21D6F">
        <w:tc>
          <w:tcPr>
            <w:tcW w:w="1174" w:type="dxa"/>
          </w:tcPr>
          <w:p w14:paraId="38DD8DBE" w14:textId="77777777" w:rsidR="00B75F05" w:rsidRPr="008A7487" w:rsidRDefault="00B75F05" w:rsidP="00C21D6F">
            <w:pPr>
              <w:spacing w:line="480" w:lineRule="auto"/>
              <w:contextualSpacing/>
              <w:rPr>
                <w:rFonts w:ascii="Times New Roman" w:hAnsi="Times New Roman" w:cs="Times New Roman"/>
                <w:sz w:val="16"/>
                <w:szCs w:val="16"/>
                <w:vertAlign w:val="superscript"/>
              </w:rPr>
            </w:pPr>
            <w:r w:rsidRPr="008A7487">
              <w:rPr>
                <w:rFonts w:ascii="Times New Roman" w:hAnsi="Times New Roman" w:cs="Times New Roman"/>
                <w:sz w:val="16"/>
                <w:szCs w:val="16"/>
              </w:rPr>
              <w:t>R</w:t>
            </w:r>
            <w:r w:rsidRPr="008A7487">
              <w:rPr>
                <w:rFonts w:ascii="Times New Roman" w:hAnsi="Times New Roman" w:cs="Times New Roman"/>
                <w:sz w:val="16"/>
                <w:szCs w:val="16"/>
                <w:vertAlign w:val="superscript"/>
              </w:rPr>
              <w:t>2</w:t>
            </w:r>
          </w:p>
        </w:tc>
        <w:tc>
          <w:tcPr>
            <w:tcW w:w="973" w:type="dxa"/>
          </w:tcPr>
          <w:p w14:paraId="26938C9D" w14:textId="77777777" w:rsidR="00B75F05" w:rsidRPr="008A7487" w:rsidRDefault="00B75F05" w:rsidP="00C21D6F">
            <w:pPr>
              <w:contextualSpacing/>
              <w:rPr>
                <w:rFonts w:ascii="Times New Roman" w:hAnsi="Times New Roman" w:cs="Times New Roman"/>
                <w:b/>
                <w:sz w:val="16"/>
                <w:szCs w:val="16"/>
              </w:rPr>
            </w:pPr>
          </w:p>
        </w:tc>
        <w:tc>
          <w:tcPr>
            <w:tcW w:w="965" w:type="dxa"/>
          </w:tcPr>
          <w:p w14:paraId="05862DAB" w14:textId="77777777" w:rsidR="00B75F05" w:rsidRPr="008A7487" w:rsidRDefault="00B75F05" w:rsidP="00C21D6F">
            <w:pPr>
              <w:contextualSpacing/>
              <w:rPr>
                <w:rFonts w:ascii="Times New Roman" w:hAnsi="Times New Roman" w:cs="Times New Roman"/>
                <w:b/>
                <w:sz w:val="16"/>
                <w:szCs w:val="16"/>
              </w:rPr>
            </w:pPr>
            <w:r w:rsidRPr="008A7487">
              <w:rPr>
                <w:rFonts w:ascii="Times New Roman" w:hAnsi="Times New Roman" w:cs="Times New Roman"/>
                <w:b/>
                <w:sz w:val="16"/>
                <w:szCs w:val="16"/>
              </w:rPr>
              <w:t>18</w:t>
            </w:r>
            <w:r>
              <w:rPr>
                <w:rFonts w:ascii="Times New Roman" w:hAnsi="Times New Roman" w:cs="Times New Roman"/>
                <w:b/>
                <w:sz w:val="16"/>
                <w:szCs w:val="16"/>
              </w:rPr>
              <w:t>%</w:t>
            </w:r>
          </w:p>
        </w:tc>
        <w:tc>
          <w:tcPr>
            <w:tcW w:w="960" w:type="dxa"/>
          </w:tcPr>
          <w:p w14:paraId="0792A94E" w14:textId="77777777" w:rsidR="00B75F05" w:rsidRPr="008A7487" w:rsidRDefault="00B75F05" w:rsidP="00C21D6F">
            <w:pPr>
              <w:contextualSpacing/>
              <w:rPr>
                <w:rFonts w:ascii="Times New Roman" w:hAnsi="Times New Roman" w:cs="Times New Roman"/>
                <w:b/>
                <w:sz w:val="16"/>
                <w:szCs w:val="16"/>
              </w:rPr>
            </w:pPr>
          </w:p>
        </w:tc>
        <w:tc>
          <w:tcPr>
            <w:tcW w:w="952" w:type="dxa"/>
          </w:tcPr>
          <w:p w14:paraId="2075C0F2" w14:textId="77777777" w:rsidR="00B75F05" w:rsidRPr="008A7487" w:rsidRDefault="00B75F05" w:rsidP="00C21D6F">
            <w:pPr>
              <w:contextualSpacing/>
              <w:rPr>
                <w:rFonts w:ascii="Times New Roman" w:hAnsi="Times New Roman" w:cs="Times New Roman"/>
                <w:b/>
                <w:sz w:val="16"/>
                <w:szCs w:val="16"/>
              </w:rPr>
            </w:pPr>
            <w:r w:rsidRPr="008A7487">
              <w:rPr>
                <w:rFonts w:ascii="Times New Roman" w:hAnsi="Times New Roman" w:cs="Times New Roman"/>
                <w:b/>
                <w:sz w:val="16"/>
                <w:szCs w:val="16"/>
              </w:rPr>
              <w:t>74</w:t>
            </w:r>
            <w:r>
              <w:rPr>
                <w:rFonts w:ascii="Times New Roman" w:hAnsi="Times New Roman" w:cs="Times New Roman"/>
                <w:b/>
                <w:sz w:val="16"/>
                <w:szCs w:val="16"/>
              </w:rPr>
              <w:t>%</w:t>
            </w:r>
          </w:p>
        </w:tc>
        <w:tc>
          <w:tcPr>
            <w:tcW w:w="966" w:type="dxa"/>
          </w:tcPr>
          <w:p w14:paraId="6077D2D0" w14:textId="77777777" w:rsidR="00B75F05" w:rsidRPr="008A7487" w:rsidRDefault="00B75F05" w:rsidP="00C21D6F">
            <w:pPr>
              <w:contextualSpacing/>
              <w:rPr>
                <w:rFonts w:ascii="Times New Roman" w:hAnsi="Times New Roman" w:cs="Times New Roman"/>
                <w:b/>
                <w:sz w:val="16"/>
                <w:szCs w:val="16"/>
              </w:rPr>
            </w:pPr>
          </w:p>
        </w:tc>
        <w:tc>
          <w:tcPr>
            <w:tcW w:w="962" w:type="dxa"/>
          </w:tcPr>
          <w:p w14:paraId="6FDF59AA" w14:textId="77777777" w:rsidR="00B75F05" w:rsidRPr="008A7487" w:rsidRDefault="00B75F05" w:rsidP="00C21D6F">
            <w:pPr>
              <w:contextualSpacing/>
              <w:rPr>
                <w:rFonts w:ascii="Times New Roman" w:hAnsi="Times New Roman" w:cs="Times New Roman"/>
                <w:b/>
                <w:sz w:val="16"/>
                <w:szCs w:val="16"/>
              </w:rPr>
            </w:pPr>
            <w:r w:rsidRPr="008A7487">
              <w:rPr>
                <w:rFonts w:ascii="Times New Roman" w:hAnsi="Times New Roman" w:cs="Times New Roman"/>
                <w:b/>
                <w:sz w:val="16"/>
                <w:szCs w:val="16"/>
              </w:rPr>
              <w:t>77</w:t>
            </w:r>
            <w:r>
              <w:rPr>
                <w:rFonts w:ascii="Times New Roman" w:hAnsi="Times New Roman" w:cs="Times New Roman"/>
                <w:b/>
                <w:sz w:val="16"/>
                <w:szCs w:val="16"/>
              </w:rPr>
              <w:t>%</w:t>
            </w:r>
          </w:p>
        </w:tc>
      </w:tr>
      <w:tr w:rsidR="00B75F05" w:rsidRPr="008A7487" w14:paraId="46AA5C06" w14:textId="77777777" w:rsidTr="00C21D6F">
        <w:tc>
          <w:tcPr>
            <w:tcW w:w="1174" w:type="dxa"/>
          </w:tcPr>
          <w:p w14:paraId="4E509AD7" w14:textId="77777777" w:rsidR="00B75F05" w:rsidRPr="008A7487" w:rsidRDefault="00B75F05" w:rsidP="00C21D6F">
            <w:pPr>
              <w:spacing w:line="480" w:lineRule="auto"/>
              <w:contextualSpacing/>
              <w:rPr>
                <w:rFonts w:ascii="Times New Roman" w:hAnsi="Times New Roman" w:cs="Times New Roman"/>
                <w:sz w:val="16"/>
                <w:szCs w:val="16"/>
                <w:vertAlign w:val="superscript"/>
              </w:rPr>
            </w:pPr>
            <w:r w:rsidRPr="008A7487">
              <w:rPr>
                <w:rFonts w:ascii="Times New Roman" w:hAnsi="Times New Roman" w:cs="Times New Roman"/>
                <w:sz w:val="16"/>
                <w:szCs w:val="16"/>
              </w:rPr>
              <w:t>F-stat</w:t>
            </w:r>
          </w:p>
        </w:tc>
        <w:tc>
          <w:tcPr>
            <w:tcW w:w="973" w:type="dxa"/>
          </w:tcPr>
          <w:p w14:paraId="05510C44" w14:textId="77777777" w:rsidR="00B75F05" w:rsidRPr="008A7487" w:rsidRDefault="00B75F05" w:rsidP="00C21D6F">
            <w:pPr>
              <w:contextualSpacing/>
              <w:rPr>
                <w:rFonts w:ascii="Times New Roman" w:hAnsi="Times New Roman" w:cs="Times New Roman"/>
                <w:b/>
                <w:sz w:val="16"/>
                <w:szCs w:val="16"/>
              </w:rPr>
            </w:pPr>
            <w:r w:rsidRPr="008A7487">
              <w:rPr>
                <w:rFonts w:ascii="Times New Roman" w:hAnsi="Times New Roman" w:cs="Times New Roman"/>
                <w:b/>
                <w:sz w:val="16"/>
                <w:szCs w:val="16"/>
              </w:rPr>
              <w:t>2.44***</w:t>
            </w:r>
          </w:p>
        </w:tc>
        <w:tc>
          <w:tcPr>
            <w:tcW w:w="965" w:type="dxa"/>
          </w:tcPr>
          <w:p w14:paraId="11503E3C" w14:textId="77777777" w:rsidR="00B75F05" w:rsidRPr="008A7487" w:rsidRDefault="00B75F05" w:rsidP="00C21D6F">
            <w:pPr>
              <w:contextualSpacing/>
              <w:rPr>
                <w:rFonts w:ascii="Times New Roman" w:hAnsi="Times New Roman" w:cs="Times New Roman"/>
                <w:b/>
                <w:sz w:val="16"/>
                <w:szCs w:val="16"/>
              </w:rPr>
            </w:pPr>
          </w:p>
        </w:tc>
        <w:tc>
          <w:tcPr>
            <w:tcW w:w="960" w:type="dxa"/>
          </w:tcPr>
          <w:p w14:paraId="4E7039BF" w14:textId="77777777" w:rsidR="00B75F05" w:rsidRPr="008A7487" w:rsidRDefault="00B75F05" w:rsidP="00C21D6F">
            <w:pPr>
              <w:contextualSpacing/>
              <w:rPr>
                <w:rFonts w:ascii="Times New Roman" w:hAnsi="Times New Roman" w:cs="Times New Roman"/>
                <w:b/>
                <w:sz w:val="16"/>
                <w:szCs w:val="16"/>
              </w:rPr>
            </w:pPr>
            <w:r w:rsidRPr="008A7487">
              <w:rPr>
                <w:rFonts w:ascii="Times New Roman" w:hAnsi="Times New Roman" w:cs="Times New Roman"/>
                <w:b/>
                <w:sz w:val="16"/>
                <w:szCs w:val="16"/>
              </w:rPr>
              <w:t>8.51***</w:t>
            </w:r>
          </w:p>
        </w:tc>
        <w:tc>
          <w:tcPr>
            <w:tcW w:w="952" w:type="dxa"/>
          </w:tcPr>
          <w:p w14:paraId="426425D5" w14:textId="77777777" w:rsidR="00B75F05" w:rsidRPr="008A7487" w:rsidRDefault="00B75F05" w:rsidP="00C21D6F">
            <w:pPr>
              <w:contextualSpacing/>
              <w:rPr>
                <w:rFonts w:ascii="Times New Roman" w:hAnsi="Times New Roman" w:cs="Times New Roman"/>
                <w:b/>
                <w:sz w:val="16"/>
                <w:szCs w:val="16"/>
              </w:rPr>
            </w:pPr>
          </w:p>
        </w:tc>
        <w:tc>
          <w:tcPr>
            <w:tcW w:w="966" w:type="dxa"/>
          </w:tcPr>
          <w:p w14:paraId="170C473B" w14:textId="77777777" w:rsidR="00B75F05" w:rsidRPr="008A7487" w:rsidRDefault="00B75F05" w:rsidP="00C21D6F">
            <w:pPr>
              <w:contextualSpacing/>
              <w:rPr>
                <w:rFonts w:ascii="Times New Roman" w:hAnsi="Times New Roman" w:cs="Times New Roman"/>
                <w:b/>
                <w:sz w:val="16"/>
                <w:szCs w:val="16"/>
              </w:rPr>
            </w:pPr>
            <w:r w:rsidRPr="008A7487">
              <w:rPr>
                <w:rFonts w:ascii="Times New Roman" w:hAnsi="Times New Roman" w:cs="Times New Roman"/>
                <w:b/>
                <w:sz w:val="16"/>
                <w:szCs w:val="16"/>
              </w:rPr>
              <w:t>12.94***</w:t>
            </w:r>
          </w:p>
        </w:tc>
        <w:tc>
          <w:tcPr>
            <w:tcW w:w="962" w:type="dxa"/>
          </w:tcPr>
          <w:p w14:paraId="4D1556A8" w14:textId="77777777" w:rsidR="00B75F05" w:rsidRPr="008A7487" w:rsidRDefault="00B75F05" w:rsidP="00C21D6F">
            <w:pPr>
              <w:contextualSpacing/>
              <w:rPr>
                <w:rFonts w:ascii="Times New Roman" w:hAnsi="Times New Roman" w:cs="Times New Roman"/>
                <w:b/>
                <w:sz w:val="16"/>
                <w:szCs w:val="16"/>
              </w:rPr>
            </w:pPr>
          </w:p>
        </w:tc>
      </w:tr>
      <w:tr w:rsidR="00B75F05" w:rsidRPr="008A7487" w14:paraId="63E49C46" w14:textId="77777777" w:rsidTr="00C21D6F">
        <w:tc>
          <w:tcPr>
            <w:tcW w:w="1174" w:type="dxa"/>
          </w:tcPr>
          <w:p w14:paraId="109928BA" w14:textId="77777777" w:rsidR="00B75F05" w:rsidRPr="008A7487" w:rsidRDefault="00B75F05" w:rsidP="00C21D6F">
            <w:pPr>
              <w:spacing w:line="480" w:lineRule="auto"/>
              <w:contextualSpacing/>
              <w:rPr>
                <w:rFonts w:ascii="Times New Roman" w:hAnsi="Times New Roman" w:cs="Times New Roman"/>
                <w:sz w:val="16"/>
                <w:szCs w:val="16"/>
              </w:rPr>
            </w:pPr>
            <w:r w:rsidRPr="008A7487">
              <w:rPr>
                <w:rFonts w:ascii="Times New Roman" w:hAnsi="Times New Roman" w:cs="Times New Roman"/>
                <w:sz w:val="16"/>
                <w:szCs w:val="16"/>
              </w:rPr>
              <w:t>Obs</w:t>
            </w:r>
          </w:p>
        </w:tc>
        <w:tc>
          <w:tcPr>
            <w:tcW w:w="973" w:type="dxa"/>
          </w:tcPr>
          <w:p w14:paraId="5EBC132D" w14:textId="77777777" w:rsidR="00B75F05" w:rsidRPr="006D7BB8" w:rsidRDefault="00B75F05" w:rsidP="00C21D6F">
            <w:pPr>
              <w:contextualSpacing/>
              <w:rPr>
                <w:rFonts w:ascii="Times New Roman" w:hAnsi="Times New Roman" w:cs="Times New Roman"/>
                <w:b/>
                <w:sz w:val="16"/>
                <w:szCs w:val="16"/>
              </w:rPr>
            </w:pPr>
            <w:r w:rsidRPr="006D7BB8">
              <w:rPr>
                <w:rFonts w:ascii="Times New Roman" w:hAnsi="Times New Roman" w:cs="Times New Roman"/>
                <w:b/>
                <w:sz w:val="16"/>
                <w:szCs w:val="16"/>
              </w:rPr>
              <w:t>856</w:t>
            </w:r>
          </w:p>
        </w:tc>
        <w:tc>
          <w:tcPr>
            <w:tcW w:w="965" w:type="dxa"/>
          </w:tcPr>
          <w:p w14:paraId="70389A9C" w14:textId="77777777" w:rsidR="00B75F05" w:rsidRPr="006D7BB8" w:rsidRDefault="00B75F05" w:rsidP="00C21D6F">
            <w:pPr>
              <w:contextualSpacing/>
              <w:rPr>
                <w:rFonts w:ascii="Times New Roman" w:hAnsi="Times New Roman" w:cs="Times New Roman"/>
                <w:b/>
                <w:sz w:val="16"/>
                <w:szCs w:val="16"/>
              </w:rPr>
            </w:pPr>
          </w:p>
        </w:tc>
        <w:tc>
          <w:tcPr>
            <w:tcW w:w="960" w:type="dxa"/>
          </w:tcPr>
          <w:p w14:paraId="469036C7" w14:textId="77777777" w:rsidR="00B75F05" w:rsidRPr="006D7BB8" w:rsidRDefault="00B75F05" w:rsidP="00C21D6F">
            <w:pPr>
              <w:contextualSpacing/>
              <w:rPr>
                <w:rFonts w:ascii="Times New Roman" w:hAnsi="Times New Roman" w:cs="Times New Roman"/>
                <w:b/>
                <w:sz w:val="16"/>
                <w:szCs w:val="16"/>
              </w:rPr>
            </w:pPr>
            <w:r w:rsidRPr="006D7BB8">
              <w:rPr>
                <w:rFonts w:ascii="Times New Roman" w:hAnsi="Times New Roman" w:cs="Times New Roman"/>
                <w:b/>
                <w:sz w:val="16"/>
                <w:szCs w:val="16"/>
              </w:rPr>
              <w:t>356</w:t>
            </w:r>
          </w:p>
        </w:tc>
        <w:tc>
          <w:tcPr>
            <w:tcW w:w="952" w:type="dxa"/>
          </w:tcPr>
          <w:p w14:paraId="25923D8C" w14:textId="77777777" w:rsidR="00B75F05" w:rsidRPr="006D7BB8" w:rsidRDefault="00B75F05" w:rsidP="00C21D6F">
            <w:pPr>
              <w:contextualSpacing/>
              <w:rPr>
                <w:rFonts w:ascii="Times New Roman" w:hAnsi="Times New Roman" w:cs="Times New Roman"/>
                <w:b/>
                <w:sz w:val="16"/>
                <w:szCs w:val="16"/>
              </w:rPr>
            </w:pPr>
          </w:p>
        </w:tc>
        <w:tc>
          <w:tcPr>
            <w:tcW w:w="966" w:type="dxa"/>
          </w:tcPr>
          <w:p w14:paraId="764FE1BF" w14:textId="77777777" w:rsidR="00B75F05" w:rsidRPr="006D7BB8" w:rsidRDefault="00B75F05" w:rsidP="00C21D6F">
            <w:pPr>
              <w:contextualSpacing/>
              <w:rPr>
                <w:rFonts w:ascii="Times New Roman" w:hAnsi="Times New Roman" w:cs="Times New Roman"/>
                <w:b/>
                <w:sz w:val="16"/>
                <w:szCs w:val="16"/>
              </w:rPr>
            </w:pPr>
            <w:r w:rsidRPr="006D7BB8">
              <w:rPr>
                <w:rFonts w:ascii="Times New Roman" w:hAnsi="Times New Roman" w:cs="Times New Roman"/>
                <w:b/>
                <w:sz w:val="16"/>
                <w:szCs w:val="16"/>
              </w:rPr>
              <w:t>461</w:t>
            </w:r>
          </w:p>
        </w:tc>
        <w:tc>
          <w:tcPr>
            <w:tcW w:w="962" w:type="dxa"/>
          </w:tcPr>
          <w:p w14:paraId="71945DEF" w14:textId="77777777" w:rsidR="00B75F05" w:rsidRPr="008A7487" w:rsidRDefault="00B75F05" w:rsidP="00C21D6F">
            <w:pPr>
              <w:contextualSpacing/>
              <w:rPr>
                <w:rFonts w:ascii="Times New Roman" w:hAnsi="Times New Roman" w:cs="Times New Roman"/>
                <w:b/>
                <w:sz w:val="16"/>
                <w:szCs w:val="16"/>
              </w:rPr>
            </w:pPr>
          </w:p>
        </w:tc>
      </w:tr>
    </w:tbl>
    <w:p w14:paraId="544C0C69" w14:textId="77777777" w:rsidR="00B75F05" w:rsidRPr="008A7487" w:rsidRDefault="00B75F05" w:rsidP="00B75F05">
      <w:pPr>
        <w:spacing w:after="0"/>
        <w:rPr>
          <w:rFonts w:ascii="Times New Roman" w:hAnsi="Times New Roman" w:cs="Times New Roman"/>
          <w:sz w:val="16"/>
          <w:szCs w:val="16"/>
          <w:lang w:val="en-GB"/>
        </w:rPr>
      </w:pPr>
      <w:r w:rsidRPr="008A7487">
        <w:rPr>
          <w:rFonts w:ascii="Times New Roman" w:hAnsi="Times New Roman" w:cs="Times New Roman"/>
          <w:sz w:val="16"/>
          <w:szCs w:val="16"/>
          <w:lang w:val="en-GB"/>
        </w:rPr>
        <w:t xml:space="preserve">ROA defined as profit before tax divided by total assets.  NIM is the difference between interest </w:t>
      </w:r>
    </w:p>
    <w:p w14:paraId="0484EFF7" w14:textId="77777777" w:rsidR="00B75F05" w:rsidRPr="008A7487" w:rsidRDefault="00B75F05" w:rsidP="00B75F05">
      <w:pPr>
        <w:spacing w:after="0"/>
        <w:rPr>
          <w:rFonts w:ascii="Times New Roman" w:hAnsi="Times New Roman" w:cs="Times New Roman"/>
          <w:sz w:val="16"/>
          <w:szCs w:val="16"/>
          <w:lang w:val="en-GB"/>
        </w:rPr>
      </w:pPr>
      <w:r w:rsidRPr="008A7487">
        <w:rPr>
          <w:rFonts w:ascii="Times New Roman" w:hAnsi="Times New Roman" w:cs="Times New Roman"/>
          <w:sz w:val="16"/>
          <w:szCs w:val="16"/>
          <w:lang w:val="en-GB"/>
        </w:rPr>
        <w:t>income and interest expense</w:t>
      </w:r>
      <w:r>
        <w:rPr>
          <w:rFonts w:ascii="Times New Roman" w:hAnsi="Times New Roman" w:cs="Times New Roman"/>
          <w:sz w:val="16"/>
          <w:szCs w:val="16"/>
          <w:lang w:val="en-GB"/>
        </w:rPr>
        <w:t xml:space="preserve"> %</w:t>
      </w:r>
      <w:r w:rsidRPr="008A7487">
        <w:rPr>
          <w:rFonts w:ascii="Times New Roman" w:hAnsi="Times New Roman" w:cs="Times New Roman"/>
          <w:sz w:val="16"/>
          <w:szCs w:val="16"/>
          <w:lang w:val="en-GB"/>
        </w:rPr>
        <w:t xml:space="preserve">. LNSIZE is the natural log of bank’s total assets. CAP is a measure of </w:t>
      </w:r>
    </w:p>
    <w:p w14:paraId="7AF685B5" w14:textId="77777777" w:rsidR="00B75F05" w:rsidRPr="008A7487" w:rsidRDefault="00B75F05" w:rsidP="00B75F05">
      <w:pPr>
        <w:spacing w:after="0"/>
        <w:rPr>
          <w:rFonts w:ascii="Times New Roman" w:hAnsi="Times New Roman" w:cs="Times New Roman"/>
          <w:sz w:val="16"/>
          <w:szCs w:val="16"/>
          <w:lang w:val="en-GB"/>
        </w:rPr>
      </w:pPr>
      <w:r w:rsidRPr="008A7487">
        <w:rPr>
          <w:rFonts w:ascii="Times New Roman" w:hAnsi="Times New Roman" w:cs="Times New Roman"/>
          <w:sz w:val="16"/>
          <w:szCs w:val="16"/>
          <w:lang w:val="en-GB"/>
        </w:rPr>
        <w:t xml:space="preserve">capital strength, calculated as equity to total assets.  CR is a measure of credit risk and is the ratio </w:t>
      </w:r>
    </w:p>
    <w:p w14:paraId="5E746CAF" w14:textId="77777777" w:rsidR="00B75F05" w:rsidRPr="008A7487" w:rsidRDefault="00B75F05" w:rsidP="00B75F05">
      <w:pPr>
        <w:spacing w:after="0"/>
        <w:rPr>
          <w:rFonts w:ascii="Times New Roman" w:hAnsi="Times New Roman" w:cs="Times New Roman"/>
          <w:sz w:val="16"/>
          <w:szCs w:val="16"/>
          <w:lang w:val="en-GB"/>
        </w:rPr>
      </w:pPr>
      <w:r w:rsidRPr="008A7487">
        <w:rPr>
          <w:rFonts w:ascii="Times New Roman" w:hAnsi="Times New Roman" w:cs="Times New Roman"/>
          <w:sz w:val="16"/>
          <w:szCs w:val="16"/>
          <w:lang w:val="en-GB"/>
        </w:rPr>
        <w:t xml:space="preserve">of net loans to deposits and short-term funding. CM is the total operating cost to total income. </w:t>
      </w:r>
    </w:p>
    <w:p w14:paraId="337A6033" w14:textId="77777777" w:rsidR="00B75F05" w:rsidRPr="008A7487" w:rsidRDefault="00B75F05" w:rsidP="00B75F05">
      <w:pPr>
        <w:spacing w:after="0"/>
        <w:rPr>
          <w:rFonts w:ascii="Times New Roman" w:hAnsi="Times New Roman" w:cs="Times New Roman"/>
          <w:sz w:val="16"/>
          <w:szCs w:val="16"/>
          <w:lang w:val="en-GB"/>
        </w:rPr>
      </w:pPr>
      <w:r w:rsidRPr="008A7487">
        <w:rPr>
          <w:rFonts w:ascii="Times New Roman" w:hAnsi="Times New Roman" w:cs="Times New Roman"/>
          <w:sz w:val="16"/>
          <w:szCs w:val="16"/>
          <w:lang w:val="en-GB"/>
        </w:rPr>
        <w:t xml:space="preserve">LQ is a measure of liquidity, calculated as liquid assets to customer and short-term funding. </w:t>
      </w:r>
    </w:p>
    <w:p w14:paraId="78C94A35" w14:textId="77777777" w:rsidR="00B75F05" w:rsidRPr="008A7487" w:rsidRDefault="00B75F05" w:rsidP="00B75F05">
      <w:pPr>
        <w:spacing w:after="0"/>
        <w:rPr>
          <w:rFonts w:ascii="Times New Roman" w:hAnsi="Times New Roman" w:cs="Times New Roman"/>
          <w:sz w:val="16"/>
          <w:szCs w:val="16"/>
          <w:lang w:val="en-GB"/>
        </w:rPr>
      </w:pPr>
      <w:r w:rsidRPr="008A7487">
        <w:rPr>
          <w:rFonts w:ascii="Times New Roman" w:hAnsi="Times New Roman" w:cs="Times New Roman"/>
          <w:sz w:val="16"/>
          <w:szCs w:val="16"/>
          <w:lang w:val="en-GB"/>
        </w:rPr>
        <w:t xml:space="preserve">MP is a measure of market power defined as the ratio of a bank total asset to the total asset of the entire </w:t>
      </w:r>
    </w:p>
    <w:p w14:paraId="5D30D09C" w14:textId="77777777" w:rsidR="00B75F05" w:rsidRPr="008A7487" w:rsidRDefault="00B75F05" w:rsidP="00B75F05">
      <w:pPr>
        <w:spacing w:after="0"/>
        <w:rPr>
          <w:rFonts w:ascii="Times New Roman" w:hAnsi="Times New Roman" w:cs="Times New Roman"/>
          <w:sz w:val="16"/>
          <w:szCs w:val="16"/>
          <w:lang w:val="en-GB"/>
        </w:rPr>
      </w:pPr>
      <w:r w:rsidRPr="008A7487">
        <w:rPr>
          <w:rFonts w:ascii="Times New Roman" w:hAnsi="Times New Roman" w:cs="Times New Roman"/>
          <w:sz w:val="16"/>
          <w:szCs w:val="16"/>
          <w:lang w:val="en-GB"/>
        </w:rPr>
        <w:t>banks in a country</w:t>
      </w:r>
      <w:r w:rsidRPr="008A7487">
        <w:rPr>
          <w:rFonts w:ascii="Times New Roman" w:hAnsi="Times New Roman" w:cs="Times New Roman"/>
          <w:color w:val="FF0000"/>
          <w:sz w:val="16"/>
          <w:szCs w:val="16"/>
          <w:lang w:val="en-GB"/>
        </w:rPr>
        <w:t>.</w:t>
      </w:r>
      <w:r w:rsidRPr="008A7487">
        <w:rPr>
          <w:rFonts w:ascii="Times New Roman" w:hAnsi="Times New Roman" w:cs="Times New Roman"/>
          <w:sz w:val="16"/>
          <w:szCs w:val="16"/>
          <w:lang w:val="en-GB"/>
        </w:rPr>
        <w:t xml:space="preserve"> ∆ GDP is the annual percentage change in real gross domestic product.  INF is </w:t>
      </w:r>
    </w:p>
    <w:p w14:paraId="34BFC62B" w14:textId="77777777" w:rsidR="00B75F05" w:rsidRPr="008A7487" w:rsidRDefault="00B75F05" w:rsidP="00B75F05">
      <w:pPr>
        <w:spacing w:after="0"/>
        <w:rPr>
          <w:rFonts w:ascii="Times New Roman" w:hAnsi="Times New Roman" w:cs="Times New Roman"/>
          <w:sz w:val="16"/>
          <w:szCs w:val="16"/>
          <w:lang w:val="en-GB"/>
        </w:rPr>
      </w:pPr>
      <w:r w:rsidRPr="008A7487">
        <w:rPr>
          <w:rFonts w:ascii="Times New Roman" w:hAnsi="Times New Roman" w:cs="Times New Roman"/>
          <w:sz w:val="16"/>
          <w:szCs w:val="16"/>
          <w:lang w:val="en-GB"/>
        </w:rPr>
        <w:t>the yearly gr</w:t>
      </w:r>
      <w:r>
        <w:rPr>
          <w:rFonts w:ascii="Times New Roman" w:hAnsi="Times New Roman" w:cs="Times New Roman"/>
          <w:sz w:val="16"/>
          <w:szCs w:val="16"/>
          <w:lang w:val="en-GB"/>
        </w:rPr>
        <w:t xml:space="preserve">owth in consumer price index. </w:t>
      </w:r>
      <w:r w:rsidRPr="008A7487">
        <w:rPr>
          <w:rFonts w:ascii="Times New Roman" w:hAnsi="Times New Roman" w:cs="Times New Roman"/>
          <w:sz w:val="16"/>
          <w:szCs w:val="16"/>
          <w:lang w:val="en-GB"/>
        </w:rPr>
        <w:t xml:space="preserve"> *, **, *** indicate significance at 10%, 5% and 1% level respectively. </w:t>
      </w:r>
    </w:p>
    <w:p w14:paraId="3C221CC3" w14:textId="77777777" w:rsidR="00B75F05" w:rsidRPr="008A7487" w:rsidRDefault="00B75F05" w:rsidP="00B75F05">
      <w:pPr>
        <w:spacing w:after="0"/>
        <w:rPr>
          <w:rFonts w:ascii="Times New Roman" w:hAnsi="Times New Roman" w:cs="Times New Roman"/>
          <w:sz w:val="16"/>
          <w:szCs w:val="16"/>
          <w:lang w:val="en-GB"/>
        </w:rPr>
      </w:pPr>
    </w:p>
    <w:p w14:paraId="03B64713" w14:textId="77777777" w:rsidR="00B75F05" w:rsidRPr="008A7487" w:rsidRDefault="00B75F05" w:rsidP="00B75F05">
      <w:pPr>
        <w:spacing w:after="0"/>
        <w:rPr>
          <w:rFonts w:ascii="Times New Roman" w:hAnsi="Times New Roman" w:cs="Times New Roman"/>
          <w:sz w:val="16"/>
          <w:szCs w:val="16"/>
          <w:lang w:val="en-GB"/>
        </w:rPr>
      </w:pPr>
    </w:p>
    <w:p w14:paraId="02D15C67" w14:textId="77777777" w:rsidR="00B75F05" w:rsidRPr="008A7487" w:rsidRDefault="00B75F05" w:rsidP="00B75F05">
      <w:pPr>
        <w:spacing w:after="0"/>
        <w:rPr>
          <w:rFonts w:ascii="Times New Roman" w:hAnsi="Times New Roman" w:cs="Times New Roman"/>
          <w:sz w:val="16"/>
          <w:szCs w:val="16"/>
          <w:lang w:val="en-GB"/>
        </w:rPr>
      </w:pPr>
    </w:p>
    <w:p w14:paraId="34D28D3F" w14:textId="77777777" w:rsidR="00B75F05" w:rsidRPr="008A7487" w:rsidRDefault="00B75F05" w:rsidP="00B75F05">
      <w:pPr>
        <w:spacing w:after="0"/>
        <w:rPr>
          <w:rFonts w:ascii="Times New Roman" w:hAnsi="Times New Roman" w:cs="Times New Roman"/>
          <w:sz w:val="16"/>
          <w:szCs w:val="16"/>
          <w:lang w:val="en-GB"/>
        </w:rPr>
      </w:pPr>
    </w:p>
    <w:p w14:paraId="0C817BB7" w14:textId="77777777" w:rsidR="00B75F05" w:rsidRPr="008A7487" w:rsidRDefault="00B75F05" w:rsidP="00B75F05">
      <w:pPr>
        <w:spacing w:after="0"/>
        <w:rPr>
          <w:rFonts w:ascii="Times New Roman" w:hAnsi="Times New Roman" w:cs="Times New Roman"/>
          <w:sz w:val="16"/>
          <w:szCs w:val="16"/>
          <w:lang w:val="en-GB"/>
        </w:rPr>
      </w:pPr>
    </w:p>
    <w:p w14:paraId="5E73CD15" w14:textId="77777777" w:rsidR="00B75F05" w:rsidRPr="008A7487" w:rsidRDefault="00B75F05" w:rsidP="00B75F05">
      <w:pPr>
        <w:spacing w:after="0"/>
        <w:rPr>
          <w:rFonts w:ascii="Times New Roman" w:hAnsi="Times New Roman" w:cs="Times New Roman"/>
          <w:sz w:val="16"/>
          <w:szCs w:val="16"/>
          <w:lang w:val="en-GB"/>
        </w:rPr>
      </w:pPr>
    </w:p>
    <w:p w14:paraId="1B8F81E9" w14:textId="77777777" w:rsidR="00B75F05" w:rsidRPr="008A7487" w:rsidRDefault="00B75F05" w:rsidP="00B75F05">
      <w:pPr>
        <w:spacing w:after="0"/>
        <w:rPr>
          <w:rFonts w:ascii="Times New Roman" w:hAnsi="Times New Roman" w:cs="Times New Roman"/>
          <w:sz w:val="16"/>
          <w:szCs w:val="16"/>
          <w:lang w:val="en-GB"/>
        </w:rPr>
      </w:pPr>
    </w:p>
    <w:p w14:paraId="6B7794F8" w14:textId="77777777" w:rsidR="00B75F05" w:rsidRPr="008A7487" w:rsidRDefault="00B75F05" w:rsidP="00B75F05">
      <w:pPr>
        <w:spacing w:after="0"/>
        <w:rPr>
          <w:rFonts w:ascii="Times New Roman" w:hAnsi="Times New Roman" w:cs="Times New Roman"/>
          <w:sz w:val="16"/>
          <w:szCs w:val="16"/>
          <w:lang w:val="en-GB"/>
        </w:rPr>
      </w:pPr>
    </w:p>
    <w:p w14:paraId="659AD950" w14:textId="77777777" w:rsidR="00B75F05" w:rsidRPr="008A7487" w:rsidRDefault="00B75F05" w:rsidP="00B75F05">
      <w:pPr>
        <w:spacing w:after="0"/>
        <w:rPr>
          <w:rFonts w:ascii="Times New Roman" w:hAnsi="Times New Roman" w:cs="Times New Roman"/>
          <w:sz w:val="16"/>
          <w:szCs w:val="16"/>
          <w:lang w:val="en-GB"/>
        </w:rPr>
      </w:pPr>
      <w:r w:rsidRPr="008A7487">
        <w:rPr>
          <w:rFonts w:ascii="Times New Roman" w:hAnsi="Times New Roman" w:cs="Times New Roman"/>
          <w:sz w:val="16"/>
          <w:szCs w:val="16"/>
          <w:lang w:val="en-GB"/>
        </w:rPr>
        <w:t xml:space="preserve">. </w:t>
      </w:r>
    </w:p>
    <w:p w14:paraId="008FCF92" w14:textId="77777777" w:rsidR="00B75F05" w:rsidRPr="008A7487" w:rsidRDefault="00B75F05" w:rsidP="00B75F05">
      <w:pPr>
        <w:spacing w:after="0" w:line="240" w:lineRule="auto"/>
        <w:rPr>
          <w:rFonts w:ascii="Times New Roman" w:hAnsi="Times New Roman" w:cs="Times New Roman"/>
          <w:b/>
          <w:sz w:val="20"/>
          <w:szCs w:val="20"/>
        </w:rPr>
      </w:pPr>
    </w:p>
    <w:p w14:paraId="281AD108" w14:textId="77777777" w:rsidR="00B75F05" w:rsidRPr="008A7487" w:rsidRDefault="00B75F05" w:rsidP="00B75F05">
      <w:pPr>
        <w:spacing w:line="480" w:lineRule="auto"/>
        <w:contextualSpacing/>
        <w:rPr>
          <w:rFonts w:ascii="Times New Roman" w:hAnsi="Times New Roman" w:cs="Times New Roman"/>
          <w:sz w:val="24"/>
          <w:szCs w:val="24"/>
        </w:rPr>
      </w:pPr>
    </w:p>
    <w:p w14:paraId="27D1F434" w14:textId="77777777" w:rsidR="00B75F05" w:rsidRPr="008A7487" w:rsidRDefault="00B75F05" w:rsidP="00B75F05">
      <w:pPr>
        <w:spacing w:line="480" w:lineRule="auto"/>
        <w:contextualSpacing/>
        <w:rPr>
          <w:rFonts w:ascii="Times New Roman" w:hAnsi="Times New Roman" w:cs="Times New Roman"/>
          <w:sz w:val="24"/>
          <w:szCs w:val="24"/>
        </w:rPr>
      </w:pPr>
    </w:p>
    <w:p w14:paraId="3C923B21" w14:textId="77777777" w:rsidR="00B75F05" w:rsidRPr="008A7487" w:rsidRDefault="00B75F05" w:rsidP="00B75F05">
      <w:pPr>
        <w:spacing w:line="480" w:lineRule="auto"/>
        <w:contextualSpacing/>
        <w:rPr>
          <w:rFonts w:ascii="Times New Roman" w:hAnsi="Times New Roman" w:cs="Times New Roman"/>
          <w:sz w:val="24"/>
          <w:szCs w:val="24"/>
        </w:rPr>
      </w:pPr>
    </w:p>
    <w:p w14:paraId="50F34714" w14:textId="77777777" w:rsidR="00B75F05" w:rsidRPr="008A7487" w:rsidRDefault="00B75F05" w:rsidP="00B75F05">
      <w:pPr>
        <w:spacing w:line="480" w:lineRule="auto"/>
        <w:contextualSpacing/>
        <w:rPr>
          <w:rFonts w:ascii="Times New Roman" w:hAnsi="Times New Roman" w:cs="Times New Roman"/>
          <w:sz w:val="24"/>
          <w:szCs w:val="24"/>
        </w:rPr>
      </w:pPr>
    </w:p>
    <w:p w14:paraId="1FFAA395" w14:textId="77777777" w:rsidR="00B75F05" w:rsidRPr="008A7487" w:rsidRDefault="00B75F05" w:rsidP="00B75F05">
      <w:pPr>
        <w:spacing w:line="480" w:lineRule="auto"/>
        <w:contextualSpacing/>
        <w:rPr>
          <w:rFonts w:ascii="Times New Roman" w:hAnsi="Times New Roman" w:cs="Times New Roman"/>
          <w:sz w:val="24"/>
          <w:szCs w:val="24"/>
        </w:rPr>
      </w:pPr>
    </w:p>
    <w:p w14:paraId="6D625262" w14:textId="77777777" w:rsidR="00B75F05" w:rsidRDefault="00B75F05" w:rsidP="00B75F05">
      <w:pPr>
        <w:spacing w:line="480" w:lineRule="auto"/>
        <w:contextualSpacing/>
        <w:rPr>
          <w:rFonts w:ascii="Times New Roman" w:hAnsi="Times New Roman" w:cs="Times New Roman"/>
          <w:sz w:val="24"/>
          <w:szCs w:val="24"/>
        </w:rPr>
      </w:pPr>
    </w:p>
    <w:p w14:paraId="6FFF6FD6" w14:textId="77777777" w:rsidR="00B75F05" w:rsidRPr="008A7487" w:rsidRDefault="00B75F05" w:rsidP="00B75F05">
      <w:pPr>
        <w:spacing w:line="480" w:lineRule="auto"/>
        <w:contextualSpacing/>
        <w:rPr>
          <w:rFonts w:ascii="Times New Roman" w:hAnsi="Times New Roman" w:cs="Times New Roman"/>
          <w:sz w:val="24"/>
          <w:szCs w:val="24"/>
        </w:rPr>
      </w:pPr>
    </w:p>
    <w:p w14:paraId="357256DC" w14:textId="77777777" w:rsidR="00B75F05" w:rsidRPr="008A7487" w:rsidRDefault="00B75F05" w:rsidP="00B75F05">
      <w:pPr>
        <w:spacing w:line="480" w:lineRule="auto"/>
        <w:contextualSpacing/>
        <w:rPr>
          <w:rFonts w:ascii="Times New Roman" w:hAnsi="Times New Roman" w:cs="Times New Roman"/>
          <w:sz w:val="24"/>
          <w:szCs w:val="24"/>
        </w:rPr>
      </w:pPr>
    </w:p>
    <w:p w14:paraId="7E7B01F8" w14:textId="77777777" w:rsidR="00B75F05" w:rsidRPr="008A7487" w:rsidRDefault="00B75F05" w:rsidP="00B75F05">
      <w:pPr>
        <w:autoSpaceDE w:val="0"/>
        <w:autoSpaceDN w:val="0"/>
        <w:adjustRightInd w:val="0"/>
        <w:spacing w:after="0" w:line="240" w:lineRule="auto"/>
        <w:rPr>
          <w:rFonts w:ascii="Times New Roman" w:hAnsi="Times New Roman" w:cs="Times New Roman"/>
          <w:b/>
          <w:sz w:val="20"/>
          <w:szCs w:val="20"/>
          <w:lang w:val="en-GB"/>
        </w:rPr>
      </w:pPr>
      <w:r>
        <w:rPr>
          <w:rFonts w:ascii="Times New Roman" w:hAnsi="Times New Roman" w:cs="Times New Roman"/>
          <w:b/>
          <w:sz w:val="20"/>
          <w:szCs w:val="20"/>
        </w:rPr>
        <w:t xml:space="preserve"> Table 8</w:t>
      </w:r>
      <w:r w:rsidRPr="008A7487">
        <w:rPr>
          <w:rFonts w:ascii="Times New Roman" w:hAnsi="Times New Roman" w:cs="Times New Roman"/>
          <w:b/>
          <w:sz w:val="20"/>
          <w:szCs w:val="20"/>
        </w:rPr>
        <w:t xml:space="preserve">: </w:t>
      </w:r>
      <w:r w:rsidRPr="008A7487">
        <w:rPr>
          <w:rFonts w:ascii="Times New Roman" w:hAnsi="Times New Roman" w:cs="Times New Roman"/>
          <w:b/>
          <w:sz w:val="20"/>
          <w:szCs w:val="20"/>
          <w:lang w:val="en-GB"/>
        </w:rPr>
        <w:t xml:space="preserve">Fixed Effects- Comparison of ROA and NIM as the Dependent Variables </w:t>
      </w:r>
    </w:p>
    <w:tbl>
      <w:tblPr>
        <w:tblStyle w:val="TableGrid"/>
        <w:tblW w:w="0" w:type="auto"/>
        <w:tblInd w:w="108" w:type="dxa"/>
        <w:tblLook w:val="04A0" w:firstRow="1" w:lastRow="0" w:firstColumn="1" w:lastColumn="0" w:noHBand="0" w:noVBand="1"/>
      </w:tblPr>
      <w:tblGrid>
        <w:gridCol w:w="1186"/>
        <w:gridCol w:w="973"/>
        <w:gridCol w:w="974"/>
        <w:gridCol w:w="950"/>
        <w:gridCol w:w="960"/>
        <w:gridCol w:w="957"/>
        <w:gridCol w:w="1230"/>
      </w:tblGrid>
      <w:tr w:rsidR="00B75F05" w:rsidRPr="008A7487" w14:paraId="0B7F4A28" w14:textId="77777777" w:rsidTr="00C21D6F">
        <w:tc>
          <w:tcPr>
            <w:tcW w:w="1186" w:type="dxa"/>
          </w:tcPr>
          <w:p w14:paraId="5007954F" w14:textId="77777777" w:rsidR="00B75F05" w:rsidRPr="008A7487" w:rsidRDefault="00B75F05" w:rsidP="00C21D6F">
            <w:pPr>
              <w:spacing w:line="480" w:lineRule="auto"/>
              <w:contextualSpacing/>
              <w:rPr>
                <w:rFonts w:ascii="Times New Roman" w:hAnsi="Times New Roman" w:cs="Times New Roman"/>
                <w:b/>
                <w:sz w:val="16"/>
                <w:szCs w:val="16"/>
              </w:rPr>
            </w:pPr>
          </w:p>
        </w:tc>
        <w:tc>
          <w:tcPr>
            <w:tcW w:w="1947" w:type="dxa"/>
            <w:gridSpan w:val="2"/>
          </w:tcPr>
          <w:p w14:paraId="4DF7C83F" w14:textId="77777777" w:rsidR="00B75F05" w:rsidRPr="008A7487" w:rsidRDefault="00B75F05" w:rsidP="00C21D6F">
            <w:pPr>
              <w:contextualSpacing/>
              <w:jc w:val="center"/>
              <w:rPr>
                <w:rFonts w:ascii="Times New Roman" w:hAnsi="Times New Roman" w:cs="Times New Roman"/>
                <w:b/>
                <w:sz w:val="16"/>
                <w:szCs w:val="16"/>
              </w:rPr>
            </w:pPr>
            <w:r w:rsidRPr="008A7487">
              <w:rPr>
                <w:rFonts w:ascii="Times New Roman" w:hAnsi="Times New Roman" w:cs="Times New Roman"/>
                <w:b/>
                <w:sz w:val="16"/>
                <w:szCs w:val="16"/>
              </w:rPr>
              <w:t>Column 1</w:t>
            </w:r>
          </w:p>
        </w:tc>
        <w:tc>
          <w:tcPr>
            <w:tcW w:w="1910" w:type="dxa"/>
            <w:gridSpan w:val="2"/>
          </w:tcPr>
          <w:p w14:paraId="35C9FCD8" w14:textId="77777777" w:rsidR="00B75F05" w:rsidRPr="008A7487" w:rsidRDefault="00B75F05" w:rsidP="00C21D6F">
            <w:pPr>
              <w:contextualSpacing/>
              <w:jc w:val="center"/>
              <w:rPr>
                <w:rFonts w:ascii="Times New Roman" w:hAnsi="Times New Roman" w:cs="Times New Roman"/>
                <w:b/>
                <w:sz w:val="16"/>
                <w:szCs w:val="16"/>
              </w:rPr>
            </w:pPr>
            <w:r w:rsidRPr="008A7487">
              <w:rPr>
                <w:rFonts w:ascii="Times New Roman" w:hAnsi="Times New Roman" w:cs="Times New Roman"/>
                <w:b/>
                <w:sz w:val="16"/>
                <w:szCs w:val="16"/>
              </w:rPr>
              <w:t>Column 2</w:t>
            </w:r>
          </w:p>
        </w:tc>
        <w:tc>
          <w:tcPr>
            <w:tcW w:w="2187" w:type="dxa"/>
            <w:gridSpan w:val="2"/>
          </w:tcPr>
          <w:p w14:paraId="20F5A9C9" w14:textId="77777777" w:rsidR="00B75F05" w:rsidRPr="008A7487" w:rsidRDefault="00B75F05" w:rsidP="00C21D6F">
            <w:pPr>
              <w:contextualSpacing/>
              <w:jc w:val="center"/>
              <w:rPr>
                <w:rFonts w:ascii="Times New Roman" w:hAnsi="Times New Roman" w:cs="Times New Roman"/>
                <w:b/>
                <w:sz w:val="16"/>
                <w:szCs w:val="16"/>
              </w:rPr>
            </w:pPr>
            <w:r w:rsidRPr="008A7487">
              <w:rPr>
                <w:rFonts w:ascii="Times New Roman" w:hAnsi="Times New Roman" w:cs="Times New Roman"/>
                <w:b/>
                <w:sz w:val="16"/>
                <w:szCs w:val="16"/>
              </w:rPr>
              <w:t>Column 3</w:t>
            </w:r>
          </w:p>
        </w:tc>
      </w:tr>
      <w:tr w:rsidR="00B75F05" w:rsidRPr="008A7487" w14:paraId="56C6F3FF" w14:textId="77777777" w:rsidTr="00C21D6F">
        <w:tc>
          <w:tcPr>
            <w:tcW w:w="1186" w:type="dxa"/>
          </w:tcPr>
          <w:p w14:paraId="2D4C949C" w14:textId="77777777" w:rsidR="00B75F05" w:rsidRPr="008A7487" w:rsidRDefault="00B75F05" w:rsidP="00C21D6F">
            <w:pPr>
              <w:spacing w:line="480" w:lineRule="auto"/>
              <w:contextualSpacing/>
              <w:rPr>
                <w:rFonts w:ascii="Times New Roman" w:hAnsi="Times New Roman" w:cs="Times New Roman"/>
                <w:b/>
                <w:sz w:val="16"/>
                <w:szCs w:val="16"/>
              </w:rPr>
            </w:pPr>
            <w:r w:rsidRPr="008A7487">
              <w:rPr>
                <w:rFonts w:ascii="Times New Roman" w:hAnsi="Times New Roman" w:cs="Times New Roman"/>
                <w:b/>
                <w:sz w:val="16"/>
                <w:szCs w:val="16"/>
              </w:rPr>
              <w:t>ROA</w:t>
            </w:r>
          </w:p>
        </w:tc>
        <w:tc>
          <w:tcPr>
            <w:tcW w:w="1947" w:type="dxa"/>
            <w:gridSpan w:val="2"/>
          </w:tcPr>
          <w:p w14:paraId="6DEDE15C" w14:textId="77777777" w:rsidR="00B75F05" w:rsidRPr="008A7487" w:rsidRDefault="00B75F05" w:rsidP="00C21D6F">
            <w:pPr>
              <w:contextualSpacing/>
              <w:rPr>
                <w:rFonts w:ascii="Times New Roman" w:hAnsi="Times New Roman" w:cs="Times New Roman"/>
                <w:b/>
                <w:sz w:val="16"/>
                <w:szCs w:val="16"/>
              </w:rPr>
            </w:pPr>
            <w:r w:rsidRPr="008A7487">
              <w:rPr>
                <w:rFonts w:ascii="Times New Roman" w:hAnsi="Times New Roman" w:cs="Times New Roman"/>
                <w:b/>
                <w:sz w:val="16"/>
                <w:szCs w:val="16"/>
              </w:rPr>
              <w:t>Before the crisis (1999-2006)</w:t>
            </w:r>
          </w:p>
        </w:tc>
        <w:tc>
          <w:tcPr>
            <w:tcW w:w="1910" w:type="dxa"/>
            <w:gridSpan w:val="2"/>
          </w:tcPr>
          <w:p w14:paraId="59EB8B91" w14:textId="77777777" w:rsidR="00B75F05" w:rsidRPr="008A7487" w:rsidRDefault="00B75F05" w:rsidP="00C21D6F">
            <w:pPr>
              <w:contextualSpacing/>
              <w:rPr>
                <w:rFonts w:ascii="Times New Roman" w:hAnsi="Times New Roman" w:cs="Times New Roman"/>
                <w:b/>
                <w:sz w:val="16"/>
                <w:szCs w:val="16"/>
              </w:rPr>
            </w:pPr>
            <w:r w:rsidRPr="008A7487">
              <w:rPr>
                <w:rFonts w:ascii="Times New Roman" w:hAnsi="Times New Roman" w:cs="Times New Roman"/>
                <w:b/>
                <w:sz w:val="16"/>
                <w:szCs w:val="16"/>
              </w:rPr>
              <w:t>During the crisis</w:t>
            </w:r>
          </w:p>
          <w:p w14:paraId="3C563156" w14:textId="77777777" w:rsidR="00B75F05" w:rsidRPr="008A7487" w:rsidRDefault="00B75F05" w:rsidP="00C21D6F">
            <w:pPr>
              <w:contextualSpacing/>
              <w:rPr>
                <w:rFonts w:ascii="Times New Roman" w:hAnsi="Times New Roman" w:cs="Times New Roman"/>
                <w:b/>
                <w:sz w:val="16"/>
                <w:szCs w:val="16"/>
              </w:rPr>
            </w:pPr>
            <w:r w:rsidRPr="008A7487">
              <w:rPr>
                <w:rFonts w:ascii="Times New Roman" w:hAnsi="Times New Roman" w:cs="Times New Roman"/>
                <w:b/>
                <w:sz w:val="16"/>
                <w:szCs w:val="16"/>
              </w:rPr>
              <w:t>(2007-2009)</w:t>
            </w:r>
          </w:p>
        </w:tc>
        <w:tc>
          <w:tcPr>
            <w:tcW w:w="2187" w:type="dxa"/>
            <w:gridSpan w:val="2"/>
          </w:tcPr>
          <w:p w14:paraId="51AF8D27" w14:textId="77777777" w:rsidR="00B75F05" w:rsidRPr="008A7487" w:rsidRDefault="00B75F05" w:rsidP="00C21D6F">
            <w:pPr>
              <w:contextualSpacing/>
              <w:rPr>
                <w:rFonts w:ascii="Times New Roman" w:hAnsi="Times New Roman" w:cs="Times New Roman"/>
                <w:b/>
                <w:sz w:val="16"/>
                <w:szCs w:val="16"/>
              </w:rPr>
            </w:pPr>
            <w:r w:rsidRPr="008A7487">
              <w:rPr>
                <w:rFonts w:ascii="Times New Roman" w:hAnsi="Times New Roman" w:cs="Times New Roman"/>
                <w:b/>
                <w:sz w:val="16"/>
                <w:szCs w:val="16"/>
              </w:rPr>
              <w:t>After the crisis (2010-2013)</w:t>
            </w:r>
          </w:p>
        </w:tc>
      </w:tr>
      <w:tr w:rsidR="00B75F05" w:rsidRPr="008A7487" w14:paraId="34AED84B" w14:textId="77777777" w:rsidTr="00C21D6F">
        <w:tc>
          <w:tcPr>
            <w:tcW w:w="1186" w:type="dxa"/>
          </w:tcPr>
          <w:p w14:paraId="298B6DE2" w14:textId="77777777" w:rsidR="00B75F05" w:rsidRPr="008A7487" w:rsidRDefault="00B75F05" w:rsidP="00C21D6F">
            <w:pPr>
              <w:spacing w:line="480" w:lineRule="auto"/>
              <w:contextualSpacing/>
              <w:rPr>
                <w:rFonts w:ascii="Times New Roman" w:hAnsi="Times New Roman" w:cs="Times New Roman"/>
                <w:sz w:val="16"/>
                <w:szCs w:val="16"/>
              </w:rPr>
            </w:pPr>
          </w:p>
        </w:tc>
        <w:tc>
          <w:tcPr>
            <w:tcW w:w="973" w:type="dxa"/>
            <w:vAlign w:val="bottom"/>
          </w:tcPr>
          <w:p w14:paraId="65032E52" w14:textId="77777777" w:rsidR="00B75F05" w:rsidRPr="008A7487" w:rsidRDefault="00B75F05" w:rsidP="00C21D6F">
            <w:pPr>
              <w:autoSpaceDE w:val="0"/>
              <w:autoSpaceDN w:val="0"/>
              <w:adjustRightInd w:val="0"/>
              <w:ind w:right="10"/>
              <w:jc w:val="right"/>
              <w:rPr>
                <w:rFonts w:ascii="Times New Roman" w:hAnsi="Times New Roman" w:cs="Times New Roman"/>
                <w:color w:val="000000"/>
                <w:sz w:val="16"/>
                <w:szCs w:val="16"/>
                <w:lang w:val="en-GB"/>
              </w:rPr>
            </w:pPr>
            <w:r w:rsidRPr="008A7487">
              <w:rPr>
                <w:rFonts w:ascii="Times New Roman" w:hAnsi="Times New Roman" w:cs="Times New Roman"/>
                <w:color w:val="000000"/>
                <w:sz w:val="16"/>
                <w:szCs w:val="16"/>
                <w:lang w:val="en-GB"/>
              </w:rPr>
              <w:t>ROA</w:t>
            </w:r>
          </w:p>
        </w:tc>
        <w:tc>
          <w:tcPr>
            <w:tcW w:w="974" w:type="dxa"/>
            <w:vAlign w:val="bottom"/>
          </w:tcPr>
          <w:p w14:paraId="4614FAF9" w14:textId="77777777" w:rsidR="00B75F05" w:rsidRPr="008A7487" w:rsidRDefault="00B75F05" w:rsidP="00C21D6F">
            <w:pPr>
              <w:autoSpaceDE w:val="0"/>
              <w:autoSpaceDN w:val="0"/>
              <w:adjustRightInd w:val="0"/>
              <w:ind w:right="10"/>
              <w:jc w:val="right"/>
              <w:rPr>
                <w:rFonts w:ascii="Times New Roman" w:hAnsi="Times New Roman" w:cs="Times New Roman"/>
                <w:color w:val="000000"/>
                <w:sz w:val="16"/>
                <w:szCs w:val="16"/>
                <w:lang w:val="en-GB"/>
              </w:rPr>
            </w:pPr>
            <w:r w:rsidRPr="008A7487">
              <w:rPr>
                <w:rFonts w:ascii="Times New Roman" w:hAnsi="Times New Roman" w:cs="Times New Roman"/>
                <w:color w:val="000000"/>
                <w:sz w:val="16"/>
                <w:szCs w:val="16"/>
                <w:lang w:val="en-GB"/>
              </w:rPr>
              <w:t>NIM</w:t>
            </w:r>
          </w:p>
        </w:tc>
        <w:tc>
          <w:tcPr>
            <w:tcW w:w="950" w:type="dxa"/>
            <w:vAlign w:val="bottom"/>
          </w:tcPr>
          <w:p w14:paraId="2DECED9D" w14:textId="77777777" w:rsidR="00B75F05" w:rsidRPr="008A7487" w:rsidRDefault="00B75F05" w:rsidP="00C21D6F">
            <w:pPr>
              <w:autoSpaceDE w:val="0"/>
              <w:autoSpaceDN w:val="0"/>
              <w:adjustRightInd w:val="0"/>
              <w:ind w:right="10"/>
              <w:jc w:val="right"/>
              <w:rPr>
                <w:rFonts w:ascii="Times New Roman" w:hAnsi="Times New Roman" w:cs="Times New Roman"/>
                <w:color w:val="000000"/>
                <w:sz w:val="16"/>
                <w:szCs w:val="16"/>
                <w:lang w:val="en-GB"/>
              </w:rPr>
            </w:pPr>
            <w:r w:rsidRPr="008A7487">
              <w:rPr>
                <w:rFonts w:ascii="Times New Roman" w:hAnsi="Times New Roman" w:cs="Times New Roman"/>
                <w:color w:val="000000"/>
                <w:sz w:val="16"/>
                <w:szCs w:val="16"/>
                <w:lang w:val="en-GB"/>
              </w:rPr>
              <w:t>ROA</w:t>
            </w:r>
          </w:p>
        </w:tc>
        <w:tc>
          <w:tcPr>
            <w:tcW w:w="960" w:type="dxa"/>
            <w:vAlign w:val="bottom"/>
          </w:tcPr>
          <w:p w14:paraId="75645AA0" w14:textId="77777777" w:rsidR="00B75F05" w:rsidRPr="008A7487" w:rsidRDefault="00B75F05" w:rsidP="00C21D6F">
            <w:pPr>
              <w:autoSpaceDE w:val="0"/>
              <w:autoSpaceDN w:val="0"/>
              <w:adjustRightInd w:val="0"/>
              <w:ind w:right="10"/>
              <w:jc w:val="right"/>
              <w:rPr>
                <w:rFonts w:ascii="Times New Roman" w:hAnsi="Times New Roman" w:cs="Times New Roman"/>
                <w:color w:val="000000"/>
                <w:sz w:val="16"/>
                <w:szCs w:val="16"/>
                <w:lang w:val="en-GB"/>
              </w:rPr>
            </w:pPr>
            <w:r w:rsidRPr="008A7487">
              <w:rPr>
                <w:rFonts w:ascii="Times New Roman" w:hAnsi="Times New Roman" w:cs="Times New Roman"/>
                <w:color w:val="000000"/>
                <w:sz w:val="16"/>
                <w:szCs w:val="16"/>
                <w:lang w:val="en-GB"/>
              </w:rPr>
              <w:t xml:space="preserve">NIM </w:t>
            </w:r>
          </w:p>
        </w:tc>
        <w:tc>
          <w:tcPr>
            <w:tcW w:w="957" w:type="dxa"/>
            <w:vAlign w:val="bottom"/>
          </w:tcPr>
          <w:p w14:paraId="25F5ADFA" w14:textId="77777777" w:rsidR="00B75F05" w:rsidRPr="008A7487" w:rsidRDefault="00B75F05" w:rsidP="00C21D6F">
            <w:pPr>
              <w:autoSpaceDE w:val="0"/>
              <w:autoSpaceDN w:val="0"/>
              <w:adjustRightInd w:val="0"/>
              <w:ind w:right="10"/>
              <w:jc w:val="right"/>
              <w:rPr>
                <w:rFonts w:ascii="Times New Roman" w:hAnsi="Times New Roman" w:cs="Times New Roman"/>
                <w:color w:val="000000"/>
                <w:sz w:val="16"/>
                <w:szCs w:val="16"/>
                <w:lang w:val="en-GB"/>
              </w:rPr>
            </w:pPr>
            <w:r w:rsidRPr="008A7487">
              <w:rPr>
                <w:rFonts w:ascii="Times New Roman" w:hAnsi="Times New Roman" w:cs="Times New Roman"/>
                <w:color w:val="000000"/>
                <w:sz w:val="16"/>
                <w:szCs w:val="16"/>
                <w:lang w:val="en-GB"/>
              </w:rPr>
              <w:t xml:space="preserve">ROA </w:t>
            </w:r>
          </w:p>
        </w:tc>
        <w:tc>
          <w:tcPr>
            <w:tcW w:w="1230" w:type="dxa"/>
            <w:vAlign w:val="bottom"/>
          </w:tcPr>
          <w:p w14:paraId="5D20216A" w14:textId="77777777" w:rsidR="00B75F05" w:rsidRPr="008A7487" w:rsidRDefault="00B75F05" w:rsidP="00C21D6F">
            <w:pPr>
              <w:autoSpaceDE w:val="0"/>
              <w:autoSpaceDN w:val="0"/>
              <w:adjustRightInd w:val="0"/>
              <w:ind w:right="10"/>
              <w:jc w:val="right"/>
              <w:rPr>
                <w:rFonts w:ascii="Times New Roman" w:hAnsi="Times New Roman" w:cs="Times New Roman"/>
                <w:color w:val="000000"/>
                <w:sz w:val="16"/>
                <w:szCs w:val="16"/>
                <w:lang w:val="en-GB"/>
              </w:rPr>
            </w:pPr>
            <w:r w:rsidRPr="008A7487">
              <w:rPr>
                <w:rFonts w:ascii="Times New Roman" w:hAnsi="Times New Roman" w:cs="Times New Roman"/>
                <w:color w:val="000000"/>
                <w:sz w:val="16"/>
                <w:szCs w:val="16"/>
                <w:lang w:val="en-GB"/>
              </w:rPr>
              <w:t xml:space="preserve">NIM  </w:t>
            </w:r>
          </w:p>
        </w:tc>
      </w:tr>
      <w:tr w:rsidR="00B75F05" w:rsidRPr="008A7487" w14:paraId="012027E8" w14:textId="77777777" w:rsidTr="00C21D6F">
        <w:tc>
          <w:tcPr>
            <w:tcW w:w="1186" w:type="dxa"/>
          </w:tcPr>
          <w:p w14:paraId="32AC8798" w14:textId="77777777" w:rsidR="00B75F05" w:rsidRPr="008A7487" w:rsidRDefault="00B75F05" w:rsidP="00C21D6F">
            <w:pPr>
              <w:spacing w:line="480" w:lineRule="auto"/>
              <w:contextualSpacing/>
              <w:rPr>
                <w:rFonts w:ascii="Times New Roman" w:hAnsi="Times New Roman" w:cs="Times New Roman"/>
                <w:sz w:val="16"/>
                <w:szCs w:val="16"/>
              </w:rPr>
            </w:pPr>
            <w:r w:rsidRPr="008A7487">
              <w:rPr>
                <w:rFonts w:ascii="Times New Roman" w:hAnsi="Times New Roman" w:cs="Times New Roman"/>
                <w:sz w:val="16"/>
                <w:szCs w:val="16"/>
              </w:rPr>
              <w:t>LNSIZE</w:t>
            </w:r>
          </w:p>
        </w:tc>
        <w:tc>
          <w:tcPr>
            <w:tcW w:w="973" w:type="dxa"/>
            <w:vAlign w:val="bottom"/>
          </w:tcPr>
          <w:p w14:paraId="1FDA9D99" w14:textId="77777777" w:rsidR="00B75F05" w:rsidRPr="008A7487" w:rsidRDefault="00B75F05" w:rsidP="00C21D6F">
            <w:pPr>
              <w:autoSpaceDE w:val="0"/>
              <w:autoSpaceDN w:val="0"/>
              <w:adjustRightInd w:val="0"/>
              <w:ind w:right="10"/>
              <w:rPr>
                <w:rFonts w:ascii="Times New Roman" w:hAnsi="Times New Roman" w:cs="Times New Roman"/>
                <w:color w:val="000000"/>
                <w:sz w:val="16"/>
                <w:szCs w:val="16"/>
                <w:lang w:val="en-GB"/>
              </w:rPr>
            </w:pPr>
            <w:r w:rsidRPr="008A7487">
              <w:rPr>
                <w:rFonts w:ascii="Times New Roman" w:hAnsi="Times New Roman" w:cs="Times New Roman"/>
                <w:color w:val="000000"/>
                <w:sz w:val="16"/>
                <w:szCs w:val="16"/>
                <w:lang w:val="en-GB"/>
              </w:rPr>
              <w:t xml:space="preserve"> Yes (+)</w:t>
            </w:r>
          </w:p>
        </w:tc>
        <w:tc>
          <w:tcPr>
            <w:tcW w:w="974" w:type="dxa"/>
            <w:vAlign w:val="bottom"/>
          </w:tcPr>
          <w:p w14:paraId="20DCC615" w14:textId="77777777" w:rsidR="00B75F05" w:rsidRPr="008A7487" w:rsidRDefault="00B75F05" w:rsidP="00C21D6F">
            <w:pPr>
              <w:autoSpaceDE w:val="0"/>
              <w:autoSpaceDN w:val="0"/>
              <w:adjustRightInd w:val="0"/>
              <w:ind w:right="10"/>
              <w:rPr>
                <w:rFonts w:ascii="Times New Roman" w:hAnsi="Times New Roman" w:cs="Times New Roman"/>
                <w:color w:val="000000"/>
                <w:sz w:val="16"/>
                <w:szCs w:val="16"/>
                <w:lang w:val="en-GB"/>
              </w:rPr>
            </w:pPr>
            <w:r w:rsidRPr="008A7487">
              <w:rPr>
                <w:rFonts w:ascii="Times New Roman" w:hAnsi="Times New Roman" w:cs="Times New Roman"/>
                <w:color w:val="000000"/>
                <w:sz w:val="16"/>
                <w:szCs w:val="16"/>
                <w:lang w:val="en-GB"/>
              </w:rPr>
              <w:t>No</w:t>
            </w:r>
          </w:p>
        </w:tc>
        <w:tc>
          <w:tcPr>
            <w:tcW w:w="950" w:type="dxa"/>
            <w:vAlign w:val="bottom"/>
          </w:tcPr>
          <w:p w14:paraId="50A7E2C1" w14:textId="77777777" w:rsidR="00B75F05" w:rsidRPr="008A7487" w:rsidRDefault="00B75F05" w:rsidP="00C21D6F">
            <w:pPr>
              <w:autoSpaceDE w:val="0"/>
              <w:autoSpaceDN w:val="0"/>
              <w:adjustRightInd w:val="0"/>
              <w:ind w:right="10"/>
              <w:rPr>
                <w:rFonts w:ascii="Times New Roman" w:hAnsi="Times New Roman" w:cs="Times New Roman"/>
                <w:color w:val="000000"/>
                <w:sz w:val="16"/>
                <w:szCs w:val="16"/>
                <w:lang w:val="en-GB"/>
              </w:rPr>
            </w:pPr>
            <w:r w:rsidRPr="008A7487">
              <w:rPr>
                <w:rFonts w:ascii="Times New Roman" w:hAnsi="Times New Roman" w:cs="Times New Roman"/>
                <w:color w:val="000000"/>
                <w:sz w:val="16"/>
                <w:szCs w:val="16"/>
                <w:lang w:val="en-GB"/>
              </w:rPr>
              <w:t>Yes (+)</w:t>
            </w:r>
          </w:p>
        </w:tc>
        <w:tc>
          <w:tcPr>
            <w:tcW w:w="960" w:type="dxa"/>
            <w:vAlign w:val="bottom"/>
          </w:tcPr>
          <w:p w14:paraId="53B2D8C2" w14:textId="77777777" w:rsidR="00B75F05" w:rsidRPr="008A7487" w:rsidRDefault="00B75F05" w:rsidP="00C21D6F">
            <w:pPr>
              <w:autoSpaceDE w:val="0"/>
              <w:autoSpaceDN w:val="0"/>
              <w:adjustRightInd w:val="0"/>
              <w:ind w:right="10"/>
              <w:rPr>
                <w:rFonts w:ascii="Times New Roman" w:hAnsi="Times New Roman" w:cs="Times New Roman"/>
                <w:color w:val="000000"/>
                <w:sz w:val="16"/>
                <w:szCs w:val="16"/>
                <w:lang w:val="en-GB"/>
              </w:rPr>
            </w:pPr>
            <w:r w:rsidRPr="008A7487">
              <w:rPr>
                <w:rFonts w:ascii="Times New Roman" w:hAnsi="Times New Roman" w:cs="Times New Roman"/>
                <w:color w:val="000000"/>
                <w:sz w:val="16"/>
                <w:szCs w:val="16"/>
                <w:lang w:val="en-GB"/>
              </w:rPr>
              <w:t>Yes (+)</w:t>
            </w:r>
          </w:p>
        </w:tc>
        <w:tc>
          <w:tcPr>
            <w:tcW w:w="957" w:type="dxa"/>
            <w:vAlign w:val="bottom"/>
          </w:tcPr>
          <w:p w14:paraId="0F3271BB" w14:textId="77777777" w:rsidR="00B75F05" w:rsidRPr="008A7487" w:rsidRDefault="00B75F05" w:rsidP="00C21D6F">
            <w:pPr>
              <w:autoSpaceDE w:val="0"/>
              <w:autoSpaceDN w:val="0"/>
              <w:adjustRightInd w:val="0"/>
              <w:ind w:right="10"/>
              <w:rPr>
                <w:rFonts w:ascii="Times New Roman" w:hAnsi="Times New Roman" w:cs="Times New Roman"/>
                <w:color w:val="000000"/>
                <w:sz w:val="16"/>
                <w:szCs w:val="16"/>
                <w:lang w:val="en-GB"/>
              </w:rPr>
            </w:pPr>
            <w:r w:rsidRPr="008A7487">
              <w:rPr>
                <w:rFonts w:ascii="Times New Roman" w:hAnsi="Times New Roman" w:cs="Times New Roman"/>
                <w:color w:val="000000"/>
                <w:sz w:val="16"/>
                <w:szCs w:val="16"/>
                <w:lang w:val="en-GB"/>
              </w:rPr>
              <w:t>Yes (+)</w:t>
            </w:r>
          </w:p>
        </w:tc>
        <w:tc>
          <w:tcPr>
            <w:tcW w:w="1230" w:type="dxa"/>
            <w:vAlign w:val="bottom"/>
          </w:tcPr>
          <w:p w14:paraId="1D41D1F3" w14:textId="77777777" w:rsidR="00B75F05" w:rsidRPr="008A7487" w:rsidRDefault="00B75F05" w:rsidP="00C21D6F">
            <w:pPr>
              <w:autoSpaceDE w:val="0"/>
              <w:autoSpaceDN w:val="0"/>
              <w:adjustRightInd w:val="0"/>
              <w:ind w:right="10"/>
              <w:rPr>
                <w:rFonts w:ascii="Times New Roman" w:hAnsi="Times New Roman" w:cs="Times New Roman"/>
                <w:color w:val="000000"/>
                <w:sz w:val="16"/>
                <w:szCs w:val="16"/>
                <w:lang w:val="en-GB"/>
              </w:rPr>
            </w:pPr>
            <w:r w:rsidRPr="008A7487">
              <w:rPr>
                <w:rFonts w:ascii="Times New Roman" w:hAnsi="Times New Roman" w:cs="Times New Roman"/>
                <w:color w:val="000000"/>
                <w:sz w:val="16"/>
                <w:szCs w:val="16"/>
                <w:lang w:val="en-GB"/>
              </w:rPr>
              <w:t>Yes (+)</w:t>
            </w:r>
          </w:p>
        </w:tc>
      </w:tr>
      <w:tr w:rsidR="00B75F05" w:rsidRPr="008A7487" w14:paraId="12A48BD9" w14:textId="77777777" w:rsidTr="00C21D6F">
        <w:tc>
          <w:tcPr>
            <w:tcW w:w="1186" w:type="dxa"/>
          </w:tcPr>
          <w:p w14:paraId="49A78D7A" w14:textId="77777777" w:rsidR="00B75F05" w:rsidRPr="008A7487" w:rsidRDefault="00B75F05" w:rsidP="00C21D6F">
            <w:pPr>
              <w:spacing w:line="480" w:lineRule="auto"/>
              <w:contextualSpacing/>
              <w:rPr>
                <w:rFonts w:ascii="Times New Roman" w:hAnsi="Times New Roman" w:cs="Times New Roman"/>
                <w:sz w:val="16"/>
                <w:szCs w:val="16"/>
              </w:rPr>
            </w:pPr>
            <w:r w:rsidRPr="008A7487">
              <w:rPr>
                <w:rFonts w:ascii="Times New Roman" w:hAnsi="Times New Roman" w:cs="Times New Roman"/>
                <w:sz w:val="16"/>
                <w:szCs w:val="16"/>
              </w:rPr>
              <w:t>CAP</w:t>
            </w:r>
          </w:p>
        </w:tc>
        <w:tc>
          <w:tcPr>
            <w:tcW w:w="973" w:type="dxa"/>
            <w:vAlign w:val="bottom"/>
          </w:tcPr>
          <w:p w14:paraId="3BEB62E1" w14:textId="77777777" w:rsidR="00B75F05" w:rsidRPr="008A7487" w:rsidRDefault="00B75F05" w:rsidP="00C21D6F">
            <w:pPr>
              <w:autoSpaceDE w:val="0"/>
              <w:autoSpaceDN w:val="0"/>
              <w:adjustRightInd w:val="0"/>
              <w:ind w:right="10"/>
              <w:rPr>
                <w:rFonts w:ascii="Times New Roman" w:hAnsi="Times New Roman" w:cs="Times New Roman"/>
                <w:color w:val="000000"/>
                <w:sz w:val="16"/>
                <w:szCs w:val="16"/>
                <w:lang w:val="en-GB"/>
              </w:rPr>
            </w:pPr>
            <w:r w:rsidRPr="008A7487">
              <w:rPr>
                <w:rFonts w:ascii="Times New Roman" w:hAnsi="Times New Roman" w:cs="Times New Roman"/>
                <w:color w:val="000000"/>
                <w:sz w:val="16"/>
                <w:szCs w:val="16"/>
                <w:lang w:val="en-GB"/>
              </w:rPr>
              <w:t>Yes (+)</w:t>
            </w:r>
          </w:p>
        </w:tc>
        <w:tc>
          <w:tcPr>
            <w:tcW w:w="974" w:type="dxa"/>
            <w:vAlign w:val="bottom"/>
          </w:tcPr>
          <w:p w14:paraId="503D23B6" w14:textId="77777777" w:rsidR="00B75F05" w:rsidRPr="008A7487" w:rsidRDefault="00B75F05" w:rsidP="00C21D6F">
            <w:pPr>
              <w:autoSpaceDE w:val="0"/>
              <w:autoSpaceDN w:val="0"/>
              <w:adjustRightInd w:val="0"/>
              <w:ind w:right="10"/>
              <w:rPr>
                <w:rFonts w:ascii="Times New Roman" w:hAnsi="Times New Roman" w:cs="Times New Roman"/>
                <w:color w:val="000000"/>
                <w:sz w:val="16"/>
                <w:szCs w:val="16"/>
                <w:lang w:val="en-GB"/>
              </w:rPr>
            </w:pPr>
            <w:r w:rsidRPr="008A7487">
              <w:rPr>
                <w:rFonts w:ascii="Times New Roman" w:hAnsi="Times New Roman" w:cs="Times New Roman"/>
                <w:color w:val="000000"/>
                <w:sz w:val="16"/>
                <w:szCs w:val="16"/>
                <w:lang w:val="en-GB"/>
              </w:rPr>
              <w:t>No</w:t>
            </w:r>
          </w:p>
        </w:tc>
        <w:tc>
          <w:tcPr>
            <w:tcW w:w="950" w:type="dxa"/>
            <w:vAlign w:val="bottom"/>
          </w:tcPr>
          <w:p w14:paraId="548FCC04" w14:textId="77777777" w:rsidR="00B75F05" w:rsidRPr="008A7487" w:rsidRDefault="00B75F05" w:rsidP="00C21D6F">
            <w:pPr>
              <w:autoSpaceDE w:val="0"/>
              <w:autoSpaceDN w:val="0"/>
              <w:adjustRightInd w:val="0"/>
              <w:ind w:right="10"/>
              <w:rPr>
                <w:rFonts w:ascii="Times New Roman" w:hAnsi="Times New Roman" w:cs="Times New Roman"/>
                <w:color w:val="000000"/>
                <w:sz w:val="16"/>
                <w:szCs w:val="16"/>
                <w:lang w:val="en-GB"/>
              </w:rPr>
            </w:pPr>
            <w:r w:rsidRPr="008A7487">
              <w:rPr>
                <w:rFonts w:ascii="Times New Roman" w:hAnsi="Times New Roman" w:cs="Times New Roman"/>
                <w:color w:val="000000"/>
                <w:sz w:val="16"/>
                <w:szCs w:val="16"/>
                <w:lang w:val="en-GB"/>
              </w:rPr>
              <w:t>Yes (+)</w:t>
            </w:r>
          </w:p>
        </w:tc>
        <w:tc>
          <w:tcPr>
            <w:tcW w:w="960" w:type="dxa"/>
            <w:vAlign w:val="bottom"/>
          </w:tcPr>
          <w:p w14:paraId="2B92998F" w14:textId="77777777" w:rsidR="00B75F05" w:rsidRPr="008A7487" w:rsidRDefault="00B75F05" w:rsidP="00C21D6F">
            <w:pPr>
              <w:autoSpaceDE w:val="0"/>
              <w:autoSpaceDN w:val="0"/>
              <w:adjustRightInd w:val="0"/>
              <w:ind w:right="10"/>
              <w:rPr>
                <w:rFonts w:ascii="Times New Roman" w:hAnsi="Times New Roman" w:cs="Times New Roman"/>
                <w:color w:val="000000"/>
                <w:sz w:val="16"/>
                <w:szCs w:val="16"/>
                <w:lang w:val="en-GB"/>
              </w:rPr>
            </w:pPr>
            <w:r w:rsidRPr="008A7487">
              <w:rPr>
                <w:rFonts w:ascii="Times New Roman" w:hAnsi="Times New Roman" w:cs="Times New Roman"/>
                <w:color w:val="000000"/>
                <w:sz w:val="16"/>
                <w:szCs w:val="16"/>
                <w:lang w:val="en-GB"/>
              </w:rPr>
              <w:t>Yes (+)</w:t>
            </w:r>
          </w:p>
        </w:tc>
        <w:tc>
          <w:tcPr>
            <w:tcW w:w="957" w:type="dxa"/>
            <w:vAlign w:val="bottom"/>
          </w:tcPr>
          <w:p w14:paraId="3219D034" w14:textId="77777777" w:rsidR="00B75F05" w:rsidRPr="008A7487" w:rsidRDefault="00B75F05" w:rsidP="00C21D6F">
            <w:pPr>
              <w:autoSpaceDE w:val="0"/>
              <w:autoSpaceDN w:val="0"/>
              <w:adjustRightInd w:val="0"/>
              <w:ind w:right="10"/>
              <w:rPr>
                <w:rFonts w:ascii="Times New Roman" w:hAnsi="Times New Roman" w:cs="Times New Roman"/>
                <w:color w:val="000000"/>
                <w:sz w:val="16"/>
                <w:szCs w:val="16"/>
                <w:lang w:val="en-GB"/>
              </w:rPr>
            </w:pPr>
            <w:r w:rsidRPr="008A7487">
              <w:rPr>
                <w:rFonts w:ascii="Times New Roman" w:hAnsi="Times New Roman" w:cs="Times New Roman"/>
                <w:color w:val="000000"/>
                <w:sz w:val="16"/>
                <w:szCs w:val="16"/>
                <w:lang w:val="en-GB"/>
              </w:rPr>
              <w:t>No</w:t>
            </w:r>
          </w:p>
        </w:tc>
        <w:tc>
          <w:tcPr>
            <w:tcW w:w="1230" w:type="dxa"/>
            <w:vAlign w:val="bottom"/>
          </w:tcPr>
          <w:p w14:paraId="235518C9" w14:textId="77777777" w:rsidR="00B75F05" w:rsidRPr="008A7487" w:rsidRDefault="00B75F05" w:rsidP="00C21D6F">
            <w:pPr>
              <w:autoSpaceDE w:val="0"/>
              <w:autoSpaceDN w:val="0"/>
              <w:adjustRightInd w:val="0"/>
              <w:ind w:right="10"/>
              <w:rPr>
                <w:rFonts w:ascii="Times New Roman" w:hAnsi="Times New Roman" w:cs="Times New Roman"/>
                <w:color w:val="000000"/>
                <w:sz w:val="16"/>
                <w:szCs w:val="16"/>
                <w:lang w:val="en-GB"/>
              </w:rPr>
            </w:pPr>
            <w:r w:rsidRPr="008A7487">
              <w:rPr>
                <w:rFonts w:ascii="Times New Roman" w:hAnsi="Times New Roman" w:cs="Times New Roman"/>
                <w:color w:val="000000"/>
                <w:sz w:val="16"/>
                <w:szCs w:val="16"/>
                <w:lang w:val="en-GB"/>
              </w:rPr>
              <w:t>Yes (+)</w:t>
            </w:r>
          </w:p>
        </w:tc>
      </w:tr>
      <w:tr w:rsidR="00B75F05" w:rsidRPr="008A7487" w14:paraId="3A130E9A" w14:textId="77777777" w:rsidTr="00C21D6F">
        <w:tc>
          <w:tcPr>
            <w:tcW w:w="1186" w:type="dxa"/>
          </w:tcPr>
          <w:p w14:paraId="4D95B97B" w14:textId="77777777" w:rsidR="00B75F05" w:rsidRPr="008A7487" w:rsidRDefault="00B75F05" w:rsidP="00C21D6F">
            <w:pPr>
              <w:spacing w:line="480" w:lineRule="auto"/>
              <w:contextualSpacing/>
              <w:rPr>
                <w:rFonts w:ascii="Times New Roman" w:hAnsi="Times New Roman" w:cs="Times New Roman"/>
                <w:sz w:val="16"/>
                <w:szCs w:val="16"/>
              </w:rPr>
            </w:pPr>
            <w:r w:rsidRPr="008A7487">
              <w:rPr>
                <w:rFonts w:ascii="Times New Roman" w:hAnsi="Times New Roman" w:cs="Times New Roman"/>
                <w:sz w:val="16"/>
                <w:szCs w:val="16"/>
              </w:rPr>
              <w:t>CR</w:t>
            </w:r>
          </w:p>
        </w:tc>
        <w:tc>
          <w:tcPr>
            <w:tcW w:w="973" w:type="dxa"/>
            <w:vAlign w:val="bottom"/>
          </w:tcPr>
          <w:p w14:paraId="03F97FA0" w14:textId="77777777" w:rsidR="00B75F05" w:rsidRPr="008A7487" w:rsidRDefault="00B75F05" w:rsidP="00C21D6F">
            <w:pPr>
              <w:autoSpaceDE w:val="0"/>
              <w:autoSpaceDN w:val="0"/>
              <w:adjustRightInd w:val="0"/>
              <w:ind w:right="10"/>
              <w:rPr>
                <w:rFonts w:ascii="Times New Roman" w:hAnsi="Times New Roman" w:cs="Times New Roman"/>
                <w:color w:val="000000"/>
                <w:sz w:val="16"/>
                <w:szCs w:val="16"/>
                <w:lang w:val="en-GB"/>
              </w:rPr>
            </w:pPr>
            <w:r w:rsidRPr="008A7487">
              <w:rPr>
                <w:rFonts w:ascii="Times New Roman" w:hAnsi="Times New Roman" w:cs="Times New Roman"/>
                <w:color w:val="000000"/>
                <w:sz w:val="16"/>
                <w:szCs w:val="16"/>
                <w:lang w:val="en-GB"/>
              </w:rPr>
              <w:t>No</w:t>
            </w:r>
          </w:p>
        </w:tc>
        <w:tc>
          <w:tcPr>
            <w:tcW w:w="974" w:type="dxa"/>
            <w:vAlign w:val="bottom"/>
          </w:tcPr>
          <w:p w14:paraId="15A1CBBC" w14:textId="77777777" w:rsidR="00B75F05" w:rsidRPr="008A7487" w:rsidRDefault="00B75F05" w:rsidP="00C21D6F">
            <w:pPr>
              <w:autoSpaceDE w:val="0"/>
              <w:autoSpaceDN w:val="0"/>
              <w:adjustRightInd w:val="0"/>
              <w:ind w:right="10"/>
              <w:rPr>
                <w:rFonts w:ascii="Times New Roman" w:hAnsi="Times New Roman" w:cs="Times New Roman"/>
                <w:color w:val="000000"/>
                <w:sz w:val="16"/>
                <w:szCs w:val="16"/>
                <w:lang w:val="en-GB"/>
              </w:rPr>
            </w:pPr>
            <w:r w:rsidRPr="008A7487">
              <w:rPr>
                <w:rFonts w:ascii="Times New Roman" w:hAnsi="Times New Roman" w:cs="Times New Roman"/>
                <w:color w:val="000000"/>
                <w:sz w:val="16"/>
                <w:szCs w:val="16"/>
                <w:lang w:val="en-GB"/>
              </w:rPr>
              <w:t>No</w:t>
            </w:r>
          </w:p>
        </w:tc>
        <w:tc>
          <w:tcPr>
            <w:tcW w:w="950" w:type="dxa"/>
            <w:vAlign w:val="bottom"/>
          </w:tcPr>
          <w:p w14:paraId="7B119E05" w14:textId="77777777" w:rsidR="00B75F05" w:rsidRPr="008A7487" w:rsidRDefault="00B75F05" w:rsidP="00C21D6F">
            <w:pPr>
              <w:autoSpaceDE w:val="0"/>
              <w:autoSpaceDN w:val="0"/>
              <w:adjustRightInd w:val="0"/>
              <w:ind w:right="10"/>
              <w:rPr>
                <w:rFonts w:ascii="Times New Roman" w:hAnsi="Times New Roman" w:cs="Times New Roman"/>
                <w:color w:val="000000"/>
                <w:sz w:val="16"/>
                <w:szCs w:val="16"/>
                <w:lang w:val="en-GB"/>
              </w:rPr>
            </w:pPr>
            <w:r w:rsidRPr="008A7487">
              <w:rPr>
                <w:rFonts w:ascii="Times New Roman" w:hAnsi="Times New Roman" w:cs="Times New Roman"/>
                <w:color w:val="000000"/>
                <w:sz w:val="16"/>
                <w:szCs w:val="16"/>
                <w:lang w:val="en-GB"/>
              </w:rPr>
              <w:t>Yes (-)</w:t>
            </w:r>
          </w:p>
        </w:tc>
        <w:tc>
          <w:tcPr>
            <w:tcW w:w="960" w:type="dxa"/>
            <w:vAlign w:val="bottom"/>
          </w:tcPr>
          <w:p w14:paraId="6DE824E4" w14:textId="77777777" w:rsidR="00B75F05" w:rsidRPr="008A7487" w:rsidRDefault="00B75F05" w:rsidP="00C21D6F">
            <w:pPr>
              <w:autoSpaceDE w:val="0"/>
              <w:autoSpaceDN w:val="0"/>
              <w:adjustRightInd w:val="0"/>
              <w:ind w:right="10"/>
              <w:rPr>
                <w:rFonts w:ascii="Times New Roman" w:hAnsi="Times New Roman" w:cs="Times New Roman"/>
                <w:color w:val="000000"/>
                <w:sz w:val="16"/>
                <w:szCs w:val="16"/>
                <w:lang w:val="en-GB"/>
              </w:rPr>
            </w:pPr>
            <w:r w:rsidRPr="008A7487">
              <w:rPr>
                <w:rFonts w:ascii="Times New Roman" w:hAnsi="Times New Roman" w:cs="Times New Roman"/>
                <w:color w:val="000000"/>
                <w:sz w:val="16"/>
                <w:szCs w:val="16"/>
                <w:lang w:val="en-GB"/>
              </w:rPr>
              <w:t>Yes (+)</w:t>
            </w:r>
          </w:p>
        </w:tc>
        <w:tc>
          <w:tcPr>
            <w:tcW w:w="957" w:type="dxa"/>
            <w:vAlign w:val="bottom"/>
          </w:tcPr>
          <w:p w14:paraId="7DDC416D" w14:textId="77777777" w:rsidR="00B75F05" w:rsidRPr="008A7487" w:rsidRDefault="00B75F05" w:rsidP="00C21D6F">
            <w:pPr>
              <w:autoSpaceDE w:val="0"/>
              <w:autoSpaceDN w:val="0"/>
              <w:adjustRightInd w:val="0"/>
              <w:ind w:right="10"/>
              <w:rPr>
                <w:rFonts w:ascii="Times New Roman" w:hAnsi="Times New Roman" w:cs="Times New Roman"/>
                <w:color w:val="000000"/>
                <w:sz w:val="16"/>
                <w:szCs w:val="16"/>
                <w:lang w:val="en-GB"/>
              </w:rPr>
            </w:pPr>
            <w:r w:rsidRPr="008A7487">
              <w:rPr>
                <w:rFonts w:ascii="Times New Roman" w:hAnsi="Times New Roman" w:cs="Times New Roman"/>
                <w:color w:val="000000"/>
                <w:sz w:val="16"/>
                <w:szCs w:val="16"/>
                <w:lang w:val="en-GB"/>
              </w:rPr>
              <w:t>Yes (-)</w:t>
            </w:r>
          </w:p>
        </w:tc>
        <w:tc>
          <w:tcPr>
            <w:tcW w:w="1230" w:type="dxa"/>
            <w:vAlign w:val="bottom"/>
          </w:tcPr>
          <w:p w14:paraId="05C6E385" w14:textId="77777777" w:rsidR="00B75F05" w:rsidRPr="008A7487" w:rsidRDefault="00B75F05" w:rsidP="00C21D6F">
            <w:pPr>
              <w:autoSpaceDE w:val="0"/>
              <w:autoSpaceDN w:val="0"/>
              <w:adjustRightInd w:val="0"/>
              <w:ind w:right="10"/>
              <w:rPr>
                <w:rFonts w:ascii="Times New Roman" w:hAnsi="Times New Roman" w:cs="Times New Roman"/>
                <w:color w:val="000000"/>
                <w:sz w:val="16"/>
                <w:szCs w:val="16"/>
                <w:lang w:val="en-GB"/>
              </w:rPr>
            </w:pPr>
            <w:r w:rsidRPr="008A7487">
              <w:rPr>
                <w:rFonts w:ascii="Times New Roman" w:hAnsi="Times New Roman" w:cs="Times New Roman"/>
                <w:color w:val="000000"/>
                <w:sz w:val="16"/>
                <w:szCs w:val="16"/>
                <w:lang w:val="en-GB"/>
              </w:rPr>
              <w:t>No</w:t>
            </w:r>
          </w:p>
        </w:tc>
      </w:tr>
      <w:tr w:rsidR="00B75F05" w:rsidRPr="008A7487" w14:paraId="53318F96" w14:textId="77777777" w:rsidTr="00C21D6F">
        <w:tc>
          <w:tcPr>
            <w:tcW w:w="1186" w:type="dxa"/>
          </w:tcPr>
          <w:p w14:paraId="08240703" w14:textId="77777777" w:rsidR="00B75F05" w:rsidRPr="008A7487" w:rsidRDefault="00B75F05" w:rsidP="00C21D6F">
            <w:pPr>
              <w:spacing w:line="480" w:lineRule="auto"/>
              <w:contextualSpacing/>
              <w:rPr>
                <w:rFonts w:ascii="Times New Roman" w:hAnsi="Times New Roman" w:cs="Times New Roman"/>
                <w:sz w:val="16"/>
                <w:szCs w:val="16"/>
              </w:rPr>
            </w:pPr>
            <w:r w:rsidRPr="008A7487">
              <w:rPr>
                <w:rFonts w:ascii="Times New Roman" w:hAnsi="Times New Roman" w:cs="Times New Roman"/>
                <w:sz w:val="16"/>
                <w:szCs w:val="16"/>
              </w:rPr>
              <w:t>CM</w:t>
            </w:r>
          </w:p>
        </w:tc>
        <w:tc>
          <w:tcPr>
            <w:tcW w:w="973" w:type="dxa"/>
            <w:vAlign w:val="bottom"/>
          </w:tcPr>
          <w:p w14:paraId="692DA221" w14:textId="77777777" w:rsidR="00B75F05" w:rsidRPr="008A7487" w:rsidRDefault="00B75F05" w:rsidP="00C21D6F">
            <w:pPr>
              <w:autoSpaceDE w:val="0"/>
              <w:autoSpaceDN w:val="0"/>
              <w:adjustRightInd w:val="0"/>
              <w:ind w:right="10"/>
              <w:rPr>
                <w:rFonts w:ascii="Times New Roman" w:hAnsi="Times New Roman" w:cs="Times New Roman"/>
                <w:color w:val="000000"/>
                <w:sz w:val="16"/>
                <w:szCs w:val="16"/>
                <w:lang w:val="en-GB"/>
              </w:rPr>
            </w:pPr>
            <w:r w:rsidRPr="008A7487">
              <w:rPr>
                <w:rFonts w:ascii="Times New Roman" w:hAnsi="Times New Roman" w:cs="Times New Roman"/>
                <w:color w:val="000000"/>
                <w:sz w:val="16"/>
                <w:szCs w:val="16"/>
                <w:lang w:val="en-GB"/>
              </w:rPr>
              <w:t>Yes (-)</w:t>
            </w:r>
          </w:p>
        </w:tc>
        <w:tc>
          <w:tcPr>
            <w:tcW w:w="974" w:type="dxa"/>
            <w:vAlign w:val="bottom"/>
          </w:tcPr>
          <w:p w14:paraId="16B1B3FE" w14:textId="77777777" w:rsidR="00B75F05" w:rsidRPr="008A7487" w:rsidRDefault="00B75F05" w:rsidP="00C21D6F">
            <w:pPr>
              <w:autoSpaceDE w:val="0"/>
              <w:autoSpaceDN w:val="0"/>
              <w:adjustRightInd w:val="0"/>
              <w:ind w:right="10"/>
              <w:rPr>
                <w:rFonts w:ascii="Times New Roman" w:hAnsi="Times New Roman" w:cs="Times New Roman"/>
                <w:color w:val="000000"/>
                <w:sz w:val="16"/>
                <w:szCs w:val="16"/>
                <w:lang w:val="en-GB"/>
              </w:rPr>
            </w:pPr>
            <w:r w:rsidRPr="008A7487">
              <w:rPr>
                <w:rFonts w:ascii="Times New Roman" w:hAnsi="Times New Roman" w:cs="Times New Roman"/>
                <w:color w:val="000000"/>
                <w:sz w:val="16"/>
                <w:szCs w:val="16"/>
                <w:lang w:val="en-GB"/>
              </w:rPr>
              <w:t>Yes (-)</w:t>
            </w:r>
          </w:p>
        </w:tc>
        <w:tc>
          <w:tcPr>
            <w:tcW w:w="950" w:type="dxa"/>
            <w:vAlign w:val="bottom"/>
          </w:tcPr>
          <w:p w14:paraId="3A52CF3F" w14:textId="77777777" w:rsidR="00B75F05" w:rsidRPr="008A7487" w:rsidRDefault="00B75F05" w:rsidP="00C21D6F">
            <w:pPr>
              <w:autoSpaceDE w:val="0"/>
              <w:autoSpaceDN w:val="0"/>
              <w:adjustRightInd w:val="0"/>
              <w:ind w:right="10"/>
              <w:rPr>
                <w:rFonts w:ascii="Times New Roman" w:hAnsi="Times New Roman" w:cs="Times New Roman"/>
                <w:color w:val="000000"/>
                <w:sz w:val="16"/>
                <w:szCs w:val="16"/>
                <w:lang w:val="en-GB"/>
              </w:rPr>
            </w:pPr>
            <w:r w:rsidRPr="008A7487">
              <w:rPr>
                <w:rFonts w:ascii="Times New Roman" w:hAnsi="Times New Roman" w:cs="Times New Roman"/>
                <w:color w:val="000000"/>
                <w:sz w:val="16"/>
                <w:szCs w:val="16"/>
                <w:lang w:val="en-GB"/>
              </w:rPr>
              <w:t>Yes (-)</w:t>
            </w:r>
          </w:p>
        </w:tc>
        <w:tc>
          <w:tcPr>
            <w:tcW w:w="960" w:type="dxa"/>
            <w:vAlign w:val="bottom"/>
          </w:tcPr>
          <w:p w14:paraId="15E571AA" w14:textId="77777777" w:rsidR="00B75F05" w:rsidRPr="008A7487" w:rsidRDefault="00B75F05" w:rsidP="00C21D6F">
            <w:pPr>
              <w:autoSpaceDE w:val="0"/>
              <w:autoSpaceDN w:val="0"/>
              <w:adjustRightInd w:val="0"/>
              <w:ind w:right="10"/>
              <w:rPr>
                <w:rFonts w:ascii="Times New Roman" w:hAnsi="Times New Roman" w:cs="Times New Roman"/>
                <w:color w:val="000000"/>
                <w:sz w:val="16"/>
                <w:szCs w:val="16"/>
                <w:lang w:val="en-GB"/>
              </w:rPr>
            </w:pPr>
            <w:r w:rsidRPr="008A7487">
              <w:rPr>
                <w:rFonts w:ascii="Times New Roman" w:hAnsi="Times New Roman" w:cs="Times New Roman"/>
                <w:color w:val="000000"/>
                <w:sz w:val="16"/>
                <w:szCs w:val="16"/>
                <w:lang w:val="en-GB"/>
              </w:rPr>
              <w:t>No</w:t>
            </w:r>
          </w:p>
        </w:tc>
        <w:tc>
          <w:tcPr>
            <w:tcW w:w="957" w:type="dxa"/>
            <w:vAlign w:val="bottom"/>
          </w:tcPr>
          <w:p w14:paraId="1E464F11" w14:textId="77777777" w:rsidR="00B75F05" w:rsidRPr="008A7487" w:rsidRDefault="00B75F05" w:rsidP="00C21D6F">
            <w:pPr>
              <w:autoSpaceDE w:val="0"/>
              <w:autoSpaceDN w:val="0"/>
              <w:adjustRightInd w:val="0"/>
              <w:ind w:right="10"/>
              <w:rPr>
                <w:rFonts w:ascii="Times New Roman" w:hAnsi="Times New Roman" w:cs="Times New Roman"/>
                <w:color w:val="000000"/>
                <w:sz w:val="16"/>
                <w:szCs w:val="16"/>
                <w:lang w:val="en-GB"/>
              </w:rPr>
            </w:pPr>
            <w:r w:rsidRPr="008A7487">
              <w:rPr>
                <w:rFonts w:ascii="Times New Roman" w:hAnsi="Times New Roman" w:cs="Times New Roman"/>
                <w:color w:val="000000"/>
                <w:sz w:val="16"/>
                <w:szCs w:val="16"/>
                <w:lang w:val="en-GB"/>
              </w:rPr>
              <w:t>Yes (-)</w:t>
            </w:r>
          </w:p>
        </w:tc>
        <w:tc>
          <w:tcPr>
            <w:tcW w:w="1230" w:type="dxa"/>
            <w:vAlign w:val="bottom"/>
          </w:tcPr>
          <w:p w14:paraId="0A53FD85" w14:textId="77777777" w:rsidR="00B75F05" w:rsidRPr="008A7487" w:rsidRDefault="00B75F05" w:rsidP="00C21D6F">
            <w:pPr>
              <w:autoSpaceDE w:val="0"/>
              <w:autoSpaceDN w:val="0"/>
              <w:adjustRightInd w:val="0"/>
              <w:ind w:right="10"/>
              <w:rPr>
                <w:rFonts w:ascii="Times New Roman" w:hAnsi="Times New Roman" w:cs="Times New Roman"/>
                <w:color w:val="000000"/>
                <w:sz w:val="16"/>
                <w:szCs w:val="16"/>
                <w:lang w:val="en-GB"/>
              </w:rPr>
            </w:pPr>
            <w:r w:rsidRPr="008A7487">
              <w:rPr>
                <w:rFonts w:ascii="Times New Roman" w:hAnsi="Times New Roman" w:cs="Times New Roman"/>
                <w:color w:val="000000"/>
                <w:sz w:val="16"/>
                <w:szCs w:val="16"/>
                <w:lang w:val="en-GB"/>
              </w:rPr>
              <w:t>Yes (-)</w:t>
            </w:r>
          </w:p>
        </w:tc>
      </w:tr>
      <w:tr w:rsidR="00B75F05" w:rsidRPr="008A7487" w14:paraId="7A1AC926" w14:textId="77777777" w:rsidTr="00C21D6F">
        <w:tc>
          <w:tcPr>
            <w:tcW w:w="1186" w:type="dxa"/>
          </w:tcPr>
          <w:p w14:paraId="2F5E5724" w14:textId="77777777" w:rsidR="00B75F05" w:rsidRPr="008A7487" w:rsidRDefault="00B75F05" w:rsidP="00C21D6F">
            <w:pPr>
              <w:spacing w:line="480" w:lineRule="auto"/>
              <w:contextualSpacing/>
              <w:rPr>
                <w:rFonts w:ascii="Times New Roman" w:hAnsi="Times New Roman" w:cs="Times New Roman"/>
                <w:sz w:val="16"/>
                <w:szCs w:val="16"/>
              </w:rPr>
            </w:pPr>
            <w:r w:rsidRPr="008A7487">
              <w:rPr>
                <w:rFonts w:ascii="Times New Roman" w:hAnsi="Times New Roman" w:cs="Times New Roman"/>
                <w:sz w:val="16"/>
                <w:szCs w:val="16"/>
              </w:rPr>
              <w:t>LQ</w:t>
            </w:r>
          </w:p>
        </w:tc>
        <w:tc>
          <w:tcPr>
            <w:tcW w:w="973" w:type="dxa"/>
            <w:vAlign w:val="bottom"/>
          </w:tcPr>
          <w:p w14:paraId="5141DE43" w14:textId="77777777" w:rsidR="00B75F05" w:rsidRPr="008A7487" w:rsidRDefault="00B75F05" w:rsidP="00C21D6F">
            <w:pPr>
              <w:autoSpaceDE w:val="0"/>
              <w:autoSpaceDN w:val="0"/>
              <w:adjustRightInd w:val="0"/>
              <w:ind w:right="10"/>
              <w:rPr>
                <w:rFonts w:ascii="Times New Roman" w:hAnsi="Times New Roman" w:cs="Times New Roman"/>
                <w:color w:val="000000"/>
                <w:sz w:val="16"/>
                <w:szCs w:val="16"/>
                <w:lang w:val="en-GB"/>
              </w:rPr>
            </w:pPr>
            <w:r w:rsidRPr="008A7487">
              <w:rPr>
                <w:rFonts w:ascii="Times New Roman" w:hAnsi="Times New Roman" w:cs="Times New Roman"/>
                <w:color w:val="000000"/>
                <w:sz w:val="16"/>
                <w:szCs w:val="16"/>
                <w:lang w:val="en-GB"/>
              </w:rPr>
              <w:t>Yes (-)</w:t>
            </w:r>
          </w:p>
        </w:tc>
        <w:tc>
          <w:tcPr>
            <w:tcW w:w="974" w:type="dxa"/>
            <w:vAlign w:val="bottom"/>
          </w:tcPr>
          <w:p w14:paraId="66F8968A" w14:textId="77777777" w:rsidR="00B75F05" w:rsidRPr="008A7487" w:rsidRDefault="00B75F05" w:rsidP="00C21D6F">
            <w:pPr>
              <w:autoSpaceDE w:val="0"/>
              <w:autoSpaceDN w:val="0"/>
              <w:adjustRightInd w:val="0"/>
              <w:ind w:right="10"/>
              <w:rPr>
                <w:rFonts w:ascii="Times New Roman" w:hAnsi="Times New Roman" w:cs="Times New Roman"/>
                <w:color w:val="000000"/>
                <w:sz w:val="16"/>
                <w:szCs w:val="16"/>
                <w:lang w:val="en-GB"/>
              </w:rPr>
            </w:pPr>
            <w:r w:rsidRPr="008A7487">
              <w:rPr>
                <w:rFonts w:ascii="Times New Roman" w:hAnsi="Times New Roman" w:cs="Times New Roman"/>
                <w:color w:val="000000"/>
                <w:sz w:val="16"/>
                <w:szCs w:val="16"/>
                <w:lang w:val="en-GB"/>
              </w:rPr>
              <w:t>Yes (+)</w:t>
            </w:r>
          </w:p>
        </w:tc>
        <w:tc>
          <w:tcPr>
            <w:tcW w:w="950" w:type="dxa"/>
            <w:vAlign w:val="bottom"/>
          </w:tcPr>
          <w:p w14:paraId="69B4230B" w14:textId="77777777" w:rsidR="00B75F05" w:rsidRPr="008A7487" w:rsidRDefault="00B75F05" w:rsidP="00C21D6F">
            <w:pPr>
              <w:autoSpaceDE w:val="0"/>
              <w:autoSpaceDN w:val="0"/>
              <w:adjustRightInd w:val="0"/>
              <w:ind w:right="10"/>
              <w:rPr>
                <w:rFonts w:ascii="Times New Roman" w:hAnsi="Times New Roman" w:cs="Times New Roman"/>
                <w:color w:val="000000"/>
                <w:sz w:val="16"/>
                <w:szCs w:val="16"/>
                <w:lang w:val="en-GB"/>
              </w:rPr>
            </w:pPr>
            <w:r w:rsidRPr="008A7487">
              <w:rPr>
                <w:rFonts w:ascii="Times New Roman" w:hAnsi="Times New Roman" w:cs="Times New Roman"/>
                <w:color w:val="000000"/>
                <w:sz w:val="16"/>
                <w:szCs w:val="16"/>
                <w:lang w:val="en-GB"/>
              </w:rPr>
              <w:t>Yes (-)</w:t>
            </w:r>
          </w:p>
        </w:tc>
        <w:tc>
          <w:tcPr>
            <w:tcW w:w="960" w:type="dxa"/>
            <w:vAlign w:val="bottom"/>
          </w:tcPr>
          <w:p w14:paraId="3EB140F3" w14:textId="77777777" w:rsidR="00B75F05" w:rsidRPr="008A7487" w:rsidRDefault="00B75F05" w:rsidP="00C21D6F">
            <w:pPr>
              <w:autoSpaceDE w:val="0"/>
              <w:autoSpaceDN w:val="0"/>
              <w:adjustRightInd w:val="0"/>
              <w:ind w:right="10"/>
              <w:rPr>
                <w:rFonts w:ascii="Times New Roman" w:hAnsi="Times New Roman" w:cs="Times New Roman"/>
                <w:color w:val="000000"/>
                <w:sz w:val="16"/>
                <w:szCs w:val="16"/>
                <w:lang w:val="en-GB"/>
              </w:rPr>
            </w:pPr>
            <w:r w:rsidRPr="008A7487">
              <w:rPr>
                <w:rFonts w:ascii="Times New Roman" w:hAnsi="Times New Roman" w:cs="Times New Roman"/>
                <w:color w:val="000000"/>
                <w:sz w:val="16"/>
                <w:szCs w:val="16"/>
                <w:lang w:val="en-GB"/>
              </w:rPr>
              <w:t>Yes (-)</w:t>
            </w:r>
          </w:p>
        </w:tc>
        <w:tc>
          <w:tcPr>
            <w:tcW w:w="957" w:type="dxa"/>
            <w:vAlign w:val="bottom"/>
          </w:tcPr>
          <w:p w14:paraId="31158FF5" w14:textId="77777777" w:rsidR="00B75F05" w:rsidRPr="008A7487" w:rsidRDefault="00B75F05" w:rsidP="00C21D6F">
            <w:pPr>
              <w:autoSpaceDE w:val="0"/>
              <w:autoSpaceDN w:val="0"/>
              <w:adjustRightInd w:val="0"/>
              <w:ind w:right="10"/>
              <w:rPr>
                <w:rFonts w:ascii="Times New Roman" w:hAnsi="Times New Roman" w:cs="Times New Roman"/>
                <w:color w:val="000000"/>
                <w:sz w:val="16"/>
                <w:szCs w:val="16"/>
                <w:lang w:val="en-GB"/>
              </w:rPr>
            </w:pPr>
            <w:r w:rsidRPr="008A7487">
              <w:rPr>
                <w:rFonts w:ascii="Times New Roman" w:hAnsi="Times New Roman" w:cs="Times New Roman"/>
                <w:color w:val="000000"/>
                <w:sz w:val="16"/>
                <w:szCs w:val="16"/>
                <w:lang w:val="en-GB"/>
              </w:rPr>
              <w:t>Yes (-)</w:t>
            </w:r>
          </w:p>
        </w:tc>
        <w:tc>
          <w:tcPr>
            <w:tcW w:w="1230" w:type="dxa"/>
            <w:vAlign w:val="bottom"/>
          </w:tcPr>
          <w:p w14:paraId="23407024" w14:textId="77777777" w:rsidR="00B75F05" w:rsidRPr="008A7487" w:rsidRDefault="00B75F05" w:rsidP="00C21D6F">
            <w:pPr>
              <w:autoSpaceDE w:val="0"/>
              <w:autoSpaceDN w:val="0"/>
              <w:adjustRightInd w:val="0"/>
              <w:ind w:right="10"/>
              <w:rPr>
                <w:rFonts w:ascii="Times New Roman" w:hAnsi="Times New Roman" w:cs="Times New Roman"/>
                <w:color w:val="000000"/>
                <w:sz w:val="16"/>
                <w:szCs w:val="16"/>
                <w:lang w:val="en-GB"/>
              </w:rPr>
            </w:pPr>
            <w:r w:rsidRPr="008A7487">
              <w:rPr>
                <w:rFonts w:ascii="Times New Roman" w:hAnsi="Times New Roman" w:cs="Times New Roman"/>
                <w:color w:val="000000"/>
                <w:sz w:val="16"/>
                <w:szCs w:val="16"/>
                <w:lang w:val="en-GB"/>
              </w:rPr>
              <w:t>No</w:t>
            </w:r>
          </w:p>
        </w:tc>
      </w:tr>
      <w:tr w:rsidR="00B75F05" w:rsidRPr="008A7487" w14:paraId="3EEFA754" w14:textId="77777777" w:rsidTr="00C21D6F">
        <w:tc>
          <w:tcPr>
            <w:tcW w:w="1186" w:type="dxa"/>
          </w:tcPr>
          <w:p w14:paraId="70A3C038" w14:textId="77777777" w:rsidR="00B75F05" w:rsidRPr="008A7487" w:rsidRDefault="00B75F05" w:rsidP="00C21D6F">
            <w:pPr>
              <w:spacing w:line="480" w:lineRule="auto"/>
              <w:contextualSpacing/>
              <w:rPr>
                <w:rFonts w:ascii="Times New Roman" w:hAnsi="Times New Roman" w:cs="Times New Roman"/>
                <w:sz w:val="16"/>
                <w:szCs w:val="16"/>
              </w:rPr>
            </w:pPr>
            <w:r w:rsidRPr="008A7487">
              <w:rPr>
                <w:rFonts w:ascii="Times New Roman" w:hAnsi="Times New Roman" w:cs="Times New Roman"/>
                <w:sz w:val="16"/>
                <w:szCs w:val="16"/>
              </w:rPr>
              <w:t>MP</w:t>
            </w:r>
          </w:p>
        </w:tc>
        <w:tc>
          <w:tcPr>
            <w:tcW w:w="973" w:type="dxa"/>
            <w:vAlign w:val="bottom"/>
          </w:tcPr>
          <w:p w14:paraId="551229A4" w14:textId="77777777" w:rsidR="00B75F05" w:rsidRPr="008A7487" w:rsidRDefault="00B75F05" w:rsidP="00C21D6F">
            <w:pPr>
              <w:autoSpaceDE w:val="0"/>
              <w:autoSpaceDN w:val="0"/>
              <w:adjustRightInd w:val="0"/>
              <w:ind w:right="10"/>
              <w:rPr>
                <w:rFonts w:ascii="Times New Roman" w:hAnsi="Times New Roman" w:cs="Times New Roman"/>
                <w:color w:val="000000"/>
                <w:sz w:val="16"/>
                <w:szCs w:val="16"/>
                <w:lang w:val="en-GB"/>
              </w:rPr>
            </w:pPr>
            <w:r w:rsidRPr="008A7487">
              <w:rPr>
                <w:rFonts w:ascii="Times New Roman" w:hAnsi="Times New Roman" w:cs="Times New Roman"/>
                <w:color w:val="000000"/>
                <w:sz w:val="16"/>
                <w:szCs w:val="16"/>
                <w:lang w:val="en-GB"/>
              </w:rPr>
              <w:t>No</w:t>
            </w:r>
          </w:p>
        </w:tc>
        <w:tc>
          <w:tcPr>
            <w:tcW w:w="974" w:type="dxa"/>
            <w:vAlign w:val="bottom"/>
          </w:tcPr>
          <w:p w14:paraId="34D457D0" w14:textId="77777777" w:rsidR="00B75F05" w:rsidRPr="008A7487" w:rsidRDefault="00B75F05" w:rsidP="00C21D6F">
            <w:pPr>
              <w:autoSpaceDE w:val="0"/>
              <w:autoSpaceDN w:val="0"/>
              <w:adjustRightInd w:val="0"/>
              <w:ind w:right="10"/>
              <w:rPr>
                <w:rFonts w:ascii="Times New Roman" w:hAnsi="Times New Roman" w:cs="Times New Roman"/>
                <w:color w:val="000000"/>
                <w:sz w:val="16"/>
                <w:szCs w:val="16"/>
                <w:lang w:val="en-GB"/>
              </w:rPr>
            </w:pPr>
            <w:r w:rsidRPr="008A7487">
              <w:rPr>
                <w:rFonts w:ascii="Times New Roman" w:hAnsi="Times New Roman" w:cs="Times New Roman"/>
                <w:color w:val="000000"/>
                <w:sz w:val="16"/>
                <w:szCs w:val="16"/>
                <w:lang w:val="en-GB"/>
              </w:rPr>
              <w:t>No</w:t>
            </w:r>
          </w:p>
        </w:tc>
        <w:tc>
          <w:tcPr>
            <w:tcW w:w="950" w:type="dxa"/>
            <w:vAlign w:val="bottom"/>
          </w:tcPr>
          <w:p w14:paraId="51399B3B" w14:textId="77777777" w:rsidR="00B75F05" w:rsidRPr="008A7487" w:rsidRDefault="00B75F05" w:rsidP="00C21D6F">
            <w:pPr>
              <w:autoSpaceDE w:val="0"/>
              <w:autoSpaceDN w:val="0"/>
              <w:adjustRightInd w:val="0"/>
              <w:ind w:right="10"/>
              <w:rPr>
                <w:rFonts w:ascii="Times New Roman" w:hAnsi="Times New Roman" w:cs="Times New Roman"/>
                <w:color w:val="000000"/>
                <w:sz w:val="16"/>
                <w:szCs w:val="16"/>
                <w:lang w:val="en-GB"/>
              </w:rPr>
            </w:pPr>
            <w:r w:rsidRPr="008A7487">
              <w:rPr>
                <w:rFonts w:ascii="Times New Roman" w:hAnsi="Times New Roman" w:cs="Times New Roman"/>
                <w:color w:val="000000"/>
                <w:sz w:val="16"/>
                <w:szCs w:val="16"/>
                <w:lang w:val="en-GB"/>
              </w:rPr>
              <w:t>No</w:t>
            </w:r>
          </w:p>
        </w:tc>
        <w:tc>
          <w:tcPr>
            <w:tcW w:w="960" w:type="dxa"/>
            <w:vAlign w:val="bottom"/>
          </w:tcPr>
          <w:p w14:paraId="2A050A04" w14:textId="77777777" w:rsidR="00B75F05" w:rsidRPr="008A7487" w:rsidRDefault="00B75F05" w:rsidP="00C21D6F">
            <w:pPr>
              <w:autoSpaceDE w:val="0"/>
              <w:autoSpaceDN w:val="0"/>
              <w:adjustRightInd w:val="0"/>
              <w:ind w:right="10"/>
              <w:rPr>
                <w:rFonts w:ascii="Times New Roman" w:hAnsi="Times New Roman" w:cs="Times New Roman"/>
                <w:color w:val="000000"/>
                <w:sz w:val="16"/>
                <w:szCs w:val="16"/>
                <w:lang w:val="en-GB"/>
              </w:rPr>
            </w:pPr>
            <w:r w:rsidRPr="008A7487">
              <w:rPr>
                <w:rFonts w:ascii="Times New Roman" w:hAnsi="Times New Roman" w:cs="Times New Roman"/>
                <w:color w:val="000000"/>
                <w:sz w:val="16"/>
                <w:szCs w:val="16"/>
                <w:lang w:val="en-GB"/>
              </w:rPr>
              <w:t>No</w:t>
            </w:r>
          </w:p>
        </w:tc>
        <w:tc>
          <w:tcPr>
            <w:tcW w:w="957" w:type="dxa"/>
            <w:vAlign w:val="bottom"/>
          </w:tcPr>
          <w:p w14:paraId="1E5DFE4B" w14:textId="77777777" w:rsidR="00B75F05" w:rsidRPr="008A7487" w:rsidRDefault="00B75F05" w:rsidP="00C21D6F">
            <w:pPr>
              <w:autoSpaceDE w:val="0"/>
              <w:autoSpaceDN w:val="0"/>
              <w:adjustRightInd w:val="0"/>
              <w:ind w:right="10"/>
              <w:rPr>
                <w:rFonts w:ascii="Times New Roman" w:hAnsi="Times New Roman" w:cs="Times New Roman"/>
                <w:color w:val="000000"/>
                <w:sz w:val="16"/>
                <w:szCs w:val="16"/>
                <w:lang w:val="en-GB"/>
              </w:rPr>
            </w:pPr>
            <w:r w:rsidRPr="008A7487">
              <w:rPr>
                <w:rFonts w:ascii="Times New Roman" w:hAnsi="Times New Roman" w:cs="Times New Roman"/>
                <w:color w:val="000000"/>
                <w:sz w:val="16"/>
                <w:szCs w:val="16"/>
                <w:lang w:val="en-GB"/>
              </w:rPr>
              <w:t>No</w:t>
            </w:r>
          </w:p>
        </w:tc>
        <w:tc>
          <w:tcPr>
            <w:tcW w:w="1230" w:type="dxa"/>
            <w:vAlign w:val="bottom"/>
          </w:tcPr>
          <w:p w14:paraId="16F137A0" w14:textId="77777777" w:rsidR="00B75F05" w:rsidRPr="008A7487" w:rsidRDefault="00B75F05" w:rsidP="00C21D6F">
            <w:pPr>
              <w:autoSpaceDE w:val="0"/>
              <w:autoSpaceDN w:val="0"/>
              <w:adjustRightInd w:val="0"/>
              <w:ind w:right="10"/>
              <w:rPr>
                <w:rFonts w:ascii="Times New Roman" w:hAnsi="Times New Roman" w:cs="Times New Roman"/>
                <w:color w:val="000000"/>
                <w:sz w:val="16"/>
                <w:szCs w:val="16"/>
                <w:lang w:val="en-GB"/>
              </w:rPr>
            </w:pPr>
            <w:r w:rsidRPr="008A7487">
              <w:rPr>
                <w:rFonts w:ascii="Times New Roman" w:hAnsi="Times New Roman" w:cs="Times New Roman"/>
                <w:color w:val="000000"/>
                <w:sz w:val="16"/>
                <w:szCs w:val="16"/>
                <w:lang w:val="en-GB"/>
              </w:rPr>
              <w:t>Yes (+)</w:t>
            </w:r>
          </w:p>
        </w:tc>
      </w:tr>
      <w:tr w:rsidR="00B75F05" w:rsidRPr="008A7487" w14:paraId="5E647AB6" w14:textId="77777777" w:rsidTr="00C21D6F">
        <w:tc>
          <w:tcPr>
            <w:tcW w:w="1186" w:type="dxa"/>
          </w:tcPr>
          <w:p w14:paraId="0AF30FD2" w14:textId="77777777" w:rsidR="00B75F05" w:rsidRPr="008A7487" w:rsidRDefault="00B75F05" w:rsidP="00C21D6F">
            <w:pPr>
              <w:spacing w:line="480" w:lineRule="auto"/>
              <w:contextualSpacing/>
              <w:rPr>
                <w:rFonts w:ascii="Times New Roman" w:hAnsi="Times New Roman" w:cs="Times New Roman"/>
                <w:sz w:val="16"/>
                <w:szCs w:val="16"/>
              </w:rPr>
            </w:pPr>
            <w:r w:rsidRPr="008A7487">
              <w:rPr>
                <w:rFonts w:ascii="Times New Roman" w:hAnsi="Times New Roman" w:cs="Times New Roman"/>
                <w:sz w:val="16"/>
                <w:szCs w:val="16"/>
              </w:rPr>
              <w:t>ΔGDP</w:t>
            </w:r>
          </w:p>
        </w:tc>
        <w:tc>
          <w:tcPr>
            <w:tcW w:w="973" w:type="dxa"/>
            <w:vAlign w:val="bottom"/>
          </w:tcPr>
          <w:p w14:paraId="29B297A6" w14:textId="77777777" w:rsidR="00B75F05" w:rsidRPr="008A7487" w:rsidRDefault="00B75F05" w:rsidP="00C21D6F">
            <w:pPr>
              <w:autoSpaceDE w:val="0"/>
              <w:autoSpaceDN w:val="0"/>
              <w:adjustRightInd w:val="0"/>
              <w:ind w:right="10"/>
              <w:rPr>
                <w:rFonts w:ascii="Times New Roman" w:hAnsi="Times New Roman" w:cs="Times New Roman"/>
                <w:color w:val="000000"/>
                <w:sz w:val="16"/>
                <w:szCs w:val="16"/>
                <w:lang w:val="en-GB"/>
              </w:rPr>
            </w:pPr>
            <w:r w:rsidRPr="008A7487">
              <w:rPr>
                <w:rFonts w:ascii="Times New Roman" w:hAnsi="Times New Roman" w:cs="Times New Roman"/>
                <w:color w:val="000000"/>
                <w:sz w:val="16"/>
                <w:szCs w:val="16"/>
                <w:lang w:val="en-GB"/>
              </w:rPr>
              <w:t>No</w:t>
            </w:r>
          </w:p>
        </w:tc>
        <w:tc>
          <w:tcPr>
            <w:tcW w:w="974" w:type="dxa"/>
            <w:vAlign w:val="bottom"/>
          </w:tcPr>
          <w:p w14:paraId="43708329" w14:textId="77777777" w:rsidR="00B75F05" w:rsidRPr="008A7487" w:rsidRDefault="00B75F05" w:rsidP="00C21D6F">
            <w:pPr>
              <w:autoSpaceDE w:val="0"/>
              <w:autoSpaceDN w:val="0"/>
              <w:adjustRightInd w:val="0"/>
              <w:ind w:right="10"/>
              <w:rPr>
                <w:rFonts w:ascii="Times New Roman" w:hAnsi="Times New Roman" w:cs="Times New Roman"/>
                <w:color w:val="000000"/>
                <w:sz w:val="16"/>
                <w:szCs w:val="16"/>
                <w:lang w:val="en-GB"/>
              </w:rPr>
            </w:pPr>
            <w:r w:rsidRPr="008A7487">
              <w:rPr>
                <w:rFonts w:ascii="Times New Roman" w:hAnsi="Times New Roman" w:cs="Times New Roman"/>
                <w:color w:val="000000"/>
                <w:sz w:val="16"/>
                <w:szCs w:val="16"/>
                <w:lang w:val="en-GB"/>
              </w:rPr>
              <w:t>Yes (+)</w:t>
            </w:r>
          </w:p>
        </w:tc>
        <w:tc>
          <w:tcPr>
            <w:tcW w:w="950" w:type="dxa"/>
            <w:vAlign w:val="bottom"/>
          </w:tcPr>
          <w:p w14:paraId="4E649D27" w14:textId="77777777" w:rsidR="00B75F05" w:rsidRPr="008A7487" w:rsidRDefault="00B75F05" w:rsidP="00C21D6F">
            <w:pPr>
              <w:autoSpaceDE w:val="0"/>
              <w:autoSpaceDN w:val="0"/>
              <w:adjustRightInd w:val="0"/>
              <w:ind w:right="10"/>
              <w:rPr>
                <w:rFonts w:ascii="Times New Roman" w:hAnsi="Times New Roman" w:cs="Times New Roman"/>
                <w:color w:val="000000"/>
                <w:sz w:val="16"/>
                <w:szCs w:val="16"/>
                <w:lang w:val="en-GB"/>
              </w:rPr>
            </w:pPr>
            <w:r w:rsidRPr="008A7487">
              <w:rPr>
                <w:rFonts w:ascii="Times New Roman" w:hAnsi="Times New Roman" w:cs="Times New Roman"/>
                <w:color w:val="000000"/>
                <w:sz w:val="16"/>
                <w:szCs w:val="16"/>
                <w:lang w:val="en-GB"/>
              </w:rPr>
              <w:t>No</w:t>
            </w:r>
          </w:p>
        </w:tc>
        <w:tc>
          <w:tcPr>
            <w:tcW w:w="960" w:type="dxa"/>
            <w:vAlign w:val="bottom"/>
          </w:tcPr>
          <w:p w14:paraId="04EDB22B" w14:textId="77777777" w:rsidR="00B75F05" w:rsidRPr="008A7487" w:rsidRDefault="00B75F05" w:rsidP="00C21D6F">
            <w:pPr>
              <w:autoSpaceDE w:val="0"/>
              <w:autoSpaceDN w:val="0"/>
              <w:adjustRightInd w:val="0"/>
              <w:ind w:right="10"/>
              <w:rPr>
                <w:rFonts w:ascii="Times New Roman" w:hAnsi="Times New Roman" w:cs="Times New Roman"/>
                <w:color w:val="000000"/>
                <w:sz w:val="16"/>
                <w:szCs w:val="16"/>
                <w:lang w:val="en-GB"/>
              </w:rPr>
            </w:pPr>
            <w:r w:rsidRPr="008A7487">
              <w:rPr>
                <w:rFonts w:ascii="Times New Roman" w:hAnsi="Times New Roman" w:cs="Times New Roman"/>
                <w:color w:val="000000"/>
                <w:sz w:val="16"/>
                <w:szCs w:val="16"/>
                <w:lang w:val="en-GB"/>
              </w:rPr>
              <w:t>Yes (+)</w:t>
            </w:r>
          </w:p>
        </w:tc>
        <w:tc>
          <w:tcPr>
            <w:tcW w:w="957" w:type="dxa"/>
            <w:vAlign w:val="bottom"/>
          </w:tcPr>
          <w:p w14:paraId="2DD8DCA9" w14:textId="77777777" w:rsidR="00B75F05" w:rsidRPr="008A7487" w:rsidRDefault="00B75F05" w:rsidP="00C21D6F">
            <w:pPr>
              <w:autoSpaceDE w:val="0"/>
              <w:autoSpaceDN w:val="0"/>
              <w:adjustRightInd w:val="0"/>
              <w:ind w:right="10"/>
              <w:rPr>
                <w:rFonts w:ascii="Times New Roman" w:hAnsi="Times New Roman" w:cs="Times New Roman"/>
                <w:color w:val="000000"/>
                <w:sz w:val="16"/>
                <w:szCs w:val="16"/>
                <w:lang w:val="en-GB"/>
              </w:rPr>
            </w:pPr>
            <w:r w:rsidRPr="008A7487">
              <w:rPr>
                <w:rFonts w:ascii="Times New Roman" w:hAnsi="Times New Roman" w:cs="Times New Roman"/>
                <w:color w:val="000000"/>
                <w:sz w:val="16"/>
                <w:szCs w:val="16"/>
                <w:lang w:val="en-GB"/>
              </w:rPr>
              <w:t>No</w:t>
            </w:r>
          </w:p>
        </w:tc>
        <w:tc>
          <w:tcPr>
            <w:tcW w:w="1230" w:type="dxa"/>
            <w:vAlign w:val="bottom"/>
          </w:tcPr>
          <w:p w14:paraId="73960C58" w14:textId="77777777" w:rsidR="00B75F05" w:rsidRPr="008A7487" w:rsidRDefault="00B75F05" w:rsidP="00C21D6F">
            <w:pPr>
              <w:autoSpaceDE w:val="0"/>
              <w:autoSpaceDN w:val="0"/>
              <w:adjustRightInd w:val="0"/>
              <w:ind w:right="10"/>
              <w:rPr>
                <w:rFonts w:ascii="Times New Roman" w:hAnsi="Times New Roman" w:cs="Times New Roman"/>
                <w:color w:val="000000"/>
                <w:sz w:val="16"/>
                <w:szCs w:val="16"/>
                <w:lang w:val="en-GB"/>
              </w:rPr>
            </w:pPr>
            <w:r w:rsidRPr="008A7487">
              <w:rPr>
                <w:rFonts w:ascii="Times New Roman" w:hAnsi="Times New Roman" w:cs="Times New Roman"/>
                <w:color w:val="000000"/>
                <w:sz w:val="16"/>
                <w:szCs w:val="16"/>
                <w:lang w:val="en-GB"/>
              </w:rPr>
              <w:t>No</w:t>
            </w:r>
          </w:p>
        </w:tc>
      </w:tr>
      <w:tr w:rsidR="00B75F05" w:rsidRPr="008A7487" w14:paraId="1A6A3F0E" w14:textId="77777777" w:rsidTr="00C21D6F">
        <w:tc>
          <w:tcPr>
            <w:tcW w:w="1186" w:type="dxa"/>
          </w:tcPr>
          <w:p w14:paraId="4FC483F0" w14:textId="77777777" w:rsidR="00B75F05" w:rsidRPr="008A7487" w:rsidRDefault="00B75F05" w:rsidP="00C21D6F">
            <w:pPr>
              <w:spacing w:line="480" w:lineRule="auto"/>
              <w:contextualSpacing/>
              <w:rPr>
                <w:rFonts w:ascii="Times New Roman" w:hAnsi="Times New Roman" w:cs="Times New Roman"/>
                <w:sz w:val="16"/>
                <w:szCs w:val="16"/>
              </w:rPr>
            </w:pPr>
            <w:r w:rsidRPr="008A7487">
              <w:rPr>
                <w:rFonts w:ascii="Times New Roman" w:hAnsi="Times New Roman" w:cs="Times New Roman"/>
                <w:sz w:val="16"/>
                <w:szCs w:val="16"/>
              </w:rPr>
              <w:t>INF</w:t>
            </w:r>
          </w:p>
        </w:tc>
        <w:tc>
          <w:tcPr>
            <w:tcW w:w="973" w:type="dxa"/>
            <w:vAlign w:val="bottom"/>
          </w:tcPr>
          <w:p w14:paraId="410676A3" w14:textId="77777777" w:rsidR="00B75F05" w:rsidRPr="008A7487" w:rsidRDefault="00B75F05" w:rsidP="00C21D6F">
            <w:pPr>
              <w:autoSpaceDE w:val="0"/>
              <w:autoSpaceDN w:val="0"/>
              <w:adjustRightInd w:val="0"/>
              <w:ind w:right="10"/>
              <w:rPr>
                <w:rFonts w:ascii="Times New Roman" w:hAnsi="Times New Roman" w:cs="Times New Roman"/>
                <w:color w:val="000000"/>
                <w:sz w:val="16"/>
                <w:szCs w:val="16"/>
                <w:lang w:val="en-GB"/>
              </w:rPr>
            </w:pPr>
            <w:r w:rsidRPr="008A7487">
              <w:rPr>
                <w:rFonts w:ascii="Times New Roman" w:hAnsi="Times New Roman" w:cs="Times New Roman"/>
                <w:color w:val="000000"/>
                <w:sz w:val="16"/>
                <w:szCs w:val="16"/>
                <w:lang w:val="en-GB"/>
              </w:rPr>
              <w:t>No</w:t>
            </w:r>
          </w:p>
        </w:tc>
        <w:tc>
          <w:tcPr>
            <w:tcW w:w="974" w:type="dxa"/>
            <w:vAlign w:val="bottom"/>
          </w:tcPr>
          <w:p w14:paraId="30022CFF" w14:textId="77777777" w:rsidR="00B75F05" w:rsidRPr="008A7487" w:rsidRDefault="00B75F05" w:rsidP="00C21D6F">
            <w:pPr>
              <w:autoSpaceDE w:val="0"/>
              <w:autoSpaceDN w:val="0"/>
              <w:adjustRightInd w:val="0"/>
              <w:ind w:right="10"/>
              <w:rPr>
                <w:rFonts w:ascii="Times New Roman" w:hAnsi="Times New Roman" w:cs="Times New Roman"/>
                <w:color w:val="000000"/>
                <w:sz w:val="16"/>
                <w:szCs w:val="16"/>
                <w:lang w:val="en-GB"/>
              </w:rPr>
            </w:pPr>
            <w:r w:rsidRPr="008A7487">
              <w:rPr>
                <w:rFonts w:ascii="Times New Roman" w:hAnsi="Times New Roman" w:cs="Times New Roman"/>
                <w:color w:val="000000"/>
                <w:sz w:val="16"/>
                <w:szCs w:val="16"/>
                <w:lang w:val="en-GB"/>
              </w:rPr>
              <w:t>No</w:t>
            </w:r>
          </w:p>
        </w:tc>
        <w:tc>
          <w:tcPr>
            <w:tcW w:w="950" w:type="dxa"/>
            <w:vAlign w:val="bottom"/>
          </w:tcPr>
          <w:p w14:paraId="5E850E0C" w14:textId="77777777" w:rsidR="00B75F05" w:rsidRPr="008A7487" w:rsidRDefault="00B75F05" w:rsidP="00C21D6F">
            <w:pPr>
              <w:autoSpaceDE w:val="0"/>
              <w:autoSpaceDN w:val="0"/>
              <w:adjustRightInd w:val="0"/>
              <w:ind w:right="10"/>
              <w:rPr>
                <w:rFonts w:ascii="Times New Roman" w:hAnsi="Times New Roman" w:cs="Times New Roman"/>
                <w:color w:val="000000"/>
                <w:sz w:val="16"/>
                <w:szCs w:val="16"/>
                <w:lang w:val="en-GB"/>
              </w:rPr>
            </w:pPr>
            <w:r w:rsidRPr="008A7487">
              <w:rPr>
                <w:rFonts w:ascii="Times New Roman" w:hAnsi="Times New Roman" w:cs="Times New Roman"/>
                <w:color w:val="000000"/>
                <w:sz w:val="16"/>
                <w:szCs w:val="16"/>
                <w:lang w:val="en-GB"/>
              </w:rPr>
              <w:t>Yes (-)</w:t>
            </w:r>
          </w:p>
        </w:tc>
        <w:tc>
          <w:tcPr>
            <w:tcW w:w="960" w:type="dxa"/>
            <w:vAlign w:val="bottom"/>
          </w:tcPr>
          <w:p w14:paraId="3178D347" w14:textId="77777777" w:rsidR="00B75F05" w:rsidRPr="008A7487" w:rsidRDefault="00B75F05" w:rsidP="00C21D6F">
            <w:pPr>
              <w:autoSpaceDE w:val="0"/>
              <w:autoSpaceDN w:val="0"/>
              <w:adjustRightInd w:val="0"/>
              <w:ind w:right="10"/>
              <w:rPr>
                <w:rFonts w:ascii="Times New Roman" w:hAnsi="Times New Roman" w:cs="Times New Roman"/>
                <w:color w:val="000000"/>
                <w:sz w:val="16"/>
                <w:szCs w:val="16"/>
                <w:lang w:val="en-GB"/>
              </w:rPr>
            </w:pPr>
            <w:r w:rsidRPr="008A7487">
              <w:rPr>
                <w:rFonts w:ascii="Times New Roman" w:hAnsi="Times New Roman" w:cs="Times New Roman"/>
                <w:color w:val="000000"/>
                <w:sz w:val="16"/>
                <w:szCs w:val="16"/>
                <w:lang w:val="en-GB"/>
              </w:rPr>
              <w:t>Yes (+)</w:t>
            </w:r>
          </w:p>
        </w:tc>
        <w:tc>
          <w:tcPr>
            <w:tcW w:w="957" w:type="dxa"/>
            <w:vAlign w:val="bottom"/>
          </w:tcPr>
          <w:p w14:paraId="034E1A5F" w14:textId="77777777" w:rsidR="00B75F05" w:rsidRPr="008A7487" w:rsidRDefault="00B75F05" w:rsidP="00C21D6F">
            <w:pPr>
              <w:autoSpaceDE w:val="0"/>
              <w:autoSpaceDN w:val="0"/>
              <w:adjustRightInd w:val="0"/>
              <w:ind w:right="10"/>
              <w:rPr>
                <w:rFonts w:ascii="Times New Roman" w:hAnsi="Times New Roman" w:cs="Times New Roman"/>
                <w:color w:val="000000"/>
                <w:sz w:val="16"/>
                <w:szCs w:val="16"/>
                <w:lang w:val="en-GB"/>
              </w:rPr>
            </w:pPr>
            <w:r w:rsidRPr="008A7487">
              <w:rPr>
                <w:rFonts w:ascii="Times New Roman" w:hAnsi="Times New Roman" w:cs="Times New Roman"/>
                <w:color w:val="000000"/>
                <w:sz w:val="16"/>
                <w:szCs w:val="16"/>
                <w:lang w:val="en-GB"/>
              </w:rPr>
              <w:t>No</w:t>
            </w:r>
          </w:p>
        </w:tc>
        <w:tc>
          <w:tcPr>
            <w:tcW w:w="1230" w:type="dxa"/>
            <w:vAlign w:val="bottom"/>
          </w:tcPr>
          <w:p w14:paraId="66565E3D" w14:textId="77777777" w:rsidR="00B75F05" w:rsidRPr="008A7487" w:rsidRDefault="00B75F05" w:rsidP="00C21D6F">
            <w:pPr>
              <w:autoSpaceDE w:val="0"/>
              <w:autoSpaceDN w:val="0"/>
              <w:adjustRightInd w:val="0"/>
              <w:ind w:right="10"/>
              <w:rPr>
                <w:rFonts w:ascii="Times New Roman" w:hAnsi="Times New Roman" w:cs="Times New Roman"/>
                <w:color w:val="000000"/>
                <w:sz w:val="16"/>
                <w:szCs w:val="16"/>
                <w:lang w:val="en-GB"/>
              </w:rPr>
            </w:pPr>
            <w:r w:rsidRPr="008A7487">
              <w:rPr>
                <w:rFonts w:ascii="Times New Roman" w:hAnsi="Times New Roman" w:cs="Times New Roman"/>
                <w:color w:val="000000"/>
                <w:sz w:val="16"/>
                <w:szCs w:val="16"/>
                <w:lang w:val="en-GB"/>
              </w:rPr>
              <w:t>Yes (+)</w:t>
            </w:r>
          </w:p>
        </w:tc>
      </w:tr>
    </w:tbl>
    <w:p w14:paraId="7901ADFC" w14:textId="77777777" w:rsidR="00B75F05" w:rsidRPr="008A7487" w:rsidRDefault="00B75F05" w:rsidP="00B75F05">
      <w:pPr>
        <w:spacing w:after="0"/>
        <w:rPr>
          <w:rFonts w:ascii="Times New Roman" w:hAnsi="Times New Roman" w:cs="Times New Roman"/>
          <w:sz w:val="16"/>
          <w:szCs w:val="16"/>
          <w:lang w:val="en-GB"/>
        </w:rPr>
      </w:pPr>
      <w:r w:rsidRPr="008A7487">
        <w:rPr>
          <w:rFonts w:ascii="Times New Roman" w:hAnsi="Times New Roman" w:cs="Times New Roman"/>
          <w:sz w:val="16"/>
          <w:szCs w:val="16"/>
          <w:lang w:val="en-GB"/>
        </w:rPr>
        <w:t xml:space="preserve">ROA defined as profit before tax divided by total assets.  NIM is the difference between interest </w:t>
      </w:r>
    </w:p>
    <w:p w14:paraId="507C9BB3" w14:textId="77777777" w:rsidR="00B75F05" w:rsidRPr="008A7487" w:rsidRDefault="00B75F05" w:rsidP="00B75F05">
      <w:pPr>
        <w:spacing w:after="0"/>
        <w:rPr>
          <w:rFonts w:ascii="Times New Roman" w:hAnsi="Times New Roman" w:cs="Times New Roman"/>
          <w:sz w:val="16"/>
          <w:szCs w:val="16"/>
          <w:lang w:val="en-GB"/>
        </w:rPr>
      </w:pPr>
      <w:r w:rsidRPr="008A7487">
        <w:rPr>
          <w:rFonts w:ascii="Times New Roman" w:hAnsi="Times New Roman" w:cs="Times New Roman"/>
          <w:sz w:val="16"/>
          <w:szCs w:val="16"/>
          <w:lang w:val="en-GB"/>
        </w:rPr>
        <w:t xml:space="preserve">income and interest </w:t>
      </w:r>
      <w:r>
        <w:rPr>
          <w:rFonts w:ascii="Times New Roman" w:hAnsi="Times New Roman" w:cs="Times New Roman"/>
          <w:sz w:val="16"/>
          <w:szCs w:val="16"/>
          <w:lang w:val="en-GB"/>
        </w:rPr>
        <w:t>expense %</w:t>
      </w:r>
      <w:r w:rsidRPr="008A7487">
        <w:rPr>
          <w:rFonts w:ascii="Times New Roman" w:hAnsi="Times New Roman" w:cs="Times New Roman"/>
          <w:sz w:val="16"/>
          <w:szCs w:val="16"/>
          <w:lang w:val="en-GB"/>
        </w:rPr>
        <w:t xml:space="preserve">. LNSIZE is the natural log of bank’s total assets. CAP is a measure of </w:t>
      </w:r>
    </w:p>
    <w:p w14:paraId="576E054E" w14:textId="77777777" w:rsidR="00B75F05" w:rsidRPr="008A7487" w:rsidRDefault="00B75F05" w:rsidP="00B75F05">
      <w:pPr>
        <w:spacing w:after="0"/>
        <w:rPr>
          <w:rFonts w:ascii="Times New Roman" w:hAnsi="Times New Roman" w:cs="Times New Roman"/>
          <w:sz w:val="16"/>
          <w:szCs w:val="16"/>
          <w:lang w:val="en-GB"/>
        </w:rPr>
      </w:pPr>
      <w:r w:rsidRPr="008A7487">
        <w:rPr>
          <w:rFonts w:ascii="Times New Roman" w:hAnsi="Times New Roman" w:cs="Times New Roman"/>
          <w:sz w:val="16"/>
          <w:szCs w:val="16"/>
          <w:lang w:val="en-GB"/>
        </w:rPr>
        <w:t xml:space="preserve">capital strength, calculated as equity to total assets.  CR is a measure of credit risk and is the ratio </w:t>
      </w:r>
    </w:p>
    <w:p w14:paraId="32CE7507" w14:textId="77777777" w:rsidR="00B75F05" w:rsidRPr="008A7487" w:rsidRDefault="00B75F05" w:rsidP="00B75F05">
      <w:pPr>
        <w:spacing w:after="0"/>
        <w:rPr>
          <w:rFonts w:ascii="Times New Roman" w:hAnsi="Times New Roman" w:cs="Times New Roman"/>
          <w:sz w:val="16"/>
          <w:szCs w:val="16"/>
          <w:lang w:val="en-GB"/>
        </w:rPr>
      </w:pPr>
      <w:r w:rsidRPr="008A7487">
        <w:rPr>
          <w:rFonts w:ascii="Times New Roman" w:hAnsi="Times New Roman" w:cs="Times New Roman"/>
          <w:sz w:val="16"/>
          <w:szCs w:val="16"/>
          <w:lang w:val="en-GB"/>
        </w:rPr>
        <w:t xml:space="preserve">of net loans to deposits and short-term funding. CM is the total operating cost to total income. </w:t>
      </w:r>
    </w:p>
    <w:p w14:paraId="356C5267" w14:textId="77777777" w:rsidR="00B75F05" w:rsidRPr="008A7487" w:rsidRDefault="00B75F05" w:rsidP="00B75F05">
      <w:pPr>
        <w:spacing w:after="0"/>
        <w:rPr>
          <w:rFonts w:ascii="Times New Roman" w:hAnsi="Times New Roman" w:cs="Times New Roman"/>
          <w:sz w:val="16"/>
          <w:szCs w:val="16"/>
          <w:lang w:val="en-GB"/>
        </w:rPr>
      </w:pPr>
      <w:r w:rsidRPr="008A7487">
        <w:rPr>
          <w:rFonts w:ascii="Times New Roman" w:hAnsi="Times New Roman" w:cs="Times New Roman"/>
          <w:sz w:val="16"/>
          <w:szCs w:val="16"/>
          <w:lang w:val="en-GB"/>
        </w:rPr>
        <w:t xml:space="preserve">LQ is a measure of liquidity, calculated as liquid assets to customer and short-term funding. </w:t>
      </w:r>
    </w:p>
    <w:p w14:paraId="17A2107D" w14:textId="77777777" w:rsidR="00B75F05" w:rsidRPr="008A7487" w:rsidRDefault="00B75F05" w:rsidP="00B75F05">
      <w:pPr>
        <w:spacing w:after="0"/>
        <w:rPr>
          <w:rFonts w:ascii="Times New Roman" w:hAnsi="Times New Roman" w:cs="Times New Roman"/>
          <w:sz w:val="16"/>
          <w:szCs w:val="16"/>
          <w:lang w:val="en-GB"/>
        </w:rPr>
      </w:pPr>
      <w:r w:rsidRPr="008A7487">
        <w:rPr>
          <w:rFonts w:ascii="Times New Roman" w:hAnsi="Times New Roman" w:cs="Times New Roman"/>
          <w:sz w:val="16"/>
          <w:szCs w:val="16"/>
          <w:lang w:val="en-GB"/>
        </w:rPr>
        <w:t xml:space="preserve">MP is a measure of market power defined as the ratio of a bank total asset to the total asset of the entire </w:t>
      </w:r>
    </w:p>
    <w:p w14:paraId="3F5F416F" w14:textId="77777777" w:rsidR="00B75F05" w:rsidRPr="008A7487" w:rsidRDefault="00B75F05" w:rsidP="00B75F05">
      <w:pPr>
        <w:spacing w:after="0"/>
        <w:rPr>
          <w:rFonts w:ascii="Times New Roman" w:hAnsi="Times New Roman" w:cs="Times New Roman"/>
          <w:sz w:val="16"/>
          <w:szCs w:val="16"/>
          <w:lang w:val="en-GB"/>
        </w:rPr>
      </w:pPr>
      <w:r w:rsidRPr="008A7487">
        <w:rPr>
          <w:rFonts w:ascii="Times New Roman" w:hAnsi="Times New Roman" w:cs="Times New Roman"/>
          <w:sz w:val="16"/>
          <w:szCs w:val="16"/>
          <w:lang w:val="en-GB"/>
        </w:rPr>
        <w:t>banks in a country</w:t>
      </w:r>
      <w:r w:rsidRPr="008A7487">
        <w:rPr>
          <w:rFonts w:ascii="Times New Roman" w:hAnsi="Times New Roman" w:cs="Times New Roman"/>
          <w:color w:val="FF0000"/>
          <w:sz w:val="16"/>
          <w:szCs w:val="16"/>
          <w:lang w:val="en-GB"/>
        </w:rPr>
        <w:t>.</w:t>
      </w:r>
      <w:r w:rsidRPr="008A7487">
        <w:rPr>
          <w:rFonts w:ascii="Times New Roman" w:hAnsi="Times New Roman" w:cs="Times New Roman"/>
          <w:sz w:val="16"/>
          <w:szCs w:val="16"/>
          <w:lang w:val="en-GB"/>
        </w:rPr>
        <w:t xml:space="preserve"> ∆ GDP is the annual percentage change in real gross domestic product.  INF is </w:t>
      </w:r>
    </w:p>
    <w:p w14:paraId="445E17BD" w14:textId="77777777" w:rsidR="00B75F05" w:rsidRPr="008A7487" w:rsidRDefault="00B75F05" w:rsidP="00B75F05">
      <w:pPr>
        <w:spacing w:after="0"/>
        <w:rPr>
          <w:rFonts w:ascii="Times New Roman" w:hAnsi="Times New Roman" w:cs="Times New Roman"/>
          <w:sz w:val="16"/>
          <w:szCs w:val="16"/>
          <w:lang w:val="en-GB"/>
        </w:rPr>
      </w:pPr>
      <w:r w:rsidRPr="008A7487">
        <w:rPr>
          <w:rFonts w:ascii="Times New Roman" w:hAnsi="Times New Roman" w:cs="Times New Roman"/>
          <w:sz w:val="16"/>
          <w:szCs w:val="16"/>
          <w:lang w:val="en-GB"/>
        </w:rPr>
        <w:t xml:space="preserve">the yearly growth in consumer price </w:t>
      </w:r>
      <w:r>
        <w:rPr>
          <w:rFonts w:ascii="Times New Roman" w:hAnsi="Times New Roman" w:cs="Times New Roman"/>
          <w:sz w:val="16"/>
          <w:szCs w:val="16"/>
          <w:lang w:val="en-GB"/>
        </w:rPr>
        <w:t xml:space="preserve">index. </w:t>
      </w:r>
      <w:r w:rsidRPr="008A7487">
        <w:rPr>
          <w:rFonts w:ascii="Times New Roman" w:hAnsi="Times New Roman" w:cs="Times New Roman"/>
          <w:sz w:val="16"/>
          <w:szCs w:val="16"/>
          <w:lang w:val="en-GB"/>
        </w:rPr>
        <w:t xml:space="preserve"> *, **, *** indicate significance at 10%, 5% and 1% level respectively. </w:t>
      </w:r>
    </w:p>
    <w:p w14:paraId="68C19462" w14:textId="77777777" w:rsidR="00B75F05" w:rsidRPr="008A7487" w:rsidRDefault="00B75F05" w:rsidP="00B75F05">
      <w:pPr>
        <w:spacing w:after="0"/>
        <w:rPr>
          <w:rFonts w:ascii="Times New Roman" w:hAnsi="Times New Roman" w:cs="Times New Roman"/>
          <w:sz w:val="16"/>
          <w:szCs w:val="16"/>
          <w:lang w:val="en-GB"/>
        </w:rPr>
      </w:pPr>
      <w:r w:rsidRPr="008A7487">
        <w:rPr>
          <w:rFonts w:ascii="Times New Roman" w:hAnsi="Times New Roman" w:cs="Times New Roman"/>
          <w:sz w:val="16"/>
          <w:szCs w:val="16"/>
          <w:lang w:val="en-GB"/>
        </w:rPr>
        <w:t>Yes (+) indicates statistical significance positive relati</w:t>
      </w:r>
      <w:r>
        <w:rPr>
          <w:rFonts w:ascii="Times New Roman" w:hAnsi="Times New Roman" w:cs="Times New Roman"/>
          <w:sz w:val="16"/>
          <w:szCs w:val="16"/>
          <w:lang w:val="en-GB"/>
        </w:rPr>
        <w:t>onship.</w:t>
      </w:r>
      <w:r w:rsidRPr="008A7487">
        <w:rPr>
          <w:rFonts w:ascii="Times New Roman" w:hAnsi="Times New Roman" w:cs="Times New Roman"/>
          <w:sz w:val="16"/>
          <w:szCs w:val="16"/>
          <w:lang w:val="en-GB"/>
        </w:rPr>
        <w:t xml:space="preserve"> Yes (-) indicates statistically significant negative relationship   and No indicates absence of statistically significant relationship. </w:t>
      </w:r>
    </w:p>
    <w:p w14:paraId="656674ED" w14:textId="77777777" w:rsidR="00B75F05" w:rsidRPr="008A7487" w:rsidRDefault="00B75F05" w:rsidP="00B75F05">
      <w:pPr>
        <w:spacing w:after="0" w:line="480" w:lineRule="auto"/>
        <w:ind w:firstLine="720"/>
        <w:contextualSpacing/>
        <w:jc w:val="both"/>
        <w:rPr>
          <w:rFonts w:ascii="Times New Roman" w:hAnsi="Times New Roman" w:cs="Times New Roman"/>
          <w:sz w:val="24"/>
          <w:szCs w:val="24"/>
        </w:rPr>
      </w:pPr>
    </w:p>
    <w:p w14:paraId="26A09592" w14:textId="77777777" w:rsidR="00B75F05" w:rsidRDefault="00B75F05" w:rsidP="00B75F05">
      <w:pPr>
        <w:spacing w:after="0" w:line="480" w:lineRule="auto"/>
        <w:ind w:firstLine="720"/>
        <w:contextualSpacing/>
        <w:jc w:val="both"/>
        <w:rPr>
          <w:rFonts w:ascii="Times New Roman" w:hAnsi="Times New Roman" w:cs="Times New Roman"/>
          <w:sz w:val="24"/>
          <w:szCs w:val="24"/>
        </w:rPr>
      </w:pPr>
    </w:p>
    <w:p w14:paraId="7996C3F9" w14:textId="77777777" w:rsidR="00B75F05" w:rsidRDefault="00B75F05" w:rsidP="00B75F05">
      <w:pPr>
        <w:spacing w:after="0" w:line="480" w:lineRule="auto"/>
        <w:ind w:firstLine="720"/>
        <w:contextualSpacing/>
        <w:jc w:val="both"/>
        <w:rPr>
          <w:rFonts w:ascii="Times New Roman" w:hAnsi="Times New Roman" w:cs="Times New Roman"/>
          <w:sz w:val="24"/>
          <w:szCs w:val="24"/>
        </w:rPr>
      </w:pPr>
    </w:p>
    <w:p w14:paraId="27E921AB" w14:textId="77777777" w:rsidR="00B75F05" w:rsidRDefault="00B75F05" w:rsidP="00B75F05">
      <w:pPr>
        <w:spacing w:after="0" w:line="480" w:lineRule="auto"/>
        <w:ind w:firstLine="720"/>
        <w:contextualSpacing/>
        <w:jc w:val="both"/>
        <w:rPr>
          <w:rFonts w:ascii="Times New Roman" w:hAnsi="Times New Roman" w:cs="Times New Roman"/>
          <w:sz w:val="24"/>
          <w:szCs w:val="24"/>
        </w:rPr>
      </w:pPr>
    </w:p>
    <w:p w14:paraId="35BD5A7D" w14:textId="77777777" w:rsidR="00B75F05" w:rsidRDefault="00B75F05" w:rsidP="00B75F05">
      <w:pPr>
        <w:spacing w:after="0" w:line="480" w:lineRule="auto"/>
        <w:ind w:firstLine="720"/>
        <w:contextualSpacing/>
        <w:jc w:val="both"/>
        <w:rPr>
          <w:rFonts w:ascii="Times New Roman" w:hAnsi="Times New Roman" w:cs="Times New Roman"/>
          <w:sz w:val="24"/>
          <w:szCs w:val="24"/>
        </w:rPr>
      </w:pPr>
    </w:p>
    <w:p w14:paraId="3C453E2F" w14:textId="77777777" w:rsidR="00B75F05" w:rsidRPr="008A7487" w:rsidRDefault="00B75F05" w:rsidP="00B75F05">
      <w:pPr>
        <w:spacing w:after="0" w:line="480" w:lineRule="auto"/>
        <w:ind w:firstLine="720"/>
        <w:contextualSpacing/>
        <w:jc w:val="both"/>
        <w:rPr>
          <w:rFonts w:ascii="Times New Roman" w:hAnsi="Times New Roman" w:cs="Times New Roman"/>
          <w:sz w:val="24"/>
          <w:szCs w:val="24"/>
        </w:rPr>
      </w:pPr>
    </w:p>
    <w:p w14:paraId="476F6392" w14:textId="77777777" w:rsidR="00B75F05" w:rsidRPr="008A7487" w:rsidRDefault="00B75F05" w:rsidP="00B75F05">
      <w:pPr>
        <w:spacing w:line="480" w:lineRule="auto"/>
        <w:contextualSpacing/>
        <w:rPr>
          <w:rFonts w:ascii="Times New Roman" w:hAnsi="Times New Roman" w:cs="Times New Roman"/>
          <w:sz w:val="24"/>
          <w:szCs w:val="24"/>
        </w:rPr>
      </w:pPr>
    </w:p>
    <w:p w14:paraId="174BB15B" w14:textId="77777777" w:rsidR="00B75F05" w:rsidRPr="008A7487" w:rsidRDefault="00B75F05" w:rsidP="00B75F05">
      <w:pPr>
        <w:spacing w:line="480" w:lineRule="auto"/>
        <w:contextualSpacing/>
        <w:rPr>
          <w:rFonts w:ascii="Times New Roman" w:hAnsi="Times New Roman" w:cs="Times New Roman"/>
          <w:sz w:val="24"/>
          <w:szCs w:val="24"/>
        </w:rPr>
      </w:pPr>
    </w:p>
    <w:p w14:paraId="4DDFB751" w14:textId="77777777" w:rsidR="00B75F05" w:rsidRDefault="00B75F05" w:rsidP="00B75F05">
      <w:pPr>
        <w:spacing w:line="480" w:lineRule="auto"/>
        <w:contextualSpacing/>
        <w:rPr>
          <w:rFonts w:ascii="Times New Roman" w:hAnsi="Times New Roman" w:cs="Times New Roman"/>
          <w:sz w:val="24"/>
          <w:szCs w:val="24"/>
        </w:rPr>
      </w:pPr>
    </w:p>
    <w:p w14:paraId="1A886E4D" w14:textId="77777777" w:rsidR="00B75F05" w:rsidRDefault="00B75F05" w:rsidP="00B75F05">
      <w:pPr>
        <w:spacing w:line="480" w:lineRule="auto"/>
        <w:contextualSpacing/>
        <w:rPr>
          <w:rFonts w:ascii="Times New Roman" w:hAnsi="Times New Roman" w:cs="Times New Roman"/>
          <w:sz w:val="24"/>
          <w:szCs w:val="24"/>
        </w:rPr>
      </w:pPr>
    </w:p>
    <w:p w14:paraId="7EFC4B92" w14:textId="77777777" w:rsidR="00B75F05" w:rsidRDefault="00B75F05" w:rsidP="00B75F05">
      <w:pPr>
        <w:spacing w:line="480" w:lineRule="auto"/>
        <w:contextualSpacing/>
        <w:rPr>
          <w:rFonts w:ascii="Times New Roman" w:hAnsi="Times New Roman" w:cs="Times New Roman"/>
          <w:sz w:val="24"/>
          <w:szCs w:val="24"/>
        </w:rPr>
      </w:pPr>
    </w:p>
    <w:p w14:paraId="2FEC2ACF" w14:textId="77777777" w:rsidR="00B75F05" w:rsidRDefault="00B75F05" w:rsidP="00B75F05">
      <w:pPr>
        <w:spacing w:line="480" w:lineRule="auto"/>
        <w:contextualSpacing/>
        <w:rPr>
          <w:rFonts w:ascii="Times New Roman" w:hAnsi="Times New Roman" w:cs="Times New Roman"/>
          <w:sz w:val="24"/>
          <w:szCs w:val="24"/>
        </w:rPr>
      </w:pPr>
    </w:p>
    <w:p w14:paraId="123309F7" w14:textId="77777777" w:rsidR="00B75F05" w:rsidRDefault="00B75F05" w:rsidP="00B75F05">
      <w:pPr>
        <w:spacing w:line="480" w:lineRule="auto"/>
        <w:contextualSpacing/>
        <w:rPr>
          <w:rFonts w:ascii="Times New Roman" w:hAnsi="Times New Roman" w:cs="Times New Roman"/>
          <w:sz w:val="24"/>
          <w:szCs w:val="24"/>
        </w:rPr>
      </w:pPr>
    </w:p>
    <w:p w14:paraId="4B11F623" w14:textId="77777777" w:rsidR="00B75F05" w:rsidRPr="008A7487" w:rsidRDefault="00B75F05" w:rsidP="00B75F05">
      <w:pPr>
        <w:spacing w:line="480" w:lineRule="auto"/>
        <w:contextualSpacing/>
        <w:rPr>
          <w:rFonts w:ascii="Times New Roman" w:hAnsi="Times New Roman" w:cs="Times New Roman"/>
          <w:sz w:val="24"/>
          <w:szCs w:val="24"/>
        </w:rPr>
      </w:pPr>
    </w:p>
    <w:p w14:paraId="0B1C7968" w14:textId="77777777" w:rsidR="00B75F05" w:rsidRPr="00102A70" w:rsidRDefault="00B75F05" w:rsidP="00B75F05">
      <w:pPr>
        <w:spacing w:line="480" w:lineRule="auto"/>
        <w:contextualSpacing/>
        <w:rPr>
          <w:rFonts w:ascii="Times New Roman" w:hAnsi="Times New Roman" w:cs="Times New Roman"/>
          <w:b/>
          <w:i/>
          <w:sz w:val="24"/>
          <w:szCs w:val="24"/>
        </w:rPr>
      </w:pPr>
      <w:r>
        <w:rPr>
          <w:rFonts w:ascii="Times New Roman" w:hAnsi="Times New Roman" w:cs="Times New Roman"/>
          <w:b/>
          <w:i/>
          <w:sz w:val="24"/>
          <w:szCs w:val="24"/>
        </w:rPr>
        <w:t>Additional analysi</w:t>
      </w:r>
      <w:r w:rsidRPr="00102A70">
        <w:rPr>
          <w:rFonts w:ascii="Times New Roman" w:hAnsi="Times New Roman" w:cs="Times New Roman"/>
          <w:b/>
          <w:i/>
          <w:sz w:val="24"/>
          <w:szCs w:val="24"/>
        </w:rPr>
        <w:t>s</w:t>
      </w:r>
    </w:p>
    <w:p w14:paraId="5E6A3258" w14:textId="77777777" w:rsidR="00B75F05" w:rsidRPr="008A7487" w:rsidRDefault="00B75F05" w:rsidP="00B75F05">
      <w:pPr>
        <w:spacing w:line="480" w:lineRule="auto"/>
        <w:contextualSpacing/>
        <w:rPr>
          <w:rFonts w:ascii="Times New Roman" w:hAnsi="Times New Roman" w:cs="Times New Roman"/>
          <w:sz w:val="24"/>
          <w:szCs w:val="24"/>
        </w:rPr>
      </w:pPr>
    </w:p>
    <w:p w14:paraId="2B1A3036" w14:textId="77777777" w:rsidR="00B75F05" w:rsidRPr="00102A70" w:rsidRDefault="00B75F05" w:rsidP="00B75F05">
      <w:pPr>
        <w:spacing w:after="0" w:line="240" w:lineRule="auto"/>
        <w:contextualSpacing/>
        <w:rPr>
          <w:rFonts w:ascii="Times New Roman" w:hAnsi="Times New Roman" w:cs="Times New Roman"/>
          <w:b/>
          <w:sz w:val="20"/>
          <w:szCs w:val="20"/>
        </w:rPr>
      </w:pPr>
      <w:r w:rsidRPr="00102A70">
        <w:rPr>
          <w:rFonts w:ascii="Times New Roman" w:hAnsi="Times New Roman" w:cs="Times New Roman"/>
          <w:sz w:val="20"/>
          <w:szCs w:val="20"/>
        </w:rPr>
        <w:t xml:space="preserve">  </w:t>
      </w:r>
      <w:r w:rsidRPr="00102A70">
        <w:rPr>
          <w:rFonts w:ascii="Times New Roman" w:hAnsi="Times New Roman" w:cs="Times New Roman"/>
          <w:b/>
          <w:sz w:val="20"/>
          <w:szCs w:val="20"/>
        </w:rPr>
        <w:t>Table 9: Fixed Effect- Equal observations and 2008 as start of the crisis (ROA)</w:t>
      </w:r>
    </w:p>
    <w:tbl>
      <w:tblPr>
        <w:tblStyle w:val="TableGrid21"/>
        <w:tblW w:w="0" w:type="auto"/>
        <w:tblInd w:w="108" w:type="dxa"/>
        <w:tblLook w:val="04A0" w:firstRow="1" w:lastRow="0" w:firstColumn="1" w:lastColumn="0" w:noHBand="0" w:noVBand="1"/>
      </w:tblPr>
      <w:tblGrid>
        <w:gridCol w:w="1186"/>
        <w:gridCol w:w="973"/>
        <w:gridCol w:w="974"/>
        <w:gridCol w:w="950"/>
        <w:gridCol w:w="960"/>
        <w:gridCol w:w="957"/>
        <w:gridCol w:w="1230"/>
      </w:tblGrid>
      <w:tr w:rsidR="00B75F05" w:rsidRPr="00102A70" w14:paraId="352F6435" w14:textId="77777777" w:rsidTr="00C21D6F">
        <w:tc>
          <w:tcPr>
            <w:tcW w:w="1186" w:type="dxa"/>
          </w:tcPr>
          <w:p w14:paraId="26B86415" w14:textId="77777777" w:rsidR="00B75F05" w:rsidRPr="00102A70" w:rsidRDefault="00B75F05" w:rsidP="00C21D6F">
            <w:pPr>
              <w:spacing w:line="480" w:lineRule="auto"/>
              <w:contextualSpacing/>
              <w:rPr>
                <w:rFonts w:ascii="Times New Roman" w:hAnsi="Times New Roman" w:cs="Times New Roman"/>
                <w:b/>
                <w:sz w:val="16"/>
                <w:szCs w:val="16"/>
              </w:rPr>
            </w:pPr>
          </w:p>
        </w:tc>
        <w:tc>
          <w:tcPr>
            <w:tcW w:w="1947" w:type="dxa"/>
            <w:gridSpan w:val="2"/>
          </w:tcPr>
          <w:p w14:paraId="0AE432A7" w14:textId="77777777" w:rsidR="00B75F05" w:rsidRPr="00102A70" w:rsidRDefault="00B75F05" w:rsidP="00C21D6F">
            <w:pPr>
              <w:contextualSpacing/>
              <w:jc w:val="center"/>
              <w:rPr>
                <w:rFonts w:ascii="Times New Roman" w:hAnsi="Times New Roman" w:cs="Times New Roman"/>
                <w:b/>
                <w:sz w:val="16"/>
                <w:szCs w:val="16"/>
              </w:rPr>
            </w:pPr>
            <w:r w:rsidRPr="00102A70">
              <w:rPr>
                <w:rFonts w:ascii="Times New Roman" w:hAnsi="Times New Roman" w:cs="Times New Roman"/>
                <w:b/>
                <w:sz w:val="16"/>
                <w:szCs w:val="16"/>
              </w:rPr>
              <w:t>Column 1</w:t>
            </w:r>
          </w:p>
        </w:tc>
        <w:tc>
          <w:tcPr>
            <w:tcW w:w="1910" w:type="dxa"/>
            <w:gridSpan w:val="2"/>
          </w:tcPr>
          <w:p w14:paraId="6F77ECE8" w14:textId="77777777" w:rsidR="00B75F05" w:rsidRPr="00102A70" w:rsidRDefault="00B75F05" w:rsidP="00C21D6F">
            <w:pPr>
              <w:contextualSpacing/>
              <w:jc w:val="center"/>
              <w:rPr>
                <w:rFonts w:ascii="Times New Roman" w:hAnsi="Times New Roman" w:cs="Times New Roman"/>
                <w:b/>
                <w:sz w:val="16"/>
                <w:szCs w:val="16"/>
              </w:rPr>
            </w:pPr>
            <w:r w:rsidRPr="00102A70">
              <w:rPr>
                <w:rFonts w:ascii="Times New Roman" w:hAnsi="Times New Roman" w:cs="Times New Roman"/>
                <w:b/>
                <w:sz w:val="16"/>
                <w:szCs w:val="16"/>
              </w:rPr>
              <w:t>Column 2</w:t>
            </w:r>
          </w:p>
        </w:tc>
        <w:tc>
          <w:tcPr>
            <w:tcW w:w="2187" w:type="dxa"/>
            <w:gridSpan w:val="2"/>
          </w:tcPr>
          <w:p w14:paraId="66C881FB" w14:textId="77777777" w:rsidR="00B75F05" w:rsidRPr="00102A70" w:rsidRDefault="00B75F05" w:rsidP="00C21D6F">
            <w:pPr>
              <w:contextualSpacing/>
              <w:jc w:val="center"/>
              <w:rPr>
                <w:rFonts w:ascii="Times New Roman" w:hAnsi="Times New Roman" w:cs="Times New Roman"/>
                <w:b/>
                <w:sz w:val="16"/>
                <w:szCs w:val="16"/>
              </w:rPr>
            </w:pPr>
            <w:r w:rsidRPr="00102A70">
              <w:rPr>
                <w:rFonts w:ascii="Times New Roman" w:hAnsi="Times New Roman" w:cs="Times New Roman"/>
                <w:b/>
                <w:sz w:val="16"/>
                <w:szCs w:val="16"/>
              </w:rPr>
              <w:t>Column 3</w:t>
            </w:r>
          </w:p>
        </w:tc>
      </w:tr>
      <w:tr w:rsidR="00B75F05" w:rsidRPr="00102A70" w14:paraId="1DA38E66" w14:textId="77777777" w:rsidTr="00C21D6F">
        <w:tc>
          <w:tcPr>
            <w:tcW w:w="1186" w:type="dxa"/>
          </w:tcPr>
          <w:p w14:paraId="76241FEA" w14:textId="77777777" w:rsidR="00B75F05" w:rsidRPr="00102A70" w:rsidRDefault="00B75F05" w:rsidP="00C21D6F">
            <w:pPr>
              <w:spacing w:line="480" w:lineRule="auto"/>
              <w:contextualSpacing/>
              <w:rPr>
                <w:rFonts w:ascii="Times New Roman" w:hAnsi="Times New Roman" w:cs="Times New Roman"/>
                <w:b/>
                <w:sz w:val="16"/>
                <w:szCs w:val="16"/>
              </w:rPr>
            </w:pPr>
            <w:r w:rsidRPr="00102A70">
              <w:rPr>
                <w:rFonts w:ascii="Times New Roman" w:hAnsi="Times New Roman" w:cs="Times New Roman"/>
                <w:b/>
                <w:sz w:val="16"/>
                <w:szCs w:val="16"/>
              </w:rPr>
              <w:t>ROA</w:t>
            </w:r>
          </w:p>
        </w:tc>
        <w:tc>
          <w:tcPr>
            <w:tcW w:w="1947" w:type="dxa"/>
            <w:gridSpan w:val="2"/>
          </w:tcPr>
          <w:p w14:paraId="62E94BF7" w14:textId="77777777" w:rsidR="00B75F05" w:rsidRPr="00102A70" w:rsidRDefault="00B75F05" w:rsidP="00C21D6F">
            <w:pPr>
              <w:contextualSpacing/>
              <w:rPr>
                <w:rFonts w:ascii="Times New Roman" w:hAnsi="Times New Roman" w:cs="Times New Roman"/>
                <w:b/>
                <w:sz w:val="16"/>
                <w:szCs w:val="16"/>
              </w:rPr>
            </w:pPr>
            <w:r w:rsidRPr="00102A70">
              <w:rPr>
                <w:rFonts w:ascii="Times New Roman" w:hAnsi="Times New Roman" w:cs="Times New Roman"/>
                <w:b/>
                <w:sz w:val="16"/>
                <w:szCs w:val="16"/>
              </w:rPr>
              <w:t>Before the crisis (2005-2007)</w:t>
            </w:r>
          </w:p>
        </w:tc>
        <w:tc>
          <w:tcPr>
            <w:tcW w:w="1910" w:type="dxa"/>
            <w:gridSpan w:val="2"/>
          </w:tcPr>
          <w:p w14:paraId="2B143B97" w14:textId="77777777" w:rsidR="00B75F05" w:rsidRPr="00102A70" w:rsidRDefault="00B75F05" w:rsidP="00C21D6F">
            <w:pPr>
              <w:contextualSpacing/>
              <w:rPr>
                <w:rFonts w:ascii="Times New Roman" w:hAnsi="Times New Roman" w:cs="Times New Roman"/>
                <w:b/>
                <w:sz w:val="16"/>
                <w:szCs w:val="16"/>
              </w:rPr>
            </w:pPr>
            <w:r w:rsidRPr="00102A70">
              <w:rPr>
                <w:rFonts w:ascii="Times New Roman" w:hAnsi="Times New Roman" w:cs="Times New Roman"/>
                <w:b/>
                <w:sz w:val="16"/>
                <w:szCs w:val="16"/>
              </w:rPr>
              <w:t>During the crisis</w:t>
            </w:r>
          </w:p>
          <w:p w14:paraId="423EE92C" w14:textId="77777777" w:rsidR="00B75F05" w:rsidRPr="00102A70" w:rsidRDefault="00B75F05" w:rsidP="00C21D6F">
            <w:pPr>
              <w:contextualSpacing/>
              <w:rPr>
                <w:rFonts w:ascii="Times New Roman" w:hAnsi="Times New Roman" w:cs="Times New Roman"/>
                <w:b/>
                <w:sz w:val="16"/>
                <w:szCs w:val="16"/>
              </w:rPr>
            </w:pPr>
            <w:r w:rsidRPr="00102A70">
              <w:rPr>
                <w:rFonts w:ascii="Times New Roman" w:hAnsi="Times New Roman" w:cs="Times New Roman"/>
                <w:b/>
                <w:sz w:val="16"/>
                <w:szCs w:val="16"/>
              </w:rPr>
              <w:t>(2008-2010)</w:t>
            </w:r>
          </w:p>
        </w:tc>
        <w:tc>
          <w:tcPr>
            <w:tcW w:w="2187" w:type="dxa"/>
            <w:gridSpan w:val="2"/>
          </w:tcPr>
          <w:p w14:paraId="0284043F" w14:textId="77777777" w:rsidR="00B75F05" w:rsidRPr="00102A70" w:rsidRDefault="00B75F05" w:rsidP="00C21D6F">
            <w:pPr>
              <w:contextualSpacing/>
              <w:rPr>
                <w:rFonts w:ascii="Times New Roman" w:hAnsi="Times New Roman" w:cs="Times New Roman"/>
                <w:b/>
                <w:sz w:val="16"/>
                <w:szCs w:val="16"/>
              </w:rPr>
            </w:pPr>
            <w:r w:rsidRPr="00102A70">
              <w:rPr>
                <w:rFonts w:ascii="Times New Roman" w:hAnsi="Times New Roman" w:cs="Times New Roman"/>
                <w:b/>
                <w:sz w:val="16"/>
                <w:szCs w:val="16"/>
              </w:rPr>
              <w:t>After the crisis (2011-2013)</w:t>
            </w:r>
          </w:p>
        </w:tc>
      </w:tr>
      <w:tr w:rsidR="00B75F05" w:rsidRPr="00102A70" w14:paraId="4ABC6B6C" w14:textId="77777777" w:rsidTr="00C21D6F">
        <w:tc>
          <w:tcPr>
            <w:tcW w:w="1186" w:type="dxa"/>
          </w:tcPr>
          <w:p w14:paraId="269AAAA9" w14:textId="77777777" w:rsidR="00B75F05" w:rsidRPr="00102A70" w:rsidRDefault="00B75F05" w:rsidP="00C21D6F">
            <w:pPr>
              <w:spacing w:line="480" w:lineRule="auto"/>
              <w:contextualSpacing/>
              <w:rPr>
                <w:rFonts w:ascii="Times New Roman" w:hAnsi="Times New Roman" w:cs="Times New Roman"/>
                <w:sz w:val="16"/>
                <w:szCs w:val="16"/>
              </w:rPr>
            </w:pPr>
          </w:p>
        </w:tc>
        <w:tc>
          <w:tcPr>
            <w:tcW w:w="973" w:type="dxa"/>
            <w:vAlign w:val="bottom"/>
          </w:tcPr>
          <w:p w14:paraId="1691EA71" w14:textId="77777777" w:rsidR="00B75F05" w:rsidRPr="00102A70" w:rsidRDefault="00B75F05" w:rsidP="00C21D6F">
            <w:pPr>
              <w:autoSpaceDE w:val="0"/>
              <w:autoSpaceDN w:val="0"/>
              <w:adjustRightInd w:val="0"/>
              <w:ind w:right="10"/>
              <w:jc w:val="right"/>
              <w:rPr>
                <w:rFonts w:ascii="Times New Roman" w:hAnsi="Times New Roman" w:cs="Times New Roman"/>
                <w:color w:val="000000"/>
                <w:sz w:val="16"/>
                <w:szCs w:val="16"/>
                <w:lang w:val="en-GB"/>
              </w:rPr>
            </w:pPr>
            <w:r w:rsidRPr="00102A70">
              <w:rPr>
                <w:rFonts w:ascii="Times New Roman" w:hAnsi="Times New Roman" w:cs="Times New Roman"/>
                <w:color w:val="000000"/>
                <w:sz w:val="16"/>
                <w:szCs w:val="16"/>
                <w:lang w:val="en-GB"/>
              </w:rPr>
              <w:t>Coeff</w:t>
            </w:r>
          </w:p>
        </w:tc>
        <w:tc>
          <w:tcPr>
            <w:tcW w:w="974" w:type="dxa"/>
            <w:vAlign w:val="bottom"/>
          </w:tcPr>
          <w:p w14:paraId="76DBAABE" w14:textId="77777777" w:rsidR="00B75F05" w:rsidRPr="00102A70" w:rsidRDefault="00B75F05" w:rsidP="00C21D6F">
            <w:pPr>
              <w:autoSpaceDE w:val="0"/>
              <w:autoSpaceDN w:val="0"/>
              <w:adjustRightInd w:val="0"/>
              <w:ind w:right="10"/>
              <w:jc w:val="right"/>
              <w:rPr>
                <w:rFonts w:ascii="Times New Roman" w:hAnsi="Times New Roman" w:cs="Times New Roman"/>
                <w:color w:val="000000"/>
                <w:sz w:val="16"/>
                <w:szCs w:val="16"/>
                <w:lang w:val="en-GB"/>
              </w:rPr>
            </w:pPr>
            <w:r w:rsidRPr="00102A70">
              <w:rPr>
                <w:rFonts w:ascii="Times New Roman" w:hAnsi="Times New Roman" w:cs="Times New Roman"/>
                <w:color w:val="000000"/>
                <w:sz w:val="16"/>
                <w:szCs w:val="16"/>
                <w:lang w:val="en-GB"/>
              </w:rPr>
              <w:t>T-Stat</w:t>
            </w:r>
          </w:p>
        </w:tc>
        <w:tc>
          <w:tcPr>
            <w:tcW w:w="950" w:type="dxa"/>
            <w:vAlign w:val="bottom"/>
          </w:tcPr>
          <w:p w14:paraId="643235FB" w14:textId="77777777" w:rsidR="00B75F05" w:rsidRPr="00102A70" w:rsidRDefault="00B75F05" w:rsidP="00C21D6F">
            <w:pPr>
              <w:autoSpaceDE w:val="0"/>
              <w:autoSpaceDN w:val="0"/>
              <w:adjustRightInd w:val="0"/>
              <w:ind w:right="10"/>
              <w:jc w:val="right"/>
              <w:rPr>
                <w:rFonts w:ascii="Times New Roman" w:hAnsi="Times New Roman" w:cs="Times New Roman"/>
                <w:color w:val="000000"/>
                <w:sz w:val="16"/>
                <w:szCs w:val="16"/>
                <w:lang w:val="en-GB"/>
              </w:rPr>
            </w:pPr>
            <w:r w:rsidRPr="00102A70">
              <w:rPr>
                <w:rFonts w:ascii="Times New Roman" w:hAnsi="Times New Roman" w:cs="Times New Roman"/>
                <w:color w:val="000000"/>
                <w:sz w:val="16"/>
                <w:szCs w:val="16"/>
                <w:lang w:val="en-GB"/>
              </w:rPr>
              <w:t>Coeff</w:t>
            </w:r>
          </w:p>
        </w:tc>
        <w:tc>
          <w:tcPr>
            <w:tcW w:w="960" w:type="dxa"/>
            <w:vAlign w:val="bottom"/>
          </w:tcPr>
          <w:p w14:paraId="754DBADE" w14:textId="77777777" w:rsidR="00B75F05" w:rsidRPr="00102A70" w:rsidRDefault="00B75F05" w:rsidP="00C21D6F">
            <w:pPr>
              <w:autoSpaceDE w:val="0"/>
              <w:autoSpaceDN w:val="0"/>
              <w:adjustRightInd w:val="0"/>
              <w:ind w:right="10"/>
              <w:jc w:val="right"/>
              <w:rPr>
                <w:rFonts w:ascii="Times New Roman" w:hAnsi="Times New Roman" w:cs="Times New Roman"/>
                <w:color w:val="000000"/>
                <w:sz w:val="16"/>
                <w:szCs w:val="16"/>
                <w:lang w:val="en-GB"/>
              </w:rPr>
            </w:pPr>
            <w:r w:rsidRPr="00102A70">
              <w:rPr>
                <w:rFonts w:ascii="Times New Roman" w:hAnsi="Times New Roman" w:cs="Times New Roman"/>
                <w:color w:val="000000"/>
                <w:sz w:val="16"/>
                <w:szCs w:val="16"/>
                <w:lang w:val="en-GB"/>
              </w:rPr>
              <w:t xml:space="preserve">T-Stat </w:t>
            </w:r>
          </w:p>
        </w:tc>
        <w:tc>
          <w:tcPr>
            <w:tcW w:w="957" w:type="dxa"/>
            <w:vAlign w:val="bottom"/>
          </w:tcPr>
          <w:p w14:paraId="4206CAF0" w14:textId="77777777" w:rsidR="00B75F05" w:rsidRPr="00102A70" w:rsidRDefault="00B75F05" w:rsidP="00C21D6F">
            <w:pPr>
              <w:autoSpaceDE w:val="0"/>
              <w:autoSpaceDN w:val="0"/>
              <w:adjustRightInd w:val="0"/>
              <w:ind w:right="10"/>
              <w:jc w:val="right"/>
              <w:rPr>
                <w:rFonts w:ascii="Times New Roman" w:hAnsi="Times New Roman" w:cs="Times New Roman"/>
                <w:color w:val="000000"/>
                <w:sz w:val="16"/>
                <w:szCs w:val="16"/>
                <w:lang w:val="en-GB"/>
              </w:rPr>
            </w:pPr>
            <w:r w:rsidRPr="00102A70">
              <w:rPr>
                <w:rFonts w:ascii="Times New Roman" w:hAnsi="Times New Roman" w:cs="Times New Roman"/>
                <w:color w:val="000000"/>
                <w:sz w:val="16"/>
                <w:szCs w:val="16"/>
                <w:lang w:val="en-GB"/>
              </w:rPr>
              <w:t xml:space="preserve">Coeff </w:t>
            </w:r>
          </w:p>
        </w:tc>
        <w:tc>
          <w:tcPr>
            <w:tcW w:w="1230" w:type="dxa"/>
            <w:vAlign w:val="bottom"/>
          </w:tcPr>
          <w:p w14:paraId="19A42F6F" w14:textId="77777777" w:rsidR="00B75F05" w:rsidRPr="00102A70" w:rsidRDefault="00B75F05" w:rsidP="00C21D6F">
            <w:pPr>
              <w:autoSpaceDE w:val="0"/>
              <w:autoSpaceDN w:val="0"/>
              <w:adjustRightInd w:val="0"/>
              <w:ind w:right="10"/>
              <w:jc w:val="right"/>
              <w:rPr>
                <w:rFonts w:ascii="Times New Roman" w:hAnsi="Times New Roman" w:cs="Times New Roman"/>
                <w:color w:val="000000"/>
                <w:sz w:val="16"/>
                <w:szCs w:val="16"/>
                <w:lang w:val="en-GB"/>
              </w:rPr>
            </w:pPr>
            <w:r w:rsidRPr="00102A70">
              <w:rPr>
                <w:rFonts w:ascii="Times New Roman" w:hAnsi="Times New Roman" w:cs="Times New Roman"/>
                <w:color w:val="000000"/>
                <w:sz w:val="16"/>
                <w:szCs w:val="16"/>
                <w:lang w:val="en-GB"/>
              </w:rPr>
              <w:t xml:space="preserve">T-Stat  </w:t>
            </w:r>
          </w:p>
        </w:tc>
      </w:tr>
      <w:tr w:rsidR="00B75F05" w:rsidRPr="00102A70" w14:paraId="0486B0AF" w14:textId="77777777" w:rsidTr="00C21D6F">
        <w:tc>
          <w:tcPr>
            <w:tcW w:w="1186" w:type="dxa"/>
          </w:tcPr>
          <w:p w14:paraId="3971ED9E" w14:textId="77777777" w:rsidR="00B75F05" w:rsidRPr="00102A70" w:rsidRDefault="00B75F05" w:rsidP="00C21D6F">
            <w:pPr>
              <w:spacing w:line="480" w:lineRule="auto"/>
              <w:contextualSpacing/>
              <w:rPr>
                <w:rFonts w:ascii="Times New Roman" w:hAnsi="Times New Roman" w:cs="Times New Roman"/>
                <w:sz w:val="16"/>
                <w:szCs w:val="16"/>
              </w:rPr>
            </w:pPr>
            <w:r w:rsidRPr="00102A70">
              <w:rPr>
                <w:rFonts w:ascii="Times New Roman" w:hAnsi="Times New Roman" w:cs="Times New Roman"/>
                <w:sz w:val="16"/>
                <w:szCs w:val="16"/>
              </w:rPr>
              <w:t>LNSIZE</w:t>
            </w:r>
          </w:p>
        </w:tc>
        <w:tc>
          <w:tcPr>
            <w:tcW w:w="973" w:type="dxa"/>
            <w:vAlign w:val="bottom"/>
          </w:tcPr>
          <w:p w14:paraId="62B5A901" w14:textId="77777777" w:rsidR="00B75F05" w:rsidRPr="00102A70" w:rsidRDefault="00B75F05" w:rsidP="00C21D6F">
            <w:pPr>
              <w:autoSpaceDE w:val="0"/>
              <w:autoSpaceDN w:val="0"/>
              <w:adjustRightInd w:val="0"/>
              <w:ind w:right="10"/>
              <w:rPr>
                <w:rFonts w:ascii="Times New Roman" w:hAnsi="Times New Roman" w:cs="Times New Roman"/>
                <w:color w:val="000000"/>
                <w:sz w:val="16"/>
                <w:szCs w:val="16"/>
                <w:lang w:val="en-GB"/>
              </w:rPr>
            </w:pPr>
            <w:r w:rsidRPr="00102A70">
              <w:rPr>
                <w:rFonts w:ascii="Times New Roman" w:hAnsi="Times New Roman" w:cs="Times New Roman"/>
                <w:color w:val="000000"/>
                <w:sz w:val="16"/>
                <w:szCs w:val="16"/>
                <w:lang w:val="en-GB"/>
              </w:rPr>
              <w:t>0.27</w:t>
            </w:r>
          </w:p>
        </w:tc>
        <w:tc>
          <w:tcPr>
            <w:tcW w:w="974" w:type="dxa"/>
            <w:vAlign w:val="bottom"/>
          </w:tcPr>
          <w:p w14:paraId="6E2166B3" w14:textId="77777777" w:rsidR="00B75F05" w:rsidRPr="00102A70" w:rsidRDefault="00B75F05" w:rsidP="00C21D6F">
            <w:pPr>
              <w:autoSpaceDE w:val="0"/>
              <w:autoSpaceDN w:val="0"/>
              <w:adjustRightInd w:val="0"/>
              <w:ind w:right="10"/>
              <w:rPr>
                <w:rFonts w:ascii="Times New Roman" w:hAnsi="Times New Roman" w:cs="Times New Roman"/>
                <w:color w:val="000000"/>
                <w:sz w:val="16"/>
                <w:szCs w:val="16"/>
                <w:lang w:val="en-GB"/>
              </w:rPr>
            </w:pPr>
            <w:r w:rsidRPr="00102A70">
              <w:rPr>
                <w:rFonts w:ascii="Times New Roman" w:hAnsi="Times New Roman" w:cs="Times New Roman"/>
                <w:color w:val="000000"/>
                <w:sz w:val="16"/>
                <w:szCs w:val="16"/>
                <w:lang w:val="en-GB"/>
              </w:rPr>
              <w:t>4.60***</w:t>
            </w:r>
          </w:p>
        </w:tc>
        <w:tc>
          <w:tcPr>
            <w:tcW w:w="950" w:type="dxa"/>
            <w:vAlign w:val="bottom"/>
          </w:tcPr>
          <w:p w14:paraId="126DCAFB" w14:textId="77777777" w:rsidR="00B75F05" w:rsidRPr="00102A70" w:rsidRDefault="00B75F05" w:rsidP="00C21D6F">
            <w:pPr>
              <w:autoSpaceDE w:val="0"/>
              <w:autoSpaceDN w:val="0"/>
              <w:adjustRightInd w:val="0"/>
              <w:ind w:right="10"/>
              <w:rPr>
                <w:rFonts w:ascii="Times New Roman" w:hAnsi="Times New Roman" w:cs="Times New Roman"/>
                <w:color w:val="000000"/>
                <w:sz w:val="16"/>
                <w:szCs w:val="16"/>
                <w:lang w:val="en-GB"/>
              </w:rPr>
            </w:pPr>
            <w:r w:rsidRPr="00102A70">
              <w:rPr>
                <w:rFonts w:ascii="Times New Roman" w:hAnsi="Times New Roman" w:cs="Times New Roman"/>
                <w:color w:val="000000"/>
                <w:sz w:val="16"/>
                <w:szCs w:val="16"/>
                <w:lang w:val="en-GB"/>
              </w:rPr>
              <w:t>-0.09</w:t>
            </w:r>
          </w:p>
        </w:tc>
        <w:tc>
          <w:tcPr>
            <w:tcW w:w="960" w:type="dxa"/>
            <w:vAlign w:val="bottom"/>
          </w:tcPr>
          <w:p w14:paraId="1910ACAB" w14:textId="77777777" w:rsidR="00B75F05" w:rsidRPr="00102A70" w:rsidRDefault="00B75F05" w:rsidP="00C21D6F">
            <w:pPr>
              <w:autoSpaceDE w:val="0"/>
              <w:autoSpaceDN w:val="0"/>
              <w:adjustRightInd w:val="0"/>
              <w:ind w:right="10"/>
              <w:rPr>
                <w:rFonts w:ascii="Times New Roman" w:hAnsi="Times New Roman" w:cs="Times New Roman"/>
                <w:color w:val="000000"/>
                <w:sz w:val="16"/>
                <w:szCs w:val="16"/>
                <w:lang w:val="en-GB"/>
              </w:rPr>
            </w:pPr>
            <w:r w:rsidRPr="00102A70">
              <w:rPr>
                <w:rFonts w:ascii="Times New Roman" w:hAnsi="Times New Roman" w:cs="Times New Roman"/>
                <w:color w:val="000000"/>
                <w:sz w:val="16"/>
                <w:szCs w:val="16"/>
                <w:lang w:val="en-GB"/>
              </w:rPr>
              <w:t>-0.06</w:t>
            </w:r>
          </w:p>
        </w:tc>
        <w:tc>
          <w:tcPr>
            <w:tcW w:w="957" w:type="dxa"/>
            <w:vAlign w:val="bottom"/>
          </w:tcPr>
          <w:p w14:paraId="2FBCD96A" w14:textId="77777777" w:rsidR="00B75F05" w:rsidRPr="00102A70" w:rsidRDefault="00B75F05" w:rsidP="00C21D6F">
            <w:pPr>
              <w:autoSpaceDE w:val="0"/>
              <w:autoSpaceDN w:val="0"/>
              <w:adjustRightInd w:val="0"/>
              <w:ind w:right="10"/>
              <w:rPr>
                <w:rFonts w:ascii="Times New Roman" w:hAnsi="Times New Roman" w:cs="Times New Roman"/>
                <w:color w:val="000000"/>
                <w:sz w:val="16"/>
                <w:szCs w:val="16"/>
                <w:lang w:val="en-GB"/>
              </w:rPr>
            </w:pPr>
            <w:r w:rsidRPr="00102A70">
              <w:rPr>
                <w:rFonts w:ascii="Times New Roman" w:hAnsi="Times New Roman" w:cs="Times New Roman"/>
                <w:color w:val="000000"/>
                <w:sz w:val="16"/>
                <w:szCs w:val="16"/>
                <w:lang w:val="en-GB"/>
              </w:rPr>
              <w:t>0.44</w:t>
            </w:r>
          </w:p>
        </w:tc>
        <w:tc>
          <w:tcPr>
            <w:tcW w:w="1230" w:type="dxa"/>
            <w:vAlign w:val="bottom"/>
          </w:tcPr>
          <w:p w14:paraId="7AED814F" w14:textId="77777777" w:rsidR="00B75F05" w:rsidRPr="00102A70" w:rsidRDefault="00B75F05" w:rsidP="00C21D6F">
            <w:pPr>
              <w:autoSpaceDE w:val="0"/>
              <w:autoSpaceDN w:val="0"/>
              <w:adjustRightInd w:val="0"/>
              <w:ind w:right="10"/>
              <w:rPr>
                <w:rFonts w:ascii="Times New Roman" w:hAnsi="Times New Roman" w:cs="Times New Roman"/>
                <w:color w:val="000000"/>
                <w:sz w:val="16"/>
                <w:szCs w:val="16"/>
                <w:lang w:val="en-GB"/>
              </w:rPr>
            </w:pPr>
            <w:r w:rsidRPr="00102A70">
              <w:rPr>
                <w:rFonts w:ascii="Times New Roman" w:hAnsi="Times New Roman" w:cs="Times New Roman"/>
                <w:color w:val="000000"/>
                <w:sz w:val="16"/>
                <w:szCs w:val="16"/>
                <w:lang w:val="en-GB"/>
              </w:rPr>
              <w:t>5.56***</w:t>
            </w:r>
          </w:p>
        </w:tc>
      </w:tr>
      <w:tr w:rsidR="00B75F05" w:rsidRPr="00102A70" w14:paraId="5D4C5FEE" w14:textId="77777777" w:rsidTr="00C21D6F">
        <w:tc>
          <w:tcPr>
            <w:tcW w:w="1186" w:type="dxa"/>
          </w:tcPr>
          <w:p w14:paraId="3E34DC27" w14:textId="77777777" w:rsidR="00B75F05" w:rsidRPr="00102A70" w:rsidRDefault="00B75F05" w:rsidP="00C21D6F">
            <w:pPr>
              <w:spacing w:line="480" w:lineRule="auto"/>
              <w:contextualSpacing/>
              <w:rPr>
                <w:rFonts w:ascii="Times New Roman" w:hAnsi="Times New Roman" w:cs="Times New Roman"/>
                <w:sz w:val="16"/>
                <w:szCs w:val="16"/>
              </w:rPr>
            </w:pPr>
            <w:r w:rsidRPr="00102A70">
              <w:rPr>
                <w:rFonts w:ascii="Times New Roman" w:hAnsi="Times New Roman" w:cs="Times New Roman"/>
                <w:sz w:val="16"/>
                <w:szCs w:val="16"/>
              </w:rPr>
              <w:t>CAP</w:t>
            </w:r>
          </w:p>
        </w:tc>
        <w:tc>
          <w:tcPr>
            <w:tcW w:w="973" w:type="dxa"/>
            <w:vAlign w:val="bottom"/>
          </w:tcPr>
          <w:p w14:paraId="0CEE8EF3" w14:textId="77777777" w:rsidR="00B75F05" w:rsidRPr="00102A70" w:rsidRDefault="00B75F05" w:rsidP="00C21D6F">
            <w:pPr>
              <w:autoSpaceDE w:val="0"/>
              <w:autoSpaceDN w:val="0"/>
              <w:adjustRightInd w:val="0"/>
              <w:ind w:right="10"/>
              <w:rPr>
                <w:rFonts w:ascii="Times New Roman" w:hAnsi="Times New Roman" w:cs="Times New Roman"/>
                <w:color w:val="000000"/>
                <w:sz w:val="16"/>
                <w:szCs w:val="16"/>
                <w:lang w:val="en-GB"/>
              </w:rPr>
            </w:pPr>
            <w:r w:rsidRPr="00102A70">
              <w:rPr>
                <w:rFonts w:ascii="Times New Roman" w:hAnsi="Times New Roman" w:cs="Times New Roman"/>
                <w:color w:val="000000"/>
                <w:sz w:val="16"/>
                <w:szCs w:val="16"/>
                <w:lang w:val="en-GB"/>
              </w:rPr>
              <w:t>0.04</w:t>
            </w:r>
          </w:p>
        </w:tc>
        <w:tc>
          <w:tcPr>
            <w:tcW w:w="974" w:type="dxa"/>
            <w:vAlign w:val="bottom"/>
          </w:tcPr>
          <w:p w14:paraId="36EEBE65" w14:textId="77777777" w:rsidR="00B75F05" w:rsidRPr="00102A70" w:rsidRDefault="00B75F05" w:rsidP="00C21D6F">
            <w:pPr>
              <w:autoSpaceDE w:val="0"/>
              <w:autoSpaceDN w:val="0"/>
              <w:adjustRightInd w:val="0"/>
              <w:ind w:right="10"/>
              <w:rPr>
                <w:rFonts w:ascii="Times New Roman" w:hAnsi="Times New Roman" w:cs="Times New Roman"/>
                <w:color w:val="000000"/>
                <w:sz w:val="16"/>
                <w:szCs w:val="16"/>
                <w:lang w:val="en-GB"/>
              </w:rPr>
            </w:pPr>
            <w:r w:rsidRPr="00102A70">
              <w:rPr>
                <w:rFonts w:ascii="Times New Roman" w:hAnsi="Times New Roman" w:cs="Times New Roman"/>
                <w:color w:val="000000"/>
                <w:sz w:val="16"/>
                <w:szCs w:val="16"/>
                <w:lang w:val="en-GB"/>
              </w:rPr>
              <w:t>1.17</w:t>
            </w:r>
          </w:p>
        </w:tc>
        <w:tc>
          <w:tcPr>
            <w:tcW w:w="950" w:type="dxa"/>
            <w:vAlign w:val="bottom"/>
          </w:tcPr>
          <w:p w14:paraId="000AF26D" w14:textId="77777777" w:rsidR="00B75F05" w:rsidRPr="00102A70" w:rsidRDefault="00B75F05" w:rsidP="00C21D6F">
            <w:pPr>
              <w:autoSpaceDE w:val="0"/>
              <w:autoSpaceDN w:val="0"/>
              <w:adjustRightInd w:val="0"/>
              <w:ind w:right="10"/>
              <w:rPr>
                <w:rFonts w:ascii="Times New Roman" w:hAnsi="Times New Roman" w:cs="Times New Roman"/>
                <w:color w:val="000000"/>
                <w:sz w:val="16"/>
                <w:szCs w:val="16"/>
                <w:lang w:val="en-GB"/>
              </w:rPr>
            </w:pPr>
            <w:r w:rsidRPr="00102A70">
              <w:rPr>
                <w:rFonts w:ascii="Times New Roman" w:hAnsi="Times New Roman" w:cs="Times New Roman"/>
                <w:color w:val="000000"/>
                <w:sz w:val="16"/>
                <w:szCs w:val="16"/>
                <w:lang w:val="en-GB"/>
              </w:rPr>
              <w:t>0.26</w:t>
            </w:r>
          </w:p>
        </w:tc>
        <w:tc>
          <w:tcPr>
            <w:tcW w:w="960" w:type="dxa"/>
            <w:vAlign w:val="bottom"/>
          </w:tcPr>
          <w:p w14:paraId="3F02E8E2" w14:textId="77777777" w:rsidR="00B75F05" w:rsidRPr="00102A70" w:rsidRDefault="00B75F05" w:rsidP="00C21D6F">
            <w:pPr>
              <w:autoSpaceDE w:val="0"/>
              <w:autoSpaceDN w:val="0"/>
              <w:adjustRightInd w:val="0"/>
              <w:ind w:right="10"/>
              <w:rPr>
                <w:rFonts w:ascii="Times New Roman" w:hAnsi="Times New Roman" w:cs="Times New Roman"/>
                <w:color w:val="000000"/>
                <w:sz w:val="16"/>
                <w:szCs w:val="16"/>
                <w:lang w:val="en-GB"/>
              </w:rPr>
            </w:pPr>
            <w:r w:rsidRPr="00102A70">
              <w:rPr>
                <w:rFonts w:ascii="Times New Roman" w:hAnsi="Times New Roman" w:cs="Times New Roman"/>
                <w:color w:val="000000"/>
                <w:sz w:val="16"/>
                <w:szCs w:val="16"/>
                <w:lang w:val="en-GB"/>
              </w:rPr>
              <w:t>5.35***</w:t>
            </w:r>
          </w:p>
        </w:tc>
        <w:tc>
          <w:tcPr>
            <w:tcW w:w="957" w:type="dxa"/>
            <w:vAlign w:val="bottom"/>
          </w:tcPr>
          <w:p w14:paraId="6DAD0329" w14:textId="77777777" w:rsidR="00B75F05" w:rsidRPr="00102A70" w:rsidRDefault="00B75F05" w:rsidP="00C21D6F">
            <w:pPr>
              <w:autoSpaceDE w:val="0"/>
              <w:autoSpaceDN w:val="0"/>
              <w:adjustRightInd w:val="0"/>
              <w:ind w:right="10"/>
              <w:rPr>
                <w:rFonts w:ascii="Times New Roman" w:hAnsi="Times New Roman" w:cs="Times New Roman"/>
                <w:color w:val="000000"/>
                <w:sz w:val="16"/>
                <w:szCs w:val="16"/>
                <w:lang w:val="en-GB"/>
              </w:rPr>
            </w:pPr>
            <w:r w:rsidRPr="00102A70">
              <w:rPr>
                <w:rFonts w:ascii="Times New Roman" w:hAnsi="Times New Roman" w:cs="Times New Roman"/>
                <w:color w:val="000000"/>
                <w:sz w:val="16"/>
                <w:szCs w:val="16"/>
                <w:lang w:val="en-GB"/>
              </w:rPr>
              <w:t>0.04</w:t>
            </w:r>
          </w:p>
        </w:tc>
        <w:tc>
          <w:tcPr>
            <w:tcW w:w="1230" w:type="dxa"/>
            <w:vAlign w:val="bottom"/>
          </w:tcPr>
          <w:p w14:paraId="215F3A4D" w14:textId="77777777" w:rsidR="00B75F05" w:rsidRPr="00102A70" w:rsidRDefault="00B75F05" w:rsidP="00C21D6F">
            <w:pPr>
              <w:autoSpaceDE w:val="0"/>
              <w:autoSpaceDN w:val="0"/>
              <w:adjustRightInd w:val="0"/>
              <w:ind w:right="10"/>
              <w:rPr>
                <w:rFonts w:ascii="Times New Roman" w:hAnsi="Times New Roman" w:cs="Times New Roman"/>
                <w:color w:val="000000"/>
                <w:sz w:val="16"/>
                <w:szCs w:val="16"/>
                <w:lang w:val="en-GB"/>
              </w:rPr>
            </w:pPr>
            <w:r w:rsidRPr="00102A70">
              <w:rPr>
                <w:rFonts w:ascii="Times New Roman" w:hAnsi="Times New Roman" w:cs="Times New Roman"/>
                <w:color w:val="000000"/>
                <w:sz w:val="16"/>
                <w:szCs w:val="16"/>
                <w:lang w:val="en-GB"/>
              </w:rPr>
              <w:t>1.34</w:t>
            </w:r>
          </w:p>
        </w:tc>
      </w:tr>
      <w:tr w:rsidR="00B75F05" w:rsidRPr="00102A70" w14:paraId="7D2E8F8C" w14:textId="77777777" w:rsidTr="00C21D6F">
        <w:tc>
          <w:tcPr>
            <w:tcW w:w="1186" w:type="dxa"/>
          </w:tcPr>
          <w:p w14:paraId="560923FF" w14:textId="77777777" w:rsidR="00B75F05" w:rsidRPr="00102A70" w:rsidRDefault="00B75F05" w:rsidP="00C21D6F">
            <w:pPr>
              <w:spacing w:line="480" w:lineRule="auto"/>
              <w:contextualSpacing/>
              <w:rPr>
                <w:rFonts w:ascii="Times New Roman" w:hAnsi="Times New Roman" w:cs="Times New Roman"/>
                <w:sz w:val="16"/>
                <w:szCs w:val="16"/>
              </w:rPr>
            </w:pPr>
            <w:r w:rsidRPr="00102A70">
              <w:rPr>
                <w:rFonts w:ascii="Times New Roman" w:hAnsi="Times New Roman" w:cs="Times New Roman"/>
                <w:sz w:val="16"/>
                <w:szCs w:val="16"/>
              </w:rPr>
              <w:t>CR</w:t>
            </w:r>
          </w:p>
        </w:tc>
        <w:tc>
          <w:tcPr>
            <w:tcW w:w="973" w:type="dxa"/>
            <w:vAlign w:val="bottom"/>
          </w:tcPr>
          <w:p w14:paraId="37B6D51D" w14:textId="77777777" w:rsidR="00B75F05" w:rsidRPr="00102A70" w:rsidRDefault="00B75F05" w:rsidP="00C21D6F">
            <w:pPr>
              <w:autoSpaceDE w:val="0"/>
              <w:autoSpaceDN w:val="0"/>
              <w:adjustRightInd w:val="0"/>
              <w:ind w:right="10"/>
              <w:rPr>
                <w:rFonts w:ascii="Times New Roman" w:hAnsi="Times New Roman" w:cs="Times New Roman"/>
                <w:color w:val="000000"/>
                <w:sz w:val="16"/>
                <w:szCs w:val="16"/>
                <w:lang w:val="en-GB"/>
              </w:rPr>
            </w:pPr>
            <w:r w:rsidRPr="00102A70">
              <w:rPr>
                <w:rFonts w:ascii="Times New Roman" w:hAnsi="Times New Roman" w:cs="Times New Roman"/>
                <w:color w:val="000000"/>
                <w:sz w:val="16"/>
                <w:szCs w:val="16"/>
                <w:lang w:val="en-GB"/>
              </w:rPr>
              <w:t>-0.02</w:t>
            </w:r>
          </w:p>
        </w:tc>
        <w:tc>
          <w:tcPr>
            <w:tcW w:w="974" w:type="dxa"/>
            <w:vAlign w:val="bottom"/>
          </w:tcPr>
          <w:p w14:paraId="7C1A8D74" w14:textId="77777777" w:rsidR="00B75F05" w:rsidRPr="00102A70" w:rsidRDefault="00B75F05" w:rsidP="00C21D6F">
            <w:pPr>
              <w:autoSpaceDE w:val="0"/>
              <w:autoSpaceDN w:val="0"/>
              <w:adjustRightInd w:val="0"/>
              <w:ind w:right="10"/>
              <w:rPr>
                <w:rFonts w:ascii="Times New Roman" w:hAnsi="Times New Roman" w:cs="Times New Roman"/>
                <w:color w:val="000000"/>
                <w:sz w:val="16"/>
                <w:szCs w:val="16"/>
                <w:lang w:val="en-GB"/>
              </w:rPr>
            </w:pPr>
            <w:r w:rsidRPr="00102A70">
              <w:rPr>
                <w:rFonts w:ascii="Times New Roman" w:hAnsi="Times New Roman" w:cs="Times New Roman"/>
                <w:color w:val="000000"/>
                <w:sz w:val="16"/>
                <w:szCs w:val="16"/>
                <w:lang w:val="en-GB"/>
              </w:rPr>
              <w:t>-2.38**</w:t>
            </w:r>
          </w:p>
        </w:tc>
        <w:tc>
          <w:tcPr>
            <w:tcW w:w="950" w:type="dxa"/>
            <w:vAlign w:val="bottom"/>
          </w:tcPr>
          <w:p w14:paraId="21B185C4" w14:textId="77777777" w:rsidR="00B75F05" w:rsidRPr="00102A70" w:rsidRDefault="00B75F05" w:rsidP="00C21D6F">
            <w:pPr>
              <w:autoSpaceDE w:val="0"/>
              <w:autoSpaceDN w:val="0"/>
              <w:adjustRightInd w:val="0"/>
              <w:ind w:right="10"/>
              <w:rPr>
                <w:rFonts w:ascii="Times New Roman" w:hAnsi="Times New Roman" w:cs="Times New Roman"/>
                <w:color w:val="000000"/>
                <w:sz w:val="16"/>
                <w:szCs w:val="16"/>
                <w:lang w:val="en-GB"/>
              </w:rPr>
            </w:pPr>
            <w:r w:rsidRPr="00102A70">
              <w:rPr>
                <w:rFonts w:ascii="Times New Roman" w:hAnsi="Times New Roman" w:cs="Times New Roman"/>
                <w:color w:val="000000"/>
                <w:sz w:val="16"/>
                <w:szCs w:val="16"/>
                <w:lang w:val="en-GB"/>
              </w:rPr>
              <w:t>-0.07</w:t>
            </w:r>
          </w:p>
        </w:tc>
        <w:tc>
          <w:tcPr>
            <w:tcW w:w="960" w:type="dxa"/>
            <w:vAlign w:val="bottom"/>
          </w:tcPr>
          <w:p w14:paraId="326575F6" w14:textId="77777777" w:rsidR="00B75F05" w:rsidRPr="00102A70" w:rsidRDefault="00B75F05" w:rsidP="00C21D6F">
            <w:pPr>
              <w:autoSpaceDE w:val="0"/>
              <w:autoSpaceDN w:val="0"/>
              <w:adjustRightInd w:val="0"/>
              <w:ind w:right="10"/>
              <w:rPr>
                <w:rFonts w:ascii="Times New Roman" w:hAnsi="Times New Roman" w:cs="Times New Roman"/>
                <w:color w:val="000000"/>
                <w:sz w:val="16"/>
                <w:szCs w:val="16"/>
                <w:lang w:val="en-GB"/>
              </w:rPr>
            </w:pPr>
            <w:r w:rsidRPr="00102A70">
              <w:rPr>
                <w:rFonts w:ascii="Times New Roman" w:hAnsi="Times New Roman" w:cs="Times New Roman"/>
                <w:color w:val="000000"/>
                <w:sz w:val="16"/>
                <w:szCs w:val="16"/>
                <w:lang w:val="en-GB"/>
              </w:rPr>
              <w:t>-2.47**</w:t>
            </w:r>
          </w:p>
        </w:tc>
        <w:tc>
          <w:tcPr>
            <w:tcW w:w="957" w:type="dxa"/>
            <w:vAlign w:val="bottom"/>
          </w:tcPr>
          <w:p w14:paraId="796B3C53" w14:textId="77777777" w:rsidR="00B75F05" w:rsidRPr="00102A70" w:rsidRDefault="00B75F05" w:rsidP="00C21D6F">
            <w:pPr>
              <w:autoSpaceDE w:val="0"/>
              <w:autoSpaceDN w:val="0"/>
              <w:adjustRightInd w:val="0"/>
              <w:ind w:right="10"/>
              <w:rPr>
                <w:rFonts w:ascii="Times New Roman" w:hAnsi="Times New Roman" w:cs="Times New Roman"/>
                <w:color w:val="000000"/>
                <w:sz w:val="16"/>
                <w:szCs w:val="16"/>
                <w:lang w:val="en-GB"/>
              </w:rPr>
            </w:pPr>
            <w:r w:rsidRPr="00102A70">
              <w:rPr>
                <w:rFonts w:ascii="Times New Roman" w:hAnsi="Times New Roman" w:cs="Times New Roman"/>
                <w:color w:val="000000"/>
                <w:sz w:val="16"/>
                <w:szCs w:val="16"/>
                <w:lang w:val="en-GB"/>
              </w:rPr>
              <w:t>-0.03</w:t>
            </w:r>
          </w:p>
        </w:tc>
        <w:tc>
          <w:tcPr>
            <w:tcW w:w="1230" w:type="dxa"/>
            <w:vAlign w:val="bottom"/>
          </w:tcPr>
          <w:p w14:paraId="21F633D1" w14:textId="77777777" w:rsidR="00B75F05" w:rsidRPr="00102A70" w:rsidRDefault="00B75F05" w:rsidP="00C21D6F">
            <w:pPr>
              <w:autoSpaceDE w:val="0"/>
              <w:autoSpaceDN w:val="0"/>
              <w:adjustRightInd w:val="0"/>
              <w:ind w:right="10"/>
              <w:rPr>
                <w:rFonts w:ascii="Times New Roman" w:hAnsi="Times New Roman" w:cs="Times New Roman"/>
                <w:color w:val="000000"/>
                <w:sz w:val="16"/>
                <w:szCs w:val="16"/>
                <w:lang w:val="en-GB"/>
              </w:rPr>
            </w:pPr>
            <w:r w:rsidRPr="00102A70">
              <w:rPr>
                <w:rFonts w:ascii="Times New Roman" w:hAnsi="Times New Roman" w:cs="Times New Roman"/>
                <w:color w:val="000000"/>
                <w:sz w:val="16"/>
                <w:szCs w:val="16"/>
                <w:lang w:val="en-GB"/>
              </w:rPr>
              <w:t>-1.90*</w:t>
            </w:r>
          </w:p>
        </w:tc>
      </w:tr>
      <w:tr w:rsidR="00B75F05" w:rsidRPr="00102A70" w14:paraId="7F3AEFB0" w14:textId="77777777" w:rsidTr="00C21D6F">
        <w:tc>
          <w:tcPr>
            <w:tcW w:w="1186" w:type="dxa"/>
          </w:tcPr>
          <w:p w14:paraId="7E45D7A8" w14:textId="77777777" w:rsidR="00B75F05" w:rsidRPr="00102A70" w:rsidRDefault="00B75F05" w:rsidP="00C21D6F">
            <w:pPr>
              <w:spacing w:line="480" w:lineRule="auto"/>
              <w:contextualSpacing/>
              <w:rPr>
                <w:rFonts w:ascii="Times New Roman" w:hAnsi="Times New Roman" w:cs="Times New Roman"/>
                <w:sz w:val="16"/>
                <w:szCs w:val="16"/>
              </w:rPr>
            </w:pPr>
            <w:r w:rsidRPr="00102A70">
              <w:rPr>
                <w:rFonts w:ascii="Times New Roman" w:hAnsi="Times New Roman" w:cs="Times New Roman"/>
                <w:sz w:val="16"/>
                <w:szCs w:val="16"/>
              </w:rPr>
              <w:t>CM</w:t>
            </w:r>
          </w:p>
        </w:tc>
        <w:tc>
          <w:tcPr>
            <w:tcW w:w="973" w:type="dxa"/>
            <w:vAlign w:val="bottom"/>
          </w:tcPr>
          <w:p w14:paraId="586F3427" w14:textId="77777777" w:rsidR="00B75F05" w:rsidRPr="00102A70" w:rsidRDefault="00B75F05" w:rsidP="00C21D6F">
            <w:pPr>
              <w:autoSpaceDE w:val="0"/>
              <w:autoSpaceDN w:val="0"/>
              <w:adjustRightInd w:val="0"/>
              <w:ind w:right="10"/>
              <w:rPr>
                <w:rFonts w:ascii="Times New Roman" w:hAnsi="Times New Roman" w:cs="Times New Roman"/>
                <w:color w:val="000000"/>
                <w:sz w:val="16"/>
                <w:szCs w:val="16"/>
                <w:lang w:val="en-GB"/>
              </w:rPr>
            </w:pPr>
            <w:r w:rsidRPr="00102A70">
              <w:rPr>
                <w:rFonts w:ascii="Times New Roman" w:hAnsi="Times New Roman" w:cs="Times New Roman"/>
                <w:color w:val="000000"/>
                <w:sz w:val="16"/>
                <w:szCs w:val="16"/>
                <w:lang w:val="en-GB"/>
              </w:rPr>
              <w:t>-0.03</w:t>
            </w:r>
          </w:p>
        </w:tc>
        <w:tc>
          <w:tcPr>
            <w:tcW w:w="974" w:type="dxa"/>
            <w:vAlign w:val="bottom"/>
          </w:tcPr>
          <w:p w14:paraId="3D309A34" w14:textId="77777777" w:rsidR="00B75F05" w:rsidRPr="00102A70" w:rsidRDefault="00B75F05" w:rsidP="00C21D6F">
            <w:pPr>
              <w:autoSpaceDE w:val="0"/>
              <w:autoSpaceDN w:val="0"/>
              <w:adjustRightInd w:val="0"/>
              <w:ind w:right="10"/>
              <w:rPr>
                <w:rFonts w:ascii="Times New Roman" w:hAnsi="Times New Roman" w:cs="Times New Roman"/>
                <w:color w:val="000000"/>
                <w:sz w:val="16"/>
                <w:szCs w:val="16"/>
                <w:lang w:val="en-GB"/>
              </w:rPr>
            </w:pPr>
            <w:r w:rsidRPr="00102A70">
              <w:rPr>
                <w:rFonts w:ascii="Times New Roman" w:hAnsi="Times New Roman" w:cs="Times New Roman"/>
                <w:color w:val="000000"/>
                <w:sz w:val="16"/>
                <w:szCs w:val="16"/>
                <w:lang w:val="en-GB"/>
              </w:rPr>
              <w:t>-11.42***</w:t>
            </w:r>
          </w:p>
        </w:tc>
        <w:tc>
          <w:tcPr>
            <w:tcW w:w="950" w:type="dxa"/>
            <w:vAlign w:val="bottom"/>
          </w:tcPr>
          <w:p w14:paraId="0C989529" w14:textId="77777777" w:rsidR="00B75F05" w:rsidRPr="00102A70" w:rsidRDefault="00B75F05" w:rsidP="00C21D6F">
            <w:pPr>
              <w:autoSpaceDE w:val="0"/>
              <w:autoSpaceDN w:val="0"/>
              <w:adjustRightInd w:val="0"/>
              <w:ind w:right="10"/>
              <w:rPr>
                <w:rFonts w:ascii="Times New Roman" w:hAnsi="Times New Roman" w:cs="Times New Roman"/>
                <w:color w:val="000000"/>
                <w:sz w:val="16"/>
                <w:szCs w:val="16"/>
                <w:lang w:val="en-GB"/>
              </w:rPr>
            </w:pPr>
            <w:r w:rsidRPr="00102A70">
              <w:rPr>
                <w:rFonts w:ascii="Times New Roman" w:hAnsi="Times New Roman" w:cs="Times New Roman"/>
                <w:color w:val="000000"/>
                <w:sz w:val="16"/>
                <w:szCs w:val="16"/>
                <w:lang w:val="en-GB"/>
              </w:rPr>
              <w:t>-0.01</w:t>
            </w:r>
          </w:p>
        </w:tc>
        <w:tc>
          <w:tcPr>
            <w:tcW w:w="960" w:type="dxa"/>
            <w:vAlign w:val="bottom"/>
          </w:tcPr>
          <w:p w14:paraId="549EF852" w14:textId="77777777" w:rsidR="00B75F05" w:rsidRPr="00102A70" w:rsidRDefault="00B75F05" w:rsidP="00C21D6F">
            <w:pPr>
              <w:autoSpaceDE w:val="0"/>
              <w:autoSpaceDN w:val="0"/>
              <w:adjustRightInd w:val="0"/>
              <w:ind w:right="10"/>
              <w:rPr>
                <w:rFonts w:ascii="Times New Roman" w:hAnsi="Times New Roman" w:cs="Times New Roman"/>
                <w:color w:val="000000"/>
                <w:sz w:val="16"/>
                <w:szCs w:val="16"/>
                <w:lang w:val="en-GB"/>
              </w:rPr>
            </w:pPr>
            <w:r w:rsidRPr="00102A70">
              <w:rPr>
                <w:rFonts w:ascii="Times New Roman" w:hAnsi="Times New Roman" w:cs="Times New Roman"/>
                <w:color w:val="000000"/>
                <w:sz w:val="16"/>
                <w:szCs w:val="16"/>
                <w:lang w:val="en-GB"/>
              </w:rPr>
              <w:t>-0.91</w:t>
            </w:r>
          </w:p>
        </w:tc>
        <w:tc>
          <w:tcPr>
            <w:tcW w:w="957" w:type="dxa"/>
            <w:vAlign w:val="bottom"/>
          </w:tcPr>
          <w:p w14:paraId="71A944FE" w14:textId="77777777" w:rsidR="00B75F05" w:rsidRPr="00102A70" w:rsidRDefault="00B75F05" w:rsidP="00C21D6F">
            <w:pPr>
              <w:autoSpaceDE w:val="0"/>
              <w:autoSpaceDN w:val="0"/>
              <w:adjustRightInd w:val="0"/>
              <w:ind w:right="10"/>
              <w:rPr>
                <w:rFonts w:ascii="Times New Roman" w:hAnsi="Times New Roman" w:cs="Times New Roman"/>
                <w:color w:val="000000"/>
                <w:sz w:val="16"/>
                <w:szCs w:val="16"/>
                <w:lang w:val="en-GB"/>
              </w:rPr>
            </w:pPr>
            <w:r w:rsidRPr="00102A70">
              <w:rPr>
                <w:rFonts w:ascii="Times New Roman" w:hAnsi="Times New Roman" w:cs="Times New Roman"/>
                <w:color w:val="000000"/>
                <w:sz w:val="16"/>
                <w:szCs w:val="16"/>
                <w:lang w:val="en-GB"/>
              </w:rPr>
              <w:t>-0.01</w:t>
            </w:r>
          </w:p>
        </w:tc>
        <w:tc>
          <w:tcPr>
            <w:tcW w:w="1230" w:type="dxa"/>
            <w:vAlign w:val="bottom"/>
          </w:tcPr>
          <w:p w14:paraId="05C8B100" w14:textId="77777777" w:rsidR="00B75F05" w:rsidRPr="00102A70" w:rsidRDefault="00B75F05" w:rsidP="00C21D6F">
            <w:pPr>
              <w:autoSpaceDE w:val="0"/>
              <w:autoSpaceDN w:val="0"/>
              <w:adjustRightInd w:val="0"/>
              <w:ind w:right="10"/>
              <w:rPr>
                <w:rFonts w:ascii="Times New Roman" w:hAnsi="Times New Roman" w:cs="Times New Roman"/>
                <w:color w:val="000000"/>
                <w:sz w:val="16"/>
                <w:szCs w:val="16"/>
                <w:lang w:val="en-GB"/>
              </w:rPr>
            </w:pPr>
            <w:r w:rsidRPr="00102A70">
              <w:rPr>
                <w:rFonts w:ascii="Times New Roman" w:hAnsi="Times New Roman" w:cs="Times New Roman"/>
                <w:color w:val="000000"/>
                <w:sz w:val="16"/>
                <w:szCs w:val="16"/>
                <w:lang w:val="en-GB"/>
              </w:rPr>
              <w:t>-3.87***</w:t>
            </w:r>
          </w:p>
        </w:tc>
      </w:tr>
      <w:tr w:rsidR="00B75F05" w:rsidRPr="00102A70" w14:paraId="4FDA4E9E" w14:textId="77777777" w:rsidTr="00C21D6F">
        <w:tc>
          <w:tcPr>
            <w:tcW w:w="1186" w:type="dxa"/>
          </w:tcPr>
          <w:p w14:paraId="130A36F7" w14:textId="77777777" w:rsidR="00B75F05" w:rsidRPr="00102A70" w:rsidRDefault="00B75F05" w:rsidP="00C21D6F">
            <w:pPr>
              <w:spacing w:line="480" w:lineRule="auto"/>
              <w:contextualSpacing/>
              <w:rPr>
                <w:rFonts w:ascii="Times New Roman" w:hAnsi="Times New Roman" w:cs="Times New Roman"/>
                <w:sz w:val="16"/>
                <w:szCs w:val="16"/>
              </w:rPr>
            </w:pPr>
            <w:r w:rsidRPr="00102A70">
              <w:rPr>
                <w:rFonts w:ascii="Times New Roman" w:hAnsi="Times New Roman" w:cs="Times New Roman"/>
                <w:sz w:val="16"/>
                <w:szCs w:val="16"/>
              </w:rPr>
              <w:t>LQ</w:t>
            </w:r>
          </w:p>
        </w:tc>
        <w:tc>
          <w:tcPr>
            <w:tcW w:w="973" w:type="dxa"/>
            <w:vAlign w:val="bottom"/>
          </w:tcPr>
          <w:p w14:paraId="09EB574F" w14:textId="77777777" w:rsidR="00B75F05" w:rsidRPr="00102A70" w:rsidRDefault="00B75F05" w:rsidP="00C21D6F">
            <w:pPr>
              <w:autoSpaceDE w:val="0"/>
              <w:autoSpaceDN w:val="0"/>
              <w:adjustRightInd w:val="0"/>
              <w:ind w:right="10"/>
              <w:rPr>
                <w:rFonts w:ascii="Times New Roman" w:hAnsi="Times New Roman" w:cs="Times New Roman"/>
                <w:color w:val="000000"/>
                <w:sz w:val="16"/>
                <w:szCs w:val="16"/>
                <w:lang w:val="en-GB"/>
              </w:rPr>
            </w:pPr>
            <w:r w:rsidRPr="00102A70">
              <w:rPr>
                <w:rFonts w:ascii="Times New Roman" w:hAnsi="Times New Roman" w:cs="Times New Roman"/>
                <w:color w:val="000000"/>
                <w:sz w:val="16"/>
                <w:szCs w:val="16"/>
                <w:lang w:val="en-GB"/>
              </w:rPr>
              <w:t>-0.01</w:t>
            </w:r>
          </w:p>
        </w:tc>
        <w:tc>
          <w:tcPr>
            <w:tcW w:w="974" w:type="dxa"/>
            <w:vAlign w:val="bottom"/>
          </w:tcPr>
          <w:p w14:paraId="2481204E" w14:textId="77777777" w:rsidR="00B75F05" w:rsidRPr="00102A70" w:rsidRDefault="00B75F05" w:rsidP="00C21D6F">
            <w:pPr>
              <w:autoSpaceDE w:val="0"/>
              <w:autoSpaceDN w:val="0"/>
              <w:adjustRightInd w:val="0"/>
              <w:ind w:right="10"/>
              <w:rPr>
                <w:rFonts w:ascii="Times New Roman" w:hAnsi="Times New Roman" w:cs="Times New Roman"/>
                <w:color w:val="000000"/>
                <w:sz w:val="16"/>
                <w:szCs w:val="16"/>
                <w:lang w:val="en-GB"/>
              </w:rPr>
            </w:pPr>
            <w:r w:rsidRPr="00102A70">
              <w:rPr>
                <w:rFonts w:ascii="Times New Roman" w:hAnsi="Times New Roman" w:cs="Times New Roman"/>
                <w:color w:val="000000"/>
                <w:sz w:val="16"/>
                <w:szCs w:val="16"/>
                <w:lang w:val="en-GB"/>
              </w:rPr>
              <w:t>-1.68*</w:t>
            </w:r>
          </w:p>
        </w:tc>
        <w:tc>
          <w:tcPr>
            <w:tcW w:w="950" w:type="dxa"/>
            <w:vAlign w:val="bottom"/>
          </w:tcPr>
          <w:p w14:paraId="08C1296E" w14:textId="77777777" w:rsidR="00B75F05" w:rsidRPr="00102A70" w:rsidRDefault="00B75F05" w:rsidP="00C21D6F">
            <w:pPr>
              <w:autoSpaceDE w:val="0"/>
              <w:autoSpaceDN w:val="0"/>
              <w:adjustRightInd w:val="0"/>
              <w:ind w:right="10"/>
              <w:rPr>
                <w:rFonts w:ascii="Times New Roman" w:hAnsi="Times New Roman" w:cs="Times New Roman"/>
                <w:color w:val="000000"/>
                <w:sz w:val="16"/>
                <w:szCs w:val="16"/>
                <w:lang w:val="en-GB"/>
              </w:rPr>
            </w:pPr>
            <w:r w:rsidRPr="00102A70">
              <w:rPr>
                <w:rFonts w:ascii="Times New Roman" w:hAnsi="Times New Roman" w:cs="Times New Roman"/>
                <w:color w:val="000000"/>
                <w:sz w:val="16"/>
                <w:szCs w:val="16"/>
                <w:lang w:val="en-GB"/>
              </w:rPr>
              <w:t>-0.02</w:t>
            </w:r>
          </w:p>
        </w:tc>
        <w:tc>
          <w:tcPr>
            <w:tcW w:w="960" w:type="dxa"/>
            <w:vAlign w:val="bottom"/>
          </w:tcPr>
          <w:p w14:paraId="755F134F" w14:textId="77777777" w:rsidR="00B75F05" w:rsidRPr="00102A70" w:rsidRDefault="00B75F05" w:rsidP="00C21D6F">
            <w:pPr>
              <w:autoSpaceDE w:val="0"/>
              <w:autoSpaceDN w:val="0"/>
              <w:adjustRightInd w:val="0"/>
              <w:ind w:right="10"/>
              <w:rPr>
                <w:rFonts w:ascii="Times New Roman" w:hAnsi="Times New Roman" w:cs="Times New Roman"/>
                <w:color w:val="000000"/>
                <w:sz w:val="16"/>
                <w:szCs w:val="16"/>
                <w:lang w:val="en-GB"/>
              </w:rPr>
            </w:pPr>
            <w:r w:rsidRPr="00102A70">
              <w:rPr>
                <w:rFonts w:ascii="Times New Roman" w:hAnsi="Times New Roman" w:cs="Times New Roman"/>
                <w:color w:val="000000"/>
                <w:sz w:val="16"/>
                <w:szCs w:val="16"/>
                <w:lang w:val="en-GB"/>
              </w:rPr>
              <w:t>-1.40</w:t>
            </w:r>
          </w:p>
        </w:tc>
        <w:tc>
          <w:tcPr>
            <w:tcW w:w="957" w:type="dxa"/>
            <w:vAlign w:val="bottom"/>
          </w:tcPr>
          <w:p w14:paraId="5B74C04C" w14:textId="77777777" w:rsidR="00B75F05" w:rsidRPr="00102A70" w:rsidRDefault="00B75F05" w:rsidP="00C21D6F">
            <w:pPr>
              <w:autoSpaceDE w:val="0"/>
              <w:autoSpaceDN w:val="0"/>
              <w:adjustRightInd w:val="0"/>
              <w:ind w:right="10"/>
              <w:rPr>
                <w:rFonts w:ascii="Times New Roman" w:hAnsi="Times New Roman" w:cs="Times New Roman"/>
                <w:color w:val="000000"/>
                <w:sz w:val="16"/>
                <w:szCs w:val="16"/>
                <w:lang w:val="en-GB"/>
              </w:rPr>
            </w:pPr>
            <w:r w:rsidRPr="00102A70">
              <w:rPr>
                <w:rFonts w:ascii="Times New Roman" w:hAnsi="Times New Roman" w:cs="Times New Roman"/>
                <w:color w:val="000000"/>
                <w:sz w:val="16"/>
                <w:szCs w:val="16"/>
                <w:lang w:val="en-GB"/>
              </w:rPr>
              <w:t>-0.01</w:t>
            </w:r>
          </w:p>
        </w:tc>
        <w:tc>
          <w:tcPr>
            <w:tcW w:w="1230" w:type="dxa"/>
            <w:vAlign w:val="bottom"/>
          </w:tcPr>
          <w:p w14:paraId="29021487" w14:textId="77777777" w:rsidR="00B75F05" w:rsidRPr="00102A70" w:rsidRDefault="00B75F05" w:rsidP="00C21D6F">
            <w:pPr>
              <w:autoSpaceDE w:val="0"/>
              <w:autoSpaceDN w:val="0"/>
              <w:adjustRightInd w:val="0"/>
              <w:ind w:right="10"/>
              <w:rPr>
                <w:rFonts w:ascii="Times New Roman" w:hAnsi="Times New Roman" w:cs="Times New Roman"/>
                <w:color w:val="000000"/>
                <w:sz w:val="16"/>
                <w:szCs w:val="16"/>
                <w:lang w:val="en-GB"/>
              </w:rPr>
            </w:pPr>
            <w:r w:rsidRPr="00102A70">
              <w:rPr>
                <w:rFonts w:ascii="Times New Roman" w:hAnsi="Times New Roman" w:cs="Times New Roman"/>
                <w:color w:val="000000"/>
                <w:sz w:val="16"/>
                <w:szCs w:val="16"/>
                <w:lang w:val="en-GB"/>
              </w:rPr>
              <w:t>-1.08</w:t>
            </w:r>
          </w:p>
        </w:tc>
      </w:tr>
      <w:tr w:rsidR="00B75F05" w:rsidRPr="00102A70" w14:paraId="22D737A0" w14:textId="77777777" w:rsidTr="00C21D6F">
        <w:tc>
          <w:tcPr>
            <w:tcW w:w="1186" w:type="dxa"/>
          </w:tcPr>
          <w:p w14:paraId="0506D97F" w14:textId="77777777" w:rsidR="00B75F05" w:rsidRPr="00102A70" w:rsidRDefault="00B75F05" w:rsidP="00C21D6F">
            <w:pPr>
              <w:spacing w:line="480" w:lineRule="auto"/>
              <w:contextualSpacing/>
              <w:rPr>
                <w:rFonts w:ascii="Times New Roman" w:hAnsi="Times New Roman" w:cs="Times New Roman"/>
                <w:sz w:val="16"/>
                <w:szCs w:val="16"/>
              </w:rPr>
            </w:pPr>
            <w:r w:rsidRPr="00102A70">
              <w:rPr>
                <w:rFonts w:ascii="Times New Roman" w:hAnsi="Times New Roman" w:cs="Times New Roman"/>
                <w:sz w:val="16"/>
                <w:szCs w:val="16"/>
              </w:rPr>
              <w:t>MP</w:t>
            </w:r>
          </w:p>
        </w:tc>
        <w:tc>
          <w:tcPr>
            <w:tcW w:w="973" w:type="dxa"/>
            <w:vAlign w:val="bottom"/>
          </w:tcPr>
          <w:p w14:paraId="72D2854C" w14:textId="77777777" w:rsidR="00B75F05" w:rsidRPr="00102A70" w:rsidRDefault="00B75F05" w:rsidP="00C21D6F">
            <w:pPr>
              <w:autoSpaceDE w:val="0"/>
              <w:autoSpaceDN w:val="0"/>
              <w:adjustRightInd w:val="0"/>
              <w:ind w:right="10"/>
              <w:rPr>
                <w:rFonts w:ascii="Times New Roman" w:hAnsi="Times New Roman" w:cs="Times New Roman"/>
                <w:color w:val="000000"/>
                <w:sz w:val="16"/>
                <w:szCs w:val="16"/>
                <w:lang w:val="en-GB"/>
              </w:rPr>
            </w:pPr>
            <w:r w:rsidRPr="00102A70">
              <w:rPr>
                <w:rFonts w:ascii="Times New Roman" w:hAnsi="Times New Roman" w:cs="Times New Roman"/>
                <w:color w:val="000000"/>
                <w:sz w:val="16"/>
                <w:szCs w:val="16"/>
                <w:lang w:val="en-GB"/>
              </w:rPr>
              <w:t>-0.01</w:t>
            </w:r>
          </w:p>
        </w:tc>
        <w:tc>
          <w:tcPr>
            <w:tcW w:w="974" w:type="dxa"/>
            <w:vAlign w:val="bottom"/>
          </w:tcPr>
          <w:p w14:paraId="11509C3D" w14:textId="77777777" w:rsidR="00B75F05" w:rsidRPr="00102A70" w:rsidRDefault="00B75F05" w:rsidP="00C21D6F">
            <w:pPr>
              <w:autoSpaceDE w:val="0"/>
              <w:autoSpaceDN w:val="0"/>
              <w:adjustRightInd w:val="0"/>
              <w:ind w:right="10"/>
              <w:rPr>
                <w:rFonts w:ascii="Times New Roman" w:hAnsi="Times New Roman" w:cs="Times New Roman"/>
                <w:color w:val="000000"/>
                <w:sz w:val="16"/>
                <w:szCs w:val="16"/>
                <w:lang w:val="en-GB"/>
              </w:rPr>
            </w:pPr>
            <w:r w:rsidRPr="00102A70">
              <w:rPr>
                <w:rFonts w:ascii="Times New Roman" w:hAnsi="Times New Roman" w:cs="Times New Roman"/>
                <w:color w:val="000000"/>
                <w:sz w:val="16"/>
                <w:szCs w:val="16"/>
                <w:lang w:val="en-GB"/>
              </w:rPr>
              <w:t>-0.91</w:t>
            </w:r>
          </w:p>
        </w:tc>
        <w:tc>
          <w:tcPr>
            <w:tcW w:w="950" w:type="dxa"/>
            <w:vAlign w:val="bottom"/>
          </w:tcPr>
          <w:p w14:paraId="5C868BBA" w14:textId="77777777" w:rsidR="00B75F05" w:rsidRPr="00102A70" w:rsidRDefault="00B75F05" w:rsidP="00C21D6F">
            <w:pPr>
              <w:autoSpaceDE w:val="0"/>
              <w:autoSpaceDN w:val="0"/>
              <w:adjustRightInd w:val="0"/>
              <w:ind w:right="10"/>
              <w:rPr>
                <w:rFonts w:ascii="Times New Roman" w:hAnsi="Times New Roman" w:cs="Times New Roman"/>
                <w:color w:val="000000"/>
                <w:sz w:val="16"/>
                <w:szCs w:val="16"/>
                <w:lang w:val="en-GB"/>
              </w:rPr>
            </w:pPr>
            <w:r w:rsidRPr="00102A70">
              <w:rPr>
                <w:rFonts w:ascii="Times New Roman" w:hAnsi="Times New Roman" w:cs="Times New Roman"/>
                <w:color w:val="000000"/>
                <w:sz w:val="16"/>
                <w:szCs w:val="16"/>
                <w:lang w:val="en-GB"/>
              </w:rPr>
              <w:t>0.01</w:t>
            </w:r>
          </w:p>
        </w:tc>
        <w:tc>
          <w:tcPr>
            <w:tcW w:w="960" w:type="dxa"/>
            <w:vAlign w:val="bottom"/>
          </w:tcPr>
          <w:p w14:paraId="30AB47EC" w14:textId="77777777" w:rsidR="00B75F05" w:rsidRPr="00102A70" w:rsidRDefault="00B75F05" w:rsidP="00C21D6F">
            <w:pPr>
              <w:autoSpaceDE w:val="0"/>
              <w:autoSpaceDN w:val="0"/>
              <w:adjustRightInd w:val="0"/>
              <w:ind w:right="10"/>
              <w:rPr>
                <w:rFonts w:ascii="Times New Roman" w:hAnsi="Times New Roman" w:cs="Times New Roman"/>
                <w:color w:val="000000"/>
                <w:sz w:val="16"/>
                <w:szCs w:val="16"/>
                <w:lang w:val="en-GB"/>
              </w:rPr>
            </w:pPr>
            <w:r w:rsidRPr="00102A70">
              <w:rPr>
                <w:rFonts w:ascii="Times New Roman" w:hAnsi="Times New Roman" w:cs="Times New Roman"/>
                <w:color w:val="000000"/>
                <w:sz w:val="16"/>
                <w:szCs w:val="16"/>
                <w:lang w:val="en-GB"/>
              </w:rPr>
              <w:t>0.54</w:t>
            </w:r>
          </w:p>
        </w:tc>
        <w:tc>
          <w:tcPr>
            <w:tcW w:w="957" w:type="dxa"/>
            <w:vAlign w:val="bottom"/>
          </w:tcPr>
          <w:p w14:paraId="35F2EB0C" w14:textId="77777777" w:rsidR="00B75F05" w:rsidRPr="00102A70" w:rsidRDefault="00B75F05" w:rsidP="00C21D6F">
            <w:pPr>
              <w:autoSpaceDE w:val="0"/>
              <w:autoSpaceDN w:val="0"/>
              <w:adjustRightInd w:val="0"/>
              <w:ind w:right="10"/>
              <w:rPr>
                <w:rFonts w:ascii="Times New Roman" w:hAnsi="Times New Roman" w:cs="Times New Roman"/>
                <w:color w:val="000000"/>
                <w:sz w:val="16"/>
                <w:szCs w:val="16"/>
                <w:lang w:val="en-GB"/>
              </w:rPr>
            </w:pPr>
            <w:r w:rsidRPr="00102A70">
              <w:rPr>
                <w:rFonts w:ascii="Times New Roman" w:hAnsi="Times New Roman" w:cs="Times New Roman"/>
                <w:color w:val="000000"/>
                <w:sz w:val="16"/>
                <w:szCs w:val="16"/>
                <w:lang w:val="en-GB"/>
              </w:rPr>
              <w:t>-0.02</w:t>
            </w:r>
          </w:p>
        </w:tc>
        <w:tc>
          <w:tcPr>
            <w:tcW w:w="1230" w:type="dxa"/>
            <w:vAlign w:val="bottom"/>
          </w:tcPr>
          <w:p w14:paraId="432FFBAF" w14:textId="77777777" w:rsidR="00B75F05" w:rsidRPr="00102A70" w:rsidRDefault="00B75F05" w:rsidP="00C21D6F">
            <w:pPr>
              <w:autoSpaceDE w:val="0"/>
              <w:autoSpaceDN w:val="0"/>
              <w:adjustRightInd w:val="0"/>
              <w:ind w:right="10"/>
              <w:rPr>
                <w:rFonts w:ascii="Times New Roman" w:hAnsi="Times New Roman" w:cs="Times New Roman"/>
                <w:color w:val="000000"/>
                <w:sz w:val="16"/>
                <w:szCs w:val="16"/>
                <w:lang w:val="en-GB"/>
              </w:rPr>
            </w:pPr>
            <w:r w:rsidRPr="00102A70">
              <w:rPr>
                <w:rFonts w:ascii="Times New Roman" w:hAnsi="Times New Roman" w:cs="Times New Roman"/>
                <w:color w:val="000000"/>
                <w:sz w:val="16"/>
                <w:szCs w:val="16"/>
                <w:lang w:val="en-GB"/>
              </w:rPr>
              <w:t>-1.68*</w:t>
            </w:r>
          </w:p>
        </w:tc>
      </w:tr>
      <w:tr w:rsidR="00B75F05" w:rsidRPr="00102A70" w14:paraId="300DB634" w14:textId="77777777" w:rsidTr="00C21D6F">
        <w:tc>
          <w:tcPr>
            <w:tcW w:w="1186" w:type="dxa"/>
          </w:tcPr>
          <w:p w14:paraId="357DC0CE" w14:textId="77777777" w:rsidR="00B75F05" w:rsidRPr="00102A70" w:rsidRDefault="00B75F05" w:rsidP="00C21D6F">
            <w:pPr>
              <w:spacing w:line="480" w:lineRule="auto"/>
              <w:contextualSpacing/>
              <w:rPr>
                <w:rFonts w:ascii="Times New Roman" w:hAnsi="Times New Roman" w:cs="Times New Roman"/>
                <w:sz w:val="16"/>
                <w:szCs w:val="16"/>
              </w:rPr>
            </w:pPr>
            <w:r w:rsidRPr="00102A70">
              <w:rPr>
                <w:rFonts w:ascii="Times New Roman" w:hAnsi="Times New Roman" w:cs="Times New Roman"/>
                <w:sz w:val="16"/>
                <w:szCs w:val="16"/>
              </w:rPr>
              <w:t>ΔGDP</w:t>
            </w:r>
          </w:p>
        </w:tc>
        <w:tc>
          <w:tcPr>
            <w:tcW w:w="973" w:type="dxa"/>
            <w:vAlign w:val="bottom"/>
          </w:tcPr>
          <w:p w14:paraId="345A63D9" w14:textId="77777777" w:rsidR="00B75F05" w:rsidRPr="00102A70" w:rsidRDefault="00B75F05" w:rsidP="00C21D6F">
            <w:pPr>
              <w:autoSpaceDE w:val="0"/>
              <w:autoSpaceDN w:val="0"/>
              <w:adjustRightInd w:val="0"/>
              <w:ind w:right="10"/>
              <w:rPr>
                <w:rFonts w:ascii="Times New Roman" w:hAnsi="Times New Roman" w:cs="Times New Roman"/>
                <w:color w:val="000000"/>
                <w:sz w:val="16"/>
                <w:szCs w:val="16"/>
                <w:lang w:val="en-GB"/>
              </w:rPr>
            </w:pPr>
            <w:r w:rsidRPr="00102A70">
              <w:rPr>
                <w:rFonts w:ascii="Times New Roman" w:hAnsi="Times New Roman" w:cs="Times New Roman"/>
                <w:color w:val="000000"/>
                <w:sz w:val="16"/>
                <w:szCs w:val="16"/>
                <w:lang w:val="en-GB"/>
              </w:rPr>
              <w:t>-13.49</w:t>
            </w:r>
          </w:p>
        </w:tc>
        <w:tc>
          <w:tcPr>
            <w:tcW w:w="974" w:type="dxa"/>
            <w:vAlign w:val="bottom"/>
          </w:tcPr>
          <w:p w14:paraId="0AB53A7A" w14:textId="77777777" w:rsidR="00B75F05" w:rsidRPr="00102A70" w:rsidRDefault="00B75F05" w:rsidP="00C21D6F">
            <w:pPr>
              <w:autoSpaceDE w:val="0"/>
              <w:autoSpaceDN w:val="0"/>
              <w:adjustRightInd w:val="0"/>
              <w:ind w:right="10"/>
              <w:rPr>
                <w:rFonts w:ascii="Times New Roman" w:hAnsi="Times New Roman" w:cs="Times New Roman"/>
                <w:color w:val="000000"/>
                <w:sz w:val="16"/>
                <w:szCs w:val="16"/>
                <w:lang w:val="en-GB"/>
              </w:rPr>
            </w:pPr>
            <w:r w:rsidRPr="00102A70">
              <w:rPr>
                <w:rFonts w:ascii="Times New Roman" w:hAnsi="Times New Roman" w:cs="Times New Roman"/>
                <w:color w:val="000000"/>
                <w:sz w:val="16"/>
                <w:szCs w:val="16"/>
                <w:lang w:val="en-GB"/>
              </w:rPr>
              <w:t>-2.51**</w:t>
            </w:r>
          </w:p>
        </w:tc>
        <w:tc>
          <w:tcPr>
            <w:tcW w:w="950" w:type="dxa"/>
            <w:vAlign w:val="bottom"/>
          </w:tcPr>
          <w:p w14:paraId="65910819" w14:textId="77777777" w:rsidR="00B75F05" w:rsidRPr="00102A70" w:rsidRDefault="00B75F05" w:rsidP="00C21D6F">
            <w:pPr>
              <w:autoSpaceDE w:val="0"/>
              <w:autoSpaceDN w:val="0"/>
              <w:adjustRightInd w:val="0"/>
              <w:ind w:right="10"/>
              <w:rPr>
                <w:rFonts w:ascii="Times New Roman" w:hAnsi="Times New Roman" w:cs="Times New Roman"/>
                <w:color w:val="000000"/>
                <w:sz w:val="16"/>
                <w:szCs w:val="16"/>
                <w:lang w:val="en-GB"/>
              </w:rPr>
            </w:pPr>
            <w:r w:rsidRPr="00102A70">
              <w:rPr>
                <w:rFonts w:ascii="Times New Roman" w:hAnsi="Times New Roman" w:cs="Times New Roman"/>
                <w:color w:val="000000"/>
                <w:sz w:val="16"/>
                <w:szCs w:val="16"/>
                <w:lang w:val="en-GB"/>
              </w:rPr>
              <w:t>23.55</w:t>
            </w:r>
          </w:p>
        </w:tc>
        <w:tc>
          <w:tcPr>
            <w:tcW w:w="960" w:type="dxa"/>
            <w:vAlign w:val="bottom"/>
          </w:tcPr>
          <w:p w14:paraId="07F0A69D" w14:textId="77777777" w:rsidR="00B75F05" w:rsidRPr="00102A70" w:rsidRDefault="00B75F05" w:rsidP="00C21D6F">
            <w:pPr>
              <w:autoSpaceDE w:val="0"/>
              <w:autoSpaceDN w:val="0"/>
              <w:adjustRightInd w:val="0"/>
              <w:ind w:right="10"/>
              <w:rPr>
                <w:rFonts w:ascii="Times New Roman" w:hAnsi="Times New Roman" w:cs="Times New Roman"/>
                <w:color w:val="000000"/>
                <w:sz w:val="16"/>
                <w:szCs w:val="16"/>
                <w:lang w:val="en-GB"/>
              </w:rPr>
            </w:pPr>
            <w:r w:rsidRPr="00102A70">
              <w:rPr>
                <w:rFonts w:ascii="Times New Roman" w:hAnsi="Times New Roman" w:cs="Times New Roman"/>
                <w:color w:val="000000"/>
                <w:sz w:val="16"/>
                <w:szCs w:val="16"/>
                <w:lang w:val="en-GB"/>
              </w:rPr>
              <w:t>1.21</w:t>
            </w:r>
          </w:p>
        </w:tc>
        <w:tc>
          <w:tcPr>
            <w:tcW w:w="957" w:type="dxa"/>
            <w:vAlign w:val="bottom"/>
          </w:tcPr>
          <w:p w14:paraId="36348E5B" w14:textId="77777777" w:rsidR="00B75F05" w:rsidRPr="00102A70" w:rsidRDefault="00B75F05" w:rsidP="00C21D6F">
            <w:pPr>
              <w:autoSpaceDE w:val="0"/>
              <w:autoSpaceDN w:val="0"/>
              <w:adjustRightInd w:val="0"/>
              <w:ind w:right="10"/>
              <w:rPr>
                <w:rFonts w:ascii="Times New Roman" w:hAnsi="Times New Roman" w:cs="Times New Roman"/>
                <w:color w:val="000000"/>
                <w:sz w:val="16"/>
                <w:szCs w:val="16"/>
                <w:lang w:val="en-GB"/>
              </w:rPr>
            </w:pPr>
            <w:r w:rsidRPr="00102A70">
              <w:rPr>
                <w:rFonts w:ascii="Times New Roman" w:hAnsi="Times New Roman" w:cs="Times New Roman"/>
                <w:color w:val="000000"/>
                <w:sz w:val="16"/>
                <w:szCs w:val="16"/>
                <w:lang w:val="en-GB"/>
              </w:rPr>
              <w:t>4.95</w:t>
            </w:r>
          </w:p>
        </w:tc>
        <w:tc>
          <w:tcPr>
            <w:tcW w:w="1230" w:type="dxa"/>
            <w:vAlign w:val="bottom"/>
          </w:tcPr>
          <w:p w14:paraId="1946112D" w14:textId="77777777" w:rsidR="00B75F05" w:rsidRPr="00102A70" w:rsidRDefault="00B75F05" w:rsidP="00C21D6F">
            <w:pPr>
              <w:autoSpaceDE w:val="0"/>
              <w:autoSpaceDN w:val="0"/>
              <w:adjustRightInd w:val="0"/>
              <w:ind w:right="10"/>
              <w:rPr>
                <w:rFonts w:ascii="Times New Roman" w:hAnsi="Times New Roman" w:cs="Times New Roman"/>
                <w:color w:val="000000"/>
                <w:sz w:val="16"/>
                <w:szCs w:val="16"/>
                <w:lang w:val="en-GB"/>
              </w:rPr>
            </w:pPr>
            <w:r w:rsidRPr="00102A70">
              <w:rPr>
                <w:rFonts w:ascii="Times New Roman" w:hAnsi="Times New Roman" w:cs="Times New Roman"/>
                <w:color w:val="000000"/>
                <w:sz w:val="16"/>
                <w:szCs w:val="16"/>
                <w:lang w:val="en-GB"/>
              </w:rPr>
              <w:t>0.66</w:t>
            </w:r>
          </w:p>
        </w:tc>
      </w:tr>
      <w:tr w:rsidR="00B75F05" w:rsidRPr="00102A70" w14:paraId="76BD93D3" w14:textId="77777777" w:rsidTr="00C21D6F">
        <w:tc>
          <w:tcPr>
            <w:tcW w:w="1186" w:type="dxa"/>
          </w:tcPr>
          <w:p w14:paraId="1913ADFA" w14:textId="77777777" w:rsidR="00B75F05" w:rsidRPr="00102A70" w:rsidRDefault="00B75F05" w:rsidP="00C21D6F">
            <w:pPr>
              <w:spacing w:line="480" w:lineRule="auto"/>
              <w:contextualSpacing/>
              <w:rPr>
                <w:rFonts w:ascii="Times New Roman" w:hAnsi="Times New Roman" w:cs="Times New Roman"/>
                <w:sz w:val="16"/>
                <w:szCs w:val="16"/>
              </w:rPr>
            </w:pPr>
            <w:r w:rsidRPr="00102A70">
              <w:rPr>
                <w:rFonts w:ascii="Times New Roman" w:hAnsi="Times New Roman" w:cs="Times New Roman"/>
                <w:sz w:val="16"/>
                <w:szCs w:val="16"/>
              </w:rPr>
              <w:t>INF</w:t>
            </w:r>
          </w:p>
        </w:tc>
        <w:tc>
          <w:tcPr>
            <w:tcW w:w="973" w:type="dxa"/>
            <w:vAlign w:val="bottom"/>
          </w:tcPr>
          <w:p w14:paraId="2306156E" w14:textId="77777777" w:rsidR="00B75F05" w:rsidRPr="00102A70" w:rsidRDefault="00B75F05" w:rsidP="00C21D6F">
            <w:pPr>
              <w:autoSpaceDE w:val="0"/>
              <w:autoSpaceDN w:val="0"/>
              <w:adjustRightInd w:val="0"/>
              <w:ind w:right="10"/>
              <w:rPr>
                <w:rFonts w:ascii="Times New Roman" w:hAnsi="Times New Roman" w:cs="Times New Roman"/>
                <w:color w:val="000000"/>
                <w:sz w:val="16"/>
                <w:szCs w:val="16"/>
                <w:lang w:val="en-GB"/>
              </w:rPr>
            </w:pPr>
            <w:r w:rsidRPr="00102A70">
              <w:rPr>
                <w:rFonts w:ascii="Times New Roman" w:hAnsi="Times New Roman" w:cs="Times New Roman"/>
                <w:color w:val="000000"/>
                <w:sz w:val="16"/>
                <w:szCs w:val="16"/>
                <w:lang w:val="en-GB"/>
              </w:rPr>
              <w:t>-0.12</w:t>
            </w:r>
          </w:p>
        </w:tc>
        <w:tc>
          <w:tcPr>
            <w:tcW w:w="974" w:type="dxa"/>
            <w:vAlign w:val="bottom"/>
          </w:tcPr>
          <w:p w14:paraId="3B70ECFC" w14:textId="77777777" w:rsidR="00B75F05" w:rsidRPr="00102A70" w:rsidRDefault="00B75F05" w:rsidP="00C21D6F">
            <w:pPr>
              <w:autoSpaceDE w:val="0"/>
              <w:autoSpaceDN w:val="0"/>
              <w:adjustRightInd w:val="0"/>
              <w:ind w:right="10"/>
              <w:rPr>
                <w:rFonts w:ascii="Times New Roman" w:hAnsi="Times New Roman" w:cs="Times New Roman"/>
                <w:color w:val="000000"/>
                <w:sz w:val="16"/>
                <w:szCs w:val="16"/>
                <w:lang w:val="en-GB"/>
              </w:rPr>
            </w:pPr>
            <w:r w:rsidRPr="00102A70">
              <w:rPr>
                <w:rFonts w:ascii="Times New Roman" w:hAnsi="Times New Roman" w:cs="Times New Roman"/>
                <w:color w:val="000000"/>
                <w:sz w:val="16"/>
                <w:szCs w:val="16"/>
                <w:lang w:val="en-GB"/>
              </w:rPr>
              <w:t>-3.49***</w:t>
            </w:r>
          </w:p>
        </w:tc>
        <w:tc>
          <w:tcPr>
            <w:tcW w:w="950" w:type="dxa"/>
            <w:vAlign w:val="bottom"/>
          </w:tcPr>
          <w:p w14:paraId="76405915" w14:textId="77777777" w:rsidR="00B75F05" w:rsidRPr="00102A70" w:rsidRDefault="00B75F05" w:rsidP="00C21D6F">
            <w:pPr>
              <w:autoSpaceDE w:val="0"/>
              <w:autoSpaceDN w:val="0"/>
              <w:adjustRightInd w:val="0"/>
              <w:ind w:right="10"/>
              <w:rPr>
                <w:rFonts w:ascii="Times New Roman" w:hAnsi="Times New Roman" w:cs="Times New Roman"/>
                <w:color w:val="000000"/>
                <w:sz w:val="16"/>
                <w:szCs w:val="16"/>
                <w:lang w:val="en-GB"/>
              </w:rPr>
            </w:pPr>
            <w:r w:rsidRPr="00102A70">
              <w:rPr>
                <w:rFonts w:ascii="Times New Roman" w:hAnsi="Times New Roman" w:cs="Times New Roman"/>
                <w:color w:val="000000"/>
                <w:sz w:val="16"/>
                <w:szCs w:val="16"/>
                <w:lang w:val="en-GB"/>
              </w:rPr>
              <w:t>0.03</w:t>
            </w:r>
          </w:p>
        </w:tc>
        <w:tc>
          <w:tcPr>
            <w:tcW w:w="960" w:type="dxa"/>
            <w:vAlign w:val="bottom"/>
          </w:tcPr>
          <w:p w14:paraId="1DA67D28" w14:textId="77777777" w:rsidR="00B75F05" w:rsidRPr="00102A70" w:rsidRDefault="00B75F05" w:rsidP="00C21D6F">
            <w:pPr>
              <w:autoSpaceDE w:val="0"/>
              <w:autoSpaceDN w:val="0"/>
              <w:adjustRightInd w:val="0"/>
              <w:ind w:right="10"/>
              <w:rPr>
                <w:rFonts w:ascii="Times New Roman" w:hAnsi="Times New Roman" w:cs="Times New Roman"/>
                <w:color w:val="000000"/>
                <w:sz w:val="16"/>
                <w:szCs w:val="16"/>
                <w:lang w:val="en-GB"/>
              </w:rPr>
            </w:pPr>
            <w:r w:rsidRPr="00102A70">
              <w:rPr>
                <w:rFonts w:ascii="Times New Roman" w:hAnsi="Times New Roman" w:cs="Times New Roman"/>
                <w:color w:val="000000"/>
                <w:sz w:val="16"/>
                <w:szCs w:val="16"/>
                <w:lang w:val="en-GB"/>
              </w:rPr>
              <w:t>0.30</w:t>
            </w:r>
          </w:p>
        </w:tc>
        <w:tc>
          <w:tcPr>
            <w:tcW w:w="957" w:type="dxa"/>
            <w:vAlign w:val="bottom"/>
          </w:tcPr>
          <w:p w14:paraId="171C2B32" w14:textId="77777777" w:rsidR="00B75F05" w:rsidRPr="00102A70" w:rsidRDefault="00B75F05" w:rsidP="00C21D6F">
            <w:pPr>
              <w:autoSpaceDE w:val="0"/>
              <w:autoSpaceDN w:val="0"/>
              <w:adjustRightInd w:val="0"/>
              <w:ind w:right="10"/>
              <w:rPr>
                <w:rFonts w:ascii="Times New Roman" w:hAnsi="Times New Roman" w:cs="Times New Roman"/>
                <w:color w:val="000000"/>
                <w:sz w:val="16"/>
                <w:szCs w:val="16"/>
                <w:lang w:val="en-GB"/>
              </w:rPr>
            </w:pPr>
            <w:r w:rsidRPr="00102A70">
              <w:rPr>
                <w:rFonts w:ascii="Times New Roman" w:hAnsi="Times New Roman" w:cs="Times New Roman"/>
                <w:color w:val="000000"/>
                <w:sz w:val="16"/>
                <w:szCs w:val="16"/>
                <w:lang w:val="en-GB"/>
              </w:rPr>
              <w:t>-0.01</w:t>
            </w:r>
          </w:p>
        </w:tc>
        <w:tc>
          <w:tcPr>
            <w:tcW w:w="1230" w:type="dxa"/>
            <w:vAlign w:val="bottom"/>
          </w:tcPr>
          <w:p w14:paraId="2EB1D177" w14:textId="77777777" w:rsidR="00B75F05" w:rsidRPr="00102A70" w:rsidRDefault="00B75F05" w:rsidP="00C21D6F">
            <w:pPr>
              <w:autoSpaceDE w:val="0"/>
              <w:autoSpaceDN w:val="0"/>
              <w:adjustRightInd w:val="0"/>
              <w:ind w:right="10"/>
              <w:rPr>
                <w:rFonts w:ascii="Times New Roman" w:hAnsi="Times New Roman" w:cs="Times New Roman"/>
                <w:color w:val="000000"/>
                <w:sz w:val="16"/>
                <w:szCs w:val="16"/>
                <w:lang w:val="en-GB"/>
              </w:rPr>
            </w:pPr>
            <w:r w:rsidRPr="00102A70">
              <w:rPr>
                <w:rFonts w:ascii="Times New Roman" w:hAnsi="Times New Roman" w:cs="Times New Roman"/>
                <w:color w:val="000000"/>
                <w:sz w:val="16"/>
                <w:szCs w:val="16"/>
                <w:lang w:val="en-GB"/>
              </w:rPr>
              <w:t>-0.01</w:t>
            </w:r>
          </w:p>
        </w:tc>
      </w:tr>
      <w:tr w:rsidR="00B75F05" w:rsidRPr="00102A70" w14:paraId="73C3FF2D" w14:textId="77777777" w:rsidTr="00C21D6F">
        <w:tc>
          <w:tcPr>
            <w:tcW w:w="1186" w:type="dxa"/>
          </w:tcPr>
          <w:p w14:paraId="61DCFE6F" w14:textId="77777777" w:rsidR="00B75F05" w:rsidRPr="00102A70" w:rsidRDefault="00B75F05" w:rsidP="00C21D6F">
            <w:pPr>
              <w:spacing w:line="480" w:lineRule="auto"/>
              <w:contextualSpacing/>
              <w:rPr>
                <w:rFonts w:ascii="Times New Roman" w:hAnsi="Times New Roman" w:cs="Times New Roman"/>
                <w:sz w:val="16"/>
                <w:szCs w:val="16"/>
              </w:rPr>
            </w:pPr>
            <w:r w:rsidRPr="00102A70">
              <w:rPr>
                <w:rFonts w:ascii="Times New Roman" w:hAnsi="Times New Roman" w:cs="Times New Roman"/>
                <w:sz w:val="16"/>
                <w:szCs w:val="16"/>
              </w:rPr>
              <w:t>Cont</w:t>
            </w:r>
          </w:p>
        </w:tc>
        <w:tc>
          <w:tcPr>
            <w:tcW w:w="973" w:type="dxa"/>
          </w:tcPr>
          <w:p w14:paraId="7619E108" w14:textId="77777777" w:rsidR="00B75F05" w:rsidRPr="00102A70" w:rsidRDefault="00B75F05" w:rsidP="00C21D6F">
            <w:pPr>
              <w:contextualSpacing/>
              <w:rPr>
                <w:rFonts w:ascii="Times New Roman" w:hAnsi="Times New Roman" w:cs="Times New Roman"/>
                <w:sz w:val="16"/>
                <w:szCs w:val="16"/>
              </w:rPr>
            </w:pPr>
          </w:p>
          <w:p w14:paraId="59DAE1A5" w14:textId="77777777" w:rsidR="00B75F05" w:rsidRPr="00102A70" w:rsidRDefault="00B75F05" w:rsidP="00C21D6F">
            <w:pPr>
              <w:contextualSpacing/>
              <w:rPr>
                <w:rFonts w:ascii="Times New Roman" w:hAnsi="Times New Roman" w:cs="Times New Roman"/>
                <w:sz w:val="16"/>
                <w:szCs w:val="16"/>
              </w:rPr>
            </w:pPr>
            <w:r w:rsidRPr="00102A70">
              <w:rPr>
                <w:rFonts w:ascii="Times New Roman" w:hAnsi="Times New Roman" w:cs="Times New Roman"/>
                <w:sz w:val="16"/>
                <w:szCs w:val="16"/>
              </w:rPr>
              <w:t>40.59</w:t>
            </w:r>
          </w:p>
        </w:tc>
        <w:tc>
          <w:tcPr>
            <w:tcW w:w="974" w:type="dxa"/>
          </w:tcPr>
          <w:p w14:paraId="3D0F6CF4" w14:textId="77777777" w:rsidR="00B75F05" w:rsidRPr="00102A70" w:rsidRDefault="00B75F05" w:rsidP="00C21D6F">
            <w:pPr>
              <w:contextualSpacing/>
              <w:rPr>
                <w:rFonts w:ascii="Times New Roman" w:hAnsi="Times New Roman" w:cs="Times New Roman"/>
                <w:sz w:val="16"/>
                <w:szCs w:val="16"/>
              </w:rPr>
            </w:pPr>
          </w:p>
          <w:p w14:paraId="13D3A9B4" w14:textId="77777777" w:rsidR="00B75F05" w:rsidRPr="00102A70" w:rsidRDefault="00B75F05" w:rsidP="00C21D6F">
            <w:pPr>
              <w:contextualSpacing/>
              <w:rPr>
                <w:rFonts w:ascii="Times New Roman" w:hAnsi="Times New Roman" w:cs="Times New Roman"/>
                <w:sz w:val="16"/>
                <w:szCs w:val="16"/>
              </w:rPr>
            </w:pPr>
            <w:r w:rsidRPr="00102A70">
              <w:rPr>
                <w:rFonts w:ascii="Times New Roman" w:hAnsi="Times New Roman" w:cs="Times New Roman"/>
                <w:sz w:val="16"/>
                <w:szCs w:val="16"/>
              </w:rPr>
              <w:t>2.62***</w:t>
            </w:r>
          </w:p>
        </w:tc>
        <w:tc>
          <w:tcPr>
            <w:tcW w:w="950" w:type="dxa"/>
          </w:tcPr>
          <w:p w14:paraId="3A2228CC" w14:textId="77777777" w:rsidR="00B75F05" w:rsidRPr="00102A70" w:rsidRDefault="00B75F05" w:rsidP="00C21D6F">
            <w:pPr>
              <w:contextualSpacing/>
              <w:rPr>
                <w:rFonts w:ascii="Times New Roman" w:hAnsi="Times New Roman" w:cs="Times New Roman"/>
                <w:sz w:val="16"/>
                <w:szCs w:val="16"/>
              </w:rPr>
            </w:pPr>
          </w:p>
          <w:p w14:paraId="4B83DBBF" w14:textId="77777777" w:rsidR="00B75F05" w:rsidRPr="00102A70" w:rsidRDefault="00B75F05" w:rsidP="00C21D6F">
            <w:pPr>
              <w:contextualSpacing/>
              <w:rPr>
                <w:rFonts w:ascii="Times New Roman" w:hAnsi="Times New Roman" w:cs="Times New Roman"/>
                <w:sz w:val="16"/>
                <w:szCs w:val="16"/>
              </w:rPr>
            </w:pPr>
            <w:r w:rsidRPr="00102A70">
              <w:rPr>
                <w:rFonts w:ascii="Times New Roman" w:hAnsi="Times New Roman" w:cs="Times New Roman"/>
                <w:sz w:val="16"/>
                <w:szCs w:val="16"/>
              </w:rPr>
              <w:t>-67.91</w:t>
            </w:r>
          </w:p>
        </w:tc>
        <w:tc>
          <w:tcPr>
            <w:tcW w:w="960" w:type="dxa"/>
          </w:tcPr>
          <w:p w14:paraId="1C920CB9" w14:textId="77777777" w:rsidR="00B75F05" w:rsidRPr="00102A70" w:rsidRDefault="00B75F05" w:rsidP="00C21D6F">
            <w:pPr>
              <w:contextualSpacing/>
              <w:rPr>
                <w:rFonts w:ascii="Times New Roman" w:hAnsi="Times New Roman" w:cs="Times New Roman"/>
                <w:sz w:val="16"/>
                <w:szCs w:val="16"/>
              </w:rPr>
            </w:pPr>
          </w:p>
          <w:p w14:paraId="29FEE2FC" w14:textId="77777777" w:rsidR="00B75F05" w:rsidRPr="00102A70" w:rsidRDefault="00B75F05" w:rsidP="00C21D6F">
            <w:pPr>
              <w:contextualSpacing/>
              <w:rPr>
                <w:rFonts w:ascii="Times New Roman" w:hAnsi="Times New Roman" w:cs="Times New Roman"/>
                <w:sz w:val="16"/>
                <w:szCs w:val="16"/>
              </w:rPr>
            </w:pPr>
            <w:r w:rsidRPr="00102A70">
              <w:rPr>
                <w:rFonts w:ascii="Times New Roman" w:hAnsi="Times New Roman" w:cs="Times New Roman"/>
                <w:sz w:val="16"/>
                <w:szCs w:val="16"/>
              </w:rPr>
              <w:t>-1.19</w:t>
            </w:r>
          </w:p>
        </w:tc>
        <w:tc>
          <w:tcPr>
            <w:tcW w:w="957" w:type="dxa"/>
          </w:tcPr>
          <w:p w14:paraId="3256A5DB" w14:textId="77777777" w:rsidR="00B75F05" w:rsidRPr="00102A70" w:rsidRDefault="00B75F05" w:rsidP="00C21D6F">
            <w:pPr>
              <w:contextualSpacing/>
              <w:rPr>
                <w:rFonts w:ascii="Times New Roman" w:hAnsi="Times New Roman" w:cs="Times New Roman"/>
                <w:sz w:val="16"/>
                <w:szCs w:val="16"/>
              </w:rPr>
            </w:pPr>
          </w:p>
          <w:p w14:paraId="412580E6" w14:textId="77777777" w:rsidR="00B75F05" w:rsidRPr="00102A70" w:rsidRDefault="00B75F05" w:rsidP="00C21D6F">
            <w:pPr>
              <w:contextualSpacing/>
              <w:rPr>
                <w:rFonts w:ascii="Times New Roman" w:hAnsi="Times New Roman" w:cs="Times New Roman"/>
                <w:sz w:val="16"/>
                <w:szCs w:val="16"/>
              </w:rPr>
            </w:pPr>
            <w:r w:rsidRPr="00102A70">
              <w:rPr>
                <w:rFonts w:ascii="Times New Roman" w:hAnsi="Times New Roman" w:cs="Times New Roman"/>
                <w:sz w:val="16"/>
                <w:szCs w:val="16"/>
              </w:rPr>
              <w:t>-14.32</w:t>
            </w:r>
          </w:p>
        </w:tc>
        <w:tc>
          <w:tcPr>
            <w:tcW w:w="1230" w:type="dxa"/>
          </w:tcPr>
          <w:p w14:paraId="56CED630" w14:textId="77777777" w:rsidR="00B75F05" w:rsidRPr="00102A70" w:rsidRDefault="00B75F05" w:rsidP="00C21D6F">
            <w:pPr>
              <w:contextualSpacing/>
              <w:rPr>
                <w:rFonts w:ascii="Times New Roman" w:hAnsi="Times New Roman" w:cs="Times New Roman"/>
                <w:sz w:val="16"/>
                <w:szCs w:val="16"/>
              </w:rPr>
            </w:pPr>
          </w:p>
          <w:p w14:paraId="57FBD916" w14:textId="77777777" w:rsidR="00B75F05" w:rsidRPr="00102A70" w:rsidRDefault="00B75F05" w:rsidP="00C21D6F">
            <w:pPr>
              <w:contextualSpacing/>
              <w:rPr>
                <w:rFonts w:ascii="Times New Roman" w:hAnsi="Times New Roman" w:cs="Times New Roman"/>
                <w:sz w:val="16"/>
                <w:szCs w:val="16"/>
              </w:rPr>
            </w:pPr>
            <w:r w:rsidRPr="00102A70">
              <w:rPr>
                <w:rFonts w:ascii="Times New Roman" w:hAnsi="Times New Roman" w:cs="Times New Roman"/>
                <w:sz w:val="16"/>
                <w:szCs w:val="16"/>
              </w:rPr>
              <w:t>-0.64</w:t>
            </w:r>
          </w:p>
        </w:tc>
      </w:tr>
      <w:tr w:rsidR="00B75F05" w:rsidRPr="00102A70" w14:paraId="1C0B2C87" w14:textId="77777777" w:rsidTr="00C21D6F">
        <w:tc>
          <w:tcPr>
            <w:tcW w:w="1186" w:type="dxa"/>
          </w:tcPr>
          <w:p w14:paraId="4121478D" w14:textId="77777777" w:rsidR="00B75F05" w:rsidRPr="00102A70" w:rsidRDefault="00B75F05" w:rsidP="00C21D6F">
            <w:pPr>
              <w:spacing w:line="480" w:lineRule="auto"/>
              <w:contextualSpacing/>
              <w:rPr>
                <w:rFonts w:ascii="Times New Roman" w:hAnsi="Times New Roman" w:cs="Times New Roman"/>
                <w:sz w:val="16"/>
                <w:szCs w:val="16"/>
                <w:vertAlign w:val="superscript"/>
              </w:rPr>
            </w:pPr>
            <w:r w:rsidRPr="00102A70">
              <w:rPr>
                <w:rFonts w:ascii="Times New Roman" w:hAnsi="Times New Roman" w:cs="Times New Roman"/>
                <w:sz w:val="16"/>
                <w:szCs w:val="16"/>
              </w:rPr>
              <w:t>R</w:t>
            </w:r>
            <w:r w:rsidRPr="00102A70">
              <w:rPr>
                <w:rFonts w:ascii="Times New Roman" w:hAnsi="Times New Roman" w:cs="Times New Roman"/>
                <w:sz w:val="16"/>
                <w:szCs w:val="16"/>
                <w:vertAlign w:val="superscript"/>
              </w:rPr>
              <w:t>2</w:t>
            </w:r>
          </w:p>
        </w:tc>
        <w:tc>
          <w:tcPr>
            <w:tcW w:w="973" w:type="dxa"/>
          </w:tcPr>
          <w:p w14:paraId="34C2BCC6" w14:textId="77777777" w:rsidR="00B75F05" w:rsidRPr="00102A70" w:rsidRDefault="00B75F05" w:rsidP="00C21D6F">
            <w:pPr>
              <w:contextualSpacing/>
              <w:rPr>
                <w:rFonts w:ascii="Times New Roman" w:hAnsi="Times New Roman" w:cs="Times New Roman"/>
                <w:sz w:val="16"/>
                <w:szCs w:val="16"/>
              </w:rPr>
            </w:pPr>
          </w:p>
        </w:tc>
        <w:tc>
          <w:tcPr>
            <w:tcW w:w="974" w:type="dxa"/>
          </w:tcPr>
          <w:p w14:paraId="2DD0B586" w14:textId="77777777" w:rsidR="00B75F05" w:rsidRPr="00102A70" w:rsidRDefault="00B75F05" w:rsidP="00C21D6F">
            <w:pPr>
              <w:contextualSpacing/>
              <w:rPr>
                <w:rFonts w:ascii="Times New Roman" w:hAnsi="Times New Roman" w:cs="Times New Roman"/>
                <w:sz w:val="16"/>
                <w:szCs w:val="16"/>
              </w:rPr>
            </w:pPr>
            <w:r w:rsidRPr="00102A70">
              <w:rPr>
                <w:rFonts w:ascii="Times New Roman" w:hAnsi="Times New Roman" w:cs="Times New Roman"/>
                <w:sz w:val="16"/>
                <w:szCs w:val="16"/>
              </w:rPr>
              <w:t>68%</w:t>
            </w:r>
          </w:p>
        </w:tc>
        <w:tc>
          <w:tcPr>
            <w:tcW w:w="950" w:type="dxa"/>
          </w:tcPr>
          <w:p w14:paraId="3AD094FF" w14:textId="77777777" w:rsidR="00B75F05" w:rsidRPr="00102A70" w:rsidRDefault="00B75F05" w:rsidP="00C21D6F">
            <w:pPr>
              <w:contextualSpacing/>
              <w:rPr>
                <w:rFonts w:ascii="Times New Roman" w:hAnsi="Times New Roman" w:cs="Times New Roman"/>
                <w:sz w:val="16"/>
                <w:szCs w:val="16"/>
              </w:rPr>
            </w:pPr>
          </w:p>
        </w:tc>
        <w:tc>
          <w:tcPr>
            <w:tcW w:w="960" w:type="dxa"/>
          </w:tcPr>
          <w:p w14:paraId="6EF0C0C4" w14:textId="77777777" w:rsidR="00B75F05" w:rsidRPr="00102A70" w:rsidRDefault="00B75F05" w:rsidP="00C21D6F">
            <w:pPr>
              <w:contextualSpacing/>
              <w:rPr>
                <w:rFonts w:ascii="Times New Roman" w:hAnsi="Times New Roman" w:cs="Times New Roman"/>
                <w:sz w:val="16"/>
                <w:szCs w:val="16"/>
              </w:rPr>
            </w:pPr>
            <w:r w:rsidRPr="00102A70">
              <w:rPr>
                <w:rFonts w:ascii="Times New Roman" w:hAnsi="Times New Roman" w:cs="Times New Roman"/>
                <w:sz w:val="16"/>
                <w:szCs w:val="16"/>
              </w:rPr>
              <w:t>14%</w:t>
            </w:r>
          </w:p>
        </w:tc>
        <w:tc>
          <w:tcPr>
            <w:tcW w:w="957" w:type="dxa"/>
          </w:tcPr>
          <w:p w14:paraId="25202002" w14:textId="77777777" w:rsidR="00B75F05" w:rsidRPr="00102A70" w:rsidRDefault="00B75F05" w:rsidP="00C21D6F">
            <w:pPr>
              <w:contextualSpacing/>
              <w:rPr>
                <w:rFonts w:ascii="Times New Roman" w:hAnsi="Times New Roman" w:cs="Times New Roman"/>
                <w:sz w:val="16"/>
                <w:szCs w:val="16"/>
              </w:rPr>
            </w:pPr>
          </w:p>
        </w:tc>
        <w:tc>
          <w:tcPr>
            <w:tcW w:w="1230" w:type="dxa"/>
          </w:tcPr>
          <w:p w14:paraId="5C78A97E" w14:textId="77777777" w:rsidR="00B75F05" w:rsidRPr="00102A70" w:rsidRDefault="00B75F05" w:rsidP="00C21D6F">
            <w:pPr>
              <w:contextualSpacing/>
              <w:rPr>
                <w:rFonts w:ascii="Times New Roman" w:hAnsi="Times New Roman" w:cs="Times New Roman"/>
                <w:b/>
                <w:sz w:val="16"/>
                <w:szCs w:val="16"/>
              </w:rPr>
            </w:pPr>
            <w:r w:rsidRPr="00102A70">
              <w:rPr>
                <w:rFonts w:ascii="Times New Roman" w:hAnsi="Times New Roman" w:cs="Times New Roman"/>
                <w:b/>
                <w:sz w:val="16"/>
                <w:szCs w:val="16"/>
              </w:rPr>
              <w:t>28%</w:t>
            </w:r>
          </w:p>
        </w:tc>
      </w:tr>
      <w:tr w:rsidR="00B75F05" w:rsidRPr="00102A70" w14:paraId="767A3041" w14:textId="77777777" w:rsidTr="00C21D6F">
        <w:tc>
          <w:tcPr>
            <w:tcW w:w="1186" w:type="dxa"/>
          </w:tcPr>
          <w:p w14:paraId="73B80424" w14:textId="77777777" w:rsidR="00B75F05" w:rsidRPr="00102A70" w:rsidRDefault="00B75F05" w:rsidP="00C21D6F">
            <w:pPr>
              <w:spacing w:line="480" w:lineRule="auto"/>
              <w:contextualSpacing/>
              <w:rPr>
                <w:rFonts w:ascii="Times New Roman" w:hAnsi="Times New Roman" w:cs="Times New Roman"/>
                <w:sz w:val="16"/>
                <w:szCs w:val="16"/>
                <w:vertAlign w:val="superscript"/>
              </w:rPr>
            </w:pPr>
            <w:r w:rsidRPr="00102A70">
              <w:rPr>
                <w:rFonts w:ascii="Times New Roman" w:hAnsi="Times New Roman" w:cs="Times New Roman"/>
                <w:sz w:val="16"/>
                <w:szCs w:val="16"/>
              </w:rPr>
              <w:t>F-stat</w:t>
            </w:r>
          </w:p>
        </w:tc>
        <w:tc>
          <w:tcPr>
            <w:tcW w:w="973" w:type="dxa"/>
          </w:tcPr>
          <w:p w14:paraId="7583D5C1" w14:textId="77777777" w:rsidR="00B75F05" w:rsidRPr="00102A70" w:rsidRDefault="00B75F05" w:rsidP="00C21D6F">
            <w:pPr>
              <w:contextualSpacing/>
              <w:rPr>
                <w:rFonts w:ascii="Times New Roman" w:hAnsi="Times New Roman" w:cs="Times New Roman"/>
                <w:sz w:val="16"/>
                <w:szCs w:val="16"/>
              </w:rPr>
            </w:pPr>
          </w:p>
        </w:tc>
        <w:tc>
          <w:tcPr>
            <w:tcW w:w="974" w:type="dxa"/>
          </w:tcPr>
          <w:p w14:paraId="5DAC56E8" w14:textId="77777777" w:rsidR="00B75F05" w:rsidRPr="00102A70" w:rsidRDefault="00B75F05" w:rsidP="00C21D6F">
            <w:pPr>
              <w:contextualSpacing/>
              <w:rPr>
                <w:rFonts w:ascii="Times New Roman" w:hAnsi="Times New Roman" w:cs="Times New Roman"/>
                <w:sz w:val="16"/>
                <w:szCs w:val="16"/>
              </w:rPr>
            </w:pPr>
            <w:r w:rsidRPr="00102A70">
              <w:rPr>
                <w:rFonts w:ascii="Times New Roman" w:hAnsi="Times New Roman" w:cs="Times New Roman"/>
                <w:sz w:val="16"/>
                <w:szCs w:val="16"/>
              </w:rPr>
              <w:t>6.99***</w:t>
            </w:r>
          </w:p>
        </w:tc>
        <w:tc>
          <w:tcPr>
            <w:tcW w:w="950" w:type="dxa"/>
          </w:tcPr>
          <w:p w14:paraId="378EDD9F" w14:textId="77777777" w:rsidR="00B75F05" w:rsidRPr="00102A70" w:rsidRDefault="00B75F05" w:rsidP="00C21D6F">
            <w:pPr>
              <w:contextualSpacing/>
              <w:rPr>
                <w:rFonts w:ascii="Times New Roman" w:hAnsi="Times New Roman" w:cs="Times New Roman"/>
                <w:sz w:val="16"/>
                <w:szCs w:val="16"/>
              </w:rPr>
            </w:pPr>
          </w:p>
        </w:tc>
        <w:tc>
          <w:tcPr>
            <w:tcW w:w="960" w:type="dxa"/>
          </w:tcPr>
          <w:p w14:paraId="7ED8E058" w14:textId="77777777" w:rsidR="00B75F05" w:rsidRPr="00102A70" w:rsidRDefault="00B75F05" w:rsidP="00C21D6F">
            <w:pPr>
              <w:contextualSpacing/>
              <w:rPr>
                <w:rFonts w:ascii="Times New Roman" w:hAnsi="Times New Roman" w:cs="Times New Roman"/>
                <w:sz w:val="16"/>
                <w:szCs w:val="16"/>
              </w:rPr>
            </w:pPr>
            <w:r w:rsidRPr="00102A70">
              <w:rPr>
                <w:rFonts w:ascii="Times New Roman" w:hAnsi="Times New Roman" w:cs="Times New Roman"/>
                <w:sz w:val="16"/>
                <w:szCs w:val="16"/>
              </w:rPr>
              <w:t>1.47***</w:t>
            </w:r>
          </w:p>
        </w:tc>
        <w:tc>
          <w:tcPr>
            <w:tcW w:w="957" w:type="dxa"/>
          </w:tcPr>
          <w:p w14:paraId="61238A06" w14:textId="77777777" w:rsidR="00B75F05" w:rsidRPr="00102A70" w:rsidRDefault="00B75F05" w:rsidP="00C21D6F">
            <w:pPr>
              <w:contextualSpacing/>
              <w:rPr>
                <w:rFonts w:ascii="Times New Roman" w:hAnsi="Times New Roman" w:cs="Times New Roman"/>
                <w:sz w:val="16"/>
                <w:szCs w:val="16"/>
              </w:rPr>
            </w:pPr>
          </w:p>
        </w:tc>
        <w:tc>
          <w:tcPr>
            <w:tcW w:w="1230" w:type="dxa"/>
          </w:tcPr>
          <w:p w14:paraId="2B730456" w14:textId="77777777" w:rsidR="00B75F05" w:rsidRPr="00102A70" w:rsidRDefault="00B75F05" w:rsidP="00C21D6F">
            <w:pPr>
              <w:contextualSpacing/>
              <w:rPr>
                <w:rFonts w:ascii="Times New Roman" w:hAnsi="Times New Roman" w:cs="Times New Roman"/>
                <w:b/>
                <w:sz w:val="16"/>
                <w:szCs w:val="16"/>
              </w:rPr>
            </w:pPr>
            <w:r w:rsidRPr="00102A70">
              <w:rPr>
                <w:rFonts w:ascii="Times New Roman" w:hAnsi="Times New Roman" w:cs="Times New Roman"/>
                <w:b/>
                <w:sz w:val="16"/>
                <w:szCs w:val="16"/>
              </w:rPr>
              <w:t>2.11***</w:t>
            </w:r>
          </w:p>
        </w:tc>
      </w:tr>
      <w:tr w:rsidR="00B75F05" w:rsidRPr="00102A70" w14:paraId="14B13B2A" w14:textId="77777777" w:rsidTr="00C21D6F">
        <w:tc>
          <w:tcPr>
            <w:tcW w:w="1186" w:type="dxa"/>
          </w:tcPr>
          <w:p w14:paraId="489A25B9" w14:textId="77777777" w:rsidR="00B75F05" w:rsidRPr="00102A70" w:rsidRDefault="00B75F05" w:rsidP="00C21D6F">
            <w:pPr>
              <w:spacing w:line="480" w:lineRule="auto"/>
              <w:contextualSpacing/>
              <w:rPr>
                <w:rFonts w:ascii="Times New Roman" w:hAnsi="Times New Roman" w:cs="Times New Roman"/>
                <w:sz w:val="16"/>
                <w:szCs w:val="16"/>
              </w:rPr>
            </w:pPr>
            <w:r w:rsidRPr="00102A70">
              <w:rPr>
                <w:rFonts w:ascii="Times New Roman" w:hAnsi="Times New Roman" w:cs="Times New Roman"/>
                <w:sz w:val="16"/>
                <w:szCs w:val="16"/>
              </w:rPr>
              <w:t>Obs</w:t>
            </w:r>
          </w:p>
        </w:tc>
        <w:tc>
          <w:tcPr>
            <w:tcW w:w="973" w:type="dxa"/>
          </w:tcPr>
          <w:p w14:paraId="5CA60AA3" w14:textId="77777777" w:rsidR="00B75F05" w:rsidRPr="00102A70" w:rsidRDefault="00B75F05" w:rsidP="00C21D6F">
            <w:pPr>
              <w:contextualSpacing/>
              <w:rPr>
                <w:rFonts w:ascii="Times New Roman" w:hAnsi="Times New Roman" w:cs="Times New Roman"/>
                <w:b/>
                <w:sz w:val="16"/>
                <w:szCs w:val="16"/>
              </w:rPr>
            </w:pPr>
          </w:p>
        </w:tc>
        <w:tc>
          <w:tcPr>
            <w:tcW w:w="974" w:type="dxa"/>
          </w:tcPr>
          <w:p w14:paraId="68F306A6" w14:textId="77777777" w:rsidR="00B75F05" w:rsidRPr="00102A70" w:rsidRDefault="00B75F05" w:rsidP="00C21D6F">
            <w:pPr>
              <w:contextualSpacing/>
              <w:rPr>
                <w:rFonts w:ascii="Times New Roman" w:hAnsi="Times New Roman" w:cs="Times New Roman"/>
                <w:b/>
                <w:sz w:val="16"/>
                <w:szCs w:val="16"/>
              </w:rPr>
            </w:pPr>
            <w:r w:rsidRPr="00102A70">
              <w:rPr>
                <w:rFonts w:ascii="Times New Roman" w:hAnsi="Times New Roman" w:cs="Times New Roman"/>
                <w:b/>
                <w:sz w:val="16"/>
                <w:szCs w:val="16"/>
              </w:rPr>
              <w:t>369</w:t>
            </w:r>
          </w:p>
        </w:tc>
        <w:tc>
          <w:tcPr>
            <w:tcW w:w="950" w:type="dxa"/>
          </w:tcPr>
          <w:p w14:paraId="4E52FCAC" w14:textId="77777777" w:rsidR="00B75F05" w:rsidRPr="00102A70" w:rsidRDefault="00B75F05" w:rsidP="00C21D6F">
            <w:pPr>
              <w:contextualSpacing/>
              <w:rPr>
                <w:rFonts w:ascii="Times New Roman" w:hAnsi="Times New Roman" w:cs="Times New Roman"/>
                <w:b/>
                <w:sz w:val="16"/>
                <w:szCs w:val="16"/>
              </w:rPr>
            </w:pPr>
          </w:p>
        </w:tc>
        <w:tc>
          <w:tcPr>
            <w:tcW w:w="960" w:type="dxa"/>
          </w:tcPr>
          <w:p w14:paraId="60B441AD" w14:textId="77777777" w:rsidR="00B75F05" w:rsidRPr="00102A70" w:rsidRDefault="00B75F05" w:rsidP="00C21D6F">
            <w:pPr>
              <w:contextualSpacing/>
              <w:rPr>
                <w:rFonts w:ascii="Times New Roman" w:hAnsi="Times New Roman" w:cs="Times New Roman"/>
                <w:b/>
                <w:sz w:val="16"/>
                <w:szCs w:val="16"/>
              </w:rPr>
            </w:pPr>
            <w:r w:rsidRPr="00102A70">
              <w:rPr>
                <w:rFonts w:ascii="Times New Roman" w:hAnsi="Times New Roman" w:cs="Times New Roman"/>
                <w:b/>
                <w:sz w:val="16"/>
                <w:szCs w:val="16"/>
              </w:rPr>
              <w:t>369</w:t>
            </w:r>
          </w:p>
        </w:tc>
        <w:tc>
          <w:tcPr>
            <w:tcW w:w="957" w:type="dxa"/>
          </w:tcPr>
          <w:p w14:paraId="7E4878F6" w14:textId="77777777" w:rsidR="00B75F05" w:rsidRPr="00102A70" w:rsidRDefault="00B75F05" w:rsidP="00C21D6F">
            <w:pPr>
              <w:contextualSpacing/>
              <w:rPr>
                <w:rFonts w:ascii="Times New Roman" w:hAnsi="Times New Roman" w:cs="Times New Roman"/>
                <w:b/>
                <w:sz w:val="16"/>
                <w:szCs w:val="16"/>
              </w:rPr>
            </w:pPr>
          </w:p>
        </w:tc>
        <w:tc>
          <w:tcPr>
            <w:tcW w:w="1230" w:type="dxa"/>
          </w:tcPr>
          <w:p w14:paraId="3D5583E2" w14:textId="77777777" w:rsidR="00B75F05" w:rsidRPr="00102A70" w:rsidRDefault="00B75F05" w:rsidP="00C21D6F">
            <w:pPr>
              <w:contextualSpacing/>
              <w:rPr>
                <w:rFonts w:ascii="Times New Roman" w:hAnsi="Times New Roman" w:cs="Times New Roman"/>
                <w:b/>
                <w:sz w:val="16"/>
                <w:szCs w:val="16"/>
              </w:rPr>
            </w:pPr>
            <w:r w:rsidRPr="00102A70">
              <w:rPr>
                <w:rFonts w:ascii="Times New Roman" w:hAnsi="Times New Roman" w:cs="Times New Roman"/>
                <w:b/>
                <w:sz w:val="16"/>
                <w:szCs w:val="16"/>
              </w:rPr>
              <w:t>369</w:t>
            </w:r>
          </w:p>
        </w:tc>
      </w:tr>
    </w:tbl>
    <w:p w14:paraId="6E37675D" w14:textId="77777777" w:rsidR="00B75F05" w:rsidRPr="008A7487" w:rsidRDefault="00B75F05" w:rsidP="00B75F05">
      <w:pPr>
        <w:spacing w:after="0"/>
        <w:rPr>
          <w:rFonts w:ascii="Times New Roman" w:hAnsi="Times New Roman" w:cs="Times New Roman"/>
          <w:sz w:val="16"/>
          <w:szCs w:val="16"/>
          <w:lang w:val="en-GB"/>
        </w:rPr>
      </w:pPr>
      <w:r w:rsidRPr="008A7487">
        <w:rPr>
          <w:rFonts w:ascii="Times New Roman" w:hAnsi="Times New Roman" w:cs="Times New Roman"/>
          <w:sz w:val="16"/>
          <w:szCs w:val="16"/>
          <w:lang w:val="en-GB"/>
        </w:rPr>
        <w:t xml:space="preserve">ROA defined as profit before tax divided by total assets.  NIM is the difference between interest </w:t>
      </w:r>
    </w:p>
    <w:p w14:paraId="5E8541F6" w14:textId="77777777" w:rsidR="00B75F05" w:rsidRPr="008A7487" w:rsidRDefault="00B75F05" w:rsidP="00B75F05">
      <w:pPr>
        <w:spacing w:after="0"/>
        <w:rPr>
          <w:rFonts w:ascii="Times New Roman" w:hAnsi="Times New Roman" w:cs="Times New Roman"/>
          <w:sz w:val="16"/>
          <w:szCs w:val="16"/>
          <w:lang w:val="en-GB"/>
        </w:rPr>
      </w:pPr>
      <w:r w:rsidRPr="008A7487">
        <w:rPr>
          <w:rFonts w:ascii="Times New Roman" w:hAnsi="Times New Roman" w:cs="Times New Roman"/>
          <w:sz w:val="16"/>
          <w:szCs w:val="16"/>
          <w:lang w:val="en-GB"/>
        </w:rPr>
        <w:t>income and interest expense</w:t>
      </w:r>
      <w:r>
        <w:rPr>
          <w:rFonts w:ascii="Times New Roman" w:hAnsi="Times New Roman" w:cs="Times New Roman"/>
          <w:sz w:val="16"/>
          <w:szCs w:val="16"/>
          <w:lang w:val="en-GB"/>
        </w:rPr>
        <w:t xml:space="preserve"> %</w:t>
      </w:r>
      <w:r w:rsidRPr="008A7487">
        <w:rPr>
          <w:rFonts w:ascii="Times New Roman" w:hAnsi="Times New Roman" w:cs="Times New Roman"/>
          <w:sz w:val="16"/>
          <w:szCs w:val="16"/>
          <w:lang w:val="en-GB"/>
        </w:rPr>
        <w:t xml:space="preserve">. LNSIZE is the natural log of bank’s total assets. CAP is a measure of </w:t>
      </w:r>
    </w:p>
    <w:p w14:paraId="394058DA" w14:textId="77777777" w:rsidR="00B75F05" w:rsidRPr="008A7487" w:rsidRDefault="00B75F05" w:rsidP="00B75F05">
      <w:pPr>
        <w:spacing w:after="0"/>
        <w:rPr>
          <w:rFonts w:ascii="Times New Roman" w:hAnsi="Times New Roman" w:cs="Times New Roman"/>
          <w:sz w:val="16"/>
          <w:szCs w:val="16"/>
          <w:lang w:val="en-GB"/>
        </w:rPr>
      </w:pPr>
      <w:r w:rsidRPr="008A7487">
        <w:rPr>
          <w:rFonts w:ascii="Times New Roman" w:hAnsi="Times New Roman" w:cs="Times New Roman"/>
          <w:sz w:val="16"/>
          <w:szCs w:val="16"/>
          <w:lang w:val="en-GB"/>
        </w:rPr>
        <w:t xml:space="preserve">capital strength, calculated as equity to total assets.  CR is a measure of credit risk and is the ratio </w:t>
      </w:r>
    </w:p>
    <w:p w14:paraId="749D7EE8" w14:textId="77777777" w:rsidR="00B75F05" w:rsidRPr="008A7487" w:rsidRDefault="00B75F05" w:rsidP="00B75F05">
      <w:pPr>
        <w:spacing w:after="0"/>
        <w:rPr>
          <w:rFonts w:ascii="Times New Roman" w:hAnsi="Times New Roman" w:cs="Times New Roman"/>
          <w:sz w:val="16"/>
          <w:szCs w:val="16"/>
          <w:lang w:val="en-GB"/>
        </w:rPr>
      </w:pPr>
      <w:r w:rsidRPr="008A7487">
        <w:rPr>
          <w:rFonts w:ascii="Times New Roman" w:hAnsi="Times New Roman" w:cs="Times New Roman"/>
          <w:sz w:val="16"/>
          <w:szCs w:val="16"/>
          <w:lang w:val="en-GB"/>
        </w:rPr>
        <w:t xml:space="preserve">of net loans to deposits and short-term funding. CM is the total operating cost to total income. </w:t>
      </w:r>
    </w:p>
    <w:p w14:paraId="591A70B5" w14:textId="77777777" w:rsidR="00B75F05" w:rsidRPr="008A7487" w:rsidRDefault="00B75F05" w:rsidP="00B75F05">
      <w:pPr>
        <w:spacing w:after="0"/>
        <w:rPr>
          <w:rFonts w:ascii="Times New Roman" w:hAnsi="Times New Roman" w:cs="Times New Roman"/>
          <w:sz w:val="16"/>
          <w:szCs w:val="16"/>
          <w:lang w:val="en-GB"/>
        </w:rPr>
      </w:pPr>
      <w:r w:rsidRPr="008A7487">
        <w:rPr>
          <w:rFonts w:ascii="Times New Roman" w:hAnsi="Times New Roman" w:cs="Times New Roman"/>
          <w:sz w:val="16"/>
          <w:szCs w:val="16"/>
          <w:lang w:val="en-GB"/>
        </w:rPr>
        <w:t xml:space="preserve">LQ is a measure of liquidity, calculated as liquid assets to customer and short-term funding. </w:t>
      </w:r>
    </w:p>
    <w:p w14:paraId="6662B548" w14:textId="77777777" w:rsidR="00B75F05" w:rsidRPr="008A7487" w:rsidRDefault="00B75F05" w:rsidP="00B75F05">
      <w:pPr>
        <w:spacing w:after="0"/>
        <w:rPr>
          <w:rFonts w:ascii="Times New Roman" w:hAnsi="Times New Roman" w:cs="Times New Roman"/>
          <w:sz w:val="16"/>
          <w:szCs w:val="16"/>
          <w:lang w:val="en-GB"/>
        </w:rPr>
      </w:pPr>
      <w:r w:rsidRPr="008A7487">
        <w:rPr>
          <w:rFonts w:ascii="Times New Roman" w:hAnsi="Times New Roman" w:cs="Times New Roman"/>
          <w:sz w:val="16"/>
          <w:szCs w:val="16"/>
          <w:lang w:val="en-GB"/>
        </w:rPr>
        <w:t xml:space="preserve">MP is a measure of market power defined as the ratio of a bank total asset to the total asset of the entire </w:t>
      </w:r>
    </w:p>
    <w:p w14:paraId="73D169B7" w14:textId="77777777" w:rsidR="00B75F05" w:rsidRPr="008A7487" w:rsidRDefault="00B75F05" w:rsidP="00B75F05">
      <w:pPr>
        <w:spacing w:after="0"/>
        <w:rPr>
          <w:rFonts w:ascii="Times New Roman" w:hAnsi="Times New Roman" w:cs="Times New Roman"/>
          <w:sz w:val="16"/>
          <w:szCs w:val="16"/>
          <w:lang w:val="en-GB"/>
        </w:rPr>
      </w:pPr>
      <w:r w:rsidRPr="008A7487">
        <w:rPr>
          <w:rFonts w:ascii="Times New Roman" w:hAnsi="Times New Roman" w:cs="Times New Roman"/>
          <w:sz w:val="16"/>
          <w:szCs w:val="16"/>
          <w:lang w:val="en-GB"/>
        </w:rPr>
        <w:t>banks in a country</w:t>
      </w:r>
      <w:r w:rsidRPr="008A7487">
        <w:rPr>
          <w:rFonts w:ascii="Times New Roman" w:hAnsi="Times New Roman" w:cs="Times New Roman"/>
          <w:color w:val="FF0000"/>
          <w:sz w:val="16"/>
          <w:szCs w:val="16"/>
          <w:lang w:val="en-GB"/>
        </w:rPr>
        <w:t>.</w:t>
      </w:r>
      <w:r w:rsidRPr="008A7487">
        <w:rPr>
          <w:rFonts w:ascii="Times New Roman" w:hAnsi="Times New Roman" w:cs="Times New Roman"/>
          <w:sz w:val="16"/>
          <w:szCs w:val="16"/>
          <w:lang w:val="en-GB"/>
        </w:rPr>
        <w:t xml:space="preserve"> ∆ GDP is the annual percentage change in real gross domestic product.  INF is </w:t>
      </w:r>
    </w:p>
    <w:p w14:paraId="43D17429" w14:textId="77777777" w:rsidR="00B75F05" w:rsidRPr="008A7487" w:rsidRDefault="00B75F05" w:rsidP="00B75F05">
      <w:pPr>
        <w:spacing w:after="0"/>
        <w:rPr>
          <w:rFonts w:ascii="Times New Roman" w:hAnsi="Times New Roman" w:cs="Times New Roman"/>
          <w:sz w:val="16"/>
          <w:szCs w:val="16"/>
          <w:lang w:val="en-GB"/>
        </w:rPr>
      </w:pPr>
      <w:r w:rsidRPr="008A7487">
        <w:rPr>
          <w:rFonts w:ascii="Times New Roman" w:hAnsi="Times New Roman" w:cs="Times New Roman"/>
          <w:sz w:val="16"/>
          <w:szCs w:val="16"/>
          <w:lang w:val="en-GB"/>
        </w:rPr>
        <w:t xml:space="preserve">the yearly growth in consumer price </w:t>
      </w:r>
      <w:r>
        <w:rPr>
          <w:rFonts w:ascii="Times New Roman" w:hAnsi="Times New Roman" w:cs="Times New Roman"/>
          <w:sz w:val="16"/>
          <w:szCs w:val="16"/>
          <w:lang w:val="en-GB"/>
        </w:rPr>
        <w:t xml:space="preserve">index. </w:t>
      </w:r>
      <w:r w:rsidRPr="008A7487">
        <w:rPr>
          <w:rFonts w:ascii="Times New Roman" w:hAnsi="Times New Roman" w:cs="Times New Roman"/>
          <w:sz w:val="16"/>
          <w:szCs w:val="16"/>
          <w:lang w:val="en-GB"/>
        </w:rPr>
        <w:t xml:space="preserve"> *, **, *** indicate significance at 10%, 5% and 1% level respectively. </w:t>
      </w:r>
    </w:p>
    <w:p w14:paraId="55622B46" w14:textId="77777777" w:rsidR="00B75F05" w:rsidRDefault="00B75F05" w:rsidP="00B75F05">
      <w:pPr>
        <w:spacing w:line="480" w:lineRule="auto"/>
        <w:contextualSpacing/>
        <w:rPr>
          <w:rFonts w:ascii="Times New Roman" w:hAnsi="Times New Roman" w:cs="Times New Roman"/>
          <w:sz w:val="24"/>
          <w:szCs w:val="24"/>
        </w:rPr>
      </w:pPr>
    </w:p>
    <w:p w14:paraId="3223093A" w14:textId="77777777" w:rsidR="00B75F05" w:rsidRDefault="00B75F05" w:rsidP="00B75F05">
      <w:pPr>
        <w:spacing w:line="480" w:lineRule="auto"/>
        <w:contextualSpacing/>
        <w:rPr>
          <w:rFonts w:ascii="Times New Roman" w:hAnsi="Times New Roman" w:cs="Times New Roman"/>
          <w:sz w:val="24"/>
          <w:szCs w:val="24"/>
        </w:rPr>
      </w:pPr>
    </w:p>
    <w:p w14:paraId="0525C606" w14:textId="77777777" w:rsidR="00B75F05" w:rsidRDefault="00B75F05" w:rsidP="00B75F05">
      <w:pPr>
        <w:spacing w:line="480" w:lineRule="auto"/>
        <w:contextualSpacing/>
        <w:rPr>
          <w:rFonts w:ascii="Times New Roman" w:hAnsi="Times New Roman" w:cs="Times New Roman"/>
          <w:sz w:val="24"/>
          <w:szCs w:val="24"/>
        </w:rPr>
      </w:pPr>
    </w:p>
    <w:p w14:paraId="152A8064" w14:textId="77777777" w:rsidR="00B75F05" w:rsidRDefault="00B75F05" w:rsidP="00B75F05">
      <w:pPr>
        <w:spacing w:line="480" w:lineRule="auto"/>
        <w:contextualSpacing/>
        <w:rPr>
          <w:rFonts w:ascii="Times New Roman" w:hAnsi="Times New Roman" w:cs="Times New Roman"/>
          <w:sz w:val="24"/>
          <w:szCs w:val="24"/>
        </w:rPr>
      </w:pPr>
    </w:p>
    <w:p w14:paraId="1A8C3640" w14:textId="77777777" w:rsidR="00B75F05" w:rsidRDefault="00B75F05" w:rsidP="00B75F05">
      <w:pPr>
        <w:spacing w:line="480" w:lineRule="auto"/>
        <w:contextualSpacing/>
        <w:rPr>
          <w:rFonts w:ascii="Times New Roman" w:hAnsi="Times New Roman" w:cs="Times New Roman"/>
          <w:sz w:val="24"/>
          <w:szCs w:val="24"/>
        </w:rPr>
      </w:pPr>
    </w:p>
    <w:p w14:paraId="1009F864" w14:textId="77777777" w:rsidR="00B75F05" w:rsidRDefault="00B75F05" w:rsidP="00B75F05">
      <w:pPr>
        <w:spacing w:line="480" w:lineRule="auto"/>
        <w:contextualSpacing/>
        <w:rPr>
          <w:rFonts w:ascii="Times New Roman" w:hAnsi="Times New Roman" w:cs="Times New Roman"/>
          <w:sz w:val="24"/>
          <w:szCs w:val="24"/>
        </w:rPr>
      </w:pPr>
    </w:p>
    <w:p w14:paraId="698ABE36" w14:textId="77777777" w:rsidR="00B75F05" w:rsidRDefault="00B75F05" w:rsidP="00B75F05">
      <w:pPr>
        <w:spacing w:line="480" w:lineRule="auto"/>
        <w:contextualSpacing/>
        <w:rPr>
          <w:rFonts w:ascii="Times New Roman" w:hAnsi="Times New Roman" w:cs="Times New Roman"/>
          <w:sz w:val="24"/>
          <w:szCs w:val="24"/>
        </w:rPr>
      </w:pPr>
    </w:p>
    <w:p w14:paraId="0AB00C11" w14:textId="77777777" w:rsidR="00B75F05" w:rsidRDefault="00B75F05" w:rsidP="00B75F05">
      <w:pPr>
        <w:spacing w:line="480" w:lineRule="auto"/>
        <w:contextualSpacing/>
        <w:rPr>
          <w:rFonts w:ascii="Times New Roman" w:hAnsi="Times New Roman" w:cs="Times New Roman"/>
          <w:sz w:val="24"/>
          <w:szCs w:val="24"/>
        </w:rPr>
      </w:pPr>
    </w:p>
    <w:p w14:paraId="1ECB919D" w14:textId="77777777" w:rsidR="00B75F05" w:rsidRDefault="00B75F05" w:rsidP="00B75F05">
      <w:pPr>
        <w:spacing w:line="480" w:lineRule="auto"/>
        <w:contextualSpacing/>
        <w:rPr>
          <w:rFonts w:ascii="Times New Roman" w:hAnsi="Times New Roman" w:cs="Times New Roman"/>
          <w:sz w:val="24"/>
          <w:szCs w:val="24"/>
        </w:rPr>
      </w:pPr>
    </w:p>
    <w:p w14:paraId="029DF8AC" w14:textId="77777777" w:rsidR="00B75F05" w:rsidRDefault="00B75F05" w:rsidP="00B75F05">
      <w:pPr>
        <w:spacing w:line="480" w:lineRule="auto"/>
        <w:contextualSpacing/>
        <w:rPr>
          <w:rFonts w:ascii="Times New Roman" w:hAnsi="Times New Roman" w:cs="Times New Roman"/>
          <w:sz w:val="24"/>
          <w:szCs w:val="24"/>
        </w:rPr>
      </w:pPr>
    </w:p>
    <w:p w14:paraId="0159A0A6" w14:textId="77777777" w:rsidR="00B75F05" w:rsidRPr="00102A70" w:rsidRDefault="00B75F05" w:rsidP="00B75F05">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 xml:space="preserve">  </w:t>
      </w:r>
      <w:r w:rsidRPr="00102A70">
        <w:rPr>
          <w:rFonts w:ascii="Times New Roman" w:hAnsi="Times New Roman" w:cs="Times New Roman"/>
          <w:b/>
          <w:sz w:val="20"/>
          <w:szCs w:val="20"/>
        </w:rPr>
        <w:t>Table 10:</w:t>
      </w:r>
      <w:r w:rsidRPr="00102A70">
        <w:rPr>
          <w:rFonts w:ascii="Times New Roman" w:hAnsi="Times New Roman" w:cs="Times New Roman"/>
          <w:sz w:val="20"/>
          <w:szCs w:val="20"/>
        </w:rPr>
        <w:t xml:space="preserve"> </w:t>
      </w:r>
      <w:r w:rsidRPr="00102A70">
        <w:rPr>
          <w:rFonts w:ascii="Times New Roman" w:hAnsi="Times New Roman" w:cs="Times New Roman"/>
          <w:b/>
          <w:sz w:val="20"/>
          <w:szCs w:val="20"/>
        </w:rPr>
        <w:t xml:space="preserve">Fixed Effect- Equal observations and </w:t>
      </w:r>
      <w:r>
        <w:rPr>
          <w:rFonts w:ascii="Times New Roman" w:hAnsi="Times New Roman" w:cs="Times New Roman"/>
          <w:b/>
          <w:sz w:val="20"/>
          <w:szCs w:val="20"/>
        </w:rPr>
        <w:t>2008 as start of the crisis (NIM</w:t>
      </w:r>
      <w:r w:rsidRPr="00102A70">
        <w:rPr>
          <w:rFonts w:ascii="Times New Roman" w:hAnsi="Times New Roman" w:cs="Times New Roman"/>
          <w:b/>
          <w:sz w:val="20"/>
          <w:szCs w:val="20"/>
        </w:rPr>
        <w:t>)</w:t>
      </w:r>
    </w:p>
    <w:tbl>
      <w:tblPr>
        <w:tblStyle w:val="TableGrid22"/>
        <w:tblW w:w="0" w:type="auto"/>
        <w:tblInd w:w="108" w:type="dxa"/>
        <w:tblLook w:val="04A0" w:firstRow="1" w:lastRow="0" w:firstColumn="1" w:lastColumn="0" w:noHBand="0" w:noVBand="1"/>
      </w:tblPr>
      <w:tblGrid>
        <w:gridCol w:w="1186"/>
        <w:gridCol w:w="973"/>
        <w:gridCol w:w="974"/>
        <w:gridCol w:w="950"/>
        <w:gridCol w:w="960"/>
        <w:gridCol w:w="957"/>
        <w:gridCol w:w="1230"/>
      </w:tblGrid>
      <w:tr w:rsidR="00B75F05" w:rsidRPr="00102A70" w14:paraId="0D84E386" w14:textId="77777777" w:rsidTr="00C21D6F">
        <w:tc>
          <w:tcPr>
            <w:tcW w:w="1186" w:type="dxa"/>
          </w:tcPr>
          <w:p w14:paraId="6674C2B1" w14:textId="77777777" w:rsidR="00B75F05" w:rsidRPr="00102A70" w:rsidRDefault="00B75F05" w:rsidP="00C21D6F">
            <w:pPr>
              <w:spacing w:line="480" w:lineRule="auto"/>
              <w:contextualSpacing/>
              <w:rPr>
                <w:rFonts w:ascii="Times New Roman" w:hAnsi="Times New Roman" w:cs="Times New Roman"/>
                <w:b/>
                <w:sz w:val="16"/>
                <w:szCs w:val="16"/>
              </w:rPr>
            </w:pPr>
          </w:p>
        </w:tc>
        <w:tc>
          <w:tcPr>
            <w:tcW w:w="1947" w:type="dxa"/>
            <w:gridSpan w:val="2"/>
          </w:tcPr>
          <w:p w14:paraId="285DEE97" w14:textId="77777777" w:rsidR="00B75F05" w:rsidRPr="00102A70" w:rsidRDefault="00B75F05" w:rsidP="00C21D6F">
            <w:pPr>
              <w:contextualSpacing/>
              <w:jc w:val="center"/>
              <w:rPr>
                <w:rFonts w:ascii="Times New Roman" w:hAnsi="Times New Roman" w:cs="Times New Roman"/>
                <w:b/>
                <w:sz w:val="16"/>
                <w:szCs w:val="16"/>
              </w:rPr>
            </w:pPr>
            <w:r w:rsidRPr="00102A70">
              <w:rPr>
                <w:rFonts w:ascii="Times New Roman" w:hAnsi="Times New Roman" w:cs="Times New Roman"/>
                <w:b/>
                <w:sz w:val="16"/>
                <w:szCs w:val="16"/>
              </w:rPr>
              <w:t>Column 1</w:t>
            </w:r>
          </w:p>
        </w:tc>
        <w:tc>
          <w:tcPr>
            <w:tcW w:w="1910" w:type="dxa"/>
            <w:gridSpan w:val="2"/>
          </w:tcPr>
          <w:p w14:paraId="3696EBFA" w14:textId="77777777" w:rsidR="00B75F05" w:rsidRPr="00102A70" w:rsidRDefault="00B75F05" w:rsidP="00C21D6F">
            <w:pPr>
              <w:contextualSpacing/>
              <w:jc w:val="center"/>
              <w:rPr>
                <w:rFonts w:ascii="Times New Roman" w:hAnsi="Times New Roman" w:cs="Times New Roman"/>
                <w:b/>
                <w:sz w:val="16"/>
                <w:szCs w:val="16"/>
              </w:rPr>
            </w:pPr>
            <w:r w:rsidRPr="00102A70">
              <w:rPr>
                <w:rFonts w:ascii="Times New Roman" w:hAnsi="Times New Roman" w:cs="Times New Roman"/>
                <w:b/>
                <w:sz w:val="16"/>
                <w:szCs w:val="16"/>
              </w:rPr>
              <w:t>Column 2</w:t>
            </w:r>
          </w:p>
        </w:tc>
        <w:tc>
          <w:tcPr>
            <w:tcW w:w="2187" w:type="dxa"/>
            <w:gridSpan w:val="2"/>
          </w:tcPr>
          <w:p w14:paraId="56E7967B" w14:textId="77777777" w:rsidR="00B75F05" w:rsidRPr="00102A70" w:rsidRDefault="00B75F05" w:rsidP="00C21D6F">
            <w:pPr>
              <w:contextualSpacing/>
              <w:jc w:val="center"/>
              <w:rPr>
                <w:rFonts w:ascii="Times New Roman" w:hAnsi="Times New Roman" w:cs="Times New Roman"/>
                <w:b/>
                <w:sz w:val="16"/>
                <w:szCs w:val="16"/>
              </w:rPr>
            </w:pPr>
            <w:r w:rsidRPr="00102A70">
              <w:rPr>
                <w:rFonts w:ascii="Times New Roman" w:hAnsi="Times New Roman" w:cs="Times New Roman"/>
                <w:b/>
                <w:sz w:val="16"/>
                <w:szCs w:val="16"/>
              </w:rPr>
              <w:t>Column 3</w:t>
            </w:r>
          </w:p>
        </w:tc>
      </w:tr>
      <w:tr w:rsidR="00B75F05" w:rsidRPr="00102A70" w14:paraId="5B13C71B" w14:textId="77777777" w:rsidTr="00C21D6F">
        <w:tc>
          <w:tcPr>
            <w:tcW w:w="1186" w:type="dxa"/>
          </w:tcPr>
          <w:p w14:paraId="3E19424E" w14:textId="77777777" w:rsidR="00B75F05" w:rsidRPr="00102A70" w:rsidRDefault="00B75F05" w:rsidP="00C21D6F">
            <w:pPr>
              <w:spacing w:line="480" w:lineRule="auto"/>
              <w:contextualSpacing/>
              <w:rPr>
                <w:rFonts w:ascii="Times New Roman" w:hAnsi="Times New Roman" w:cs="Times New Roman"/>
                <w:b/>
                <w:sz w:val="16"/>
                <w:szCs w:val="16"/>
              </w:rPr>
            </w:pPr>
            <w:r w:rsidRPr="00102A70">
              <w:rPr>
                <w:rFonts w:ascii="Times New Roman" w:hAnsi="Times New Roman" w:cs="Times New Roman"/>
                <w:b/>
                <w:sz w:val="16"/>
                <w:szCs w:val="16"/>
              </w:rPr>
              <w:t>NIM</w:t>
            </w:r>
          </w:p>
        </w:tc>
        <w:tc>
          <w:tcPr>
            <w:tcW w:w="1947" w:type="dxa"/>
            <w:gridSpan w:val="2"/>
          </w:tcPr>
          <w:p w14:paraId="6A116DC5" w14:textId="77777777" w:rsidR="00B75F05" w:rsidRPr="00102A70" w:rsidRDefault="00B75F05" w:rsidP="00C21D6F">
            <w:pPr>
              <w:contextualSpacing/>
              <w:rPr>
                <w:rFonts w:ascii="Times New Roman" w:hAnsi="Times New Roman" w:cs="Times New Roman"/>
                <w:b/>
                <w:sz w:val="16"/>
                <w:szCs w:val="16"/>
              </w:rPr>
            </w:pPr>
            <w:r w:rsidRPr="00102A70">
              <w:rPr>
                <w:rFonts w:ascii="Times New Roman" w:hAnsi="Times New Roman" w:cs="Times New Roman"/>
                <w:b/>
                <w:sz w:val="16"/>
                <w:szCs w:val="16"/>
              </w:rPr>
              <w:t>Before the crisis (2005-2007)</w:t>
            </w:r>
          </w:p>
        </w:tc>
        <w:tc>
          <w:tcPr>
            <w:tcW w:w="1910" w:type="dxa"/>
            <w:gridSpan w:val="2"/>
          </w:tcPr>
          <w:p w14:paraId="39AD0AB0" w14:textId="77777777" w:rsidR="00B75F05" w:rsidRPr="00102A70" w:rsidRDefault="00B75F05" w:rsidP="00C21D6F">
            <w:pPr>
              <w:contextualSpacing/>
              <w:rPr>
                <w:rFonts w:ascii="Times New Roman" w:hAnsi="Times New Roman" w:cs="Times New Roman"/>
                <w:b/>
                <w:sz w:val="16"/>
                <w:szCs w:val="16"/>
              </w:rPr>
            </w:pPr>
            <w:r w:rsidRPr="00102A70">
              <w:rPr>
                <w:rFonts w:ascii="Times New Roman" w:hAnsi="Times New Roman" w:cs="Times New Roman"/>
                <w:b/>
                <w:sz w:val="16"/>
                <w:szCs w:val="16"/>
              </w:rPr>
              <w:t>During the crisis</w:t>
            </w:r>
          </w:p>
          <w:p w14:paraId="3E7FDFE6" w14:textId="77777777" w:rsidR="00B75F05" w:rsidRPr="00102A70" w:rsidRDefault="00B75F05" w:rsidP="00C21D6F">
            <w:pPr>
              <w:contextualSpacing/>
              <w:rPr>
                <w:rFonts w:ascii="Times New Roman" w:hAnsi="Times New Roman" w:cs="Times New Roman"/>
                <w:b/>
                <w:sz w:val="16"/>
                <w:szCs w:val="16"/>
              </w:rPr>
            </w:pPr>
            <w:r w:rsidRPr="00102A70">
              <w:rPr>
                <w:rFonts w:ascii="Times New Roman" w:hAnsi="Times New Roman" w:cs="Times New Roman"/>
                <w:b/>
                <w:sz w:val="16"/>
                <w:szCs w:val="16"/>
              </w:rPr>
              <w:t>(2008-2010)</w:t>
            </w:r>
          </w:p>
        </w:tc>
        <w:tc>
          <w:tcPr>
            <w:tcW w:w="2187" w:type="dxa"/>
            <w:gridSpan w:val="2"/>
          </w:tcPr>
          <w:p w14:paraId="4ABD4BDA" w14:textId="77777777" w:rsidR="00B75F05" w:rsidRPr="00102A70" w:rsidRDefault="00B75F05" w:rsidP="00C21D6F">
            <w:pPr>
              <w:contextualSpacing/>
              <w:rPr>
                <w:rFonts w:ascii="Times New Roman" w:hAnsi="Times New Roman" w:cs="Times New Roman"/>
                <w:b/>
                <w:sz w:val="16"/>
                <w:szCs w:val="16"/>
              </w:rPr>
            </w:pPr>
            <w:r w:rsidRPr="00102A70">
              <w:rPr>
                <w:rFonts w:ascii="Times New Roman" w:hAnsi="Times New Roman" w:cs="Times New Roman"/>
                <w:b/>
                <w:sz w:val="16"/>
                <w:szCs w:val="16"/>
              </w:rPr>
              <w:t>After the crisis (2011-2013)</w:t>
            </w:r>
          </w:p>
        </w:tc>
      </w:tr>
      <w:tr w:rsidR="00B75F05" w:rsidRPr="00102A70" w14:paraId="07E273CD" w14:textId="77777777" w:rsidTr="00C21D6F">
        <w:tc>
          <w:tcPr>
            <w:tcW w:w="1186" w:type="dxa"/>
          </w:tcPr>
          <w:p w14:paraId="20CA39A4" w14:textId="77777777" w:rsidR="00B75F05" w:rsidRPr="00102A70" w:rsidRDefault="00B75F05" w:rsidP="00C21D6F">
            <w:pPr>
              <w:spacing w:line="480" w:lineRule="auto"/>
              <w:contextualSpacing/>
              <w:rPr>
                <w:rFonts w:ascii="Times New Roman" w:hAnsi="Times New Roman" w:cs="Times New Roman"/>
                <w:sz w:val="16"/>
                <w:szCs w:val="16"/>
              </w:rPr>
            </w:pPr>
          </w:p>
        </w:tc>
        <w:tc>
          <w:tcPr>
            <w:tcW w:w="973" w:type="dxa"/>
            <w:vAlign w:val="bottom"/>
          </w:tcPr>
          <w:p w14:paraId="09121276" w14:textId="77777777" w:rsidR="00B75F05" w:rsidRPr="00102A70" w:rsidRDefault="00B75F05" w:rsidP="00C21D6F">
            <w:pPr>
              <w:autoSpaceDE w:val="0"/>
              <w:autoSpaceDN w:val="0"/>
              <w:adjustRightInd w:val="0"/>
              <w:ind w:right="10"/>
              <w:jc w:val="right"/>
              <w:rPr>
                <w:rFonts w:ascii="Times New Roman" w:hAnsi="Times New Roman" w:cs="Times New Roman"/>
                <w:color w:val="000000"/>
                <w:sz w:val="16"/>
                <w:szCs w:val="16"/>
                <w:lang w:val="en-GB"/>
              </w:rPr>
            </w:pPr>
            <w:r w:rsidRPr="00102A70">
              <w:rPr>
                <w:rFonts w:ascii="Times New Roman" w:hAnsi="Times New Roman" w:cs="Times New Roman"/>
                <w:color w:val="000000"/>
                <w:sz w:val="16"/>
                <w:szCs w:val="16"/>
                <w:lang w:val="en-GB"/>
              </w:rPr>
              <w:t>Coeff</w:t>
            </w:r>
          </w:p>
        </w:tc>
        <w:tc>
          <w:tcPr>
            <w:tcW w:w="974" w:type="dxa"/>
            <w:vAlign w:val="bottom"/>
          </w:tcPr>
          <w:p w14:paraId="155AF018" w14:textId="77777777" w:rsidR="00B75F05" w:rsidRPr="00102A70" w:rsidRDefault="00B75F05" w:rsidP="00C21D6F">
            <w:pPr>
              <w:autoSpaceDE w:val="0"/>
              <w:autoSpaceDN w:val="0"/>
              <w:adjustRightInd w:val="0"/>
              <w:ind w:right="10"/>
              <w:jc w:val="right"/>
              <w:rPr>
                <w:rFonts w:ascii="Times New Roman" w:hAnsi="Times New Roman" w:cs="Times New Roman"/>
                <w:color w:val="000000"/>
                <w:sz w:val="16"/>
                <w:szCs w:val="16"/>
                <w:lang w:val="en-GB"/>
              </w:rPr>
            </w:pPr>
            <w:r w:rsidRPr="00102A70">
              <w:rPr>
                <w:rFonts w:ascii="Times New Roman" w:hAnsi="Times New Roman" w:cs="Times New Roman"/>
                <w:color w:val="000000"/>
                <w:sz w:val="16"/>
                <w:szCs w:val="16"/>
                <w:lang w:val="en-GB"/>
              </w:rPr>
              <w:t>T-Stat</w:t>
            </w:r>
          </w:p>
        </w:tc>
        <w:tc>
          <w:tcPr>
            <w:tcW w:w="950" w:type="dxa"/>
            <w:vAlign w:val="bottom"/>
          </w:tcPr>
          <w:p w14:paraId="5CB9772C" w14:textId="77777777" w:rsidR="00B75F05" w:rsidRPr="00102A70" w:rsidRDefault="00B75F05" w:rsidP="00C21D6F">
            <w:pPr>
              <w:autoSpaceDE w:val="0"/>
              <w:autoSpaceDN w:val="0"/>
              <w:adjustRightInd w:val="0"/>
              <w:ind w:right="10"/>
              <w:jc w:val="right"/>
              <w:rPr>
                <w:rFonts w:ascii="Times New Roman" w:hAnsi="Times New Roman" w:cs="Times New Roman"/>
                <w:color w:val="000000"/>
                <w:sz w:val="16"/>
                <w:szCs w:val="16"/>
                <w:lang w:val="en-GB"/>
              </w:rPr>
            </w:pPr>
            <w:r w:rsidRPr="00102A70">
              <w:rPr>
                <w:rFonts w:ascii="Times New Roman" w:hAnsi="Times New Roman" w:cs="Times New Roman"/>
                <w:color w:val="000000"/>
                <w:sz w:val="16"/>
                <w:szCs w:val="16"/>
                <w:lang w:val="en-GB"/>
              </w:rPr>
              <w:t>Coeff</w:t>
            </w:r>
          </w:p>
        </w:tc>
        <w:tc>
          <w:tcPr>
            <w:tcW w:w="960" w:type="dxa"/>
            <w:vAlign w:val="bottom"/>
          </w:tcPr>
          <w:p w14:paraId="521DC480" w14:textId="77777777" w:rsidR="00B75F05" w:rsidRPr="00102A70" w:rsidRDefault="00B75F05" w:rsidP="00C21D6F">
            <w:pPr>
              <w:autoSpaceDE w:val="0"/>
              <w:autoSpaceDN w:val="0"/>
              <w:adjustRightInd w:val="0"/>
              <w:ind w:right="10"/>
              <w:jc w:val="right"/>
              <w:rPr>
                <w:rFonts w:ascii="Times New Roman" w:hAnsi="Times New Roman" w:cs="Times New Roman"/>
                <w:color w:val="000000"/>
                <w:sz w:val="16"/>
                <w:szCs w:val="16"/>
                <w:lang w:val="en-GB"/>
              </w:rPr>
            </w:pPr>
            <w:r w:rsidRPr="00102A70">
              <w:rPr>
                <w:rFonts w:ascii="Times New Roman" w:hAnsi="Times New Roman" w:cs="Times New Roman"/>
                <w:color w:val="000000"/>
                <w:sz w:val="16"/>
                <w:szCs w:val="16"/>
                <w:lang w:val="en-GB"/>
              </w:rPr>
              <w:t xml:space="preserve">T-Stat </w:t>
            </w:r>
          </w:p>
        </w:tc>
        <w:tc>
          <w:tcPr>
            <w:tcW w:w="957" w:type="dxa"/>
            <w:vAlign w:val="bottom"/>
          </w:tcPr>
          <w:p w14:paraId="5B084375" w14:textId="77777777" w:rsidR="00B75F05" w:rsidRPr="00102A70" w:rsidRDefault="00B75F05" w:rsidP="00C21D6F">
            <w:pPr>
              <w:autoSpaceDE w:val="0"/>
              <w:autoSpaceDN w:val="0"/>
              <w:adjustRightInd w:val="0"/>
              <w:ind w:right="10"/>
              <w:jc w:val="right"/>
              <w:rPr>
                <w:rFonts w:ascii="Times New Roman" w:hAnsi="Times New Roman" w:cs="Times New Roman"/>
                <w:color w:val="000000"/>
                <w:sz w:val="16"/>
                <w:szCs w:val="16"/>
                <w:lang w:val="en-GB"/>
              </w:rPr>
            </w:pPr>
            <w:r w:rsidRPr="00102A70">
              <w:rPr>
                <w:rFonts w:ascii="Times New Roman" w:hAnsi="Times New Roman" w:cs="Times New Roman"/>
                <w:color w:val="000000"/>
                <w:sz w:val="16"/>
                <w:szCs w:val="16"/>
                <w:lang w:val="en-GB"/>
              </w:rPr>
              <w:t xml:space="preserve">Coeff </w:t>
            </w:r>
          </w:p>
        </w:tc>
        <w:tc>
          <w:tcPr>
            <w:tcW w:w="1230" w:type="dxa"/>
            <w:vAlign w:val="bottom"/>
          </w:tcPr>
          <w:p w14:paraId="6710BAFD" w14:textId="77777777" w:rsidR="00B75F05" w:rsidRPr="00102A70" w:rsidRDefault="00B75F05" w:rsidP="00C21D6F">
            <w:pPr>
              <w:autoSpaceDE w:val="0"/>
              <w:autoSpaceDN w:val="0"/>
              <w:adjustRightInd w:val="0"/>
              <w:ind w:right="10"/>
              <w:jc w:val="right"/>
              <w:rPr>
                <w:rFonts w:ascii="Times New Roman" w:hAnsi="Times New Roman" w:cs="Times New Roman"/>
                <w:color w:val="000000"/>
                <w:sz w:val="16"/>
                <w:szCs w:val="16"/>
                <w:lang w:val="en-GB"/>
              </w:rPr>
            </w:pPr>
            <w:r w:rsidRPr="00102A70">
              <w:rPr>
                <w:rFonts w:ascii="Times New Roman" w:hAnsi="Times New Roman" w:cs="Times New Roman"/>
                <w:color w:val="000000"/>
                <w:sz w:val="16"/>
                <w:szCs w:val="16"/>
                <w:lang w:val="en-GB"/>
              </w:rPr>
              <w:t xml:space="preserve">T-Stat  </w:t>
            </w:r>
          </w:p>
        </w:tc>
      </w:tr>
      <w:tr w:rsidR="00B75F05" w:rsidRPr="00102A70" w14:paraId="1500A71B" w14:textId="77777777" w:rsidTr="00C21D6F">
        <w:tc>
          <w:tcPr>
            <w:tcW w:w="1186" w:type="dxa"/>
          </w:tcPr>
          <w:p w14:paraId="15812491" w14:textId="77777777" w:rsidR="00B75F05" w:rsidRPr="00102A70" w:rsidRDefault="00B75F05" w:rsidP="00C21D6F">
            <w:pPr>
              <w:spacing w:line="480" w:lineRule="auto"/>
              <w:contextualSpacing/>
              <w:rPr>
                <w:rFonts w:ascii="Times New Roman" w:hAnsi="Times New Roman" w:cs="Times New Roman"/>
                <w:sz w:val="16"/>
                <w:szCs w:val="16"/>
              </w:rPr>
            </w:pPr>
            <w:r w:rsidRPr="00102A70">
              <w:rPr>
                <w:rFonts w:ascii="Times New Roman" w:hAnsi="Times New Roman" w:cs="Times New Roman"/>
                <w:sz w:val="16"/>
                <w:szCs w:val="16"/>
              </w:rPr>
              <w:t>LNSIZE</w:t>
            </w:r>
          </w:p>
        </w:tc>
        <w:tc>
          <w:tcPr>
            <w:tcW w:w="973" w:type="dxa"/>
            <w:vAlign w:val="bottom"/>
          </w:tcPr>
          <w:p w14:paraId="16647EC8" w14:textId="77777777" w:rsidR="00B75F05" w:rsidRPr="00102A70" w:rsidRDefault="00B75F05" w:rsidP="00C21D6F">
            <w:pPr>
              <w:autoSpaceDE w:val="0"/>
              <w:autoSpaceDN w:val="0"/>
              <w:adjustRightInd w:val="0"/>
              <w:ind w:right="10"/>
              <w:rPr>
                <w:rFonts w:ascii="Times New Roman" w:hAnsi="Times New Roman" w:cs="Times New Roman"/>
                <w:color w:val="000000"/>
                <w:sz w:val="16"/>
                <w:szCs w:val="16"/>
                <w:lang w:val="en-GB"/>
              </w:rPr>
            </w:pPr>
            <w:r w:rsidRPr="00102A70">
              <w:rPr>
                <w:rFonts w:ascii="Times New Roman" w:hAnsi="Times New Roman" w:cs="Times New Roman"/>
                <w:color w:val="000000"/>
                <w:sz w:val="16"/>
                <w:szCs w:val="16"/>
                <w:lang w:val="en-GB"/>
              </w:rPr>
              <w:t>0.23</w:t>
            </w:r>
          </w:p>
        </w:tc>
        <w:tc>
          <w:tcPr>
            <w:tcW w:w="974" w:type="dxa"/>
            <w:vAlign w:val="bottom"/>
          </w:tcPr>
          <w:p w14:paraId="286089A9" w14:textId="77777777" w:rsidR="00B75F05" w:rsidRPr="00102A70" w:rsidRDefault="00B75F05" w:rsidP="00C21D6F">
            <w:pPr>
              <w:autoSpaceDE w:val="0"/>
              <w:autoSpaceDN w:val="0"/>
              <w:adjustRightInd w:val="0"/>
              <w:ind w:right="10"/>
              <w:rPr>
                <w:rFonts w:ascii="Times New Roman" w:hAnsi="Times New Roman" w:cs="Times New Roman"/>
                <w:color w:val="000000"/>
                <w:sz w:val="16"/>
                <w:szCs w:val="16"/>
                <w:lang w:val="en-GB"/>
              </w:rPr>
            </w:pPr>
            <w:r w:rsidRPr="00102A70">
              <w:rPr>
                <w:rFonts w:ascii="Times New Roman" w:hAnsi="Times New Roman" w:cs="Times New Roman"/>
                <w:color w:val="000000"/>
                <w:sz w:val="16"/>
                <w:szCs w:val="16"/>
                <w:lang w:val="en-GB"/>
              </w:rPr>
              <w:t>4.86***</w:t>
            </w:r>
          </w:p>
        </w:tc>
        <w:tc>
          <w:tcPr>
            <w:tcW w:w="950" w:type="dxa"/>
            <w:vAlign w:val="bottom"/>
          </w:tcPr>
          <w:p w14:paraId="1A8DEB6B" w14:textId="77777777" w:rsidR="00B75F05" w:rsidRPr="00102A70" w:rsidRDefault="00B75F05" w:rsidP="00C21D6F">
            <w:pPr>
              <w:autoSpaceDE w:val="0"/>
              <w:autoSpaceDN w:val="0"/>
              <w:adjustRightInd w:val="0"/>
              <w:ind w:right="10"/>
              <w:rPr>
                <w:rFonts w:ascii="Times New Roman" w:hAnsi="Times New Roman" w:cs="Times New Roman"/>
                <w:color w:val="000000"/>
                <w:sz w:val="16"/>
                <w:szCs w:val="16"/>
                <w:lang w:val="en-GB"/>
              </w:rPr>
            </w:pPr>
            <w:r w:rsidRPr="00102A70">
              <w:rPr>
                <w:rFonts w:ascii="Times New Roman" w:hAnsi="Times New Roman" w:cs="Times New Roman"/>
                <w:color w:val="000000"/>
                <w:sz w:val="16"/>
                <w:szCs w:val="16"/>
                <w:lang w:val="en-GB"/>
              </w:rPr>
              <w:t>0.28</w:t>
            </w:r>
          </w:p>
        </w:tc>
        <w:tc>
          <w:tcPr>
            <w:tcW w:w="960" w:type="dxa"/>
            <w:vAlign w:val="bottom"/>
          </w:tcPr>
          <w:p w14:paraId="518D253D" w14:textId="77777777" w:rsidR="00B75F05" w:rsidRPr="00102A70" w:rsidRDefault="00B75F05" w:rsidP="00C21D6F">
            <w:pPr>
              <w:autoSpaceDE w:val="0"/>
              <w:autoSpaceDN w:val="0"/>
              <w:adjustRightInd w:val="0"/>
              <w:ind w:right="10"/>
              <w:rPr>
                <w:rFonts w:ascii="Times New Roman" w:hAnsi="Times New Roman" w:cs="Times New Roman"/>
                <w:color w:val="000000"/>
                <w:sz w:val="16"/>
                <w:szCs w:val="16"/>
                <w:lang w:val="en-GB"/>
              </w:rPr>
            </w:pPr>
            <w:r w:rsidRPr="00102A70">
              <w:rPr>
                <w:rFonts w:ascii="Times New Roman" w:hAnsi="Times New Roman" w:cs="Times New Roman"/>
                <w:color w:val="000000"/>
                <w:sz w:val="16"/>
                <w:szCs w:val="16"/>
                <w:lang w:val="en-GB"/>
              </w:rPr>
              <w:t>4.21***</w:t>
            </w:r>
          </w:p>
        </w:tc>
        <w:tc>
          <w:tcPr>
            <w:tcW w:w="957" w:type="dxa"/>
            <w:vAlign w:val="bottom"/>
          </w:tcPr>
          <w:p w14:paraId="2EDA65EF" w14:textId="77777777" w:rsidR="00B75F05" w:rsidRPr="00102A70" w:rsidRDefault="00B75F05" w:rsidP="00C21D6F">
            <w:pPr>
              <w:autoSpaceDE w:val="0"/>
              <w:autoSpaceDN w:val="0"/>
              <w:adjustRightInd w:val="0"/>
              <w:ind w:right="10"/>
              <w:rPr>
                <w:rFonts w:ascii="Times New Roman" w:hAnsi="Times New Roman" w:cs="Times New Roman"/>
                <w:color w:val="000000"/>
                <w:sz w:val="16"/>
                <w:szCs w:val="16"/>
                <w:lang w:val="en-GB"/>
              </w:rPr>
            </w:pPr>
            <w:r w:rsidRPr="00102A70">
              <w:rPr>
                <w:rFonts w:ascii="Times New Roman" w:hAnsi="Times New Roman" w:cs="Times New Roman"/>
                <w:color w:val="000000"/>
                <w:sz w:val="16"/>
                <w:szCs w:val="16"/>
                <w:lang w:val="en-GB"/>
              </w:rPr>
              <w:t>0.36</w:t>
            </w:r>
          </w:p>
        </w:tc>
        <w:tc>
          <w:tcPr>
            <w:tcW w:w="1230" w:type="dxa"/>
            <w:vAlign w:val="bottom"/>
          </w:tcPr>
          <w:p w14:paraId="0B855453" w14:textId="77777777" w:rsidR="00B75F05" w:rsidRPr="00102A70" w:rsidRDefault="00B75F05" w:rsidP="00C21D6F">
            <w:pPr>
              <w:autoSpaceDE w:val="0"/>
              <w:autoSpaceDN w:val="0"/>
              <w:adjustRightInd w:val="0"/>
              <w:ind w:right="10"/>
              <w:rPr>
                <w:rFonts w:ascii="Times New Roman" w:hAnsi="Times New Roman" w:cs="Times New Roman"/>
                <w:color w:val="000000"/>
                <w:sz w:val="16"/>
                <w:szCs w:val="16"/>
                <w:lang w:val="en-GB"/>
              </w:rPr>
            </w:pPr>
            <w:r w:rsidRPr="00102A70">
              <w:rPr>
                <w:rFonts w:ascii="Times New Roman" w:hAnsi="Times New Roman" w:cs="Times New Roman"/>
                <w:color w:val="000000"/>
                <w:sz w:val="16"/>
                <w:szCs w:val="16"/>
                <w:lang w:val="en-GB"/>
              </w:rPr>
              <w:t>7.39***</w:t>
            </w:r>
          </w:p>
        </w:tc>
      </w:tr>
      <w:tr w:rsidR="00B75F05" w:rsidRPr="00102A70" w14:paraId="44EEAF1E" w14:textId="77777777" w:rsidTr="00C21D6F">
        <w:tc>
          <w:tcPr>
            <w:tcW w:w="1186" w:type="dxa"/>
          </w:tcPr>
          <w:p w14:paraId="55177E10" w14:textId="77777777" w:rsidR="00B75F05" w:rsidRPr="00102A70" w:rsidRDefault="00B75F05" w:rsidP="00C21D6F">
            <w:pPr>
              <w:spacing w:line="480" w:lineRule="auto"/>
              <w:contextualSpacing/>
              <w:rPr>
                <w:rFonts w:ascii="Times New Roman" w:hAnsi="Times New Roman" w:cs="Times New Roman"/>
                <w:sz w:val="16"/>
                <w:szCs w:val="16"/>
              </w:rPr>
            </w:pPr>
            <w:r w:rsidRPr="00102A70">
              <w:rPr>
                <w:rFonts w:ascii="Times New Roman" w:hAnsi="Times New Roman" w:cs="Times New Roman"/>
                <w:sz w:val="16"/>
                <w:szCs w:val="16"/>
              </w:rPr>
              <w:t>CAP</w:t>
            </w:r>
          </w:p>
        </w:tc>
        <w:tc>
          <w:tcPr>
            <w:tcW w:w="973" w:type="dxa"/>
            <w:vAlign w:val="bottom"/>
          </w:tcPr>
          <w:p w14:paraId="014C220E" w14:textId="77777777" w:rsidR="00B75F05" w:rsidRPr="00102A70" w:rsidRDefault="00B75F05" w:rsidP="00C21D6F">
            <w:pPr>
              <w:autoSpaceDE w:val="0"/>
              <w:autoSpaceDN w:val="0"/>
              <w:adjustRightInd w:val="0"/>
              <w:ind w:right="10"/>
              <w:rPr>
                <w:rFonts w:ascii="Times New Roman" w:hAnsi="Times New Roman" w:cs="Times New Roman"/>
                <w:color w:val="000000"/>
                <w:sz w:val="16"/>
                <w:szCs w:val="16"/>
                <w:lang w:val="en-GB"/>
              </w:rPr>
            </w:pPr>
            <w:r w:rsidRPr="00102A70">
              <w:rPr>
                <w:rFonts w:ascii="Times New Roman" w:hAnsi="Times New Roman" w:cs="Times New Roman"/>
                <w:color w:val="000000"/>
                <w:sz w:val="16"/>
                <w:szCs w:val="16"/>
                <w:lang w:val="en-GB"/>
              </w:rPr>
              <w:t>0.21</w:t>
            </w:r>
          </w:p>
        </w:tc>
        <w:tc>
          <w:tcPr>
            <w:tcW w:w="974" w:type="dxa"/>
            <w:vAlign w:val="bottom"/>
          </w:tcPr>
          <w:p w14:paraId="60C31853" w14:textId="77777777" w:rsidR="00B75F05" w:rsidRPr="00102A70" w:rsidRDefault="00B75F05" w:rsidP="00C21D6F">
            <w:pPr>
              <w:autoSpaceDE w:val="0"/>
              <w:autoSpaceDN w:val="0"/>
              <w:adjustRightInd w:val="0"/>
              <w:ind w:right="10"/>
              <w:rPr>
                <w:rFonts w:ascii="Times New Roman" w:hAnsi="Times New Roman" w:cs="Times New Roman"/>
                <w:color w:val="000000"/>
                <w:sz w:val="16"/>
                <w:szCs w:val="16"/>
                <w:lang w:val="en-GB"/>
              </w:rPr>
            </w:pPr>
            <w:r w:rsidRPr="00102A70">
              <w:rPr>
                <w:rFonts w:ascii="Times New Roman" w:hAnsi="Times New Roman" w:cs="Times New Roman"/>
                <w:color w:val="000000"/>
                <w:sz w:val="16"/>
                <w:szCs w:val="16"/>
                <w:lang w:val="en-GB"/>
              </w:rPr>
              <w:t>7.50***</w:t>
            </w:r>
          </w:p>
        </w:tc>
        <w:tc>
          <w:tcPr>
            <w:tcW w:w="950" w:type="dxa"/>
            <w:vAlign w:val="bottom"/>
          </w:tcPr>
          <w:p w14:paraId="37890C8F" w14:textId="77777777" w:rsidR="00B75F05" w:rsidRPr="00102A70" w:rsidRDefault="00B75F05" w:rsidP="00C21D6F">
            <w:pPr>
              <w:autoSpaceDE w:val="0"/>
              <w:autoSpaceDN w:val="0"/>
              <w:adjustRightInd w:val="0"/>
              <w:ind w:right="10"/>
              <w:rPr>
                <w:rFonts w:ascii="Times New Roman" w:hAnsi="Times New Roman" w:cs="Times New Roman"/>
                <w:color w:val="000000"/>
                <w:sz w:val="16"/>
                <w:szCs w:val="16"/>
                <w:lang w:val="en-GB"/>
              </w:rPr>
            </w:pPr>
            <w:r w:rsidRPr="00102A70">
              <w:rPr>
                <w:rFonts w:ascii="Times New Roman" w:hAnsi="Times New Roman" w:cs="Times New Roman"/>
                <w:color w:val="000000"/>
                <w:sz w:val="16"/>
                <w:szCs w:val="16"/>
                <w:lang w:val="en-GB"/>
              </w:rPr>
              <w:t>0.07</w:t>
            </w:r>
          </w:p>
        </w:tc>
        <w:tc>
          <w:tcPr>
            <w:tcW w:w="960" w:type="dxa"/>
            <w:vAlign w:val="bottom"/>
          </w:tcPr>
          <w:p w14:paraId="1FB3982D" w14:textId="77777777" w:rsidR="00B75F05" w:rsidRPr="00102A70" w:rsidRDefault="00B75F05" w:rsidP="00C21D6F">
            <w:pPr>
              <w:autoSpaceDE w:val="0"/>
              <w:autoSpaceDN w:val="0"/>
              <w:adjustRightInd w:val="0"/>
              <w:ind w:right="10"/>
              <w:rPr>
                <w:rFonts w:ascii="Times New Roman" w:hAnsi="Times New Roman" w:cs="Times New Roman"/>
                <w:color w:val="000000"/>
                <w:sz w:val="16"/>
                <w:szCs w:val="16"/>
                <w:lang w:val="en-GB"/>
              </w:rPr>
            </w:pPr>
            <w:r w:rsidRPr="00102A70">
              <w:rPr>
                <w:rFonts w:ascii="Times New Roman" w:hAnsi="Times New Roman" w:cs="Times New Roman"/>
                <w:color w:val="000000"/>
                <w:sz w:val="16"/>
                <w:szCs w:val="16"/>
                <w:lang w:val="en-GB"/>
              </w:rPr>
              <w:t>3.04***</w:t>
            </w:r>
          </w:p>
        </w:tc>
        <w:tc>
          <w:tcPr>
            <w:tcW w:w="957" w:type="dxa"/>
            <w:vAlign w:val="bottom"/>
          </w:tcPr>
          <w:p w14:paraId="47E1C21A" w14:textId="77777777" w:rsidR="00B75F05" w:rsidRPr="00102A70" w:rsidRDefault="00B75F05" w:rsidP="00C21D6F">
            <w:pPr>
              <w:autoSpaceDE w:val="0"/>
              <w:autoSpaceDN w:val="0"/>
              <w:adjustRightInd w:val="0"/>
              <w:ind w:right="10"/>
              <w:rPr>
                <w:rFonts w:ascii="Times New Roman" w:hAnsi="Times New Roman" w:cs="Times New Roman"/>
                <w:color w:val="000000"/>
                <w:sz w:val="16"/>
                <w:szCs w:val="16"/>
                <w:lang w:val="en-GB"/>
              </w:rPr>
            </w:pPr>
            <w:r w:rsidRPr="00102A70">
              <w:rPr>
                <w:rFonts w:ascii="Times New Roman" w:hAnsi="Times New Roman" w:cs="Times New Roman"/>
                <w:color w:val="000000"/>
                <w:sz w:val="16"/>
                <w:szCs w:val="16"/>
                <w:lang w:val="en-GB"/>
              </w:rPr>
              <w:t>0.11</w:t>
            </w:r>
          </w:p>
        </w:tc>
        <w:tc>
          <w:tcPr>
            <w:tcW w:w="1230" w:type="dxa"/>
            <w:vAlign w:val="bottom"/>
          </w:tcPr>
          <w:p w14:paraId="3AE02B6C" w14:textId="77777777" w:rsidR="00B75F05" w:rsidRPr="00102A70" w:rsidRDefault="00B75F05" w:rsidP="00C21D6F">
            <w:pPr>
              <w:autoSpaceDE w:val="0"/>
              <w:autoSpaceDN w:val="0"/>
              <w:adjustRightInd w:val="0"/>
              <w:ind w:right="10"/>
              <w:rPr>
                <w:rFonts w:ascii="Times New Roman" w:hAnsi="Times New Roman" w:cs="Times New Roman"/>
                <w:color w:val="000000"/>
                <w:sz w:val="16"/>
                <w:szCs w:val="16"/>
                <w:lang w:val="en-GB"/>
              </w:rPr>
            </w:pPr>
            <w:r w:rsidRPr="00102A70">
              <w:rPr>
                <w:rFonts w:ascii="Times New Roman" w:hAnsi="Times New Roman" w:cs="Times New Roman"/>
                <w:color w:val="000000"/>
                <w:sz w:val="16"/>
                <w:szCs w:val="16"/>
                <w:lang w:val="en-GB"/>
              </w:rPr>
              <w:t>4.85***</w:t>
            </w:r>
          </w:p>
        </w:tc>
      </w:tr>
      <w:tr w:rsidR="00B75F05" w:rsidRPr="00102A70" w14:paraId="53A9E185" w14:textId="77777777" w:rsidTr="00C21D6F">
        <w:tc>
          <w:tcPr>
            <w:tcW w:w="1186" w:type="dxa"/>
          </w:tcPr>
          <w:p w14:paraId="13C0E66C" w14:textId="77777777" w:rsidR="00B75F05" w:rsidRPr="00102A70" w:rsidRDefault="00B75F05" w:rsidP="00C21D6F">
            <w:pPr>
              <w:spacing w:line="480" w:lineRule="auto"/>
              <w:contextualSpacing/>
              <w:rPr>
                <w:rFonts w:ascii="Times New Roman" w:hAnsi="Times New Roman" w:cs="Times New Roman"/>
                <w:sz w:val="16"/>
                <w:szCs w:val="16"/>
              </w:rPr>
            </w:pPr>
            <w:r w:rsidRPr="00102A70">
              <w:rPr>
                <w:rFonts w:ascii="Times New Roman" w:hAnsi="Times New Roman" w:cs="Times New Roman"/>
                <w:sz w:val="16"/>
                <w:szCs w:val="16"/>
              </w:rPr>
              <w:t>CR</w:t>
            </w:r>
          </w:p>
        </w:tc>
        <w:tc>
          <w:tcPr>
            <w:tcW w:w="973" w:type="dxa"/>
            <w:vAlign w:val="bottom"/>
          </w:tcPr>
          <w:p w14:paraId="6A546C83" w14:textId="77777777" w:rsidR="00B75F05" w:rsidRPr="00102A70" w:rsidRDefault="00B75F05" w:rsidP="00C21D6F">
            <w:pPr>
              <w:autoSpaceDE w:val="0"/>
              <w:autoSpaceDN w:val="0"/>
              <w:adjustRightInd w:val="0"/>
              <w:ind w:right="10"/>
              <w:rPr>
                <w:rFonts w:ascii="Times New Roman" w:hAnsi="Times New Roman" w:cs="Times New Roman"/>
                <w:color w:val="000000"/>
                <w:sz w:val="16"/>
                <w:szCs w:val="16"/>
                <w:lang w:val="en-GB"/>
              </w:rPr>
            </w:pPr>
            <w:r w:rsidRPr="00102A70">
              <w:rPr>
                <w:rFonts w:ascii="Times New Roman" w:hAnsi="Times New Roman" w:cs="Times New Roman"/>
                <w:color w:val="000000"/>
                <w:sz w:val="16"/>
                <w:szCs w:val="16"/>
                <w:lang w:val="en-GB"/>
              </w:rPr>
              <w:t>0.03</w:t>
            </w:r>
          </w:p>
        </w:tc>
        <w:tc>
          <w:tcPr>
            <w:tcW w:w="974" w:type="dxa"/>
            <w:vAlign w:val="bottom"/>
          </w:tcPr>
          <w:p w14:paraId="43D3CF08" w14:textId="77777777" w:rsidR="00B75F05" w:rsidRPr="00102A70" w:rsidRDefault="00B75F05" w:rsidP="00C21D6F">
            <w:pPr>
              <w:autoSpaceDE w:val="0"/>
              <w:autoSpaceDN w:val="0"/>
              <w:adjustRightInd w:val="0"/>
              <w:ind w:right="10"/>
              <w:rPr>
                <w:rFonts w:ascii="Times New Roman" w:hAnsi="Times New Roman" w:cs="Times New Roman"/>
                <w:color w:val="000000"/>
                <w:sz w:val="16"/>
                <w:szCs w:val="16"/>
                <w:lang w:val="en-GB"/>
              </w:rPr>
            </w:pPr>
            <w:r w:rsidRPr="00102A70">
              <w:rPr>
                <w:rFonts w:ascii="Times New Roman" w:hAnsi="Times New Roman" w:cs="Times New Roman"/>
                <w:color w:val="000000"/>
                <w:sz w:val="16"/>
                <w:szCs w:val="16"/>
                <w:lang w:val="en-GB"/>
              </w:rPr>
              <w:t>2.64**</w:t>
            </w:r>
          </w:p>
        </w:tc>
        <w:tc>
          <w:tcPr>
            <w:tcW w:w="950" w:type="dxa"/>
            <w:vAlign w:val="bottom"/>
          </w:tcPr>
          <w:p w14:paraId="2FBA3FE5" w14:textId="77777777" w:rsidR="00B75F05" w:rsidRPr="00102A70" w:rsidRDefault="00B75F05" w:rsidP="00C21D6F">
            <w:pPr>
              <w:autoSpaceDE w:val="0"/>
              <w:autoSpaceDN w:val="0"/>
              <w:adjustRightInd w:val="0"/>
              <w:ind w:right="10"/>
              <w:rPr>
                <w:rFonts w:ascii="Times New Roman" w:hAnsi="Times New Roman" w:cs="Times New Roman"/>
                <w:color w:val="000000"/>
                <w:sz w:val="16"/>
                <w:szCs w:val="16"/>
                <w:lang w:val="en-GB"/>
              </w:rPr>
            </w:pPr>
            <w:r w:rsidRPr="00102A70">
              <w:rPr>
                <w:rFonts w:ascii="Times New Roman" w:hAnsi="Times New Roman" w:cs="Times New Roman"/>
                <w:color w:val="000000"/>
                <w:sz w:val="16"/>
                <w:szCs w:val="16"/>
                <w:lang w:val="en-GB"/>
              </w:rPr>
              <w:t>0.03</w:t>
            </w:r>
          </w:p>
        </w:tc>
        <w:tc>
          <w:tcPr>
            <w:tcW w:w="960" w:type="dxa"/>
            <w:vAlign w:val="bottom"/>
          </w:tcPr>
          <w:p w14:paraId="173213CD" w14:textId="77777777" w:rsidR="00B75F05" w:rsidRPr="00102A70" w:rsidRDefault="00B75F05" w:rsidP="00C21D6F">
            <w:pPr>
              <w:autoSpaceDE w:val="0"/>
              <w:autoSpaceDN w:val="0"/>
              <w:adjustRightInd w:val="0"/>
              <w:ind w:right="10"/>
              <w:rPr>
                <w:rFonts w:ascii="Times New Roman" w:hAnsi="Times New Roman" w:cs="Times New Roman"/>
                <w:color w:val="000000"/>
                <w:sz w:val="16"/>
                <w:szCs w:val="16"/>
                <w:lang w:val="en-GB"/>
              </w:rPr>
            </w:pPr>
            <w:r w:rsidRPr="00102A70">
              <w:rPr>
                <w:rFonts w:ascii="Times New Roman" w:hAnsi="Times New Roman" w:cs="Times New Roman"/>
                <w:color w:val="000000"/>
                <w:sz w:val="16"/>
                <w:szCs w:val="16"/>
                <w:lang w:val="en-GB"/>
              </w:rPr>
              <w:t>2.06**</w:t>
            </w:r>
          </w:p>
        </w:tc>
        <w:tc>
          <w:tcPr>
            <w:tcW w:w="957" w:type="dxa"/>
            <w:vAlign w:val="bottom"/>
          </w:tcPr>
          <w:p w14:paraId="772E709E" w14:textId="77777777" w:rsidR="00B75F05" w:rsidRPr="00102A70" w:rsidRDefault="00B75F05" w:rsidP="00C21D6F">
            <w:pPr>
              <w:autoSpaceDE w:val="0"/>
              <w:autoSpaceDN w:val="0"/>
              <w:adjustRightInd w:val="0"/>
              <w:ind w:right="10"/>
              <w:rPr>
                <w:rFonts w:ascii="Times New Roman" w:hAnsi="Times New Roman" w:cs="Times New Roman"/>
                <w:color w:val="000000"/>
                <w:sz w:val="16"/>
                <w:szCs w:val="16"/>
                <w:lang w:val="en-GB"/>
              </w:rPr>
            </w:pPr>
            <w:r w:rsidRPr="00102A70">
              <w:rPr>
                <w:rFonts w:ascii="Times New Roman" w:hAnsi="Times New Roman" w:cs="Times New Roman"/>
                <w:color w:val="000000"/>
                <w:sz w:val="16"/>
                <w:szCs w:val="16"/>
                <w:lang w:val="en-GB"/>
              </w:rPr>
              <w:t>-0.01</w:t>
            </w:r>
          </w:p>
        </w:tc>
        <w:tc>
          <w:tcPr>
            <w:tcW w:w="1230" w:type="dxa"/>
            <w:vAlign w:val="bottom"/>
          </w:tcPr>
          <w:p w14:paraId="4BA352BC" w14:textId="77777777" w:rsidR="00B75F05" w:rsidRPr="00102A70" w:rsidRDefault="00B75F05" w:rsidP="00C21D6F">
            <w:pPr>
              <w:autoSpaceDE w:val="0"/>
              <w:autoSpaceDN w:val="0"/>
              <w:adjustRightInd w:val="0"/>
              <w:ind w:right="10"/>
              <w:rPr>
                <w:rFonts w:ascii="Times New Roman" w:hAnsi="Times New Roman" w:cs="Times New Roman"/>
                <w:color w:val="000000"/>
                <w:sz w:val="16"/>
                <w:szCs w:val="16"/>
                <w:lang w:val="en-GB"/>
              </w:rPr>
            </w:pPr>
            <w:r w:rsidRPr="00102A70">
              <w:rPr>
                <w:rFonts w:ascii="Times New Roman" w:hAnsi="Times New Roman" w:cs="Times New Roman"/>
                <w:color w:val="000000"/>
                <w:sz w:val="16"/>
                <w:szCs w:val="16"/>
                <w:lang w:val="en-GB"/>
              </w:rPr>
              <w:t>-1.03</w:t>
            </w:r>
          </w:p>
        </w:tc>
      </w:tr>
      <w:tr w:rsidR="00B75F05" w:rsidRPr="00102A70" w14:paraId="00D25368" w14:textId="77777777" w:rsidTr="00C21D6F">
        <w:tc>
          <w:tcPr>
            <w:tcW w:w="1186" w:type="dxa"/>
          </w:tcPr>
          <w:p w14:paraId="373D8262" w14:textId="77777777" w:rsidR="00B75F05" w:rsidRPr="00102A70" w:rsidRDefault="00B75F05" w:rsidP="00C21D6F">
            <w:pPr>
              <w:spacing w:line="480" w:lineRule="auto"/>
              <w:contextualSpacing/>
              <w:rPr>
                <w:rFonts w:ascii="Times New Roman" w:hAnsi="Times New Roman" w:cs="Times New Roman"/>
                <w:sz w:val="16"/>
                <w:szCs w:val="16"/>
              </w:rPr>
            </w:pPr>
            <w:r w:rsidRPr="00102A70">
              <w:rPr>
                <w:rFonts w:ascii="Times New Roman" w:hAnsi="Times New Roman" w:cs="Times New Roman"/>
                <w:sz w:val="16"/>
                <w:szCs w:val="16"/>
              </w:rPr>
              <w:t>CM</w:t>
            </w:r>
          </w:p>
        </w:tc>
        <w:tc>
          <w:tcPr>
            <w:tcW w:w="973" w:type="dxa"/>
            <w:vAlign w:val="bottom"/>
          </w:tcPr>
          <w:p w14:paraId="4DBFC5FD" w14:textId="77777777" w:rsidR="00B75F05" w:rsidRPr="00102A70" w:rsidRDefault="00B75F05" w:rsidP="00C21D6F">
            <w:pPr>
              <w:autoSpaceDE w:val="0"/>
              <w:autoSpaceDN w:val="0"/>
              <w:adjustRightInd w:val="0"/>
              <w:ind w:right="10"/>
              <w:rPr>
                <w:rFonts w:ascii="Times New Roman" w:hAnsi="Times New Roman" w:cs="Times New Roman"/>
                <w:color w:val="000000"/>
                <w:sz w:val="16"/>
                <w:szCs w:val="16"/>
                <w:lang w:val="en-GB"/>
              </w:rPr>
            </w:pPr>
            <w:r w:rsidRPr="00102A70">
              <w:rPr>
                <w:rFonts w:ascii="Times New Roman" w:hAnsi="Times New Roman" w:cs="Times New Roman"/>
                <w:color w:val="000000"/>
                <w:sz w:val="16"/>
                <w:szCs w:val="16"/>
                <w:lang w:val="en-GB"/>
              </w:rPr>
              <w:t>-0.01</w:t>
            </w:r>
          </w:p>
        </w:tc>
        <w:tc>
          <w:tcPr>
            <w:tcW w:w="974" w:type="dxa"/>
            <w:vAlign w:val="bottom"/>
          </w:tcPr>
          <w:p w14:paraId="511B5353" w14:textId="77777777" w:rsidR="00B75F05" w:rsidRPr="00102A70" w:rsidRDefault="00B75F05" w:rsidP="00C21D6F">
            <w:pPr>
              <w:autoSpaceDE w:val="0"/>
              <w:autoSpaceDN w:val="0"/>
              <w:adjustRightInd w:val="0"/>
              <w:ind w:right="10"/>
              <w:rPr>
                <w:rFonts w:ascii="Times New Roman" w:hAnsi="Times New Roman" w:cs="Times New Roman"/>
                <w:color w:val="000000"/>
                <w:sz w:val="16"/>
                <w:szCs w:val="16"/>
                <w:lang w:val="en-GB"/>
              </w:rPr>
            </w:pPr>
            <w:r w:rsidRPr="00102A70">
              <w:rPr>
                <w:rFonts w:ascii="Times New Roman" w:hAnsi="Times New Roman" w:cs="Times New Roman"/>
                <w:color w:val="000000"/>
                <w:sz w:val="16"/>
                <w:szCs w:val="16"/>
                <w:lang w:val="en-GB"/>
              </w:rPr>
              <w:t>-3.12***</w:t>
            </w:r>
          </w:p>
        </w:tc>
        <w:tc>
          <w:tcPr>
            <w:tcW w:w="950" w:type="dxa"/>
            <w:vAlign w:val="bottom"/>
          </w:tcPr>
          <w:p w14:paraId="20587DE2" w14:textId="77777777" w:rsidR="00B75F05" w:rsidRPr="00102A70" w:rsidRDefault="00B75F05" w:rsidP="00C21D6F">
            <w:pPr>
              <w:autoSpaceDE w:val="0"/>
              <w:autoSpaceDN w:val="0"/>
              <w:adjustRightInd w:val="0"/>
              <w:ind w:right="10"/>
              <w:rPr>
                <w:rFonts w:ascii="Times New Roman" w:hAnsi="Times New Roman" w:cs="Times New Roman"/>
                <w:color w:val="000000"/>
                <w:sz w:val="16"/>
                <w:szCs w:val="16"/>
                <w:lang w:val="en-GB"/>
              </w:rPr>
            </w:pPr>
            <w:r w:rsidRPr="00102A70">
              <w:rPr>
                <w:rFonts w:ascii="Times New Roman" w:hAnsi="Times New Roman" w:cs="Times New Roman"/>
                <w:color w:val="000000"/>
                <w:sz w:val="16"/>
                <w:szCs w:val="16"/>
                <w:lang w:val="en-GB"/>
              </w:rPr>
              <w:t>0.01</w:t>
            </w:r>
          </w:p>
        </w:tc>
        <w:tc>
          <w:tcPr>
            <w:tcW w:w="960" w:type="dxa"/>
            <w:vAlign w:val="bottom"/>
          </w:tcPr>
          <w:p w14:paraId="7DE1FBB3" w14:textId="77777777" w:rsidR="00B75F05" w:rsidRPr="00102A70" w:rsidRDefault="00B75F05" w:rsidP="00C21D6F">
            <w:pPr>
              <w:autoSpaceDE w:val="0"/>
              <w:autoSpaceDN w:val="0"/>
              <w:adjustRightInd w:val="0"/>
              <w:ind w:right="10"/>
              <w:rPr>
                <w:rFonts w:ascii="Times New Roman" w:hAnsi="Times New Roman" w:cs="Times New Roman"/>
                <w:color w:val="000000"/>
                <w:sz w:val="16"/>
                <w:szCs w:val="16"/>
                <w:lang w:val="en-GB"/>
              </w:rPr>
            </w:pPr>
            <w:r w:rsidRPr="00102A70">
              <w:rPr>
                <w:rFonts w:ascii="Times New Roman" w:hAnsi="Times New Roman" w:cs="Times New Roman"/>
                <w:color w:val="000000"/>
                <w:sz w:val="16"/>
                <w:szCs w:val="16"/>
                <w:lang w:val="en-GB"/>
              </w:rPr>
              <w:t>-0.15</w:t>
            </w:r>
          </w:p>
        </w:tc>
        <w:tc>
          <w:tcPr>
            <w:tcW w:w="957" w:type="dxa"/>
            <w:vAlign w:val="bottom"/>
          </w:tcPr>
          <w:p w14:paraId="6181EF7F" w14:textId="77777777" w:rsidR="00B75F05" w:rsidRPr="00102A70" w:rsidRDefault="00B75F05" w:rsidP="00C21D6F">
            <w:pPr>
              <w:autoSpaceDE w:val="0"/>
              <w:autoSpaceDN w:val="0"/>
              <w:adjustRightInd w:val="0"/>
              <w:ind w:right="10"/>
              <w:rPr>
                <w:rFonts w:ascii="Times New Roman" w:hAnsi="Times New Roman" w:cs="Times New Roman"/>
                <w:color w:val="000000"/>
                <w:sz w:val="16"/>
                <w:szCs w:val="16"/>
                <w:lang w:val="en-GB"/>
              </w:rPr>
            </w:pPr>
            <w:r w:rsidRPr="00102A70">
              <w:rPr>
                <w:rFonts w:ascii="Times New Roman" w:hAnsi="Times New Roman" w:cs="Times New Roman"/>
                <w:color w:val="000000"/>
                <w:sz w:val="16"/>
                <w:szCs w:val="16"/>
                <w:lang w:val="en-GB"/>
              </w:rPr>
              <w:t>-0.02</w:t>
            </w:r>
          </w:p>
        </w:tc>
        <w:tc>
          <w:tcPr>
            <w:tcW w:w="1230" w:type="dxa"/>
            <w:vAlign w:val="bottom"/>
          </w:tcPr>
          <w:p w14:paraId="50CDC383" w14:textId="77777777" w:rsidR="00B75F05" w:rsidRPr="00102A70" w:rsidRDefault="00B75F05" w:rsidP="00C21D6F">
            <w:pPr>
              <w:autoSpaceDE w:val="0"/>
              <w:autoSpaceDN w:val="0"/>
              <w:adjustRightInd w:val="0"/>
              <w:ind w:right="10"/>
              <w:rPr>
                <w:rFonts w:ascii="Times New Roman" w:hAnsi="Times New Roman" w:cs="Times New Roman"/>
                <w:color w:val="000000"/>
                <w:sz w:val="16"/>
                <w:szCs w:val="16"/>
                <w:lang w:val="en-GB"/>
              </w:rPr>
            </w:pPr>
            <w:r w:rsidRPr="00102A70">
              <w:rPr>
                <w:rFonts w:ascii="Times New Roman" w:hAnsi="Times New Roman" w:cs="Times New Roman"/>
                <w:color w:val="000000"/>
                <w:sz w:val="16"/>
                <w:szCs w:val="16"/>
                <w:lang w:val="en-GB"/>
              </w:rPr>
              <w:t>-2.36**</w:t>
            </w:r>
          </w:p>
        </w:tc>
      </w:tr>
      <w:tr w:rsidR="00B75F05" w:rsidRPr="00102A70" w14:paraId="45B29C71" w14:textId="77777777" w:rsidTr="00C21D6F">
        <w:tc>
          <w:tcPr>
            <w:tcW w:w="1186" w:type="dxa"/>
          </w:tcPr>
          <w:p w14:paraId="1FD675F4" w14:textId="77777777" w:rsidR="00B75F05" w:rsidRPr="00102A70" w:rsidRDefault="00B75F05" w:rsidP="00C21D6F">
            <w:pPr>
              <w:spacing w:line="480" w:lineRule="auto"/>
              <w:contextualSpacing/>
              <w:rPr>
                <w:rFonts w:ascii="Times New Roman" w:hAnsi="Times New Roman" w:cs="Times New Roman"/>
                <w:sz w:val="16"/>
                <w:szCs w:val="16"/>
              </w:rPr>
            </w:pPr>
            <w:r w:rsidRPr="00102A70">
              <w:rPr>
                <w:rFonts w:ascii="Times New Roman" w:hAnsi="Times New Roman" w:cs="Times New Roman"/>
                <w:sz w:val="16"/>
                <w:szCs w:val="16"/>
              </w:rPr>
              <w:t>LQ</w:t>
            </w:r>
          </w:p>
        </w:tc>
        <w:tc>
          <w:tcPr>
            <w:tcW w:w="973" w:type="dxa"/>
            <w:vAlign w:val="bottom"/>
          </w:tcPr>
          <w:p w14:paraId="0177DBD3" w14:textId="77777777" w:rsidR="00B75F05" w:rsidRPr="00102A70" w:rsidRDefault="00B75F05" w:rsidP="00C21D6F">
            <w:pPr>
              <w:autoSpaceDE w:val="0"/>
              <w:autoSpaceDN w:val="0"/>
              <w:adjustRightInd w:val="0"/>
              <w:ind w:right="10"/>
              <w:rPr>
                <w:rFonts w:ascii="Times New Roman" w:hAnsi="Times New Roman" w:cs="Times New Roman"/>
                <w:color w:val="000000"/>
                <w:sz w:val="16"/>
                <w:szCs w:val="16"/>
                <w:lang w:val="en-GB"/>
              </w:rPr>
            </w:pPr>
            <w:r w:rsidRPr="00102A70">
              <w:rPr>
                <w:rFonts w:ascii="Times New Roman" w:hAnsi="Times New Roman" w:cs="Times New Roman"/>
                <w:color w:val="000000"/>
                <w:sz w:val="16"/>
                <w:szCs w:val="16"/>
                <w:lang w:val="en-GB"/>
              </w:rPr>
              <w:t>-0.02</w:t>
            </w:r>
          </w:p>
        </w:tc>
        <w:tc>
          <w:tcPr>
            <w:tcW w:w="974" w:type="dxa"/>
            <w:vAlign w:val="bottom"/>
          </w:tcPr>
          <w:p w14:paraId="6E38E5E2" w14:textId="77777777" w:rsidR="00B75F05" w:rsidRPr="00102A70" w:rsidRDefault="00B75F05" w:rsidP="00C21D6F">
            <w:pPr>
              <w:autoSpaceDE w:val="0"/>
              <w:autoSpaceDN w:val="0"/>
              <w:adjustRightInd w:val="0"/>
              <w:ind w:right="10"/>
              <w:rPr>
                <w:rFonts w:ascii="Times New Roman" w:hAnsi="Times New Roman" w:cs="Times New Roman"/>
                <w:color w:val="000000"/>
                <w:sz w:val="16"/>
                <w:szCs w:val="16"/>
                <w:lang w:val="en-GB"/>
              </w:rPr>
            </w:pPr>
            <w:r w:rsidRPr="00102A70">
              <w:rPr>
                <w:rFonts w:ascii="Times New Roman" w:hAnsi="Times New Roman" w:cs="Times New Roman"/>
                <w:color w:val="000000"/>
                <w:sz w:val="16"/>
                <w:szCs w:val="16"/>
                <w:lang w:val="en-GB"/>
              </w:rPr>
              <w:t>-4.05***</w:t>
            </w:r>
          </w:p>
        </w:tc>
        <w:tc>
          <w:tcPr>
            <w:tcW w:w="950" w:type="dxa"/>
            <w:vAlign w:val="bottom"/>
          </w:tcPr>
          <w:p w14:paraId="17D80874" w14:textId="77777777" w:rsidR="00B75F05" w:rsidRPr="00102A70" w:rsidRDefault="00B75F05" w:rsidP="00C21D6F">
            <w:pPr>
              <w:autoSpaceDE w:val="0"/>
              <w:autoSpaceDN w:val="0"/>
              <w:adjustRightInd w:val="0"/>
              <w:ind w:right="10"/>
              <w:rPr>
                <w:rFonts w:ascii="Times New Roman" w:hAnsi="Times New Roman" w:cs="Times New Roman"/>
                <w:color w:val="000000"/>
                <w:sz w:val="16"/>
                <w:szCs w:val="16"/>
                <w:lang w:val="en-GB"/>
              </w:rPr>
            </w:pPr>
            <w:r w:rsidRPr="00102A70">
              <w:rPr>
                <w:rFonts w:ascii="Times New Roman" w:hAnsi="Times New Roman" w:cs="Times New Roman"/>
                <w:color w:val="000000"/>
                <w:sz w:val="16"/>
                <w:szCs w:val="16"/>
                <w:lang w:val="en-GB"/>
              </w:rPr>
              <w:t>-0.01</w:t>
            </w:r>
          </w:p>
        </w:tc>
        <w:tc>
          <w:tcPr>
            <w:tcW w:w="960" w:type="dxa"/>
            <w:vAlign w:val="bottom"/>
          </w:tcPr>
          <w:p w14:paraId="55C8FC6B" w14:textId="77777777" w:rsidR="00B75F05" w:rsidRPr="00102A70" w:rsidRDefault="00B75F05" w:rsidP="00C21D6F">
            <w:pPr>
              <w:autoSpaceDE w:val="0"/>
              <w:autoSpaceDN w:val="0"/>
              <w:adjustRightInd w:val="0"/>
              <w:ind w:right="10"/>
              <w:rPr>
                <w:rFonts w:ascii="Times New Roman" w:hAnsi="Times New Roman" w:cs="Times New Roman"/>
                <w:color w:val="000000"/>
                <w:sz w:val="16"/>
                <w:szCs w:val="16"/>
                <w:lang w:val="en-GB"/>
              </w:rPr>
            </w:pPr>
            <w:r w:rsidRPr="00102A70">
              <w:rPr>
                <w:rFonts w:ascii="Times New Roman" w:hAnsi="Times New Roman" w:cs="Times New Roman"/>
                <w:color w:val="000000"/>
                <w:sz w:val="16"/>
                <w:szCs w:val="16"/>
                <w:lang w:val="en-GB"/>
              </w:rPr>
              <w:t>-2.09**</w:t>
            </w:r>
          </w:p>
        </w:tc>
        <w:tc>
          <w:tcPr>
            <w:tcW w:w="957" w:type="dxa"/>
            <w:vAlign w:val="bottom"/>
          </w:tcPr>
          <w:p w14:paraId="1A886A24" w14:textId="77777777" w:rsidR="00B75F05" w:rsidRPr="00102A70" w:rsidRDefault="00B75F05" w:rsidP="00C21D6F">
            <w:pPr>
              <w:autoSpaceDE w:val="0"/>
              <w:autoSpaceDN w:val="0"/>
              <w:adjustRightInd w:val="0"/>
              <w:ind w:right="10"/>
              <w:rPr>
                <w:rFonts w:ascii="Times New Roman" w:hAnsi="Times New Roman" w:cs="Times New Roman"/>
                <w:color w:val="000000"/>
                <w:sz w:val="16"/>
                <w:szCs w:val="16"/>
                <w:lang w:val="en-GB"/>
              </w:rPr>
            </w:pPr>
            <w:r w:rsidRPr="00102A70">
              <w:rPr>
                <w:rFonts w:ascii="Times New Roman" w:hAnsi="Times New Roman" w:cs="Times New Roman"/>
                <w:color w:val="000000"/>
                <w:sz w:val="16"/>
                <w:szCs w:val="16"/>
                <w:lang w:val="en-GB"/>
              </w:rPr>
              <w:t>-0.01</w:t>
            </w:r>
          </w:p>
        </w:tc>
        <w:tc>
          <w:tcPr>
            <w:tcW w:w="1230" w:type="dxa"/>
            <w:vAlign w:val="bottom"/>
          </w:tcPr>
          <w:p w14:paraId="7E5CB5AD" w14:textId="77777777" w:rsidR="00B75F05" w:rsidRPr="00102A70" w:rsidRDefault="00B75F05" w:rsidP="00C21D6F">
            <w:pPr>
              <w:autoSpaceDE w:val="0"/>
              <w:autoSpaceDN w:val="0"/>
              <w:adjustRightInd w:val="0"/>
              <w:ind w:right="10"/>
              <w:rPr>
                <w:rFonts w:ascii="Times New Roman" w:hAnsi="Times New Roman" w:cs="Times New Roman"/>
                <w:color w:val="000000"/>
                <w:sz w:val="16"/>
                <w:szCs w:val="16"/>
                <w:lang w:val="en-GB"/>
              </w:rPr>
            </w:pPr>
            <w:r w:rsidRPr="00102A70">
              <w:rPr>
                <w:rFonts w:ascii="Times New Roman" w:hAnsi="Times New Roman" w:cs="Times New Roman"/>
                <w:color w:val="000000"/>
                <w:sz w:val="16"/>
                <w:szCs w:val="16"/>
                <w:lang w:val="en-GB"/>
              </w:rPr>
              <w:t>-1.67*</w:t>
            </w:r>
          </w:p>
        </w:tc>
      </w:tr>
      <w:tr w:rsidR="00B75F05" w:rsidRPr="00102A70" w14:paraId="4F4FC5FF" w14:textId="77777777" w:rsidTr="00C21D6F">
        <w:tc>
          <w:tcPr>
            <w:tcW w:w="1186" w:type="dxa"/>
          </w:tcPr>
          <w:p w14:paraId="702878C9" w14:textId="77777777" w:rsidR="00B75F05" w:rsidRPr="00102A70" w:rsidRDefault="00B75F05" w:rsidP="00C21D6F">
            <w:pPr>
              <w:spacing w:line="480" w:lineRule="auto"/>
              <w:contextualSpacing/>
              <w:rPr>
                <w:rFonts w:ascii="Times New Roman" w:hAnsi="Times New Roman" w:cs="Times New Roman"/>
                <w:sz w:val="16"/>
                <w:szCs w:val="16"/>
              </w:rPr>
            </w:pPr>
            <w:r w:rsidRPr="00102A70">
              <w:rPr>
                <w:rFonts w:ascii="Times New Roman" w:hAnsi="Times New Roman" w:cs="Times New Roman"/>
                <w:sz w:val="16"/>
                <w:szCs w:val="16"/>
              </w:rPr>
              <w:t>MP</w:t>
            </w:r>
          </w:p>
        </w:tc>
        <w:tc>
          <w:tcPr>
            <w:tcW w:w="973" w:type="dxa"/>
            <w:vAlign w:val="bottom"/>
          </w:tcPr>
          <w:p w14:paraId="5BAE99C6" w14:textId="77777777" w:rsidR="00B75F05" w:rsidRPr="00102A70" w:rsidRDefault="00B75F05" w:rsidP="00C21D6F">
            <w:pPr>
              <w:autoSpaceDE w:val="0"/>
              <w:autoSpaceDN w:val="0"/>
              <w:adjustRightInd w:val="0"/>
              <w:ind w:right="10"/>
              <w:rPr>
                <w:rFonts w:ascii="Times New Roman" w:hAnsi="Times New Roman" w:cs="Times New Roman"/>
                <w:color w:val="000000"/>
                <w:sz w:val="16"/>
                <w:szCs w:val="16"/>
                <w:lang w:val="en-GB"/>
              </w:rPr>
            </w:pPr>
            <w:r w:rsidRPr="00102A70">
              <w:rPr>
                <w:rFonts w:ascii="Times New Roman" w:hAnsi="Times New Roman" w:cs="Times New Roman"/>
                <w:color w:val="000000"/>
                <w:sz w:val="16"/>
                <w:szCs w:val="16"/>
                <w:lang w:val="en-GB"/>
              </w:rPr>
              <w:t>0.02</w:t>
            </w:r>
          </w:p>
        </w:tc>
        <w:tc>
          <w:tcPr>
            <w:tcW w:w="974" w:type="dxa"/>
            <w:vAlign w:val="bottom"/>
          </w:tcPr>
          <w:p w14:paraId="544E2A5A" w14:textId="77777777" w:rsidR="00B75F05" w:rsidRPr="00102A70" w:rsidRDefault="00B75F05" w:rsidP="00C21D6F">
            <w:pPr>
              <w:autoSpaceDE w:val="0"/>
              <w:autoSpaceDN w:val="0"/>
              <w:adjustRightInd w:val="0"/>
              <w:ind w:right="10"/>
              <w:rPr>
                <w:rFonts w:ascii="Times New Roman" w:hAnsi="Times New Roman" w:cs="Times New Roman"/>
                <w:color w:val="000000"/>
                <w:sz w:val="16"/>
                <w:szCs w:val="16"/>
                <w:lang w:val="en-GB"/>
              </w:rPr>
            </w:pPr>
            <w:r w:rsidRPr="00102A70">
              <w:rPr>
                <w:rFonts w:ascii="Times New Roman" w:hAnsi="Times New Roman" w:cs="Times New Roman"/>
                <w:color w:val="000000"/>
                <w:sz w:val="16"/>
                <w:szCs w:val="16"/>
                <w:lang w:val="en-GB"/>
              </w:rPr>
              <w:t>1.79*</w:t>
            </w:r>
          </w:p>
        </w:tc>
        <w:tc>
          <w:tcPr>
            <w:tcW w:w="950" w:type="dxa"/>
            <w:vAlign w:val="bottom"/>
          </w:tcPr>
          <w:p w14:paraId="55BBAE56" w14:textId="77777777" w:rsidR="00B75F05" w:rsidRPr="00102A70" w:rsidRDefault="00B75F05" w:rsidP="00C21D6F">
            <w:pPr>
              <w:autoSpaceDE w:val="0"/>
              <w:autoSpaceDN w:val="0"/>
              <w:adjustRightInd w:val="0"/>
              <w:ind w:right="10"/>
              <w:rPr>
                <w:rFonts w:ascii="Times New Roman" w:hAnsi="Times New Roman" w:cs="Times New Roman"/>
                <w:color w:val="000000"/>
                <w:sz w:val="16"/>
                <w:szCs w:val="16"/>
                <w:lang w:val="en-GB"/>
              </w:rPr>
            </w:pPr>
            <w:r w:rsidRPr="00102A70">
              <w:rPr>
                <w:rFonts w:ascii="Times New Roman" w:hAnsi="Times New Roman" w:cs="Times New Roman"/>
                <w:color w:val="000000"/>
                <w:sz w:val="16"/>
                <w:szCs w:val="16"/>
                <w:lang w:val="en-GB"/>
              </w:rPr>
              <w:t>-0.01</w:t>
            </w:r>
          </w:p>
        </w:tc>
        <w:tc>
          <w:tcPr>
            <w:tcW w:w="960" w:type="dxa"/>
            <w:vAlign w:val="bottom"/>
          </w:tcPr>
          <w:p w14:paraId="1C1C0BCF" w14:textId="77777777" w:rsidR="00B75F05" w:rsidRPr="00102A70" w:rsidRDefault="00B75F05" w:rsidP="00C21D6F">
            <w:pPr>
              <w:autoSpaceDE w:val="0"/>
              <w:autoSpaceDN w:val="0"/>
              <w:adjustRightInd w:val="0"/>
              <w:ind w:right="10"/>
              <w:rPr>
                <w:rFonts w:ascii="Times New Roman" w:hAnsi="Times New Roman" w:cs="Times New Roman"/>
                <w:color w:val="000000"/>
                <w:sz w:val="16"/>
                <w:szCs w:val="16"/>
                <w:lang w:val="en-GB"/>
              </w:rPr>
            </w:pPr>
            <w:r w:rsidRPr="00102A70">
              <w:rPr>
                <w:rFonts w:ascii="Times New Roman" w:hAnsi="Times New Roman" w:cs="Times New Roman"/>
                <w:color w:val="000000"/>
                <w:sz w:val="16"/>
                <w:szCs w:val="16"/>
                <w:lang w:val="en-GB"/>
              </w:rPr>
              <w:t>-0.57</w:t>
            </w:r>
          </w:p>
        </w:tc>
        <w:tc>
          <w:tcPr>
            <w:tcW w:w="957" w:type="dxa"/>
            <w:vAlign w:val="bottom"/>
          </w:tcPr>
          <w:p w14:paraId="7AFDD39F" w14:textId="77777777" w:rsidR="00B75F05" w:rsidRPr="00102A70" w:rsidRDefault="00B75F05" w:rsidP="00C21D6F">
            <w:pPr>
              <w:autoSpaceDE w:val="0"/>
              <w:autoSpaceDN w:val="0"/>
              <w:adjustRightInd w:val="0"/>
              <w:ind w:right="10"/>
              <w:rPr>
                <w:rFonts w:ascii="Times New Roman" w:hAnsi="Times New Roman" w:cs="Times New Roman"/>
                <w:color w:val="000000"/>
                <w:sz w:val="16"/>
                <w:szCs w:val="16"/>
                <w:lang w:val="en-GB"/>
              </w:rPr>
            </w:pPr>
            <w:r w:rsidRPr="00102A70">
              <w:rPr>
                <w:rFonts w:ascii="Times New Roman" w:hAnsi="Times New Roman" w:cs="Times New Roman"/>
                <w:color w:val="000000"/>
                <w:sz w:val="16"/>
                <w:szCs w:val="16"/>
                <w:lang w:val="en-GB"/>
              </w:rPr>
              <w:t>-0.01</w:t>
            </w:r>
          </w:p>
        </w:tc>
        <w:tc>
          <w:tcPr>
            <w:tcW w:w="1230" w:type="dxa"/>
            <w:vAlign w:val="bottom"/>
          </w:tcPr>
          <w:p w14:paraId="76AC6947" w14:textId="77777777" w:rsidR="00B75F05" w:rsidRPr="00102A70" w:rsidRDefault="00B75F05" w:rsidP="00C21D6F">
            <w:pPr>
              <w:autoSpaceDE w:val="0"/>
              <w:autoSpaceDN w:val="0"/>
              <w:adjustRightInd w:val="0"/>
              <w:ind w:right="10"/>
              <w:rPr>
                <w:rFonts w:ascii="Times New Roman" w:hAnsi="Times New Roman" w:cs="Times New Roman"/>
                <w:color w:val="000000"/>
                <w:sz w:val="16"/>
                <w:szCs w:val="16"/>
                <w:lang w:val="en-GB"/>
              </w:rPr>
            </w:pPr>
            <w:r w:rsidRPr="00102A70">
              <w:rPr>
                <w:rFonts w:ascii="Times New Roman" w:hAnsi="Times New Roman" w:cs="Times New Roman"/>
                <w:color w:val="000000"/>
                <w:sz w:val="16"/>
                <w:szCs w:val="16"/>
                <w:lang w:val="en-GB"/>
              </w:rPr>
              <w:t>-0.22</w:t>
            </w:r>
          </w:p>
        </w:tc>
      </w:tr>
      <w:tr w:rsidR="00B75F05" w:rsidRPr="00102A70" w14:paraId="4D4B63A4" w14:textId="77777777" w:rsidTr="00C21D6F">
        <w:tc>
          <w:tcPr>
            <w:tcW w:w="1186" w:type="dxa"/>
          </w:tcPr>
          <w:p w14:paraId="426BB58F" w14:textId="77777777" w:rsidR="00B75F05" w:rsidRPr="00102A70" w:rsidRDefault="00B75F05" w:rsidP="00C21D6F">
            <w:pPr>
              <w:spacing w:line="480" w:lineRule="auto"/>
              <w:contextualSpacing/>
              <w:rPr>
                <w:rFonts w:ascii="Times New Roman" w:hAnsi="Times New Roman" w:cs="Times New Roman"/>
                <w:sz w:val="16"/>
                <w:szCs w:val="16"/>
              </w:rPr>
            </w:pPr>
            <w:r w:rsidRPr="00102A70">
              <w:rPr>
                <w:rFonts w:ascii="Times New Roman" w:hAnsi="Times New Roman" w:cs="Times New Roman"/>
                <w:sz w:val="16"/>
                <w:szCs w:val="16"/>
              </w:rPr>
              <w:t>ΔGDP</w:t>
            </w:r>
          </w:p>
        </w:tc>
        <w:tc>
          <w:tcPr>
            <w:tcW w:w="973" w:type="dxa"/>
            <w:vAlign w:val="bottom"/>
          </w:tcPr>
          <w:p w14:paraId="3920F455" w14:textId="77777777" w:rsidR="00B75F05" w:rsidRPr="00102A70" w:rsidRDefault="00B75F05" w:rsidP="00C21D6F">
            <w:pPr>
              <w:autoSpaceDE w:val="0"/>
              <w:autoSpaceDN w:val="0"/>
              <w:adjustRightInd w:val="0"/>
              <w:ind w:right="10"/>
              <w:rPr>
                <w:rFonts w:ascii="Times New Roman" w:hAnsi="Times New Roman" w:cs="Times New Roman"/>
                <w:color w:val="000000"/>
                <w:sz w:val="16"/>
                <w:szCs w:val="16"/>
                <w:lang w:val="en-GB"/>
              </w:rPr>
            </w:pPr>
            <w:r w:rsidRPr="00102A70">
              <w:rPr>
                <w:rFonts w:ascii="Times New Roman" w:hAnsi="Times New Roman" w:cs="Times New Roman"/>
                <w:color w:val="000000"/>
                <w:sz w:val="16"/>
                <w:szCs w:val="16"/>
                <w:lang w:val="en-GB"/>
              </w:rPr>
              <w:t>4.65</w:t>
            </w:r>
          </w:p>
        </w:tc>
        <w:tc>
          <w:tcPr>
            <w:tcW w:w="974" w:type="dxa"/>
            <w:vAlign w:val="bottom"/>
          </w:tcPr>
          <w:p w14:paraId="404A425C" w14:textId="77777777" w:rsidR="00B75F05" w:rsidRPr="00102A70" w:rsidRDefault="00B75F05" w:rsidP="00C21D6F">
            <w:pPr>
              <w:autoSpaceDE w:val="0"/>
              <w:autoSpaceDN w:val="0"/>
              <w:adjustRightInd w:val="0"/>
              <w:ind w:right="10"/>
              <w:rPr>
                <w:rFonts w:ascii="Times New Roman" w:hAnsi="Times New Roman" w:cs="Times New Roman"/>
                <w:color w:val="000000"/>
                <w:sz w:val="16"/>
                <w:szCs w:val="16"/>
                <w:lang w:val="en-GB"/>
              </w:rPr>
            </w:pPr>
            <w:r w:rsidRPr="00102A70">
              <w:rPr>
                <w:rFonts w:ascii="Times New Roman" w:hAnsi="Times New Roman" w:cs="Times New Roman"/>
                <w:color w:val="000000"/>
                <w:sz w:val="16"/>
                <w:szCs w:val="16"/>
                <w:lang w:val="en-GB"/>
              </w:rPr>
              <w:t>1.00</w:t>
            </w:r>
          </w:p>
        </w:tc>
        <w:tc>
          <w:tcPr>
            <w:tcW w:w="950" w:type="dxa"/>
            <w:vAlign w:val="bottom"/>
          </w:tcPr>
          <w:p w14:paraId="7BE0A952" w14:textId="77777777" w:rsidR="00B75F05" w:rsidRPr="00102A70" w:rsidRDefault="00B75F05" w:rsidP="00C21D6F">
            <w:pPr>
              <w:autoSpaceDE w:val="0"/>
              <w:autoSpaceDN w:val="0"/>
              <w:adjustRightInd w:val="0"/>
              <w:ind w:right="10"/>
              <w:rPr>
                <w:rFonts w:ascii="Times New Roman" w:hAnsi="Times New Roman" w:cs="Times New Roman"/>
                <w:color w:val="000000"/>
                <w:sz w:val="16"/>
                <w:szCs w:val="16"/>
                <w:lang w:val="en-GB"/>
              </w:rPr>
            </w:pPr>
            <w:r w:rsidRPr="00102A70">
              <w:rPr>
                <w:rFonts w:ascii="Times New Roman" w:hAnsi="Times New Roman" w:cs="Times New Roman"/>
                <w:color w:val="000000"/>
                <w:sz w:val="16"/>
                <w:szCs w:val="16"/>
                <w:lang w:val="en-GB"/>
              </w:rPr>
              <w:t>-9.19</w:t>
            </w:r>
          </w:p>
        </w:tc>
        <w:tc>
          <w:tcPr>
            <w:tcW w:w="960" w:type="dxa"/>
            <w:vAlign w:val="bottom"/>
          </w:tcPr>
          <w:p w14:paraId="74CCB030" w14:textId="77777777" w:rsidR="00B75F05" w:rsidRPr="00102A70" w:rsidRDefault="00B75F05" w:rsidP="00C21D6F">
            <w:pPr>
              <w:autoSpaceDE w:val="0"/>
              <w:autoSpaceDN w:val="0"/>
              <w:adjustRightInd w:val="0"/>
              <w:ind w:right="10"/>
              <w:rPr>
                <w:rFonts w:ascii="Times New Roman" w:hAnsi="Times New Roman" w:cs="Times New Roman"/>
                <w:color w:val="000000"/>
                <w:sz w:val="16"/>
                <w:szCs w:val="16"/>
                <w:lang w:val="en-GB"/>
              </w:rPr>
            </w:pPr>
            <w:r w:rsidRPr="00102A70">
              <w:rPr>
                <w:rFonts w:ascii="Times New Roman" w:hAnsi="Times New Roman" w:cs="Times New Roman"/>
                <w:color w:val="000000"/>
                <w:sz w:val="16"/>
                <w:szCs w:val="16"/>
                <w:lang w:val="en-GB"/>
              </w:rPr>
              <w:t>-1.02</w:t>
            </w:r>
          </w:p>
        </w:tc>
        <w:tc>
          <w:tcPr>
            <w:tcW w:w="957" w:type="dxa"/>
            <w:vAlign w:val="bottom"/>
          </w:tcPr>
          <w:p w14:paraId="6B9015F3" w14:textId="77777777" w:rsidR="00B75F05" w:rsidRPr="00102A70" w:rsidRDefault="00B75F05" w:rsidP="00C21D6F">
            <w:pPr>
              <w:autoSpaceDE w:val="0"/>
              <w:autoSpaceDN w:val="0"/>
              <w:adjustRightInd w:val="0"/>
              <w:ind w:right="10"/>
              <w:rPr>
                <w:rFonts w:ascii="Times New Roman" w:hAnsi="Times New Roman" w:cs="Times New Roman"/>
                <w:color w:val="000000"/>
                <w:sz w:val="16"/>
                <w:szCs w:val="16"/>
                <w:lang w:val="en-GB"/>
              </w:rPr>
            </w:pPr>
            <w:r w:rsidRPr="00102A70">
              <w:rPr>
                <w:rFonts w:ascii="Times New Roman" w:hAnsi="Times New Roman" w:cs="Times New Roman"/>
                <w:color w:val="000000"/>
                <w:sz w:val="16"/>
                <w:szCs w:val="16"/>
                <w:lang w:val="en-GB"/>
              </w:rPr>
              <w:t>3.52</w:t>
            </w:r>
          </w:p>
        </w:tc>
        <w:tc>
          <w:tcPr>
            <w:tcW w:w="1230" w:type="dxa"/>
            <w:vAlign w:val="bottom"/>
          </w:tcPr>
          <w:p w14:paraId="11A6F681" w14:textId="77777777" w:rsidR="00B75F05" w:rsidRPr="00102A70" w:rsidRDefault="00B75F05" w:rsidP="00C21D6F">
            <w:pPr>
              <w:autoSpaceDE w:val="0"/>
              <w:autoSpaceDN w:val="0"/>
              <w:adjustRightInd w:val="0"/>
              <w:ind w:right="10"/>
              <w:rPr>
                <w:rFonts w:ascii="Times New Roman" w:hAnsi="Times New Roman" w:cs="Times New Roman"/>
                <w:color w:val="000000"/>
                <w:sz w:val="16"/>
                <w:szCs w:val="16"/>
                <w:lang w:val="en-GB"/>
              </w:rPr>
            </w:pPr>
            <w:r w:rsidRPr="00102A70">
              <w:rPr>
                <w:rFonts w:ascii="Times New Roman" w:hAnsi="Times New Roman" w:cs="Times New Roman"/>
                <w:color w:val="000000"/>
                <w:sz w:val="16"/>
                <w:szCs w:val="16"/>
                <w:lang w:val="en-GB"/>
              </w:rPr>
              <w:t>0.77</w:t>
            </w:r>
          </w:p>
        </w:tc>
      </w:tr>
      <w:tr w:rsidR="00B75F05" w:rsidRPr="00102A70" w14:paraId="58FE386B" w14:textId="77777777" w:rsidTr="00C21D6F">
        <w:tc>
          <w:tcPr>
            <w:tcW w:w="1186" w:type="dxa"/>
          </w:tcPr>
          <w:p w14:paraId="603A6DEE" w14:textId="77777777" w:rsidR="00B75F05" w:rsidRPr="00102A70" w:rsidRDefault="00B75F05" w:rsidP="00C21D6F">
            <w:pPr>
              <w:spacing w:line="480" w:lineRule="auto"/>
              <w:contextualSpacing/>
              <w:rPr>
                <w:rFonts w:ascii="Times New Roman" w:hAnsi="Times New Roman" w:cs="Times New Roman"/>
                <w:sz w:val="16"/>
                <w:szCs w:val="16"/>
              </w:rPr>
            </w:pPr>
            <w:r w:rsidRPr="00102A70">
              <w:rPr>
                <w:rFonts w:ascii="Times New Roman" w:hAnsi="Times New Roman" w:cs="Times New Roman"/>
                <w:sz w:val="16"/>
                <w:szCs w:val="16"/>
              </w:rPr>
              <w:t>INF</w:t>
            </w:r>
          </w:p>
        </w:tc>
        <w:tc>
          <w:tcPr>
            <w:tcW w:w="973" w:type="dxa"/>
            <w:vAlign w:val="bottom"/>
          </w:tcPr>
          <w:p w14:paraId="3C983E1E" w14:textId="77777777" w:rsidR="00B75F05" w:rsidRPr="00102A70" w:rsidRDefault="00B75F05" w:rsidP="00C21D6F">
            <w:pPr>
              <w:autoSpaceDE w:val="0"/>
              <w:autoSpaceDN w:val="0"/>
              <w:adjustRightInd w:val="0"/>
              <w:ind w:right="10"/>
              <w:rPr>
                <w:rFonts w:ascii="Times New Roman" w:hAnsi="Times New Roman" w:cs="Times New Roman"/>
                <w:color w:val="000000"/>
                <w:sz w:val="16"/>
                <w:szCs w:val="16"/>
                <w:lang w:val="en-GB"/>
              </w:rPr>
            </w:pPr>
            <w:r w:rsidRPr="00102A70">
              <w:rPr>
                <w:rFonts w:ascii="Times New Roman" w:hAnsi="Times New Roman" w:cs="Times New Roman"/>
                <w:color w:val="000000"/>
                <w:sz w:val="16"/>
                <w:szCs w:val="16"/>
                <w:lang w:val="en-GB"/>
              </w:rPr>
              <w:t>-0.01</w:t>
            </w:r>
          </w:p>
        </w:tc>
        <w:tc>
          <w:tcPr>
            <w:tcW w:w="974" w:type="dxa"/>
            <w:vAlign w:val="bottom"/>
          </w:tcPr>
          <w:p w14:paraId="3793EC00" w14:textId="77777777" w:rsidR="00B75F05" w:rsidRPr="00102A70" w:rsidRDefault="00B75F05" w:rsidP="00C21D6F">
            <w:pPr>
              <w:autoSpaceDE w:val="0"/>
              <w:autoSpaceDN w:val="0"/>
              <w:adjustRightInd w:val="0"/>
              <w:ind w:right="10"/>
              <w:rPr>
                <w:rFonts w:ascii="Times New Roman" w:hAnsi="Times New Roman" w:cs="Times New Roman"/>
                <w:color w:val="000000"/>
                <w:sz w:val="16"/>
                <w:szCs w:val="16"/>
                <w:lang w:val="en-GB"/>
              </w:rPr>
            </w:pPr>
            <w:r w:rsidRPr="00102A70">
              <w:rPr>
                <w:rFonts w:ascii="Times New Roman" w:hAnsi="Times New Roman" w:cs="Times New Roman"/>
                <w:color w:val="000000"/>
                <w:sz w:val="16"/>
                <w:szCs w:val="16"/>
                <w:lang w:val="en-GB"/>
              </w:rPr>
              <w:t>-0.44</w:t>
            </w:r>
          </w:p>
        </w:tc>
        <w:tc>
          <w:tcPr>
            <w:tcW w:w="950" w:type="dxa"/>
            <w:vAlign w:val="bottom"/>
          </w:tcPr>
          <w:p w14:paraId="40D19371" w14:textId="77777777" w:rsidR="00B75F05" w:rsidRPr="00102A70" w:rsidRDefault="00B75F05" w:rsidP="00C21D6F">
            <w:pPr>
              <w:autoSpaceDE w:val="0"/>
              <w:autoSpaceDN w:val="0"/>
              <w:adjustRightInd w:val="0"/>
              <w:ind w:right="10"/>
              <w:rPr>
                <w:rFonts w:ascii="Times New Roman" w:hAnsi="Times New Roman" w:cs="Times New Roman"/>
                <w:color w:val="000000"/>
                <w:sz w:val="16"/>
                <w:szCs w:val="16"/>
                <w:lang w:val="en-GB"/>
              </w:rPr>
            </w:pPr>
            <w:r w:rsidRPr="00102A70">
              <w:rPr>
                <w:rFonts w:ascii="Times New Roman" w:hAnsi="Times New Roman" w:cs="Times New Roman"/>
                <w:color w:val="000000"/>
                <w:sz w:val="16"/>
                <w:szCs w:val="16"/>
                <w:lang w:val="en-GB"/>
              </w:rPr>
              <w:t>0.03</w:t>
            </w:r>
          </w:p>
        </w:tc>
        <w:tc>
          <w:tcPr>
            <w:tcW w:w="960" w:type="dxa"/>
            <w:vAlign w:val="bottom"/>
          </w:tcPr>
          <w:p w14:paraId="43122EEA" w14:textId="77777777" w:rsidR="00B75F05" w:rsidRPr="00102A70" w:rsidRDefault="00B75F05" w:rsidP="00C21D6F">
            <w:pPr>
              <w:autoSpaceDE w:val="0"/>
              <w:autoSpaceDN w:val="0"/>
              <w:adjustRightInd w:val="0"/>
              <w:ind w:right="10"/>
              <w:rPr>
                <w:rFonts w:ascii="Times New Roman" w:hAnsi="Times New Roman" w:cs="Times New Roman"/>
                <w:color w:val="000000"/>
                <w:sz w:val="16"/>
                <w:szCs w:val="16"/>
                <w:lang w:val="en-GB"/>
              </w:rPr>
            </w:pPr>
            <w:r w:rsidRPr="00102A70">
              <w:rPr>
                <w:rFonts w:ascii="Times New Roman" w:hAnsi="Times New Roman" w:cs="Times New Roman"/>
                <w:color w:val="000000"/>
                <w:sz w:val="16"/>
                <w:szCs w:val="16"/>
                <w:lang w:val="en-GB"/>
              </w:rPr>
              <w:t>0.55</w:t>
            </w:r>
          </w:p>
        </w:tc>
        <w:tc>
          <w:tcPr>
            <w:tcW w:w="957" w:type="dxa"/>
            <w:vAlign w:val="bottom"/>
          </w:tcPr>
          <w:p w14:paraId="2B9EB12F" w14:textId="77777777" w:rsidR="00B75F05" w:rsidRPr="00102A70" w:rsidRDefault="00B75F05" w:rsidP="00C21D6F">
            <w:pPr>
              <w:autoSpaceDE w:val="0"/>
              <w:autoSpaceDN w:val="0"/>
              <w:adjustRightInd w:val="0"/>
              <w:ind w:right="10"/>
              <w:rPr>
                <w:rFonts w:ascii="Times New Roman" w:hAnsi="Times New Roman" w:cs="Times New Roman"/>
                <w:color w:val="000000"/>
                <w:sz w:val="16"/>
                <w:szCs w:val="16"/>
                <w:lang w:val="en-GB"/>
              </w:rPr>
            </w:pPr>
            <w:r w:rsidRPr="00102A70">
              <w:rPr>
                <w:rFonts w:ascii="Times New Roman" w:hAnsi="Times New Roman" w:cs="Times New Roman"/>
                <w:color w:val="000000"/>
                <w:sz w:val="16"/>
                <w:szCs w:val="16"/>
                <w:lang w:val="en-GB"/>
              </w:rPr>
              <w:t>0.02</w:t>
            </w:r>
          </w:p>
        </w:tc>
        <w:tc>
          <w:tcPr>
            <w:tcW w:w="1230" w:type="dxa"/>
            <w:vAlign w:val="bottom"/>
          </w:tcPr>
          <w:p w14:paraId="02001A51" w14:textId="77777777" w:rsidR="00B75F05" w:rsidRPr="00102A70" w:rsidRDefault="00B75F05" w:rsidP="00C21D6F">
            <w:pPr>
              <w:autoSpaceDE w:val="0"/>
              <w:autoSpaceDN w:val="0"/>
              <w:adjustRightInd w:val="0"/>
              <w:ind w:right="10"/>
              <w:rPr>
                <w:rFonts w:ascii="Times New Roman" w:hAnsi="Times New Roman" w:cs="Times New Roman"/>
                <w:color w:val="000000"/>
                <w:sz w:val="16"/>
                <w:szCs w:val="16"/>
                <w:lang w:val="en-GB"/>
              </w:rPr>
            </w:pPr>
            <w:r w:rsidRPr="00102A70">
              <w:rPr>
                <w:rFonts w:ascii="Times New Roman" w:hAnsi="Times New Roman" w:cs="Times New Roman"/>
                <w:color w:val="000000"/>
                <w:sz w:val="16"/>
                <w:szCs w:val="16"/>
                <w:lang w:val="en-GB"/>
              </w:rPr>
              <w:t>1.08</w:t>
            </w:r>
          </w:p>
        </w:tc>
      </w:tr>
      <w:tr w:rsidR="00B75F05" w:rsidRPr="00102A70" w14:paraId="6ED57998" w14:textId="77777777" w:rsidTr="00C21D6F">
        <w:tc>
          <w:tcPr>
            <w:tcW w:w="1186" w:type="dxa"/>
          </w:tcPr>
          <w:p w14:paraId="2BC7340C" w14:textId="77777777" w:rsidR="00B75F05" w:rsidRPr="00102A70" w:rsidRDefault="00B75F05" w:rsidP="00C21D6F">
            <w:pPr>
              <w:spacing w:line="480" w:lineRule="auto"/>
              <w:contextualSpacing/>
              <w:rPr>
                <w:rFonts w:ascii="Times New Roman" w:hAnsi="Times New Roman" w:cs="Times New Roman"/>
                <w:sz w:val="16"/>
                <w:szCs w:val="16"/>
              </w:rPr>
            </w:pPr>
            <w:r w:rsidRPr="00102A70">
              <w:rPr>
                <w:rFonts w:ascii="Times New Roman" w:hAnsi="Times New Roman" w:cs="Times New Roman"/>
                <w:sz w:val="16"/>
                <w:szCs w:val="16"/>
              </w:rPr>
              <w:t>Cont</w:t>
            </w:r>
          </w:p>
        </w:tc>
        <w:tc>
          <w:tcPr>
            <w:tcW w:w="973" w:type="dxa"/>
          </w:tcPr>
          <w:p w14:paraId="14246C4E" w14:textId="77777777" w:rsidR="00B75F05" w:rsidRPr="00102A70" w:rsidRDefault="00B75F05" w:rsidP="00C21D6F">
            <w:pPr>
              <w:contextualSpacing/>
              <w:rPr>
                <w:rFonts w:ascii="Times New Roman" w:hAnsi="Times New Roman" w:cs="Times New Roman"/>
                <w:sz w:val="16"/>
                <w:szCs w:val="16"/>
              </w:rPr>
            </w:pPr>
            <w:r w:rsidRPr="00102A70">
              <w:rPr>
                <w:rFonts w:ascii="Times New Roman" w:hAnsi="Times New Roman" w:cs="Times New Roman"/>
                <w:sz w:val="16"/>
                <w:szCs w:val="16"/>
              </w:rPr>
              <w:t>-15.12</w:t>
            </w:r>
          </w:p>
        </w:tc>
        <w:tc>
          <w:tcPr>
            <w:tcW w:w="974" w:type="dxa"/>
          </w:tcPr>
          <w:p w14:paraId="545BABCD" w14:textId="77777777" w:rsidR="00B75F05" w:rsidRPr="00102A70" w:rsidRDefault="00B75F05" w:rsidP="00C21D6F">
            <w:pPr>
              <w:contextualSpacing/>
              <w:rPr>
                <w:rFonts w:ascii="Times New Roman" w:hAnsi="Times New Roman" w:cs="Times New Roman"/>
                <w:sz w:val="16"/>
                <w:szCs w:val="16"/>
              </w:rPr>
            </w:pPr>
            <w:r w:rsidRPr="00102A70">
              <w:rPr>
                <w:rFonts w:ascii="Times New Roman" w:hAnsi="Times New Roman" w:cs="Times New Roman"/>
                <w:sz w:val="16"/>
                <w:szCs w:val="16"/>
              </w:rPr>
              <w:t>-1.14</w:t>
            </w:r>
          </w:p>
        </w:tc>
        <w:tc>
          <w:tcPr>
            <w:tcW w:w="950" w:type="dxa"/>
          </w:tcPr>
          <w:p w14:paraId="5BDAAB8A" w14:textId="77777777" w:rsidR="00B75F05" w:rsidRPr="00102A70" w:rsidRDefault="00B75F05" w:rsidP="00C21D6F">
            <w:pPr>
              <w:contextualSpacing/>
              <w:rPr>
                <w:rFonts w:ascii="Times New Roman" w:hAnsi="Times New Roman" w:cs="Times New Roman"/>
                <w:sz w:val="16"/>
                <w:szCs w:val="16"/>
              </w:rPr>
            </w:pPr>
            <w:r w:rsidRPr="00102A70">
              <w:rPr>
                <w:rFonts w:ascii="Times New Roman" w:hAnsi="Times New Roman" w:cs="Times New Roman"/>
                <w:sz w:val="16"/>
                <w:szCs w:val="16"/>
              </w:rPr>
              <w:t>26.38</w:t>
            </w:r>
          </w:p>
        </w:tc>
        <w:tc>
          <w:tcPr>
            <w:tcW w:w="960" w:type="dxa"/>
          </w:tcPr>
          <w:p w14:paraId="6EF3C5B1" w14:textId="77777777" w:rsidR="00B75F05" w:rsidRPr="00102A70" w:rsidRDefault="00B75F05" w:rsidP="00C21D6F">
            <w:pPr>
              <w:contextualSpacing/>
              <w:rPr>
                <w:rFonts w:ascii="Times New Roman" w:hAnsi="Times New Roman" w:cs="Times New Roman"/>
                <w:sz w:val="16"/>
                <w:szCs w:val="16"/>
              </w:rPr>
            </w:pPr>
            <w:r w:rsidRPr="00102A70">
              <w:rPr>
                <w:rFonts w:ascii="Times New Roman" w:hAnsi="Times New Roman" w:cs="Times New Roman"/>
                <w:sz w:val="16"/>
                <w:szCs w:val="16"/>
              </w:rPr>
              <w:t>1.01</w:t>
            </w:r>
          </w:p>
        </w:tc>
        <w:tc>
          <w:tcPr>
            <w:tcW w:w="957" w:type="dxa"/>
          </w:tcPr>
          <w:p w14:paraId="18F3FB1C" w14:textId="77777777" w:rsidR="00B75F05" w:rsidRPr="00102A70" w:rsidRDefault="00B75F05" w:rsidP="00C21D6F">
            <w:pPr>
              <w:contextualSpacing/>
              <w:rPr>
                <w:rFonts w:ascii="Times New Roman" w:hAnsi="Times New Roman" w:cs="Times New Roman"/>
                <w:sz w:val="16"/>
                <w:szCs w:val="16"/>
              </w:rPr>
            </w:pPr>
            <w:r w:rsidRPr="00102A70">
              <w:rPr>
                <w:rFonts w:ascii="Times New Roman" w:hAnsi="Times New Roman" w:cs="Times New Roman"/>
                <w:sz w:val="16"/>
                <w:szCs w:val="16"/>
              </w:rPr>
              <w:t>-10.96</w:t>
            </w:r>
          </w:p>
        </w:tc>
        <w:tc>
          <w:tcPr>
            <w:tcW w:w="1230" w:type="dxa"/>
          </w:tcPr>
          <w:p w14:paraId="62F5128C" w14:textId="77777777" w:rsidR="00B75F05" w:rsidRPr="00102A70" w:rsidRDefault="00B75F05" w:rsidP="00C21D6F">
            <w:pPr>
              <w:contextualSpacing/>
              <w:rPr>
                <w:rFonts w:ascii="Times New Roman" w:hAnsi="Times New Roman" w:cs="Times New Roman"/>
                <w:sz w:val="16"/>
                <w:szCs w:val="16"/>
              </w:rPr>
            </w:pPr>
            <w:r w:rsidRPr="00102A70">
              <w:rPr>
                <w:rFonts w:ascii="Times New Roman" w:hAnsi="Times New Roman" w:cs="Times New Roman"/>
                <w:sz w:val="16"/>
                <w:szCs w:val="16"/>
              </w:rPr>
              <w:t>-0.81</w:t>
            </w:r>
          </w:p>
        </w:tc>
      </w:tr>
      <w:tr w:rsidR="00B75F05" w:rsidRPr="00102A70" w14:paraId="68B85C92" w14:textId="77777777" w:rsidTr="00C21D6F">
        <w:tc>
          <w:tcPr>
            <w:tcW w:w="1186" w:type="dxa"/>
          </w:tcPr>
          <w:p w14:paraId="0EA6BC46" w14:textId="77777777" w:rsidR="00B75F05" w:rsidRPr="00102A70" w:rsidRDefault="00B75F05" w:rsidP="00C21D6F">
            <w:pPr>
              <w:spacing w:line="480" w:lineRule="auto"/>
              <w:contextualSpacing/>
              <w:rPr>
                <w:rFonts w:ascii="Times New Roman" w:hAnsi="Times New Roman" w:cs="Times New Roman"/>
                <w:sz w:val="16"/>
                <w:szCs w:val="16"/>
                <w:vertAlign w:val="superscript"/>
              </w:rPr>
            </w:pPr>
            <w:r w:rsidRPr="00102A70">
              <w:rPr>
                <w:rFonts w:ascii="Times New Roman" w:hAnsi="Times New Roman" w:cs="Times New Roman"/>
                <w:sz w:val="16"/>
                <w:szCs w:val="16"/>
              </w:rPr>
              <w:t>R</w:t>
            </w:r>
            <w:r w:rsidRPr="00102A70">
              <w:rPr>
                <w:rFonts w:ascii="Times New Roman" w:hAnsi="Times New Roman" w:cs="Times New Roman"/>
                <w:sz w:val="16"/>
                <w:szCs w:val="16"/>
                <w:vertAlign w:val="superscript"/>
              </w:rPr>
              <w:t>2</w:t>
            </w:r>
          </w:p>
        </w:tc>
        <w:tc>
          <w:tcPr>
            <w:tcW w:w="973" w:type="dxa"/>
          </w:tcPr>
          <w:p w14:paraId="2D918D3E" w14:textId="77777777" w:rsidR="00B75F05" w:rsidRPr="00102A70" w:rsidRDefault="00B75F05" w:rsidP="00C21D6F">
            <w:pPr>
              <w:contextualSpacing/>
              <w:rPr>
                <w:rFonts w:ascii="Times New Roman" w:hAnsi="Times New Roman" w:cs="Times New Roman"/>
                <w:sz w:val="16"/>
                <w:szCs w:val="16"/>
              </w:rPr>
            </w:pPr>
          </w:p>
        </w:tc>
        <w:tc>
          <w:tcPr>
            <w:tcW w:w="974" w:type="dxa"/>
          </w:tcPr>
          <w:p w14:paraId="43E445C3" w14:textId="77777777" w:rsidR="00B75F05" w:rsidRPr="00102A70" w:rsidRDefault="00B75F05" w:rsidP="00C21D6F">
            <w:pPr>
              <w:contextualSpacing/>
              <w:rPr>
                <w:rFonts w:ascii="Times New Roman" w:hAnsi="Times New Roman" w:cs="Times New Roman"/>
                <w:sz w:val="16"/>
                <w:szCs w:val="16"/>
              </w:rPr>
            </w:pPr>
            <w:r w:rsidRPr="00102A70">
              <w:rPr>
                <w:rFonts w:ascii="Times New Roman" w:hAnsi="Times New Roman" w:cs="Times New Roman"/>
                <w:sz w:val="16"/>
                <w:szCs w:val="16"/>
              </w:rPr>
              <w:t>88%</w:t>
            </w:r>
          </w:p>
        </w:tc>
        <w:tc>
          <w:tcPr>
            <w:tcW w:w="950" w:type="dxa"/>
          </w:tcPr>
          <w:p w14:paraId="27551332" w14:textId="77777777" w:rsidR="00B75F05" w:rsidRPr="00102A70" w:rsidRDefault="00B75F05" w:rsidP="00C21D6F">
            <w:pPr>
              <w:contextualSpacing/>
              <w:rPr>
                <w:rFonts w:ascii="Times New Roman" w:hAnsi="Times New Roman" w:cs="Times New Roman"/>
                <w:sz w:val="16"/>
                <w:szCs w:val="16"/>
              </w:rPr>
            </w:pPr>
          </w:p>
        </w:tc>
        <w:tc>
          <w:tcPr>
            <w:tcW w:w="960" w:type="dxa"/>
          </w:tcPr>
          <w:p w14:paraId="05CE3857" w14:textId="77777777" w:rsidR="00B75F05" w:rsidRPr="00102A70" w:rsidRDefault="00B75F05" w:rsidP="00C21D6F">
            <w:pPr>
              <w:contextualSpacing/>
              <w:rPr>
                <w:rFonts w:ascii="Times New Roman" w:hAnsi="Times New Roman" w:cs="Times New Roman"/>
                <w:sz w:val="16"/>
                <w:szCs w:val="16"/>
              </w:rPr>
            </w:pPr>
            <w:r w:rsidRPr="00102A70">
              <w:rPr>
                <w:rFonts w:ascii="Times New Roman" w:hAnsi="Times New Roman" w:cs="Times New Roman"/>
                <w:sz w:val="16"/>
                <w:szCs w:val="16"/>
              </w:rPr>
              <w:t>65%</w:t>
            </w:r>
          </w:p>
        </w:tc>
        <w:tc>
          <w:tcPr>
            <w:tcW w:w="957" w:type="dxa"/>
          </w:tcPr>
          <w:p w14:paraId="5354068B" w14:textId="77777777" w:rsidR="00B75F05" w:rsidRPr="00102A70" w:rsidRDefault="00B75F05" w:rsidP="00C21D6F">
            <w:pPr>
              <w:contextualSpacing/>
              <w:rPr>
                <w:rFonts w:ascii="Times New Roman" w:hAnsi="Times New Roman" w:cs="Times New Roman"/>
                <w:sz w:val="16"/>
                <w:szCs w:val="16"/>
              </w:rPr>
            </w:pPr>
          </w:p>
        </w:tc>
        <w:tc>
          <w:tcPr>
            <w:tcW w:w="1230" w:type="dxa"/>
          </w:tcPr>
          <w:p w14:paraId="598BF164" w14:textId="77777777" w:rsidR="00B75F05" w:rsidRPr="00102A70" w:rsidRDefault="00B75F05" w:rsidP="00C21D6F">
            <w:pPr>
              <w:contextualSpacing/>
              <w:rPr>
                <w:rFonts w:ascii="Times New Roman" w:hAnsi="Times New Roman" w:cs="Times New Roman"/>
                <w:b/>
                <w:sz w:val="16"/>
                <w:szCs w:val="16"/>
              </w:rPr>
            </w:pPr>
            <w:r w:rsidRPr="00102A70">
              <w:rPr>
                <w:rFonts w:ascii="Times New Roman" w:hAnsi="Times New Roman" w:cs="Times New Roman"/>
                <w:b/>
                <w:sz w:val="16"/>
                <w:szCs w:val="16"/>
              </w:rPr>
              <w:t>83%</w:t>
            </w:r>
          </w:p>
        </w:tc>
      </w:tr>
      <w:tr w:rsidR="00B75F05" w:rsidRPr="00102A70" w14:paraId="2CB16C43" w14:textId="77777777" w:rsidTr="00C21D6F">
        <w:tc>
          <w:tcPr>
            <w:tcW w:w="1186" w:type="dxa"/>
          </w:tcPr>
          <w:p w14:paraId="03C445AD" w14:textId="77777777" w:rsidR="00B75F05" w:rsidRPr="00102A70" w:rsidRDefault="00B75F05" w:rsidP="00C21D6F">
            <w:pPr>
              <w:spacing w:line="480" w:lineRule="auto"/>
              <w:contextualSpacing/>
              <w:rPr>
                <w:rFonts w:ascii="Times New Roman" w:hAnsi="Times New Roman" w:cs="Times New Roman"/>
                <w:sz w:val="16"/>
                <w:szCs w:val="16"/>
                <w:vertAlign w:val="superscript"/>
              </w:rPr>
            </w:pPr>
            <w:r w:rsidRPr="00102A70">
              <w:rPr>
                <w:rFonts w:ascii="Times New Roman" w:hAnsi="Times New Roman" w:cs="Times New Roman"/>
                <w:sz w:val="16"/>
                <w:szCs w:val="16"/>
              </w:rPr>
              <w:t>F-stat</w:t>
            </w:r>
          </w:p>
        </w:tc>
        <w:tc>
          <w:tcPr>
            <w:tcW w:w="973" w:type="dxa"/>
          </w:tcPr>
          <w:p w14:paraId="1BB1C242" w14:textId="77777777" w:rsidR="00B75F05" w:rsidRPr="00102A70" w:rsidRDefault="00B75F05" w:rsidP="00C21D6F">
            <w:pPr>
              <w:contextualSpacing/>
              <w:rPr>
                <w:rFonts w:ascii="Times New Roman" w:hAnsi="Times New Roman" w:cs="Times New Roman"/>
                <w:sz w:val="16"/>
                <w:szCs w:val="16"/>
              </w:rPr>
            </w:pPr>
          </w:p>
        </w:tc>
        <w:tc>
          <w:tcPr>
            <w:tcW w:w="974" w:type="dxa"/>
          </w:tcPr>
          <w:p w14:paraId="0D76319A" w14:textId="77777777" w:rsidR="00B75F05" w:rsidRPr="00102A70" w:rsidRDefault="00B75F05" w:rsidP="00C21D6F">
            <w:pPr>
              <w:contextualSpacing/>
              <w:rPr>
                <w:rFonts w:ascii="Times New Roman" w:hAnsi="Times New Roman" w:cs="Times New Roman"/>
                <w:sz w:val="16"/>
                <w:szCs w:val="16"/>
              </w:rPr>
            </w:pPr>
            <w:r w:rsidRPr="00102A70">
              <w:rPr>
                <w:rFonts w:ascii="Times New Roman" w:hAnsi="Times New Roman" w:cs="Times New Roman"/>
                <w:sz w:val="16"/>
                <w:szCs w:val="16"/>
              </w:rPr>
              <w:t>21.89***</w:t>
            </w:r>
          </w:p>
        </w:tc>
        <w:tc>
          <w:tcPr>
            <w:tcW w:w="950" w:type="dxa"/>
          </w:tcPr>
          <w:p w14:paraId="0A598956" w14:textId="77777777" w:rsidR="00B75F05" w:rsidRPr="00102A70" w:rsidRDefault="00B75F05" w:rsidP="00C21D6F">
            <w:pPr>
              <w:contextualSpacing/>
              <w:rPr>
                <w:rFonts w:ascii="Times New Roman" w:hAnsi="Times New Roman" w:cs="Times New Roman"/>
                <w:sz w:val="16"/>
                <w:szCs w:val="16"/>
              </w:rPr>
            </w:pPr>
          </w:p>
        </w:tc>
        <w:tc>
          <w:tcPr>
            <w:tcW w:w="960" w:type="dxa"/>
          </w:tcPr>
          <w:p w14:paraId="27F6580C" w14:textId="77777777" w:rsidR="00B75F05" w:rsidRPr="00102A70" w:rsidRDefault="00B75F05" w:rsidP="00C21D6F">
            <w:pPr>
              <w:contextualSpacing/>
              <w:rPr>
                <w:rFonts w:ascii="Times New Roman" w:hAnsi="Times New Roman" w:cs="Times New Roman"/>
                <w:sz w:val="16"/>
                <w:szCs w:val="16"/>
              </w:rPr>
            </w:pPr>
            <w:r w:rsidRPr="00102A70">
              <w:rPr>
                <w:rFonts w:ascii="Times New Roman" w:hAnsi="Times New Roman" w:cs="Times New Roman"/>
                <w:sz w:val="16"/>
                <w:szCs w:val="16"/>
              </w:rPr>
              <w:t>6.33***</w:t>
            </w:r>
          </w:p>
        </w:tc>
        <w:tc>
          <w:tcPr>
            <w:tcW w:w="957" w:type="dxa"/>
          </w:tcPr>
          <w:p w14:paraId="309C99DB" w14:textId="77777777" w:rsidR="00B75F05" w:rsidRPr="00102A70" w:rsidRDefault="00B75F05" w:rsidP="00C21D6F">
            <w:pPr>
              <w:contextualSpacing/>
              <w:rPr>
                <w:rFonts w:ascii="Times New Roman" w:hAnsi="Times New Roman" w:cs="Times New Roman"/>
                <w:sz w:val="16"/>
                <w:szCs w:val="16"/>
              </w:rPr>
            </w:pPr>
          </w:p>
        </w:tc>
        <w:tc>
          <w:tcPr>
            <w:tcW w:w="1230" w:type="dxa"/>
          </w:tcPr>
          <w:p w14:paraId="02C723B4" w14:textId="77777777" w:rsidR="00B75F05" w:rsidRPr="00102A70" w:rsidRDefault="00B75F05" w:rsidP="00C21D6F">
            <w:pPr>
              <w:contextualSpacing/>
              <w:rPr>
                <w:rFonts w:ascii="Times New Roman" w:hAnsi="Times New Roman" w:cs="Times New Roman"/>
                <w:b/>
                <w:sz w:val="16"/>
                <w:szCs w:val="16"/>
              </w:rPr>
            </w:pPr>
            <w:r w:rsidRPr="00102A70">
              <w:rPr>
                <w:rFonts w:ascii="Times New Roman" w:hAnsi="Times New Roman" w:cs="Times New Roman"/>
                <w:b/>
                <w:sz w:val="16"/>
                <w:szCs w:val="16"/>
              </w:rPr>
              <w:t>14.76***</w:t>
            </w:r>
          </w:p>
        </w:tc>
      </w:tr>
      <w:tr w:rsidR="00B75F05" w:rsidRPr="00102A70" w14:paraId="1C800364" w14:textId="77777777" w:rsidTr="00C21D6F">
        <w:tc>
          <w:tcPr>
            <w:tcW w:w="1186" w:type="dxa"/>
          </w:tcPr>
          <w:p w14:paraId="2D92FED7" w14:textId="77777777" w:rsidR="00B75F05" w:rsidRPr="00102A70" w:rsidRDefault="00B75F05" w:rsidP="00C21D6F">
            <w:pPr>
              <w:spacing w:line="480" w:lineRule="auto"/>
              <w:contextualSpacing/>
              <w:rPr>
                <w:rFonts w:ascii="Times New Roman" w:hAnsi="Times New Roman" w:cs="Times New Roman"/>
                <w:sz w:val="16"/>
                <w:szCs w:val="16"/>
              </w:rPr>
            </w:pPr>
            <w:r w:rsidRPr="00102A70">
              <w:rPr>
                <w:rFonts w:ascii="Times New Roman" w:hAnsi="Times New Roman" w:cs="Times New Roman"/>
                <w:sz w:val="16"/>
                <w:szCs w:val="16"/>
              </w:rPr>
              <w:t>Obs</w:t>
            </w:r>
          </w:p>
        </w:tc>
        <w:tc>
          <w:tcPr>
            <w:tcW w:w="973" w:type="dxa"/>
          </w:tcPr>
          <w:p w14:paraId="7B4746EF" w14:textId="77777777" w:rsidR="00B75F05" w:rsidRPr="00102A70" w:rsidRDefault="00B75F05" w:rsidP="00C21D6F">
            <w:pPr>
              <w:contextualSpacing/>
              <w:rPr>
                <w:rFonts w:ascii="Times New Roman" w:hAnsi="Times New Roman" w:cs="Times New Roman"/>
                <w:b/>
                <w:sz w:val="16"/>
                <w:szCs w:val="16"/>
              </w:rPr>
            </w:pPr>
          </w:p>
        </w:tc>
        <w:tc>
          <w:tcPr>
            <w:tcW w:w="974" w:type="dxa"/>
          </w:tcPr>
          <w:p w14:paraId="78792DF1" w14:textId="77777777" w:rsidR="00B75F05" w:rsidRPr="00102A70" w:rsidRDefault="00B75F05" w:rsidP="00C21D6F">
            <w:pPr>
              <w:contextualSpacing/>
              <w:rPr>
                <w:rFonts w:ascii="Times New Roman" w:hAnsi="Times New Roman" w:cs="Times New Roman"/>
                <w:b/>
                <w:sz w:val="16"/>
                <w:szCs w:val="16"/>
              </w:rPr>
            </w:pPr>
            <w:r w:rsidRPr="00102A70">
              <w:rPr>
                <w:rFonts w:ascii="Times New Roman" w:hAnsi="Times New Roman" w:cs="Times New Roman"/>
                <w:b/>
                <w:sz w:val="16"/>
                <w:szCs w:val="16"/>
              </w:rPr>
              <w:t>369</w:t>
            </w:r>
          </w:p>
        </w:tc>
        <w:tc>
          <w:tcPr>
            <w:tcW w:w="950" w:type="dxa"/>
          </w:tcPr>
          <w:p w14:paraId="5BE45EC6" w14:textId="77777777" w:rsidR="00B75F05" w:rsidRPr="00102A70" w:rsidRDefault="00B75F05" w:rsidP="00C21D6F">
            <w:pPr>
              <w:contextualSpacing/>
              <w:rPr>
                <w:rFonts w:ascii="Times New Roman" w:hAnsi="Times New Roman" w:cs="Times New Roman"/>
                <w:b/>
                <w:sz w:val="16"/>
                <w:szCs w:val="16"/>
              </w:rPr>
            </w:pPr>
          </w:p>
        </w:tc>
        <w:tc>
          <w:tcPr>
            <w:tcW w:w="960" w:type="dxa"/>
          </w:tcPr>
          <w:p w14:paraId="6314C53E" w14:textId="77777777" w:rsidR="00B75F05" w:rsidRPr="00102A70" w:rsidRDefault="00B75F05" w:rsidP="00C21D6F">
            <w:pPr>
              <w:contextualSpacing/>
              <w:rPr>
                <w:rFonts w:ascii="Times New Roman" w:hAnsi="Times New Roman" w:cs="Times New Roman"/>
                <w:b/>
                <w:sz w:val="16"/>
                <w:szCs w:val="16"/>
              </w:rPr>
            </w:pPr>
            <w:r w:rsidRPr="00102A70">
              <w:rPr>
                <w:rFonts w:ascii="Times New Roman" w:hAnsi="Times New Roman" w:cs="Times New Roman"/>
                <w:b/>
                <w:sz w:val="16"/>
                <w:szCs w:val="16"/>
              </w:rPr>
              <w:t>369</w:t>
            </w:r>
          </w:p>
        </w:tc>
        <w:tc>
          <w:tcPr>
            <w:tcW w:w="957" w:type="dxa"/>
          </w:tcPr>
          <w:p w14:paraId="2EDFCA45" w14:textId="77777777" w:rsidR="00B75F05" w:rsidRPr="00102A70" w:rsidRDefault="00B75F05" w:rsidP="00C21D6F">
            <w:pPr>
              <w:contextualSpacing/>
              <w:rPr>
                <w:rFonts w:ascii="Times New Roman" w:hAnsi="Times New Roman" w:cs="Times New Roman"/>
                <w:b/>
                <w:sz w:val="16"/>
                <w:szCs w:val="16"/>
              </w:rPr>
            </w:pPr>
          </w:p>
        </w:tc>
        <w:tc>
          <w:tcPr>
            <w:tcW w:w="1230" w:type="dxa"/>
          </w:tcPr>
          <w:p w14:paraId="5A5F7E60" w14:textId="77777777" w:rsidR="00B75F05" w:rsidRPr="00102A70" w:rsidRDefault="00B75F05" w:rsidP="00C21D6F">
            <w:pPr>
              <w:contextualSpacing/>
              <w:rPr>
                <w:rFonts w:ascii="Times New Roman" w:hAnsi="Times New Roman" w:cs="Times New Roman"/>
                <w:b/>
                <w:sz w:val="16"/>
                <w:szCs w:val="16"/>
              </w:rPr>
            </w:pPr>
            <w:r w:rsidRPr="00102A70">
              <w:rPr>
                <w:rFonts w:ascii="Times New Roman" w:hAnsi="Times New Roman" w:cs="Times New Roman"/>
                <w:b/>
                <w:sz w:val="16"/>
                <w:szCs w:val="16"/>
              </w:rPr>
              <w:t>369</w:t>
            </w:r>
          </w:p>
        </w:tc>
      </w:tr>
    </w:tbl>
    <w:p w14:paraId="760ED6FC" w14:textId="77777777" w:rsidR="00B75F05" w:rsidRPr="008A7487" w:rsidRDefault="00B75F05" w:rsidP="00B75F05">
      <w:pPr>
        <w:spacing w:after="0"/>
        <w:rPr>
          <w:rFonts w:ascii="Times New Roman" w:hAnsi="Times New Roman" w:cs="Times New Roman"/>
          <w:sz w:val="16"/>
          <w:szCs w:val="16"/>
          <w:lang w:val="en-GB"/>
        </w:rPr>
      </w:pPr>
      <w:r w:rsidRPr="008A7487">
        <w:rPr>
          <w:rFonts w:ascii="Times New Roman" w:hAnsi="Times New Roman" w:cs="Times New Roman"/>
          <w:sz w:val="16"/>
          <w:szCs w:val="16"/>
          <w:lang w:val="en-GB"/>
        </w:rPr>
        <w:t xml:space="preserve">ROA defined as profit before tax divided by total assets.  NIM is the difference between interest </w:t>
      </w:r>
    </w:p>
    <w:p w14:paraId="325A8293" w14:textId="77777777" w:rsidR="00B75F05" w:rsidRPr="008A7487" w:rsidRDefault="00B75F05" w:rsidP="00B75F05">
      <w:pPr>
        <w:spacing w:after="0"/>
        <w:rPr>
          <w:rFonts w:ascii="Times New Roman" w:hAnsi="Times New Roman" w:cs="Times New Roman"/>
          <w:sz w:val="16"/>
          <w:szCs w:val="16"/>
          <w:lang w:val="en-GB"/>
        </w:rPr>
      </w:pPr>
      <w:r w:rsidRPr="008A7487">
        <w:rPr>
          <w:rFonts w:ascii="Times New Roman" w:hAnsi="Times New Roman" w:cs="Times New Roman"/>
          <w:sz w:val="16"/>
          <w:szCs w:val="16"/>
          <w:lang w:val="en-GB"/>
        </w:rPr>
        <w:t>income and interest expense</w:t>
      </w:r>
      <w:r>
        <w:rPr>
          <w:rFonts w:ascii="Times New Roman" w:hAnsi="Times New Roman" w:cs="Times New Roman"/>
          <w:sz w:val="16"/>
          <w:szCs w:val="16"/>
          <w:lang w:val="en-GB"/>
        </w:rPr>
        <w:t xml:space="preserve"> %</w:t>
      </w:r>
      <w:r w:rsidRPr="008A7487">
        <w:rPr>
          <w:rFonts w:ascii="Times New Roman" w:hAnsi="Times New Roman" w:cs="Times New Roman"/>
          <w:sz w:val="16"/>
          <w:szCs w:val="16"/>
          <w:lang w:val="en-GB"/>
        </w:rPr>
        <w:t xml:space="preserve">. LNSIZE is the natural log of bank’s total assets. CAP is a measure of </w:t>
      </w:r>
    </w:p>
    <w:p w14:paraId="55501326" w14:textId="77777777" w:rsidR="00B75F05" w:rsidRPr="008A7487" w:rsidRDefault="00B75F05" w:rsidP="00B75F05">
      <w:pPr>
        <w:spacing w:after="0"/>
        <w:rPr>
          <w:rFonts w:ascii="Times New Roman" w:hAnsi="Times New Roman" w:cs="Times New Roman"/>
          <w:sz w:val="16"/>
          <w:szCs w:val="16"/>
          <w:lang w:val="en-GB"/>
        </w:rPr>
      </w:pPr>
      <w:r w:rsidRPr="008A7487">
        <w:rPr>
          <w:rFonts w:ascii="Times New Roman" w:hAnsi="Times New Roman" w:cs="Times New Roman"/>
          <w:sz w:val="16"/>
          <w:szCs w:val="16"/>
          <w:lang w:val="en-GB"/>
        </w:rPr>
        <w:t xml:space="preserve">capital strength, calculated as equity to total assets.  CR is a measure of credit risk and is the ratio </w:t>
      </w:r>
    </w:p>
    <w:p w14:paraId="7BFB7929" w14:textId="77777777" w:rsidR="00B75F05" w:rsidRPr="008A7487" w:rsidRDefault="00B75F05" w:rsidP="00B75F05">
      <w:pPr>
        <w:spacing w:after="0"/>
        <w:rPr>
          <w:rFonts w:ascii="Times New Roman" w:hAnsi="Times New Roman" w:cs="Times New Roman"/>
          <w:sz w:val="16"/>
          <w:szCs w:val="16"/>
          <w:lang w:val="en-GB"/>
        </w:rPr>
      </w:pPr>
      <w:r w:rsidRPr="008A7487">
        <w:rPr>
          <w:rFonts w:ascii="Times New Roman" w:hAnsi="Times New Roman" w:cs="Times New Roman"/>
          <w:sz w:val="16"/>
          <w:szCs w:val="16"/>
          <w:lang w:val="en-GB"/>
        </w:rPr>
        <w:t xml:space="preserve">of net loans to deposits and short-term funding. CM is the total operating cost to total income. </w:t>
      </w:r>
    </w:p>
    <w:p w14:paraId="79640A5C" w14:textId="77777777" w:rsidR="00B75F05" w:rsidRPr="008A7487" w:rsidRDefault="00B75F05" w:rsidP="00B75F05">
      <w:pPr>
        <w:spacing w:after="0"/>
        <w:rPr>
          <w:rFonts w:ascii="Times New Roman" w:hAnsi="Times New Roman" w:cs="Times New Roman"/>
          <w:sz w:val="16"/>
          <w:szCs w:val="16"/>
          <w:lang w:val="en-GB"/>
        </w:rPr>
      </w:pPr>
      <w:r w:rsidRPr="008A7487">
        <w:rPr>
          <w:rFonts w:ascii="Times New Roman" w:hAnsi="Times New Roman" w:cs="Times New Roman"/>
          <w:sz w:val="16"/>
          <w:szCs w:val="16"/>
          <w:lang w:val="en-GB"/>
        </w:rPr>
        <w:t xml:space="preserve">LQ is a measure of liquidity, calculated as liquid assets to customer and short-term funding. </w:t>
      </w:r>
    </w:p>
    <w:p w14:paraId="0DEE5DFE" w14:textId="77777777" w:rsidR="00B75F05" w:rsidRPr="008A7487" w:rsidRDefault="00B75F05" w:rsidP="00B75F05">
      <w:pPr>
        <w:spacing w:after="0"/>
        <w:rPr>
          <w:rFonts w:ascii="Times New Roman" w:hAnsi="Times New Roman" w:cs="Times New Roman"/>
          <w:sz w:val="16"/>
          <w:szCs w:val="16"/>
          <w:lang w:val="en-GB"/>
        </w:rPr>
      </w:pPr>
      <w:r w:rsidRPr="008A7487">
        <w:rPr>
          <w:rFonts w:ascii="Times New Roman" w:hAnsi="Times New Roman" w:cs="Times New Roman"/>
          <w:sz w:val="16"/>
          <w:szCs w:val="16"/>
          <w:lang w:val="en-GB"/>
        </w:rPr>
        <w:t xml:space="preserve">MP is a measure of market power defined as the ratio of a bank total asset to the total asset of the entire </w:t>
      </w:r>
    </w:p>
    <w:p w14:paraId="0C98826A" w14:textId="77777777" w:rsidR="00B75F05" w:rsidRPr="008A7487" w:rsidRDefault="00B75F05" w:rsidP="00B75F05">
      <w:pPr>
        <w:spacing w:after="0"/>
        <w:rPr>
          <w:rFonts w:ascii="Times New Roman" w:hAnsi="Times New Roman" w:cs="Times New Roman"/>
          <w:sz w:val="16"/>
          <w:szCs w:val="16"/>
          <w:lang w:val="en-GB"/>
        </w:rPr>
      </w:pPr>
      <w:r w:rsidRPr="008A7487">
        <w:rPr>
          <w:rFonts w:ascii="Times New Roman" w:hAnsi="Times New Roman" w:cs="Times New Roman"/>
          <w:sz w:val="16"/>
          <w:szCs w:val="16"/>
          <w:lang w:val="en-GB"/>
        </w:rPr>
        <w:t>banks in a country</w:t>
      </w:r>
      <w:r w:rsidRPr="008A7487">
        <w:rPr>
          <w:rFonts w:ascii="Times New Roman" w:hAnsi="Times New Roman" w:cs="Times New Roman"/>
          <w:color w:val="FF0000"/>
          <w:sz w:val="16"/>
          <w:szCs w:val="16"/>
          <w:lang w:val="en-GB"/>
        </w:rPr>
        <w:t>.</w:t>
      </w:r>
      <w:r w:rsidRPr="008A7487">
        <w:rPr>
          <w:rFonts w:ascii="Times New Roman" w:hAnsi="Times New Roman" w:cs="Times New Roman"/>
          <w:sz w:val="16"/>
          <w:szCs w:val="16"/>
          <w:lang w:val="en-GB"/>
        </w:rPr>
        <w:t xml:space="preserve"> ∆ GDP is the annual percentage change in real gross domestic product.  INF is </w:t>
      </w:r>
    </w:p>
    <w:p w14:paraId="51CFC545" w14:textId="77777777" w:rsidR="00B75F05" w:rsidRPr="008A7487" w:rsidRDefault="00B75F05" w:rsidP="00B75F05">
      <w:pPr>
        <w:spacing w:after="0"/>
        <w:rPr>
          <w:rFonts w:ascii="Times New Roman" w:hAnsi="Times New Roman" w:cs="Times New Roman"/>
          <w:sz w:val="16"/>
          <w:szCs w:val="16"/>
          <w:lang w:val="en-GB"/>
        </w:rPr>
      </w:pPr>
      <w:r w:rsidRPr="008A7487">
        <w:rPr>
          <w:rFonts w:ascii="Times New Roman" w:hAnsi="Times New Roman" w:cs="Times New Roman"/>
          <w:sz w:val="16"/>
          <w:szCs w:val="16"/>
          <w:lang w:val="en-GB"/>
        </w:rPr>
        <w:t xml:space="preserve">the yearly growth in consumer price </w:t>
      </w:r>
      <w:r>
        <w:rPr>
          <w:rFonts w:ascii="Times New Roman" w:hAnsi="Times New Roman" w:cs="Times New Roman"/>
          <w:sz w:val="16"/>
          <w:szCs w:val="16"/>
          <w:lang w:val="en-GB"/>
        </w:rPr>
        <w:t xml:space="preserve">index. </w:t>
      </w:r>
      <w:r w:rsidRPr="008A7487">
        <w:rPr>
          <w:rFonts w:ascii="Times New Roman" w:hAnsi="Times New Roman" w:cs="Times New Roman"/>
          <w:sz w:val="16"/>
          <w:szCs w:val="16"/>
          <w:lang w:val="en-GB"/>
        </w:rPr>
        <w:t xml:space="preserve"> *, **, *** indicate significance at 10%, 5% and 1% level respectively. </w:t>
      </w:r>
    </w:p>
    <w:p w14:paraId="2ACFBAB7" w14:textId="77777777" w:rsidR="00B75F05" w:rsidRDefault="00B75F05" w:rsidP="00B75F05">
      <w:pPr>
        <w:spacing w:line="480" w:lineRule="auto"/>
        <w:contextualSpacing/>
        <w:rPr>
          <w:rFonts w:ascii="Times New Roman" w:hAnsi="Times New Roman" w:cs="Times New Roman"/>
          <w:sz w:val="24"/>
          <w:szCs w:val="24"/>
        </w:rPr>
      </w:pPr>
    </w:p>
    <w:p w14:paraId="7E3ABF5D" w14:textId="77777777" w:rsidR="00B75F05" w:rsidRDefault="00B75F05" w:rsidP="00B75F05">
      <w:pPr>
        <w:spacing w:line="480" w:lineRule="auto"/>
        <w:contextualSpacing/>
        <w:rPr>
          <w:rFonts w:ascii="Times New Roman" w:hAnsi="Times New Roman" w:cs="Times New Roman"/>
          <w:sz w:val="24"/>
          <w:szCs w:val="24"/>
        </w:rPr>
      </w:pPr>
    </w:p>
    <w:p w14:paraId="2ECC5E87" w14:textId="77777777" w:rsidR="00B75F05" w:rsidRDefault="00B75F05" w:rsidP="00B75F05">
      <w:pPr>
        <w:spacing w:line="480" w:lineRule="auto"/>
        <w:contextualSpacing/>
        <w:rPr>
          <w:rFonts w:ascii="Times New Roman" w:hAnsi="Times New Roman" w:cs="Times New Roman"/>
          <w:sz w:val="24"/>
          <w:szCs w:val="24"/>
        </w:rPr>
      </w:pPr>
    </w:p>
    <w:p w14:paraId="715331BD" w14:textId="77777777" w:rsidR="00B75F05" w:rsidRDefault="00B75F05" w:rsidP="00B75F05">
      <w:pPr>
        <w:spacing w:line="480" w:lineRule="auto"/>
        <w:contextualSpacing/>
        <w:rPr>
          <w:rFonts w:ascii="Times New Roman" w:hAnsi="Times New Roman" w:cs="Times New Roman"/>
          <w:sz w:val="24"/>
          <w:szCs w:val="24"/>
        </w:rPr>
      </w:pPr>
    </w:p>
    <w:p w14:paraId="1FA8118E" w14:textId="77777777" w:rsidR="00B75F05" w:rsidRDefault="00B75F05" w:rsidP="00B75F05">
      <w:pPr>
        <w:spacing w:line="480" w:lineRule="auto"/>
        <w:contextualSpacing/>
        <w:rPr>
          <w:rFonts w:ascii="Times New Roman" w:hAnsi="Times New Roman" w:cs="Times New Roman"/>
          <w:sz w:val="24"/>
          <w:szCs w:val="24"/>
        </w:rPr>
      </w:pPr>
    </w:p>
    <w:p w14:paraId="0DB62BA9" w14:textId="77777777" w:rsidR="00B75F05" w:rsidRDefault="00B75F05" w:rsidP="00B75F05">
      <w:pPr>
        <w:spacing w:line="480" w:lineRule="auto"/>
        <w:contextualSpacing/>
        <w:rPr>
          <w:rFonts w:ascii="Times New Roman" w:hAnsi="Times New Roman" w:cs="Times New Roman"/>
          <w:sz w:val="24"/>
          <w:szCs w:val="24"/>
        </w:rPr>
      </w:pPr>
    </w:p>
    <w:p w14:paraId="20B5B947" w14:textId="77777777" w:rsidR="00B75F05" w:rsidRDefault="00B75F05" w:rsidP="00B75F05">
      <w:pPr>
        <w:spacing w:line="480" w:lineRule="auto"/>
        <w:contextualSpacing/>
        <w:rPr>
          <w:rFonts w:ascii="Times New Roman" w:hAnsi="Times New Roman" w:cs="Times New Roman"/>
          <w:sz w:val="24"/>
          <w:szCs w:val="24"/>
        </w:rPr>
      </w:pPr>
    </w:p>
    <w:p w14:paraId="7691AC2F" w14:textId="77777777" w:rsidR="00B75F05" w:rsidRDefault="00B75F05" w:rsidP="00B75F05">
      <w:pPr>
        <w:spacing w:line="480" w:lineRule="auto"/>
        <w:contextualSpacing/>
        <w:rPr>
          <w:rFonts w:ascii="Times New Roman" w:hAnsi="Times New Roman" w:cs="Times New Roman"/>
          <w:sz w:val="24"/>
          <w:szCs w:val="24"/>
        </w:rPr>
      </w:pPr>
    </w:p>
    <w:p w14:paraId="4D878DA5" w14:textId="77777777" w:rsidR="00B75F05" w:rsidRDefault="00B75F05" w:rsidP="00B75F05">
      <w:pPr>
        <w:spacing w:line="480" w:lineRule="auto"/>
        <w:contextualSpacing/>
        <w:rPr>
          <w:rFonts w:ascii="Times New Roman" w:hAnsi="Times New Roman" w:cs="Times New Roman"/>
          <w:sz w:val="24"/>
          <w:szCs w:val="24"/>
        </w:rPr>
      </w:pPr>
    </w:p>
    <w:p w14:paraId="6451D578" w14:textId="77777777" w:rsidR="00B75F05" w:rsidRDefault="00B75F05" w:rsidP="00B75F05">
      <w:pPr>
        <w:spacing w:line="480" w:lineRule="auto"/>
        <w:contextualSpacing/>
        <w:rPr>
          <w:rFonts w:ascii="Times New Roman" w:hAnsi="Times New Roman" w:cs="Times New Roman"/>
          <w:sz w:val="24"/>
          <w:szCs w:val="24"/>
        </w:rPr>
      </w:pPr>
    </w:p>
    <w:p w14:paraId="32775754" w14:textId="77777777" w:rsidR="00B75F05" w:rsidRDefault="00B75F05" w:rsidP="00B75F05">
      <w:pPr>
        <w:spacing w:line="480" w:lineRule="auto"/>
        <w:contextualSpacing/>
        <w:rPr>
          <w:rFonts w:ascii="Times New Roman" w:hAnsi="Times New Roman" w:cs="Times New Roman"/>
          <w:sz w:val="24"/>
          <w:szCs w:val="24"/>
        </w:rPr>
      </w:pPr>
    </w:p>
    <w:p w14:paraId="275DF939" w14:textId="77777777" w:rsidR="00B75F05" w:rsidRDefault="00B75F05" w:rsidP="00B75F05">
      <w:pPr>
        <w:spacing w:line="480" w:lineRule="auto"/>
        <w:contextualSpacing/>
        <w:rPr>
          <w:rFonts w:ascii="Times New Roman" w:hAnsi="Times New Roman" w:cs="Times New Roman"/>
          <w:sz w:val="24"/>
          <w:szCs w:val="24"/>
        </w:rPr>
      </w:pPr>
    </w:p>
    <w:p w14:paraId="5B2ED307" w14:textId="77777777" w:rsidR="00B75F05" w:rsidRPr="00102A70" w:rsidRDefault="00B75F05" w:rsidP="00B75F05">
      <w:pPr>
        <w:spacing w:after="0" w:line="240" w:lineRule="auto"/>
        <w:contextualSpacing/>
        <w:rPr>
          <w:rFonts w:ascii="Times New Roman" w:hAnsi="Times New Roman" w:cs="Times New Roman"/>
          <w:b/>
          <w:sz w:val="20"/>
          <w:szCs w:val="20"/>
        </w:rPr>
      </w:pPr>
      <w:r>
        <w:rPr>
          <w:rFonts w:ascii="Times New Roman" w:hAnsi="Times New Roman" w:cs="Times New Roman"/>
          <w:sz w:val="24"/>
          <w:szCs w:val="24"/>
        </w:rPr>
        <w:t xml:space="preserve">     </w:t>
      </w:r>
      <w:r w:rsidRPr="00102A70">
        <w:rPr>
          <w:rFonts w:ascii="Times New Roman" w:hAnsi="Times New Roman" w:cs="Times New Roman"/>
          <w:b/>
          <w:sz w:val="20"/>
          <w:szCs w:val="20"/>
        </w:rPr>
        <w:t xml:space="preserve">Table 11: ROE as an alternative measure of bank profitability </w:t>
      </w:r>
    </w:p>
    <w:tbl>
      <w:tblPr>
        <w:tblStyle w:val="TableGrid1"/>
        <w:tblW w:w="0" w:type="auto"/>
        <w:tblInd w:w="250" w:type="dxa"/>
        <w:tblLook w:val="04A0" w:firstRow="1" w:lastRow="0" w:firstColumn="1" w:lastColumn="0" w:noHBand="0" w:noVBand="1"/>
      </w:tblPr>
      <w:tblGrid>
        <w:gridCol w:w="1985"/>
        <w:gridCol w:w="1134"/>
        <w:gridCol w:w="1559"/>
        <w:gridCol w:w="1276"/>
        <w:gridCol w:w="1275"/>
      </w:tblGrid>
      <w:tr w:rsidR="00B75F05" w:rsidRPr="00A26507" w14:paraId="41F20CE4" w14:textId="77777777" w:rsidTr="00C21D6F">
        <w:tc>
          <w:tcPr>
            <w:tcW w:w="1985" w:type="dxa"/>
          </w:tcPr>
          <w:p w14:paraId="2E628CC9" w14:textId="77777777" w:rsidR="00B75F05" w:rsidRPr="00A26507" w:rsidRDefault="00B75F05" w:rsidP="00C21D6F">
            <w:pPr>
              <w:spacing w:line="480" w:lineRule="auto"/>
              <w:contextualSpacing/>
              <w:rPr>
                <w:rFonts w:ascii="Times New Roman" w:hAnsi="Times New Roman" w:cs="Times New Roman"/>
                <w:b/>
                <w:sz w:val="16"/>
                <w:szCs w:val="16"/>
              </w:rPr>
            </w:pPr>
          </w:p>
        </w:tc>
        <w:tc>
          <w:tcPr>
            <w:tcW w:w="2693" w:type="dxa"/>
            <w:gridSpan w:val="2"/>
          </w:tcPr>
          <w:p w14:paraId="15BFBB50" w14:textId="77777777" w:rsidR="00B75F05" w:rsidRPr="00A26507" w:rsidRDefault="00B75F05" w:rsidP="00C21D6F">
            <w:pPr>
              <w:contextualSpacing/>
              <w:jc w:val="center"/>
              <w:rPr>
                <w:rFonts w:ascii="Times New Roman" w:hAnsi="Times New Roman" w:cs="Times New Roman"/>
                <w:b/>
                <w:sz w:val="16"/>
                <w:szCs w:val="16"/>
              </w:rPr>
            </w:pPr>
            <w:r w:rsidRPr="00A26507">
              <w:rPr>
                <w:rFonts w:ascii="Times New Roman" w:hAnsi="Times New Roman" w:cs="Times New Roman"/>
                <w:b/>
                <w:sz w:val="16"/>
                <w:szCs w:val="16"/>
              </w:rPr>
              <w:t>Column 1</w:t>
            </w:r>
          </w:p>
        </w:tc>
        <w:tc>
          <w:tcPr>
            <w:tcW w:w="2551" w:type="dxa"/>
            <w:gridSpan w:val="2"/>
          </w:tcPr>
          <w:p w14:paraId="778199B1" w14:textId="77777777" w:rsidR="00B75F05" w:rsidRPr="00A26507" w:rsidRDefault="00B75F05" w:rsidP="00C21D6F">
            <w:pPr>
              <w:contextualSpacing/>
              <w:jc w:val="center"/>
              <w:rPr>
                <w:rFonts w:ascii="Times New Roman" w:hAnsi="Times New Roman" w:cs="Times New Roman"/>
                <w:b/>
                <w:sz w:val="16"/>
                <w:szCs w:val="16"/>
              </w:rPr>
            </w:pPr>
            <w:r w:rsidRPr="00A26507">
              <w:rPr>
                <w:rFonts w:ascii="Times New Roman" w:hAnsi="Times New Roman" w:cs="Times New Roman"/>
                <w:b/>
                <w:sz w:val="16"/>
                <w:szCs w:val="16"/>
              </w:rPr>
              <w:t>Column 2</w:t>
            </w:r>
          </w:p>
        </w:tc>
      </w:tr>
      <w:tr w:rsidR="00B75F05" w:rsidRPr="00A26507" w14:paraId="2EA589DF" w14:textId="77777777" w:rsidTr="00C21D6F">
        <w:tc>
          <w:tcPr>
            <w:tcW w:w="1985" w:type="dxa"/>
          </w:tcPr>
          <w:p w14:paraId="7DE56EC0" w14:textId="77777777" w:rsidR="00B75F05" w:rsidRPr="00A26507" w:rsidRDefault="00B75F05" w:rsidP="00C21D6F">
            <w:pPr>
              <w:spacing w:line="480" w:lineRule="auto"/>
              <w:contextualSpacing/>
              <w:rPr>
                <w:rFonts w:ascii="Times New Roman" w:hAnsi="Times New Roman" w:cs="Times New Roman"/>
                <w:b/>
                <w:sz w:val="16"/>
                <w:szCs w:val="16"/>
              </w:rPr>
            </w:pPr>
            <w:r w:rsidRPr="00A26507">
              <w:rPr>
                <w:rFonts w:ascii="Times New Roman" w:hAnsi="Times New Roman" w:cs="Times New Roman"/>
                <w:b/>
                <w:sz w:val="16"/>
                <w:szCs w:val="16"/>
              </w:rPr>
              <w:t xml:space="preserve">Dependent variable </w:t>
            </w:r>
          </w:p>
        </w:tc>
        <w:tc>
          <w:tcPr>
            <w:tcW w:w="2693" w:type="dxa"/>
            <w:gridSpan w:val="2"/>
          </w:tcPr>
          <w:p w14:paraId="65D6B97A" w14:textId="77777777" w:rsidR="00B75F05" w:rsidRPr="00A26507" w:rsidRDefault="00B75F05" w:rsidP="00C21D6F">
            <w:pPr>
              <w:contextualSpacing/>
              <w:jc w:val="center"/>
              <w:rPr>
                <w:rFonts w:ascii="Times New Roman" w:hAnsi="Times New Roman" w:cs="Times New Roman"/>
                <w:b/>
                <w:sz w:val="16"/>
                <w:szCs w:val="16"/>
              </w:rPr>
            </w:pPr>
            <w:r w:rsidRPr="00A26507">
              <w:rPr>
                <w:rFonts w:ascii="Times New Roman" w:hAnsi="Times New Roman" w:cs="Times New Roman"/>
                <w:b/>
                <w:sz w:val="16"/>
                <w:szCs w:val="16"/>
              </w:rPr>
              <w:t>Fixed effects model</w:t>
            </w:r>
          </w:p>
          <w:p w14:paraId="799675BA" w14:textId="77777777" w:rsidR="00B75F05" w:rsidRPr="00A26507" w:rsidRDefault="00B75F05" w:rsidP="00C21D6F">
            <w:pPr>
              <w:contextualSpacing/>
              <w:jc w:val="center"/>
              <w:rPr>
                <w:rFonts w:ascii="Times New Roman" w:hAnsi="Times New Roman" w:cs="Times New Roman"/>
                <w:b/>
                <w:sz w:val="16"/>
                <w:szCs w:val="16"/>
              </w:rPr>
            </w:pPr>
            <w:r>
              <w:rPr>
                <w:rFonts w:ascii="Times New Roman" w:hAnsi="Times New Roman" w:cs="Times New Roman"/>
                <w:b/>
                <w:sz w:val="16"/>
                <w:szCs w:val="16"/>
              </w:rPr>
              <w:t>ROE</w:t>
            </w:r>
          </w:p>
        </w:tc>
        <w:tc>
          <w:tcPr>
            <w:tcW w:w="2551" w:type="dxa"/>
            <w:gridSpan w:val="2"/>
          </w:tcPr>
          <w:p w14:paraId="1C2F5CCE" w14:textId="77777777" w:rsidR="00B75F05" w:rsidRPr="00A26507" w:rsidRDefault="00B75F05" w:rsidP="00C21D6F">
            <w:pPr>
              <w:contextualSpacing/>
              <w:jc w:val="center"/>
              <w:rPr>
                <w:rFonts w:ascii="Times New Roman" w:hAnsi="Times New Roman" w:cs="Times New Roman"/>
                <w:b/>
                <w:sz w:val="16"/>
                <w:szCs w:val="16"/>
              </w:rPr>
            </w:pPr>
            <w:r w:rsidRPr="00A26507">
              <w:rPr>
                <w:rFonts w:ascii="Times New Roman" w:hAnsi="Times New Roman" w:cs="Times New Roman"/>
                <w:b/>
                <w:sz w:val="16"/>
                <w:szCs w:val="16"/>
              </w:rPr>
              <w:t>Random effect model</w:t>
            </w:r>
          </w:p>
          <w:p w14:paraId="6008049B" w14:textId="77777777" w:rsidR="00B75F05" w:rsidRPr="00A26507" w:rsidRDefault="00B75F05" w:rsidP="00C21D6F">
            <w:pPr>
              <w:contextualSpacing/>
              <w:jc w:val="center"/>
              <w:rPr>
                <w:rFonts w:ascii="Times New Roman" w:hAnsi="Times New Roman" w:cs="Times New Roman"/>
                <w:b/>
                <w:sz w:val="16"/>
                <w:szCs w:val="16"/>
              </w:rPr>
            </w:pPr>
            <w:r>
              <w:rPr>
                <w:rFonts w:ascii="Times New Roman" w:hAnsi="Times New Roman" w:cs="Times New Roman"/>
                <w:b/>
                <w:sz w:val="16"/>
                <w:szCs w:val="16"/>
              </w:rPr>
              <w:t>ROE</w:t>
            </w:r>
          </w:p>
        </w:tc>
      </w:tr>
      <w:tr w:rsidR="00B75F05" w:rsidRPr="00A26507" w14:paraId="4B377782" w14:textId="77777777" w:rsidTr="00C21D6F">
        <w:tc>
          <w:tcPr>
            <w:tcW w:w="1985" w:type="dxa"/>
          </w:tcPr>
          <w:p w14:paraId="1FA70881" w14:textId="77777777" w:rsidR="00B75F05" w:rsidRPr="00A26507" w:rsidRDefault="00B75F05" w:rsidP="00C21D6F">
            <w:pPr>
              <w:spacing w:line="480" w:lineRule="auto"/>
              <w:contextualSpacing/>
              <w:rPr>
                <w:rFonts w:ascii="Times New Roman" w:hAnsi="Times New Roman" w:cs="Times New Roman"/>
                <w:sz w:val="16"/>
                <w:szCs w:val="16"/>
              </w:rPr>
            </w:pPr>
          </w:p>
        </w:tc>
        <w:tc>
          <w:tcPr>
            <w:tcW w:w="1134" w:type="dxa"/>
            <w:vAlign w:val="bottom"/>
          </w:tcPr>
          <w:p w14:paraId="65FE0431" w14:textId="77777777" w:rsidR="00B75F05" w:rsidRPr="00A26507" w:rsidRDefault="00B75F05" w:rsidP="00C21D6F">
            <w:pPr>
              <w:autoSpaceDE w:val="0"/>
              <w:autoSpaceDN w:val="0"/>
              <w:adjustRightInd w:val="0"/>
              <w:ind w:right="10"/>
              <w:jc w:val="right"/>
              <w:rPr>
                <w:rFonts w:ascii="Times New Roman" w:hAnsi="Times New Roman" w:cs="Times New Roman"/>
                <w:b/>
                <w:color w:val="000000"/>
                <w:sz w:val="16"/>
                <w:szCs w:val="16"/>
              </w:rPr>
            </w:pPr>
            <w:r w:rsidRPr="00A26507">
              <w:rPr>
                <w:rFonts w:ascii="Times New Roman" w:hAnsi="Times New Roman" w:cs="Times New Roman"/>
                <w:b/>
                <w:color w:val="000000"/>
                <w:sz w:val="16"/>
                <w:szCs w:val="16"/>
              </w:rPr>
              <w:t>Coeff</w:t>
            </w:r>
          </w:p>
        </w:tc>
        <w:tc>
          <w:tcPr>
            <w:tcW w:w="1559" w:type="dxa"/>
            <w:vAlign w:val="bottom"/>
          </w:tcPr>
          <w:p w14:paraId="5CF3C901" w14:textId="77777777" w:rsidR="00B75F05" w:rsidRPr="00A26507" w:rsidRDefault="00B75F05" w:rsidP="00C21D6F">
            <w:pPr>
              <w:autoSpaceDE w:val="0"/>
              <w:autoSpaceDN w:val="0"/>
              <w:adjustRightInd w:val="0"/>
              <w:ind w:right="10"/>
              <w:jc w:val="right"/>
              <w:rPr>
                <w:rFonts w:ascii="Times New Roman" w:hAnsi="Times New Roman" w:cs="Times New Roman"/>
                <w:b/>
                <w:color w:val="000000"/>
                <w:sz w:val="16"/>
                <w:szCs w:val="16"/>
              </w:rPr>
            </w:pPr>
            <w:r w:rsidRPr="00A26507">
              <w:rPr>
                <w:rFonts w:ascii="Times New Roman" w:hAnsi="Times New Roman" w:cs="Times New Roman"/>
                <w:b/>
                <w:color w:val="000000"/>
                <w:sz w:val="16"/>
                <w:szCs w:val="16"/>
              </w:rPr>
              <w:t xml:space="preserve">T-stat </w:t>
            </w:r>
          </w:p>
        </w:tc>
        <w:tc>
          <w:tcPr>
            <w:tcW w:w="1276" w:type="dxa"/>
            <w:vAlign w:val="bottom"/>
          </w:tcPr>
          <w:p w14:paraId="0F731936" w14:textId="77777777" w:rsidR="00B75F05" w:rsidRPr="00A26507" w:rsidRDefault="00B75F05" w:rsidP="00C21D6F">
            <w:pPr>
              <w:autoSpaceDE w:val="0"/>
              <w:autoSpaceDN w:val="0"/>
              <w:adjustRightInd w:val="0"/>
              <w:ind w:right="10"/>
              <w:jc w:val="right"/>
              <w:rPr>
                <w:rFonts w:ascii="Times New Roman" w:hAnsi="Times New Roman" w:cs="Times New Roman"/>
                <w:b/>
                <w:color w:val="000000"/>
                <w:sz w:val="16"/>
                <w:szCs w:val="16"/>
              </w:rPr>
            </w:pPr>
            <w:r w:rsidRPr="00A26507">
              <w:rPr>
                <w:rFonts w:ascii="Times New Roman" w:hAnsi="Times New Roman" w:cs="Times New Roman"/>
                <w:b/>
                <w:color w:val="000000"/>
                <w:sz w:val="16"/>
                <w:szCs w:val="16"/>
              </w:rPr>
              <w:t>Coeff</w:t>
            </w:r>
          </w:p>
        </w:tc>
        <w:tc>
          <w:tcPr>
            <w:tcW w:w="1275" w:type="dxa"/>
            <w:vAlign w:val="bottom"/>
          </w:tcPr>
          <w:p w14:paraId="4D9AEB08" w14:textId="77777777" w:rsidR="00B75F05" w:rsidRPr="00A26507" w:rsidRDefault="00B75F05" w:rsidP="00C21D6F">
            <w:pPr>
              <w:autoSpaceDE w:val="0"/>
              <w:autoSpaceDN w:val="0"/>
              <w:adjustRightInd w:val="0"/>
              <w:ind w:right="10"/>
              <w:jc w:val="right"/>
              <w:rPr>
                <w:rFonts w:ascii="Times New Roman" w:hAnsi="Times New Roman" w:cs="Times New Roman"/>
                <w:b/>
                <w:color w:val="000000"/>
                <w:sz w:val="16"/>
                <w:szCs w:val="16"/>
              </w:rPr>
            </w:pPr>
            <w:r w:rsidRPr="00A26507">
              <w:rPr>
                <w:rFonts w:ascii="Times New Roman" w:hAnsi="Times New Roman" w:cs="Times New Roman"/>
                <w:b/>
                <w:color w:val="000000"/>
                <w:sz w:val="16"/>
                <w:szCs w:val="16"/>
              </w:rPr>
              <w:t>T-Stat</w:t>
            </w:r>
          </w:p>
        </w:tc>
      </w:tr>
      <w:tr w:rsidR="00B75F05" w:rsidRPr="00A26507" w14:paraId="35BC9626" w14:textId="77777777" w:rsidTr="00C21D6F">
        <w:tc>
          <w:tcPr>
            <w:tcW w:w="1985" w:type="dxa"/>
          </w:tcPr>
          <w:p w14:paraId="29F09BC2" w14:textId="77777777" w:rsidR="00B75F05" w:rsidRPr="00A26507" w:rsidRDefault="00B75F05" w:rsidP="00C21D6F">
            <w:pPr>
              <w:spacing w:line="480" w:lineRule="auto"/>
              <w:contextualSpacing/>
              <w:rPr>
                <w:rFonts w:ascii="Times New Roman" w:hAnsi="Times New Roman" w:cs="Times New Roman"/>
                <w:sz w:val="16"/>
                <w:szCs w:val="16"/>
              </w:rPr>
            </w:pPr>
            <w:r w:rsidRPr="00A26507">
              <w:rPr>
                <w:rFonts w:ascii="Times New Roman" w:hAnsi="Times New Roman" w:cs="Times New Roman"/>
                <w:sz w:val="16"/>
                <w:szCs w:val="16"/>
              </w:rPr>
              <w:t>LNSIZE</w:t>
            </w:r>
          </w:p>
        </w:tc>
        <w:tc>
          <w:tcPr>
            <w:tcW w:w="1134" w:type="dxa"/>
            <w:vAlign w:val="bottom"/>
          </w:tcPr>
          <w:p w14:paraId="0E9419AD" w14:textId="77777777" w:rsidR="00B75F05" w:rsidRPr="00A26507" w:rsidRDefault="00B75F05" w:rsidP="00C21D6F">
            <w:pPr>
              <w:autoSpaceDE w:val="0"/>
              <w:autoSpaceDN w:val="0"/>
              <w:adjustRightInd w:val="0"/>
              <w:ind w:right="10"/>
              <w:rPr>
                <w:rFonts w:ascii="Times New Roman" w:hAnsi="Times New Roman" w:cs="Times New Roman"/>
                <w:color w:val="000000"/>
                <w:sz w:val="16"/>
                <w:szCs w:val="16"/>
              </w:rPr>
            </w:pPr>
            <w:r>
              <w:rPr>
                <w:rFonts w:ascii="Times New Roman" w:hAnsi="Times New Roman" w:cs="Times New Roman"/>
                <w:color w:val="000000"/>
                <w:sz w:val="16"/>
                <w:szCs w:val="16"/>
              </w:rPr>
              <w:t>1.39</w:t>
            </w:r>
          </w:p>
        </w:tc>
        <w:tc>
          <w:tcPr>
            <w:tcW w:w="1559" w:type="dxa"/>
            <w:vAlign w:val="bottom"/>
          </w:tcPr>
          <w:p w14:paraId="62A9BE2A" w14:textId="77777777" w:rsidR="00B75F05" w:rsidRPr="00A26507" w:rsidRDefault="00B75F05" w:rsidP="00C21D6F">
            <w:pPr>
              <w:autoSpaceDE w:val="0"/>
              <w:autoSpaceDN w:val="0"/>
              <w:adjustRightInd w:val="0"/>
              <w:ind w:right="10"/>
              <w:rPr>
                <w:rFonts w:ascii="Times New Roman" w:hAnsi="Times New Roman" w:cs="Times New Roman"/>
                <w:color w:val="000000"/>
                <w:sz w:val="16"/>
                <w:szCs w:val="16"/>
              </w:rPr>
            </w:pPr>
            <w:r>
              <w:rPr>
                <w:rFonts w:ascii="Times New Roman" w:hAnsi="Times New Roman" w:cs="Times New Roman"/>
                <w:color w:val="000000"/>
                <w:sz w:val="16"/>
                <w:szCs w:val="16"/>
              </w:rPr>
              <w:t>4.50***</w:t>
            </w:r>
          </w:p>
        </w:tc>
        <w:tc>
          <w:tcPr>
            <w:tcW w:w="1276" w:type="dxa"/>
            <w:vAlign w:val="bottom"/>
          </w:tcPr>
          <w:p w14:paraId="24F13391" w14:textId="77777777" w:rsidR="00B75F05" w:rsidRPr="00A26507" w:rsidRDefault="00B75F05" w:rsidP="00C21D6F">
            <w:pPr>
              <w:autoSpaceDE w:val="0"/>
              <w:autoSpaceDN w:val="0"/>
              <w:adjustRightInd w:val="0"/>
              <w:ind w:right="10"/>
              <w:rPr>
                <w:rFonts w:ascii="Times New Roman" w:hAnsi="Times New Roman" w:cs="Times New Roman"/>
                <w:color w:val="000000"/>
                <w:sz w:val="16"/>
                <w:szCs w:val="16"/>
              </w:rPr>
            </w:pPr>
            <w:r>
              <w:rPr>
                <w:rFonts w:ascii="Times New Roman" w:hAnsi="Times New Roman" w:cs="Times New Roman"/>
                <w:color w:val="000000"/>
                <w:sz w:val="16"/>
                <w:szCs w:val="16"/>
              </w:rPr>
              <w:t>1.96</w:t>
            </w:r>
          </w:p>
        </w:tc>
        <w:tc>
          <w:tcPr>
            <w:tcW w:w="1275" w:type="dxa"/>
            <w:vAlign w:val="bottom"/>
          </w:tcPr>
          <w:p w14:paraId="54540124" w14:textId="77777777" w:rsidR="00B75F05" w:rsidRPr="00A26507" w:rsidRDefault="00B75F05" w:rsidP="00C21D6F">
            <w:pPr>
              <w:autoSpaceDE w:val="0"/>
              <w:autoSpaceDN w:val="0"/>
              <w:adjustRightInd w:val="0"/>
              <w:ind w:right="10"/>
              <w:rPr>
                <w:rFonts w:ascii="Times New Roman" w:hAnsi="Times New Roman" w:cs="Times New Roman"/>
                <w:color w:val="000000"/>
                <w:sz w:val="16"/>
                <w:szCs w:val="16"/>
              </w:rPr>
            </w:pPr>
            <w:r>
              <w:rPr>
                <w:rFonts w:ascii="Times New Roman" w:hAnsi="Times New Roman" w:cs="Times New Roman"/>
                <w:color w:val="000000"/>
                <w:sz w:val="16"/>
                <w:szCs w:val="16"/>
              </w:rPr>
              <w:t>8.68***</w:t>
            </w:r>
          </w:p>
        </w:tc>
      </w:tr>
      <w:tr w:rsidR="00B75F05" w:rsidRPr="00A26507" w14:paraId="69C6664D" w14:textId="77777777" w:rsidTr="00C21D6F">
        <w:tc>
          <w:tcPr>
            <w:tcW w:w="1985" w:type="dxa"/>
          </w:tcPr>
          <w:p w14:paraId="1ED90201" w14:textId="77777777" w:rsidR="00B75F05" w:rsidRPr="00A26507" w:rsidRDefault="00B75F05" w:rsidP="00C21D6F">
            <w:pPr>
              <w:spacing w:line="480" w:lineRule="auto"/>
              <w:contextualSpacing/>
              <w:rPr>
                <w:rFonts w:ascii="Times New Roman" w:hAnsi="Times New Roman" w:cs="Times New Roman"/>
                <w:sz w:val="16"/>
                <w:szCs w:val="16"/>
              </w:rPr>
            </w:pPr>
            <w:r w:rsidRPr="00A26507">
              <w:rPr>
                <w:rFonts w:ascii="Times New Roman" w:hAnsi="Times New Roman" w:cs="Times New Roman"/>
                <w:sz w:val="16"/>
                <w:szCs w:val="16"/>
              </w:rPr>
              <w:t>CAP</w:t>
            </w:r>
          </w:p>
        </w:tc>
        <w:tc>
          <w:tcPr>
            <w:tcW w:w="1134" w:type="dxa"/>
            <w:vAlign w:val="bottom"/>
          </w:tcPr>
          <w:p w14:paraId="062E9DCF" w14:textId="77777777" w:rsidR="00B75F05" w:rsidRPr="00A26507" w:rsidRDefault="00B75F05" w:rsidP="00C21D6F">
            <w:pPr>
              <w:autoSpaceDE w:val="0"/>
              <w:autoSpaceDN w:val="0"/>
              <w:adjustRightInd w:val="0"/>
              <w:ind w:right="10"/>
              <w:rPr>
                <w:rFonts w:ascii="Times New Roman" w:hAnsi="Times New Roman" w:cs="Times New Roman"/>
                <w:color w:val="000000"/>
                <w:sz w:val="16"/>
                <w:szCs w:val="16"/>
              </w:rPr>
            </w:pPr>
            <w:r>
              <w:rPr>
                <w:rFonts w:ascii="Times New Roman" w:hAnsi="Times New Roman" w:cs="Times New Roman"/>
                <w:color w:val="000000"/>
                <w:sz w:val="16"/>
                <w:szCs w:val="16"/>
              </w:rPr>
              <w:t>0.54</w:t>
            </w:r>
          </w:p>
        </w:tc>
        <w:tc>
          <w:tcPr>
            <w:tcW w:w="1559" w:type="dxa"/>
            <w:vAlign w:val="bottom"/>
          </w:tcPr>
          <w:p w14:paraId="4568BF94" w14:textId="77777777" w:rsidR="00B75F05" w:rsidRPr="00A26507" w:rsidRDefault="00B75F05" w:rsidP="00C21D6F">
            <w:pPr>
              <w:autoSpaceDE w:val="0"/>
              <w:autoSpaceDN w:val="0"/>
              <w:adjustRightInd w:val="0"/>
              <w:ind w:right="10"/>
              <w:rPr>
                <w:rFonts w:ascii="Times New Roman" w:hAnsi="Times New Roman" w:cs="Times New Roman"/>
                <w:color w:val="000000"/>
                <w:sz w:val="16"/>
                <w:szCs w:val="16"/>
              </w:rPr>
            </w:pPr>
            <w:r>
              <w:rPr>
                <w:rFonts w:ascii="Times New Roman" w:hAnsi="Times New Roman" w:cs="Times New Roman"/>
                <w:color w:val="000000"/>
                <w:sz w:val="16"/>
                <w:szCs w:val="16"/>
              </w:rPr>
              <w:t>3.22***</w:t>
            </w:r>
          </w:p>
        </w:tc>
        <w:tc>
          <w:tcPr>
            <w:tcW w:w="1276" w:type="dxa"/>
            <w:vAlign w:val="bottom"/>
          </w:tcPr>
          <w:p w14:paraId="5E8A5F24" w14:textId="77777777" w:rsidR="00B75F05" w:rsidRPr="00A26507" w:rsidRDefault="00B75F05" w:rsidP="00C21D6F">
            <w:pPr>
              <w:autoSpaceDE w:val="0"/>
              <w:autoSpaceDN w:val="0"/>
              <w:adjustRightInd w:val="0"/>
              <w:ind w:right="10"/>
              <w:rPr>
                <w:rFonts w:ascii="Times New Roman" w:hAnsi="Times New Roman" w:cs="Times New Roman"/>
                <w:color w:val="000000"/>
                <w:sz w:val="16"/>
                <w:szCs w:val="16"/>
              </w:rPr>
            </w:pPr>
            <w:r>
              <w:rPr>
                <w:rFonts w:ascii="Times New Roman" w:hAnsi="Times New Roman" w:cs="Times New Roman"/>
                <w:color w:val="000000"/>
                <w:sz w:val="16"/>
                <w:szCs w:val="16"/>
              </w:rPr>
              <w:t>0.56</w:t>
            </w:r>
          </w:p>
        </w:tc>
        <w:tc>
          <w:tcPr>
            <w:tcW w:w="1275" w:type="dxa"/>
            <w:vAlign w:val="bottom"/>
          </w:tcPr>
          <w:p w14:paraId="7D70C1C4" w14:textId="77777777" w:rsidR="00B75F05" w:rsidRPr="00A26507" w:rsidRDefault="00B75F05" w:rsidP="00C21D6F">
            <w:pPr>
              <w:autoSpaceDE w:val="0"/>
              <w:autoSpaceDN w:val="0"/>
              <w:adjustRightInd w:val="0"/>
              <w:ind w:right="10"/>
              <w:rPr>
                <w:rFonts w:ascii="Times New Roman" w:hAnsi="Times New Roman" w:cs="Times New Roman"/>
                <w:color w:val="000000"/>
                <w:sz w:val="16"/>
                <w:szCs w:val="16"/>
              </w:rPr>
            </w:pPr>
            <w:r>
              <w:rPr>
                <w:rFonts w:ascii="Times New Roman" w:hAnsi="Times New Roman" w:cs="Times New Roman"/>
                <w:color w:val="000000"/>
                <w:sz w:val="16"/>
                <w:szCs w:val="16"/>
              </w:rPr>
              <w:t>3.77***</w:t>
            </w:r>
          </w:p>
        </w:tc>
      </w:tr>
      <w:tr w:rsidR="00B75F05" w:rsidRPr="00A26507" w14:paraId="7900E13D" w14:textId="77777777" w:rsidTr="00C21D6F">
        <w:tc>
          <w:tcPr>
            <w:tcW w:w="1985" w:type="dxa"/>
          </w:tcPr>
          <w:p w14:paraId="7B4F799A" w14:textId="77777777" w:rsidR="00B75F05" w:rsidRPr="00A26507" w:rsidRDefault="00B75F05" w:rsidP="00C21D6F">
            <w:pPr>
              <w:spacing w:line="480" w:lineRule="auto"/>
              <w:contextualSpacing/>
              <w:rPr>
                <w:rFonts w:ascii="Times New Roman" w:hAnsi="Times New Roman" w:cs="Times New Roman"/>
                <w:sz w:val="16"/>
                <w:szCs w:val="16"/>
              </w:rPr>
            </w:pPr>
            <w:r w:rsidRPr="00A26507">
              <w:rPr>
                <w:rFonts w:ascii="Times New Roman" w:hAnsi="Times New Roman" w:cs="Times New Roman"/>
                <w:sz w:val="16"/>
                <w:szCs w:val="16"/>
              </w:rPr>
              <w:t>CR</w:t>
            </w:r>
          </w:p>
        </w:tc>
        <w:tc>
          <w:tcPr>
            <w:tcW w:w="1134" w:type="dxa"/>
            <w:vAlign w:val="bottom"/>
          </w:tcPr>
          <w:p w14:paraId="32F8FCC9" w14:textId="77777777" w:rsidR="00B75F05" w:rsidRPr="00A26507" w:rsidRDefault="00B75F05" w:rsidP="00C21D6F">
            <w:pPr>
              <w:autoSpaceDE w:val="0"/>
              <w:autoSpaceDN w:val="0"/>
              <w:adjustRightInd w:val="0"/>
              <w:ind w:right="10"/>
              <w:rPr>
                <w:rFonts w:ascii="Times New Roman" w:hAnsi="Times New Roman" w:cs="Times New Roman"/>
                <w:color w:val="000000"/>
                <w:sz w:val="16"/>
                <w:szCs w:val="16"/>
              </w:rPr>
            </w:pPr>
            <w:r>
              <w:rPr>
                <w:rFonts w:ascii="Times New Roman" w:hAnsi="Times New Roman" w:cs="Times New Roman"/>
                <w:color w:val="000000"/>
                <w:sz w:val="16"/>
                <w:szCs w:val="16"/>
              </w:rPr>
              <w:t>0.01</w:t>
            </w:r>
          </w:p>
        </w:tc>
        <w:tc>
          <w:tcPr>
            <w:tcW w:w="1559" w:type="dxa"/>
            <w:vAlign w:val="bottom"/>
          </w:tcPr>
          <w:p w14:paraId="15067DF8" w14:textId="77777777" w:rsidR="00B75F05" w:rsidRPr="00A26507" w:rsidRDefault="00B75F05" w:rsidP="00C21D6F">
            <w:pPr>
              <w:autoSpaceDE w:val="0"/>
              <w:autoSpaceDN w:val="0"/>
              <w:adjustRightInd w:val="0"/>
              <w:ind w:right="10"/>
              <w:rPr>
                <w:rFonts w:ascii="Times New Roman" w:hAnsi="Times New Roman" w:cs="Times New Roman"/>
                <w:color w:val="000000"/>
                <w:sz w:val="16"/>
                <w:szCs w:val="16"/>
              </w:rPr>
            </w:pPr>
            <w:r>
              <w:rPr>
                <w:rFonts w:ascii="Times New Roman" w:hAnsi="Times New Roman" w:cs="Times New Roman"/>
                <w:color w:val="000000"/>
                <w:sz w:val="16"/>
                <w:szCs w:val="16"/>
              </w:rPr>
              <w:t>0.18</w:t>
            </w:r>
          </w:p>
        </w:tc>
        <w:tc>
          <w:tcPr>
            <w:tcW w:w="1276" w:type="dxa"/>
            <w:vAlign w:val="bottom"/>
          </w:tcPr>
          <w:p w14:paraId="351B497E" w14:textId="77777777" w:rsidR="00B75F05" w:rsidRPr="00A26507" w:rsidRDefault="00B75F05" w:rsidP="00C21D6F">
            <w:pPr>
              <w:autoSpaceDE w:val="0"/>
              <w:autoSpaceDN w:val="0"/>
              <w:adjustRightInd w:val="0"/>
              <w:ind w:right="10"/>
              <w:rPr>
                <w:rFonts w:ascii="Times New Roman" w:hAnsi="Times New Roman" w:cs="Times New Roman"/>
                <w:color w:val="000000"/>
                <w:sz w:val="16"/>
                <w:szCs w:val="16"/>
              </w:rPr>
            </w:pPr>
            <w:r>
              <w:rPr>
                <w:rFonts w:ascii="Times New Roman" w:hAnsi="Times New Roman" w:cs="Times New Roman"/>
                <w:color w:val="000000"/>
                <w:sz w:val="16"/>
                <w:szCs w:val="16"/>
              </w:rPr>
              <w:t>-0.05</w:t>
            </w:r>
          </w:p>
        </w:tc>
        <w:tc>
          <w:tcPr>
            <w:tcW w:w="1275" w:type="dxa"/>
            <w:vAlign w:val="bottom"/>
          </w:tcPr>
          <w:p w14:paraId="72DF3BAA" w14:textId="77777777" w:rsidR="00B75F05" w:rsidRPr="00A26507" w:rsidRDefault="00B75F05" w:rsidP="00C21D6F">
            <w:pPr>
              <w:autoSpaceDE w:val="0"/>
              <w:autoSpaceDN w:val="0"/>
              <w:adjustRightInd w:val="0"/>
              <w:ind w:right="10"/>
              <w:rPr>
                <w:rFonts w:ascii="Times New Roman" w:hAnsi="Times New Roman" w:cs="Times New Roman"/>
                <w:color w:val="000000"/>
                <w:sz w:val="16"/>
                <w:szCs w:val="16"/>
              </w:rPr>
            </w:pPr>
            <w:r>
              <w:rPr>
                <w:rFonts w:ascii="Times New Roman" w:hAnsi="Times New Roman" w:cs="Times New Roman"/>
                <w:color w:val="000000"/>
                <w:sz w:val="16"/>
                <w:szCs w:val="16"/>
              </w:rPr>
              <w:t>-1.01</w:t>
            </w:r>
          </w:p>
        </w:tc>
      </w:tr>
      <w:tr w:rsidR="00B75F05" w:rsidRPr="00A26507" w14:paraId="4B472FBB" w14:textId="77777777" w:rsidTr="00C21D6F">
        <w:tc>
          <w:tcPr>
            <w:tcW w:w="1985" w:type="dxa"/>
          </w:tcPr>
          <w:p w14:paraId="31CDE45C" w14:textId="77777777" w:rsidR="00B75F05" w:rsidRPr="00A26507" w:rsidRDefault="00B75F05" w:rsidP="00C21D6F">
            <w:pPr>
              <w:spacing w:line="480" w:lineRule="auto"/>
              <w:contextualSpacing/>
              <w:rPr>
                <w:rFonts w:ascii="Times New Roman" w:hAnsi="Times New Roman" w:cs="Times New Roman"/>
                <w:sz w:val="16"/>
                <w:szCs w:val="16"/>
              </w:rPr>
            </w:pPr>
            <w:r w:rsidRPr="00A26507">
              <w:rPr>
                <w:rFonts w:ascii="Times New Roman" w:hAnsi="Times New Roman" w:cs="Times New Roman"/>
                <w:sz w:val="16"/>
                <w:szCs w:val="16"/>
              </w:rPr>
              <w:t>CM</w:t>
            </w:r>
          </w:p>
        </w:tc>
        <w:tc>
          <w:tcPr>
            <w:tcW w:w="1134" w:type="dxa"/>
            <w:vAlign w:val="bottom"/>
          </w:tcPr>
          <w:p w14:paraId="42BE795C" w14:textId="77777777" w:rsidR="00B75F05" w:rsidRPr="00A26507" w:rsidRDefault="00B75F05" w:rsidP="00C21D6F">
            <w:pPr>
              <w:autoSpaceDE w:val="0"/>
              <w:autoSpaceDN w:val="0"/>
              <w:adjustRightInd w:val="0"/>
              <w:ind w:right="10"/>
              <w:rPr>
                <w:rFonts w:ascii="Times New Roman" w:hAnsi="Times New Roman" w:cs="Times New Roman"/>
                <w:color w:val="000000"/>
                <w:sz w:val="16"/>
                <w:szCs w:val="16"/>
              </w:rPr>
            </w:pPr>
            <w:r>
              <w:rPr>
                <w:rFonts w:ascii="Times New Roman" w:hAnsi="Times New Roman" w:cs="Times New Roman"/>
                <w:color w:val="000000"/>
                <w:sz w:val="16"/>
                <w:szCs w:val="16"/>
              </w:rPr>
              <w:t>-0.14</w:t>
            </w:r>
          </w:p>
        </w:tc>
        <w:tc>
          <w:tcPr>
            <w:tcW w:w="1559" w:type="dxa"/>
            <w:vAlign w:val="bottom"/>
          </w:tcPr>
          <w:p w14:paraId="20429365" w14:textId="77777777" w:rsidR="00B75F05" w:rsidRPr="00A26507" w:rsidRDefault="00B75F05" w:rsidP="00C21D6F">
            <w:pPr>
              <w:autoSpaceDE w:val="0"/>
              <w:autoSpaceDN w:val="0"/>
              <w:adjustRightInd w:val="0"/>
              <w:ind w:right="10"/>
              <w:rPr>
                <w:rFonts w:ascii="Times New Roman" w:hAnsi="Times New Roman" w:cs="Times New Roman"/>
                <w:color w:val="000000"/>
                <w:sz w:val="16"/>
                <w:szCs w:val="16"/>
              </w:rPr>
            </w:pPr>
            <w:r>
              <w:rPr>
                <w:rFonts w:ascii="Times New Roman" w:hAnsi="Times New Roman" w:cs="Times New Roman"/>
                <w:color w:val="000000"/>
                <w:sz w:val="16"/>
                <w:szCs w:val="16"/>
              </w:rPr>
              <w:t>-5.17***</w:t>
            </w:r>
          </w:p>
        </w:tc>
        <w:tc>
          <w:tcPr>
            <w:tcW w:w="1276" w:type="dxa"/>
            <w:vAlign w:val="bottom"/>
          </w:tcPr>
          <w:p w14:paraId="351D3C6B" w14:textId="77777777" w:rsidR="00B75F05" w:rsidRPr="00A26507" w:rsidRDefault="00B75F05" w:rsidP="00C21D6F">
            <w:pPr>
              <w:autoSpaceDE w:val="0"/>
              <w:autoSpaceDN w:val="0"/>
              <w:adjustRightInd w:val="0"/>
              <w:ind w:right="10"/>
              <w:rPr>
                <w:rFonts w:ascii="Times New Roman" w:hAnsi="Times New Roman" w:cs="Times New Roman"/>
                <w:color w:val="000000"/>
                <w:sz w:val="16"/>
                <w:szCs w:val="16"/>
              </w:rPr>
            </w:pPr>
            <w:r>
              <w:rPr>
                <w:rFonts w:ascii="Times New Roman" w:hAnsi="Times New Roman" w:cs="Times New Roman"/>
                <w:color w:val="000000"/>
                <w:sz w:val="16"/>
                <w:szCs w:val="16"/>
              </w:rPr>
              <w:t>-0.16</w:t>
            </w:r>
          </w:p>
        </w:tc>
        <w:tc>
          <w:tcPr>
            <w:tcW w:w="1275" w:type="dxa"/>
            <w:vAlign w:val="bottom"/>
          </w:tcPr>
          <w:p w14:paraId="3DA3AD96" w14:textId="77777777" w:rsidR="00B75F05" w:rsidRPr="00A26507" w:rsidRDefault="00B75F05" w:rsidP="00C21D6F">
            <w:pPr>
              <w:autoSpaceDE w:val="0"/>
              <w:autoSpaceDN w:val="0"/>
              <w:adjustRightInd w:val="0"/>
              <w:ind w:right="10"/>
              <w:rPr>
                <w:rFonts w:ascii="Times New Roman" w:hAnsi="Times New Roman" w:cs="Times New Roman"/>
                <w:color w:val="000000"/>
                <w:sz w:val="16"/>
                <w:szCs w:val="16"/>
              </w:rPr>
            </w:pPr>
            <w:r>
              <w:rPr>
                <w:rFonts w:ascii="Times New Roman" w:hAnsi="Times New Roman" w:cs="Times New Roman"/>
                <w:color w:val="000000"/>
                <w:sz w:val="16"/>
                <w:szCs w:val="16"/>
              </w:rPr>
              <w:t>-6.75***</w:t>
            </w:r>
          </w:p>
        </w:tc>
      </w:tr>
      <w:tr w:rsidR="00B75F05" w:rsidRPr="00A26507" w14:paraId="065C8A7E" w14:textId="77777777" w:rsidTr="00C21D6F">
        <w:tc>
          <w:tcPr>
            <w:tcW w:w="1985" w:type="dxa"/>
          </w:tcPr>
          <w:p w14:paraId="04FEE36B" w14:textId="77777777" w:rsidR="00B75F05" w:rsidRPr="00A26507" w:rsidRDefault="00B75F05" w:rsidP="00C21D6F">
            <w:pPr>
              <w:spacing w:line="480" w:lineRule="auto"/>
              <w:contextualSpacing/>
              <w:rPr>
                <w:rFonts w:ascii="Times New Roman" w:hAnsi="Times New Roman" w:cs="Times New Roman"/>
                <w:sz w:val="16"/>
                <w:szCs w:val="16"/>
              </w:rPr>
            </w:pPr>
            <w:r w:rsidRPr="00A26507">
              <w:rPr>
                <w:rFonts w:ascii="Times New Roman" w:hAnsi="Times New Roman" w:cs="Times New Roman"/>
                <w:sz w:val="16"/>
                <w:szCs w:val="16"/>
              </w:rPr>
              <w:t>LQ</w:t>
            </w:r>
          </w:p>
        </w:tc>
        <w:tc>
          <w:tcPr>
            <w:tcW w:w="1134" w:type="dxa"/>
            <w:vAlign w:val="bottom"/>
          </w:tcPr>
          <w:p w14:paraId="4167221D" w14:textId="77777777" w:rsidR="00B75F05" w:rsidRPr="00A26507" w:rsidRDefault="00B75F05" w:rsidP="00C21D6F">
            <w:pPr>
              <w:autoSpaceDE w:val="0"/>
              <w:autoSpaceDN w:val="0"/>
              <w:adjustRightInd w:val="0"/>
              <w:ind w:right="10"/>
              <w:rPr>
                <w:rFonts w:ascii="Times New Roman" w:hAnsi="Times New Roman" w:cs="Times New Roman"/>
                <w:color w:val="000000"/>
                <w:sz w:val="16"/>
                <w:szCs w:val="16"/>
              </w:rPr>
            </w:pPr>
            <w:r>
              <w:rPr>
                <w:rFonts w:ascii="Times New Roman" w:hAnsi="Times New Roman" w:cs="Times New Roman"/>
                <w:color w:val="000000"/>
                <w:sz w:val="16"/>
                <w:szCs w:val="16"/>
              </w:rPr>
              <w:t>0.21</w:t>
            </w:r>
          </w:p>
        </w:tc>
        <w:tc>
          <w:tcPr>
            <w:tcW w:w="1559" w:type="dxa"/>
            <w:vAlign w:val="bottom"/>
          </w:tcPr>
          <w:p w14:paraId="2C948CC0" w14:textId="77777777" w:rsidR="00B75F05" w:rsidRPr="00A26507" w:rsidRDefault="00B75F05" w:rsidP="00C21D6F">
            <w:pPr>
              <w:autoSpaceDE w:val="0"/>
              <w:autoSpaceDN w:val="0"/>
              <w:adjustRightInd w:val="0"/>
              <w:ind w:right="10"/>
              <w:rPr>
                <w:rFonts w:ascii="Times New Roman" w:hAnsi="Times New Roman" w:cs="Times New Roman"/>
                <w:color w:val="000000"/>
                <w:sz w:val="16"/>
                <w:szCs w:val="16"/>
              </w:rPr>
            </w:pPr>
            <w:r>
              <w:rPr>
                <w:rFonts w:ascii="Times New Roman" w:hAnsi="Times New Roman" w:cs="Times New Roman"/>
                <w:color w:val="000000"/>
                <w:sz w:val="16"/>
                <w:szCs w:val="16"/>
              </w:rPr>
              <w:t>0.65</w:t>
            </w:r>
          </w:p>
        </w:tc>
        <w:tc>
          <w:tcPr>
            <w:tcW w:w="1276" w:type="dxa"/>
            <w:vAlign w:val="bottom"/>
          </w:tcPr>
          <w:p w14:paraId="59E86FE6" w14:textId="77777777" w:rsidR="00B75F05" w:rsidRPr="00A26507" w:rsidRDefault="00B75F05" w:rsidP="00C21D6F">
            <w:pPr>
              <w:autoSpaceDE w:val="0"/>
              <w:autoSpaceDN w:val="0"/>
              <w:adjustRightInd w:val="0"/>
              <w:ind w:right="10"/>
              <w:rPr>
                <w:rFonts w:ascii="Times New Roman" w:hAnsi="Times New Roman" w:cs="Times New Roman"/>
                <w:color w:val="000000"/>
                <w:sz w:val="16"/>
                <w:szCs w:val="16"/>
              </w:rPr>
            </w:pPr>
            <w:r>
              <w:rPr>
                <w:rFonts w:ascii="Times New Roman" w:hAnsi="Times New Roman" w:cs="Times New Roman"/>
                <w:color w:val="000000"/>
                <w:sz w:val="16"/>
                <w:szCs w:val="16"/>
              </w:rPr>
              <w:t>0.04</w:t>
            </w:r>
          </w:p>
        </w:tc>
        <w:tc>
          <w:tcPr>
            <w:tcW w:w="1275" w:type="dxa"/>
            <w:vAlign w:val="bottom"/>
          </w:tcPr>
          <w:p w14:paraId="4519B5B4" w14:textId="77777777" w:rsidR="00B75F05" w:rsidRPr="00A26507" w:rsidRDefault="00B75F05" w:rsidP="00C21D6F">
            <w:pPr>
              <w:autoSpaceDE w:val="0"/>
              <w:autoSpaceDN w:val="0"/>
              <w:adjustRightInd w:val="0"/>
              <w:ind w:right="10"/>
              <w:rPr>
                <w:rFonts w:ascii="Times New Roman" w:hAnsi="Times New Roman" w:cs="Times New Roman"/>
                <w:color w:val="000000"/>
                <w:sz w:val="16"/>
                <w:szCs w:val="16"/>
              </w:rPr>
            </w:pPr>
            <w:r>
              <w:rPr>
                <w:rFonts w:ascii="Times New Roman" w:hAnsi="Times New Roman" w:cs="Times New Roman"/>
                <w:color w:val="000000"/>
                <w:sz w:val="16"/>
                <w:szCs w:val="16"/>
              </w:rPr>
              <w:t>1.34</w:t>
            </w:r>
          </w:p>
        </w:tc>
      </w:tr>
      <w:tr w:rsidR="00B75F05" w:rsidRPr="00A26507" w14:paraId="65F7B1B5" w14:textId="77777777" w:rsidTr="00C21D6F">
        <w:tc>
          <w:tcPr>
            <w:tcW w:w="1985" w:type="dxa"/>
          </w:tcPr>
          <w:p w14:paraId="2739BDEB" w14:textId="77777777" w:rsidR="00B75F05" w:rsidRPr="00A26507" w:rsidRDefault="00B75F05" w:rsidP="00C21D6F">
            <w:pPr>
              <w:spacing w:line="480" w:lineRule="auto"/>
              <w:contextualSpacing/>
              <w:rPr>
                <w:rFonts w:ascii="Times New Roman" w:hAnsi="Times New Roman" w:cs="Times New Roman"/>
                <w:sz w:val="16"/>
                <w:szCs w:val="16"/>
              </w:rPr>
            </w:pPr>
            <w:r w:rsidRPr="00A26507">
              <w:rPr>
                <w:rFonts w:ascii="Times New Roman" w:hAnsi="Times New Roman" w:cs="Times New Roman"/>
                <w:sz w:val="16"/>
                <w:szCs w:val="16"/>
              </w:rPr>
              <w:t>MP</w:t>
            </w:r>
          </w:p>
        </w:tc>
        <w:tc>
          <w:tcPr>
            <w:tcW w:w="1134" w:type="dxa"/>
            <w:vAlign w:val="bottom"/>
          </w:tcPr>
          <w:p w14:paraId="6D37B869" w14:textId="77777777" w:rsidR="00B75F05" w:rsidRPr="00A26507" w:rsidRDefault="00B75F05" w:rsidP="00C21D6F">
            <w:pPr>
              <w:autoSpaceDE w:val="0"/>
              <w:autoSpaceDN w:val="0"/>
              <w:adjustRightInd w:val="0"/>
              <w:ind w:right="10"/>
              <w:rPr>
                <w:rFonts w:ascii="Times New Roman" w:hAnsi="Times New Roman" w:cs="Times New Roman"/>
                <w:color w:val="000000"/>
                <w:sz w:val="16"/>
                <w:szCs w:val="16"/>
              </w:rPr>
            </w:pPr>
            <w:r>
              <w:rPr>
                <w:rFonts w:ascii="Times New Roman" w:hAnsi="Times New Roman" w:cs="Times New Roman"/>
                <w:color w:val="000000"/>
                <w:sz w:val="16"/>
                <w:szCs w:val="16"/>
              </w:rPr>
              <w:t>-0.01</w:t>
            </w:r>
          </w:p>
        </w:tc>
        <w:tc>
          <w:tcPr>
            <w:tcW w:w="1559" w:type="dxa"/>
            <w:vAlign w:val="bottom"/>
          </w:tcPr>
          <w:p w14:paraId="0DAA7E65" w14:textId="77777777" w:rsidR="00B75F05" w:rsidRPr="00A26507" w:rsidRDefault="00B75F05" w:rsidP="00C21D6F">
            <w:pPr>
              <w:autoSpaceDE w:val="0"/>
              <w:autoSpaceDN w:val="0"/>
              <w:adjustRightInd w:val="0"/>
              <w:ind w:right="10"/>
              <w:rPr>
                <w:rFonts w:ascii="Times New Roman" w:hAnsi="Times New Roman" w:cs="Times New Roman"/>
                <w:color w:val="000000"/>
                <w:sz w:val="16"/>
                <w:szCs w:val="16"/>
              </w:rPr>
            </w:pPr>
            <w:r>
              <w:rPr>
                <w:rFonts w:ascii="Times New Roman" w:hAnsi="Times New Roman" w:cs="Times New Roman"/>
                <w:color w:val="000000"/>
                <w:sz w:val="16"/>
                <w:szCs w:val="16"/>
              </w:rPr>
              <w:t>-0.15</w:t>
            </w:r>
          </w:p>
        </w:tc>
        <w:tc>
          <w:tcPr>
            <w:tcW w:w="1276" w:type="dxa"/>
            <w:vAlign w:val="bottom"/>
          </w:tcPr>
          <w:p w14:paraId="60BFB20B" w14:textId="77777777" w:rsidR="00B75F05" w:rsidRPr="00A26507" w:rsidRDefault="00B75F05" w:rsidP="00C21D6F">
            <w:pPr>
              <w:autoSpaceDE w:val="0"/>
              <w:autoSpaceDN w:val="0"/>
              <w:adjustRightInd w:val="0"/>
              <w:ind w:right="10"/>
              <w:rPr>
                <w:rFonts w:ascii="Times New Roman" w:hAnsi="Times New Roman" w:cs="Times New Roman"/>
                <w:color w:val="000000"/>
                <w:sz w:val="16"/>
                <w:szCs w:val="16"/>
              </w:rPr>
            </w:pPr>
            <w:r>
              <w:rPr>
                <w:rFonts w:ascii="Times New Roman" w:hAnsi="Times New Roman" w:cs="Times New Roman"/>
                <w:color w:val="000000"/>
                <w:sz w:val="16"/>
                <w:szCs w:val="16"/>
              </w:rPr>
              <w:t>-0.02</w:t>
            </w:r>
          </w:p>
        </w:tc>
        <w:tc>
          <w:tcPr>
            <w:tcW w:w="1275" w:type="dxa"/>
            <w:vAlign w:val="bottom"/>
          </w:tcPr>
          <w:p w14:paraId="351E4988" w14:textId="77777777" w:rsidR="00B75F05" w:rsidRPr="00A26507" w:rsidRDefault="00B75F05" w:rsidP="00C21D6F">
            <w:pPr>
              <w:autoSpaceDE w:val="0"/>
              <w:autoSpaceDN w:val="0"/>
              <w:adjustRightInd w:val="0"/>
              <w:ind w:right="10"/>
              <w:rPr>
                <w:rFonts w:ascii="Times New Roman" w:hAnsi="Times New Roman" w:cs="Times New Roman"/>
                <w:color w:val="000000"/>
                <w:sz w:val="16"/>
                <w:szCs w:val="16"/>
              </w:rPr>
            </w:pPr>
            <w:r>
              <w:rPr>
                <w:rFonts w:ascii="Times New Roman" w:hAnsi="Times New Roman" w:cs="Times New Roman"/>
                <w:color w:val="000000"/>
                <w:sz w:val="16"/>
                <w:szCs w:val="16"/>
              </w:rPr>
              <w:t>-0.32</w:t>
            </w:r>
          </w:p>
        </w:tc>
      </w:tr>
      <w:tr w:rsidR="00B75F05" w:rsidRPr="00A26507" w14:paraId="3C39606F" w14:textId="77777777" w:rsidTr="00C21D6F">
        <w:tc>
          <w:tcPr>
            <w:tcW w:w="1985" w:type="dxa"/>
          </w:tcPr>
          <w:p w14:paraId="6A695BA5" w14:textId="77777777" w:rsidR="00B75F05" w:rsidRPr="00A26507" w:rsidRDefault="00B75F05" w:rsidP="00C21D6F">
            <w:pPr>
              <w:spacing w:line="480" w:lineRule="auto"/>
              <w:contextualSpacing/>
              <w:rPr>
                <w:rFonts w:ascii="Times New Roman" w:hAnsi="Times New Roman" w:cs="Times New Roman"/>
                <w:sz w:val="16"/>
                <w:szCs w:val="16"/>
              </w:rPr>
            </w:pPr>
            <w:r w:rsidRPr="00A26507">
              <w:rPr>
                <w:rFonts w:ascii="Times New Roman" w:hAnsi="Times New Roman" w:cs="Times New Roman"/>
                <w:sz w:val="16"/>
                <w:szCs w:val="16"/>
              </w:rPr>
              <w:t>ΔGDP</w:t>
            </w:r>
          </w:p>
        </w:tc>
        <w:tc>
          <w:tcPr>
            <w:tcW w:w="1134" w:type="dxa"/>
            <w:vAlign w:val="bottom"/>
          </w:tcPr>
          <w:p w14:paraId="66EDC28C" w14:textId="77777777" w:rsidR="00B75F05" w:rsidRPr="00A26507" w:rsidRDefault="00B75F05" w:rsidP="00C21D6F">
            <w:pPr>
              <w:autoSpaceDE w:val="0"/>
              <w:autoSpaceDN w:val="0"/>
              <w:adjustRightInd w:val="0"/>
              <w:ind w:right="11"/>
              <w:rPr>
                <w:rFonts w:ascii="Times New Roman" w:hAnsi="Times New Roman" w:cs="Times New Roman"/>
                <w:color w:val="000000"/>
                <w:sz w:val="16"/>
                <w:szCs w:val="16"/>
              </w:rPr>
            </w:pPr>
            <w:r>
              <w:rPr>
                <w:rFonts w:ascii="Times New Roman" w:hAnsi="Times New Roman" w:cs="Times New Roman"/>
                <w:color w:val="000000"/>
                <w:sz w:val="16"/>
                <w:szCs w:val="16"/>
              </w:rPr>
              <w:t>-15.14</w:t>
            </w:r>
          </w:p>
        </w:tc>
        <w:tc>
          <w:tcPr>
            <w:tcW w:w="1559" w:type="dxa"/>
            <w:vAlign w:val="bottom"/>
          </w:tcPr>
          <w:p w14:paraId="4A4D6D7E" w14:textId="77777777" w:rsidR="00B75F05" w:rsidRPr="00A26507" w:rsidRDefault="00B75F05" w:rsidP="00C21D6F">
            <w:pPr>
              <w:autoSpaceDE w:val="0"/>
              <w:autoSpaceDN w:val="0"/>
              <w:adjustRightInd w:val="0"/>
              <w:ind w:right="11"/>
              <w:rPr>
                <w:rFonts w:ascii="Times New Roman" w:hAnsi="Times New Roman" w:cs="Times New Roman"/>
                <w:color w:val="000000"/>
                <w:sz w:val="16"/>
                <w:szCs w:val="16"/>
              </w:rPr>
            </w:pPr>
            <w:r>
              <w:rPr>
                <w:rFonts w:ascii="Times New Roman" w:hAnsi="Times New Roman" w:cs="Times New Roman"/>
                <w:color w:val="000000"/>
                <w:sz w:val="16"/>
                <w:szCs w:val="16"/>
              </w:rPr>
              <w:t>-1.20</w:t>
            </w:r>
          </w:p>
        </w:tc>
        <w:tc>
          <w:tcPr>
            <w:tcW w:w="1276" w:type="dxa"/>
            <w:vAlign w:val="bottom"/>
          </w:tcPr>
          <w:p w14:paraId="176E658D" w14:textId="77777777" w:rsidR="00B75F05" w:rsidRPr="00A26507" w:rsidRDefault="00B75F05" w:rsidP="00C21D6F">
            <w:pPr>
              <w:autoSpaceDE w:val="0"/>
              <w:autoSpaceDN w:val="0"/>
              <w:adjustRightInd w:val="0"/>
              <w:ind w:right="11"/>
              <w:rPr>
                <w:rFonts w:ascii="Times New Roman" w:hAnsi="Times New Roman" w:cs="Times New Roman"/>
                <w:color w:val="000000"/>
                <w:sz w:val="16"/>
                <w:szCs w:val="16"/>
              </w:rPr>
            </w:pPr>
            <w:r>
              <w:rPr>
                <w:rFonts w:ascii="Times New Roman" w:hAnsi="Times New Roman" w:cs="Times New Roman"/>
                <w:color w:val="000000"/>
                <w:sz w:val="16"/>
                <w:szCs w:val="16"/>
              </w:rPr>
              <w:t>-0.03</w:t>
            </w:r>
          </w:p>
        </w:tc>
        <w:tc>
          <w:tcPr>
            <w:tcW w:w="1275" w:type="dxa"/>
            <w:vAlign w:val="bottom"/>
          </w:tcPr>
          <w:p w14:paraId="013A7F7C" w14:textId="77777777" w:rsidR="00B75F05" w:rsidRPr="00A26507" w:rsidRDefault="00B75F05" w:rsidP="00C21D6F">
            <w:pPr>
              <w:autoSpaceDE w:val="0"/>
              <w:autoSpaceDN w:val="0"/>
              <w:adjustRightInd w:val="0"/>
              <w:ind w:right="11"/>
              <w:rPr>
                <w:rFonts w:ascii="Times New Roman" w:hAnsi="Times New Roman" w:cs="Times New Roman"/>
                <w:color w:val="000000"/>
                <w:sz w:val="16"/>
                <w:szCs w:val="16"/>
              </w:rPr>
            </w:pPr>
            <w:r>
              <w:rPr>
                <w:rFonts w:ascii="Times New Roman" w:hAnsi="Times New Roman" w:cs="Times New Roman"/>
                <w:color w:val="000000"/>
                <w:sz w:val="16"/>
                <w:szCs w:val="16"/>
              </w:rPr>
              <w:t>-0.02</w:t>
            </w:r>
          </w:p>
        </w:tc>
      </w:tr>
      <w:tr w:rsidR="00B75F05" w:rsidRPr="00A26507" w14:paraId="40C9916E" w14:textId="77777777" w:rsidTr="00C21D6F">
        <w:tc>
          <w:tcPr>
            <w:tcW w:w="1985" w:type="dxa"/>
          </w:tcPr>
          <w:p w14:paraId="0035587F" w14:textId="77777777" w:rsidR="00B75F05" w:rsidRPr="00A26507" w:rsidRDefault="00B75F05" w:rsidP="00C21D6F">
            <w:pPr>
              <w:spacing w:line="480" w:lineRule="auto"/>
              <w:contextualSpacing/>
              <w:rPr>
                <w:rFonts w:ascii="Times New Roman" w:hAnsi="Times New Roman" w:cs="Times New Roman"/>
                <w:sz w:val="16"/>
                <w:szCs w:val="16"/>
              </w:rPr>
            </w:pPr>
            <w:r w:rsidRPr="00A26507">
              <w:rPr>
                <w:rFonts w:ascii="Times New Roman" w:hAnsi="Times New Roman" w:cs="Times New Roman"/>
                <w:sz w:val="16"/>
                <w:szCs w:val="16"/>
              </w:rPr>
              <w:t>INF</w:t>
            </w:r>
          </w:p>
        </w:tc>
        <w:tc>
          <w:tcPr>
            <w:tcW w:w="1134" w:type="dxa"/>
            <w:vAlign w:val="bottom"/>
          </w:tcPr>
          <w:p w14:paraId="1990BABC" w14:textId="77777777" w:rsidR="00B75F05" w:rsidRPr="00A26507" w:rsidRDefault="00B75F05" w:rsidP="00C21D6F">
            <w:pPr>
              <w:autoSpaceDE w:val="0"/>
              <w:autoSpaceDN w:val="0"/>
              <w:adjustRightInd w:val="0"/>
              <w:ind w:right="11"/>
              <w:rPr>
                <w:rFonts w:ascii="Times New Roman" w:hAnsi="Times New Roman" w:cs="Times New Roman"/>
                <w:color w:val="000000"/>
                <w:sz w:val="16"/>
                <w:szCs w:val="16"/>
              </w:rPr>
            </w:pPr>
            <w:r>
              <w:rPr>
                <w:rFonts w:ascii="Times New Roman" w:hAnsi="Times New Roman" w:cs="Times New Roman"/>
                <w:color w:val="000000"/>
                <w:sz w:val="16"/>
                <w:szCs w:val="16"/>
              </w:rPr>
              <w:t>-0.12</w:t>
            </w:r>
          </w:p>
        </w:tc>
        <w:tc>
          <w:tcPr>
            <w:tcW w:w="1559" w:type="dxa"/>
            <w:vAlign w:val="bottom"/>
          </w:tcPr>
          <w:p w14:paraId="6058736C" w14:textId="77777777" w:rsidR="00B75F05" w:rsidRPr="00A26507" w:rsidRDefault="00B75F05" w:rsidP="00C21D6F">
            <w:pPr>
              <w:autoSpaceDE w:val="0"/>
              <w:autoSpaceDN w:val="0"/>
              <w:adjustRightInd w:val="0"/>
              <w:ind w:right="11"/>
              <w:rPr>
                <w:rFonts w:ascii="Times New Roman" w:hAnsi="Times New Roman" w:cs="Times New Roman"/>
                <w:color w:val="000000"/>
                <w:sz w:val="16"/>
                <w:szCs w:val="16"/>
              </w:rPr>
            </w:pPr>
            <w:r>
              <w:rPr>
                <w:rFonts w:ascii="Times New Roman" w:hAnsi="Times New Roman" w:cs="Times New Roman"/>
                <w:color w:val="000000"/>
                <w:sz w:val="16"/>
                <w:szCs w:val="16"/>
              </w:rPr>
              <w:t>-0.53</w:t>
            </w:r>
          </w:p>
        </w:tc>
        <w:tc>
          <w:tcPr>
            <w:tcW w:w="1276" w:type="dxa"/>
            <w:vAlign w:val="bottom"/>
          </w:tcPr>
          <w:p w14:paraId="3C50D620" w14:textId="77777777" w:rsidR="00B75F05" w:rsidRPr="00A26507" w:rsidRDefault="00B75F05" w:rsidP="00C21D6F">
            <w:pPr>
              <w:autoSpaceDE w:val="0"/>
              <w:autoSpaceDN w:val="0"/>
              <w:adjustRightInd w:val="0"/>
              <w:ind w:right="11"/>
              <w:rPr>
                <w:rFonts w:ascii="Times New Roman" w:hAnsi="Times New Roman" w:cs="Times New Roman"/>
                <w:color w:val="000000"/>
                <w:sz w:val="16"/>
                <w:szCs w:val="16"/>
              </w:rPr>
            </w:pPr>
            <w:r>
              <w:rPr>
                <w:rFonts w:ascii="Times New Roman" w:hAnsi="Times New Roman" w:cs="Times New Roman"/>
                <w:color w:val="000000"/>
                <w:sz w:val="16"/>
                <w:szCs w:val="16"/>
              </w:rPr>
              <w:t>0.03</w:t>
            </w:r>
          </w:p>
        </w:tc>
        <w:tc>
          <w:tcPr>
            <w:tcW w:w="1275" w:type="dxa"/>
            <w:vAlign w:val="bottom"/>
          </w:tcPr>
          <w:p w14:paraId="04335827" w14:textId="77777777" w:rsidR="00B75F05" w:rsidRPr="00A26507" w:rsidRDefault="00B75F05" w:rsidP="00C21D6F">
            <w:pPr>
              <w:autoSpaceDE w:val="0"/>
              <w:autoSpaceDN w:val="0"/>
              <w:adjustRightInd w:val="0"/>
              <w:ind w:right="11"/>
              <w:rPr>
                <w:rFonts w:ascii="Times New Roman" w:hAnsi="Times New Roman" w:cs="Times New Roman"/>
                <w:color w:val="000000"/>
                <w:sz w:val="16"/>
                <w:szCs w:val="16"/>
              </w:rPr>
            </w:pPr>
            <w:r>
              <w:rPr>
                <w:rFonts w:ascii="Times New Roman" w:hAnsi="Times New Roman" w:cs="Times New Roman"/>
                <w:color w:val="000000"/>
                <w:sz w:val="16"/>
                <w:szCs w:val="16"/>
              </w:rPr>
              <w:t>0.18</w:t>
            </w:r>
          </w:p>
        </w:tc>
      </w:tr>
      <w:tr w:rsidR="00B75F05" w:rsidRPr="00A26507" w14:paraId="011FE1CC" w14:textId="77777777" w:rsidTr="00C21D6F">
        <w:tc>
          <w:tcPr>
            <w:tcW w:w="1985" w:type="dxa"/>
          </w:tcPr>
          <w:p w14:paraId="0FDD0AD2" w14:textId="77777777" w:rsidR="00B75F05" w:rsidRPr="00A26507" w:rsidRDefault="00B75F05" w:rsidP="00C21D6F">
            <w:pPr>
              <w:spacing w:line="480" w:lineRule="auto"/>
              <w:contextualSpacing/>
              <w:rPr>
                <w:rFonts w:ascii="Times New Roman" w:hAnsi="Times New Roman" w:cs="Times New Roman"/>
                <w:sz w:val="16"/>
                <w:szCs w:val="16"/>
              </w:rPr>
            </w:pPr>
            <w:r w:rsidRPr="00A26507">
              <w:rPr>
                <w:rFonts w:ascii="Times New Roman" w:hAnsi="Times New Roman" w:cs="Times New Roman"/>
                <w:sz w:val="16"/>
                <w:szCs w:val="16"/>
              </w:rPr>
              <w:t>Cont</w:t>
            </w:r>
          </w:p>
        </w:tc>
        <w:tc>
          <w:tcPr>
            <w:tcW w:w="1134" w:type="dxa"/>
          </w:tcPr>
          <w:p w14:paraId="2DF4D64F" w14:textId="77777777" w:rsidR="00B75F05" w:rsidRDefault="00B75F05" w:rsidP="00C21D6F">
            <w:pPr>
              <w:rPr>
                <w:rFonts w:ascii="Times New Roman" w:hAnsi="Times New Roman" w:cs="Times New Roman"/>
                <w:sz w:val="16"/>
                <w:szCs w:val="16"/>
              </w:rPr>
            </w:pPr>
          </w:p>
          <w:p w14:paraId="24CE5B22" w14:textId="77777777" w:rsidR="00B75F05" w:rsidRPr="00A26507" w:rsidRDefault="00B75F05" w:rsidP="00C21D6F">
            <w:pPr>
              <w:rPr>
                <w:rFonts w:ascii="Times New Roman" w:hAnsi="Times New Roman" w:cs="Times New Roman"/>
                <w:sz w:val="16"/>
                <w:szCs w:val="16"/>
              </w:rPr>
            </w:pPr>
            <w:r>
              <w:rPr>
                <w:rFonts w:ascii="Times New Roman" w:hAnsi="Times New Roman" w:cs="Times New Roman"/>
                <w:sz w:val="16"/>
                <w:szCs w:val="16"/>
              </w:rPr>
              <w:t>45.74</w:t>
            </w:r>
          </w:p>
        </w:tc>
        <w:tc>
          <w:tcPr>
            <w:tcW w:w="1559" w:type="dxa"/>
          </w:tcPr>
          <w:p w14:paraId="1B8AF74D" w14:textId="77777777" w:rsidR="00B75F05" w:rsidRDefault="00B75F05" w:rsidP="00C21D6F">
            <w:pPr>
              <w:rPr>
                <w:rFonts w:ascii="Times New Roman" w:hAnsi="Times New Roman" w:cs="Times New Roman"/>
                <w:sz w:val="16"/>
                <w:szCs w:val="16"/>
              </w:rPr>
            </w:pPr>
          </w:p>
          <w:p w14:paraId="3D3E178B" w14:textId="77777777" w:rsidR="00B75F05" w:rsidRPr="00A26507" w:rsidRDefault="00B75F05" w:rsidP="00C21D6F">
            <w:pPr>
              <w:rPr>
                <w:rFonts w:ascii="Times New Roman" w:hAnsi="Times New Roman" w:cs="Times New Roman"/>
                <w:sz w:val="16"/>
                <w:szCs w:val="16"/>
              </w:rPr>
            </w:pPr>
            <w:r>
              <w:rPr>
                <w:rFonts w:ascii="Times New Roman" w:hAnsi="Times New Roman" w:cs="Times New Roman"/>
                <w:sz w:val="16"/>
                <w:szCs w:val="16"/>
              </w:rPr>
              <w:t>1.41</w:t>
            </w:r>
          </w:p>
        </w:tc>
        <w:tc>
          <w:tcPr>
            <w:tcW w:w="1276" w:type="dxa"/>
          </w:tcPr>
          <w:p w14:paraId="121A0FC8" w14:textId="77777777" w:rsidR="00B75F05" w:rsidRDefault="00B75F05" w:rsidP="00C21D6F">
            <w:pPr>
              <w:rPr>
                <w:rFonts w:ascii="Times New Roman" w:hAnsi="Times New Roman" w:cs="Times New Roman"/>
                <w:sz w:val="16"/>
                <w:szCs w:val="16"/>
              </w:rPr>
            </w:pPr>
          </w:p>
          <w:p w14:paraId="0CDC2ECC" w14:textId="77777777" w:rsidR="00B75F05" w:rsidRPr="00A26507" w:rsidRDefault="00B75F05" w:rsidP="00C21D6F">
            <w:pPr>
              <w:rPr>
                <w:rFonts w:ascii="Times New Roman" w:hAnsi="Times New Roman" w:cs="Times New Roman"/>
                <w:sz w:val="16"/>
                <w:szCs w:val="16"/>
              </w:rPr>
            </w:pPr>
            <w:r>
              <w:rPr>
                <w:rFonts w:ascii="Times New Roman" w:hAnsi="Times New Roman" w:cs="Times New Roman"/>
                <w:sz w:val="16"/>
                <w:szCs w:val="16"/>
              </w:rPr>
              <w:t>-1.49</w:t>
            </w:r>
          </w:p>
        </w:tc>
        <w:tc>
          <w:tcPr>
            <w:tcW w:w="1275" w:type="dxa"/>
          </w:tcPr>
          <w:p w14:paraId="75FBF1FE" w14:textId="77777777" w:rsidR="00B75F05" w:rsidRDefault="00B75F05" w:rsidP="00C21D6F">
            <w:pPr>
              <w:rPr>
                <w:rFonts w:ascii="Times New Roman" w:hAnsi="Times New Roman" w:cs="Times New Roman"/>
                <w:sz w:val="16"/>
                <w:szCs w:val="16"/>
              </w:rPr>
            </w:pPr>
          </w:p>
          <w:p w14:paraId="5D7F8BB7" w14:textId="77777777" w:rsidR="00B75F05" w:rsidRPr="00A26507" w:rsidRDefault="00B75F05" w:rsidP="00C21D6F">
            <w:pPr>
              <w:rPr>
                <w:rFonts w:ascii="Times New Roman" w:hAnsi="Times New Roman" w:cs="Times New Roman"/>
                <w:sz w:val="16"/>
                <w:szCs w:val="16"/>
              </w:rPr>
            </w:pPr>
            <w:r>
              <w:rPr>
                <w:rFonts w:ascii="Times New Roman" w:hAnsi="Times New Roman" w:cs="Times New Roman"/>
                <w:sz w:val="16"/>
                <w:szCs w:val="16"/>
              </w:rPr>
              <w:t>-0.43</w:t>
            </w:r>
          </w:p>
        </w:tc>
      </w:tr>
      <w:tr w:rsidR="00B75F05" w:rsidRPr="00A26507" w14:paraId="680824DA" w14:textId="77777777" w:rsidTr="00C21D6F">
        <w:tc>
          <w:tcPr>
            <w:tcW w:w="1985" w:type="dxa"/>
          </w:tcPr>
          <w:p w14:paraId="3F25FB51" w14:textId="77777777" w:rsidR="00B75F05" w:rsidRPr="00A26507" w:rsidRDefault="00B75F05" w:rsidP="00C21D6F">
            <w:pPr>
              <w:spacing w:line="480" w:lineRule="auto"/>
              <w:contextualSpacing/>
              <w:rPr>
                <w:rFonts w:ascii="Times New Roman" w:hAnsi="Times New Roman" w:cs="Times New Roman"/>
                <w:sz w:val="16"/>
                <w:szCs w:val="16"/>
                <w:vertAlign w:val="superscript"/>
              </w:rPr>
            </w:pPr>
            <w:r w:rsidRPr="00A26507">
              <w:rPr>
                <w:rFonts w:ascii="Times New Roman" w:hAnsi="Times New Roman" w:cs="Times New Roman"/>
                <w:sz w:val="16"/>
                <w:szCs w:val="16"/>
              </w:rPr>
              <w:t>R</w:t>
            </w:r>
            <w:r w:rsidRPr="00A26507">
              <w:rPr>
                <w:rFonts w:ascii="Times New Roman" w:hAnsi="Times New Roman" w:cs="Times New Roman"/>
                <w:sz w:val="16"/>
                <w:szCs w:val="16"/>
                <w:vertAlign w:val="superscript"/>
              </w:rPr>
              <w:t>2</w:t>
            </w:r>
          </w:p>
        </w:tc>
        <w:tc>
          <w:tcPr>
            <w:tcW w:w="1134" w:type="dxa"/>
          </w:tcPr>
          <w:p w14:paraId="2F2732B6" w14:textId="77777777" w:rsidR="00B75F05" w:rsidRPr="00A26507" w:rsidRDefault="00B75F05" w:rsidP="00C21D6F">
            <w:pPr>
              <w:contextualSpacing/>
              <w:rPr>
                <w:rFonts w:ascii="Times New Roman" w:hAnsi="Times New Roman" w:cs="Times New Roman"/>
                <w:sz w:val="16"/>
                <w:szCs w:val="16"/>
              </w:rPr>
            </w:pPr>
          </w:p>
        </w:tc>
        <w:tc>
          <w:tcPr>
            <w:tcW w:w="1559" w:type="dxa"/>
          </w:tcPr>
          <w:p w14:paraId="0DD13EB8" w14:textId="77777777" w:rsidR="00B75F05" w:rsidRDefault="00B75F05" w:rsidP="00C21D6F">
            <w:pPr>
              <w:contextualSpacing/>
              <w:rPr>
                <w:rFonts w:ascii="Times New Roman" w:hAnsi="Times New Roman" w:cs="Times New Roman"/>
                <w:sz w:val="16"/>
                <w:szCs w:val="16"/>
              </w:rPr>
            </w:pPr>
          </w:p>
          <w:p w14:paraId="2F5FE113" w14:textId="77777777" w:rsidR="00B75F05" w:rsidRPr="00A26507" w:rsidRDefault="00B75F05" w:rsidP="00C21D6F">
            <w:pPr>
              <w:contextualSpacing/>
              <w:rPr>
                <w:rFonts w:ascii="Times New Roman" w:hAnsi="Times New Roman" w:cs="Times New Roman"/>
                <w:sz w:val="16"/>
                <w:szCs w:val="16"/>
              </w:rPr>
            </w:pPr>
            <w:r>
              <w:rPr>
                <w:rFonts w:ascii="Times New Roman" w:hAnsi="Times New Roman" w:cs="Times New Roman"/>
                <w:sz w:val="16"/>
                <w:szCs w:val="16"/>
              </w:rPr>
              <w:t>1%</w:t>
            </w:r>
          </w:p>
        </w:tc>
        <w:tc>
          <w:tcPr>
            <w:tcW w:w="1276" w:type="dxa"/>
          </w:tcPr>
          <w:p w14:paraId="0C4A73A4" w14:textId="77777777" w:rsidR="00B75F05" w:rsidRPr="00A26507" w:rsidRDefault="00B75F05" w:rsidP="00C21D6F">
            <w:pPr>
              <w:contextualSpacing/>
              <w:rPr>
                <w:rFonts w:ascii="Times New Roman" w:hAnsi="Times New Roman" w:cs="Times New Roman"/>
                <w:sz w:val="16"/>
                <w:szCs w:val="16"/>
              </w:rPr>
            </w:pPr>
          </w:p>
        </w:tc>
        <w:tc>
          <w:tcPr>
            <w:tcW w:w="1275" w:type="dxa"/>
          </w:tcPr>
          <w:p w14:paraId="1F4316F9" w14:textId="77777777" w:rsidR="00B75F05" w:rsidRPr="00A26507" w:rsidRDefault="00B75F05" w:rsidP="00C21D6F">
            <w:pPr>
              <w:contextualSpacing/>
              <w:rPr>
                <w:rFonts w:ascii="Times New Roman" w:hAnsi="Times New Roman" w:cs="Times New Roman"/>
                <w:sz w:val="16"/>
                <w:szCs w:val="16"/>
              </w:rPr>
            </w:pPr>
          </w:p>
          <w:p w14:paraId="6BD5115E" w14:textId="77777777" w:rsidR="00B75F05" w:rsidRPr="00A26507" w:rsidRDefault="00B75F05" w:rsidP="00C21D6F">
            <w:pPr>
              <w:contextualSpacing/>
              <w:rPr>
                <w:rFonts w:ascii="Times New Roman" w:hAnsi="Times New Roman" w:cs="Times New Roman"/>
                <w:sz w:val="16"/>
                <w:szCs w:val="16"/>
              </w:rPr>
            </w:pPr>
            <w:r>
              <w:rPr>
                <w:rFonts w:ascii="Times New Roman" w:hAnsi="Times New Roman" w:cs="Times New Roman"/>
                <w:sz w:val="16"/>
                <w:szCs w:val="16"/>
              </w:rPr>
              <w:t>7</w:t>
            </w:r>
            <w:r w:rsidRPr="00A26507">
              <w:rPr>
                <w:rFonts w:ascii="Times New Roman" w:hAnsi="Times New Roman" w:cs="Times New Roman"/>
                <w:sz w:val="16"/>
                <w:szCs w:val="16"/>
              </w:rPr>
              <w:t>%</w:t>
            </w:r>
          </w:p>
        </w:tc>
      </w:tr>
      <w:tr w:rsidR="00B75F05" w:rsidRPr="00A26507" w14:paraId="68A9B84F" w14:textId="77777777" w:rsidTr="00C21D6F">
        <w:tc>
          <w:tcPr>
            <w:tcW w:w="1985" w:type="dxa"/>
          </w:tcPr>
          <w:p w14:paraId="1B7ABA01" w14:textId="77777777" w:rsidR="00B75F05" w:rsidRPr="00A26507" w:rsidRDefault="00B75F05" w:rsidP="00C21D6F">
            <w:pPr>
              <w:spacing w:line="480" w:lineRule="auto"/>
              <w:contextualSpacing/>
              <w:rPr>
                <w:rFonts w:ascii="Times New Roman" w:hAnsi="Times New Roman" w:cs="Times New Roman"/>
                <w:sz w:val="16"/>
                <w:szCs w:val="16"/>
                <w:vertAlign w:val="superscript"/>
              </w:rPr>
            </w:pPr>
            <w:r w:rsidRPr="00A26507">
              <w:rPr>
                <w:rFonts w:ascii="Times New Roman" w:hAnsi="Times New Roman" w:cs="Times New Roman"/>
                <w:sz w:val="16"/>
                <w:szCs w:val="16"/>
              </w:rPr>
              <w:t>F-stat</w:t>
            </w:r>
          </w:p>
        </w:tc>
        <w:tc>
          <w:tcPr>
            <w:tcW w:w="1134" w:type="dxa"/>
          </w:tcPr>
          <w:p w14:paraId="4E3E870A" w14:textId="77777777" w:rsidR="00B75F05" w:rsidRPr="00A26507" w:rsidRDefault="00B75F05" w:rsidP="00C21D6F">
            <w:pPr>
              <w:contextualSpacing/>
              <w:rPr>
                <w:rFonts w:ascii="Times New Roman" w:hAnsi="Times New Roman" w:cs="Times New Roman"/>
                <w:sz w:val="16"/>
                <w:szCs w:val="16"/>
              </w:rPr>
            </w:pPr>
          </w:p>
        </w:tc>
        <w:tc>
          <w:tcPr>
            <w:tcW w:w="1559" w:type="dxa"/>
          </w:tcPr>
          <w:p w14:paraId="4FCF59D5" w14:textId="77777777" w:rsidR="00B75F05" w:rsidRDefault="00B75F05" w:rsidP="00C21D6F">
            <w:pPr>
              <w:contextualSpacing/>
              <w:rPr>
                <w:rFonts w:ascii="Times New Roman" w:hAnsi="Times New Roman" w:cs="Times New Roman"/>
                <w:sz w:val="16"/>
                <w:szCs w:val="16"/>
              </w:rPr>
            </w:pPr>
          </w:p>
          <w:p w14:paraId="60B619FE" w14:textId="77777777" w:rsidR="00B75F05" w:rsidRPr="00A26507" w:rsidRDefault="00B75F05" w:rsidP="00C21D6F">
            <w:pPr>
              <w:contextualSpacing/>
              <w:rPr>
                <w:rFonts w:ascii="Times New Roman" w:hAnsi="Times New Roman" w:cs="Times New Roman"/>
                <w:sz w:val="16"/>
                <w:szCs w:val="16"/>
              </w:rPr>
            </w:pPr>
            <w:r>
              <w:rPr>
                <w:rFonts w:ascii="Times New Roman" w:hAnsi="Times New Roman" w:cs="Times New Roman"/>
                <w:sz w:val="16"/>
                <w:szCs w:val="16"/>
              </w:rPr>
              <w:t>6.16***</w:t>
            </w:r>
          </w:p>
        </w:tc>
        <w:tc>
          <w:tcPr>
            <w:tcW w:w="1276" w:type="dxa"/>
          </w:tcPr>
          <w:p w14:paraId="45100867" w14:textId="77777777" w:rsidR="00B75F05" w:rsidRPr="00A26507" w:rsidRDefault="00B75F05" w:rsidP="00C21D6F">
            <w:pPr>
              <w:contextualSpacing/>
              <w:rPr>
                <w:rFonts w:ascii="Times New Roman" w:hAnsi="Times New Roman" w:cs="Times New Roman"/>
                <w:sz w:val="16"/>
                <w:szCs w:val="16"/>
              </w:rPr>
            </w:pPr>
          </w:p>
        </w:tc>
        <w:tc>
          <w:tcPr>
            <w:tcW w:w="1275" w:type="dxa"/>
          </w:tcPr>
          <w:p w14:paraId="131F3D2C" w14:textId="77777777" w:rsidR="00B75F05" w:rsidRDefault="00B75F05" w:rsidP="00C21D6F">
            <w:pPr>
              <w:contextualSpacing/>
              <w:rPr>
                <w:rFonts w:ascii="Times New Roman" w:hAnsi="Times New Roman" w:cs="Times New Roman"/>
                <w:sz w:val="16"/>
                <w:szCs w:val="16"/>
              </w:rPr>
            </w:pPr>
          </w:p>
          <w:p w14:paraId="307A8E16" w14:textId="77777777" w:rsidR="00B75F05" w:rsidRPr="00A26507" w:rsidRDefault="00B75F05" w:rsidP="00C21D6F">
            <w:pPr>
              <w:contextualSpacing/>
              <w:rPr>
                <w:rFonts w:ascii="Times New Roman" w:hAnsi="Times New Roman" w:cs="Times New Roman"/>
                <w:sz w:val="16"/>
                <w:szCs w:val="16"/>
              </w:rPr>
            </w:pPr>
            <w:r>
              <w:rPr>
                <w:rFonts w:ascii="Times New Roman" w:hAnsi="Times New Roman" w:cs="Times New Roman"/>
                <w:sz w:val="16"/>
                <w:szCs w:val="16"/>
              </w:rPr>
              <w:t>132.95***</w:t>
            </w:r>
          </w:p>
        </w:tc>
      </w:tr>
      <w:tr w:rsidR="00B75F05" w:rsidRPr="00A26507" w14:paraId="19B6E52F" w14:textId="77777777" w:rsidTr="00C21D6F">
        <w:tc>
          <w:tcPr>
            <w:tcW w:w="1985" w:type="dxa"/>
          </w:tcPr>
          <w:p w14:paraId="52109221" w14:textId="77777777" w:rsidR="00B75F05" w:rsidRPr="00A26507" w:rsidRDefault="00B75F05" w:rsidP="00C21D6F">
            <w:pPr>
              <w:spacing w:line="480" w:lineRule="auto"/>
              <w:contextualSpacing/>
              <w:rPr>
                <w:rFonts w:ascii="Times New Roman" w:hAnsi="Times New Roman" w:cs="Times New Roman"/>
                <w:sz w:val="16"/>
                <w:szCs w:val="16"/>
              </w:rPr>
            </w:pPr>
            <w:r w:rsidRPr="00A26507">
              <w:rPr>
                <w:rFonts w:ascii="Times New Roman" w:hAnsi="Times New Roman" w:cs="Times New Roman"/>
                <w:sz w:val="16"/>
                <w:szCs w:val="16"/>
              </w:rPr>
              <w:t>Obs</w:t>
            </w:r>
          </w:p>
        </w:tc>
        <w:tc>
          <w:tcPr>
            <w:tcW w:w="1134" w:type="dxa"/>
          </w:tcPr>
          <w:p w14:paraId="60C2D740" w14:textId="77777777" w:rsidR="00B75F05" w:rsidRPr="00A26507" w:rsidRDefault="00B75F05" w:rsidP="00C21D6F">
            <w:pPr>
              <w:contextualSpacing/>
              <w:rPr>
                <w:rFonts w:ascii="Times New Roman" w:hAnsi="Times New Roman" w:cs="Times New Roman"/>
                <w:sz w:val="16"/>
                <w:szCs w:val="16"/>
              </w:rPr>
            </w:pPr>
          </w:p>
        </w:tc>
        <w:tc>
          <w:tcPr>
            <w:tcW w:w="1559" w:type="dxa"/>
          </w:tcPr>
          <w:p w14:paraId="2DC8953B" w14:textId="77777777" w:rsidR="00B75F05" w:rsidRDefault="00B75F05" w:rsidP="00C21D6F">
            <w:pPr>
              <w:contextualSpacing/>
              <w:rPr>
                <w:rFonts w:ascii="Times New Roman" w:hAnsi="Times New Roman" w:cs="Times New Roman"/>
                <w:sz w:val="16"/>
                <w:szCs w:val="16"/>
              </w:rPr>
            </w:pPr>
          </w:p>
          <w:p w14:paraId="0311D041" w14:textId="77777777" w:rsidR="00B75F05" w:rsidRPr="00A26507" w:rsidRDefault="00B75F05" w:rsidP="00C21D6F">
            <w:pPr>
              <w:contextualSpacing/>
              <w:rPr>
                <w:rFonts w:ascii="Times New Roman" w:hAnsi="Times New Roman" w:cs="Times New Roman"/>
                <w:sz w:val="16"/>
                <w:szCs w:val="16"/>
              </w:rPr>
            </w:pPr>
            <w:r>
              <w:rPr>
                <w:rFonts w:ascii="Times New Roman" w:hAnsi="Times New Roman" w:cs="Times New Roman"/>
                <w:sz w:val="16"/>
                <w:szCs w:val="16"/>
              </w:rPr>
              <w:t>1673</w:t>
            </w:r>
          </w:p>
        </w:tc>
        <w:tc>
          <w:tcPr>
            <w:tcW w:w="1276" w:type="dxa"/>
          </w:tcPr>
          <w:p w14:paraId="5D6EFC98" w14:textId="77777777" w:rsidR="00B75F05" w:rsidRPr="00A26507" w:rsidRDefault="00B75F05" w:rsidP="00C21D6F">
            <w:pPr>
              <w:contextualSpacing/>
              <w:rPr>
                <w:rFonts w:ascii="Times New Roman" w:hAnsi="Times New Roman" w:cs="Times New Roman"/>
                <w:sz w:val="16"/>
                <w:szCs w:val="16"/>
              </w:rPr>
            </w:pPr>
          </w:p>
        </w:tc>
        <w:tc>
          <w:tcPr>
            <w:tcW w:w="1275" w:type="dxa"/>
          </w:tcPr>
          <w:p w14:paraId="05DD28CB" w14:textId="77777777" w:rsidR="00B75F05" w:rsidRDefault="00B75F05" w:rsidP="00C21D6F">
            <w:pPr>
              <w:contextualSpacing/>
              <w:rPr>
                <w:rFonts w:ascii="Times New Roman" w:hAnsi="Times New Roman" w:cs="Times New Roman"/>
                <w:sz w:val="16"/>
                <w:szCs w:val="16"/>
              </w:rPr>
            </w:pPr>
          </w:p>
          <w:p w14:paraId="1072A880" w14:textId="77777777" w:rsidR="00B75F05" w:rsidRPr="00A26507" w:rsidRDefault="00B75F05" w:rsidP="00C21D6F">
            <w:pPr>
              <w:contextualSpacing/>
              <w:rPr>
                <w:rFonts w:ascii="Times New Roman" w:hAnsi="Times New Roman" w:cs="Times New Roman"/>
                <w:sz w:val="16"/>
                <w:szCs w:val="16"/>
              </w:rPr>
            </w:pPr>
            <w:r>
              <w:rPr>
                <w:rFonts w:ascii="Times New Roman" w:hAnsi="Times New Roman" w:cs="Times New Roman"/>
                <w:sz w:val="16"/>
                <w:szCs w:val="16"/>
              </w:rPr>
              <w:t>1673</w:t>
            </w:r>
          </w:p>
        </w:tc>
      </w:tr>
    </w:tbl>
    <w:p w14:paraId="1882F5C6" w14:textId="77777777" w:rsidR="00B75F05" w:rsidRPr="008A7487" w:rsidRDefault="00B75F05" w:rsidP="00B75F05">
      <w:pPr>
        <w:spacing w:after="0"/>
        <w:rPr>
          <w:rFonts w:ascii="Times New Roman" w:hAnsi="Times New Roman" w:cs="Times New Roman"/>
          <w:sz w:val="16"/>
          <w:szCs w:val="16"/>
          <w:lang w:val="en-GB"/>
        </w:rPr>
      </w:pPr>
      <w:r>
        <w:rPr>
          <w:rFonts w:ascii="Times New Roman" w:hAnsi="Times New Roman" w:cs="Times New Roman"/>
          <w:sz w:val="16"/>
          <w:szCs w:val="16"/>
          <w:lang w:val="en-GB"/>
        </w:rPr>
        <w:t>ROE is</w:t>
      </w:r>
      <w:r w:rsidRPr="008A7487">
        <w:rPr>
          <w:rFonts w:ascii="Times New Roman" w:hAnsi="Times New Roman" w:cs="Times New Roman"/>
          <w:sz w:val="16"/>
          <w:szCs w:val="16"/>
          <w:lang w:val="en-GB"/>
        </w:rPr>
        <w:t xml:space="preserve"> defined as profit be</w:t>
      </w:r>
      <w:r>
        <w:rPr>
          <w:rFonts w:ascii="Times New Roman" w:hAnsi="Times New Roman" w:cs="Times New Roman"/>
          <w:sz w:val="16"/>
          <w:szCs w:val="16"/>
          <w:lang w:val="en-GB"/>
        </w:rPr>
        <w:t xml:space="preserve">fore tax divided by total equity. </w:t>
      </w:r>
      <w:r w:rsidRPr="008A7487">
        <w:rPr>
          <w:rFonts w:ascii="Times New Roman" w:hAnsi="Times New Roman" w:cs="Times New Roman"/>
          <w:sz w:val="16"/>
          <w:szCs w:val="16"/>
          <w:lang w:val="en-GB"/>
        </w:rPr>
        <w:t xml:space="preserve"> LNSIZE is the natural log of bank’s total assets. CAP is a measure of </w:t>
      </w:r>
    </w:p>
    <w:p w14:paraId="731B5B28" w14:textId="77777777" w:rsidR="00B75F05" w:rsidRPr="008A7487" w:rsidRDefault="00B75F05" w:rsidP="00B75F05">
      <w:pPr>
        <w:spacing w:after="0"/>
        <w:rPr>
          <w:rFonts w:ascii="Times New Roman" w:hAnsi="Times New Roman" w:cs="Times New Roman"/>
          <w:sz w:val="16"/>
          <w:szCs w:val="16"/>
          <w:lang w:val="en-GB"/>
        </w:rPr>
      </w:pPr>
      <w:r w:rsidRPr="008A7487">
        <w:rPr>
          <w:rFonts w:ascii="Times New Roman" w:hAnsi="Times New Roman" w:cs="Times New Roman"/>
          <w:sz w:val="16"/>
          <w:szCs w:val="16"/>
          <w:lang w:val="en-GB"/>
        </w:rPr>
        <w:t xml:space="preserve">capital strength, calculated as equity to total assets.  CR is a measure of credit risk and is the ratio </w:t>
      </w:r>
    </w:p>
    <w:p w14:paraId="7B851081" w14:textId="77777777" w:rsidR="00B75F05" w:rsidRPr="008A7487" w:rsidRDefault="00B75F05" w:rsidP="00B75F05">
      <w:pPr>
        <w:spacing w:after="0"/>
        <w:rPr>
          <w:rFonts w:ascii="Times New Roman" w:hAnsi="Times New Roman" w:cs="Times New Roman"/>
          <w:sz w:val="16"/>
          <w:szCs w:val="16"/>
          <w:lang w:val="en-GB"/>
        </w:rPr>
      </w:pPr>
      <w:r w:rsidRPr="008A7487">
        <w:rPr>
          <w:rFonts w:ascii="Times New Roman" w:hAnsi="Times New Roman" w:cs="Times New Roman"/>
          <w:sz w:val="16"/>
          <w:szCs w:val="16"/>
          <w:lang w:val="en-GB"/>
        </w:rPr>
        <w:t xml:space="preserve">of net loans to deposits and short-term funding. CM is the total operating cost to total income. </w:t>
      </w:r>
    </w:p>
    <w:p w14:paraId="3AD7122F" w14:textId="77777777" w:rsidR="00B75F05" w:rsidRPr="008A7487" w:rsidRDefault="00B75F05" w:rsidP="00B75F05">
      <w:pPr>
        <w:spacing w:after="0"/>
        <w:rPr>
          <w:rFonts w:ascii="Times New Roman" w:hAnsi="Times New Roman" w:cs="Times New Roman"/>
          <w:sz w:val="16"/>
          <w:szCs w:val="16"/>
          <w:lang w:val="en-GB"/>
        </w:rPr>
      </w:pPr>
      <w:r w:rsidRPr="008A7487">
        <w:rPr>
          <w:rFonts w:ascii="Times New Roman" w:hAnsi="Times New Roman" w:cs="Times New Roman"/>
          <w:sz w:val="16"/>
          <w:szCs w:val="16"/>
          <w:lang w:val="en-GB"/>
        </w:rPr>
        <w:t xml:space="preserve">LQ is a measure of liquidity, calculated as liquid assets to customer and short-term funding. </w:t>
      </w:r>
    </w:p>
    <w:p w14:paraId="67E16F83" w14:textId="77777777" w:rsidR="00B75F05" w:rsidRPr="008A7487" w:rsidRDefault="00B75F05" w:rsidP="00B75F05">
      <w:pPr>
        <w:spacing w:after="0"/>
        <w:rPr>
          <w:rFonts w:ascii="Times New Roman" w:hAnsi="Times New Roman" w:cs="Times New Roman"/>
          <w:sz w:val="16"/>
          <w:szCs w:val="16"/>
          <w:lang w:val="en-GB"/>
        </w:rPr>
      </w:pPr>
      <w:r w:rsidRPr="008A7487">
        <w:rPr>
          <w:rFonts w:ascii="Times New Roman" w:hAnsi="Times New Roman" w:cs="Times New Roman"/>
          <w:sz w:val="16"/>
          <w:szCs w:val="16"/>
          <w:lang w:val="en-GB"/>
        </w:rPr>
        <w:t xml:space="preserve">MP is a measure of market power defined as the ratio of a bank total asset to the total asset of the entire </w:t>
      </w:r>
    </w:p>
    <w:p w14:paraId="4E7FD7A5" w14:textId="77777777" w:rsidR="00B75F05" w:rsidRPr="008A7487" w:rsidRDefault="00B75F05" w:rsidP="00B75F05">
      <w:pPr>
        <w:spacing w:after="0"/>
        <w:rPr>
          <w:rFonts w:ascii="Times New Roman" w:hAnsi="Times New Roman" w:cs="Times New Roman"/>
          <w:sz w:val="16"/>
          <w:szCs w:val="16"/>
          <w:lang w:val="en-GB"/>
        </w:rPr>
      </w:pPr>
      <w:r w:rsidRPr="008A7487">
        <w:rPr>
          <w:rFonts w:ascii="Times New Roman" w:hAnsi="Times New Roman" w:cs="Times New Roman"/>
          <w:sz w:val="16"/>
          <w:szCs w:val="16"/>
          <w:lang w:val="en-GB"/>
        </w:rPr>
        <w:t>banks in a country</w:t>
      </w:r>
      <w:r w:rsidRPr="008A7487">
        <w:rPr>
          <w:rFonts w:ascii="Times New Roman" w:hAnsi="Times New Roman" w:cs="Times New Roman"/>
          <w:color w:val="FF0000"/>
          <w:sz w:val="16"/>
          <w:szCs w:val="16"/>
          <w:lang w:val="en-GB"/>
        </w:rPr>
        <w:t>.</w:t>
      </w:r>
      <w:r w:rsidRPr="008A7487">
        <w:rPr>
          <w:rFonts w:ascii="Times New Roman" w:hAnsi="Times New Roman" w:cs="Times New Roman"/>
          <w:sz w:val="16"/>
          <w:szCs w:val="16"/>
          <w:lang w:val="en-GB"/>
        </w:rPr>
        <w:t xml:space="preserve"> ∆ GDP is the annual percentage change in real gross domestic product.  INF is </w:t>
      </w:r>
    </w:p>
    <w:p w14:paraId="1980B3BA" w14:textId="77777777" w:rsidR="00B75F05" w:rsidRPr="008A7487" w:rsidRDefault="00B75F05" w:rsidP="00B75F05">
      <w:pPr>
        <w:spacing w:after="0"/>
        <w:rPr>
          <w:rFonts w:ascii="Times New Roman" w:hAnsi="Times New Roman" w:cs="Times New Roman"/>
          <w:sz w:val="16"/>
          <w:szCs w:val="16"/>
          <w:lang w:val="en-GB"/>
        </w:rPr>
      </w:pPr>
      <w:r w:rsidRPr="008A7487">
        <w:rPr>
          <w:rFonts w:ascii="Times New Roman" w:hAnsi="Times New Roman" w:cs="Times New Roman"/>
          <w:sz w:val="16"/>
          <w:szCs w:val="16"/>
          <w:lang w:val="en-GB"/>
        </w:rPr>
        <w:t xml:space="preserve">the yearly growth in consumer price </w:t>
      </w:r>
      <w:r>
        <w:rPr>
          <w:rFonts w:ascii="Times New Roman" w:hAnsi="Times New Roman" w:cs="Times New Roman"/>
          <w:sz w:val="16"/>
          <w:szCs w:val="16"/>
          <w:lang w:val="en-GB"/>
        </w:rPr>
        <w:t xml:space="preserve">index. </w:t>
      </w:r>
      <w:r w:rsidRPr="008A7487">
        <w:rPr>
          <w:rFonts w:ascii="Times New Roman" w:hAnsi="Times New Roman" w:cs="Times New Roman"/>
          <w:sz w:val="16"/>
          <w:szCs w:val="16"/>
          <w:lang w:val="en-GB"/>
        </w:rPr>
        <w:t xml:space="preserve"> *, **, *** indicate significance at 10%, 5% and 1% level respectively. </w:t>
      </w:r>
    </w:p>
    <w:p w14:paraId="797BB7CA" w14:textId="77777777" w:rsidR="00B75F05" w:rsidRDefault="00B75F05" w:rsidP="00B75F05">
      <w:pPr>
        <w:spacing w:line="480" w:lineRule="auto"/>
        <w:contextualSpacing/>
        <w:rPr>
          <w:rFonts w:ascii="Times New Roman" w:hAnsi="Times New Roman" w:cs="Times New Roman"/>
          <w:sz w:val="24"/>
          <w:szCs w:val="24"/>
        </w:rPr>
      </w:pPr>
    </w:p>
    <w:p w14:paraId="1A46BCB1" w14:textId="77777777" w:rsidR="00B75F05" w:rsidRDefault="00B75F05" w:rsidP="00B75F05">
      <w:pPr>
        <w:spacing w:line="480" w:lineRule="auto"/>
        <w:contextualSpacing/>
        <w:rPr>
          <w:rFonts w:ascii="Times New Roman" w:hAnsi="Times New Roman" w:cs="Times New Roman"/>
          <w:sz w:val="24"/>
          <w:szCs w:val="24"/>
        </w:rPr>
      </w:pPr>
    </w:p>
    <w:p w14:paraId="26C192F7" w14:textId="77777777" w:rsidR="00B75F05" w:rsidRDefault="00B75F05" w:rsidP="00B75F05">
      <w:pPr>
        <w:spacing w:line="480" w:lineRule="auto"/>
        <w:contextualSpacing/>
        <w:rPr>
          <w:rFonts w:ascii="Times New Roman" w:hAnsi="Times New Roman" w:cs="Times New Roman"/>
          <w:sz w:val="24"/>
          <w:szCs w:val="24"/>
        </w:rPr>
      </w:pPr>
    </w:p>
    <w:p w14:paraId="6B2FDE33" w14:textId="77777777" w:rsidR="00B75F05" w:rsidRDefault="00B75F05" w:rsidP="00B75F05">
      <w:pPr>
        <w:spacing w:line="480" w:lineRule="auto"/>
        <w:contextualSpacing/>
        <w:rPr>
          <w:rFonts w:ascii="Times New Roman" w:hAnsi="Times New Roman" w:cs="Times New Roman"/>
          <w:sz w:val="24"/>
          <w:szCs w:val="24"/>
        </w:rPr>
      </w:pPr>
    </w:p>
    <w:p w14:paraId="266C4DE1" w14:textId="77777777" w:rsidR="00B75F05" w:rsidRDefault="00B75F05" w:rsidP="00B75F05">
      <w:pPr>
        <w:spacing w:line="480" w:lineRule="auto"/>
        <w:contextualSpacing/>
        <w:rPr>
          <w:rFonts w:ascii="Times New Roman" w:hAnsi="Times New Roman" w:cs="Times New Roman"/>
          <w:sz w:val="24"/>
          <w:szCs w:val="24"/>
        </w:rPr>
      </w:pPr>
    </w:p>
    <w:p w14:paraId="23F47440" w14:textId="77777777" w:rsidR="00B75F05" w:rsidRDefault="00B75F05" w:rsidP="00B75F05">
      <w:pPr>
        <w:spacing w:line="480" w:lineRule="auto"/>
        <w:contextualSpacing/>
        <w:rPr>
          <w:rFonts w:ascii="Times New Roman" w:hAnsi="Times New Roman" w:cs="Times New Roman"/>
          <w:sz w:val="24"/>
          <w:szCs w:val="24"/>
        </w:rPr>
      </w:pPr>
    </w:p>
    <w:p w14:paraId="741C87F9" w14:textId="77777777" w:rsidR="00B75F05" w:rsidRDefault="00B75F05" w:rsidP="00B75F05">
      <w:pPr>
        <w:spacing w:line="480" w:lineRule="auto"/>
        <w:contextualSpacing/>
        <w:rPr>
          <w:rFonts w:ascii="Times New Roman" w:hAnsi="Times New Roman" w:cs="Times New Roman"/>
          <w:sz w:val="24"/>
          <w:szCs w:val="24"/>
        </w:rPr>
      </w:pPr>
    </w:p>
    <w:p w14:paraId="05995BAA" w14:textId="77777777" w:rsidR="00B75F05" w:rsidRDefault="00B75F05" w:rsidP="00B75F05">
      <w:pPr>
        <w:spacing w:line="480" w:lineRule="auto"/>
        <w:contextualSpacing/>
        <w:rPr>
          <w:rFonts w:ascii="Times New Roman" w:hAnsi="Times New Roman" w:cs="Times New Roman"/>
          <w:sz w:val="24"/>
          <w:szCs w:val="24"/>
        </w:rPr>
      </w:pPr>
    </w:p>
    <w:p w14:paraId="675E3424" w14:textId="77777777" w:rsidR="00B75F05" w:rsidRDefault="00B75F05" w:rsidP="00B75F05">
      <w:pPr>
        <w:spacing w:line="480" w:lineRule="auto"/>
        <w:contextualSpacing/>
        <w:rPr>
          <w:rFonts w:ascii="Times New Roman" w:hAnsi="Times New Roman" w:cs="Times New Roman"/>
          <w:sz w:val="24"/>
          <w:szCs w:val="24"/>
        </w:rPr>
      </w:pPr>
    </w:p>
    <w:p w14:paraId="24032970" w14:textId="77777777" w:rsidR="00B75F05" w:rsidRDefault="00B75F05" w:rsidP="00B75F05">
      <w:pPr>
        <w:spacing w:line="480" w:lineRule="auto"/>
        <w:contextualSpacing/>
        <w:rPr>
          <w:rFonts w:ascii="Times New Roman" w:hAnsi="Times New Roman" w:cs="Times New Roman"/>
          <w:sz w:val="24"/>
          <w:szCs w:val="24"/>
        </w:rPr>
      </w:pPr>
    </w:p>
    <w:p w14:paraId="285977CB" w14:textId="77777777" w:rsidR="00B75F05" w:rsidRDefault="00B75F05" w:rsidP="00B75F05">
      <w:pPr>
        <w:spacing w:line="480" w:lineRule="auto"/>
        <w:contextualSpacing/>
        <w:rPr>
          <w:rFonts w:ascii="Times New Roman" w:hAnsi="Times New Roman" w:cs="Times New Roman"/>
          <w:sz w:val="24"/>
          <w:szCs w:val="24"/>
        </w:rPr>
      </w:pPr>
    </w:p>
    <w:p w14:paraId="0B5572E0" w14:textId="77777777" w:rsidR="00B75F05" w:rsidRPr="008A7487" w:rsidRDefault="00B75F05" w:rsidP="00B75F05">
      <w:pPr>
        <w:spacing w:line="480" w:lineRule="auto"/>
        <w:contextualSpacing/>
        <w:rPr>
          <w:rFonts w:ascii="Times New Roman" w:hAnsi="Times New Roman" w:cs="Times New Roman"/>
          <w:sz w:val="24"/>
          <w:szCs w:val="24"/>
        </w:rPr>
      </w:pPr>
    </w:p>
    <w:p w14:paraId="6824C3D4" w14:textId="77777777" w:rsidR="00B75F05" w:rsidRPr="008A7487" w:rsidRDefault="00B75F05" w:rsidP="00B75F05">
      <w:pPr>
        <w:spacing w:after="0" w:line="240" w:lineRule="auto"/>
        <w:contextualSpacing/>
        <w:rPr>
          <w:rFonts w:ascii="Times New Roman" w:hAnsi="Times New Roman" w:cs="Times New Roman"/>
          <w:b/>
          <w:sz w:val="20"/>
          <w:szCs w:val="20"/>
        </w:rPr>
      </w:pPr>
      <w:r>
        <w:rPr>
          <w:rFonts w:ascii="Times New Roman" w:hAnsi="Times New Roman" w:cs="Times New Roman"/>
          <w:b/>
          <w:sz w:val="20"/>
          <w:szCs w:val="20"/>
        </w:rPr>
        <w:t xml:space="preserve">   </w:t>
      </w:r>
      <w:r w:rsidRPr="008A7487">
        <w:rPr>
          <w:rFonts w:ascii="Times New Roman" w:hAnsi="Times New Roman" w:cs="Times New Roman"/>
          <w:b/>
          <w:sz w:val="20"/>
          <w:szCs w:val="20"/>
        </w:rPr>
        <w:t xml:space="preserve">Table </w:t>
      </w:r>
      <w:r>
        <w:rPr>
          <w:rFonts w:ascii="Times New Roman" w:hAnsi="Times New Roman" w:cs="Times New Roman"/>
          <w:b/>
          <w:sz w:val="20"/>
          <w:szCs w:val="20"/>
        </w:rPr>
        <w:t xml:space="preserve">12: Non-linear size relationship and interaction of operating cost &amp; market power </w:t>
      </w:r>
    </w:p>
    <w:tbl>
      <w:tblPr>
        <w:tblStyle w:val="TableGrid"/>
        <w:tblW w:w="0" w:type="auto"/>
        <w:tblInd w:w="250" w:type="dxa"/>
        <w:tblLook w:val="04A0" w:firstRow="1" w:lastRow="0" w:firstColumn="1" w:lastColumn="0" w:noHBand="0" w:noVBand="1"/>
      </w:tblPr>
      <w:tblGrid>
        <w:gridCol w:w="2693"/>
        <w:gridCol w:w="993"/>
        <w:gridCol w:w="1134"/>
        <w:gridCol w:w="850"/>
        <w:gridCol w:w="1134"/>
      </w:tblGrid>
      <w:tr w:rsidR="00B75F05" w:rsidRPr="008A7487" w14:paraId="60CC53FE" w14:textId="77777777" w:rsidTr="00C21D6F">
        <w:tc>
          <w:tcPr>
            <w:tcW w:w="2693" w:type="dxa"/>
          </w:tcPr>
          <w:p w14:paraId="65798EA7" w14:textId="77777777" w:rsidR="00B75F05" w:rsidRPr="008A7487" w:rsidRDefault="00B75F05" w:rsidP="00C21D6F">
            <w:pPr>
              <w:spacing w:line="480" w:lineRule="auto"/>
              <w:contextualSpacing/>
              <w:rPr>
                <w:rFonts w:ascii="Times New Roman" w:hAnsi="Times New Roman" w:cs="Times New Roman"/>
                <w:b/>
                <w:sz w:val="16"/>
                <w:szCs w:val="16"/>
              </w:rPr>
            </w:pPr>
          </w:p>
        </w:tc>
        <w:tc>
          <w:tcPr>
            <w:tcW w:w="2127" w:type="dxa"/>
            <w:gridSpan w:val="2"/>
          </w:tcPr>
          <w:p w14:paraId="0362996D" w14:textId="77777777" w:rsidR="00B75F05" w:rsidRPr="008A7487" w:rsidRDefault="00B75F05" w:rsidP="00C21D6F">
            <w:pPr>
              <w:contextualSpacing/>
              <w:jc w:val="center"/>
              <w:rPr>
                <w:rFonts w:ascii="Times New Roman" w:hAnsi="Times New Roman" w:cs="Times New Roman"/>
                <w:b/>
                <w:sz w:val="16"/>
                <w:szCs w:val="16"/>
              </w:rPr>
            </w:pPr>
            <w:r w:rsidRPr="008A7487">
              <w:rPr>
                <w:rFonts w:ascii="Times New Roman" w:hAnsi="Times New Roman" w:cs="Times New Roman"/>
                <w:b/>
                <w:sz w:val="16"/>
                <w:szCs w:val="16"/>
              </w:rPr>
              <w:t>Column 1</w:t>
            </w:r>
          </w:p>
        </w:tc>
        <w:tc>
          <w:tcPr>
            <w:tcW w:w="1984" w:type="dxa"/>
            <w:gridSpan w:val="2"/>
          </w:tcPr>
          <w:p w14:paraId="78A4AEA1" w14:textId="77777777" w:rsidR="00B75F05" w:rsidRPr="008A7487" w:rsidRDefault="00B75F05" w:rsidP="00C21D6F">
            <w:pPr>
              <w:contextualSpacing/>
              <w:jc w:val="center"/>
              <w:rPr>
                <w:rFonts w:ascii="Times New Roman" w:hAnsi="Times New Roman" w:cs="Times New Roman"/>
                <w:b/>
                <w:sz w:val="16"/>
                <w:szCs w:val="16"/>
              </w:rPr>
            </w:pPr>
            <w:r w:rsidRPr="008A7487">
              <w:rPr>
                <w:rFonts w:ascii="Times New Roman" w:hAnsi="Times New Roman" w:cs="Times New Roman"/>
                <w:b/>
                <w:sz w:val="16"/>
                <w:szCs w:val="16"/>
              </w:rPr>
              <w:t>Column 2</w:t>
            </w:r>
          </w:p>
        </w:tc>
      </w:tr>
      <w:tr w:rsidR="00B75F05" w:rsidRPr="008A7487" w14:paraId="35A78CE1" w14:textId="77777777" w:rsidTr="00C21D6F">
        <w:tc>
          <w:tcPr>
            <w:tcW w:w="2693" w:type="dxa"/>
          </w:tcPr>
          <w:p w14:paraId="19BF1AB5" w14:textId="77777777" w:rsidR="00B75F05" w:rsidRPr="008A7487" w:rsidRDefault="00B75F05" w:rsidP="00C21D6F">
            <w:pPr>
              <w:spacing w:line="480" w:lineRule="auto"/>
              <w:contextualSpacing/>
              <w:rPr>
                <w:rFonts w:ascii="Times New Roman" w:hAnsi="Times New Roman" w:cs="Times New Roman"/>
                <w:b/>
                <w:sz w:val="16"/>
                <w:szCs w:val="16"/>
              </w:rPr>
            </w:pPr>
            <w:r w:rsidRPr="008A7487">
              <w:rPr>
                <w:rFonts w:ascii="Times New Roman" w:hAnsi="Times New Roman" w:cs="Times New Roman"/>
                <w:b/>
                <w:sz w:val="16"/>
                <w:szCs w:val="16"/>
              </w:rPr>
              <w:t xml:space="preserve">Dependent variable </w:t>
            </w:r>
          </w:p>
        </w:tc>
        <w:tc>
          <w:tcPr>
            <w:tcW w:w="2127" w:type="dxa"/>
            <w:gridSpan w:val="2"/>
          </w:tcPr>
          <w:p w14:paraId="537046A7" w14:textId="77777777" w:rsidR="00B75F05" w:rsidRPr="008A7487" w:rsidRDefault="00B75F05" w:rsidP="00C21D6F">
            <w:pPr>
              <w:contextualSpacing/>
              <w:jc w:val="center"/>
              <w:rPr>
                <w:rFonts w:ascii="Times New Roman" w:hAnsi="Times New Roman" w:cs="Times New Roman"/>
                <w:b/>
                <w:sz w:val="16"/>
                <w:szCs w:val="16"/>
              </w:rPr>
            </w:pPr>
            <w:r w:rsidRPr="008A7487">
              <w:rPr>
                <w:rFonts w:ascii="Times New Roman" w:hAnsi="Times New Roman" w:cs="Times New Roman"/>
                <w:b/>
                <w:sz w:val="16"/>
                <w:szCs w:val="16"/>
              </w:rPr>
              <w:t>Fixed effects model</w:t>
            </w:r>
          </w:p>
          <w:p w14:paraId="155357A7" w14:textId="77777777" w:rsidR="00B75F05" w:rsidRPr="008A7487" w:rsidRDefault="00B75F05" w:rsidP="00C21D6F">
            <w:pPr>
              <w:contextualSpacing/>
              <w:jc w:val="center"/>
              <w:rPr>
                <w:rFonts w:ascii="Times New Roman" w:hAnsi="Times New Roman" w:cs="Times New Roman"/>
                <w:b/>
                <w:sz w:val="16"/>
                <w:szCs w:val="16"/>
              </w:rPr>
            </w:pPr>
            <w:r w:rsidRPr="008A7487">
              <w:rPr>
                <w:rFonts w:ascii="Times New Roman" w:hAnsi="Times New Roman" w:cs="Times New Roman"/>
                <w:b/>
                <w:sz w:val="16"/>
                <w:szCs w:val="16"/>
              </w:rPr>
              <w:t>ROA</w:t>
            </w:r>
          </w:p>
        </w:tc>
        <w:tc>
          <w:tcPr>
            <w:tcW w:w="1984" w:type="dxa"/>
            <w:gridSpan w:val="2"/>
          </w:tcPr>
          <w:p w14:paraId="3956531F" w14:textId="77777777" w:rsidR="00B75F05" w:rsidRPr="008A7487" w:rsidRDefault="00B75F05" w:rsidP="00C21D6F">
            <w:pPr>
              <w:contextualSpacing/>
              <w:jc w:val="center"/>
              <w:rPr>
                <w:rFonts w:ascii="Times New Roman" w:hAnsi="Times New Roman" w:cs="Times New Roman"/>
                <w:b/>
                <w:sz w:val="16"/>
                <w:szCs w:val="16"/>
              </w:rPr>
            </w:pPr>
            <w:r w:rsidRPr="008A7487">
              <w:rPr>
                <w:rFonts w:ascii="Times New Roman" w:hAnsi="Times New Roman" w:cs="Times New Roman"/>
                <w:b/>
                <w:sz w:val="16"/>
                <w:szCs w:val="16"/>
              </w:rPr>
              <w:t>Fixed effect model</w:t>
            </w:r>
          </w:p>
          <w:p w14:paraId="3FBFA19B" w14:textId="77777777" w:rsidR="00B75F05" w:rsidRPr="008A7487" w:rsidRDefault="00B75F05" w:rsidP="00C21D6F">
            <w:pPr>
              <w:contextualSpacing/>
              <w:jc w:val="center"/>
              <w:rPr>
                <w:rFonts w:ascii="Times New Roman" w:hAnsi="Times New Roman" w:cs="Times New Roman"/>
                <w:b/>
                <w:sz w:val="16"/>
                <w:szCs w:val="16"/>
              </w:rPr>
            </w:pPr>
            <w:r w:rsidRPr="008A7487">
              <w:rPr>
                <w:rFonts w:ascii="Times New Roman" w:hAnsi="Times New Roman" w:cs="Times New Roman"/>
                <w:b/>
                <w:sz w:val="16"/>
                <w:szCs w:val="16"/>
              </w:rPr>
              <w:t>NIM</w:t>
            </w:r>
          </w:p>
        </w:tc>
      </w:tr>
      <w:tr w:rsidR="00B75F05" w:rsidRPr="008A7487" w14:paraId="58440BE5" w14:textId="77777777" w:rsidTr="00C21D6F">
        <w:tc>
          <w:tcPr>
            <w:tcW w:w="2693" w:type="dxa"/>
          </w:tcPr>
          <w:p w14:paraId="77D457D8" w14:textId="77777777" w:rsidR="00B75F05" w:rsidRPr="008A7487" w:rsidRDefault="00B75F05" w:rsidP="00C21D6F">
            <w:pPr>
              <w:spacing w:line="480" w:lineRule="auto"/>
              <w:contextualSpacing/>
              <w:rPr>
                <w:rFonts w:ascii="Times New Roman" w:hAnsi="Times New Roman" w:cs="Times New Roman"/>
                <w:sz w:val="16"/>
                <w:szCs w:val="16"/>
              </w:rPr>
            </w:pPr>
          </w:p>
        </w:tc>
        <w:tc>
          <w:tcPr>
            <w:tcW w:w="993" w:type="dxa"/>
            <w:vAlign w:val="bottom"/>
          </w:tcPr>
          <w:p w14:paraId="283AFDF2" w14:textId="77777777" w:rsidR="00B75F05" w:rsidRPr="008A7487" w:rsidRDefault="00B75F05" w:rsidP="00C21D6F">
            <w:pPr>
              <w:autoSpaceDE w:val="0"/>
              <w:autoSpaceDN w:val="0"/>
              <w:adjustRightInd w:val="0"/>
              <w:ind w:right="10"/>
              <w:jc w:val="right"/>
              <w:rPr>
                <w:rFonts w:ascii="Times New Roman" w:hAnsi="Times New Roman" w:cs="Times New Roman"/>
                <w:b/>
                <w:color w:val="000000"/>
                <w:sz w:val="16"/>
                <w:szCs w:val="16"/>
                <w:lang w:val="en-GB"/>
              </w:rPr>
            </w:pPr>
            <w:r w:rsidRPr="008A7487">
              <w:rPr>
                <w:rFonts w:ascii="Times New Roman" w:hAnsi="Times New Roman" w:cs="Times New Roman"/>
                <w:b/>
                <w:color w:val="000000"/>
                <w:sz w:val="16"/>
                <w:szCs w:val="16"/>
                <w:lang w:val="en-GB"/>
              </w:rPr>
              <w:t>Coeff</w:t>
            </w:r>
          </w:p>
        </w:tc>
        <w:tc>
          <w:tcPr>
            <w:tcW w:w="1134" w:type="dxa"/>
            <w:vAlign w:val="bottom"/>
          </w:tcPr>
          <w:p w14:paraId="7A2CE5C8" w14:textId="77777777" w:rsidR="00B75F05" w:rsidRPr="008A7487" w:rsidRDefault="00B75F05" w:rsidP="00C21D6F">
            <w:pPr>
              <w:autoSpaceDE w:val="0"/>
              <w:autoSpaceDN w:val="0"/>
              <w:adjustRightInd w:val="0"/>
              <w:ind w:right="10"/>
              <w:jc w:val="right"/>
              <w:rPr>
                <w:rFonts w:ascii="Times New Roman" w:hAnsi="Times New Roman" w:cs="Times New Roman"/>
                <w:b/>
                <w:color w:val="000000"/>
                <w:sz w:val="16"/>
                <w:szCs w:val="16"/>
                <w:lang w:val="en-GB"/>
              </w:rPr>
            </w:pPr>
            <w:r w:rsidRPr="008A7487">
              <w:rPr>
                <w:rFonts w:ascii="Times New Roman" w:hAnsi="Times New Roman" w:cs="Times New Roman"/>
                <w:b/>
                <w:color w:val="000000"/>
                <w:sz w:val="16"/>
                <w:szCs w:val="16"/>
                <w:lang w:val="en-GB"/>
              </w:rPr>
              <w:t xml:space="preserve">T-stat </w:t>
            </w:r>
          </w:p>
        </w:tc>
        <w:tc>
          <w:tcPr>
            <w:tcW w:w="850" w:type="dxa"/>
            <w:vAlign w:val="bottom"/>
          </w:tcPr>
          <w:p w14:paraId="277824B1" w14:textId="77777777" w:rsidR="00B75F05" w:rsidRPr="008A7487" w:rsidRDefault="00B75F05" w:rsidP="00C21D6F">
            <w:pPr>
              <w:autoSpaceDE w:val="0"/>
              <w:autoSpaceDN w:val="0"/>
              <w:adjustRightInd w:val="0"/>
              <w:ind w:right="10"/>
              <w:jc w:val="right"/>
              <w:rPr>
                <w:rFonts w:ascii="Times New Roman" w:hAnsi="Times New Roman" w:cs="Times New Roman"/>
                <w:b/>
                <w:color w:val="000000"/>
                <w:sz w:val="16"/>
                <w:szCs w:val="16"/>
                <w:lang w:val="en-GB"/>
              </w:rPr>
            </w:pPr>
            <w:r w:rsidRPr="008A7487">
              <w:rPr>
                <w:rFonts w:ascii="Times New Roman" w:hAnsi="Times New Roman" w:cs="Times New Roman"/>
                <w:b/>
                <w:color w:val="000000"/>
                <w:sz w:val="16"/>
                <w:szCs w:val="16"/>
                <w:lang w:val="en-GB"/>
              </w:rPr>
              <w:t>Coeff</w:t>
            </w:r>
          </w:p>
        </w:tc>
        <w:tc>
          <w:tcPr>
            <w:tcW w:w="1134" w:type="dxa"/>
            <w:vAlign w:val="bottom"/>
          </w:tcPr>
          <w:p w14:paraId="472457AB" w14:textId="77777777" w:rsidR="00B75F05" w:rsidRPr="008A7487" w:rsidRDefault="00B75F05" w:rsidP="00C21D6F">
            <w:pPr>
              <w:autoSpaceDE w:val="0"/>
              <w:autoSpaceDN w:val="0"/>
              <w:adjustRightInd w:val="0"/>
              <w:ind w:right="10"/>
              <w:jc w:val="right"/>
              <w:rPr>
                <w:rFonts w:ascii="Times New Roman" w:hAnsi="Times New Roman" w:cs="Times New Roman"/>
                <w:b/>
                <w:color w:val="000000"/>
                <w:sz w:val="16"/>
                <w:szCs w:val="16"/>
                <w:lang w:val="en-GB"/>
              </w:rPr>
            </w:pPr>
            <w:r w:rsidRPr="008A7487">
              <w:rPr>
                <w:rFonts w:ascii="Times New Roman" w:hAnsi="Times New Roman" w:cs="Times New Roman"/>
                <w:b/>
                <w:color w:val="000000"/>
                <w:sz w:val="16"/>
                <w:szCs w:val="16"/>
                <w:lang w:val="en-GB"/>
              </w:rPr>
              <w:t xml:space="preserve">T-Stat </w:t>
            </w:r>
          </w:p>
        </w:tc>
      </w:tr>
      <w:tr w:rsidR="00B75F05" w:rsidRPr="008A7487" w14:paraId="5A85E152" w14:textId="77777777" w:rsidTr="00C21D6F">
        <w:tc>
          <w:tcPr>
            <w:tcW w:w="2693" w:type="dxa"/>
          </w:tcPr>
          <w:p w14:paraId="458922B0" w14:textId="77777777" w:rsidR="00B75F05" w:rsidRPr="008A7487" w:rsidRDefault="00B75F05" w:rsidP="00C21D6F">
            <w:pPr>
              <w:spacing w:line="480" w:lineRule="auto"/>
              <w:contextualSpacing/>
              <w:rPr>
                <w:rFonts w:ascii="Times New Roman" w:hAnsi="Times New Roman" w:cs="Times New Roman"/>
                <w:sz w:val="16"/>
                <w:szCs w:val="16"/>
              </w:rPr>
            </w:pPr>
            <w:r w:rsidRPr="008A7487">
              <w:rPr>
                <w:rFonts w:ascii="Times New Roman" w:hAnsi="Times New Roman" w:cs="Times New Roman"/>
                <w:sz w:val="16"/>
                <w:szCs w:val="16"/>
              </w:rPr>
              <w:t>LNSIZE</w:t>
            </w:r>
          </w:p>
        </w:tc>
        <w:tc>
          <w:tcPr>
            <w:tcW w:w="993" w:type="dxa"/>
            <w:vAlign w:val="bottom"/>
          </w:tcPr>
          <w:p w14:paraId="39049341" w14:textId="77777777" w:rsidR="00B75F05" w:rsidRPr="008A7487" w:rsidRDefault="00B75F05" w:rsidP="00C21D6F">
            <w:pPr>
              <w:autoSpaceDE w:val="0"/>
              <w:autoSpaceDN w:val="0"/>
              <w:adjustRightInd w:val="0"/>
              <w:ind w:right="10"/>
              <w:rPr>
                <w:rFonts w:ascii="Times New Roman" w:hAnsi="Times New Roman" w:cs="Times New Roman"/>
                <w:color w:val="000000"/>
                <w:sz w:val="16"/>
                <w:szCs w:val="16"/>
                <w:lang w:val="en-GB"/>
              </w:rPr>
            </w:pPr>
            <w:r w:rsidRPr="008A7487">
              <w:rPr>
                <w:rFonts w:ascii="Times New Roman" w:hAnsi="Times New Roman" w:cs="Times New Roman"/>
                <w:color w:val="000000"/>
                <w:sz w:val="16"/>
                <w:szCs w:val="16"/>
                <w:lang w:val="en-GB"/>
              </w:rPr>
              <w:t>0.31</w:t>
            </w:r>
          </w:p>
        </w:tc>
        <w:tc>
          <w:tcPr>
            <w:tcW w:w="1134" w:type="dxa"/>
            <w:vAlign w:val="bottom"/>
          </w:tcPr>
          <w:p w14:paraId="7F91EBDE" w14:textId="77777777" w:rsidR="00B75F05" w:rsidRPr="008A7487" w:rsidRDefault="00B75F05" w:rsidP="00C21D6F">
            <w:pPr>
              <w:autoSpaceDE w:val="0"/>
              <w:autoSpaceDN w:val="0"/>
              <w:adjustRightInd w:val="0"/>
              <w:ind w:right="10"/>
              <w:rPr>
                <w:rFonts w:ascii="Times New Roman" w:hAnsi="Times New Roman" w:cs="Times New Roman"/>
                <w:color w:val="000000"/>
                <w:sz w:val="16"/>
                <w:szCs w:val="16"/>
                <w:lang w:val="en-GB"/>
              </w:rPr>
            </w:pPr>
            <w:r w:rsidRPr="008A7487">
              <w:rPr>
                <w:rFonts w:ascii="Times New Roman" w:hAnsi="Times New Roman" w:cs="Times New Roman"/>
                <w:color w:val="000000"/>
                <w:sz w:val="16"/>
                <w:szCs w:val="16"/>
                <w:lang w:val="en-GB"/>
              </w:rPr>
              <w:t>2.06**</w:t>
            </w:r>
          </w:p>
        </w:tc>
        <w:tc>
          <w:tcPr>
            <w:tcW w:w="850" w:type="dxa"/>
            <w:vAlign w:val="bottom"/>
          </w:tcPr>
          <w:p w14:paraId="1C1299E3" w14:textId="77777777" w:rsidR="00B75F05" w:rsidRPr="008A7487" w:rsidRDefault="00B75F05" w:rsidP="00C21D6F">
            <w:pPr>
              <w:autoSpaceDE w:val="0"/>
              <w:autoSpaceDN w:val="0"/>
              <w:adjustRightInd w:val="0"/>
              <w:ind w:right="10"/>
              <w:rPr>
                <w:rFonts w:ascii="Times New Roman" w:hAnsi="Times New Roman" w:cs="Times New Roman"/>
                <w:color w:val="000000"/>
                <w:sz w:val="16"/>
                <w:szCs w:val="16"/>
                <w:lang w:val="en-GB"/>
              </w:rPr>
            </w:pPr>
            <w:r w:rsidRPr="008A7487">
              <w:rPr>
                <w:rFonts w:ascii="Times New Roman" w:hAnsi="Times New Roman" w:cs="Times New Roman"/>
                <w:color w:val="000000"/>
                <w:sz w:val="16"/>
                <w:szCs w:val="16"/>
                <w:lang w:val="en-GB"/>
              </w:rPr>
              <w:t>-1.39</w:t>
            </w:r>
          </w:p>
        </w:tc>
        <w:tc>
          <w:tcPr>
            <w:tcW w:w="1134" w:type="dxa"/>
            <w:vAlign w:val="bottom"/>
          </w:tcPr>
          <w:p w14:paraId="10A66538" w14:textId="77777777" w:rsidR="00B75F05" w:rsidRPr="008A7487" w:rsidRDefault="00B75F05" w:rsidP="00C21D6F">
            <w:pPr>
              <w:autoSpaceDE w:val="0"/>
              <w:autoSpaceDN w:val="0"/>
              <w:adjustRightInd w:val="0"/>
              <w:ind w:right="10"/>
              <w:rPr>
                <w:rFonts w:ascii="Times New Roman" w:hAnsi="Times New Roman" w:cs="Times New Roman"/>
                <w:color w:val="000000"/>
                <w:sz w:val="16"/>
                <w:szCs w:val="16"/>
                <w:lang w:val="en-GB"/>
              </w:rPr>
            </w:pPr>
            <w:r w:rsidRPr="008A7487">
              <w:rPr>
                <w:rFonts w:ascii="Times New Roman" w:hAnsi="Times New Roman" w:cs="Times New Roman"/>
                <w:color w:val="000000"/>
                <w:sz w:val="16"/>
                <w:szCs w:val="16"/>
                <w:lang w:val="en-GB"/>
              </w:rPr>
              <w:t>-2.64**</w:t>
            </w:r>
          </w:p>
        </w:tc>
      </w:tr>
      <w:tr w:rsidR="00B75F05" w:rsidRPr="008A7487" w14:paraId="08F02128" w14:textId="77777777" w:rsidTr="00C21D6F">
        <w:tc>
          <w:tcPr>
            <w:tcW w:w="2693" w:type="dxa"/>
          </w:tcPr>
          <w:p w14:paraId="5D21E7AB" w14:textId="77777777" w:rsidR="00B75F05" w:rsidRPr="008A7487" w:rsidRDefault="00B75F05" w:rsidP="00C21D6F">
            <w:pPr>
              <w:spacing w:line="480" w:lineRule="auto"/>
              <w:contextualSpacing/>
              <w:rPr>
                <w:rFonts w:ascii="Times New Roman" w:hAnsi="Times New Roman" w:cs="Times New Roman"/>
                <w:sz w:val="16"/>
                <w:szCs w:val="16"/>
              </w:rPr>
            </w:pPr>
            <w:r w:rsidRPr="008A7487">
              <w:rPr>
                <w:rFonts w:ascii="Times New Roman" w:hAnsi="Times New Roman" w:cs="Times New Roman"/>
                <w:sz w:val="16"/>
                <w:szCs w:val="16"/>
              </w:rPr>
              <w:t>LNSIZE</w:t>
            </w:r>
            <w:r w:rsidRPr="008A7487">
              <w:rPr>
                <w:rFonts w:ascii="Times New Roman" w:hAnsi="Times New Roman" w:cs="Times New Roman"/>
                <w:sz w:val="16"/>
                <w:szCs w:val="16"/>
                <w:vertAlign w:val="superscript"/>
              </w:rPr>
              <w:t>2</w:t>
            </w:r>
          </w:p>
        </w:tc>
        <w:tc>
          <w:tcPr>
            <w:tcW w:w="993" w:type="dxa"/>
            <w:vAlign w:val="bottom"/>
          </w:tcPr>
          <w:p w14:paraId="78C18600" w14:textId="77777777" w:rsidR="00B75F05" w:rsidRPr="008A7487" w:rsidRDefault="00B75F05" w:rsidP="00C21D6F">
            <w:pPr>
              <w:autoSpaceDE w:val="0"/>
              <w:autoSpaceDN w:val="0"/>
              <w:adjustRightInd w:val="0"/>
              <w:ind w:right="10"/>
              <w:rPr>
                <w:rFonts w:ascii="Times New Roman" w:hAnsi="Times New Roman" w:cs="Times New Roman"/>
                <w:color w:val="000000"/>
                <w:sz w:val="16"/>
                <w:szCs w:val="16"/>
                <w:lang w:val="en-GB"/>
              </w:rPr>
            </w:pPr>
            <w:r w:rsidRPr="008A7487">
              <w:rPr>
                <w:rFonts w:ascii="Times New Roman" w:hAnsi="Times New Roman" w:cs="Times New Roman"/>
                <w:color w:val="000000"/>
                <w:sz w:val="16"/>
                <w:szCs w:val="16"/>
                <w:lang w:val="en-GB"/>
              </w:rPr>
              <w:t>-0.01</w:t>
            </w:r>
          </w:p>
        </w:tc>
        <w:tc>
          <w:tcPr>
            <w:tcW w:w="1134" w:type="dxa"/>
            <w:vAlign w:val="bottom"/>
          </w:tcPr>
          <w:p w14:paraId="333EAA02" w14:textId="77777777" w:rsidR="00B75F05" w:rsidRPr="008A7487" w:rsidRDefault="00B75F05" w:rsidP="00C21D6F">
            <w:pPr>
              <w:autoSpaceDE w:val="0"/>
              <w:autoSpaceDN w:val="0"/>
              <w:adjustRightInd w:val="0"/>
              <w:ind w:right="10"/>
              <w:rPr>
                <w:rFonts w:ascii="Times New Roman" w:hAnsi="Times New Roman" w:cs="Times New Roman"/>
                <w:color w:val="000000"/>
                <w:sz w:val="16"/>
                <w:szCs w:val="16"/>
                <w:lang w:val="en-GB"/>
              </w:rPr>
            </w:pPr>
            <w:r w:rsidRPr="008A7487">
              <w:rPr>
                <w:rFonts w:ascii="Times New Roman" w:hAnsi="Times New Roman" w:cs="Times New Roman"/>
                <w:color w:val="000000"/>
                <w:sz w:val="16"/>
                <w:szCs w:val="16"/>
                <w:lang w:val="en-GB"/>
              </w:rPr>
              <w:t>-0.85</w:t>
            </w:r>
          </w:p>
        </w:tc>
        <w:tc>
          <w:tcPr>
            <w:tcW w:w="850" w:type="dxa"/>
            <w:vAlign w:val="bottom"/>
          </w:tcPr>
          <w:p w14:paraId="060CD9E2" w14:textId="77777777" w:rsidR="00B75F05" w:rsidRPr="008A7487" w:rsidRDefault="00B75F05" w:rsidP="00C21D6F">
            <w:pPr>
              <w:autoSpaceDE w:val="0"/>
              <w:autoSpaceDN w:val="0"/>
              <w:adjustRightInd w:val="0"/>
              <w:ind w:right="10"/>
              <w:rPr>
                <w:rFonts w:ascii="Times New Roman" w:hAnsi="Times New Roman" w:cs="Times New Roman"/>
                <w:color w:val="000000"/>
                <w:sz w:val="16"/>
                <w:szCs w:val="16"/>
                <w:lang w:val="en-GB"/>
              </w:rPr>
            </w:pPr>
            <w:r w:rsidRPr="008A7487">
              <w:rPr>
                <w:rFonts w:ascii="Times New Roman" w:hAnsi="Times New Roman" w:cs="Times New Roman"/>
                <w:color w:val="000000"/>
                <w:sz w:val="16"/>
                <w:szCs w:val="16"/>
                <w:lang w:val="en-GB"/>
              </w:rPr>
              <w:t>0.06</w:t>
            </w:r>
          </w:p>
        </w:tc>
        <w:tc>
          <w:tcPr>
            <w:tcW w:w="1134" w:type="dxa"/>
            <w:vAlign w:val="bottom"/>
          </w:tcPr>
          <w:p w14:paraId="360F6DB2" w14:textId="77777777" w:rsidR="00B75F05" w:rsidRPr="008A7487" w:rsidRDefault="00B75F05" w:rsidP="00C21D6F">
            <w:pPr>
              <w:autoSpaceDE w:val="0"/>
              <w:autoSpaceDN w:val="0"/>
              <w:adjustRightInd w:val="0"/>
              <w:ind w:right="10"/>
              <w:rPr>
                <w:rFonts w:ascii="Times New Roman" w:hAnsi="Times New Roman" w:cs="Times New Roman"/>
                <w:color w:val="000000"/>
                <w:sz w:val="16"/>
                <w:szCs w:val="16"/>
                <w:lang w:val="en-GB"/>
              </w:rPr>
            </w:pPr>
            <w:r w:rsidRPr="008A7487">
              <w:rPr>
                <w:rFonts w:ascii="Times New Roman" w:hAnsi="Times New Roman" w:cs="Times New Roman"/>
                <w:color w:val="000000"/>
                <w:sz w:val="16"/>
                <w:szCs w:val="16"/>
                <w:lang w:val="en-GB"/>
              </w:rPr>
              <w:t>2.21**</w:t>
            </w:r>
          </w:p>
        </w:tc>
      </w:tr>
      <w:tr w:rsidR="00B75F05" w:rsidRPr="008A7487" w14:paraId="65F8BF71" w14:textId="77777777" w:rsidTr="00C21D6F">
        <w:tc>
          <w:tcPr>
            <w:tcW w:w="2693" w:type="dxa"/>
          </w:tcPr>
          <w:p w14:paraId="7F34A6B0" w14:textId="77777777" w:rsidR="00B75F05" w:rsidRPr="008A7487" w:rsidRDefault="00B75F05" w:rsidP="00C21D6F">
            <w:pPr>
              <w:spacing w:line="480" w:lineRule="auto"/>
              <w:contextualSpacing/>
              <w:rPr>
                <w:rFonts w:ascii="Times New Roman" w:hAnsi="Times New Roman" w:cs="Times New Roman"/>
                <w:sz w:val="16"/>
                <w:szCs w:val="16"/>
              </w:rPr>
            </w:pPr>
            <w:r w:rsidRPr="008A7487">
              <w:rPr>
                <w:rFonts w:ascii="Times New Roman" w:hAnsi="Times New Roman" w:cs="Times New Roman"/>
                <w:sz w:val="16"/>
                <w:szCs w:val="16"/>
              </w:rPr>
              <w:t>CAP</w:t>
            </w:r>
          </w:p>
        </w:tc>
        <w:tc>
          <w:tcPr>
            <w:tcW w:w="993" w:type="dxa"/>
            <w:vAlign w:val="bottom"/>
          </w:tcPr>
          <w:p w14:paraId="21EB9FC1" w14:textId="77777777" w:rsidR="00B75F05" w:rsidRPr="008A7487" w:rsidRDefault="00B75F05" w:rsidP="00C21D6F">
            <w:pPr>
              <w:autoSpaceDE w:val="0"/>
              <w:autoSpaceDN w:val="0"/>
              <w:adjustRightInd w:val="0"/>
              <w:ind w:right="10"/>
              <w:rPr>
                <w:rFonts w:ascii="Times New Roman" w:hAnsi="Times New Roman" w:cs="Times New Roman"/>
                <w:color w:val="000000"/>
                <w:sz w:val="16"/>
                <w:szCs w:val="16"/>
                <w:lang w:val="en-GB"/>
              </w:rPr>
            </w:pPr>
            <w:r w:rsidRPr="008A7487">
              <w:rPr>
                <w:rFonts w:ascii="Times New Roman" w:hAnsi="Times New Roman" w:cs="Times New Roman"/>
                <w:color w:val="000000"/>
                <w:sz w:val="16"/>
                <w:szCs w:val="16"/>
                <w:lang w:val="en-GB"/>
              </w:rPr>
              <w:t>0.13</w:t>
            </w:r>
          </w:p>
        </w:tc>
        <w:tc>
          <w:tcPr>
            <w:tcW w:w="1134" w:type="dxa"/>
            <w:vAlign w:val="bottom"/>
          </w:tcPr>
          <w:p w14:paraId="675C85A7" w14:textId="77777777" w:rsidR="00B75F05" w:rsidRPr="008A7487" w:rsidRDefault="00B75F05" w:rsidP="00C21D6F">
            <w:pPr>
              <w:autoSpaceDE w:val="0"/>
              <w:autoSpaceDN w:val="0"/>
              <w:adjustRightInd w:val="0"/>
              <w:ind w:right="10"/>
              <w:rPr>
                <w:rFonts w:ascii="Times New Roman" w:hAnsi="Times New Roman" w:cs="Times New Roman"/>
                <w:color w:val="000000"/>
                <w:sz w:val="16"/>
                <w:szCs w:val="16"/>
                <w:lang w:val="en-GB"/>
              </w:rPr>
            </w:pPr>
            <w:r w:rsidRPr="008A7487">
              <w:rPr>
                <w:rFonts w:ascii="Times New Roman" w:hAnsi="Times New Roman" w:cs="Times New Roman"/>
                <w:color w:val="000000"/>
                <w:sz w:val="16"/>
                <w:szCs w:val="16"/>
                <w:lang w:val="en-GB"/>
              </w:rPr>
              <w:t>9.59***</w:t>
            </w:r>
          </w:p>
        </w:tc>
        <w:tc>
          <w:tcPr>
            <w:tcW w:w="850" w:type="dxa"/>
            <w:vAlign w:val="bottom"/>
          </w:tcPr>
          <w:p w14:paraId="63805000" w14:textId="77777777" w:rsidR="00B75F05" w:rsidRPr="008A7487" w:rsidRDefault="00B75F05" w:rsidP="00C21D6F">
            <w:pPr>
              <w:autoSpaceDE w:val="0"/>
              <w:autoSpaceDN w:val="0"/>
              <w:adjustRightInd w:val="0"/>
              <w:ind w:right="10"/>
              <w:rPr>
                <w:rFonts w:ascii="Times New Roman" w:hAnsi="Times New Roman" w:cs="Times New Roman"/>
                <w:color w:val="000000"/>
                <w:sz w:val="16"/>
                <w:szCs w:val="16"/>
                <w:lang w:val="en-GB"/>
              </w:rPr>
            </w:pPr>
            <w:r w:rsidRPr="008A7487">
              <w:rPr>
                <w:rFonts w:ascii="Times New Roman" w:hAnsi="Times New Roman" w:cs="Times New Roman"/>
                <w:color w:val="000000"/>
                <w:sz w:val="16"/>
                <w:szCs w:val="16"/>
                <w:lang w:val="en-GB"/>
              </w:rPr>
              <w:t>0.11</w:t>
            </w:r>
          </w:p>
        </w:tc>
        <w:tc>
          <w:tcPr>
            <w:tcW w:w="1134" w:type="dxa"/>
            <w:vAlign w:val="bottom"/>
          </w:tcPr>
          <w:p w14:paraId="4C8A0543" w14:textId="77777777" w:rsidR="00B75F05" w:rsidRPr="008A7487" w:rsidRDefault="00B75F05" w:rsidP="00C21D6F">
            <w:pPr>
              <w:autoSpaceDE w:val="0"/>
              <w:autoSpaceDN w:val="0"/>
              <w:adjustRightInd w:val="0"/>
              <w:ind w:right="10"/>
              <w:rPr>
                <w:rFonts w:ascii="Times New Roman" w:hAnsi="Times New Roman" w:cs="Times New Roman"/>
                <w:color w:val="000000"/>
                <w:sz w:val="16"/>
                <w:szCs w:val="16"/>
                <w:lang w:val="en-GB"/>
              </w:rPr>
            </w:pPr>
            <w:r w:rsidRPr="008A7487">
              <w:rPr>
                <w:rFonts w:ascii="Times New Roman" w:hAnsi="Times New Roman" w:cs="Times New Roman"/>
                <w:color w:val="000000"/>
                <w:sz w:val="16"/>
                <w:szCs w:val="16"/>
                <w:lang w:val="en-GB"/>
              </w:rPr>
              <w:t>2.32**</w:t>
            </w:r>
          </w:p>
        </w:tc>
      </w:tr>
      <w:tr w:rsidR="00B75F05" w:rsidRPr="008A7487" w14:paraId="5B52EEE6" w14:textId="77777777" w:rsidTr="00C21D6F">
        <w:tc>
          <w:tcPr>
            <w:tcW w:w="2693" w:type="dxa"/>
          </w:tcPr>
          <w:p w14:paraId="12D545AB" w14:textId="77777777" w:rsidR="00B75F05" w:rsidRPr="008A7487" w:rsidRDefault="00B75F05" w:rsidP="00C21D6F">
            <w:pPr>
              <w:spacing w:line="480" w:lineRule="auto"/>
              <w:contextualSpacing/>
              <w:rPr>
                <w:rFonts w:ascii="Times New Roman" w:hAnsi="Times New Roman" w:cs="Times New Roman"/>
                <w:sz w:val="16"/>
                <w:szCs w:val="16"/>
              </w:rPr>
            </w:pPr>
            <w:r w:rsidRPr="008A7487">
              <w:rPr>
                <w:rFonts w:ascii="Times New Roman" w:hAnsi="Times New Roman" w:cs="Times New Roman"/>
                <w:sz w:val="16"/>
                <w:szCs w:val="16"/>
              </w:rPr>
              <w:t>CR</w:t>
            </w:r>
          </w:p>
        </w:tc>
        <w:tc>
          <w:tcPr>
            <w:tcW w:w="993" w:type="dxa"/>
            <w:vAlign w:val="bottom"/>
          </w:tcPr>
          <w:p w14:paraId="1ADE6F04" w14:textId="77777777" w:rsidR="00B75F05" w:rsidRPr="008A7487" w:rsidRDefault="00B75F05" w:rsidP="00C21D6F">
            <w:pPr>
              <w:autoSpaceDE w:val="0"/>
              <w:autoSpaceDN w:val="0"/>
              <w:adjustRightInd w:val="0"/>
              <w:ind w:right="10"/>
              <w:rPr>
                <w:rFonts w:ascii="Times New Roman" w:hAnsi="Times New Roman" w:cs="Times New Roman"/>
                <w:color w:val="000000"/>
                <w:sz w:val="16"/>
                <w:szCs w:val="16"/>
                <w:lang w:val="en-GB"/>
              </w:rPr>
            </w:pPr>
            <w:r w:rsidRPr="008A7487">
              <w:rPr>
                <w:rFonts w:ascii="Times New Roman" w:hAnsi="Times New Roman" w:cs="Times New Roman"/>
                <w:color w:val="000000"/>
                <w:sz w:val="16"/>
                <w:szCs w:val="16"/>
                <w:lang w:val="en-GB"/>
              </w:rPr>
              <w:t>-0.02</w:t>
            </w:r>
          </w:p>
        </w:tc>
        <w:tc>
          <w:tcPr>
            <w:tcW w:w="1134" w:type="dxa"/>
            <w:vAlign w:val="bottom"/>
          </w:tcPr>
          <w:p w14:paraId="6255A147" w14:textId="77777777" w:rsidR="00B75F05" w:rsidRPr="008A7487" w:rsidRDefault="00B75F05" w:rsidP="00C21D6F">
            <w:pPr>
              <w:autoSpaceDE w:val="0"/>
              <w:autoSpaceDN w:val="0"/>
              <w:adjustRightInd w:val="0"/>
              <w:ind w:right="10"/>
              <w:rPr>
                <w:rFonts w:ascii="Times New Roman" w:hAnsi="Times New Roman" w:cs="Times New Roman"/>
                <w:color w:val="000000"/>
                <w:sz w:val="16"/>
                <w:szCs w:val="16"/>
                <w:lang w:val="en-GB"/>
              </w:rPr>
            </w:pPr>
            <w:r w:rsidRPr="008A7487">
              <w:rPr>
                <w:rFonts w:ascii="Times New Roman" w:hAnsi="Times New Roman" w:cs="Times New Roman"/>
                <w:color w:val="000000"/>
                <w:sz w:val="16"/>
                <w:szCs w:val="16"/>
                <w:lang w:val="en-GB"/>
              </w:rPr>
              <w:t>-3.10***</w:t>
            </w:r>
          </w:p>
        </w:tc>
        <w:tc>
          <w:tcPr>
            <w:tcW w:w="850" w:type="dxa"/>
            <w:vAlign w:val="bottom"/>
          </w:tcPr>
          <w:p w14:paraId="0A18FCCF" w14:textId="77777777" w:rsidR="00B75F05" w:rsidRPr="008A7487" w:rsidRDefault="00B75F05" w:rsidP="00C21D6F">
            <w:pPr>
              <w:autoSpaceDE w:val="0"/>
              <w:autoSpaceDN w:val="0"/>
              <w:adjustRightInd w:val="0"/>
              <w:ind w:right="10"/>
              <w:rPr>
                <w:rFonts w:ascii="Times New Roman" w:hAnsi="Times New Roman" w:cs="Times New Roman"/>
                <w:color w:val="000000"/>
                <w:sz w:val="16"/>
                <w:szCs w:val="16"/>
                <w:lang w:val="en-GB"/>
              </w:rPr>
            </w:pPr>
            <w:r w:rsidRPr="008A7487">
              <w:rPr>
                <w:rFonts w:ascii="Times New Roman" w:hAnsi="Times New Roman" w:cs="Times New Roman"/>
                <w:color w:val="000000"/>
                <w:sz w:val="16"/>
                <w:szCs w:val="16"/>
                <w:lang w:val="en-GB"/>
              </w:rPr>
              <w:t>0.04</w:t>
            </w:r>
          </w:p>
        </w:tc>
        <w:tc>
          <w:tcPr>
            <w:tcW w:w="1134" w:type="dxa"/>
            <w:vAlign w:val="bottom"/>
          </w:tcPr>
          <w:p w14:paraId="7BA746C5" w14:textId="77777777" w:rsidR="00B75F05" w:rsidRPr="008A7487" w:rsidRDefault="00B75F05" w:rsidP="00C21D6F">
            <w:pPr>
              <w:autoSpaceDE w:val="0"/>
              <w:autoSpaceDN w:val="0"/>
              <w:adjustRightInd w:val="0"/>
              <w:ind w:right="10"/>
              <w:rPr>
                <w:rFonts w:ascii="Times New Roman" w:hAnsi="Times New Roman" w:cs="Times New Roman"/>
                <w:color w:val="000000"/>
                <w:sz w:val="16"/>
                <w:szCs w:val="16"/>
                <w:lang w:val="en-GB"/>
              </w:rPr>
            </w:pPr>
            <w:r w:rsidRPr="008A7487">
              <w:rPr>
                <w:rFonts w:ascii="Times New Roman" w:hAnsi="Times New Roman" w:cs="Times New Roman"/>
                <w:color w:val="000000"/>
                <w:sz w:val="16"/>
                <w:szCs w:val="16"/>
                <w:lang w:val="en-GB"/>
              </w:rPr>
              <w:t>2.14**</w:t>
            </w:r>
          </w:p>
        </w:tc>
      </w:tr>
      <w:tr w:rsidR="00B75F05" w:rsidRPr="008A7487" w14:paraId="7096DE71" w14:textId="77777777" w:rsidTr="00C21D6F">
        <w:tc>
          <w:tcPr>
            <w:tcW w:w="2693" w:type="dxa"/>
          </w:tcPr>
          <w:p w14:paraId="17A3C6CC" w14:textId="77777777" w:rsidR="00B75F05" w:rsidRPr="008A7487" w:rsidRDefault="00B75F05" w:rsidP="00C21D6F">
            <w:pPr>
              <w:spacing w:line="480" w:lineRule="auto"/>
              <w:contextualSpacing/>
              <w:rPr>
                <w:rFonts w:ascii="Times New Roman" w:hAnsi="Times New Roman" w:cs="Times New Roman"/>
                <w:sz w:val="16"/>
                <w:szCs w:val="16"/>
              </w:rPr>
            </w:pPr>
            <w:r w:rsidRPr="008A7487">
              <w:rPr>
                <w:rFonts w:ascii="Times New Roman" w:hAnsi="Times New Roman" w:cs="Times New Roman"/>
                <w:sz w:val="16"/>
                <w:szCs w:val="16"/>
              </w:rPr>
              <w:t>CM</w:t>
            </w:r>
          </w:p>
        </w:tc>
        <w:tc>
          <w:tcPr>
            <w:tcW w:w="993" w:type="dxa"/>
            <w:vAlign w:val="bottom"/>
          </w:tcPr>
          <w:p w14:paraId="010E4067" w14:textId="77777777" w:rsidR="00B75F05" w:rsidRPr="008A7487" w:rsidRDefault="00B75F05" w:rsidP="00C21D6F">
            <w:pPr>
              <w:autoSpaceDE w:val="0"/>
              <w:autoSpaceDN w:val="0"/>
              <w:adjustRightInd w:val="0"/>
              <w:ind w:right="10"/>
              <w:rPr>
                <w:rFonts w:ascii="Times New Roman" w:hAnsi="Times New Roman" w:cs="Times New Roman"/>
                <w:color w:val="000000"/>
                <w:sz w:val="16"/>
                <w:szCs w:val="16"/>
                <w:lang w:val="en-GB"/>
              </w:rPr>
            </w:pPr>
            <w:r w:rsidRPr="008A7487">
              <w:rPr>
                <w:rFonts w:ascii="Times New Roman" w:hAnsi="Times New Roman" w:cs="Times New Roman"/>
                <w:color w:val="000000"/>
                <w:sz w:val="16"/>
                <w:szCs w:val="16"/>
                <w:lang w:val="en-GB"/>
              </w:rPr>
              <w:t>-0.04</w:t>
            </w:r>
          </w:p>
        </w:tc>
        <w:tc>
          <w:tcPr>
            <w:tcW w:w="1134" w:type="dxa"/>
            <w:vAlign w:val="bottom"/>
          </w:tcPr>
          <w:p w14:paraId="1AC95D0D" w14:textId="77777777" w:rsidR="00B75F05" w:rsidRPr="008A7487" w:rsidRDefault="00B75F05" w:rsidP="00C21D6F">
            <w:pPr>
              <w:autoSpaceDE w:val="0"/>
              <w:autoSpaceDN w:val="0"/>
              <w:adjustRightInd w:val="0"/>
              <w:ind w:right="10"/>
              <w:rPr>
                <w:rFonts w:ascii="Times New Roman" w:hAnsi="Times New Roman" w:cs="Times New Roman"/>
                <w:color w:val="000000"/>
                <w:sz w:val="16"/>
                <w:szCs w:val="16"/>
                <w:lang w:val="en-GB"/>
              </w:rPr>
            </w:pPr>
            <w:r w:rsidRPr="008A7487">
              <w:rPr>
                <w:rFonts w:ascii="Times New Roman" w:hAnsi="Times New Roman" w:cs="Times New Roman"/>
                <w:color w:val="000000"/>
                <w:sz w:val="16"/>
                <w:szCs w:val="16"/>
                <w:lang w:val="en-GB"/>
              </w:rPr>
              <w:t>-17.48***</w:t>
            </w:r>
          </w:p>
        </w:tc>
        <w:tc>
          <w:tcPr>
            <w:tcW w:w="850" w:type="dxa"/>
            <w:vAlign w:val="bottom"/>
          </w:tcPr>
          <w:p w14:paraId="3A0386F4" w14:textId="77777777" w:rsidR="00B75F05" w:rsidRPr="008A7487" w:rsidRDefault="00B75F05" w:rsidP="00C21D6F">
            <w:pPr>
              <w:autoSpaceDE w:val="0"/>
              <w:autoSpaceDN w:val="0"/>
              <w:adjustRightInd w:val="0"/>
              <w:ind w:right="10"/>
              <w:rPr>
                <w:rFonts w:ascii="Times New Roman" w:hAnsi="Times New Roman" w:cs="Times New Roman"/>
                <w:color w:val="000000"/>
                <w:sz w:val="16"/>
                <w:szCs w:val="16"/>
                <w:lang w:val="en-GB"/>
              </w:rPr>
            </w:pPr>
            <w:r w:rsidRPr="008A7487">
              <w:rPr>
                <w:rFonts w:ascii="Times New Roman" w:hAnsi="Times New Roman" w:cs="Times New Roman"/>
                <w:color w:val="000000"/>
                <w:sz w:val="16"/>
                <w:szCs w:val="16"/>
                <w:lang w:val="en-GB"/>
              </w:rPr>
              <w:t>0.07</w:t>
            </w:r>
          </w:p>
        </w:tc>
        <w:tc>
          <w:tcPr>
            <w:tcW w:w="1134" w:type="dxa"/>
            <w:vAlign w:val="bottom"/>
          </w:tcPr>
          <w:p w14:paraId="345D0BB5" w14:textId="77777777" w:rsidR="00B75F05" w:rsidRPr="008A7487" w:rsidRDefault="00B75F05" w:rsidP="00C21D6F">
            <w:pPr>
              <w:autoSpaceDE w:val="0"/>
              <w:autoSpaceDN w:val="0"/>
              <w:adjustRightInd w:val="0"/>
              <w:ind w:right="10"/>
              <w:rPr>
                <w:rFonts w:ascii="Times New Roman" w:hAnsi="Times New Roman" w:cs="Times New Roman"/>
                <w:color w:val="000000"/>
                <w:sz w:val="16"/>
                <w:szCs w:val="16"/>
                <w:lang w:val="en-GB"/>
              </w:rPr>
            </w:pPr>
            <w:r w:rsidRPr="008A7487">
              <w:rPr>
                <w:rFonts w:ascii="Times New Roman" w:hAnsi="Times New Roman" w:cs="Times New Roman"/>
                <w:color w:val="000000"/>
                <w:sz w:val="16"/>
                <w:szCs w:val="16"/>
                <w:lang w:val="en-GB"/>
              </w:rPr>
              <w:t>8.36***</w:t>
            </w:r>
          </w:p>
        </w:tc>
      </w:tr>
      <w:tr w:rsidR="00B75F05" w:rsidRPr="008A7487" w14:paraId="56DBBC04" w14:textId="77777777" w:rsidTr="00C21D6F">
        <w:tc>
          <w:tcPr>
            <w:tcW w:w="2693" w:type="dxa"/>
          </w:tcPr>
          <w:p w14:paraId="66E07E06" w14:textId="77777777" w:rsidR="00B75F05" w:rsidRPr="008A7487" w:rsidRDefault="00B75F05" w:rsidP="00C21D6F">
            <w:pPr>
              <w:spacing w:line="480" w:lineRule="auto"/>
              <w:contextualSpacing/>
              <w:rPr>
                <w:rFonts w:ascii="Times New Roman" w:hAnsi="Times New Roman" w:cs="Times New Roman"/>
                <w:sz w:val="16"/>
                <w:szCs w:val="16"/>
              </w:rPr>
            </w:pPr>
            <w:r w:rsidRPr="008A7487">
              <w:rPr>
                <w:rFonts w:ascii="Times New Roman" w:hAnsi="Times New Roman" w:cs="Times New Roman"/>
                <w:sz w:val="16"/>
                <w:szCs w:val="16"/>
              </w:rPr>
              <w:t>LQ</w:t>
            </w:r>
          </w:p>
        </w:tc>
        <w:tc>
          <w:tcPr>
            <w:tcW w:w="993" w:type="dxa"/>
            <w:vAlign w:val="bottom"/>
          </w:tcPr>
          <w:p w14:paraId="4D4F9873" w14:textId="77777777" w:rsidR="00B75F05" w:rsidRPr="008A7487" w:rsidRDefault="00B75F05" w:rsidP="00C21D6F">
            <w:pPr>
              <w:autoSpaceDE w:val="0"/>
              <w:autoSpaceDN w:val="0"/>
              <w:adjustRightInd w:val="0"/>
              <w:ind w:right="10"/>
              <w:rPr>
                <w:rFonts w:ascii="Times New Roman" w:hAnsi="Times New Roman" w:cs="Times New Roman"/>
                <w:color w:val="000000"/>
                <w:sz w:val="16"/>
                <w:szCs w:val="16"/>
                <w:lang w:val="en-GB"/>
              </w:rPr>
            </w:pPr>
            <w:r w:rsidRPr="008A7487">
              <w:rPr>
                <w:rFonts w:ascii="Times New Roman" w:hAnsi="Times New Roman" w:cs="Times New Roman"/>
                <w:color w:val="000000"/>
                <w:sz w:val="16"/>
                <w:szCs w:val="16"/>
                <w:lang w:val="en-GB"/>
              </w:rPr>
              <w:t>-0.01</w:t>
            </w:r>
          </w:p>
        </w:tc>
        <w:tc>
          <w:tcPr>
            <w:tcW w:w="1134" w:type="dxa"/>
            <w:vAlign w:val="bottom"/>
          </w:tcPr>
          <w:p w14:paraId="01985FAE" w14:textId="77777777" w:rsidR="00B75F05" w:rsidRPr="008A7487" w:rsidRDefault="00B75F05" w:rsidP="00C21D6F">
            <w:pPr>
              <w:autoSpaceDE w:val="0"/>
              <w:autoSpaceDN w:val="0"/>
              <w:adjustRightInd w:val="0"/>
              <w:ind w:right="10"/>
              <w:rPr>
                <w:rFonts w:ascii="Times New Roman" w:hAnsi="Times New Roman" w:cs="Times New Roman"/>
                <w:color w:val="000000"/>
                <w:sz w:val="16"/>
                <w:szCs w:val="16"/>
                <w:lang w:val="en-GB"/>
              </w:rPr>
            </w:pPr>
            <w:r w:rsidRPr="008A7487">
              <w:rPr>
                <w:rFonts w:ascii="Times New Roman" w:hAnsi="Times New Roman" w:cs="Times New Roman"/>
                <w:color w:val="000000"/>
                <w:sz w:val="16"/>
                <w:szCs w:val="16"/>
                <w:lang w:val="en-GB"/>
              </w:rPr>
              <w:t>-3.59***</w:t>
            </w:r>
          </w:p>
        </w:tc>
        <w:tc>
          <w:tcPr>
            <w:tcW w:w="850" w:type="dxa"/>
            <w:vAlign w:val="bottom"/>
          </w:tcPr>
          <w:p w14:paraId="4D9B38E7" w14:textId="77777777" w:rsidR="00B75F05" w:rsidRPr="008A7487" w:rsidRDefault="00B75F05" w:rsidP="00C21D6F">
            <w:pPr>
              <w:autoSpaceDE w:val="0"/>
              <w:autoSpaceDN w:val="0"/>
              <w:adjustRightInd w:val="0"/>
              <w:ind w:right="10"/>
              <w:rPr>
                <w:rFonts w:ascii="Times New Roman" w:hAnsi="Times New Roman" w:cs="Times New Roman"/>
                <w:color w:val="000000"/>
                <w:sz w:val="16"/>
                <w:szCs w:val="16"/>
                <w:lang w:val="en-GB"/>
              </w:rPr>
            </w:pPr>
            <w:r w:rsidRPr="008A7487">
              <w:rPr>
                <w:rFonts w:ascii="Times New Roman" w:hAnsi="Times New Roman" w:cs="Times New Roman"/>
                <w:color w:val="000000"/>
                <w:sz w:val="16"/>
                <w:szCs w:val="16"/>
                <w:lang w:val="en-GB"/>
              </w:rPr>
              <w:t>0.04</w:t>
            </w:r>
          </w:p>
        </w:tc>
        <w:tc>
          <w:tcPr>
            <w:tcW w:w="1134" w:type="dxa"/>
            <w:vAlign w:val="bottom"/>
          </w:tcPr>
          <w:p w14:paraId="56E2D394" w14:textId="77777777" w:rsidR="00B75F05" w:rsidRPr="008A7487" w:rsidRDefault="00B75F05" w:rsidP="00C21D6F">
            <w:pPr>
              <w:autoSpaceDE w:val="0"/>
              <w:autoSpaceDN w:val="0"/>
              <w:adjustRightInd w:val="0"/>
              <w:ind w:right="10"/>
              <w:rPr>
                <w:rFonts w:ascii="Times New Roman" w:hAnsi="Times New Roman" w:cs="Times New Roman"/>
                <w:color w:val="000000"/>
                <w:sz w:val="16"/>
                <w:szCs w:val="16"/>
                <w:lang w:val="en-GB"/>
              </w:rPr>
            </w:pPr>
            <w:r w:rsidRPr="008A7487">
              <w:rPr>
                <w:rFonts w:ascii="Times New Roman" w:hAnsi="Times New Roman" w:cs="Times New Roman"/>
                <w:color w:val="000000"/>
                <w:sz w:val="16"/>
                <w:szCs w:val="16"/>
                <w:lang w:val="en-GB"/>
              </w:rPr>
              <w:t>4.02***</w:t>
            </w:r>
          </w:p>
        </w:tc>
      </w:tr>
      <w:tr w:rsidR="00B75F05" w:rsidRPr="008A7487" w14:paraId="6F2E6107" w14:textId="77777777" w:rsidTr="00C21D6F">
        <w:tc>
          <w:tcPr>
            <w:tcW w:w="2693" w:type="dxa"/>
            <w:shd w:val="clear" w:color="auto" w:fill="auto"/>
          </w:tcPr>
          <w:p w14:paraId="46C8CAD5" w14:textId="77777777" w:rsidR="00B75F05" w:rsidRPr="008A7487" w:rsidRDefault="00B75F05" w:rsidP="00C21D6F">
            <w:pPr>
              <w:spacing w:line="480" w:lineRule="auto"/>
              <w:contextualSpacing/>
              <w:rPr>
                <w:rFonts w:ascii="Times New Roman" w:hAnsi="Times New Roman" w:cs="Times New Roman"/>
                <w:sz w:val="16"/>
                <w:szCs w:val="16"/>
              </w:rPr>
            </w:pPr>
            <w:r w:rsidRPr="008A7487">
              <w:rPr>
                <w:rFonts w:ascii="Times New Roman" w:hAnsi="Times New Roman" w:cs="Times New Roman"/>
                <w:sz w:val="16"/>
                <w:szCs w:val="16"/>
              </w:rPr>
              <w:t>MP*CM</w:t>
            </w:r>
          </w:p>
        </w:tc>
        <w:tc>
          <w:tcPr>
            <w:tcW w:w="993" w:type="dxa"/>
            <w:vAlign w:val="bottom"/>
          </w:tcPr>
          <w:p w14:paraId="201A1E01" w14:textId="77777777" w:rsidR="00B75F05" w:rsidRPr="008A7487" w:rsidRDefault="00B75F05" w:rsidP="00C21D6F">
            <w:pPr>
              <w:autoSpaceDE w:val="0"/>
              <w:autoSpaceDN w:val="0"/>
              <w:adjustRightInd w:val="0"/>
              <w:ind w:right="11"/>
              <w:rPr>
                <w:rFonts w:ascii="Times New Roman" w:hAnsi="Times New Roman" w:cs="Times New Roman"/>
                <w:color w:val="000000"/>
                <w:sz w:val="16"/>
                <w:szCs w:val="16"/>
                <w:lang w:val="en-GB"/>
              </w:rPr>
            </w:pPr>
            <w:r w:rsidRPr="008A7487">
              <w:rPr>
                <w:rFonts w:ascii="Times New Roman" w:hAnsi="Times New Roman" w:cs="Times New Roman"/>
                <w:color w:val="000000"/>
                <w:sz w:val="16"/>
                <w:szCs w:val="16"/>
                <w:lang w:val="en-GB"/>
              </w:rPr>
              <w:t>0.14</w:t>
            </w:r>
          </w:p>
        </w:tc>
        <w:tc>
          <w:tcPr>
            <w:tcW w:w="1134" w:type="dxa"/>
            <w:vAlign w:val="bottom"/>
          </w:tcPr>
          <w:p w14:paraId="24FDD0ED" w14:textId="77777777" w:rsidR="00B75F05" w:rsidRPr="008A7487" w:rsidRDefault="00B75F05" w:rsidP="00C21D6F">
            <w:pPr>
              <w:autoSpaceDE w:val="0"/>
              <w:autoSpaceDN w:val="0"/>
              <w:adjustRightInd w:val="0"/>
              <w:ind w:right="11"/>
              <w:rPr>
                <w:rFonts w:ascii="Times New Roman" w:hAnsi="Times New Roman" w:cs="Times New Roman"/>
                <w:color w:val="000000"/>
                <w:sz w:val="16"/>
                <w:szCs w:val="16"/>
                <w:lang w:val="en-GB"/>
              </w:rPr>
            </w:pPr>
            <w:r w:rsidRPr="008A7487">
              <w:rPr>
                <w:rFonts w:ascii="Times New Roman" w:hAnsi="Times New Roman" w:cs="Times New Roman"/>
                <w:color w:val="000000"/>
                <w:sz w:val="16"/>
                <w:szCs w:val="16"/>
                <w:lang w:val="en-GB"/>
              </w:rPr>
              <w:t>0.92</w:t>
            </w:r>
          </w:p>
        </w:tc>
        <w:tc>
          <w:tcPr>
            <w:tcW w:w="850" w:type="dxa"/>
            <w:vAlign w:val="bottom"/>
          </w:tcPr>
          <w:p w14:paraId="3844CF4B" w14:textId="77777777" w:rsidR="00B75F05" w:rsidRPr="008A7487" w:rsidRDefault="00B75F05" w:rsidP="00C21D6F">
            <w:pPr>
              <w:autoSpaceDE w:val="0"/>
              <w:autoSpaceDN w:val="0"/>
              <w:adjustRightInd w:val="0"/>
              <w:ind w:right="11"/>
              <w:rPr>
                <w:rFonts w:ascii="Times New Roman" w:hAnsi="Times New Roman" w:cs="Times New Roman"/>
                <w:color w:val="000000"/>
                <w:sz w:val="16"/>
                <w:szCs w:val="16"/>
                <w:lang w:val="en-GB"/>
              </w:rPr>
            </w:pPr>
            <w:r w:rsidRPr="008A7487">
              <w:rPr>
                <w:rFonts w:ascii="Times New Roman" w:hAnsi="Times New Roman" w:cs="Times New Roman"/>
                <w:color w:val="000000"/>
                <w:sz w:val="16"/>
                <w:szCs w:val="16"/>
                <w:lang w:val="en-GB"/>
              </w:rPr>
              <w:t>-1.39</w:t>
            </w:r>
          </w:p>
        </w:tc>
        <w:tc>
          <w:tcPr>
            <w:tcW w:w="1134" w:type="dxa"/>
            <w:vAlign w:val="bottom"/>
          </w:tcPr>
          <w:p w14:paraId="42D136C1" w14:textId="77777777" w:rsidR="00B75F05" w:rsidRPr="008A7487" w:rsidRDefault="00B75F05" w:rsidP="00C21D6F">
            <w:pPr>
              <w:autoSpaceDE w:val="0"/>
              <w:autoSpaceDN w:val="0"/>
              <w:adjustRightInd w:val="0"/>
              <w:ind w:right="11"/>
              <w:rPr>
                <w:rFonts w:ascii="Times New Roman" w:hAnsi="Times New Roman" w:cs="Times New Roman"/>
                <w:color w:val="000000"/>
                <w:sz w:val="16"/>
                <w:szCs w:val="16"/>
                <w:lang w:val="en-GB"/>
              </w:rPr>
            </w:pPr>
            <w:r w:rsidRPr="008A7487">
              <w:rPr>
                <w:rFonts w:ascii="Times New Roman" w:hAnsi="Times New Roman" w:cs="Times New Roman"/>
                <w:color w:val="000000"/>
                <w:sz w:val="16"/>
                <w:szCs w:val="16"/>
                <w:lang w:val="en-GB"/>
              </w:rPr>
              <w:t>-2.59**</w:t>
            </w:r>
          </w:p>
        </w:tc>
      </w:tr>
      <w:tr w:rsidR="00B75F05" w:rsidRPr="008A7487" w14:paraId="39597033" w14:textId="77777777" w:rsidTr="00C21D6F">
        <w:tc>
          <w:tcPr>
            <w:tcW w:w="2693" w:type="dxa"/>
            <w:shd w:val="clear" w:color="auto" w:fill="auto"/>
          </w:tcPr>
          <w:p w14:paraId="614D3E5B" w14:textId="77777777" w:rsidR="00B75F05" w:rsidRPr="008A7487" w:rsidRDefault="00B75F05" w:rsidP="00C21D6F">
            <w:pPr>
              <w:spacing w:line="480" w:lineRule="auto"/>
              <w:contextualSpacing/>
              <w:rPr>
                <w:rFonts w:ascii="Times New Roman" w:hAnsi="Times New Roman" w:cs="Times New Roman"/>
                <w:sz w:val="16"/>
                <w:szCs w:val="16"/>
              </w:rPr>
            </w:pPr>
            <w:r w:rsidRPr="008A7487">
              <w:rPr>
                <w:rFonts w:ascii="Times New Roman" w:hAnsi="Times New Roman" w:cs="Times New Roman"/>
                <w:sz w:val="16"/>
                <w:szCs w:val="16"/>
              </w:rPr>
              <w:t>ΔGDP</w:t>
            </w:r>
          </w:p>
        </w:tc>
        <w:tc>
          <w:tcPr>
            <w:tcW w:w="993" w:type="dxa"/>
            <w:vAlign w:val="bottom"/>
          </w:tcPr>
          <w:p w14:paraId="6B5E09CA" w14:textId="77777777" w:rsidR="00B75F05" w:rsidRPr="008A7487" w:rsidRDefault="00B75F05" w:rsidP="00C21D6F">
            <w:pPr>
              <w:autoSpaceDE w:val="0"/>
              <w:autoSpaceDN w:val="0"/>
              <w:adjustRightInd w:val="0"/>
              <w:ind w:right="11"/>
              <w:rPr>
                <w:rFonts w:ascii="Times New Roman" w:hAnsi="Times New Roman" w:cs="Times New Roman"/>
                <w:color w:val="000000"/>
                <w:sz w:val="16"/>
                <w:szCs w:val="16"/>
                <w:lang w:val="en-GB"/>
              </w:rPr>
            </w:pPr>
            <w:r w:rsidRPr="008A7487">
              <w:rPr>
                <w:rFonts w:ascii="Times New Roman" w:hAnsi="Times New Roman" w:cs="Times New Roman"/>
                <w:color w:val="000000"/>
                <w:sz w:val="16"/>
                <w:szCs w:val="16"/>
                <w:lang w:val="en-GB"/>
              </w:rPr>
              <w:t>0.01</w:t>
            </w:r>
          </w:p>
        </w:tc>
        <w:tc>
          <w:tcPr>
            <w:tcW w:w="1134" w:type="dxa"/>
            <w:vAlign w:val="bottom"/>
          </w:tcPr>
          <w:p w14:paraId="11AA7755" w14:textId="77777777" w:rsidR="00B75F05" w:rsidRPr="008A7487" w:rsidRDefault="00B75F05" w:rsidP="00C21D6F">
            <w:pPr>
              <w:autoSpaceDE w:val="0"/>
              <w:autoSpaceDN w:val="0"/>
              <w:adjustRightInd w:val="0"/>
              <w:ind w:right="11"/>
              <w:rPr>
                <w:rFonts w:ascii="Times New Roman" w:hAnsi="Times New Roman" w:cs="Times New Roman"/>
                <w:color w:val="000000"/>
                <w:sz w:val="16"/>
                <w:szCs w:val="16"/>
                <w:lang w:val="en-GB"/>
              </w:rPr>
            </w:pPr>
            <w:r w:rsidRPr="008A7487">
              <w:rPr>
                <w:rFonts w:ascii="Times New Roman" w:hAnsi="Times New Roman" w:cs="Times New Roman"/>
                <w:color w:val="000000"/>
                <w:sz w:val="16"/>
                <w:szCs w:val="16"/>
                <w:lang w:val="en-GB"/>
              </w:rPr>
              <w:t>0.44</w:t>
            </w:r>
          </w:p>
        </w:tc>
        <w:tc>
          <w:tcPr>
            <w:tcW w:w="850" w:type="dxa"/>
            <w:vAlign w:val="bottom"/>
          </w:tcPr>
          <w:p w14:paraId="53B0AF8D" w14:textId="77777777" w:rsidR="00B75F05" w:rsidRPr="008A7487" w:rsidRDefault="00B75F05" w:rsidP="00C21D6F">
            <w:pPr>
              <w:autoSpaceDE w:val="0"/>
              <w:autoSpaceDN w:val="0"/>
              <w:adjustRightInd w:val="0"/>
              <w:ind w:right="11"/>
              <w:rPr>
                <w:rFonts w:ascii="Times New Roman" w:hAnsi="Times New Roman" w:cs="Times New Roman"/>
                <w:color w:val="000000"/>
                <w:sz w:val="16"/>
                <w:szCs w:val="16"/>
                <w:lang w:val="en-GB"/>
              </w:rPr>
            </w:pPr>
            <w:r w:rsidRPr="008A7487">
              <w:rPr>
                <w:rFonts w:ascii="Times New Roman" w:hAnsi="Times New Roman" w:cs="Times New Roman"/>
                <w:color w:val="000000"/>
                <w:sz w:val="16"/>
                <w:szCs w:val="16"/>
                <w:lang w:val="en-GB"/>
              </w:rPr>
              <w:t>0.71</w:t>
            </w:r>
          </w:p>
        </w:tc>
        <w:tc>
          <w:tcPr>
            <w:tcW w:w="1134" w:type="dxa"/>
            <w:vAlign w:val="bottom"/>
          </w:tcPr>
          <w:p w14:paraId="3C4B8C7D" w14:textId="77777777" w:rsidR="00B75F05" w:rsidRPr="008A7487" w:rsidRDefault="00B75F05" w:rsidP="00C21D6F">
            <w:pPr>
              <w:autoSpaceDE w:val="0"/>
              <w:autoSpaceDN w:val="0"/>
              <w:adjustRightInd w:val="0"/>
              <w:ind w:right="11"/>
              <w:rPr>
                <w:rFonts w:ascii="Times New Roman" w:hAnsi="Times New Roman" w:cs="Times New Roman"/>
                <w:color w:val="000000"/>
                <w:sz w:val="16"/>
                <w:szCs w:val="16"/>
                <w:lang w:val="en-GB"/>
              </w:rPr>
            </w:pPr>
            <w:r w:rsidRPr="008A7487">
              <w:rPr>
                <w:rFonts w:ascii="Times New Roman" w:hAnsi="Times New Roman" w:cs="Times New Roman"/>
                <w:color w:val="000000"/>
                <w:sz w:val="16"/>
                <w:szCs w:val="16"/>
                <w:lang w:val="en-GB"/>
              </w:rPr>
              <w:t>1.35</w:t>
            </w:r>
          </w:p>
        </w:tc>
      </w:tr>
      <w:tr w:rsidR="00B75F05" w:rsidRPr="008A7487" w14:paraId="0CB37535" w14:textId="77777777" w:rsidTr="00C21D6F">
        <w:tc>
          <w:tcPr>
            <w:tcW w:w="2693" w:type="dxa"/>
            <w:shd w:val="clear" w:color="auto" w:fill="auto"/>
          </w:tcPr>
          <w:p w14:paraId="373237BC" w14:textId="77777777" w:rsidR="00B75F05" w:rsidRPr="008A7487" w:rsidRDefault="00B75F05" w:rsidP="00C21D6F">
            <w:pPr>
              <w:spacing w:line="480" w:lineRule="auto"/>
              <w:contextualSpacing/>
              <w:rPr>
                <w:rFonts w:ascii="Times New Roman" w:hAnsi="Times New Roman" w:cs="Times New Roman"/>
                <w:sz w:val="16"/>
                <w:szCs w:val="16"/>
              </w:rPr>
            </w:pPr>
            <w:r w:rsidRPr="008A7487">
              <w:rPr>
                <w:rFonts w:ascii="Times New Roman" w:hAnsi="Times New Roman" w:cs="Times New Roman"/>
                <w:sz w:val="16"/>
                <w:szCs w:val="16"/>
              </w:rPr>
              <w:t>INF</w:t>
            </w:r>
          </w:p>
        </w:tc>
        <w:tc>
          <w:tcPr>
            <w:tcW w:w="993" w:type="dxa"/>
            <w:vAlign w:val="bottom"/>
          </w:tcPr>
          <w:p w14:paraId="1C90EDA8" w14:textId="77777777" w:rsidR="00B75F05" w:rsidRPr="008A7487" w:rsidRDefault="00B75F05" w:rsidP="00C21D6F">
            <w:pPr>
              <w:autoSpaceDE w:val="0"/>
              <w:autoSpaceDN w:val="0"/>
              <w:adjustRightInd w:val="0"/>
              <w:ind w:right="11"/>
              <w:rPr>
                <w:rFonts w:ascii="Times New Roman" w:hAnsi="Times New Roman" w:cs="Times New Roman"/>
                <w:color w:val="000000"/>
                <w:sz w:val="16"/>
                <w:szCs w:val="16"/>
                <w:lang w:val="en-GB"/>
              </w:rPr>
            </w:pPr>
            <w:r w:rsidRPr="008A7487">
              <w:rPr>
                <w:rFonts w:ascii="Times New Roman" w:hAnsi="Times New Roman" w:cs="Times New Roman"/>
                <w:color w:val="000000"/>
                <w:sz w:val="16"/>
                <w:szCs w:val="16"/>
                <w:lang w:val="en-GB"/>
              </w:rPr>
              <w:t>-0.03</w:t>
            </w:r>
          </w:p>
        </w:tc>
        <w:tc>
          <w:tcPr>
            <w:tcW w:w="1134" w:type="dxa"/>
            <w:vAlign w:val="bottom"/>
          </w:tcPr>
          <w:p w14:paraId="7EFA0F02" w14:textId="77777777" w:rsidR="00B75F05" w:rsidRPr="008A7487" w:rsidRDefault="00B75F05" w:rsidP="00C21D6F">
            <w:pPr>
              <w:autoSpaceDE w:val="0"/>
              <w:autoSpaceDN w:val="0"/>
              <w:adjustRightInd w:val="0"/>
              <w:ind w:right="11"/>
              <w:rPr>
                <w:rFonts w:ascii="Times New Roman" w:hAnsi="Times New Roman" w:cs="Times New Roman"/>
                <w:color w:val="000000"/>
                <w:sz w:val="16"/>
                <w:szCs w:val="16"/>
                <w:lang w:val="en-GB"/>
              </w:rPr>
            </w:pPr>
            <w:r w:rsidRPr="008A7487">
              <w:rPr>
                <w:rFonts w:ascii="Times New Roman" w:hAnsi="Times New Roman" w:cs="Times New Roman"/>
                <w:color w:val="000000"/>
                <w:sz w:val="16"/>
                <w:szCs w:val="16"/>
                <w:lang w:val="en-GB"/>
              </w:rPr>
              <w:t>-1.90*</w:t>
            </w:r>
          </w:p>
        </w:tc>
        <w:tc>
          <w:tcPr>
            <w:tcW w:w="850" w:type="dxa"/>
            <w:vAlign w:val="bottom"/>
          </w:tcPr>
          <w:p w14:paraId="5A1EBCC8" w14:textId="77777777" w:rsidR="00B75F05" w:rsidRPr="008A7487" w:rsidRDefault="00B75F05" w:rsidP="00C21D6F">
            <w:pPr>
              <w:autoSpaceDE w:val="0"/>
              <w:autoSpaceDN w:val="0"/>
              <w:adjustRightInd w:val="0"/>
              <w:ind w:right="11"/>
              <w:rPr>
                <w:rFonts w:ascii="Times New Roman" w:hAnsi="Times New Roman" w:cs="Times New Roman"/>
                <w:color w:val="000000"/>
                <w:sz w:val="16"/>
                <w:szCs w:val="16"/>
                <w:lang w:val="en-GB"/>
              </w:rPr>
            </w:pPr>
            <w:r w:rsidRPr="008A7487">
              <w:rPr>
                <w:rFonts w:ascii="Times New Roman" w:hAnsi="Times New Roman" w:cs="Times New Roman"/>
                <w:color w:val="000000"/>
                <w:sz w:val="16"/>
                <w:szCs w:val="16"/>
                <w:lang w:val="en-GB"/>
              </w:rPr>
              <w:t>-0.12</w:t>
            </w:r>
          </w:p>
        </w:tc>
        <w:tc>
          <w:tcPr>
            <w:tcW w:w="1134" w:type="dxa"/>
            <w:vAlign w:val="bottom"/>
          </w:tcPr>
          <w:p w14:paraId="683D24A3" w14:textId="77777777" w:rsidR="00B75F05" w:rsidRPr="008A7487" w:rsidRDefault="00B75F05" w:rsidP="00C21D6F">
            <w:pPr>
              <w:autoSpaceDE w:val="0"/>
              <w:autoSpaceDN w:val="0"/>
              <w:adjustRightInd w:val="0"/>
              <w:ind w:right="11"/>
              <w:rPr>
                <w:rFonts w:ascii="Times New Roman" w:hAnsi="Times New Roman" w:cs="Times New Roman"/>
                <w:color w:val="000000"/>
                <w:sz w:val="16"/>
                <w:szCs w:val="16"/>
                <w:lang w:val="en-GB"/>
              </w:rPr>
            </w:pPr>
            <w:r w:rsidRPr="008A7487">
              <w:rPr>
                <w:rFonts w:ascii="Times New Roman" w:hAnsi="Times New Roman" w:cs="Times New Roman"/>
                <w:color w:val="000000"/>
                <w:sz w:val="16"/>
                <w:szCs w:val="16"/>
                <w:lang w:val="en-GB"/>
              </w:rPr>
              <w:t>-1.98**</w:t>
            </w:r>
          </w:p>
        </w:tc>
      </w:tr>
      <w:tr w:rsidR="00B75F05" w:rsidRPr="008A7487" w14:paraId="64E24284" w14:textId="77777777" w:rsidTr="00C21D6F">
        <w:tc>
          <w:tcPr>
            <w:tcW w:w="2693" w:type="dxa"/>
          </w:tcPr>
          <w:p w14:paraId="5BA42C9F" w14:textId="77777777" w:rsidR="00B75F05" w:rsidRPr="008A7487" w:rsidRDefault="00B75F05" w:rsidP="00C21D6F">
            <w:pPr>
              <w:spacing w:line="480" w:lineRule="auto"/>
              <w:contextualSpacing/>
              <w:rPr>
                <w:rFonts w:ascii="Times New Roman" w:hAnsi="Times New Roman" w:cs="Times New Roman"/>
                <w:sz w:val="16"/>
                <w:szCs w:val="16"/>
              </w:rPr>
            </w:pPr>
            <w:r w:rsidRPr="008A7487">
              <w:rPr>
                <w:rFonts w:ascii="Times New Roman" w:hAnsi="Times New Roman" w:cs="Times New Roman"/>
                <w:sz w:val="16"/>
                <w:szCs w:val="16"/>
              </w:rPr>
              <w:t>Cont</w:t>
            </w:r>
          </w:p>
        </w:tc>
        <w:tc>
          <w:tcPr>
            <w:tcW w:w="993" w:type="dxa"/>
          </w:tcPr>
          <w:p w14:paraId="4450BCB5" w14:textId="77777777" w:rsidR="00B75F05" w:rsidRPr="008A7487" w:rsidRDefault="00B75F05" w:rsidP="00C21D6F">
            <w:pPr>
              <w:rPr>
                <w:rFonts w:ascii="Times New Roman" w:hAnsi="Times New Roman" w:cs="Times New Roman"/>
                <w:sz w:val="16"/>
                <w:szCs w:val="16"/>
              </w:rPr>
            </w:pPr>
            <w:r w:rsidRPr="008A7487">
              <w:rPr>
                <w:rFonts w:ascii="Times New Roman" w:hAnsi="Times New Roman" w:cs="Times New Roman"/>
                <w:sz w:val="16"/>
                <w:szCs w:val="16"/>
              </w:rPr>
              <w:t>0.22</w:t>
            </w:r>
          </w:p>
        </w:tc>
        <w:tc>
          <w:tcPr>
            <w:tcW w:w="1134" w:type="dxa"/>
          </w:tcPr>
          <w:p w14:paraId="686449A3" w14:textId="77777777" w:rsidR="00B75F05" w:rsidRPr="008A7487" w:rsidRDefault="00B75F05" w:rsidP="00C21D6F">
            <w:pPr>
              <w:rPr>
                <w:rFonts w:ascii="Times New Roman" w:hAnsi="Times New Roman" w:cs="Times New Roman"/>
                <w:sz w:val="16"/>
                <w:szCs w:val="16"/>
              </w:rPr>
            </w:pPr>
            <w:r w:rsidRPr="008A7487">
              <w:rPr>
                <w:rFonts w:ascii="Times New Roman" w:hAnsi="Times New Roman" w:cs="Times New Roman"/>
                <w:sz w:val="16"/>
                <w:szCs w:val="16"/>
              </w:rPr>
              <w:t>0.67</w:t>
            </w:r>
          </w:p>
        </w:tc>
        <w:tc>
          <w:tcPr>
            <w:tcW w:w="850" w:type="dxa"/>
          </w:tcPr>
          <w:p w14:paraId="6A69E2E8" w14:textId="77777777" w:rsidR="00B75F05" w:rsidRPr="008A7487" w:rsidRDefault="00B75F05" w:rsidP="00C21D6F">
            <w:pPr>
              <w:rPr>
                <w:rFonts w:ascii="Times New Roman" w:hAnsi="Times New Roman" w:cs="Times New Roman"/>
                <w:sz w:val="16"/>
                <w:szCs w:val="16"/>
              </w:rPr>
            </w:pPr>
            <w:r w:rsidRPr="008A7487">
              <w:rPr>
                <w:rFonts w:ascii="Times New Roman" w:hAnsi="Times New Roman" w:cs="Times New Roman"/>
                <w:sz w:val="16"/>
                <w:szCs w:val="16"/>
              </w:rPr>
              <w:t>2.61</w:t>
            </w:r>
          </w:p>
        </w:tc>
        <w:tc>
          <w:tcPr>
            <w:tcW w:w="1134" w:type="dxa"/>
          </w:tcPr>
          <w:p w14:paraId="7B32BF4F" w14:textId="77777777" w:rsidR="00B75F05" w:rsidRPr="008A7487" w:rsidRDefault="00B75F05" w:rsidP="00C21D6F">
            <w:pPr>
              <w:rPr>
                <w:rFonts w:ascii="Times New Roman" w:hAnsi="Times New Roman" w:cs="Times New Roman"/>
                <w:sz w:val="16"/>
                <w:szCs w:val="16"/>
              </w:rPr>
            </w:pPr>
            <w:r w:rsidRPr="008A7487">
              <w:rPr>
                <w:rFonts w:ascii="Times New Roman" w:hAnsi="Times New Roman" w:cs="Times New Roman"/>
                <w:sz w:val="16"/>
                <w:szCs w:val="16"/>
              </w:rPr>
              <w:t>2.18**</w:t>
            </w:r>
          </w:p>
        </w:tc>
      </w:tr>
      <w:tr w:rsidR="00B75F05" w:rsidRPr="008A7487" w14:paraId="59183761" w14:textId="77777777" w:rsidTr="00C21D6F">
        <w:tc>
          <w:tcPr>
            <w:tcW w:w="2693" w:type="dxa"/>
          </w:tcPr>
          <w:p w14:paraId="571EB5DE" w14:textId="77777777" w:rsidR="00B75F05" w:rsidRPr="008A7487" w:rsidRDefault="00B75F05" w:rsidP="00C21D6F">
            <w:pPr>
              <w:spacing w:line="480" w:lineRule="auto"/>
              <w:contextualSpacing/>
              <w:rPr>
                <w:rFonts w:ascii="Times New Roman" w:hAnsi="Times New Roman" w:cs="Times New Roman"/>
                <w:sz w:val="16"/>
                <w:szCs w:val="16"/>
                <w:vertAlign w:val="superscript"/>
              </w:rPr>
            </w:pPr>
            <w:r w:rsidRPr="008A7487">
              <w:rPr>
                <w:rFonts w:ascii="Times New Roman" w:hAnsi="Times New Roman" w:cs="Times New Roman"/>
                <w:sz w:val="16"/>
                <w:szCs w:val="16"/>
              </w:rPr>
              <w:t>R</w:t>
            </w:r>
            <w:r w:rsidRPr="008A7487">
              <w:rPr>
                <w:rFonts w:ascii="Times New Roman" w:hAnsi="Times New Roman" w:cs="Times New Roman"/>
                <w:sz w:val="16"/>
                <w:szCs w:val="16"/>
                <w:vertAlign w:val="superscript"/>
              </w:rPr>
              <w:t>2</w:t>
            </w:r>
          </w:p>
        </w:tc>
        <w:tc>
          <w:tcPr>
            <w:tcW w:w="993" w:type="dxa"/>
          </w:tcPr>
          <w:p w14:paraId="5033DF69" w14:textId="77777777" w:rsidR="00B75F05" w:rsidRPr="008A7487" w:rsidRDefault="00B75F05" w:rsidP="00C21D6F">
            <w:pPr>
              <w:contextualSpacing/>
              <w:rPr>
                <w:rFonts w:ascii="Times New Roman" w:hAnsi="Times New Roman" w:cs="Times New Roman"/>
                <w:sz w:val="16"/>
                <w:szCs w:val="16"/>
              </w:rPr>
            </w:pPr>
          </w:p>
        </w:tc>
        <w:tc>
          <w:tcPr>
            <w:tcW w:w="1134" w:type="dxa"/>
          </w:tcPr>
          <w:p w14:paraId="710EB035" w14:textId="77777777" w:rsidR="00B75F05" w:rsidRPr="008A7487" w:rsidRDefault="00B75F05" w:rsidP="00C21D6F">
            <w:pPr>
              <w:contextualSpacing/>
              <w:rPr>
                <w:rFonts w:ascii="Times New Roman" w:hAnsi="Times New Roman" w:cs="Times New Roman"/>
                <w:sz w:val="16"/>
                <w:szCs w:val="16"/>
              </w:rPr>
            </w:pPr>
            <w:r w:rsidRPr="008A7487">
              <w:rPr>
                <w:rFonts w:ascii="Times New Roman" w:hAnsi="Times New Roman" w:cs="Times New Roman"/>
                <w:sz w:val="16"/>
                <w:szCs w:val="16"/>
              </w:rPr>
              <w:t>30</w:t>
            </w:r>
          </w:p>
        </w:tc>
        <w:tc>
          <w:tcPr>
            <w:tcW w:w="850" w:type="dxa"/>
          </w:tcPr>
          <w:p w14:paraId="5B8AE520" w14:textId="77777777" w:rsidR="00B75F05" w:rsidRPr="008A7487" w:rsidRDefault="00B75F05" w:rsidP="00C21D6F">
            <w:pPr>
              <w:contextualSpacing/>
              <w:rPr>
                <w:rFonts w:ascii="Times New Roman" w:hAnsi="Times New Roman" w:cs="Times New Roman"/>
                <w:sz w:val="16"/>
                <w:szCs w:val="16"/>
              </w:rPr>
            </w:pPr>
          </w:p>
        </w:tc>
        <w:tc>
          <w:tcPr>
            <w:tcW w:w="1134" w:type="dxa"/>
          </w:tcPr>
          <w:p w14:paraId="7A84F0D6" w14:textId="77777777" w:rsidR="00B75F05" w:rsidRPr="008A7487" w:rsidRDefault="00B75F05" w:rsidP="00C21D6F">
            <w:pPr>
              <w:contextualSpacing/>
              <w:rPr>
                <w:rFonts w:ascii="Times New Roman" w:hAnsi="Times New Roman" w:cs="Times New Roman"/>
                <w:sz w:val="16"/>
                <w:szCs w:val="16"/>
              </w:rPr>
            </w:pPr>
            <w:r w:rsidRPr="008A7487">
              <w:rPr>
                <w:rFonts w:ascii="Times New Roman" w:hAnsi="Times New Roman" w:cs="Times New Roman"/>
                <w:sz w:val="16"/>
                <w:szCs w:val="16"/>
              </w:rPr>
              <w:t>16</w:t>
            </w:r>
          </w:p>
        </w:tc>
      </w:tr>
      <w:tr w:rsidR="00B75F05" w:rsidRPr="008A7487" w14:paraId="5407360C" w14:textId="77777777" w:rsidTr="00C21D6F">
        <w:tc>
          <w:tcPr>
            <w:tcW w:w="2693" w:type="dxa"/>
          </w:tcPr>
          <w:p w14:paraId="111164F9" w14:textId="77777777" w:rsidR="00B75F05" w:rsidRPr="008A7487" w:rsidRDefault="00B75F05" w:rsidP="00C21D6F">
            <w:pPr>
              <w:spacing w:line="480" w:lineRule="auto"/>
              <w:contextualSpacing/>
              <w:rPr>
                <w:rFonts w:ascii="Times New Roman" w:hAnsi="Times New Roman" w:cs="Times New Roman"/>
                <w:sz w:val="16"/>
                <w:szCs w:val="16"/>
                <w:vertAlign w:val="superscript"/>
              </w:rPr>
            </w:pPr>
            <w:r w:rsidRPr="008A7487">
              <w:rPr>
                <w:rFonts w:ascii="Times New Roman" w:hAnsi="Times New Roman" w:cs="Times New Roman"/>
                <w:sz w:val="16"/>
                <w:szCs w:val="16"/>
              </w:rPr>
              <w:t>F-Stat</w:t>
            </w:r>
          </w:p>
        </w:tc>
        <w:tc>
          <w:tcPr>
            <w:tcW w:w="993" w:type="dxa"/>
          </w:tcPr>
          <w:p w14:paraId="635B6B0A" w14:textId="77777777" w:rsidR="00B75F05" w:rsidRPr="008A7487" w:rsidRDefault="00B75F05" w:rsidP="00C21D6F">
            <w:pPr>
              <w:contextualSpacing/>
              <w:rPr>
                <w:rFonts w:ascii="Times New Roman" w:hAnsi="Times New Roman" w:cs="Times New Roman"/>
                <w:sz w:val="16"/>
                <w:szCs w:val="16"/>
              </w:rPr>
            </w:pPr>
          </w:p>
          <w:p w14:paraId="45263C85" w14:textId="77777777" w:rsidR="00B75F05" w:rsidRPr="008A7487" w:rsidRDefault="00B75F05" w:rsidP="00C21D6F">
            <w:pPr>
              <w:contextualSpacing/>
              <w:rPr>
                <w:rFonts w:ascii="Times New Roman" w:hAnsi="Times New Roman" w:cs="Times New Roman"/>
                <w:sz w:val="16"/>
                <w:szCs w:val="16"/>
              </w:rPr>
            </w:pPr>
            <w:r w:rsidRPr="008A7487">
              <w:rPr>
                <w:rFonts w:ascii="Times New Roman" w:hAnsi="Times New Roman" w:cs="Times New Roman"/>
                <w:sz w:val="16"/>
                <w:szCs w:val="16"/>
              </w:rPr>
              <w:t>6.40***</w:t>
            </w:r>
          </w:p>
        </w:tc>
        <w:tc>
          <w:tcPr>
            <w:tcW w:w="1134" w:type="dxa"/>
          </w:tcPr>
          <w:p w14:paraId="66EC84A5" w14:textId="77777777" w:rsidR="00B75F05" w:rsidRPr="008A7487" w:rsidRDefault="00B75F05" w:rsidP="00C21D6F">
            <w:pPr>
              <w:contextualSpacing/>
              <w:rPr>
                <w:rFonts w:ascii="Times New Roman" w:hAnsi="Times New Roman" w:cs="Times New Roman"/>
                <w:sz w:val="16"/>
                <w:szCs w:val="16"/>
              </w:rPr>
            </w:pPr>
          </w:p>
        </w:tc>
        <w:tc>
          <w:tcPr>
            <w:tcW w:w="850" w:type="dxa"/>
          </w:tcPr>
          <w:p w14:paraId="1AA98EFA" w14:textId="77777777" w:rsidR="00B75F05" w:rsidRPr="008A7487" w:rsidRDefault="00B75F05" w:rsidP="00C21D6F">
            <w:pPr>
              <w:contextualSpacing/>
              <w:rPr>
                <w:rFonts w:ascii="Times New Roman" w:hAnsi="Times New Roman" w:cs="Times New Roman"/>
                <w:sz w:val="16"/>
                <w:szCs w:val="16"/>
              </w:rPr>
            </w:pPr>
          </w:p>
          <w:p w14:paraId="75DEC8E9" w14:textId="77777777" w:rsidR="00B75F05" w:rsidRPr="008A7487" w:rsidRDefault="00B75F05" w:rsidP="00C21D6F">
            <w:pPr>
              <w:contextualSpacing/>
              <w:rPr>
                <w:rFonts w:ascii="Times New Roman" w:hAnsi="Times New Roman" w:cs="Times New Roman"/>
                <w:sz w:val="16"/>
                <w:szCs w:val="16"/>
              </w:rPr>
            </w:pPr>
            <w:r w:rsidRPr="008A7487">
              <w:rPr>
                <w:rFonts w:ascii="Times New Roman" w:hAnsi="Times New Roman" w:cs="Times New Roman"/>
                <w:sz w:val="16"/>
                <w:szCs w:val="16"/>
              </w:rPr>
              <w:t>3.32***</w:t>
            </w:r>
          </w:p>
        </w:tc>
        <w:tc>
          <w:tcPr>
            <w:tcW w:w="1134" w:type="dxa"/>
          </w:tcPr>
          <w:p w14:paraId="7ECE8668" w14:textId="77777777" w:rsidR="00B75F05" w:rsidRPr="008A7487" w:rsidRDefault="00B75F05" w:rsidP="00C21D6F">
            <w:pPr>
              <w:contextualSpacing/>
              <w:rPr>
                <w:rFonts w:ascii="Times New Roman" w:hAnsi="Times New Roman" w:cs="Times New Roman"/>
                <w:b/>
                <w:sz w:val="16"/>
                <w:szCs w:val="16"/>
              </w:rPr>
            </w:pPr>
          </w:p>
        </w:tc>
      </w:tr>
      <w:tr w:rsidR="00B75F05" w:rsidRPr="008A7487" w14:paraId="146C4654" w14:textId="77777777" w:rsidTr="00C21D6F">
        <w:tc>
          <w:tcPr>
            <w:tcW w:w="2693" w:type="dxa"/>
          </w:tcPr>
          <w:p w14:paraId="33B14459" w14:textId="77777777" w:rsidR="00B75F05" w:rsidRPr="008A7487" w:rsidRDefault="00B75F05" w:rsidP="00C21D6F">
            <w:pPr>
              <w:spacing w:line="480" w:lineRule="auto"/>
              <w:contextualSpacing/>
              <w:rPr>
                <w:rFonts w:ascii="Times New Roman" w:hAnsi="Times New Roman" w:cs="Times New Roman"/>
                <w:sz w:val="16"/>
                <w:szCs w:val="16"/>
              </w:rPr>
            </w:pPr>
            <w:r w:rsidRPr="008A7487">
              <w:rPr>
                <w:rFonts w:ascii="Times New Roman" w:hAnsi="Times New Roman" w:cs="Times New Roman"/>
                <w:sz w:val="16"/>
                <w:szCs w:val="16"/>
              </w:rPr>
              <w:t>Obs</w:t>
            </w:r>
          </w:p>
        </w:tc>
        <w:tc>
          <w:tcPr>
            <w:tcW w:w="993" w:type="dxa"/>
          </w:tcPr>
          <w:p w14:paraId="3297E9F1" w14:textId="77777777" w:rsidR="00B75F05" w:rsidRPr="008A7487" w:rsidRDefault="00B75F05" w:rsidP="00C21D6F">
            <w:pPr>
              <w:contextualSpacing/>
              <w:rPr>
                <w:rFonts w:ascii="Times New Roman" w:hAnsi="Times New Roman" w:cs="Times New Roman"/>
                <w:sz w:val="16"/>
                <w:szCs w:val="16"/>
              </w:rPr>
            </w:pPr>
          </w:p>
          <w:p w14:paraId="08F693B4" w14:textId="77777777" w:rsidR="00B75F05" w:rsidRPr="008A7487" w:rsidRDefault="00B75F05" w:rsidP="00C21D6F">
            <w:pPr>
              <w:contextualSpacing/>
              <w:rPr>
                <w:rFonts w:ascii="Times New Roman" w:hAnsi="Times New Roman" w:cs="Times New Roman"/>
                <w:sz w:val="16"/>
                <w:szCs w:val="16"/>
              </w:rPr>
            </w:pPr>
            <w:r>
              <w:rPr>
                <w:rFonts w:ascii="Times New Roman" w:hAnsi="Times New Roman" w:cs="Times New Roman"/>
                <w:sz w:val="16"/>
                <w:szCs w:val="16"/>
              </w:rPr>
              <w:t>1673</w:t>
            </w:r>
          </w:p>
        </w:tc>
        <w:tc>
          <w:tcPr>
            <w:tcW w:w="1134" w:type="dxa"/>
          </w:tcPr>
          <w:p w14:paraId="768D0900" w14:textId="77777777" w:rsidR="00B75F05" w:rsidRPr="008A7487" w:rsidRDefault="00B75F05" w:rsidP="00C21D6F">
            <w:pPr>
              <w:contextualSpacing/>
              <w:rPr>
                <w:rFonts w:ascii="Times New Roman" w:hAnsi="Times New Roman" w:cs="Times New Roman"/>
                <w:sz w:val="16"/>
                <w:szCs w:val="16"/>
              </w:rPr>
            </w:pPr>
          </w:p>
        </w:tc>
        <w:tc>
          <w:tcPr>
            <w:tcW w:w="850" w:type="dxa"/>
          </w:tcPr>
          <w:p w14:paraId="1B9F3013" w14:textId="77777777" w:rsidR="00B75F05" w:rsidRPr="008A7487" w:rsidRDefault="00B75F05" w:rsidP="00C21D6F">
            <w:pPr>
              <w:contextualSpacing/>
              <w:rPr>
                <w:rFonts w:ascii="Times New Roman" w:hAnsi="Times New Roman" w:cs="Times New Roman"/>
                <w:sz w:val="16"/>
                <w:szCs w:val="16"/>
              </w:rPr>
            </w:pPr>
          </w:p>
          <w:p w14:paraId="4504121B" w14:textId="77777777" w:rsidR="00B75F05" w:rsidRPr="008A7487" w:rsidRDefault="00B75F05" w:rsidP="00C21D6F">
            <w:pPr>
              <w:contextualSpacing/>
              <w:rPr>
                <w:rFonts w:ascii="Times New Roman" w:hAnsi="Times New Roman" w:cs="Times New Roman"/>
                <w:sz w:val="16"/>
                <w:szCs w:val="16"/>
              </w:rPr>
            </w:pPr>
            <w:r>
              <w:rPr>
                <w:rFonts w:ascii="Times New Roman" w:hAnsi="Times New Roman" w:cs="Times New Roman"/>
                <w:sz w:val="16"/>
                <w:szCs w:val="16"/>
              </w:rPr>
              <w:t>1673</w:t>
            </w:r>
          </w:p>
        </w:tc>
        <w:tc>
          <w:tcPr>
            <w:tcW w:w="1134" w:type="dxa"/>
          </w:tcPr>
          <w:p w14:paraId="48378168" w14:textId="77777777" w:rsidR="00B75F05" w:rsidRPr="008A7487" w:rsidRDefault="00B75F05" w:rsidP="00C21D6F">
            <w:pPr>
              <w:contextualSpacing/>
              <w:rPr>
                <w:rFonts w:ascii="Times New Roman" w:hAnsi="Times New Roman" w:cs="Times New Roman"/>
                <w:b/>
                <w:sz w:val="16"/>
                <w:szCs w:val="16"/>
              </w:rPr>
            </w:pPr>
          </w:p>
        </w:tc>
      </w:tr>
    </w:tbl>
    <w:p w14:paraId="18D2CC4D" w14:textId="77777777" w:rsidR="00B75F05" w:rsidRPr="008A7487" w:rsidRDefault="00B75F05" w:rsidP="00B75F05">
      <w:pPr>
        <w:spacing w:after="0"/>
        <w:rPr>
          <w:rFonts w:ascii="Times New Roman" w:hAnsi="Times New Roman" w:cs="Times New Roman"/>
          <w:sz w:val="16"/>
          <w:szCs w:val="16"/>
          <w:lang w:val="en-GB"/>
        </w:rPr>
      </w:pPr>
      <w:r>
        <w:rPr>
          <w:rFonts w:ascii="Times New Roman" w:hAnsi="Times New Roman" w:cs="Times New Roman"/>
          <w:sz w:val="16"/>
          <w:szCs w:val="16"/>
          <w:lang w:val="en-GB"/>
        </w:rPr>
        <w:t xml:space="preserve">     </w:t>
      </w:r>
      <w:r w:rsidRPr="008A7487">
        <w:rPr>
          <w:rFonts w:ascii="Times New Roman" w:hAnsi="Times New Roman" w:cs="Times New Roman"/>
          <w:sz w:val="16"/>
          <w:szCs w:val="16"/>
          <w:lang w:val="en-GB"/>
        </w:rPr>
        <w:t xml:space="preserve">ROA defined as profit before tax divided by total assets.  NIM is the difference between interests </w:t>
      </w:r>
    </w:p>
    <w:p w14:paraId="69F459E5" w14:textId="77777777" w:rsidR="00B75F05" w:rsidRPr="008A7487" w:rsidRDefault="00B75F05" w:rsidP="00B75F05">
      <w:pPr>
        <w:spacing w:after="0"/>
        <w:rPr>
          <w:rFonts w:ascii="Times New Roman" w:hAnsi="Times New Roman" w:cs="Times New Roman"/>
          <w:sz w:val="16"/>
          <w:szCs w:val="16"/>
          <w:lang w:val="en-GB"/>
        </w:rPr>
      </w:pPr>
      <w:r>
        <w:rPr>
          <w:rFonts w:ascii="Times New Roman" w:hAnsi="Times New Roman" w:cs="Times New Roman"/>
          <w:sz w:val="16"/>
          <w:szCs w:val="16"/>
          <w:lang w:val="en-GB"/>
        </w:rPr>
        <w:t xml:space="preserve">   </w:t>
      </w:r>
      <w:r w:rsidRPr="008A7487">
        <w:rPr>
          <w:rFonts w:ascii="Times New Roman" w:hAnsi="Times New Roman" w:cs="Times New Roman"/>
          <w:sz w:val="16"/>
          <w:szCs w:val="16"/>
          <w:lang w:val="en-GB"/>
        </w:rPr>
        <w:t>income and interest expense</w:t>
      </w:r>
      <w:r>
        <w:rPr>
          <w:rFonts w:ascii="Times New Roman" w:hAnsi="Times New Roman" w:cs="Times New Roman"/>
          <w:sz w:val="16"/>
          <w:szCs w:val="16"/>
          <w:lang w:val="en-GB"/>
        </w:rPr>
        <w:t xml:space="preserve"> %</w:t>
      </w:r>
      <w:r w:rsidRPr="008A7487">
        <w:rPr>
          <w:rFonts w:ascii="Times New Roman" w:hAnsi="Times New Roman" w:cs="Times New Roman"/>
          <w:sz w:val="16"/>
          <w:szCs w:val="16"/>
          <w:lang w:val="en-GB"/>
        </w:rPr>
        <w:t>. LNSIZE is the natural log of bank’s total assets. LNSIZE</w:t>
      </w:r>
      <w:r w:rsidRPr="008A7487">
        <w:rPr>
          <w:rFonts w:ascii="Times New Roman" w:hAnsi="Times New Roman" w:cs="Times New Roman"/>
          <w:sz w:val="16"/>
          <w:szCs w:val="16"/>
          <w:vertAlign w:val="superscript"/>
          <w:lang w:val="en-GB"/>
        </w:rPr>
        <w:t>2</w:t>
      </w:r>
      <w:r w:rsidRPr="008A7487">
        <w:rPr>
          <w:rFonts w:ascii="Times New Roman" w:hAnsi="Times New Roman" w:cs="Times New Roman"/>
          <w:sz w:val="16"/>
          <w:szCs w:val="16"/>
          <w:lang w:val="en-GB"/>
        </w:rPr>
        <w:t xml:space="preserve"> is the </w:t>
      </w:r>
    </w:p>
    <w:p w14:paraId="5E29A1AC" w14:textId="77777777" w:rsidR="00B75F05" w:rsidRPr="008A7487" w:rsidRDefault="00B75F05" w:rsidP="00B75F05">
      <w:pPr>
        <w:spacing w:after="0"/>
        <w:rPr>
          <w:rFonts w:ascii="Times New Roman" w:hAnsi="Times New Roman" w:cs="Times New Roman"/>
          <w:sz w:val="16"/>
          <w:szCs w:val="16"/>
          <w:lang w:val="en-GB"/>
        </w:rPr>
      </w:pPr>
      <w:r>
        <w:rPr>
          <w:rFonts w:ascii="Times New Roman" w:hAnsi="Times New Roman" w:cs="Times New Roman"/>
          <w:sz w:val="16"/>
          <w:szCs w:val="16"/>
          <w:lang w:val="en-GB"/>
        </w:rPr>
        <w:t xml:space="preserve">   </w:t>
      </w:r>
      <w:r w:rsidRPr="008A7487">
        <w:rPr>
          <w:rFonts w:ascii="Times New Roman" w:hAnsi="Times New Roman" w:cs="Times New Roman"/>
          <w:sz w:val="16"/>
          <w:szCs w:val="16"/>
          <w:lang w:val="en-GB"/>
        </w:rPr>
        <w:t>square of LNSIZE to capture the non-linearity of the relationship between size and profitability.</w:t>
      </w:r>
    </w:p>
    <w:p w14:paraId="7E2C2A82" w14:textId="77777777" w:rsidR="00B75F05" w:rsidRPr="008A7487" w:rsidRDefault="00B75F05" w:rsidP="00B75F05">
      <w:pPr>
        <w:spacing w:after="0"/>
        <w:rPr>
          <w:rFonts w:ascii="Times New Roman" w:hAnsi="Times New Roman" w:cs="Times New Roman"/>
          <w:sz w:val="16"/>
          <w:szCs w:val="16"/>
          <w:lang w:val="en-GB"/>
        </w:rPr>
      </w:pPr>
      <w:r>
        <w:rPr>
          <w:rFonts w:ascii="Times New Roman" w:hAnsi="Times New Roman" w:cs="Times New Roman"/>
          <w:sz w:val="16"/>
          <w:szCs w:val="16"/>
          <w:lang w:val="en-GB"/>
        </w:rPr>
        <w:t xml:space="preserve">  </w:t>
      </w:r>
      <w:r w:rsidRPr="008A7487">
        <w:rPr>
          <w:rFonts w:ascii="Times New Roman" w:hAnsi="Times New Roman" w:cs="Times New Roman"/>
          <w:sz w:val="16"/>
          <w:szCs w:val="16"/>
          <w:lang w:val="en-GB"/>
        </w:rPr>
        <w:t xml:space="preserve"> CAP is a measure of capital strength, calculated as equity to total assets.  CR is a measure of credit </w:t>
      </w:r>
    </w:p>
    <w:p w14:paraId="7F67B40F" w14:textId="77777777" w:rsidR="00B75F05" w:rsidRPr="008A7487" w:rsidRDefault="00B75F05" w:rsidP="00B75F05">
      <w:pPr>
        <w:spacing w:after="0"/>
        <w:rPr>
          <w:rFonts w:ascii="Times New Roman" w:hAnsi="Times New Roman" w:cs="Times New Roman"/>
          <w:sz w:val="16"/>
          <w:szCs w:val="16"/>
          <w:lang w:val="en-GB"/>
        </w:rPr>
      </w:pPr>
      <w:r>
        <w:rPr>
          <w:rFonts w:ascii="Times New Roman" w:hAnsi="Times New Roman" w:cs="Times New Roman"/>
          <w:sz w:val="16"/>
          <w:szCs w:val="16"/>
          <w:lang w:val="en-GB"/>
        </w:rPr>
        <w:t xml:space="preserve">   </w:t>
      </w:r>
      <w:r w:rsidRPr="008A7487">
        <w:rPr>
          <w:rFonts w:ascii="Times New Roman" w:hAnsi="Times New Roman" w:cs="Times New Roman"/>
          <w:sz w:val="16"/>
          <w:szCs w:val="16"/>
          <w:lang w:val="en-GB"/>
        </w:rPr>
        <w:t xml:space="preserve">risk and is the ratio of net loans to deposits and short-term funding. CM is the total operating cost to total income. </w:t>
      </w:r>
    </w:p>
    <w:p w14:paraId="4873A6F3" w14:textId="77777777" w:rsidR="00B75F05" w:rsidRPr="008A7487" w:rsidRDefault="00B75F05" w:rsidP="00B75F05">
      <w:pPr>
        <w:spacing w:after="0"/>
        <w:rPr>
          <w:rFonts w:ascii="Times New Roman" w:hAnsi="Times New Roman" w:cs="Times New Roman"/>
          <w:sz w:val="16"/>
          <w:szCs w:val="16"/>
          <w:lang w:val="en-GB"/>
        </w:rPr>
      </w:pPr>
      <w:r>
        <w:rPr>
          <w:rFonts w:ascii="Times New Roman" w:hAnsi="Times New Roman" w:cs="Times New Roman"/>
          <w:sz w:val="16"/>
          <w:szCs w:val="16"/>
          <w:lang w:val="en-GB"/>
        </w:rPr>
        <w:t xml:space="preserve">   </w:t>
      </w:r>
      <w:r w:rsidRPr="008A7487">
        <w:rPr>
          <w:rFonts w:ascii="Times New Roman" w:hAnsi="Times New Roman" w:cs="Times New Roman"/>
          <w:sz w:val="16"/>
          <w:szCs w:val="16"/>
          <w:lang w:val="en-GB"/>
        </w:rPr>
        <w:t xml:space="preserve">LQ is a measure of liquidity, calculated as liquid assets to customer and short-term funding. </w:t>
      </w:r>
    </w:p>
    <w:p w14:paraId="17D889BA" w14:textId="77777777" w:rsidR="00B75F05" w:rsidRPr="008A7487" w:rsidRDefault="00B75F05" w:rsidP="00B75F05">
      <w:pPr>
        <w:spacing w:after="0"/>
        <w:rPr>
          <w:rFonts w:ascii="Times New Roman" w:hAnsi="Times New Roman" w:cs="Times New Roman"/>
          <w:sz w:val="16"/>
          <w:szCs w:val="16"/>
          <w:lang w:val="en-GB"/>
        </w:rPr>
      </w:pPr>
      <w:r>
        <w:rPr>
          <w:rFonts w:ascii="Times New Roman" w:hAnsi="Times New Roman" w:cs="Times New Roman"/>
          <w:sz w:val="16"/>
          <w:szCs w:val="16"/>
          <w:lang w:val="en-GB"/>
        </w:rPr>
        <w:t xml:space="preserve">  </w:t>
      </w:r>
      <w:r w:rsidRPr="008A7487">
        <w:rPr>
          <w:rFonts w:ascii="Times New Roman" w:hAnsi="Times New Roman" w:cs="Times New Roman"/>
          <w:sz w:val="16"/>
          <w:szCs w:val="16"/>
          <w:lang w:val="en-GB"/>
        </w:rPr>
        <w:t xml:space="preserve">MP is a measure of market power defined as the ratio of a bank total asset to the total asset of the entire </w:t>
      </w:r>
    </w:p>
    <w:p w14:paraId="6928690D" w14:textId="77777777" w:rsidR="00B75F05" w:rsidRPr="008A7487" w:rsidRDefault="00B75F05" w:rsidP="00B75F05">
      <w:pPr>
        <w:spacing w:after="0"/>
        <w:rPr>
          <w:rFonts w:ascii="Times New Roman" w:hAnsi="Times New Roman" w:cs="Times New Roman"/>
          <w:sz w:val="16"/>
          <w:szCs w:val="16"/>
          <w:lang w:val="en-GB"/>
        </w:rPr>
      </w:pPr>
      <w:r>
        <w:rPr>
          <w:rFonts w:ascii="Times New Roman" w:hAnsi="Times New Roman" w:cs="Times New Roman"/>
          <w:sz w:val="16"/>
          <w:szCs w:val="16"/>
          <w:lang w:val="en-GB"/>
        </w:rPr>
        <w:t xml:space="preserve">   </w:t>
      </w:r>
      <w:r w:rsidRPr="008A7487">
        <w:rPr>
          <w:rFonts w:ascii="Times New Roman" w:hAnsi="Times New Roman" w:cs="Times New Roman"/>
          <w:sz w:val="16"/>
          <w:szCs w:val="16"/>
          <w:lang w:val="en-GB"/>
        </w:rPr>
        <w:t>banks in a country</w:t>
      </w:r>
      <w:r w:rsidRPr="008A7487">
        <w:rPr>
          <w:rFonts w:ascii="Times New Roman" w:hAnsi="Times New Roman" w:cs="Times New Roman"/>
          <w:color w:val="FF0000"/>
          <w:sz w:val="16"/>
          <w:szCs w:val="16"/>
          <w:lang w:val="en-GB"/>
        </w:rPr>
        <w:t>.</w:t>
      </w:r>
      <w:r w:rsidRPr="008A7487">
        <w:rPr>
          <w:rFonts w:ascii="Times New Roman" w:hAnsi="Times New Roman" w:cs="Times New Roman"/>
          <w:sz w:val="16"/>
          <w:szCs w:val="16"/>
          <w:lang w:val="en-GB"/>
        </w:rPr>
        <w:t xml:space="preserve"> ∆ GDP is the annual percentage change in real gross domestic product.  INF is </w:t>
      </w:r>
    </w:p>
    <w:p w14:paraId="4E5318AC" w14:textId="77777777" w:rsidR="00B75F05" w:rsidRPr="008A7487" w:rsidRDefault="00B75F05" w:rsidP="00B75F05">
      <w:pPr>
        <w:spacing w:after="0"/>
        <w:rPr>
          <w:rFonts w:ascii="Times New Roman" w:hAnsi="Times New Roman" w:cs="Times New Roman"/>
          <w:sz w:val="16"/>
          <w:szCs w:val="16"/>
          <w:lang w:val="en-GB"/>
        </w:rPr>
      </w:pPr>
      <w:r>
        <w:rPr>
          <w:rFonts w:ascii="Times New Roman" w:hAnsi="Times New Roman" w:cs="Times New Roman"/>
          <w:sz w:val="16"/>
          <w:szCs w:val="16"/>
          <w:lang w:val="en-GB"/>
        </w:rPr>
        <w:t xml:space="preserve">    </w:t>
      </w:r>
      <w:r w:rsidRPr="008A7487">
        <w:rPr>
          <w:rFonts w:ascii="Times New Roman" w:hAnsi="Times New Roman" w:cs="Times New Roman"/>
          <w:sz w:val="16"/>
          <w:szCs w:val="16"/>
          <w:lang w:val="en-GB"/>
        </w:rPr>
        <w:t xml:space="preserve">the yearly growth in consumer price </w:t>
      </w:r>
      <w:r>
        <w:rPr>
          <w:rFonts w:ascii="Times New Roman" w:hAnsi="Times New Roman" w:cs="Times New Roman"/>
          <w:sz w:val="16"/>
          <w:szCs w:val="16"/>
          <w:lang w:val="en-GB"/>
        </w:rPr>
        <w:t xml:space="preserve">index. </w:t>
      </w:r>
      <w:r w:rsidRPr="008A7487">
        <w:rPr>
          <w:rFonts w:ascii="Times New Roman" w:hAnsi="Times New Roman" w:cs="Times New Roman"/>
          <w:sz w:val="16"/>
          <w:szCs w:val="16"/>
          <w:lang w:val="en-GB"/>
        </w:rPr>
        <w:t xml:space="preserve"> *, **, *** indicate significance at 10%, 5% and 1% level respectively. </w:t>
      </w:r>
    </w:p>
    <w:p w14:paraId="64E66F79" w14:textId="77777777" w:rsidR="00B75F05" w:rsidRPr="008A7487" w:rsidRDefault="00B75F05" w:rsidP="00B75F05">
      <w:pPr>
        <w:spacing w:after="0"/>
        <w:rPr>
          <w:rFonts w:ascii="Times New Roman" w:hAnsi="Times New Roman" w:cs="Times New Roman"/>
          <w:sz w:val="16"/>
          <w:szCs w:val="16"/>
          <w:lang w:val="en-GB"/>
        </w:rPr>
      </w:pPr>
    </w:p>
    <w:p w14:paraId="774F71DC" w14:textId="77777777" w:rsidR="00B75F05" w:rsidRPr="008A7487" w:rsidRDefault="00B75F05" w:rsidP="00B75F05">
      <w:pPr>
        <w:spacing w:after="0"/>
        <w:rPr>
          <w:rFonts w:ascii="Times New Roman" w:hAnsi="Times New Roman" w:cs="Times New Roman"/>
          <w:sz w:val="16"/>
          <w:szCs w:val="16"/>
          <w:lang w:val="en-GB"/>
        </w:rPr>
      </w:pPr>
    </w:p>
    <w:p w14:paraId="3DCFFD42" w14:textId="77777777" w:rsidR="00B75F05" w:rsidRPr="008A7487" w:rsidRDefault="00B75F05" w:rsidP="00B75F05">
      <w:pPr>
        <w:spacing w:after="0"/>
        <w:rPr>
          <w:rFonts w:ascii="Times New Roman" w:hAnsi="Times New Roman" w:cs="Times New Roman"/>
          <w:sz w:val="16"/>
          <w:szCs w:val="16"/>
          <w:lang w:val="en-GB"/>
        </w:rPr>
      </w:pPr>
    </w:p>
    <w:p w14:paraId="6F339C06" w14:textId="77777777" w:rsidR="00B75F05" w:rsidRPr="008A7487" w:rsidRDefault="00B75F05" w:rsidP="00B75F05">
      <w:pPr>
        <w:spacing w:after="0"/>
        <w:rPr>
          <w:rFonts w:ascii="Times New Roman" w:hAnsi="Times New Roman" w:cs="Times New Roman"/>
          <w:sz w:val="16"/>
          <w:szCs w:val="16"/>
          <w:lang w:val="en-GB"/>
        </w:rPr>
      </w:pPr>
    </w:p>
    <w:p w14:paraId="29F58439" w14:textId="77777777" w:rsidR="00B75F05" w:rsidRPr="008A7487" w:rsidRDefault="00B75F05" w:rsidP="00B75F05">
      <w:pPr>
        <w:spacing w:after="0"/>
        <w:rPr>
          <w:rFonts w:ascii="Times New Roman" w:hAnsi="Times New Roman" w:cs="Times New Roman"/>
          <w:sz w:val="16"/>
          <w:szCs w:val="16"/>
          <w:lang w:val="en-GB"/>
        </w:rPr>
      </w:pPr>
    </w:p>
    <w:p w14:paraId="4ADE43DE" w14:textId="77777777" w:rsidR="00B75F05" w:rsidRPr="008A7487" w:rsidRDefault="00B75F05" w:rsidP="00B75F05">
      <w:pPr>
        <w:spacing w:after="0"/>
        <w:rPr>
          <w:rFonts w:ascii="Times New Roman" w:hAnsi="Times New Roman" w:cs="Times New Roman"/>
          <w:sz w:val="16"/>
          <w:szCs w:val="16"/>
          <w:lang w:val="en-GB"/>
        </w:rPr>
      </w:pPr>
    </w:p>
    <w:p w14:paraId="4BDE683A" w14:textId="77777777" w:rsidR="00B75F05" w:rsidRPr="008A7487" w:rsidRDefault="00B75F05" w:rsidP="00B75F05">
      <w:pPr>
        <w:spacing w:after="0"/>
        <w:rPr>
          <w:rFonts w:ascii="Times New Roman" w:hAnsi="Times New Roman" w:cs="Times New Roman"/>
          <w:sz w:val="16"/>
          <w:szCs w:val="16"/>
          <w:lang w:val="en-GB"/>
        </w:rPr>
      </w:pPr>
    </w:p>
    <w:p w14:paraId="2E5144F9" w14:textId="77777777" w:rsidR="00B75F05" w:rsidRPr="008A7487" w:rsidRDefault="00B75F05" w:rsidP="00B75F05">
      <w:pPr>
        <w:spacing w:after="0"/>
        <w:rPr>
          <w:rFonts w:ascii="Times New Roman" w:hAnsi="Times New Roman" w:cs="Times New Roman"/>
          <w:sz w:val="16"/>
          <w:szCs w:val="16"/>
          <w:lang w:val="en-GB"/>
        </w:rPr>
      </w:pPr>
    </w:p>
    <w:p w14:paraId="7ECFDE5E" w14:textId="77777777" w:rsidR="00B75F05" w:rsidRPr="008A7487" w:rsidRDefault="00B75F05" w:rsidP="00B75F05">
      <w:pPr>
        <w:spacing w:after="0"/>
        <w:rPr>
          <w:rFonts w:ascii="Times New Roman" w:hAnsi="Times New Roman" w:cs="Times New Roman"/>
          <w:sz w:val="16"/>
          <w:szCs w:val="16"/>
          <w:lang w:val="en-GB"/>
        </w:rPr>
      </w:pPr>
    </w:p>
    <w:p w14:paraId="0792BB28" w14:textId="77777777" w:rsidR="00B75F05" w:rsidRPr="008A7487" w:rsidRDefault="00B75F05" w:rsidP="00B75F05">
      <w:pPr>
        <w:spacing w:after="0"/>
        <w:rPr>
          <w:rFonts w:ascii="Times New Roman" w:hAnsi="Times New Roman" w:cs="Times New Roman"/>
          <w:sz w:val="16"/>
          <w:szCs w:val="16"/>
          <w:lang w:val="en-GB"/>
        </w:rPr>
      </w:pPr>
    </w:p>
    <w:p w14:paraId="23229C83" w14:textId="77777777" w:rsidR="00B75F05" w:rsidRPr="008A7487" w:rsidRDefault="00B75F05" w:rsidP="00B75F05">
      <w:pPr>
        <w:spacing w:after="0"/>
        <w:rPr>
          <w:rFonts w:ascii="Times New Roman" w:hAnsi="Times New Roman" w:cs="Times New Roman"/>
          <w:sz w:val="16"/>
          <w:szCs w:val="16"/>
          <w:lang w:val="en-GB"/>
        </w:rPr>
      </w:pPr>
    </w:p>
    <w:p w14:paraId="01DB2329" w14:textId="77777777" w:rsidR="00B75F05" w:rsidRPr="008A7487" w:rsidRDefault="00B75F05" w:rsidP="00B75F05">
      <w:pPr>
        <w:spacing w:after="0"/>
        <w:rPr>
          <w:rFonts w:ascii="Times New Roman" w:hAnsi="Times New Roman" w:cs="Times New Roman"/>
          <w:sz w:val="16"/>
          <w:szCs w:val="16"/>
          <w:lang w:val="en-GB"/>
        </w:rPr>
      </w:pPr>
    </w:p>
    <w:p w14:paraId="4EE0A001" w14:textId="77777777" w:rsidR="00B75F05" w:rsidRPr="008A7487" w:rsidRDefault="00B75F05" w:rsidP="00B75F05">
      <w:pPr>
        <w:spacing w:after="0"/>
        <w:rPr>
          <w:rFonts w:ascii="Times New Roman" w:hAnsi="Times New Roman" w:cs="Times New Roman"/>
          <w:sz w:val="16"/>
          <w:szCs w:val="16"/>
          <w:lang w:val="en-GB"/>
        </w:rPr>
      </w:pPr>
    </w:p>
    <w:p w14:paraId="1A67247A" w14:textId="77777777" w:rsidR="00B75F05" w:rsidRPr="008A7487" w:rsidRDefault="00B75F05" w:rsidP="00B75F05">
      <w:pPr>
        <w:spacing w:after="0"/>
        <w:rPr>
          <w:rFonts w:ascii="Times New Roman" w:hAnsi="Times New Roman" w:cs="Times New Roman"/>
          <w:sz w:val="16"/>
          <w:szCs w:val="16"/>
          <w:lang w:val="en-GB"/>
        </w:rPr>
      </w:pPr>
    </w:p>
    <w:p w14:paraId="01EF2C33" w14:textId="77777777" w:rsidR="00B75F05" w:rsidRPr="008A7487" w:rsidRDefault="00B75F05" w:rsidP="00B75F05">
      <w:pPr>
        <w:spacing w:after="0"/>
        <w:rPr>
          <w:rFonts w:ascii="Times New Roman" w:hAnsi="Times New Roman" w:cs="Times New Roman"/>
          <w:sz w:val="16"/>
          <w:szCs w:val="16"/>
          <w:lang w:val="en-GB"/>
        </w:rPr>
      </w:pPr>
    </w:p>
    <w:p w14:paraId="4F7F45C4" w14:textId="77777777" w:rsidR="00B75F05" w:rsidRPr="008A7487" w:rsidRDefault="00B75F05" w:rsidP="00B75F05">
      <w:pPr>
        <w:spacing w:after="0"/>
        <w:rPr>
          <w:rFonts w:ascii="Times New Roman" w:hAnsi="Times New Roman" w:cs="Times New Roman"/>
          <w:sz w:val="16"/>
          <w:szCs w:val="16"/>
          <w:lang w:val="en-GB"/>
        </w:rPr>
      </w:pPr>
    </w:p>
    <w:p w14:paraId="60A4549C" w14:textId="77777777" w:rsidR="00B75F05" w:rsidRPr="008A7487" w:rsidRDefault="00B75F05" w:rsidP="00B75F05">
      <w:pPr>
        <w:spacing w:after="0"/>
        <w:rPr>
          <w:rFonts w:ascii="Times New Roman" w:hAnsi="Times New Roman" w:cs="Times New Roman"/>
          <w:sz w:val="16"/>
          <w:szCs w:val="16"/>
          <w:lang w:val="en-GB"/>
        </w:rPr>
      </w:pPr>
    </w:p>
    <w:p w14:paraId="1B4EBE70" w14:textId="77777777" w:rsidR="00B75F05" w:rsidRPr="008A7487" w:rsidRDefault="00B75F05" w:rsidP="00B75F05">
      <w:pPr>
        <w:spacing w:after="0"/>
        <w:rPr>
          <w:rFonts w:ascii="Times New Roman" w:hAnsi="Times New Roman" w:cs="Times New Roman"/>
          <w:sz w:val="16"/>
          <w:szCs w:val="16"/>
          <w:lang w:val="en-GB"/>
        </w:rPr>
      </w:pPr>
    </w:p>
    <w:p w14:paraId="36EC9964" w14:textId="77777777" w:rsidR="00B75F05" w:rsidRPr="008A7487" w:rsidRDefault="00B75F05" w:rsidP="00B75F05">
      <w:pPr>
        <w:spacing w:after="0"/>
        <w:rPr>
          <w:rFonts w:ascii="Times New Roman" w:hAnsi="Times New Roman" w:cs="Times New Roman"/>
          <w:sz w:val="16"/>
          <w:szCs w:val="16"/>
          <w:lang w:val="en-GB"/>
        </w:rPr>
      </w:pPr>
    </w:p>
    <w:p w14:paraId="2DC56ED7" w14:textId="77777777" w:rsidR="00B75F05" w:rsidRPr="008A7487" w:rsidRDefault="00B75F05" w:rsidP="00B75F05">
      <w:pPr>
        <w:spacing w:after="0"/>
        <w:rPr>
          <w:rFonts w:ascii="Times New Roman" w:hAnsi="Times New Roman" w:cs="Times New Roman"/>
          <w:sz w:val="16"/>
          <w:szCs w:val="16"/>
          <w:lang w:val="en-GB"/>
        </w:rPr>
      </w:pPr>
    </w:p>
    <w:p w14:paraId="0A39FBF6" w14:textId="77777777" w:rsidR="00B75F05" w:rsidRDefault="00B75F05" w:rsidP="00B75F05"/>
    <w:p w14:paraId="0602289D" w14:textId="77777777" w:rsidR="00B75F05" w:rsidRDefault="00B75F05" w:rsidP="00934E37">
      <w:pPr>
        <w:spacing w:after="0" w:line="240" w:lineRule="auto"/>
        <w:contextualSpacing/>
        <w:rPr>
          <w:rFonts w:ascii="Times New Roman" w:hAnsi="Times New Roman" w:cs="Times New Roman"/>
          <w:sz w:val="24"/>
          <w:szCs w:val="24"/>
        </w:rPr>
      </w:pPr>
    </w:p>
    <w:p w14:paraId="7A7EF7C7" w14:textId="77777777" w:rsidR="00B75F05" w:rsidRDefault="00B75F05" w:rsidP="00934E37">
      <w:pPr>
        <w:spacing w:after="0" w:line="240" w:lineRule="auto"/>
        <w:contextualSpacing/>
        <w:rPr>
          <w:rFonts w:ascii="Times New Roman" w:hAnsi="Times New Roman" w:cs="Times New Roman"/>
          <w:sz w:val="24"/>
          <w:szCs w:val="24"/>
        </w:rPr>
      </w:pPr>
    </w:p>
    <w:p w14:paraId="73F480E8" w14:textId="77777777" w:rsidR="00B75F05" w:rsidRDefault="00B75F05" w:rsidP="00934E37">
      <w:pPr>
        <w:spacing w:after="0" w:line="240" w:lineRule="auto"/>
        <w:contextualSpacing/>
        <w:rPr>
          <w:rFonts w:ascii="Times New Roman" w:hAnsi="Times New Roman" w:cs="Times New Roman"/>
          <w:sz w:val="24"/>
          <w:szCs w:val="24"/>
        </w:rPr>
      </w:pPr>
    </w:p>
    <w:p w14:paraId="72F9CA93" w14:textId="77777777" w:rsidR="001C74CB" w:rsidRDefault="001C74CB" w:rsidP="00934E37">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Appendix</w:t>
      </w:r>
    </w:p>
    <w:p w14:paraId="0BA5A50C" w14:textId="77777777" w:rsidR="001C74CB" w:rsidRDefault="001C74CB" w:rsidP="00934E37">
      <w:pPr>
        <w:spacing w:after="0" w:line="240" w:lineRule="auto"/>
        <w:contextualSpacing/>
        <w:rPr>
          <w:rFonts w:ascii="Times New Roman" w:hAnsi="Times New Roman" w:cs="Times New Roman"/>
          <w:sz w:val="24"/>
          <w:szCs w:val="24"/>
        </w:rPr>
      </w:pPr>
    </w:p>
    <w:p w14:paraId="1708F788" w14:textId="77777777" w:rsidR="00B75F05" w:rsidRDefault="00B75F05" w:rsidP="00934E37">
      <w:pPr>
        <w:spacing w:after="0" w:line="240" w:lineRule="auto"/>
        <w:contextualSpacing/>
        <w:rPr>
          <w:rFonts w:ascii="Times New Roman" w:hAnsi="Times New Roman" w:cs="Times New Roman"/>
          <w:sz w:val="24"/>
          <w:szCs w:val="24"/>
        </w:rPr>
      </w:pPr>
    </w:p>
    <w:p w14:paraId="4E0CE10A" w14:textId="77777777" w:rsidR="00B75F05" w:rsidRDefault="00B75F05" w:rsidP="00934E37">
      <w:pPr>
        <w:spacing w:after="0" w:line="240" w:lineRule="auto"/>
        <w:contextualSpacing/>
        <w:rPr>
          <w:rFonts w:ascii="Times New Roman" w:hAnsi="Times New Roman" w:cs="Times New Roman"/>
          <w:sz w:val="24"/>
          <w:szCs w:val="24"/>
        </w:rPr>
      </w:pPr>
    </w:p>
    <w:p w14:paraId="6824E0B6" w14:textId="77777777" w:rsidR="001C74CB" w:rsidRPr="001C74CB" w:rsidRDefault="001C74CB" w:rsidP="001C74CB">
      <w:pPr>
        <w:rPr>
          <w:rFonts w:ascii="Times New Roman" w:hAnsi="Times New Roman" w:cs="Times New Roman"/>
          <w:b/>
        </w:rPr>
      </w:pPr>
    </w:p>
    <w:p w14:paraId="2E0734F3" w14:textId="77777777" w:rsidR="001C74CB" w:rsidRDefault="001C74CB" w:rsidP="001C74CB">
      <w:pPr>
        <w:pStyle w:val="ListParagraph"/>
        <w:autoSpaceDE w:val="0"/>
        <w:autoSpaceDN w:val="0"/>
        <w:adjustRightInd w:val="0"/>
        <w:spacing w:after="0" w:line="240" w:lineRule="auto"/>
        <w:rPr>
          <w:rFonts w:ascii="Arial" w:hAnsi="Arial" w:cs="Arial"/>
          <w:sz w:val="18"/>
          <w:szCs w:val="18"/>
        </w:rPr>
      </w:pPr>
    </w:p>
    <w:p w14:paraId="658729EA" w14:textId="77777777" w:rsidR="001C74CB" w:rsidRPr="001C74CB" w:rsidRDefault="001C74CB" w:rsidP="001C74CB">
      <w:pPr>
        <w:pStyle w:val="ListParagraph"/>
        <w:autoSpaceDE w:val="0"/>
        <w:autoSpaceDN w:val="0"/>
        <w:adjustRightInd w:val="0"/>
        <w:spacing w:after="0" w:line="240" w:lineRule="auto"/>
        <w:rPr>
          <w:rFonts w:ascii="Arial" w:hAnsi="Arial" w:cs="Arial"/>
          <w:sz w:val="18"/>
          <w:szCs w:val="18"/>
        </w:rPr>
      </w:pPr>
    </w:p>
    <w:p w14:paraId="3FE3F12E" w14:textId="15EB8B9D" w:rsidR="001C74CB" w:rsidRPr="00B5565F" w:rsidRDefault="001C74CB" w:rsidP="00B5565F">
      <w:pPr>
        <w:pStyle w:val="ListParagraph"/>
        <w:numPr>
          <w:ilvl w:val="0"/>
          <w:numId w:val="31"/>
        </w:numPr>
        <w:rPr>
          <w:rFonts w:ascii="Times New Roman" w:hAnsi="Times New Roman" w:cs="Times New Roman"/>
          <w:b/>
        </w:rPr>
      </w:pPr>
      <w:r w:rsidRPr="00B5565F">
        <w:rPr>
          <w:rFonts w:ascii="Times New Roman" w:hAnsi="Times New Roman" w:cs="Times New Roman"/>
          <w:b/>
        </w:rPr>
        <w:t xml:space="preserve">Hausman Test result </w:t>
      </w:r>
    </w:p>
    <w:p w14:paraId="26A853CB" w14:textId="77777777" w:rsidR="001C74CB" w:rsidRPr="00D62B03" w:rsidRDefault="001C74CB" w:rsidP="001C74CB">
      <w:pPr>
        <w:autoSpaceDE w:val="0"/>
        <w:autoSpaceDN w:val="0"/>
        <w:adjustRightInd w:val="0"/>
        <w:spacing w:after="0" w:line="240" w:lineRule="auto"/>
        <w:rPr>
          <w:rFonts w:ascii="Times New Roman" w:hAnsi="Times New Roman" w:cs="Times New Roman"/>
          <w:sz w:val="18"/>
          <w:szCs w:val="18"/>
        </w:rPr>
      </w:pPr>
    </w:p>
    <w:p w14:paraId="22A363AC" w14:textId="77777777" w:rsidR="001C74CB" w:rsidRPr="00D62B03" w:rsidRDefault="001C74CB" w:rsidP="001C74CB">
      <w:pPr>
        <w:autoSpaceDE w:val="0"/>
        <w:autoSpaceDN w:val="0"/>
        <w:adjustRightInd w:val="0"/>
        <w:spacing w:after="0" w:line="240" w:lineRule="auto"/>
        <w:rPr>
          <w:rFonts w:ascii="Times New Roman" w:hAnsi="Times New Roman" w:cs="Times New Roman"/>
          <w:sz w:val="18"/>
          <w:szCs w:val="18"/>
        </w:rPr>
      </w:pPr>
    </w:p>
    <w:p w14:paraId="7133778D" w14:textId="77777777" w:rsidR="001C74CB" w:rsidRPr="00D62B03" w:rsidRDefault="001C74CB" w:rsidP="001C74CB">
      <w:pPr>
        <w:rPr>
          <w:rFonts w:ascii="Times New Roman" w:hAnsi="Times New Roman" w:cs="Times New Roman"/>
          <w:i/>
        </w:rPr>
      </w:pPr>
      <w:r w:rsidRPr="00D62B03">
        <w:rPr>
          <w:rFonts w:ascii="Times New Roman" w:hAnsi="Times New Roman" w:cs="Times New Roman"/>
          <w:i/>
        </w:rPr>
        <w:t>Null hypothesis: H</w:t>
      </w:r>
      <w:r w:rsidRPr="00D62B03">
        <w:rPr>
          <w:rFonts w:ascii="Times New Roman" w:hAnsi="Times New Roman" w:cs="Times New Roman"/>
          <w:i/>
          <w:vertAlign w:val="subscript"/>
        </w:rPr>
        <w:t>0</w:t>
      </w:r>
      <w:r w:rsidRPr="00D62B03">
        <w:rPr>
          <w:rFonts w:ascii="Times New Roman" w:hAnsi="Times New Roman" w:cs="Times New Roman"/>
          <w:i/>
        </w:rPr>
        <w:t xml:space="preserve">= difference in co-efficient not systematics </w:t>
      </w:r>
    </w:p>
    <w:tbl>
      <w:tblPr>
        <w:tblStyle w:val="TableGrid"/>
        <w:tblW w:w="0" w:type="auto"/>
        <w:tblLook w:val="04A0" w:firstRow="1" w:lastRow="0" w:firstColumn="1" w:lastColumn="0" w:noHBand="0" w:noVBand="1"/>
      </w:tblPr>
      <w:tblGrid>
        <w:gridCol w:w="4621"/>
        <w:gridCol w:w="4621"/>
      </w:tblGrid>
      <w:tr w:rsidR="001C74CB" w:rsidRPr="00D62B03" w14:paraId="016C3241" w14:textId="77777777" w:rsidTr="00A707E7">
        <w:tc>
          <w:tcPr>
            <w:tcW w:w="4621" w:type="dxa"/>
          </w:tcPr>
          <w:p w14:paraId="5E7E53A8" w14:textId="77777777" w:rsidR="001C74CB" w:rsidRPr="00D62B03" w:rsidRDefault="001C74CB" w:rsidP="00A707E7">
            <w:pPr>
              <w:rPr>
                <w:rFonts w:ascii="Times New Roman" w:hAnsi="Times New Roman" w:cs="Times New Roman"/>
              </w:rPr>
            </w:pPr>
            <w:r w:rsidRPr="00D62B03">
              <w:rPr>
                <w:rFonts w:ascii="Times New Roman" w:hAnsi="Times New Roman" w:cs="Times New Roman"/>
              </w:rPr>
              <w:t xml:space="preserve">Chi –square statistics </w:t>
            </w:r>
          </w:p>
        </w:tc>
        <w:tc>
          <w:tcPr>
            <w:tcW w:w="4621" w:type="dxa"/>
          </w:tcPr>
          <w:p w14:paraId="2F5C4267" w14:textId="77777777" w:rsidR="001C74CB" w:rsidRPr="00D62B03" w:rsidRDefault="001C74CB" w:rsidP="00A707E7">
            <w:pPr>
              <w:rPr>
                <w:rFonts w:ascii="Times New Roman" w:hAnsi="Times New Roman" w:cs="Times New Roman"/>
              </w:rPr>
            </w:pPr>
            <w:r w:rsidRPr="00D62B03">
              <w:rPr>
                <w:rFonts w:ascii="Times New Roman" w:hAnsi="Times New Roman" w:cs="Times New Roman"/>
              </w:rPr>
              <w:t>42.69</w:t>
            </w:r>
          </w:p>
        </w:tc>
      </w:tr>
      <w:tr w:rsidR="001C74CB" w:rsidRPr="00D62B03" w14:paraId="0C91095E" w14:textId="77777777" w:rsidTr="00A707E7">
        <w:tc>
          <w:tcPr>
            <w:tcW w:w="4621" w:type="dxa"/>
          </w:tcPr>
          <w:p w14:paraId="2ED08A02" w14:textId="77777777" w:rsidR="001C74CB" w:rsidRPr="00D62B03" w:rsidRDefault="001C74CB" w:rsidP="00A707E7">
            <w:pPr>
              <w:rPr>
                <w:rFonts w:ascii="Times New Roman" w:hAnsi="Times New Roman" w:cs="Times New Roman"/>
              </w:rPr>
            </w:pPr>
            <w:r w:rsidRPr="00D62B03">
              <w:rPr>
                <w:rFonts w:ascii="Times New Roman" w:hAnsi="Times New Roman" w:cs="Times New Roman"/>
              </w:rPr>
              <w:t xml:space="preserve">Prob value of  Chi- square </w:t>
            </w:r>
          </w:p>
        </w:tc>
        <w:tc>
          <w:tcPr>
            <w:tcW w:w="4621" w:type="dxa"/>
          </w:tcPr>
          <w:p w14:paraId="114B3085" w14:textId="77777777" w:rsidR="001C74CB" w:rsidRPr="00D62B03" w:rsidRDefault="001C74CB" w:rsidP="00A707E7">
            <w:pPr>
              <w:rPr>
                <w:rFonts w:ascii="Times New Roman" w:hAnsi="Times New Roman" w:cs="Times New Roman"/>
              </w:rPr>
            </w:pPr>
            <w:r w:rsidRPr="00D62B03">
              <w:rPr>
                <w:rFonts w:ascii="Times New Roman" w:hAnsi="Times New Roman" w:cs="Times New Roman"/>
              </w:rPr>
              <w:t>0.000</w:t>
            </w:r>
          </w:p>
        </w:tc>
      </w:tr>
      <w:tr w:rsidR="001C74CB" w:rsidRPr="00D62B03" w14:paraId="1561DB90" w14:textId="77777777" w:rsidTr="00A707E7">
        <w:tc>
          <w:tcPr>
            <w:tcW w:w="9242" w:type="dxa"/>
            <w:gridSpan w:val="2"/>
          </w:tcPr>
          <w:p w14:paraId="332108F8" w14:textId="77777777" w:rsidR="001C74CB" w:rsidRPr="00D62B03" w:rsidRDefault="001C74CB" w:rsidP="00A707E7">
            <w:pPr>
              <w:rPr>
                <w:rFonts w:ascii="Times New Roman" w:hAnsi="Times New Roman" w:cs="Times New Roman"/>
              </w:rPr>
            </w:pPr>
            <w:r w:rsidRPr="00D62B03">
              <w:rPr>
                <w:rFonts w:ascii="Times New Roman" w:hAnsi="Times New Roman" w:cs="Times New Roman"/>
              </w:rPr>
              <w:t>Rejection of the null hypothesis implies that Fixed effect model is suitable rather Random effect</w:t>
            </w:r>
          </w:p>
        </w:tc>
      </w:tr>
    </w:tbl>
    <w:p w14:paraId="6630EDC0" w14:textId="77777777" w:rsidR="001C74CB" w:rsidRDefault="001C74CB" w:rsidP="001C74CB"/>
    <w:p w14:paraId="3E578DB3" w14:textId="77777777" w:rsidR="001C74CB" w:rsidRPr="008A7487" w:rsidRDefault="001C74CB" w:rsidP="00934E37">
      <w:pPr>
        <w:spacing w:after="0" w:line="240" w:lineRule="auto"/>
        <w:contextualSpacing/>
        <w:rPr>
          <w:rFonts w:ascii="Times New Roman" w:hAnsi="Times New Roman" w:cs="Times New Roman"/>
          <w:sz w:val="24"/>
          <w:szCs w:val="24"/>
        </w:rPr>
      </w:pPr>
    </w:p>
    <w:p w14:paraId="48643677" w14:textId="7A095DE8" w:rsidR="00B5565F" w:rsidRPr="00B5565F" w:rsidRDefault="00B5565F" w:rsidP="00B5565F">
      <w:pPr>
        <w:pStyle w:val="ListParagraph"/>
        <w:numPr>
          <w:ilvl w:val="0"/>
          <w:numId w:val="31"/>
        </w:numPr>
        <w:autoSpaceDE w:val="0"/>
        <w:autoSpaceDN w:val="0"/>
        <w:adjustRightInd w:val="0"/>
        <w:spacing w:after="0" w:line="240" w:lineRule="auto"/>
        <w:rPr>
          <w:rFonts w:ascii="Times New Roman" w:hAnsi="Times New Roman" w:cs="Times New Roman"/>
          <w:b/>
        </w:rPr>
      </w:pPr>
      <w:r w:rsidRPr="00B5565F">
        <w:rPr>
          <w:rFonts w:ascii="Times New Roman" w:hAnsi="Times New Roman" w:cs="Times New Roman"/>
          <w:b/>
        </w:rPr>
        <w:t xml:space="preserve"> Variance Inflation Factor </w:t>
      </w:r>
    </w:p>
    <w:tbl>
      <w:tblPr>
        <w:tblStyle w:val="TableGrid"/>
        <w:tblW w:w="0" w:type="auto"/>
        <w:tblLook w:val="04A0" w:firstRow="1" w:lastRow="0" w:firstColumn="1" w:lastColumn="0" w:noHBand="0" w:noVBand="1"/>
      </w:tblPr>
      <w:tblGrid>
        <w:gridCol w:w="3080"/>
        <w:gridCol w:w="2415"/>
        <w:gridCol w:w="1984"/>
      </w:tblGrid>
      <w:tr w:rsidR="00B5565F" w:rsidRPr="00D62B03" w14:paraId="2DF115D6" w14:textId="77777777" w:rsidTr="009F45F3">
        <w:tc>
          <w:tcPr>
            <w:tcW w:w="3080" w:type="dxa"/>
          </w:tcPr>
          <w:p w14:paraId="478A4487" w14:textId="77777777" w:rsidR="00B5565F" w:rsidRPr="00D62B03" w:rsidRDefault="00B5565F" w:rsidP="009F45F3">
            <w:pPr>
              <w:autoSpaceDE w:val="0"/>
              <w:autoSpaceDN w:val="0"/>
              <w:adjustRightInd w:val="0"/>
              <w:spacing w:after="0" w:line="240" w:lineRule="auto"/>
              <w:rPr>
                <w:rFonts w:ascii="Times New Roman" w:hAnsi="Times New Roman" w:cs="Times New Roman"/>
              </w:rPr>
            </w:pPr>
            <w:r w:rsidRPr="00D62B03">
              <w:rPr>
                <w:rFonts w:ascii="Times New Roman" w:hAnsi="Times New Roman" w:cs="Times New Roman"/>
              </w:rPr>
              <w:t xml:space="preserve">Variable </w:t>
            </w:r>
          </w:p>
        </w:tc>
        <w:tc>
          <w:tcPr>
            <w:tcW w:w="2415" w:type="dxa"/>
          </w:tcPr>
          <w:p w14:paraId="1E73CBF5" w14:textId="77777777" w:rsidR="00B5565F" w:rsidRPr="00D62B03" w:rsidRDefault="00B5565F" w:rsidP="009F45F3">
            <w:pPr>
              <w:autoSpaceDE w:val="0"/>
              <w:autoSpaceDN w:val="0"/>
              <w:adjustRightInd w:val="0"/>
              <w:spacing w:after="0" w:line="240" w:lineRule="auto"/>
              <w:rPr>
                <w:rFonts w:ascii="Times New Roman" w:hAnsi="Times New Roman" w:cs="Times New Roman"/>
              </w:rPr>
            </w:pPr>
            <w:r w:rsidRPr="00D62B03">
              <w:rPr>
                <w:rFonts w:ascii="Times New Roman" w:hAnsi="Times New Roman" w:cs="Times New Roman"/>
              </w:rPr>
              <w:t>VIF</w:t>
            </w:r>
          </w:p>
        </w:tc>
        <w:tc>
          <w:tcPr>
            <w:tcW w:w="1984" w:type="dxa"/>
          </w:tcPr>
          <w:p w14:paraId="5B643278" w14:textId="77777777" w:rsidR="00B5565F" w:rsidRPr="00D62B03" w:rsidRDefault="00B5565F" w:rsidP="009F45F3">
            <w:pPr>
              <w:autoSpaceDE w:val="0"/>
              <w:autoSpaceDN w:val="0"/>
              <w:adjustRightInd w:val="0"/>
              <w:spacing w:after="0" w:line="240" w:lineRule="auto"/>
              <w:rPr>
                <w:rFonts w:ascii="Times New Roman" w:hAnsi="Times New Roman" w:cs="Times New Roman"/>
              </w:rPr>
            </w:pPr>
            <w:r w:rsidRPr="00D62B03">
              <w:rPr>
                <w:rFonts w:ascii="Times New Roman" w:hAnsi="Times New Roman" w:cs="Times New Roman"/>
              </w:rPr>
              <w:t>1/VIF</w:t>
            </w:r>
          </w:p>
        </w:tc>
      </w:tr>
      <w:tr w:rsidR="00B5565F" w:rsidRPr="00D62B03" w14:paraId="64160CA6" w14:textId="77777777" w:rsidTr="009F45F3">
        <w:tc>
          <w:tcPr>
            <w:tcW w:w="3080" w:type="dxa"/>
          </w:tcPr>
          <w:p w14:paraId="14DF9055" w14:textId="77777777" w:rsidR="00B5565F" w:rsidRPr="00D62B03" w:rsidRDefault="00B5565F" w:rsidP="009F45F3">
            <w:pPr>
              <w:autoSpaceDE w:val="0"/>
              <w:autoSpaceDN w:val="0"/>
              <w:adjustRightInd w:val="0"/>
              <w:spacing w:after="0" w:line="240" w:lineRule="auto"/>
              <w:rPr>
                <w:rFonts w:ascii="Times New Roman" w:hAnsi="Times New Roman" w:cs="Times New Roman"/>
              </w:rPr>
            </w:pPr>
            <w:r w:rsidRPr="00D62B03">
              <w:rPr>
                <w:rFonts w:ascii="Times New Roman" w:hAnsi="Times New Roman" w:cs="Times New Roman"/>
              </w:rPr>
              <w:t>LNSIZE</w:t>
            </w:r>
          </w:p>
        </w:tc>
        <w:tc>
          <w:tcPr>
            <w:tcW w:w="2415" w:type="dxa"/>
          </w:tcPr>
          <w:p w14:paraId="5FB0BB55" w14:textId="77777777" w:rsidR="00B5565F" w:rsidRPr="00D62B03" w:rsidRDefault="00B5565F" w:rsidP="009F45F3">
            <w:pPr>
              <w:autoSpaceDE w:val="0"/>
              <w:autoSpaceDN w:val="0"/>
              <w:adjustRightInd w:val="0"/>
              <w:spacing w:after="0" w:line="240" w:lineRule="auto"/>
              <w:rPr>
                <w:rFonts w:ascii="Times New Roman" w:hAnsi="Times New Roman" w:cs="Times New Roman"/>
              </w:rPr>
            </w:pPr>
            <w:r w:rsidRPr="00D62B03">
              <w:rPr>
                <w:rFonts w:ascii="Times New Roman" w:hAnsi="Times New Roman" w:cs="Times New Roman"/>
              </w:rPr>
              <w:t>3.53</w:t>
            </w:r>
          </w:p>
        </w:tc>
        <w:tc>
          <w:tcPr>
            <w:tcW w:w="1984" w:type="dxa"/>
          </w:tcPr>
          <w:p w14:paraId="1A0F9D66" w14:textId="77777777" w:rsidR="00B5565F" w:rsidRPr="00D62B03" w:rsidRDefault="00B5565F" w:rsidP="009F45F3">
            <w:pPr>
              <w:autoSpaceDE w:val="0"/>
              <w:autoSpaceDN w:val="0"/>
              <w:adjustRightInd w:val="0"/>
              <w:spacing w:after="0" w:line="240" w:lineRule="auto"/>
              <w:rPr>
                <w:rFonts w:ascii="Times New Roman" w:hAnsi="Times New Roman" w:cs="Times New Roman"/>
              </w:rPr>
            </w:pPr>
            <w:r w:rsidRPr="00D62B03">
              <w:rPr>
                <w:rFonts w:ascii="Times New Roman" w:hAnsi="Times New Roman" w:cs="Times New Roman"/>
              </w:rPr>
              <w:t>0.28</w:t>
            </w:r>
          </w:p>
        </w:tc>
      </w:tr>
      <w:tr w:rsidR="00B5565F" w:rsidRPr="00D62B03" w14:paraId="5D3876C8" w14:textId="77777777" w:rsidTr="009F45F3">
        <w:tc>
          <w:tcPr>
            <w:tcW w:w="3080" w:type="dxa"/>
          </w:tcPr>
          <w:p w14:paraId="3CF017CB" w14:textId="77777777" w:rsidR="00B5565F" w:rsidRPr="00D62B03" w:rsidRDefault="00B5565F" w:rsidP="009F45F3">
            <w:pPr>
              <w:autoSpaceDE w:val="0"/>
              <w:autoSpaceDN w:val="0"/>
              <w:adjustRightInd w:val="0"/>
              <w:spacing w:after="0" w:line="240" w:lineRule="auto"/>
              <w:rPr>
                <w:rFonts w:ascii="Times New Roman" w:hAnsi="Times New Roman" w:cs="Times New Roman"/>
              </w:rPr>
            </w:pPr>
            <w:r w:rsidRPr="00D62B03">
              <w:rPr>
                <w:rFonts w:ascii="Times New Roman" w:hAnsi="Times New Roman" w:cs="Times New Roman"/>
              </w:rPr>
              <w:t>CR</w:t>
            </w:r>
          </w:p>
        </w:tc>
        <w:tc>
          <w:tcPr>
            <w:tcW w:w="2415" w:type="dxa"/>
          </w:tcPr>
          <w:p w14:paraId="61CD9844" w14:textId="77777777" w:rsidR="00B5565F" w:rsidRPr="00D62B03" w:rsidRDefault="00B5565F" w:rsidP="009F45F3">
            <w:pPr>
              <w:autoSpaceDE w:val="0"/>
              <w:autoSpaceDN w:val="0"/>
              <w:adjustRightInd w:val="0"/>
              <w:spacing w:after="0" w:line="240" w:lineRule="auto"/>
              <w:rPr>
                <w:rFonts w:ascii="Times New Roman" w:hAnsi="Times New Roman" w:cs="Times New Roman"/>
              </w:rPr>
            </w:pPr>
            <w:r w:rsidRPr="00D62B03">
              <w:rPr>
                <w:rFonts w:ascii="Times New Roman" w:hAnsi="Times New Roman" w:cs="Times New Roman"/>
              </w:rPr>
              <w:t>2.81</w:t>
            </w:r>
          </w:p>
        </w:tc>
        <w:tc>
          <w:tcPr>
            <w:tcW w:w="1984" w:type="dxa"/>
          </w:tcPr>
          <w:p w14:paraId="27575A85" w14:textId="77777777" w:rsidR="00B5565F" w:rsidRPr="00D62B03" w:rsidRDefault="00B5565F" w:rsidP="009F45F3">
            <w:pPr>
              <w:autoSpaceDE w:val="0"/>
              <w:autoSpaceDN w:val="0"/>
              <w:adjustRightInd w:val="0"/>
              <w:spacing w:after="0" w:line="240" w:lineRule="auto"/>
              <w:rPr>
                <w:rFonts w:ascii="Times New Roman" w:hAnsi="Times New Roman" w:cs="Times New Roman"/>
              </w:rPr>
            </w:pPr>
            <w:r w:rsidRPr="00D62B03">
              <w:rPr>
                <w:rFonts w:ascii="Times New Roman" w:hAnsi="Times New Roman" w:cs="Times New Roman"/>
              </w:rPr>
              <w:t>0.35</w:t>
            </w:r>
          </w:p>
        </w:tc>
      </w:tr>
      <w:tr w:rsidR="00B5565F" w:rsidRPr="00D62B03" w14:paraId="635045BF" w14:textId="77777777" w:rsidTr="009F45F3">
        <w:tc>
          <w:tcPr>
            <w:tcW w:w="3080" w:type="dxa"/>
          </w:tcPr>
          <w:p w14:paraId="5A31C805" w14:textId="77777777" w:rsidR="00B5565F" w:rsidRPr="00D62B03" w:rsidRDefault="00B5565F" w:rsidP="009F45F3">
            <w:pPr>
              <w:autoSpaceDE w:val="0"/>
              <w:autoSpaceDN w:val="0"/>
              <w:adjustRightInd w:val="0"/>
              <w:spacing w:after="0" w:line="240" w:lineRule="auto"/>
              <w:rPr>
                <w:rFonts w:ascii="Times New Roman" w:hAnsi="Times New Roman" w:cs="Times New Roman"/>
              </w:rPr>
            </w:pPr>
            <w:r w:rsidRPr="00D62B03">
              <w:rPr>
                <w:rFonts w:ascii="Times New Roman" w:hAnsi="Times New Roman" w:cs="Times New Roman"/>
              </w:rPr>
              <w:t>ΔGDP</w:t>
            </w:r>
          </w:p>
        </w:tc>
        <w:tc>
          <w:tcPr>
            <w:tcW w:w="2415" w:type="dxa"/>
          </w:tcPr>
          <w:p w14:paraId="42D36133" w14:textId="77777777" w:rsidR="00B5565F" w:rsidRPr="00D62B03" w:rsidRDefault="00B5565F" w:rsidP="009F45F3">
            <w:pPr>
              <w:autoSpaceDE w:val="0"/>
              <w:autoSpaceDN w:val="0"/>
              <w:adjustRightInd w:val="0"/>
              <w:spacing w:after="0" w:line="240" w:lineRule="auto"/>
              <w:rPr>
                <w:rFonts w:ascii="Times New Roman" w:hAnsi="Times New Roman" w:cs="Times New Roman"/>
              </w:rPr>
            </w:pPr>
            <w:r w:rsidRPr="00D62B03">
              <w:rPr>
                <w:rFonts w:ascii="Times New Roman" w:hAnsi="Times New Roman" w:cs="Times New Roman"/>
              </w:rPr>
              <w:t>1.72</w:t>
            </w:r>
          </w:p>
        </w:tc>
        <w:tc>
          <w:tcPr>
            <w:tcW w:w="1984" w:type="dxa"/>
          </w:tcPr>
          <w:p w14:paraId="4244C542" w14:textId="77777777" w:rsidR="00B5565F" w:rsidRPr="00D62B03" w:rsidRDefault="00B5565F" w:rsidP="009F45F3">
            <w:pPr>
              <w:autoSpaceDE w:val="0"/>
              <w:autoSpaceDN w:val="0"/>
              <w:adjustRightInd w:val="0"/>
              <w:spacing w:after="0" w:line="240" w:lineRule="auto"/>
              <w:rPr>
                <w:rFonts w:ascii="Times New Roman" w:hAnsi="Times New Roman" w:cs="Times New Roman"/>
              </w:rPr>
            </w:pPr>
            <w:r w:rsidRPr="00D62B03">
              <w:rPr>
                <w:rFonts w:ascii="Times New Roman" w:hAnsi="Times New Roman" w:cs="Times New Roman"/>
              </w:rPr>
              <w:t>0.58</w:t>
            </w:r>
          </w:p>
        </w:tc>
      </w:tr>
      <w:tr w:rsidR="00B5565F" w:rsidRPr="00D62B03" w14:paraId="3D34F2AE" w14:textId="77777777" w:rsidTr="009F45F3">
        <w:tc>
          <w:tcPr>
            <w:tcW w:w="3080" w:type="dxa"/>
          </w:tcPr>
          <w:p w14:paraId="1990A940" w14:textId="77777777" w:rsidR="00B5565F" w:rsidRPr="00D62B03" w:rsidRDefault="00B5565F" w:rsidP="009F45F3">
            <w:pPr>
              <w:autoSpaceDE w:val="0"/>
              <w:autoSpaceDN w:val="0"/>
              <w:adjustRightInd w:val="0"/>
              <w:spacing w:after="0" w:line="240" w:lineRule="auto"/>
              <w:rPr>
                <w:rFonts w:ascii="Times New Roman" w:hAnsi="Times New Roman" w:cs="Times New Roman"/>
              </w:rPr>
            </w:pPr>
            <w:r w:rsidRPr="00D62B03">
              <w:rPr>
                <w:rFonts w:ascii="Times New Roman" w:hAnsi="Times New Roman" w:cs="Times New Roman"/>
              </w:rPr>
              <w:t>MP</w:t>
            </w:r>
          </w:p>
        </w:tc>
        <w:tc>
          <w:tcPr>
            <w:tcW w:w="2415" w:type="dxa"/>
          </w:tcPr>
          <w:p w14:paraId="5DB9AF33" w14:textId="77777777" w:rsidR="00B5565F" w:rsidRPr="00D62B03" w:rsidRDefault="00B5565F" w:rsidP="009F45F3">
            <w:pPr>
              <w:autoSpaceDE w:val="0"/>
              <w:autoSpaceDN w:val="0"/>
              <w:adjustRightInd w:val="0"/>
              <w:spacing w:after="0" w:line="240" w:lineRule="auto"/>
              <w:rPr>
                <w:rFonts w:ascii="Times New Roman" w:hAnsi="Times New Roman" w:cs="Times New Roman"/>
              </w:rPr>
            </w:pPr>
            <w:r w:rsidRPr="00D62B03">
              <w:rPr>
                <w:rFonts w:ascii="Times New Roman" w:hAnsi="Times New Roman" w:cs="Times New Roman"/>
              </w:rPr>
              <w:t>1.70</w:t>
            </w:r>
          </w:p>
        </w:tc>
        <w:tc>
          <w:tcPr>
            <w:tcW w:w="1984" w:type="dxa"/>
          </w:tcPr>
          <w:p w14:paraId="37832526" w14:textId="77777777" w:rsidR="00B5565F" w:rsidRPr="00D62B03" w:rsidRDefault="00B5565F" w:rsidP="009F45F3">
            <w:pPr>
              <w:autoSpaceDE w:val="0"/>
              <w:autoSpaceDN w:val="0"/>
              <w:adjustRightInd w:val="0"/>
              <w:spacing w:after="0" w:line="240" w:lineRule="auto"/>
              <w:rPr>
                <w:rFonts w:ascii="Times New Roman" w:hAnsi="Times New Roman" w:cs="Times New Roman"/>
              </w:rPr>
            </w:pPr>
            <w:r w:rsidRPr="00D62B03">
              <w:rPr>
                <w:rFonts w:ascii="Times New Roman" w:hAnsi="Times New Roman" w:cs="Times New Roman"/>
              </w:rPr>
              <w:t>0.59</w:t>
            </w:r>
          </w:p>
        </w:tc>
      </w:tr>
      <w:tr w:rsidR="00B5565F" w:rsidRPr="00D62B03" w14:paraId="57CD1067" w14:textId="77777777" w:rsidTr="009F45F3">
        <w:tc>
          <w:tcPr>
            <w:tcW w:w="3080" w:type="dxa"/>
          </w:tcPr>
          <w:p w14:paraId="334EC8D1" w14:textId="77777777" w:rsidR="00B5565F" w:rsidRPr="00D62B03" w:rsidRDefault="00B5565F" w:rsidP="009F45F3">
            <w:pPr>
              <w:autoSpaceDE w:val="0"/>
              <w:autoSpaceDN w:val="0"/>
              <w:adjustRightInd w:val="0"/>
              <w:spacing w:after="0" w:line="240" w:lineRule="auto"/>
              <w:rPr>
                <w:rFonts w:ascii="Times New Roman" w:hAnsi="Times New Roman" w:cs="Times New Roman"/>
              </w:rPr>
            </w:pPr>
            <w:r w:rsidRPr="00D62B03">
              <w:rPr>
                <w:rFonts w:ascii="Times New Roman" w:hAnsi="Times New Roman" w:cs="Times New Roman"/>
              </w:rPr>
              <w:t>CAP</w:t>
            </w:r>
          </w:p>
        </w:tc>
        <w:tc>
          <w:tcPr>
            <w:tcW w:w="2415" w:type="dxa"/>
          </w:tcPr>
          <w:p w14:paraId="707AB7F7" w14:textId="77777777" w:rsidR="00B5565F" w:rsidRPr="00D62B03" w:rsidRDefault="00B5565F" w:rsidP="009F45F3">
            <w:pPr>
              <w:autoSpaceDE w:val="0"/>
              <w:autoSpaceDN w:val="0"/>
              <w:adjustRightInd w:val="0"/>
              <w:spacing w:after="0" w:line="240" w:lineRule="auto"/>
              <w:rPr>
                <w:rFonts w:ascii="Times New Roman" w:hAnsi="Times New Roman" w:cs="Times New Roman"/>
              </w:rPr>
            </w:pPr>
            <w:r w:rsidRPr="00D62B03">
              <w:rPr>
                <w:rFonts w:ascii="Times New Roman" w:hAnsi="Times New Roman" w:cs="Times New Roman"/>
              </w:rPr>
              <w:t>1.69</w:t>
            </w:r>
          </w:p>
        </w:tc>
        <w:tc>
          <w:tcPr>
            <w:tcW w:w="1984" w:type="dxa"/>
          </w:tcPr>
          <w:p w14:paraId="2EF067DB" w14:textId="77777777" w:rsidR="00B5565F" w:rsidRPr="00D62B03" w:rsidRDefault="00B5565F" w:rsidP="009F45F3">
            <w:pPr>
              <w:autoSpaceDE w:val="0"/>
              <w:autoSpaceDN w:val="0"/>
              <w:adjustRightInd w:val="0"/>
              <w:spacing w:after="0" w:line="240" w:lineRule="auto"/>
              <w:rPr>
                <w:rFonts w:ascii="Times New Roman" w:hAnsi="Times New Roman" w:cs="Times New Roman"/>
              </w:rPr>
            </w:pPr>
            <w:r w:rsidRPr="00D62B03">
              <w:rPr>
                <w:rFonts w:ascii="Times New Roman" w:hAnsi="Times New Roman" w:cs="Times New Roman"/>
              </w:rPr>
              <w:t>0.59</w:t>
            </w:r>
          </w:p>
        </w:tc>
      </w:tr>
      <w:tr w:rsidR="00B5565F" w:rsidRPr="00D62B03" w14:paraId="50463466" w14:textId="77777777" w:rsidTr="009F45F3">
        <w:tc>
          <w:tcPr>
            <w:tcW w:w="3080" w:type="dxa"/>
          </w:tcPr>
          <w:p w14:paraId="70FB2312" w14:textId="77777777" w:rsidR="00B5565F" w:rsidRPr="00D62B03" w:rsidRDefault="00B5565F" w:rsidP="009F45F3">
            <w:pPr>
              <w:autoSpaceDE w:val="0"/>
              <w:autoSpaceDN w:val="0"/>
              <w:adjustRightInd w:val="0"/>
              <w:spacing w:after="0" w:line="240" w:lineRule="auto"/>
              <w:rPr>
                <w:rFonts w:ascii="Times New Roman" w:hAnsi="Times New Roman" w:cs="Times New Roman"/>
              </w:rPr>
            </w:pPr>
            <w:r w:rsidRPr="00D62B03">
              <w:rPr>
                <w:rFonts w:ascii="Times New Roman" w:hAnsi="Times New Roman" w:cs="Times New Roman"/>
              </w:rPr>
              <w:t>CM</w:t>
            </w:r>
          </w:p>
        </w:tc>
        <w:tc>
          <w:tcPr>
            <w:tcW w:w="2415" w:type="dxa"/>
          </w:tcPr>
          <w:p w14:paraId="6D7D59B4" w14:textId="77777777" w:rsidR="00B5565F" w:rsidRPr="00D62B03" w:rsidRDefault="00B5565F" w:rsidP="009F45F3">
            <w:pPr>
              <w:autoSpaceDE w:val="0"/>
              <w:autoSpaceDN w:val="0"/>
              <w:adjustRightInd w:val="0"/>
              <w:spacing w:after="0" w:line="240" w:lineRule="auto"/>
              <w:rPr>
                <w:rFonts w:ascii="Times New Roman" w:hAnsi="Times New Roman" w:cs="Times New Roman"/>
              </w:rPr>
            </w:pPr>
            <w:r w:rsidRPr="00D62B03">
              <w:rPr>
                <w:rFonts w:ascii="Times New Roman" w:hAnsi="Times New Roman" w:cs="Times New Roman"/>
              </w:rPr>
              <w:t>1.66</w:t>
            </w:r>
          </w:p>
        </w:tc>
        <w:tc>
          <w:tcPr>
            <w:tcW w:w="1984" w:type="dxa"/>
          </w:tcPr>
          <w:p w14:paraId="7CE74B71" w14:textId="77777777" w:rsidR="00B5565F" w:rsidRPr="00D62B03" w:rsidRDefault="00B5565F" w:rsidP="009F45F3">
            <w:pPr>
              <w:autoSpaceDE w:val="0"/>
              <w:autoSpaceDN w:val="0"/>
              <w:adjustRightInd w:val="0"/>
              <w:spacing w:after="0" w:line="240" w:lineRule="auto"/>
              <w:rPr>
                <w:rFonts w:ascii="Times New Roman" w:hAnsi="Times New Roman" w:cs="Times New Roman"/>
              </w:rPr>
            </w:pPr>
            <w:r w:rsidRPr="00D62B03">
              <w:rPr>
                <w:rFonts w:ascii="Times New Roman" w:hAnsi="Times New Roman" w:cs="Times New Roman"/>
              </w:rPr>
              <w:t>0.60</w:t>
            </w:r>
          </w:p>
        </w:tc>
      </w:tr>
      <w:tr w:rsidR="00B5565F" w:rsidRPr="00D62B03" w14:paraId="09AD853A" w14:textId="77777777" w:rsidTr="009F45F3">
        <w:tc>
          <w:tcPr>
            <w:tcW w:w="3080" w:type="dxa"/>
          </w:tcPr>
          <w:p w14:paraId="3054FAC2" w14:textId="77777777" w:rsidR="00B5565F" w:rsidRPr="00D62B03" w:rsidRDefault="00B5565F" w:rsidP="009F45F3">
            <w:pPr>
              <w:autoSpaceDE w:val="0"/>
              <w:autoSpaceDN w:val="0"/>
              <w:adjustRightInd w:val="0"/>
              <w:spacing w:after="0" w:line="240" w:lineRule="auto"/>
              <w:rPr>
                <w:rFonts w:ascii="Times New Roman" w:hAnsi="Times New Roman" w:cs="Times New Roman"/>
              </w:rPr>
            </w:pPr>
            <w:r w:rsidRPr="00D62B03">
              <w:rPr>
                <w:rFonts w:ascii="Times New Roman" w:hAnsi="Times New Roman" w:cs="Times New Roman"/>
              </w:rPr>
              <w:t>LQ</w:t>
            </w:r>
          </w:p>
        </w:tc>
        <w:tc>
          <w:tcPr>
            <w:tcW w:w="2415" w:type="dxa"/>
          </w:tcPr>
          <w:p w14:paraId="4724A5D0" w14:textId="77777777" w:rsidR="00B5565F" w:rsidRPr="00D62B03" w:rsidRDefault="00B5565F" w:rsidP="009F45F3">
            <w:pPr>
              <w:autoSpaceDE w:val="0"/>
              <w:autoSpaceDN w:val="0"/>
              <w:adjustRightInd w:val="0"/>
              <w:spacing w:after="0" w:line="240" w:lineRule="auto"/>
              <w:rPr>
                <w:rFonts w:ascii="Times New Roman" w:hAnsi="Times New Roman" w:cs="Times New Roman"/>
              </w:rPr>
            </w:pPr>
            <w:r w:rsidRPr="00D62B03">
              <w:rPr>
                <w:rFonts w:ascii="Times New Roman" w:hAnsi="Times New Roman" w:cs="Times New Roman"/>
              </w:rPr>
              <w:t>1.52</w:t>
            </w:r>
          </w:p>
        </w:tc>
        <w:tc>
          <w:tcPr>
            <w:tcW w:w="1984" w:type="dxa"/>
          </w:tcPr>
          <w:p w14:paraId="63FA0563" w14:textId="77777777" w:rsidR="00B5565F" w:rsidRPr="00D62B03" w:rsidRDefault="00B5565F" w:rsidP="009F45F3">
            <w:pPr>
              <w:autoSpaceDE w:val="0"/>
              <w:autoSpaceDN w:val="0"/>
              <w:adjustRightInd w:val="0"/>
              <w:spacing w:after="0" w:line="240" w:lineRule="auto"/>
              <w:rPr>
                <w:rFonts w:ascii="Times New Roman" w:hAnsi="Times New Roman" w:cs="Times New Roman"/>
              </w:rPr>
            </w:pPr>
            <w:r w:rsidRPr="00D62B03">
              <w:rPr>
                <w:rFonts w:ascii="Times New Roman" w:hAnsi="Times New Roman" w:cs="Times New Roman"/>
              </w:rPr>
              <w:t>0.65</w:t>
            </w:r>
          </w:p>
        </w:tc>
      </w:tr>
      <w:tr w:rsidR="00B5565F" w:rsidRPr="00D62B03" w14:paraId="2D9EFBA6" w14:textId="77777777" w:rsidTr="009F45F3">
        <w:tc>
          <w:tcPr>
            <w:tcW w:w="3080" w:type="dxa"/>
          </w:tcPr>
          <w:p w14:paraId="60DCC8E0" w14:textId="77777777" w:rsidR="00B5565F" w:rsidRPr="00D62B03" w:rsidRDefault="00B5565F" w:rsidP="009F45F3">
            <w:pPr>
              <w:autoSpaceDE w:val="0"/>
              <w:autoSpaceDN w:val="0"/>
              <w:adjustRightInd w:val="0"/>
              <w:spacing w:after="0" w:line="240" w:lineRule="auto"/>
              <w:rPr>
                <w:rFonts w:ascii="Times New Roman" w:hAnsi="Times New Roman" w:cs="Times New Roman"/>
              </w:rPr>
            </w:pPr>
            <w:r w:rsidRPr="00D62B03">
              <w:rPr>
                <w:rFonts w:ascii="Times New Roman" w:hAnsi="Times New Roman" w:cs="Times New Roman"/>
              </w:rPr>
              <w:t>INF</w:t>
            </w:r>
          </w:p>
        </w:tc>
        <w:tc>
          <w:tcPr>
            <w:tcW w:w="2415" w:type="dxa"/>
          </w:tcPr>
          <w:p w14:paraId="11132C2B" w14:textId="77777777" w:rsidR="00B5565F" w:rsidRPr="00D62B03" w:rsidRDefault="00B5565F" w:rsidP="009F45F3">
            <w:pPr>
              <w:autoSpaceDE w:val="0"/>
              <w:autoSpaceDN w:val="0"/>
              <w:adjustRightInd w:val="0"/>
              <w:spacing w:after="0" w:line="240" w:lineRule="auto"/>
              <w:rPr>
                <w:rFonts w:ascii="Times New Roman" w:hAnsi="Times New Roman" w:cs="Times New Roman"/>
              </w:rPr>
            </w:pPr>
            <w:r w:rsidRPr="00D62B03">
              <w:rPr>
                <w:rFonts w:ascii="Times New Roman" w:hAnsi="Times New Roman" w:cs="Times New Roman"/>
              </w:rPr>
              <w:t>1.18</w:t>
            </w:r>
          </w:p>
        </w:tc>
        <w:tc>
          <w:tcPr>
            <w:tcW w:w="1984" w:type="dxa"/>
          </w:tcPr>
          <w:p w14:paraId="27922B97" w14:textId="77777777" w:rsidR="00B5565F" w:rsidRPr="00D62B03" w:rsidRDefault="00B5565F" w:rsidP="009F45F3">
            <w:pPr>
              <w:autoSpaceDE w:val="0"/>
              <w:autoSpaceDN w:val="0"/>
              <w:adjustRightInd w:val="0"/>
              <w:spacing w:after="0" w:line="240" w:lineRule="auto"/>
              <w:rPr>
                <w:rFonts w:ascii="Times New Roman" w:hAnsi="Times New Roman" w:cs="Times New Roman"/>
              </w:rPr>
            </w:pPr>
            <w:r w:rsidRPr="00D62B03">
              <w:rPr>
                <w:rFonts w:ascii="Times New Roman" w:hAnsi="Times New Roman" w:cs="Times New Roman"/>
              </w:rPr>
              <w:t>0.85</w:t>
            </w:r>
          </w:p>
        </w:tc>
      </w:tr>
      <w:tr w:rsidR="00B5565F" w:rsidRPr="00D62B03" w14:paraId="3FDD8C0D" w14:textId="77777777" w:rsidTr="009F45F3">
        <w:tc>
          <w:tcPr>
            <w:tcW w:w="3080" w:type="dxa"/>
          </w:tcPr>
          <w:p w14:paraId="4728E732" w14:textId="77777777" w:rsidR="00B5565F" w:rsidRPr="00D62B03" w:rsidRDefault="00B5565F" w:rsidP="009F45F3">
            <w:pPr>
              <w:autoSpaceDE w:val="0"/>
              <w:autoSpaceDN w:val="0"/>
              <w:adjustRightInd w:val="0"/>
              <w:spacing w:after="0" w:line="240" w:lineRule="auto"/>
              <w:rPr>
                <w:rFonts w:ascii="Times New Roman" w:hAnsi="Times New Roman" w:cs="Times New Roman"/>
              </w:rPr>
            </w:pPr>
            <w:r w:rsidRPr="00D62B03">
              <w:rPr>
                <w:rFonts w:ascii="Times New Roman" w:hAnsi="Times New Roman" w:cs="Times New Roman"/>
              </w:rPr>
              <w:t>MEAN VIF</w:t>
            </w:r>
          </w:p>
        </w:tc>
        <w:tc>
          <w:tcPr>
            <w:tcW w:w="2415" w:type="dxa"/>
          </w:tcPr>
          <w:p w14:paraId="073A457B" w14:textId="77777777" w:rsidR="00B5565F" w:rsidRPr="00D62B03" w:rsidRDefault="00B5565F" w:rsidP="009F45F3">
            <w:pPr>
              <w:autoSpaceDE w:val="0"/>
              <w:autoSpaceDN w:val="0"/>
              <w:adjustRightInd w:val="0"/>
              <w:spacing w:after="0" w:line="240" w:lineRule="auto"/>
              <w:rPr>
                <w:rFonts w:ascii="Times New Roman" w:hAnsi="Times New Roman" w:cs="Times New Roman"/>
              </w:rPr>
            </w:pPr>
            <w:r w:rsidRPr="00D62B03">
              <w:rPr>
                <w:rFonts w:ascii="Times New Roman" w:hAnsi="Times New Roman" w:cs="Times New Roman"/>
              </w:rPr>
              <w:t>1.98</w:t>
            </w:r>
          </w:p>
        </w:tc>
        <w:tc>
          <w:tcPr>
            <w:tcW w:w="1984" w:type="dxa"/>
          </w:tcPr>
          <w:p w14:paraId="61882AC4" w14:textId="77777777" w:rsidR="00B5565F" w:rsidRPr="00D62B03" w:rsidRDefault="00B5565F" w:rsidP="009F45F3">
            <w:pPr>
              <w:autoSpaceDE w:val="0"/>
              <w:autoSpaceDN w:val="0"/>
              <w:adjustRightInd w:val="0"/>
              <w:spacing w:after="0" w:line="240" w:lineRule="auto"/>
              <w:rPr>
                <w:rFonts w:ascii="Times New Roman" w:hAnsi="Times New Roman" w:cs="Times New Roman"/>
              </w:rPr>
            </w:pPr>
          </w:p>
        </w:tc>
      </w:tr>
    </w:tbl>
    <w:p w14:paraId="3152A950" w14:textId="77777777" w:rsidR="00B5565F" w:rsidRDefault="00B5565F" w:rsidP="00B5565F">
      <w:pPr>
        <w:pStyle w:val="ListParagraph"/>
        <w:autoSpaceDE w:val="0"/>
        <w:autoSpaceDN w:val="0"/>
        <w:adjustRightInd w:val="0"/>
        <w:spacing w:after="0" w:line="240" w:lineRule="auto"/>
        <w:rPr>
          <w:rFonts w:ascii="Arial" w:hAnsi="Arial" w:cs="Arial"/>
          <w:sz w:val="18"/>
          <w:szCs w:val="18"/>
        </w:rPr>
      </w:pPr>
    </w:p>
    <w:p w14:paraId="5A980D58" w14:textId="77777777" w:rsidR="00545CCA" w:rsidRDefault="00545CCA" w:rsidP="00545CCA">
      <w:pPr>
        <w:spacing w:after="0" w:line="240" w:lineRule="auto"/>
        <w:ind w:hanging="567"/>
        <w:contextualSpacing/>
        <w:rPr>
          <w:rFonts w:ascii="Times New Roman" w:hAnsi="Times New Roman" w:cs="Times New Roman"/>
          <w:sz w:val="24"/>
          <w:szCs w:val="24"/>
        </w:rPr>
      </w:pPr>
    </w:p>
    <w:p w14:paraId="185E3D69" w14:textId="77777777" w:rsidR="001C74CB" w:rsidRPr="001C74CB" w:rsidRDefault="001C74CB" w:rsidP="001C74CB">
      <w:pPr>
        <w:pStyle w:val="ListParagraph"/>
        <w:spacing w:after="0" w:line="240" w:lineRule="auto"/>
        <w:rPr>
          <w:rFonts w:ascii="Times New Roman" w:hAnsi="Times New Roman" w:cs="Times New Roman"/>
          <w:sz w:val="24"/>
          <w:szCs w:val="24"/>
        </w:rPr>
      </w:pPr>
    </w:p>
    <w:sectPr w:rsidR="001C74CB" w:rsidRPr="001C74CB" w:rsidSect="00B75F05">
      <w:footerReference w:type="default" r:id="rId15"/>
      <w:pgSz w:w="16838" w:h="11906" w:orient="landscape" w:code="9"/>
      <w:pgMar w:top="1440" w:right="1276" w:bottom="1440" w:left="1440"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30B840" w14:textId="77777777" w:rsidR="00DB17AA" w:rsidRDefault="00DB17AA" w:rsidP="002444FF">
      <w:pPr>
        <w:spacing w:after="0" w:line="240" w:lineRule="auto"/>
      </w:pPr>
      <w:r>
        <w:separator/>
      </w:r>
    </w:p>
  </w:endnote>
  <w:endnote w:type="continuationSeparator" w:id="0">
    <w:p w14:paraId="6BD6605C" w14:textId="77777777" w:rsidR="00DB17AA" w:rsidRDefault="00DB17AA" w:rsidP="002444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TimesNew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9892863"/>
      <w:docPartObj>
        <w:docPartGallery w:val="Page Numbers (Bottom of Page)"/>
        <w:docPartUnique/>
      </w:docPartObj>
    </w:sdtPr>
    <w:sdtEndPr>
      <w:rPr>
        <w:noProof/>
      </w:rPr>
    </w:sdtEndPr>
    <w:sdtContent>
      <w:p w14:paraId="6D83B547" w14:textId="77777777" w:rsidR="00B75F05" w:rsidRDefault="00B75F05">
        <w:pPr>
          <w:pStyle w:val="Footer"/>
          <w:jc w:val="right"/>
        </w:pPr>
        <w:r>
          <w:fldChar w:fldCharType="begin"/>
        </w:r>
        <w:r>
          <w:instrText xml:space="preserve"> PAGE   \* MERGEFORMAT </w:instrText>
        </w:r>
        <w:r>
          <w:fldChar w:fldCharType="separate"/>
        </w:r>
        <w:r>
          <w:rPr>
            <w:noProof/>
          </w:rPr>
          <w:t>8</w:t>
        </w:r>
        <w:r>
          <w:rPr>
            <w:noProof/>
          </w:rPr>
          <w:fldChar w:fldCharType="end"/>
        </w:r>
      </w:p>
    </w:sdtContent>
  </w:sdt>
  <w:p w14:paraId="70CE455F" w14:textId="77777777" w:rsidR="00B75F05" w:rsidRDefault="00B75F0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4177401"/>
      <w:docPartObj>
        <w:docPartGallery w:val="Page Numbers (Bottom of Page)"/>
        <w:docPartUnique/>
      </w:docPartObj>
    </w:sdtPr>
    <w:sdtEndPr>
      <w:rPr>
        <w:noProof/>
      </w:rPr>
    </w:sdtEndPr>
    <w:sdtContent>
      <w:p w14:paraId="55A36E2C" w14:textId="77777777" w:rsidR="00B75F05" w:rsidRDefault="00B75F05">
        <w:pPr>
          <w:pStyle w:val="Footer"/>
          <w:jc w:val="center"/>
        </w:pPr>
        <w:r>
          <w:fldChar w:fldCharType="begin"/>
        </w:r>
        <w:r>
          <w:instrText xml:space="preserve"> PAGE   \* MERGEFORMAT </w:instrText>
        </w:r>
        <w:r>
          <w:fldChar w:fldCharType="separate"/>
        </w:r>
        <w:r>
          <w:rPr>
            <w:noProof/>
          </w:rPr>
          <w:t>0</w:t>
        </w:r>
        <w:r>
          <w:rPr>
            <w:noProof/>
          </w:rPr>
          <w:fldChar w:fldCharType="end"/>
        </w:r>
      </w:p>
    </w:sdtContent>
  </w:sdt>
  <w:p w14:paraId="79C680C5" w14:textId="77777777" w:rsidR="00B75F05" w:rsidRDefault="00B75F0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4290604"/>
      <w:docPartObj>
        <w:docPartGallery w:val="Page Numbers (Bottom of Page)"/>
        <w:docPartUnique/>
      </w:docPartObj>
    </w:sdtPr>
    <w:sdtEndPr>
      <w:rPr>
        <w:noProof/>
      </w:rPr>
    </w:sdtEndPr>
    <w:sdtContent>
      <w:p w14:paraId="41080F20" w14:textId="68F1E8E0" w:rsidR="009642D2" w:rsidRDefault="009642D2">
        <w:pPr>
          <w:pStyle w:val="Footer"/>
          <w:jc w:val="center"/>
        </w:pPr>
        <w:r>
          <w:fldChar w:fldCharType="begin"/>
        </w:r>
        <w:r>
          <w:instrText xml:space="preserve"> PAGE   \* MERGEFORMAT </w:instrText>
        </w:r>
        <w:r>
          <w:fldChar w:fldCharType="separate"/>
        </w:r>
        <w:r w:rsidR="00B75F05">
          <w:rPr>
            <w:noProof/>
          </w:rPr>
          <w:t>14</w:t>
        </w:r>
        <w:r>
          <w:rPr>
            <w:noProof/>
          </w:rPr>
          <w:fldChar w:fldCharType="end"/>
        </w:r>
      </w:p>
    </w:sdtContent>
  </w:sdt>
  <w:p w14:paraId="68283249" w14:textId="77777777" w:rsidR="009642D2" w:rsidRDefault="009642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BC72F4" w14:textId="77777777" w:rsidR="00DB17AA" w:rsidRDefault="00DB17AA" w:rsidP="002444FF">
      <w:pPr>
        <w:spacing w:after="0" w:line="240" w:lineRule="auto"/>
      </w:pPr>
      <w:r>
        <w:separator/>
      </w:r>
    </w:p>
  </w:footnote>
  <w:footnote w:type="continuationSeparator" w:id="0">
    <w:p w14:paraId="09A1ACE9" w14:textId="77777777" w:rsidR="00DB17AA" w:rsidRDefault="00DB17AA" w:rsidP="002444F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45FE782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A43382"/>
    <w:multiLevelType w:val="multilevel"/>
    <w:tmpl w:val="36CEE7DA"/>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857281B"/>
    <w:multiLevelType w:val="hybridMultilevel"/>
    <w:tmpl w:val="4FF830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981FD8"/>
    <w:multiLevelType w:val="hybridMultilevel"/>
    <w:tmpl w:val="D2885300"/>
    <w:lvl w:ilvl="0" w:tplc="0809000F">
      <w:start w:val="1"/>
      <w:numFmt w:val="decimal"/>
      <w:lvlText w:val="%1."/>
      <w:lvlJc w:val="left"/>
      <w:pPr>
        <w:ind w:left="720" w:hanging="360"/>
      </w:pPr>
      <w:rPr>
        <w:rFonts w:hint="default"/>
      </w:rPr>
    </w:lvl>
    <w:lvl w:ilvl="1" w:tplc="8958749C">
      <w:start w:val="1"/>
      <w:numFmt w:val="lowerLetter"/>
      <w:lvlText w:val="%2."/>
      <w:lvlJc w:val="left"/>
      <w:pPr>
        <w:ind w:left="1353" w:hanging="360"/>
      </w:pPr>
      <w:rPr>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BD1E41"/>
    <w:multiLevelType w:val="multilevel"/>
    <w:tmpl w:val="A4AE1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7B6AFA"/>
    <w:multiLevelType w:val="hybridMultilevel"/>
    <w:tmpl w:val="0738662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73E3CCC"/>
    <w:multiLevelType w:val="hybridMultilevel"/>
    <w:tmpl w:val="F29A7FE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9316FD7"/>
    <w:multiLevelType w:val="multilevel"/>
    <w:tmpl w:val="C2E0968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B103951"/>
    <w:multiLevelType w:val="hybridMultilevel"/>
    <w:tmpl w:val="6CD806B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BF17D43"/>
    <w:multiLevelType w:val="hybridMultilevel"/>
    <w:tmpl w:val="01BE458C"/>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DBA71D8"/>
    <w:multiLevelType w:val="multilevel"/>
    <w:tmpl w:val="B70263DA"/>
    <w:lvl w:ilvl="0">
      <w:start w:val="1"/>
      <w:numFmt w:val="decimal"/>
      <w:lvlText w:val="%1."/>
      <w:lvlJc w:val="left"/>
      <w:pPr>
        <w:ind w:left="786" w:hanging="360"/>
      </w:pPr>
      <w:rPr>
        <w:rFonts w:hint="default"/>
        <w:b/>
      </w:rPr>
    </w:lvl>
    <w:lvl w:ilvl="1">
      <w:start w:val="4"/>
      <w:numFmt w:val="decimal"/>
      <w:isLgl/>
      <w:lvlText w:val="%1.%2"/>
      <w:lvlJc w:val="left"/>
      <w:pPr>
        <w:ind w:left="786" w:hanging="360"/>
      </w:pPr>
      <w:rPr>
        <w:rFonts w:hint="default"/>
        <w:b/>
      </w:rPr>
    </w:lvl>
    <w:lvl w:ilvl="2">
      <w:start w:val="1"/>
      <w:numFmt w:val="decimal"/>
      <w:isLgl/>
      <w:lvlText w:val="%1.%2.%3"/>
      <w:lvlJc w:val="left"/>
      <w:pPr>
        <w:ind w:left="1146" w:hanging="720"/>
      </w:pPr>
      <w:rPr>
        <w:rFonts w:hint="default"/>
        <w:b/>
      </w:rPr>
    </w:lvl>
    <w:lvl w:ilvl="3">
      <w:start w:val="1"/>
      <w:numFmt w:val="decimal"/>
      <w:isLgl/>
      <w:lvlText w:val="%1.%2.%3.%4"/>
      <w:lvlJc w:val="left"/>
      <w:pPr>
        <w:ind w:left="1506" w:hanging="1080"/>
      </w:pPr>
      <w:rPr>
        <w:rFonts w:hint="default"/>
        <w:b/>
      </w:rPr>
    </w:lvl>
    <w:lvl w:ilvl="4">
      <w:start w:val="1"/>
      <w:numFmt w:val="decimal"/>
      <w:isLgl/>
      <w:lvlText w:val="%1.%2.%3.%4.%5"/>
      <w:lvlJc w:val="left"/>
      <w:pPr>
        <w:ind w:left="1506" w:hanging="1080"/>
      </w:pPr>
      <w:rPr>
        <w:rFonts w:hint="default"/>
        <w:b/>
      </w:rPr>
    </w:lvl>
    <w:lvl w:ilvl="5">
      <w:start w:val="1"/>
      <w:numFmt w:val="decimal"/>
      <w:isLgl/>
      <w:lvlText w:val="%1.%2.%3.%4.%5.%6"/>
      <w:lvlJc w:val="left"/>
      <w:pPr>
        <w:ind w:left="1866" w:hanging="1440"/>
      </w:pPr>
      <w:rPr>
        <w:rFonts w:hint="default"/>
        <w:b/>
      </w:rPr>
    </w:lvl>
    <w:lvl w:ilvl="6">
      <w:start w:val="1"/>
      <w:numFmt w:val="decimal"/>
      <w:isLgl/>
      <w:lvlText w:val="%1.%2.%3.%4.%5.%6.%7"/>
      <w:lvlJc w:val="left"/>
      <w:pPr>
        <w:ind w:left="1866" w:hanging="1440"/>
      </w:pPr>
      <w:rPr>
        <w:rFonts w:hint="default"/>
        <w:b/>
      </w:rPr>
    </w:lvl>
    <w:lvl w:ilvl="7">
      <w:start w:val="1"/>
      <w:numFmt w:val="decimal"/>
      <w:isLgl/>
      <w:lvlText w:val="%1.%2.%3.%4.%5.%6.%7.%8"/>
      <w:lvlJc w:val="left"/>
      <w:pPr>
        <w:ind w:left="2226" w:hanging="1800"/>
      </w:pPr>
      <w:rPr>
        <w:rFonts w:hint="default"/>
        <w:b/>
      </w:rPr>
    </w:lvl>
    <w:lvl w:ilvl="8">
      <w:start w:val="1"/>
      <w:numFmt w:val="decimal"/>
      <w:isLgl/>
      <w:lvlText w:val="%1.%2.%3.%4.%5.%6.%7.%8.%9"/>
      <w:lvlJc w:val="left"/>
      <w:pPr>
        <w:ind w:left="2226" w:hanging="1800"/>
      </w:pPr>
      <w:rPr>
        <w:rFonts w:hint="default"/>
        <w:b/>
      </w:rPr>
    </w:lvl>
  </w:abstractNum>
  <w:abstractNum w:abstractNumId="11" w15:restartNumberingAfterBreak="0">
    <w:nsid w:val="2E802A2D"/>
    <w:multiLevelType w:val="multilevel"/>
    <w:tmpl w:val="5DAE4644"/>
    <w:lvl w:ilvl="0">
      <w:start w:val="1"/>
      <w:numFmt w:val="decimal"/>
      <w:lvlText w:val="%1"/>
      <w:lvlJc w:val="left"/>
      <w:pPr>
        <w:ind w:left="360" w:hanging="360"/>
      </w:pPr>
      <w:rPr>
        <w:rFonts w:hint="default"/>
      </w:rPr>
    </w:lvl>
    <w:lvl w:ilvl="1">
      <w:start w:val="2"/>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12" w15:restartNumberingAfterBreak="0">
    <w:nsid w:val="312F0360"/>
    <w:multiLevelType w:val="hybridMultilevel"/>
    <w:tmpl w:val="183ACC7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964C38"/>
    <w:multiLevelType w:val="hybridMultilevel"/>
    <w:tmpl w:val="1A3A78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8C229F5"/>
    <w:multiLevelType w:val="hybridMultilevel"/>
    <w:tmpl w:val="BA5CF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EB6331"/>
    <w:multiLevelType w:val="hybridMultilevel"/>
    <w:tmpl w:val="D6308A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4140545"/>
    <w:multiLevelType w:val="multilevel"/>
    <w:tmpl w:val="62D28DDA"/>
    <w:lvl w:ilvl="0">
      <w:start w:val="1"/>
      <w:numFmt w:val="decimal"/>
      <w:lvlText w:val="%1."/>
      <w:lvlJc w:val="left"/>
      <w:pPr>
        <w:ind w:left="720" w:hanging="360"/>
      </w:pPr>
      <w:rPr>
        <w:rFonts w:hint="default"/>
      </w:rPr>
    </w:lvl>
    <w:lvl w:ilvl="1">
      <w:start w:val="1"/>
      <w:numFmt w:val="decimal"/>
      <w:isLgl/>
      <w:lvlText w:val="%1.%2"/>
      <w:lvlJc w:val="left"/>
      <w:pPr>
        <w:ind w:left="1110" w:hanging="39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4B0E1442"/>
    <w:multiLevelType w:val="hybridMultilevel"/>
    <w:tmpl w:val="4D4CDB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BA70B1D"/>
    <w:multiLevelType w:val="multilevel"/>
    <w:tmpl w:val="FB2681A2"/>
    <w:lvl w:ilvl="0">
      <w:start w:val="5"/>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9" w15:restartNumberingAfterBreak="0">
    <w:nsid w:val="4C1D488E"/>
    <w:multiLevelType w:val="multilevel"/>
    <w:tmpl w:val="8594F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DC40D62"/>
    <w:multiLevelType w:val="multilevel"/>
    <w:tmpl w:val="46163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75E032A"/>
    <w:multiLevelType w:val="multilevel"/>
    <w:tmpl w:val="1A3CE2F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85C7CB5"/>
    <w:multiLevelType w:val="hybridMultilevel"/>
    <w:tmpl w:val="111CA9EC"/>
    <w:lvl w:ilvl="0" w:tplc="8B00FC7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04F0C6F"/>
    <w:multiLevelType w:val="multilevel"/>
    <w:tmpl w:val="7B144C0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1705B64"/>
    <w:multiLevelType w:val="hybridMultilevel"/>
    <w:tmpl w:val="E7F2BA4C"/>
    <w:lvl w:ilvl="0" w:tplc="3D16C3D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62A77F0F"/>
    <w:multiLevelType w:val="hybridMultilevel"/>
    <w:tmpl w:val="35C40F3C"/>
    <w:lvl w:ilvl="0" w:tplc="FAE4C710">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64347055"/>
    <w:multiLevelType w:val="multilevel"/>
    <w:tmpl w:val="614655B8"/>
    <w:lvl w:ilvl="0">
      <w:start w:val="4"/>
      <w:numFmt w:val="decimal"/>
      <w:lvlText w:val="%1."/>
      <w:lvlJc w:val="left"/>
      <w:pPr>
        <w:ind w:left="720" w:hanging="360"/>
      </w:pPr>
      <w:rPr>
        <w:rFonts w:hint="default"/>
        <w:b/>
      </w:rPr>
    </w:lvl>
    <w:lvl w:ilvl="1">
      <w:start w:val="1"/>
      <w:numFmt w:val="decimal"/>
      <w:isLgl/>
      <w:lvlText w:val="%1.%2"/>
      <w:lvlJc w:val="left"/>
      <w:pPr>
        <w:ind w:left="750" w:hanging="39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27" w15:restartNumberingAfterBreak="0">
    <w:nsid w:val="6D37270C"/>
    <w:multiLevelType w:val="multilevel"/>
    <w:tmpl w:val="B70263DA"/>
    <w:lvl w:ilvl="0">
      <w:start w:val="1"/>
      <w:numFmt w:val="decimal"/>
      <w:lvlText w:val="%1."/>
      <w:lvlJc w:val="left"/>
      <w:pPr>
        <w:ind w:left="786" w:hanging="360"/>
      </w:pPr>
      <w:rPr>
        <w:rFonts w:hint="default"/>
        <w:b/>
      </w:rPr>
    </w:lvl>
    <w:lvl w:ilvl="1">
      <w:start w:val="4"/>
      <w:numFmt w:val="decimal"/>
      <w:isLgl/>
      <w:lvlText w:val="%1.%2"/>
      <w:lvlJc w:val="left"/>
      <w:pPr>
        <w:ind w:left="786" w:hanging="360"/>
      </w:pPr>
      <w:rPr>
        <w:rFonts w:hint="default"/>
        <w:b/>
      </w:rPr>
    </w:lvl>
    <w:lvl w:ilvl="2">
      <w:start w:val="1"/>
      <w:numFmt w:val="decimal"/>
      <w:isLgl/>
      <w:lvlText w:val="%1.%2.%3"/>
      <w:lvlJc w:val="left"/>
      <w:pPr>
        <w:ind w:left="1146" w:hanging="720"/>
      </w:pPr>
      <w:rPr>
        <w:rFonts w:hint="default"/>
        <w:b/>
      </w:rPr>
    </w:lvl>
    <w:lvl w:ilvl="3">
      <w:start w:val="1"/>
      <w:numFmt w:val="decimal"/>
      <w:isLgl/>
      <w:lvlText w:val="%1.%2.%3.%4"/>
      <w:lvlJc w:val="left"/>
      <w:pPr>
        <w:ind w:left="1506" w:hanging="1080"/>
      </w:pPr>
      <w:rPr>
        <w:rFonts w:hint="default"/>
        <w:b/>
      </w:rPr>
    </w:lvl>
    <w:lvl w:ilvl="4">
      <w:start w:val="1"/>
      <w:numFmt w:val="decimal"/>
      <w:isLgl/>
      <w:lvlText w:val="%1.%2.%3.%4.%5"/>
      <w:lvlJc w:val="left"/>
      <w:pPr>
        <w:ind w:left="1506" w:hanging="1080"/>
      </w:pPr>
      <w:rPr>
        <w:rFonts w:hint="default"/>
        <w:b/>
      </w:rPr>
    </w:lvl>
    <w:lvl w:ilvl="5">
      <w:start w:val="1"/>
      <w:numFmt w:val="decimal"/>
      <w:isLgl/>
      <w:lvlText w:val="%1.%2.%3.%4.%5.%6"/>
      <w:lvlJc w:val="left"/>
      <w:pPr>
        <w:ind w:left="1866" w:hanging="1440"/>
      </w:pPr>
      <w:rPr>
        <w:rFonts w:hint="default"/>
        <w:b/>
      </w:rPr>
    </w:lvl>
    <w:lvl w:ilvl="6">
      <w:start w:val="1"/>
      <w:numFmt w:val="decimal"/>
      <w:isLgl/>
      <w:lvlText w:val="%1.%2.%3.%4.%5.%6.%7"/>
      <w:lvlJc w:val="left"/>
      <w:pPr>
        <w:ind w:left="1866" w:hanging="1440"/>
      </w:pPr>
      <w:rPr>
        <w:rFonts w:hint="default"/>
        <w:b/>
      </w:rPr>
    </w:lvl>
    <w:lvl w:ilvl="7">
      <w:start w:val="1"/>
      <w:numFmt w:val="decimal"/>
      <w:isLgl/>
      <w:lvlText w:val="%1.%2.%3.%4.%5.%6.%7.%8"/>
      <w:lvlJc w:val="left"/>
      <w:pPr>
        <w:ind w:left="2226" w:hanging="1800"/>
      </w:pPr>
      <w:rPr>
        <w:rFonts w:hint="default"/>
        <w:b/>
      </w:rPr>
    </w:lvl>
    <w:lvl w:ilvl="8">
      <w:start w:val="1"/>
      <w:numFmt w:val="decimal"/>
      <w:isLgl/>
      <w:lvlText w:val="%1.%2.%3.%4.%5.%6.%7.%8.%9"/>
      <w:lvlJc w:val="left"/>
      <w:pPr>
        <w:ind w:left="2226" w:hanging="1800"/>
      </w:pPr>
      <w:rPr>
        <w:rFonts w:hint="default"/>
        <w:b/>
      </w:rPr>
    </w:lvl>
  </w:abstractNum>
  <w:abstractNum w:abstractNumId="28" w15:restartNumberingAfterBreak="0">
    <w:nsid w:val="738F0D41"/>
    <w:multiLevelType w:val="hybridMultilevel"/>
    <w:tmpl w:val="23E6B1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A851100"/>
    <w:multiLevelType w:val="hybridMultilevel"/>
    <w:tmpl w:val="8D86BEB2"/>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EBF2C1C"/>
    <w:multiLevelType w:val="multilevel"/>
    <w:tmpl w:val="D8B2D9B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22"/>
  </w:num>
  <w:num w:numId="2">
    <w:abstractNumId w:val="15"/>
  </w:num>
  <w:num w:numId="3">
    <w:abstractNumId w:val="25"/>
  </w:num>
  <w:num w:numId="4">
    <w:abstractNumId w:val="6"/>
  </w:num>
  <w:num w:numId="5">
    <w:abstractNumId w:val="16"/>
  </w:num>
  <w:num w:numId="6">
    <w:abstractNumId w:val="9"/>
  </w:num>
  <w:num w:numId="7">
    <w:abstractNumId w:val="24"/>
  </w:num>
  <w:num w:numId="8">
    <w:abstractNumId w:val="12"/>
  </w:num>
  <w:num w:numId="9">
    <w:abstractNumId w:val="8"/>
  </w:num>
  <w:num w:numId="10">
    <w:abstractNumId w:val="3"/>
  </w:num>
  <w:num w:numId="11">
    <w:abstractNumId w:val="11"/>
  </w:num>
  <w:num w:numId="12">
    <w:abstractNumId w:val="23"/>
  </w:num>
  <w:num w:numId="13">
    <w:abstractNumId w:val="21"/>
  </w:num>
  <w:num w:numId="14">
    <w:abstractNumId w:val="5"/>
  </w:num>
  <w:num w:numId="15">
    <w:abstractNumId w:val="30"/>
  </w:num>
  <w:num w:numId="16">
    <w:abstractNumId w:val="7"/>
  </w:num>
  <w:num w:numId="17">
    <w:abstractNumId w:val="14"/>
  </w:num>
  <w:num w:numId="18">
    <w:abstractNumId w:val="26"/>
  </w:num>
  <w:num w:numId="19">
    <w:abstractNumId w:val="1"/>
  </w:num>
  <w:num w:numId="20">
    <w:abstractNumId w:val="18"/>
  </w:num>
  <w:num w:numId="21">
    <w:abstractNumId w:val="29"/>
  </w:num>
  <w:num w:numId="22">
    <w:abstractNumId w:val="17"/>
  </w:num>
  <w:num w:numId="23">
    <w:abstractNumId w:val="28"/>
  </w:num>
  <w:num w:numId="24">
    <w:abstractNumId w:val="27"/>
  </w:num>
  <w:num w:numId="25">
    <w:abstractNumId w:val="10"/>
  </w:num>
  <w:num w:numId="26">
    <w:abstractNumId w:val="0"/>
  </w:num>
  <w:num w:numId="27">
    <w:abstractNumId w:val="20"/>
  </w:num>
  <w:num w:numId="28">
    <w:abstractNumId w:val="4"/>
  </w:num>
  <w:num w:numId="29">
    <w:abstractNumId w:val="19"/>
  </w:num>
  <w:num w:numId="30">
    <w:abstractNumId w:val="13"/>
  </w:num>
  <w:num w:numId="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0"/>
  <w:activeWritingStyle w:appName="MSWord" w:lang="en-US" w:vendorID="64" w:dllVersion="0" w:nlCheck="1" w:checkStyle="0"/>
  <w:activeWritingStyle w:appName="MSWord" w:lang="en-GB" w:vendorID="64" w:dllVersion="0" w:nlCheck="1" w:checkStyle="0"/>
  <w:activeWritingStyle w:appName="MSWord" w:lang="en-US" w:vendorID="64" w:dllVersion="6" w:nlCheck="1" w:checkStyle="1"/>
  <w:activeWritingStyle w:appName="MSWord" w:lang="en-GB" w:vendorID="64" w:dllVersion="6" w:nlCheck="1" w:checkStyle="1"/>
  <w:activeWritingStyle w:appName="MSWord" w:lang="es-ES" w:vendorID="64" w:dllVersion="0" w:nlCheck="1" w:checkStyle="0"/>
  <w:activeWritingStyle w:appName="MSWord" w:lang="fr-FR" w:vendorID="64" w:dllVersion="0" w:nlCheck="1" w:checkStyle="0"/>
  <w:activeWritingStyle w:appName="MSWord" w:lang="en-US" w:vendorID="64" w:dllVersion="131078" w:nlCheck="1" w:checkStyle="1"/>
  <w:activeWritingStyle w:appName="MSWord" w:lang="en-GB" w:vendorID="64" w:dllVersion="131078" w:nlCheck="1" w:checkStyle="1"/>
  <w:activeWritingStyle w:appName="MSWord" w:lang="es-ES" w:vendorID="64" w:dllVersion="131078" w:nlCheck="1" w:checkStyle="0"/>
  <w:activeWritingStyle w:appName="MSWord" w:lang="fr-FR" w:vendorID="64" w:dllVersion="131078" w:nlCheck="1" w:checkStyle="1"/>
  <w:activeWritingStyle w:appName="MSWord" w:lang="de-DE" w:vendorID="64" w:dllVersion="131078" w:nlCheck="1" w:checkStyle="1"/>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0BD"/>
    <w:rsid w:val="0000074C"/>
    <w:rsid w:val="0000095B"/>
    <w:rsid w:val="00003B3A"/>
    <w:rsid w:val="00003ECE"/>
    <w:rsid w:val="00004E5E"/>
    <w:rsid w:val="0000614B"/>
    <w:rsid w:val="0000697C"/>
    <w:rsid w:val="00006C3F"/>
    <w:rsid w:val="00006D65"/>
    <w:rsid w:val="00007884"/>
    <w:rsid w:val="00007F3A"/>
    <w:rsid w:val="00010186"/>
    <w:rsid w:val="000126C2"/>
    <w:rsid w:val="0001282E"/>
    <w:rsid w:val="0001338C"/>
    <w:rsid w:val="0001452A"/>
    <w:rsid w:val="00014FD5"/>
    <w:rsid w:val="00015871"/>
    <w:rsid w:val="00016D8F"/>
    <w:rsid w:val="00017693"/>
    <w:rsid w:val="000176AD"/>
    <w:rsid w:val="00020C87"/>
    <w:rsid w:val="000258AB"/>
    <w:rsid w:val="000260AF"/>
    <w:rsid w:val="00030653"/>
    <w:rsid w:val="000315C0"/>
    <w:rsid w:val="00031793"/>
    <w:rsid w:val="00031ED1"/>
    <w:rsid w:val="00032106"/>
    <w:rsid w:val="0003396E"/>
    <w:rsid w:val="00034EBC"/>
    <w:rsid w:val="00035F37"/>
    <w:rsid w:val="00036E3D"/>
    <w:rsid w:val="000406A9"/>
    <w:rsid w:val="000413C1"/>
    <w:rsid w:val="00041C54"/>
    <w:rsid w:val="000423BE"/>
    <w:rsid w:val="00043416"/>
    <w:rsid w:val="00044179"/>
    <w:rsid w:val="000458A6"/>
    <w:rsid w:val="000458F8"/>
    <w:rsid w:val="000476A5"/>
    <w:rsid w:val="00050471"/>
    <w:rsid w:val="000516A9"/>
    <w:rsid w:val="000517B9"/>
    <w:rsid w:val="00054D13"/>
    <w:rsid w:val="000557C3"/>
    <w:rsid w:val="00056426"/>
    <w:rsid w:val="00057550"/>
    <w:rsid w:val="000577DC"/>
    <w:rsid w:val="000578AF"/>
    <w:rsid w:val="000606D6"/>
    <w:rsid w:val="00060E57"/>
    <w:rsid w:val="00061C80"/>
    <w:rsid w:val="00065AF8"/>
    <w:rsid w:val="00066FE1"/>
    <w:rsid w:val="000679A4"/>
    <w:rsid w:val="00070447"/>
    <w:rsid w:val="00070769"/>
    <w:rsid w:val="000710C8"/>
    <w:rsid w:val="00072BFC"/>
    <w:rsid w:val="00073D00"/>
    <w:rsid w:val="0007527C"/>
    <w:rsid w:val="0007732A"/>
    <w:rsid w:val="000777DF"/>
    <w:rsid w:val="000805B3"/>
    <w:rsid w:val="0008249D"/>
    <w:rsid w:val="0008371D"/>
    <w:rsid w:val="00083F49"/>
    <w:rsid w:val="00084924"/>
    <w:rsid w:val="00085061"/>
    <w:rsid w:val="00085473"/>
    <w:rsid w:val="00086011"/>
    <w:rsid w:val="000876C9"/>
    <w:rsid w:val="000877B6"/>
    <w:rsid w:val="00087C17"/>
    <w:rsid w:val="00090938"/>
    <w:rsid w:val="000935B8"/>
    <w:rsid w:val="00095273"/>
    <w:rsid w:val="00095431"/>
    <w:rsid w:val="00095DAC"/>
    <w:rsid w:val="00096126"/>
    <w:rsid w:val="00096544"/>
    <w:rsid w:val="0009698E"/>
    <w:rsid w:val="000A10C3"/>
    <w:rsid w:val="000A15B5"/>
    <w:rsid w:val="000A3F81"/>
    <w:rsid w:val="000A4418"/>
    <w:rsid w:val="000A4FDC"/>
    <w:rsid w:val="000A5919"/>
    <w:rsid w:val="000A7D8F"/>
    <w:rsid w:val="000B04D4"/>
    <w:rsid w:val="000B0768"/>
    <w:rsid w:val="000B1AD3"/>
    <w:rsid w:val="000B20C2"/>
    <w:rsid w:val="000B34B0"/>
    <w:rsid w:val="000B6680"/>
    <w:rsid w:val="000B6810"/>
    <w:rsid w:val="000C12AD"/>
    <w:rsid w:val="000C2432"/>
    <w:rsid w:val="000C4289"/>
    <w:rsid w:val="000C445D"/>
    <w:rsid w:val="000C47AE"/>
    <w:rsid w:val="000C48EB"/>
    <w:rsid w:val="000C5019"/>
    <w:rsid w:val="000C5855"/>
    <w:rsid w:val="000C6986"/>
    <w:rsid w:val="000C6DEE"/>
    <w:rsid w:val="000C7737"/>
    <w:rsid w:val="000D00CD"/>
    <w:rsid w:val="000D1C6A"/>
    <w:rsid w:val="000D33AD"/>
    <w:rsid w:val="000E08FA"/>
    <w:rsid w:val="000E19DC"/>
    <w:rsid w:val="000E270A"/>
    <w:rsid w:val="000E28F7"/>
    <w:rsid w:val="000E2F1E"/>
    <w:rsid w:val="000E3515"/>
    <w:rsid w:val="000E45BE"/>
    <w:rsid w:val="000E4953"/>
    <w:rsid w:val="000E497D"/>
    <w:rsid w:val="000E68DC"/>
    <w:rsid w:val="000E6FFA"/>
    <w:rsid w:val="000E733D"/>
    <w:rsid w:val="000F0BB0"/>
    <w:rsid w:val="000F124D"/>
    <w:rsid w:val="000F2B1A"/>
    <w:rsid w:val="000F30D8"/>
    <w:rsid w:val="000F31C9"/>
    <w:rsid w:val="000F3885"/>
    <w:rsid w:val="00100954"/>
    <w:rsid w:val="00101485"/>
    <w:rsid w:val="001027D2"/>
    <w:rsid w:val="001035C8"/>
    <w:rsid w:val="00103AFD"/>
    <w:rsid w:val="00104A64"/>
    <w:rsid w:val="00105852"/>
    <w:rsid w:val="00107BE7"/>
    <w:rsid w:val="00107CEE"/>
    <w:rsid w:val="00110875"/>
    <w:rsid w:val="00111A18"/>
    <w:rsid w:val="00112481"/>
    <w:rsid w:val="00112A73"/>
    <w:rsid w:val="00112D00"/>
    <w:rsid w:val="00113DC6"/>
    <w:rsid w:val="00114AEF"/>
    <w:rsid w:val="00117DA5"/>
    <w:rsid w:val="00117F66"/>
    <w:rsid w:val="001216B8"/>
    <w:rsid w:val="001221C8"/>
    <w:rsid w:val="00122592"/>
    <w:rsid w:val="00123A97"/>
    <w:rsid w:val="0012450E"/>
    <w:rsid w:val="00124A78"/>
    <w:rsid w:val="001272EB"/>
    <w:rsid w:val="00131146"/>
    <w:rsid w:val="0013189A"/>
    <w:rsid w:val="0013238A"/>
    <w:rsid w:val="00136386"/>
    <w:rsid w:val="00136CF7"/>
    <w:rsid w:val="001410A1"/>
    <w:rsid w:val="00141910"/>
    <w:rsid w:val="00142DCB"/>
    <w:rsid w:val="00143CCD"/>
    <w:rsid w:val="00147D1C"/>
    <w:rsid w:val="00147F9D"/>
    <w:rsid w:val="00152FE3"/>
    <w:rsid w:val="00153E80"/>
    <w:rsid w:val="0015554D"/>
    <w:rsid w:val="00155BC5"/>
    <w:rsid w:val="0015687B"/>
    <w:rsid w:val="0016295E"/>
    <w:rsid w:val="001631E2"/>
    <w:rsid w:val="00163A19"/>
    <w:rsid w:val="00163E5B"/>
    <w:rsid w:val="001665E4"/>
    <w:rsid w:val="00170A61"/>
    <w:rsid w:val="00170B26"/>
    <w:rsid w:val="00174E86"/>
    <w:rsid w:val="00175879"/>
    <w:rsid w:val="001758C2"/>
    <w:rsid w:val="00175A6B"/>
    <w:rsid w:val="00175C82"/>
    <w:rsid w:val="00176776"/>
    <w:rsid w:val="001768BE"/>
    <w:rsid w:val="00176A9E"/>
    <w:rsid w:val="00180A1A"/>
    <w:rsid w:val="00180DC9"/>
    <w:rsid w:val="00181AC4"/>
    <w:rsid w:val="00181D2B"/>
    <w:rsid w:val="001821CF"/>
    <w:rsid w:val="00182EE7"/>
    <w:rsid w:val="001843F4"/>
    <w:rsid w:val="0018544B"/>
    <w:rsid w:val="00186488"/>
    <w:rsid w:val="00190133"/>
    <w:rsid w:val="00191EE9"/>
    <w:rsid w:val="001965EC"/>
    <w:rsid w:val="001A0380"/>
    <w:rsid w:val="001A0D15"/>
    <w:rsid w:val="001A1BDB"/>
    <w:rsid w:val="001A1D41"/>
    <w:rsid w:val="001A2076"/>
    <w:rsid w:val="001A4BA5"/>
    <w:rsid w:val="001B08C5"/>
    <w:rsid w:val="001B1C7C"/>
    <w:rsid w:val="001B200A"/>
    <w:rsid w:val="001B4853"/>
    <w:rsid w:val="001B668C"/>
    <w:rsid w:val="001B7696"/>
    <w:rsid w:val="001B7746"/>
    <w:rsid w:val="001C2574"/>
    <w:rsid w:val="001C2C04"/>
    <w:rsid w:val="001C44E4"/>
    <w:rsid w:val="001C74CB"/>
    <w:rsid w:val="001C755A"/>
    <w:rsid w:val="001C7ABD"/>
    <w:rsid w:val="001D0679"/>
    <w:rsid w:val="001D2F94"/>
    <w:rsid w:val="001D406E"/>
    <w:rsid w:val="001D4160"/>
    <w:rsid w:val="001D51C1"/>
    <w:rsid w:val="001D79FE"/>
    <w:rsid w:val="001D7DBD"/>
    <w:rsid w:val="001E0BA4"/>
    <w:rsid w:val="001E2A8A"/>
    <w:rsid w:val="001E2E05"/>
    <w:rsid w:val="001E3577"/>
    <w:rsid w:val="001E35DF"/>
    <w:rsid w:val="001E3BB9"/>
    <w:rsid w:val="001E4052"/>
    <w:rsid w:val="001E5C33"/>
    <w:rsid w:val="001E5FDC"/>
    <w:rsid w:val="001E608B"/>
    <w:rsid w:val="001E60C1"/>
    <w:rsid w:val="001E7A49"/>
    <w:rsid w:val="001F0DE3"/>
    <w:rsid w:val="001F1490"/>
    <w:rsid w:val="001F1574"/>
    <w:rsid w:val="001F20E3"/>
    <w:rsid w:val="001F2B7A"/>
    <w:rsid w:val="001F35F4"/>
    <w:rsid w:val="001F4348"/>
    <w:rsid w:val="001F43EF"/>
    <w:rsid w:val="001F52C8"/>
    <w:rsid w:val="001F5390"/>
    <w:rsid w:val="001F552C"/>
    <w:rsid w:val="001F7892"/>
    <w:rsid w:val="00202F16"/>
    <w:rsid w:val="002033E7"/>
    <w:rsid w:val="00203743"/>
    <w:rsid w:val="00203A1B"/>
    <w:rsid w:val="00203E36"/>
    <w:rsid w:val="002062D4"/>
    <w:rsid w:val="002065A8"/>
    <w:rsid w:val="00211142"/>
    <w:rsid w:val="002114E5"/>
    <w:rsid w:val="00212488"/>
    <w:rsid w:val="00213129"/>
    <w:rsid w:val="002133CE"/>
    <w:rsid w:val="002138F0"/>
    <w:rsid w:val="00213B86"/>
    <w:rsid w:val="0021404A"/>
    <w:rsid w:val="002142C5"/>
    <w:rsid w:val="00215D61"/>
    <w:rsid w:val="00217D21"/>
    <w:rsid w:val="00221173"/>
    <w:rsid w:val="0022120D"/>
    <w:rsid w:val="002224C5"/>
    <w:rsid w:val="00223CC6"/>
    <w:rsid w:val="00224144"/>
    <w:rsid w:val="002258F6"/>
    <w:rsid w:val="00226D45"/>
    <w:rsid w:val="00227991"/>
    <w:rsid w:val="0023038D"/>
    <w:rsid w:val="0023073A"/>
    <w:rsid w:val="002311D6"/>
    <w:rsid w:val="00231BB8"/>
    <w:rsid w:val="002335D8"/>
    <w:rsid w:val="002337DB"/>
    <w:rsid w:val="002345A5"/>
    <w:rsid w:val="00234708"/>
    <w:rsid w:val="00234A65"/>
    <w:rsid w:val="00234DFF"/>
    <w:rsid w:val="002350BD"/>
    <w:rsid w:val="00235D58"/>
    <w:rsid w:val="00236203"/>
    <w:rsid w:val="00237E01"/>
    <w:rsid w:val="00240E86"/>
    <w:rsid w:val="00242196"/>
    <w:rsid w:val="002438D5"/>
    <w:rsid w:val="00243C89"/>
    <w:rsid w:val="002444FF"/>
    <w:rsid w:val="00244E7F"/>
    <w:rsid w:val="00245095"/>
    <w:rsid w:val="00245B5F"/>
    <w:rsid w:val="00245F46"/>
    <w:rsid w:val="00246573"/>
    <w:rsid w:val="00246B11"/>
    <w:rsid w:val="00250C63"/>
    <w:rsid w:val="0025153B"/>
    <w:rsid w:val="00251DF0"/>
    <w:rsid w:val="00251F38"/>
    <w:rsid w:val="00251F71"/>
    <w:rsid w:val="00252D8A"/>
    <w:rsid w:val="002562FD"/>
    <w:rsid w:val="002563E3"/>
    <w:rsid w:val="0025729E"/>
    <w:rsid w:val="0025766C"/>
    <w:rsid w:val="00257F85"/>
    <w:rsid w:val="00260999"/>
    <w:rsid w:val="00260D01"/>
    <w:rsid w:val="00260E52"/>
    <w:rsid w:val="00261451"/>
    <w:rsid w:val="00261D01"/>
    <w:rsid w:val="00262409"/>
    <w:rsid w:val="002656EA"/>
    <w:rsid w:val="00265982"/>
    <w:rsid w:val="0026756A"/>
    <w:rsid w:val="002675E0"/>
    <w:rsid w:val="00267F14"/>
    <w:rsid w:val="00267F88"/>
    <w:rsid w:val="002715F5"/>
    <w:rsid w:val="002723A6"/>
    <w:rsid w:val="002735B0"/>
    <w:rsid w:val="002757DE"/>
    <w:rsid w:val="0027616B"/>
    <w:rsid w:val="00276ABB"/>
    <w:rsid w:val="002779B3"/>
    <w:rsid w:val="002815A4"/>
    <w:rsid w:val="00281CCD"/>
    <w:rsid w:val="00282671"/>
    <w:rsid w:val="0028278D"/>
    <w:rsid w:val="002839AE"/>
    <w:rsid w:val="00285000"/>
    <w:rsid w:val="00287CA7"/>
    <w:rsid w:val="002918E8"/>
    <w:rsid w:val="002934BB"/>
    <w:rsid w:val="00293C15"/>
    <w:rsid w:val="00293CA7"/>
    <w:rsid w:val="00293DFE"/>
    <w:rsid w:val="00295D3F"/>
    <w:rsid w:val="002963E3"/>
    <w:rsid w:val="00297B32"/>
    <w:rsid w:val="002A0492"/>
    <w:rsid w:val="002A0DF6"/>
    <w:rsid w:val="002A1092"/>
    <w:rsid w:val="002A1C35"/>
    <w:rsid w:val="002A3A73"/>
    <w:rsid w:val="002A3F35"/>
    <w:rsid w:val="002A442D"/>
    <w:rsid w:val="002A6BA9"/>
    <w:rsid w:val="002A6FA4"/>
    <w:rsid w:val="002A7310"/>
    <w:rsid w:val="002A73F4"/>
    <w:rsid w:val="002A755F"/>
    <w:rsid w:val="002B08ED"/>
    <w:rsid w:val="002B1220"/>
    <w:rsid w:val="002B152F"/>
    <w:rsid w:val="002B1E7F"/>
    <w:rsid w:val="002B3468"/>
    <w:rsid w:val="002B5694"/>
    <w:rsid w:val="002B64AA"/>
    <w:rsid w:val="002B6616"/>
    <w:rsid w:val="002B6B20"/>
    <w:rsid w:val="002B6B30"/>
    <w:rsid w:val="002C101A"/>
    <w:rsid w:val="002C2C18"/>
    <w:rsid w:val="002C36DE"/>
    <w:rsid w:val="002C39E4"/>
    <w:rsid w:val="002C472A"/>
    <w:rsid w:val="002C4C72"/>
    <w:rsid w:val="002C537B"/>
    <w:rsid w:val="002C5B62"/>
    <w:rsid w:val="002C7DA4"/>
    <w:rsid w:val="002D0C8A"/>
    <w:rsid w:val="002D2658"/>
    <w:rsid w:val="002D2F1B"/>
    <w:rsid w:val="002D3915"/>
    <w:rsid w:val="002D7C66"/>
    <w:rsid w:val="002E01AA"/>
    <w:rsid w:val="002E0367"/>
    <w:rsid w:val="002E33A4"/>
    <w:rsid w:val="002E3600"/>
    <w:rsid w:val="002E39C6"/>
    <w:rsid w:val="002E3F8E"/>
    <w:rsid w:val="002E4A45"/>
    <w:rsid w:val="002E5284"/>
    <w:rsid w:val="002E61A3"/>
    <w:rsid w:val="002F0E0A"/>
    <w:rsid w:val="002F1073"/>
    <w:rsid w:val="002F15C8"/>
    <w:rsid w:val="002F17CB"/>
    <w:rsid w:val="002F2319"/>
    <w:rsid w:val="002F268F"/>
    <w:rsid w:val="002F287C"/>
    <w:rsid w:val="002F4898"/>
    <w:rsid w:val="002F4C3A"/>
    <w:rsid w:val="002F4E8C"/>
    <w:rsid w:val="002F4F81"/>
    <w:rsid w:val="002F5B8C"/>
    <w:rsid w:val="002F5E68"/>
    <w:rsid w:val="002F5EA6"/>
    <w:rsid w:val="002F6495"/>
    <w:rsid w:val="002F75DC"/>
    <w:rsid w:val="00303DE4"/>
    <w:rsid w:val="003062A0"/>
    <w:rsid w:val="00307B7E"/>
    <w:rsid w:val="00310025"/>
    <w:rsid w:val="00311AF8"/>
    <w:rsid w:val="00311EA6"/>
    <w:rsid w:val="00311F8D"/>
    <w:rsid w:val="003136E9"/>
    <w:rsid w:val="00313FBC"/>
    <w:rsid w:val="003140B6"/>
    <w:rsid w:val="00314BB2"/>
    <w:rsid w:val="003152E0"/>
    <w:rsid w:val="0031653A"/>
    <w:rsid w:val="00316B8D"/>
    <w:rsid w:val="00317C83"/>
    <w:rsid w:val="00317DA9"/>
    <w:rsid w:val="00324F97"/>
    <w:rsid w:val="00325A40"/>
    <w:rsid w:val="0032777A"/>
    <w:rsid w:val="00330232"/>
    <w:rsid w:val="003305A9"/>
    <w:rsid w:val="00330A59"/>
    <w:rsid w:val="00331AE5"/>
    <w:rsid w:val="00333954"/>
    <w:rsid w:val="00333F3A"/>
    <w:rsid w:val="003340E3"/>
    <w:rsid w:val="003353FB"/>
    <w:rsid w:val="00336ACE"/>
    <w:rsid w:val="003449BB"/>
    <w:rsid w:val="00344AD3"/>
    <w:rsid w:val="0034587C"/>
    <w:rsid w:val="003460F9"/>
    <w:rsid w:val="00346663"/>
    <w:rsid w:val="003466F0"/>
    <w:rsid w:val="00347F0C"/>
    <w:rsid w:val="0035002D"/>
    <w:rsid w:val="00350585"/>
    <w:rsid w:val="003513A1"/>
    <w:rsid w:val="00353245"/>
    <w:rsid w:val="00353B11"/>
    <w:rsid w:val="00354762"/>
    <w:rsid w:val="00356B99"/>
    <w:rsid w:val="003571BE"/>
    <w:rsid w:val="00357AA1"/>
    <w:rsid w:val="003605CD"/>
    <w:rsid w:val="00360A3C"/>
    <w:rsid w:val="00361C22"/>
    <w:rsid w:val="003625FC"/>
    <w:rsid w:val="0036503A"/>
    <w:rsid w:val="003651A7"/>
    <w:rsid w:val="00366BBD"/>
    <w:rsid w:val="00366BCF"/>
    <w:rsid w:val="00366EE2"/>
    <w:rsid w:val="00367D52"/>
    <w:rsid w:val="00370DB5"/>
    <w:rsid w:val="0037174E"/>
    <w:rsid w:val="00374258"/>
    <w:rsid w:val="003767FF"/>
    <w:rsid w:val="00377A21"/>
    <w:rsid w:val="00377C91"/>
    <w:rsid w:val="00380185"/>
    <w:rsid w:val="00382214"/>
    <w:rsid w:val="0038364A"/>
    <w:rsid w:val="00383714"/>
    <w:rsid w:val="00384411"/>
    <w:rsid w:val="00385C07"/>
    <w:rsid w:val="003869B3"/>
    <w:rsid w:val="00386DA1"/>
    <w:rsid w:val="00387BB7"/>
    <w:rsid w:val="00387CE0"/>
    <w:rsid w:val="00387E96"/>
    <w:rsid w:val="003901C1"/>
    <w:rsid w:val="00391A72"/>
    <w:rsid w:val="0039203A"/>
    <w:rsid w:val="00392185"/>
    <w:rsid w:val="00394CF4"/>
    <w:rsid w:val="00394EE2"/>
    <w:rsid w:val="00395190"/>
    <w:rsid w:val="003968FB"/>
    <w:rsid w:val="00397385"/>
    <w:rsid w:val="003A105E"/>
    <w:rsid w:val="003A44FA"/>
    <w:rsid w:val="003A4656"/>
    <w:rsid w:val="003A4B27"/>
    <w:rsid w:val="003A4C84"/>
    <w:rsid w:val="003A5D11"/>
    <w:rsid w:val="003A732C"/>
    <w:rsid w:val="003B099A"/>
    <w:rsid w:val="003B10AC"/>
    <w:rsid w:val="003B325A"/>
    <w:rsid w:val="003B4C90"/>
    <w:rsid w:val="003B5FD2"/>
    <w:rsid w:val="003B604E"/>
    <w:rsid w:val="003B6713"/>
    <w:rsid w:val="003C0AB4"/>
    <w:rsid w:val="003C4AC4"/>
    <w:rsid w:val="003C4D05"/>
    <w:rsid w:val="003C4D14"/>
    <w:rsid w:val="003C4EBF"/>
    <w:rsid w:val="003C6402"/>
    <w:rsid w:val="003C71F8"/>
    <w:rsid w:val="003D0763"/>
    <w:rsid w:val="003D13F9"/>
    <w:rsid w:val="003D1DB4"/>
    <w:rsid w:val="003D3953"/>
    <w:rsid w:val="003D523E"/>
    <w:rsid w:val="003D55FA"/>
    <w:rsid w:val="003E229E"/>
    <w:rsid w:val="003E31D2"/>
    <w:rsid w:val="003E3AAC"/>
    <w:rsid w:val="003E429E"/>
    <w:rsid w:val="003E721D"/>
    <w:rsid w:val="003E77E2"/>
    <w:rsid w:val="003F08E8"/>
    <w:rsid w:val="003F0DD4"/>
    <w:rsid w:val="003F1115"/>
    <w:rsid w:val="003F1A0D"/>
    <w:rsid w:val="003F2D4B"/>
    <w:rsid w:val="003F3574"/>
    <w:rsid w:val="003F40A3"/>
    <w:rsid w:val="003F4DF0"/>
    <w:rsid w:val="003F52A2"/>
    <w:rsid w:val="003F5DA4"/>
    <w:rsid w:val="003F5FE9"/>
    <w:rsid w:val="004026E7"/>
    <w:rsid w:val="004038AF"/>
    <w:rsid w:val="00407DA0"/>
    <w:rsid w:val="004108A3"/>
    <w:rsid w:val="00410E12"/>
    <w:rsid w:val="00412A38"/>
    <w:rsid w:val="00413136"/>
    <w:rsid w:val="00413604"/>
    <w:rsid w:val="00414FEA"/>
    <w:rsid w:val="004153DC"/>
    <w:rsid w:val="004170CB"/>
    <w:rsid w:val="0041752B"/>
    <w:rsid w:val="00417CA5"/>
    <w:rsid w:val="00421198"/>
    <w:rsid w:val="004219B4"/>
    <w:rsid w:val="00422A45"/>
    <w:rsid w:val="004234BA"/>
    <w:rsid w:val="004236D1"/>
    <w:rsid w:val="004262C0"/>
    <w:rsid w:val="004265B5"/>
    <w:rsid w:val="00427360"/>
    <w:rsid w:val="004277D4"/>
    <w:rsid w:val="00430496"/>
    <w:rsid w:val="00430927"/>
    <w:rsid w:val="0043171E"/>
    <w:rsid w:val="004347D6"/>
    <w:rsid w:val="00434973"/>
    <w:rsid w:val="00436D15"/>
    <w:rsid w:val="00436F0D"/>
    <w:rsid w:val="004370BB"/>
    <w:rsid w:val="00437851"/>
    <w:rsid w:val="00440DD0"/>
    <w:rsid w:val="00440DD2"/>
    <w:rsid w:val="00441223"/>
    <w:rsid w:val="004424F8"/>
    <w:rsid w:val="00442508"/>
    <w:rsid w:val="00442CB2"/>
    <w:rsid w:val="004448DA"/>
    <w:rsid w:val="00444E82"/>
    <w:rsid w:val="00447BC1"/>
    <w:rsid w:val="00447D8F"/>
    <w:rsid w:val="0045010F"/>
    <w:rsid w:val="00450943"/>
    <w:rsid w:val="00451041"/>
    <w:rsid w:val="00451A0B"/>
    <w:rsid w:val="0045461E"/>
    <w:rsid w:val="00454919"/>
    <w:rsid w:val="004555BE"/>
    <w:rsid w:val="00456B09"/>
    <w:rsid w:val="00457343"/>
    <w:rsid w:val="004576B2"/>
    <w:rsid w:val="0045782E"/>
    <w:rsid w:val="00457FC7"/>
    <w:rsid w:val="004602C2"/>
    <w:rsid w:val="00460363"/>
    <w:rsid w:val="0046038D"/>
    <w:rsid w:val="0046044D"/>
    <w:rsid w:val="0046091A"/>
    <w:rsid w:val="00461BB6"/>
    <w:rsid w:val="00463E6D"/>
    <w:rsid w:val="00465F0F"/>
    <w:rsid w:val="00466075"/>
    <w:rsid w:val="0046761A"/>
    <w:rsid w:val="00474E40"/>
    <w:rsid w:val="004759BA"/>
    <w:rsid w:val="00475BFF"/>
    <w:rsid w:val="0047698D"/>
    <w:rsid w:val="00480458"/>
    <w:rsid w:val="00480A67"/>
    <w:rsid w:val="004837EF"/>
    <w:rsid w:val="004840EF"/>
    <w:rsid w:val="004849B5"/>
    <w:rsid w:val="00484DA6"/>
    <w:rsid w:val="0048504D"/>
    <w:rsid w:val="0048545E"/>
    <w:rsid w:val="00485985"/>
    <w:rsid w:val="00485D1F"/>
    <w:rsid w:val="004877DE"/>
    <w:rsid w:val="004913A3"/>
    <w:rsid w:val="004928A3"/>
    <w:rsid w:val="00492A79"/>
    <w:rsid w:val="00493B36"/>
    <w:rsid w:val="00493D80"/>
    <w:rsid w:val="00494F02"/>
    <w:rsid w:val="004951B2"/>
    <w:rsid w:val="00495C31"/>
    <w:rsid w:val="0049768C"/>
    <w:rsid w:val="004A0308"/>
    <w:rsid w:val="004A0468"/>
    <w:rsid w:val="004A1295"/>
    <w:rsid w:val="004A1B39"/>
    <w:rsid w:val="004A1F5D"/>
    <w:rsid w:val="004A3018"/>
    <w:rsid w:val="004A3499"/>
    <w:rsid w:val="004A5153"/>
    <w:rsid w:val="004A5CD6"/>
    <w:rsid w:val="004B196F"/>
    <w:rsid w:val="004B3440"/>
    <w:rsid w:val="004B36E3"/>
    <w:rsid w:val="004B46A3"/>
    <w:rsid w:val="004B4DA1"/>
    <w:rsid w:val="004B7576"/>
    <w:rsid w:val="004C048A"/>
    <w:rsid w:val="004C0D78"/>
    <w:rsid w:val="004C0DE2"/>
    <w:rsid w:val="004C48BB"/>
    <w:rsid w:val="004C4DF3"/>
    <w:rsid w:val="004C55EC"/>
    <w:rsid w:val="004C63E9"/>
    <w:rsid w:val="004C6421"/>
    <w:rsid w:val="004C6479"/>
    <w:rsid w:val="004C653A"/>
    <w:rsid w:val="004D0522"/>
    <w:rsid w:val="004D1205"/>
    <w:rsid w:val="004D190D"/>
    <w:rsid w:val="004D3CA4"/>
    <w:rsid w:val="004D42F8"/>
    <w:rsid w:val="004D4EFA"/>
    <w:rsid w:val="004D6B53"/>
    <w:rsid w:val="004D7B84"/>
    <w:rsid w:val="004E007F"/>
    <w:rsid w:val="004E049C"/>
    <w:rsid w:val="004E0925"/>
    <w:rsid w:val="004E1176"/>
    <w:rsid w:val="004E19F8"/>
    <w:rsid w:val="004E21D0"/>
    <w:rsid w:val="004E299B"/>
    <w:rsid w:val="004E29AF"/>
    <w:rsid w:val="004E33BE"/>
    <w:rsid w:val="004E34BF"/>
    <w:rsid w:val="004E4D83"/>
    <w:rsid w:val="004F1731"/>
    <w:rsid w:val="004F1966"/>
    <w:rsid w:val="004F2617"/>
    <w:rsid w:val="004F2EB7"/>
    <w:rsid w:val="004F30E5"/>
    <w:rsid w:val="004F67BB"/>
    <w:rsid w:val="004F6C78"/>
    <w:rsid w:val="00500E32"/>
    <w:rsid w:val="005029B3"/>
    <w:rsid w:val="005031CA"/>
    <w:rsid w:val="00504548"/>
    <w:rsid w:val="00504E60"/>
    <w:rsid w:val="00505F51"/>
    <w:rsid w:val="00510B71"/>
    <w:rsid w:val="00513B8C"/>
    <w:rsid w:val="00513FD7"/>
    <w:rsid w:val="005145BA"/>
    <w:rsid w:val="005177DF"/>
    <w:rsid w:val="005179C7"/>
    <w:rsid w:val="005206D4"/>
    <w:rsid w:val="00520980"/>
    <w:rsid w:val="005233EC"/>
    <w:rsid w:val="005240B8"/>
    <w:rsid w:val="00525FFB"/>
    <w:rsid w:val="0052657D"/>
    <w:rsid w:val="00526DCF"/>
    <w:rsid w:val="00527822"/>
    <w:rsid w:val="00527FD6"/>
    <w:rsid w:val="005300FC"/>
    <w:rsid w:val="005304ED"/>
    <w:rsid w:val="00531203"/>
    <w:rsid w:val="0053154D"/>
    <w:rsid w:val="005316D6"/>
    <w:rsid w:val="00531CCF"/>
    <w:rsid w:val="00534278"/>
    <w:rsid w:val="00535A3E"/>
    <w:rsid w:val="0053657C"/>
    <w:rsid w:val="00540181"/>
    <w:rsid w:val="005445A1"/>
    <w:rsid w:val="00545CCA"/>
    <w:rsid w:val="00550C98"/>
    <w:rsid w:val="005575B2"/>
    <w:rsid w:val="00557C53"/>
    <w:rsid w:val="00557E01"/>
    <w:rsid w:val="005602E5"/>
    <w:rsid w:val="00560ECB"/>
    <w:rsid w:val="00561545"/>
    <w:rsid w:val="005621C2"/>
    <w:rsid w:val="00562682"/>
    <w:rsid w:val="00562BDC"/>
    <w:rsid w:val="0056342A"/>
    <w:rsid w:val="00563D46"/>
    <w:rsid w:val="00563DBD"/>
    <w:rsid w:val="00564612"/>
    <w:rsid w:val="00565C3B"/>
    <w:rsid w:val="0056617D"/>
    <w:rsid w:val="00570674"/>
    <w:rsid w:val="00571522"/>
    <w:rsid w:val="005718F4"/>
    <w:rsid w:val="00572964"/>
    <w:rsid w:val="00573DBA"/>
    <w:rsid w:val="00573E83"/>
    <w:rsid w:val="00576500"/>
    <w:rsid w:val="0058029B"/>
    <w:rsid w:val="00582EFD"/>
    <w:rsid w:val="00583E02"/>
    <w:rsid w:val="005855AC"/>
    <w:rsid w:val="005858C0"/>
    <w:rsid w:val="00586012"/>
    <w:rsid w:val="00586B43"/>
    <w:rsid w:val="00587403"/>
    <w:rsid w:val="00591303"/>
    <w:rsid w:val="00591DF9"/>
    <w:rsid w:val="00592717"/>
    <w:rsid w:val="00593DD1"/>
    <w:rsid w:val="005957CC"/>
    <w:rsid w:val="00596C3A"/>
    <w:rsid w:val="00596EC9"/>
    <w:rsid w:val="00597668"/>
    <w:rsid w:val="005A041B"/>
    <w:rsid w:val="005A0438"/>
    <w:rsid w:val="005A087F"/>
    <w:rsid w:val="005A2BCB"/>
    <w:rsid w:val="005A420C"/>
    <w:rsid w:val="005A4685"/>
    <w:rsid w:val="005A48C8"/>
    <w:rsid w:val="005A4C36"/>
    <w:rsid w:val="005A4DC6"/>
    <w:rsid w:val="005A5C6D"/>
    <w:rsid w:val="005A5F8B"/>
    <w:rsid w:val="005A6AC3"/>
    <w:rsid w:val="005A7043"/>
    <w:rsid w:val="005A76D6"/>
    <w:rsid w:val="005A7A1D"/>
    <w:rsid w:val="005B0617"/>
    <w:rsid w:val="005B064B"/>
    <w:rsid w:val="005B2982"/>
    <w:rsid w:val="005B2E13"/>
    <w:rsid w:val="005B33DC"/>
    <w:rsid w:val="005B455E"/>
    <w:rsid w:val="005B5F43"/>
    <w:rsid w:val="005B702A"/>
    <w:rsid w:val="005B7366"/>
    <w:rsid w:val="005B7A16"/>
    <w:rsid w:val="005C020A"/>
    <w:rsid w:val="005C0226"/>
    <w:rsid w:val="005C06EB"/>
    <w:rsid w:val="005C11B7"/>
    <w:rsid w:val="005C2177"/>
    <w:rsid w:val="005C23CA"/>
    <w:rsid w:val="005C3241"/>
    <w:rsid w:val="005C3C29"/>
    <w:rsid w:val="005C3C33"/>
    <w:rsid w:val="005C3C90"/>
    <w:rsid w:val="005C3F7D"/>
    <w:rsid w:val="005C4A49"/>
    <w:rsid w:val="005C5230"/>
    <w:rsid w:val="005C61F0"/>
    <w:rsid w:val="005D18F4"/>
    <w:rsid w:val="005D29E0"/>
    <w:rsid w:val="005D2A96"/>
    <w:rsid w:val="005D4521"/>
    <w:rsid w:val="005D4E46"/>
    <w:rsid w:val="005D5DA8"/>
    <w:rsid w:val="005D60A5"/>
    <w:rsid w:val="005D659F"/>
    <w:rsid w:val="005D6F49"/>
    <w:rsid w:val="005D72EE"/>
    <w:rsid w:val="005D7BED"/>
    <w:rsid w:val="005E1717"/>
    <w:rsid w:val="005E2CC3"/>
    <w:rsid w:val="005E5A8B"/>
    <w:rsid w:val="005E5E01"/>
    <w:rsid w:val="005E6C10"/>
    <w:rsid w:val="005E6FF4"/>
    <w:rsid w:val="005F0405"/>
    <w:rsid w:val="005F2DCA"/>
    <w:rsid w:val="005F2F2E"/>
    <w:rsid w:val="005F4A4A"/>
    <w:rsid w:val="005F582F"/>
    <w:rsid w:val="005F66F7"/>
    <w:rsid w:val="005F6AB8"/>
    <w:rsid w:val="005F77DE"/>
    <w:rsid w:val="005F7F81"/>
    <w:rsid w:val="00600CAC"/>
    <w:rsid w:val="006017B6"/>
    <w:rsid w:val="006019EB"/>
    <w:rsid w:val="006021C4"/>
    <w:rsid w:val="00602595"/>
    <w:rsid w:val="00602DE5"/>
    <w:rsid w:val="006033B1"/>
    <w:rsid w:val="0060395B"/>
    <w:rsid w:val="00603D62"/>
    <w:rsid w:val="00606D9C"/>
    <w:rsid w:val="006074C9"/>
    <w:rsid w:val="006102BA"/>
    <w:rsid w:val="0061086D"/>
    <w:rsid w:val="00610C9B"/>
    <w:rsid w:val="00610DC3"/>
    <w:rsid w:val="0061145A"/>
    <w:rsid w:val="00613149"/>
    <w:rsid w:val="00615990"/>
    <w:rsid w:val="006159BC"/>
    <w:rsid w:val="00622E96"/>
    <w:rsid w:val="00623026"/>
    <w:rsid w:val="0062334C"/>
    <w:rsid w:val="0062357D"/>
    <w:rsid w:val="00623631"/>
    <w:rsid w:val="00623E58"/>
    <w:rsid w:val="006248FB"/>
    <w:rsid w:val="00626F38"/>
    <w:rsid w:val="00630B34"/>
    <w:rsid w:val="00632F7A"/>
    <w:rsid w:val="006333A6"/>
    <w:rsid w:val="00636AFB"/>
    <w:rsid w:val="00636E6D"/>
    <w:rsid w:val="00637E11"/>
    <w:rsid w:val="00640879"/>
    <w:rsid w:val="0064143C"/>
    <w:rsid w:val="00644B17"/>
    <w:rsid w:val="00645D4A"/>
    <w:rsid w:val="00645D79"/>
    <w:rsid w:val="00646752"/>
    <w:rsid w:val="00646793"/>
    <w:rsid w:val="00647C2E"/>
    <w:rsid w:val="00650356"/>
    <w:rsid w:val="006514B8"/>
    <w:rsid w:val="00651F43"/>
    <w:rsid w:val="00653E45"/>
    <w:rsid w:val="00653FC5"/>
    <w:rsid w:val="00654789"/>
    <w:rsid w:val="00654A72"/>
    <w:rsid w:val="006556F3"/>
    <w:rsid w:val="0065606C"/>
    <w:rsid w:val="00660A19"/>
    <w:rsid w:val="00661C9F"/>
    <w:rsid w:val="00662429"/>
    <w:rsid w:val="00662F14"/>
    <w:rsid w:val="006634AF"/>
    <w:rsid w:val="006638FF"/>
    <w:rsid w:val="00664204"/>
    <w:rsid w:val="00664C78"/>
    <w:rsid w:val="00665DCF"/>
    <w:rsid w:val="006661DE"/>
    <w:rsid w:val="00670BCD"/>
    <w:rsid w:val="006727A2"/>
    <w:rsid w:val="00673714"/>
    <w:rsid w:val="00673E05"/>
    <w:rsid w:val="00674752"/>
    <w:rsid w:val="00674ADE"/>
    <w:rsid w:val="00674B46"/>
    <w:rsid w:val="006763D4"/>
    <w:rsid w:val="00677239"/>
    <w:rsid w:val="00680651"/>
    <w:rsid w:val="00681011"/>
    <w:rsid w:val="00682147"/>
    <w:rsid w:val="00682E28"/>
    <w:rsid w:val="006837D4"/>
    <w:rsid w:val="00684B11"/>
    <w:rsid w:val="006858D6"/>
    <w:rsid w:val="00686766"/>
    <w:rsid w:val="00686DFC"/>
    <w:rsid w:val="0069031F"/>
    <w:rsid w:val="00690926"/>
    <w:rsid w:val="00691A1D"/>
    <w:rsid w:val="0069247C"/>
    <w:rsid w:val="006933D0"/>
    <w:rsid w:val="006933E0"/>
    <w:rsid w:val="0069371B"/>
    <w:rsid w:val="00693D53"/>
    <w:rsid w:val="006943C8"/>
    <w:rsid w:val="00694500"/>
    <w:rsid w:val="00696856"/>
    <w:rsid w:val="00697343"/>
    <w:rsid w:val="006A070C"/>
    <w:rsid w:val="006A0CC1"/>
    <w:rsid w:val="006A119F"/>
    <w:rsid w:val="006A23E3"/>
    <w:rsid w:val="006A425C"/>
    <w:rsid w:val="006A5162"/>
    <w:rsid w:val="006A52F1"/>
    <w:rsid w:val="006A61D9"/>
    <w:rsid w:val="006A6396"/>
    <w:rsid w:val="006A6F59"/>
    <w:rsid w:val="006A70B0"/>
    <w:rsid w:val="006A7133"/>
    <w:rsid w:val="006B1C95"/>
    <w:rsid w:val="006B2078"/>
    <w:rsid w:val="006B2B32"/>
    <w:rsid w:val="006B2B41"/>
    <w:rsid w:val="006B3264"/>
    <w:rsid w:val="006B52A4"/>
    <w:rsid w:val="006B75B5"/>
    <w:rsid w:val="006C1D04"/>
    <w:rsid w:val="006C259C"/>
    <w:rsid w:val="006C3FD7"/>
    <w:rsid w:val="006C6BFF"/>
    <w:rsid w:val="006C7F4E"/>
    <w:rsid w:val="006D24F6"/>
    <w:rsid w:val="006D2C0D"/>
    <w:rsid w:val="006D320C"/>
    <w:rsid w:val="006D34A8"/>
    <w:rsid w:val="006D3757"/>
    <w:rsid w:val="006D3A82"/>
    <w:rsid w:val="006D4511"/>
    <w:rsid w:val="006D4779"/>
    <w:rsid w:val="006D5089"/>
    <w:rsid w:val="006D578B"/>
    <w:rsid w:val="006D5DC8"/>
    <w:rsid w:val="006D60E1"/>
    <w:rsid w:val="006D6E89"/>
    <w:rsid w:val="006D7B0E"/>
    <w:rsid w:val="006E0029"/>
    <w:rsid w:val="006E0430"/>
    <w:rsid w:val="006E157F"/>
    <w:rsid w:val="006E19A8"/>
    <w:rsid w:val="006E1BBC"/>
    <w:rsid w:val="006E1E58"/>
    <w:rsid w:val="006E224A"/>
    <w:rsid w:val="006E22D6"/>
    <w:rsid w:val="006E2619"/>
    <w:rsid w:val="006E28D8"/>
    <w:rsid w:val="006E2AEE"/>
    <w:rsid w:val="006E3434"/>
    <w:rsid w:val="006E4385"/>
    <w:rsid w:val="006E4445"/>
    <w:rsid w:val="006E4C13"/>
    <w:rsid w:val="006E64E4"/>
    <w:rsid w:val="006E6C55"/>
    <w:rsid w:val="006E6F12"/>
    <w:rsid w:val="006E7BE8"/>
    <w:rsid w:val="006F1BB5"/>
    <w:rsid w:val="006F2341"/>
    <w:rsid w:val="006F263E"/>
    <w:rsid w:val="006F3536"/>
    <w:rsid w:val="006F5AD6"/>
    <w:rsid w:val="006F720C"/>
    <w:rsid w:val="006F7795"/>
    <w:rsid w:val="007029AA"/>
    <w:rsid w:val="007057AF"/>
    <w:rsid w:val="00705B69"/>
    <w:rsid w:val="00706B28"/>
    <w:rsid w:val="00706EA8"/>
    <w:rsid w:val="007073BC"/>
    <w:rsid w:val="00707445"/>
    <w:rsid w:val="007100B3"/>
    <w:rsid w:val="00711F1B"/>
    <w:rsid w:val="00713D52"/>
    <w:rsid w:val="00715566"/>
    <w:rsid w:val="00715803"/>
    <w:rsid w:val="00715851"/>
    <w:rsid w:val="00715BE4"/>
    <w:rsid w:val="00715D68"/>
    <w:rsid w:val="00717C3A"/>
    <w:rsid w:val="00721512"/>
    <w:rsid w:val="007238C8"/>
    <w:rsid w:val="00724858"/>
    <w:rsid w:val="0072560A"/>
    <w:rsid w:val="00725AF2"/>
    <w:rsid w:val="00725BF8"/>
    <w:rsid w:val="00727909"/>
    <w:rsid w:val="00731398"/>
    <w:rsid w:val="00732D3E"/>
    <w:rsid w:val="00733257"/>
    <w:rsid w:val="007334F2"/>
    <w:rsid w:val="00733A96"/>
    <w:rsid w:val="00734FC6"/>
    <w:rsid w:val="0073503D"/>
    <w:rsid w:val="007350CF"/>
    <w:rsid w:val="007368A2"/>
    <w:rsid w:val="00736C61"/>
    <w:rsid w:val="007372EF"/>
    <w:rsid w:val="007400C7"/>
    <w:rsid w:val="0074243B"/>
    <w:rsid w:val="007426BF"/>
    <w:rsid w:val="00743D98"/>
    <w:rsid w:val="007466C7"/>
    <w:rsid w:val="007526CB"/>
    <w:rsid w:val="007560C4"/>
    <w:rsid w:val="0075610C"/>
    <w:rsid w:val="007568DD"/>
    <w:rsid w:val="0075700C"/>
    <w:rsid w:val="007576F1"/>
    <w:rsid w:val="00757A88"/>
    <w:rsid w:val="00760C64"/>
    <w:rsid w:val="007611DA"/>
    <w:rsid w:val="007628B4"/>
    <w:rsid w:val="00762947"/>
    <w:rsid w:val="007638FB"/>
    <w:rsid w:val="00763B63"/>
    <w:rsid w:val="00763FED"/>
    <w:rsid w:val="00767B98"/>
    <w:rsid w:val="0077019D"/>
    <w:rsid w:val="00771A02"/>
    <w:rsid w:val="0077325C"/>
    <w:rsid w:val="00776729"/>
    <w:rsid w:val="00776ADC"/>
    <w:rsid w:val="00776B40"/>
    <w:rsid w:val="00777411"/>
    <w:rsid w:val="007801B9"/>
    <w:rsid w:val="0078027F"/>
    <w:rsid w:val="00780ED8"/>
    <w:rsid w:val="007814AC"/>
    <w:rsid w:val="007827C9"/>
    <w:rsid w:val="0078347E"/>
    <w:rsid w:val="00784068"/>
    <w:rsid w:val="007849C4"/>
    <w:rsid w:val="007853D2"/>
    <w:rsid w:val="007858FC"/>
    <w:rsid w:val="00785FC6"/>
    <w:rsid w:val="007860DC"/>
    <w:rsid w:val="007863F2"/>
    <w:rsid w:val="00786524"/>
    <w:rsid w:val="00786D55"/>
    <w:rsid w:val="007873D1"/>
    <w:rsid w:val="00794372"/>
    <w:rsid w:val="00796B5A"/>
    <w:rsid w:val="007A1B0D"/>
    <w:rsid w:val="007A20C7"/>
    <w:rsid w:val="007A2110"/>
    <w:rsid w:val="007A211D"/>
    <w:rsid w:val="007A2366"/>
    <w:rsid w:val="007A2CA0"/>
    <w:rsid w:val="007A4063"/>
    <w:rsid w:val="007A4DE3"/>
    <w:rsid w:val="007A5D3F"/>
    <w:rsid w:val="007B0969"/>
    <w:rsid w:val="007B1588"/>
    <w:rsid w:val="007B1C9B"/>
    <w:rsid w:val="007B26CF"/>
    <w:rsid w:val="007B2E10"/>
    <w:rsid w:val="007B3327"/>
    <w:rsid w:val="007B5A20"/>
    <w:rsid w:val="007C0AF9"/>
    <w:rsid w:val="007C1251"/>
    <w:rsid w:val="007C182F"/>
    <w:rsid w:val="007C284D"/>
    <w:rsid w:val="007C51D1"/>
    <w:rsid w:val="007C6D97"/>
    <w:rsid w:val="007C752F"/>
    <w:rsid w:val="007D0D71"/>
    <w:rsid w:val="007D37AD"/>
    <w:rsid w:val="007D4392"/>
    <w:rsid w:val="007D4F54"/>
    <w:rsid w:val="007D5181"/>
    <w:rsid w:val="007D5989"/>
    <w:rsid w:val="007D7EAE"/>
    <w:rsid w:val="007E0073"/>
    <w:rsid w:val="007E1FB8"/>
    <w:rsid w:val="007E277E"/>
    <w:rsid w:val="007E2D40"/>
    <w:rsid w:val="007E372C"/>
    <w:rsid w:val="007E37CD"/>
    <w:rsid w:val="007E382F"/>
    <w:rsid w:val="007E3C83"/>
    <w:rsid w:val="007E4F9D"/>
    <w:rsid w:val="007E5617"/>
    <w:rsid w:val="007E75A2"/>
    <w:rsid w:val="007E7CB8"/>
    <w:rsid w:val="007F0221"/>
    <w:rsid w:val="007F0598"/>
    <w:rsid w:val="007F1A33"/>
    <w:rsid w:val="007F200B"/>
    <w:rsid w:val="007F2477"/>
    <w:rsid w:val="007F24B6"/>
    <w:rsid w:val="007F330B"/>
    <w:rsid w:val="007F6076"/>
    <w:rsid w:val="007F64B3"/>
    <w:rsid w:val="007F7574"/>
    <w:rsid w:val="007F776B"/>
    <w:rsid w:val="007F7E06"/>
    <w:rsid w:val="00801431"/>
    <w:rsid w:val="00803260"/>
    <w:rsid w:val="00803B0B"/>
    <w:rsid w:val="008064A9"/>
    <w:rsid w:val="0081058C"/>
    <w:rsid w:val="00810796"/>
    <w:rsid w:val="008123ED"/>
    <w:rsid w:val="008123F0"/>
    <w:rsid w:val="00812E63"/>
    <w:rsid w:val="00813059"/>
    <w:rsid w:val="00814806"/>
    <w:rsid w:val="00815526"/>
    <w:rsid w:val="00815E80"/>
    <w:rsid w:val="00817708"/>
    <w:rsid w:val="008202E2"/>
    <w:rsid w:val="00821E1C"/>
    <w:rsid w:val="008221CA"/>
    <w:rsid w:val="0082360A"/>
    <w:rsid w:val="00823927"/>
    <w:rsid w:val="00823C0F"/>
    <w:rsid w:val="00823F0B"/>
    <w:rsid w:val="00825944"/>
    <w:rsid w:val="008273FE"/>
    <w:rsid w:val="008302EC"/>
    <w:rsid w:val="00830ACA"/>
    <w:rsid w:val="008315F7"/>
    <w:rsid w:val="00832384"/>
    <w:rsid w:val="0083520E"/>
    <w:rsid w:val="00835CC6"/>
    <w:rsid w:val="00836343"/>
    <w:rsid w:val="00836432"/>
    <w:rsid w:val="0083756B"/>
    <w:rsid w:val="00837F3F"/>
    <w:rsid w:val="008400A8"/>
    <w:rsid w:val="00840757"/>
    <w:rsid w:val="00840800"/>
    <w:rsid w:val="00840D60"/>
    <w:rsid w:val="00842242"/>
    <w:rsid w:val="00842506"/>
    <w:rsid w:val="00842D96"/>
    <w:rsid w:val="00843295"/>
    <w:rsid w:val="0084367B"/>
    <w:rsid w:val="008437F2"/>
    <w:rsid w:val="008476B1"/>
    <w:rsid w:val="008476F1"/>
    <w:rsid w:val="00850941"/>
    <w:rsid w:val="008512F5"/>
    <w:rsid w:val="00851DF1"/>
    <w:rsid w:val="00852B1F"/>
    <w:rsid w:val="008536BF"/>
    <w:rsid w:val="00856FD9"/>
    <w:rsid w:val="0085772D"/>
    <w:rsid w:val="008611E4"/>
    <w:rsid w:val="008613FD"/>
    <w:rsid w:val="0086179A"/>
    <w:rsid w:val="00864674"/>
    <w:rsid w:val="0086522A"/>
    <w:rsid w:val="008656F3"/>
    <w:rsid w:val="0086656C"/>
    <w:rsid w:val="0087160C"/>
    <w:rsid w:val="00871C28"/>
    <w:rsid w:val="008724F2"/>
    <w:rsid w:val="008727C5"/>
    <w:rsid w:val="00873580"/>
    <w:rsid w:val="00876675"/>
    <w:rsid w:val="008773BC"/>
    <w:rsid w:val="0088141E"/>
    <w:rsid w:val="00881966"/>
    <w:rsid w:val="00881A99"/>
    <w:rsid w:val="00882044"/>
    <w:rsid w:val="00882576"/>
    <w:rsid w:val="00882AE6"/>
    <w:rsid w:val="00882E3B"/>
    <w:rsid w:val="00883CFF"/>
    <w:rsid w:val="008855E3"/>
    <w:rsid w:val="00885950"/>
    <w:rsid w:val="00885B9C"/>
    <w:rsid w:val="00887E1A"/>
    <w:rsid w:val="008904F3"/>
    <w:rsid w:val="00893CF5"/>
    <w:rsid w:val="00894120"/>
    <w:rsid w:val="00894810"/>
    <w:rsid w:val="00894C56"/>
    <w:rsid w:val="0089515B"/>
    <w:rsid w:val="00895FF4"/>
    <w:rsid w:val="00897BA4"/>
    <w:rsid w:val="008A1AA5"/>
    <w:rsid w:val="008A6425"/>
    <w:rsid w:val="008A7487"/>
    <w:rsid w:val="008A7B4D"/>
    <w:rsid w:val="008B029B"/>
    <w:rsid w:val="008B0A1E"/>
    <w:rsid w:val="008B18AB"/>
    <w:rsid w:val="008B1921"/>
    <w:rsid w:val="008B1A8C"/>
    <w:rsid w:val="008B220B"/>
    <w:rsid w:val="008B430F"/>
    <w:rsid w:val="008C06C4"/>
    <w:rsid w:val="008C08DE"/>
    <w:rsid w:val="008C0BDF"/>
    <w:rsid w:val="008C0C04"/>
    <w:rsid w:val="008C17CD"/>
    <w:rsid w:val="008C1D97"/>
    <w:rsid w:val="008C2526"/>
    <w:rsid w:val="008C3FA9"/>
    <w:rsid w:val="008C5BDF"/>
    <w:rsid w:val="008C7A37"/>
    <w:rsid w:val="008D0080"/>
    <w:rsid w:val="008D0AB7"/>
    <w:rsid w:val="008D366E"/>
    <w:rsid w:val="008D3828"/>
    <w:rsid w:val="008D473C"/>
    <w:rsid w:val="008D47C2"/>
    <w:rsid w:val="008D4A69"/>
    <w:rsid w:val="008D4AA3"/>
    <w:rsid w:val="008D4DD5"/>
    <w:rsid w:val="008D4F66"/>
    <w:rsid w:val="008D688A"/>
    <w:rsid w:val="008D6B85"/>
    <w:rsid w:val="008D7172"/>
    <w:rsid w:val="008E031E"/>
    <w:rsid w:val="008E1253"/>
    <w:rsid w:val="008E1F70"/>
    <w:rsid w:val="008E2B95"/>
    <w:rsid w:val="008E32C6"/>
    <w:rsid w:val="008E4779"/>
    <w:rsid w:val="008E6C72"/>
    <w:rsid w:val="008F0833"/>
    <w:rsid w:val="008F111A"/>
    <w:rsid w:val="008F4C72"/>
    <w:rsid w:val="008F534E"/>
    <w:rsid w:val="008F6335"/>
    <w:rsid w:val="008F657B"/>
    <w:rsid w:val="008F7B02"/>
    <w:rsid w:val="008F7EF0"/>
    <w:rsid w:val="00900FFE"/>
    <w:rsid w:val="0090151F"/>
    <w:rsid w:val="00901AF8"/>
    <w:rsid w:val="00901B51"/>
    <w:rsid w:val="00904483"/>
    <w:rsid w:val="00904CCC"/>
    <w:rsid w:val="009054DD"/>
    <w:rsid w:val="00906581"/>
    <w:rsid w:val="0090710F"/>
    <w:rsid w:val="00911EEC"/>
    <w:rsid w:val="00914BD9"/>
    <w:rsid w:val="00914CF5"/>
    <w:rsid w:val="0091511B"/>
    <w:rsid w:val="009151CA"/>
    <w:rsid w:val="009158E7"/>
    <w:rsid w:val="00916599"/>
    <w:rsid w:val="00916C7A"/>
    <w:rsid w:val="00922707"/>
    <w:rsid w:val="00923A9E"/>
    <w:rsid w:val="00924466"/>
    <w:rsid w:val="009260BA"/>
    <w:rsid w:val="0093111C"/>
    <w:rsid w:val="00931D34"/>
    <w:rsid w:val="00933843"/>
    <w:rsid w:val="009339BB"/>
    <w:rsid w:val="0093459A"/>
    <w:rsid w:val="00934E37"/>
    <w:rsid w:val="00935D11"/>
    <w:rsid w:val="00936207"/>
    <w:rsid w:val="009363E0"/>
    <w:rsid w:val="00937091"/>
    <w:rsid w:val="009372B0"/>
    <w:rsid w:val="00940703"/>
    <w:rsid w:val="009411AF"/>
    <w:rsid w:val="0094142C"/>
    <w:rsid w:val="00941D52"/>
    <w:rsid w:val="0094468E"/>
    <w:rsid w:val="00945D40"/>
    <w:rsid w:val="00952775"/>
    <w:rsid w:val="00954826"/>
    <w:rsid w:val="009554E5"/>
    <w:rsid w:val="00956698"/>
    <w:rsid w:val="00960AFF"/>
    <w:rsid w:val="009642D2"/>
    <w:rsid w:val="0096661A"/>
    <w:rsid w:val="009677E9"/>
    <w:rsid w:val="009705AA"/>
    <w:rsid w:val="009707C7"/>
    <w:rsid w:val="009708BB"/>
    <w:rsid w:val="00970D85"/>
    <w:rsid w:val="00970FB7"/>
    <w:rsid w:val="009723E9"/>
    <w:rsid w:val="0097246F"/>
    <w:rsid w:val="00972AE0"/>
    <w:rsid w:val="00973DF4"/>
    <w:rsid w:val="009741D1"/>
    <w:rsid w:val="009745E3"/>
    <w:rsid w:val="00974A48"/>
    <w:rsid w:val="009753EB"/>
    <w:rsid w:val="00975711"/>
    <w:rsid w:val="00975C15"/>
    <w:rsid w:val="00980660"/>
    <w:rsid w:val="0098150D"/>
    <w:rsid w:val="009834BE"/>
    <w:rsid w:val="00983606"/>
    <w:rsid w:val="00985B78"/>
    <w:rsid w:val="009871DC"/>
    <w:rsid w:val="00987971"/>
    <w:rsid w:val="00990D70"/>
    <w:rsid w:val="00991595"/>
    <w:rsid w:val="00991829"/>
    <w:rsid w:val="009920E9"/>
    <w:rsid w:val="00992669"/>
    <w:rsid w:val="00993636"/>
    <w:rsid w:val="00994E5B"/>
    <w:rsid w:val="00996E5C"/>
    <w:rsid w:val="0099705F"/>
    <w:rsid w:val="00997612"/>
    <w:rsid w:val="009A1503"/>
    <w:rsid w:val="009A49E6"/>
    <w:rsid w:val="009A7194"/>
    <w:rsid w:val="009A742C"/>
    <w:rsid w:val="009A7818"/>
    <w:rsid w:val="009B34BD"/>
    <w:rsid w:val="009B4964"/>
    <w:rsid w:val="009B7888"/>
    <w:rsid w:val="009B7B87"/>
    <w:rsid w:val="009C0A4E"/>
    <w:rsid w:val="009C0C1C"/>
    <w:rsid w:val="009C1294"/>
    <w:rsid w:val="009C17D6"/>
    <w:rsid w:val="009C2A2F"/>
    <w:rsid w:val="009C550A"/>
    <w:rsid w:val="009C5E61"/>
    <w:rsid w:val="009C634F"/>
    <w:rsid w:val="009C659A"/>
    <w:rsid w:val="009C66AE"/>
    <w:rsid w:val="009D0058"/>
    <w:rsid w:val="009D1903"/>
    <w:rsid w:val="009D21DA"/>
    <w:rsid w:val="009D2FA2"/>
    <w:rsid w:val="009D3E7F"/>
    <w:rsid w:val="009D487C"/>
    <w:rsid w:val="009D51D2"/>
    <w:rsid w:val="009D548D"/>
    <w:rsid w:val="009D7194"/>
    <w:rsid w:val="009E0AC5"/>
    <w:rsid w:val="009E11EE"/>
    <w:rsid w:val="009E23F9"/>
    <w:rsid w:val="009E23FB"/>
    <w:rsid w:val="009E28CD"/>
    <w:rsid w:val="009E32FD"/>
    <w:rsid w:val="009E3529"/>
    <w:rsid w:val="009E35FA"/>
    <w:rsid w:val="009E3B22"/>
    <w:rsid w:val="009E5FBF"/>
    <w:rsid w:val="009E750E"/>
    <w:rsid w:val="009F1342"/>
    <w:rsid w:val="009F283B"/>
    <w:rsid w:val="009F3B50"/>
    <w:rsid w:val="009F3B7A"/>
    <w:rsid w:val="009F632C"/>
    <w:rsid w:val="00A0010D"/>
    <w:rsid w:val="00A01728"/>
    <w:rsid w:val="00A04E71"/>
    <w:rsid w:val="00A056B7"/>
    <w:rsid w:val="00A073F6"/>
    <w:rsid w:val="00A10410"/>
    <w:rsid w:val="00A10B0E"/>
    <w:rsid w:val="00A112FE"/>
    <w:rsid w:val="00A11811"/>
    <w:rsid w:val="00A118F5"/>
    <w:rsid w:val="00A1198C"/>
    <w:rsid w:val="00A11D0C"/>
    <w:rsid w:val="00A12C1F"/>
    <w:rsid w:val="00A14976"/>
    <w:rsid w:val="00A158D8"/>
    <w:rsid w:val="00A1661B"/>
    <w:rsid w:val="00A1691C"/>
    <w:rsid w:val="00A16D1A"/>
    <w:rsid w:val="00A17BE9"/>
    <w:rsid w:val="00A20E9E"/>
    <w:rsid w:val="00A2159F"/>
    <w:rsid w:val="00A24BC9"/>
    <w:rsid w:val="00A2508B"/>
    <w:rsid w:val="00A254DA"/>
    <w:rsid w:val="00A25CE7"/>
    <w:rsid w:val="00A25D0B"/>
    <w:rsid w:val="00A27A28"/>
    <w:rsid w:val="00A30789"/>
    <w:rsid w:val="00A30D72"/>
    <w:rsid w:val="00A310A1"/>
    <w:rsid w:val="00A320E0"/>
    <w:rsid w:val="00A3230D"/>
    <w:rsid w:val="00A3346F"/>
    <w:rsid w:val="00A338E8"/>
    <w:rsid w:val="00A3445B"/>
    <w:rsid w:val="00A35031"/>
    <w:rsid w:val="00A35CD1"/>
    <w:rsid w:val="00A36E4C"/>
    <w:rsid w:val="00A40C78"/>
    <w:rsid w:val="00A4299B"/>
    <w:rsid w:val="00A45F3D"/>
    <w:rsid w:val="00A46824"/>
    <w:rsid w:val="00A47466"/>
    <w:rsid w:val="00A50FDF"/>
    <w:rsid w:val="00A530CE"/>
    <w:rsid w:val="00A539CE"/>
    <w:rsid w:val="00A53F76"/>
    <w:rsid w:val="00A543AE"/>
    <w:rsid w:val="00A551CF"/>
    <w:rsid w:val="00A56114"/>
    <w:rsid w:val="00A56622"/>
    <w:rsid w:val="00A5775C"/>
    <w:rsid w:val="00A605F5"/>
    <w:rsid w:val="00A60A03"/>
    <w:rsid w:val="00A62653"/>
    <w:rsid w:val="00A63ACF"/>
    <w:rsid w:val="00A63C58"/>
    <w:rsid w:val="00A661D2"/>
    <w:rsid w:val="00A667B4"/>
    <w:rsid w:val="00A66CAF"/>
    <w:rsid w:val="00A671EC"/>
    <w:rsid w:val="00A673D0"/>
    <w:rsid w:val="00A71411"/>
    <w:rsid w:val="00A7227B"/>
    <w:rsid w:val="00A72527"/>
    <w:rsid w:val="00A735BD"/>
    <w:rsid w:val="00A73F8C"/>
    <w:rsid w:val="00A74ABB"/>
    <w:rsid w:val="00A74CAE"/>
    <w:rsid w:val="00A74D0E"/>
    <w:rsid w:val="00A75BA6"/>
    <w:rsid w:val="00A7685C"/>
    <w:rsid w:val="00A77A36"/>
    <w:rsid w:val="00A80C18"/>
    <w:rsid w:val="00A80F1F"/>
    <w:rsid w:val="00A81A1E"/>
    <w:rsid w:val="00A81F08"/>
    <w:rsid w:val="00A8419F"/>
    <w:rsid w:val="00A8486A"/>
    <w:rsid w:val="00A85DBB"/>
    <w:rsid w:val="00A86419"/>
    <w:rsid w:val="00A86DFC"/>
    <w:rsid w:val="00A8706C"/>
    <w:rsid w:val="00A8750B"/>
    <w:rsid w:val="00A91119"/>
    <w:rsid w:val="00A91FE1"/>
    <w:rsid w:val="00A92390"/>
    <w:rsid w:val="00A928BB"/>
    <w:rsid w:val="00A93941"/>
    <w:rsid w:val="00A93C6F"/>
    <w:rsid w:val="00A94601"/>
    <w:rsid w:val="00A94E1A"/>
    <w:rsid w:val="00A95055"/>
    <w:rsid w:val="00A95424"/>
    <w:rsid w:val="00A95945"/>
    <w:rsid w:val="00A95BCA"/>
    <w:rsid w:val="00AA1B88"/>
    <w:rsid w:val="00AA1FF7"/>
    <w:rsid w:val="00AA2272"/>
    <w:rsid w:val="00AA5697"/>
    <w:rsid w:val="00AA5EB6"/>
    <w:rsid w:val="00AA618F"/>
    <w:rsid w:val="00AA732D"/>
    <w:rsid w:val="00AA77EA"/>
    <w:rsid w:val="00AB1E52"/>
    <w:rsid w:val="00AB2FBE"/>
    <w:rsid w:val="00AB3F4A"/>
    <w:rsid w:val="00AB473A"/>
    <w:rsid w:val="00AB51DB"/>
    <w:rsid w:val="00AB5276"/>
    <w:rsid w:val="00AC07FF"/>
    <w:rsid w:val="00AC1878"/>
    <w:rsid w:val="00AC1B76"/>
    <w:rsid w:val="00AC406A"/>
    <w:rsid w:val="00AC40C3"/>
    <w:rsid w:val="00AC4F86"/>
    <w:rsid w:val="00AC5E48"/>
    <w:rsid w:val="00AC5EBE"/>
    <w:rsid w:val="00AD0ACB"/>
    <w:rsid w:val="00AD20F7"/>
    <w:rsid w:val="00AD28F3"/>
    <w:rsid w:val="00AD344A"/>
    <w:rsid w:val="00AD3DEA"/>
    <w:rsid w:val="00AD3E63"/>
    <w:rsid w:val="00AD4724"/>
    <w:rsid w:val="00AD557C"/>
    <w:rsid w:val="00AD68C6"/>
    <w:rsid w:val="00AE0637"/>
    <w:rsid w:val="00AE0698"/>
    <w:rsid w:val="00AE395E"/>
    <w:rsid w:val="00AE4953"/>
    <w:rsid w:val="00AE61C9"/>
    <w:rsid w:val="00AE7904"/>
    <w:rsid w:val="00AE7A04"/>
    <w:rsid w:val="00AF17B9"/>
    <w:rsid w:val="00AF3D66"/>
    <w:rsid w:val="00AF46FB"/>
    <w:rsid w:val="00AF5FEF"/>
    <w:rsid w:val="00AF74C9"/>
    <w:rsid w:val="00AF780C"/>
    <w:rsid w:val="00B0095B"/>
    <w:rsid w:val="00B00A53"/>
    <w:rsid w:val="00B01BB5"/>
    <w:rsid w:val="00B02D49"/>
    <w:rsid w:val="00B0329C"/>
    <w:rsid w:val="00B049B6"/>
    <w:rsid w:val="00B07E59"/>
    <w:rsid w:val="00B123EE"/>
    <w:rsid w:val="00B1296B"/>
    <w:rsid w:val="00B132F0"/>
    <w:rsid w:val="00B13869"/>
    <w:rsid w:val="00B147C5"/>
    <w:rsid w:val="00B152CA"/>
    <w:rsid w:val="00B172BA"/>
    <w:rsid w:val="00B17A65"/>
    <w:rsid w:val="00B17ECE"/>
    <w:rsid w:val="00B204F8"/>
    <w:rsid w:val="00B2211D"/>
    <w:rsid w:val="00B22977"/>
    <w:rsid w:val="00B234D5"/>
    <w:rsid w:val="00B23DFD"/>
    <w:rsid w:val="00B250A2"/>
    <w:rsid w:val="00B2616D"/>
    <w:rsid w:val="00B30B42"/>
    <w:rsid w:val="00B32C71"/>
    <w:rsid w:val="00B345FE"/>
    <w:rsid w:val="00B34BBE"/>
    <w:rsid w:val="00B404A9"/>
    <w:rsid w:val="00B42FB8"/>
    <w:rsid w:val="00B43A91"/>
    <w:rsid w:val="00B43C13"/>
    <w:rsid w:val="00B45870"/>
    <w:rsid w:val="00B46383"/>
    <w:rsid w:val="00B53634"/>
    <w:rsid w:val="00B53E3A"/>
    <w:rsid w:val="00B54244"/>
    <w:rsid w:val="00B542B2"/>
    <w:rsid w:val="00B5565F"/>
    <w:rsid w:val="00B55737"/>
    <w:rsid w:val="00B5695E"/>
    <w:rsid w:val="00B64E3E"/>
    <w:rsid w:val="00B66861"/>
    <w:rsid w:val="00B67056"/>
    <w:rsid w:val="00B7082D"/>
    <w:rsid w:val="00B70F6E"/>
    <w:rsid w:val="00B71C2F"/>
    <w:rsid w:val="00B7206C"/>
    <w:rsid w:val="00B728CB"/>
    <w:rsid w:val="00B72AC6"/>
    <w:rsid w:val="00B72EA5"/>
    <w:rsid w:val="00B738DE"/>
    <w:rsid w:val="00B74F95"/>
    <w:rsid w:val="00B75F05"/>
    <w:rsid w:val="00B76759"/>
    <w:rsid w:val="00B80727"/>
    <w:rsid w:val="00B82FDC"/>
    <w:rsid w:val="00B83311"/>
    <w:rsid w:val="00B83C36"/>
    <w:rsid w:val="00B83CDB"/>
    <w:rsid w:val="00B84BCB"/>
    <w:rsid w:val="00B86624"/>
    <w:rsid w:val="00B86897"/>
    <w:rsid w:val="00B86FAA"/>
    <w:rsid w:val="00B871C2"/>
    <w:rsid w:val="00B90F5F"/>
    <w:rsid w:val="00B91C97"/>
    <w:rsid w:val="00B92D31"/>
    <w:rsid w:val="00B93BE6"/>
    <w:rsid w:val="00B943A9"/>
    <w:rsid w:val="00B96156"/>
    <w:rsid w:val="00B96592"/>
    <w:rsid w:val="00B97324"/>
    <w:rsid w:val="00BA12CD"/>
    <w:rsid w:val="00BA1CC8"/>
    <w:rsid w:val="00BA4513"/>
    <w:rsid w:val="00BA510B"/>
    <w:rsid w:val="00BA5A5F"/>
    <w:rsid w:val="00BB05EA"/>
    <w:rsid w:val="00BB184D"/>
    <w:rsid w:val="00BB21D3"/>
    <w:rsid w:val="00BB5255"/>
    <w:rsid w:val="00BB6E90"/>
    <w:rsid w:val="00BB7894"/>
    <w:rsid w:val="00BB7CA3"/>
    <w:rsid w:val="00BC062F"/>
    <w:rsid w:val="00BC1E94"/>
    <w:rsid w:val="00BC342C"/>
    <w:rsid w:val="00BC3967"/>
    <w:rsid w:val="00BC4277"/>
    <w:rsid w:val="00BC4ADF"/>
    <w:rsid w:val="00BC547C"/>
    <w:rsid w:val="00BC6BC0"/>
    <w:rsid w:val="00BC6D33"/>
    <w:rsid w:val="00BC6E1D"/>
    <w:rsid w:val="00BD09F8"/>
    <w:rsid w:val="00BD0D06"/>
    <w:rsid w:val="00BD2A44"/>
    <w:rsid w:val="00BD3AE1"/>
    <w:rsid w:val="00BD63FC"/>
    <w:rsid w:val="00BD79E8"/>
    <w:rsid w:val="00BE003D"/>
    <w:rsid w:val="00BE091D"/>
    <w:rsid w:val="00BE2018"/>
    <w:rsid w:val="00BE246B"/>
    <w:rsid w:val="00BE3C72"/>
    <w:rsid w:val="00BE572B"/>
    <w:rsid w:val="00BE65F2"/>
    <w:rsid w:val="00BE7A81"/>
    <w:rsid w:val="00BF03BD"/>
    <w:rsid w:val="00BF0957"/>
    <w:rsid w:val="00BF171A"/>
    <w:rsid w:val="00BF1A13"/>
    <w:rsid w:val="00BF21EC"/>
    <w:rsid w:val="00BF348C"/>
    <w:rsid w:val="00BF4EC5"/>
    <w:rsid w:val="00BF4F63"/>
    <w:rsid w:val="00BF50BD"/>
    <w:rsid w:val="00BF5FF6"/>
    <w:rsid w:val="00BF7F44"/>
    <w:rsid w:val="00C0026C"/>
    <w:rsid w:val="00C00991"/>
    <w:rsid w:val="00C02298"/>
    <w:rsid w:val="00C025F8"/>
    <w:rsid w:val="00C03618"/>
    <w:rsid w:val="00C03940"/>
    <w:rsid w:val="00C03C06"/>
    <w:rsid w:val="00C04084"/>
    <w:rsid w:val="00C040C2"/>
    <w:rsid w:val="00C1049A"/>
    <w:rsid w:val="00C10F57"/>
    <w:rsid w:val="00C15348"/>
    <w:rsid w:val="00C1550A"/>
    <w:rsid w:val="00C15CE3"/>
    <w:rsid w:val="00C21A93"/>
    <w:rsid w:val="00C23DE5"/>
    <w:rsid w:val="00C23EC9"/>
    <w:rsid w:val="00C248D6"/>
    <w:rsid w:val="00C25A42"/>
    <w:rsid w:val="00C2798E"/>
    <w:rsid w:val="00C31F8A"/>
    <w:rsid w:val="00C331B1"/>
    <w:rsid w:val="00C33B90"/>
    <w:rsid w:val="00C33F26"/>
    <w:rsid w:val="00C34A9D"/>
    <w:rsid w:val="00C35775"/>
    <w:rsid w:val="00C35783"/>
    <w:rsid w:val="00C36183"/>
    <w:rsid w:val="00C37739"/>
    <w:rsid w:val="00C378B3"/>
    <w:rsid w:val="00C40284"/>
    <w:rsid w:val="00C41136"/>
    <w:rsid w:val="00C42544"/>
    <w:rsid w:val="00C44B09"/>
    <w:rsid w:val="00C46A05"/>
    <w:rsid w:val="00C46F1F"/>
    <w:rsid w:val="00C50AFC"/>
    <w:rsid w:val="00C51789"/>
    <w:rsid w:val="00C522A9"/>
    <w:rsid w:val="00C566E1"/>
    <w:rsid w:val="00C61EAC"/>
    <w:rsid w:val="00C62012"/>
    <w:rsid w:val="00C62507"/>
    <w:rsid w:val="00C62BA3"/>
    <w:rsid w:val="00C65016"/>
    <w:rsid w:val="00C66B57"/>
    <w:rsid w:val="00C67C39"/>
    <w:rsid w:val="00C70607"/>
    <w:rsid w:val="00C73E13"/>
    <w:rsid w:val="00C74188"/>
    <w:rsid w:val="00C75A86"/>
    <w:rsid w:val="00C75ED2"/>
    <w:rsid w:val="00C76CB2"/>
    <w:rsid w:val="00C80F74"/>
    <w:rsid w:val="00C81832"/>
    <w:rsid w:val="00C81D52"/>
    <w:rsid w:val="00C82281"/>
    <w:rsid w:val="00C82560"/>
    <w:rsid w:val="00C845EB"/>
    <w:rsid w:val="00C85C9C"/>
    <w:rsid w:val="00C86367"/>
    <w:rsid w:val="00C86368"/>
    <w:rsid w:val="00C867DE"/>
    <w:rsid w:val="00C871C0"/>
    <w:rsid w:val="00C8723D"/>
    <w:rsid w:val="00C872E9"/>
    <w:rsid w:val="00C87739"/>
    <w:rsid w:val="00C91027"/>
    <w:rsid w:val="00C91517"/>
    <w:rsid w:val="00C9329E"/>
    <w:rsid w:val="00C93B05"/>
    <w:rsid w:val="00C94CF7"/>
    <w:rsid w:val="00C95DE9"/>
    <w:rsid w:val="00C96486"/>
    <w:rsid w:val="00CA026F"/>
    <w:rsid w:val="00CA08E4"/>
    <w:rsid w:val="00CA54A8"/>
    <w:rsid w:val="00CA66C0"/>
    <w:rsid w:val="00CA6837"/>
    <w:rsid w:val="00CB1FAC"/>
    <w:rsid w:val="00CB2381"/>
    <w:rsid w:val="00CB2850"/>
    <w:rsid w:val="00CB34A3"/>
    <w:rsid w:val="00CB3AAB"/>
    <w:rsid w:val="00CB4960"/>
    <w:rsid w:val="00CB62EA"/>
    <w:rsid w:val="00CB6499"/>
    <w:rsid w:val="00CC0187"/>
    <w:rsid w:val="00CC094F"/>
    <w:rsid w:val="00CC0B5B"/>
    <w:rsid w:val="00CC107F"/>
    <w:rsid w:val="00CC1DB7"/>
    <w:rsid w:val="00CC390F"/>
    <w:rsid w:val="00CC542E"/>
    <w:rsid w:val="00CC5DED"/>
    <w:rsid w:val="00CC71ED"/>
    <w:rsid w:val="00CD14A0"/>
    <w:rsid w:val="00CD1B5A"/>
    <w:rsid w:val="00CD3E38"/>
    <w:rsid w:val="00CD50B5"/>
    <w:rsid w:val="00CD5B0B"/>
    <w:rsid w:val="00CD7446"/>
    <w:rsid w:val="00CE0D7D"/>
    <w:rsid w:val="00CE0D9C"/>
    <w:rsid w:val="00CE1F5E"/>
    <w:rsid w:val="00CE2241"/>
    <w:rsid w:val="00CE2960"/>
    <w:rsid w:val="00CE2F68"/>
    <w:rsid w:val="00CE3867"/>
    <w:rsid w:val="00CE3DBA"/>
    <w:rsid w:val="00CE3DD6"/>
    <w:rsid w:val="00CE50D9"/>
    <w:rsid w:val="00CE5A80"/>
    <w:rsid w:val="00CE61F1"/>
    <w:rsid w:val="00CE6410"/>
    <w:rsid w:val="00CF0978"/>
    <w:rsid w:val="00CF0D8D"/>
    <w:rsid w:val="00CF1613"/>
    <w:rsid w:val="00CF28CA"/>
    <w:rsid w:val="00CF3525"/>
    <w:rsid w:val="00CF4C43"/>
    <w:rsid w:val="00CF5BE7"/>
    <w:rsid w:val="00CF6DBD"/>
    <w:rsid w:val="00CF77DC"/>
    <w:rsid w:val="00CF7DAD"/>
    <w:rsid w:val="00D0042F"/>
    <w:rsid w:val="00D00796"/>
    <w:rsid w:val="00D0282F"/>
    <w:rsid w:val="00D053C2"/>
    <w:rsid w:val="00D05FF0"/>
    <w:rsid w:val="00D06B1E"/>
    <w:rsid w:val="00D102AA"/>
    <w:rsid w:val="00D11D31"/>
    <w:rsid w:val="00D12112"/>
    <w:rsid w:val="00D128F6"/>
    <w:rsid w:val="00D1350D"/>
    <w:rsid w:val="00D13DAA"/>
    <w:rsid w:val="00D15D8A"/>
    <w:rsid w:val="00D15F6B"/>
    <w:rsid w:val="00D16183"/>
    <w:rsid w:val="00D162C1"/>
    <w:rsid w:val="00D22CFC"/>
    <w:rsid w:val="00D23289"/>
    <w:rsid w:val="00D240F8"/>
    <w:rsid w:val="00D24625"/>
    <w:rsid w:val="00D24D4C"/>
    <w:rsid w:val="00D2646A"/>
    <w:rsid w:val="00D275F6"/>
    <w:rsid w:val="00D27F88"/>
    <w:rsid w:val="00D30B86"/>
    <w:rsid w:val="00D30B95"/>
    <w:rsid w:val="00D31551"/>
    <w:rsid w:val="00D317AC"/>
    <w:rsid w:val="00D32250"/>
    <w:rsid w:val="00D32A16"/>
    <w:rsid w:val="00D32DCA"/>
    <w:rsid w:val="00D3359A"/>
    <w:rsid w:val="00D349D0"/>
    <w:rsid w:val="00D37378"/>
    <w:rsid w:val="00D40DFC"/>
    <w:rsid w:val="00D419F7"/>
    <w:rsid w:val="00D43806"/>
    <w:rsid w:val="00D44528"/>
    <w:rsid w:val="00D44B6E"/>
    <w:rsid w:val="00D45425"/>
    <w:rsid w:val="00D512E5"/>
    <w:rsid w:val="00D51C22"/>
    <w:rsid w:val="00D52126"/>
    <w:rsid w:val="00D52608"/>
    <w:rsid w:val="00D52ECB"/>
    <w:rsid w:val="00D55021"/>
    <w:rsid w:val="00D5577D"/>
    <w:rsid w:val="00D557D7"/>
    <w:rsid w:val="00D55D1D"/>
    <w:rsid w:val="00D5746F"/>
    <w:rsid w:val="00D5781D"/>
    <w:rsid w:val="00D63DFF"/>
    <w:rsid w:val="00D65491"/>
    <w:rsid w:val="00D65EEA"/>
    <w:rsid w:val="00D66388"/>
    <w:rsid w:val="00D67B53"/>
    <w:rsid w:val="00D67D1E"/>
    <w:rsid w:val="00D71D4D"/>
    <w:rsid w:val="00D75BB4"/>
    <w:rsid w:val="00D77224"/>
    <w:rsid w:val="00D776FF"/>
    <w:rsid w:val="00D818DB"/>
    <w:rsid w:val="00D83B99"/>
    <w:rsid w:val="00D90325"/>
    <w:rsid w:val="00D90B2D"/>
    <w:rsid w:val="00D916FF"/>
    <w:rsid w:val="00D91B5B"/>
    <w:rsid w:val="00D92195"/>
    <w:rsid w:val="00D92B82"/>
    <w:rsid w:val="00D932D7"/>
    <w:rsid w:val="00D93ADB"/>
    <w:rsid w:val="00D93C92"/>
    <w:rsid w:val="00D942A0"/>
    <w:rsid w:val="00D9446E"/>
    <w:rsid w:val="00D967CF"/>
    <w:rsid w:val="00D9695D"/>
    <w:rsid w:val="00D96B74"/>
    <w:rsid w:val="00DA0413"/>
    <w:rsid w:val="00DA186E"/>
    <w:rsid w:val="00DA20E5"/>
    <w:rsid w:val="00DA22D1"/>
    <w:rsid w:val="00DA27CD"/>
    <w:rsid w:val="00DA2A22"/>
    <w:rsid w:val="00DA3A6A"/>
    <w:rsid w:val="00DA5067"/>
    <w:rsid w:val="00DA53E9"/>
    <w:rsid w:val="00DA5716"/>
    <w:rsid w:val="00DA57D4"/>
    <w:rsid w:val="00DA7F92"/>
    <w:rsid w:val="00DB05BE"/>
    <w:rsid w:val="00DB09D5"/>
    <w:rsid w:val="00DB17AA"/>
    <w:rsid w:val="00DB17DB"/>
    <w:rsid w:val="00DB22A4"/>
    <w:rsid w:val="00DB38FF"/>
    <w:rsid w:val="00DB3F3B"/>
    <w:rsid w:val="00DB4A83"/>
    <w:rsid w:val="00DB4C15"/>
    <w:rsid w:val="00DB5492"/>
    <w:rsid w:val="00DB54DA"/>
    <w:rsid w:val="00DB6613"/>
    <w:rsid w:val="00DB7664"/>
    <w:rsid w:val="00DC1BDD"/>
    <w:rsid w:val="00DC244C"/>
    <w:rsid w:val="00DC2ACF"/>
    <w:rsid w:val="00DC2D6B"/>
    <w:rsid w:val="00DC3059"/>
    <w:rsid w:val="00DC4B25"/>
    <w:rsid w:val="00DD0685"/>
    <w:rsid w:val="00DD0F07"/>
    <w:rsid w:val="00DD22A1"/>
    <w:rsid w:val="00DD29D2"/>
    <w:rsid w:val="00DD347F"/>
    <w:rsid w:val="00DD3971"/>
    <w:rsid w:val="00DD3E75"/>
    <w:rsid w:val="00DD46DE"/>
    <w:rsid w:val="00DD4BAE"/>
    <w:rsid w:val="00DD61A3"/>
    <w:rsid w:val="00DD7C86"/>
    <w:rsid w:val="00DE171B"/>
    <w:rsid w:val="00DE2605"/>
    <w:rsid w:val="00DE4725"/>
    <w:rsid w:val="00DE5A59"/>
    <w:rsid w:val="00DE5D53"/>
    <w:rsid w:val="00DE6169"/>
    <w:rsid w:val="00DE6C5C"/>
    <w:rsid w:val="00DE7357"/>
    <w:rsid w:val="00DF07CB"/>
    <w:rsid w:val="00DF132D"/>
    <w:rsid w:val="00DF14DE"/>
    <w:rsid w:val="00DF3A2F"/>
    <w:rsid w:val="00DF5671"/>
    <w:rsid w:val="00DF5ACD"/>
    <w:rsid w:val="00DF5F1F"/>
    <w:rsid w:val="00DF731F"/>
    <w:rsid w:val="00DF736D"/>
    <w:rsid w:val="00DF7BEF"/>
    <w:rsid w:val="00E002C8"/>
    <w:rsid w:val="00E0050B"/>
    <w:rsid w:val="00E00996"/>
    <w:rsid w:val="00E0114D"/>
    <w:rsid w:val="00E0121E"/>
    <w:rsid w:val="00E03572"/>
    <w:rsid w:val="00E05509"/>
    <w:rsid w:val="00E05BE2"/>
    <w:rsid w:val="00E0615B"/>
    <w:rsid w:val="00E06796"/>
    <w:rsid w:val="00E06FB4"/>
    <w:rsid w:val="00E072E3"/>
    <w:rsid w:val="00E11A2C"/>
    <w:rsid w:val="00E13794"/>
    <w:rsid w:val="00E154CA"/>
    <w:rsid w:val="00E173DF"/>
    <w:rsid w:val="00E20095"/>
    <w:rsid w:val="00E20F45"/>
    <w:rsid w:val="00E21F93"/>
    <w:rsid w:val="00E22EA9"/>
    <w:rsid w:val="00E24F85"/>
    <w:rsid w:val="00E25A5E"/>
    <w:rsid w:val="00E25FED"/>
    <w:rsid w:val="00E26677"/>
    <w:rsid w:val="00E32B2C"/>
    <w:rsid w:val="00E32FCB"/>
    <w:rsid w:val="00E33169"/>
    <w:rsid w:val="00E333BD"/>
    <w:rsid w:val="00E33B21"/>
    <w:rsid w:val="00E345E5"/>
    <w:rsid w:val="00E352DE"/>
    <w:rsid w:val="00E36092"/>
    <w:rsid w:val="00E36B31"/>
    <w:rsid w:val="00E36B72"/>
    <w:rsid w:val="00E36C0F"/>
    <w:rsid w:val="00E3785C"/>
    <w:rsid w:val="00E37A5D"/>
    <w:rsid w:val="00E409A6"/>
    <w:rsid w:val="00E40E96"/>
    <w:rsid w:val="00E41798"/>
    <w:rsid w:val="00E419B2"/>
    <w:rsid w:val="00E41E53"/>
    <w:rsid w:val="00E41FD8"/>
    <w:rsid w:val="00E426FE"/>
    <w:rsid w:val="00E44E2A"/>
    <w:rsid w:val="00E5012F"/>
    <w:rsid w:val="00E509E8"/>
    <w:rsid w:val="00E53CEA"/>
    <w:rsid w:val="00E56245"/>
    <w:rsid w:val="00E57310"/>
    <w:rsid w:val="00E57D99"/>
    <w:rsid w:val="00E608BD"/>
    <w:rsid w:val="00E621B7"/>
    <w:rsid w:val="00E63FD8"/>
    <w:rsid w:val="00E654E3"/>
    <w:rsid w:val="00E65C29"/>
    <w:rsid w:val="00E66795"/>
    <w:rsid w:val="00E67014"/>
    <w:rsid w:val="00E671A3"/>
    <w:rsid w:val="00E67612"/>
    <w:rsid w:val="00E67CC4"/>
    <w:rsid w:val="00E67E50"/>
    <w:rsid w:val="00E72016"/>
    <w:rsid w:val="00E7267D"/>
    <w:rsid w:val="00E7278B"/>
    <w:rsid w:val="00E72ACD"/>
    <w:rsid w:val="00E72DBB"/>
    <w:rsid w:val="00E73B69"/>
    <w:rsid w:val="00E80162"/>
    <w:rsid w:val="00E8091F"/>
    <w:rsid w:val="00E816B6"/>
    <w:rsid w:val="00E827A4"/>
    <w:rsid w:val="00E83766"/>
    <w:rsid w:val="00E83E9F"/>
    <w:rsid w:val="00E84FCB"/>
    <w:rsid w:val="00E854A3"/>
    <w:rsid w:val="00E861D7"/>
    <w:rsid w:val="00E86F80"/>
    <w:rsid w:val="00E873CC"/>
    <w:rsid w:val="00E87F0A"/>
    <w:rsid w:val="00E91490"/>
    <w:rsid w:val="00E922AE"/>
    <w:rsid w:val="00E9250B"/>
    <w:rsid w:val="00E927F7"/>
    <w:rsid w:val="00E92A6F"/>
    <w:rsid w:val="00E932A4"/>
    <w:rsid w:val="00E932EB"/>
    <w:rsid w:val="00E93D21"/>
    <w:rsid w:val="00E9424A"/>
    <w:rsid w:val="00E94292"/>
    <w:rsid w:val="00E9550D"/>
    <w:rsid w:val="00E97ECC"/>
    <w:rsid w:val="00EA0077"/>
    <w:rsid w:val="00EA1463"/>
    <w:rsid w:val="00EA378A"/>
    <w:rsid w:val="00EA6298"/>
    <w:rsid w:val="00EA64BF"/>
    <w:rsid w:val="00EA751A"/>
    <w:rsid w:val="00EB17E2"/>
    <w:rsid w:val="00EB1BE7"/>
    <w:rsid w:val="00EB2C3E"/>
    <w:rsid w:val="00EB3DA5"/>
    <w:rsid w:val="00EB638C"/>
    <w:rsid w:val="00EC327F"/>
    <w:rsid w:val="00EC4A9C"/>
    <w:rsid w:val="00EC5DFA"/>
    <w:rsid w:val="00EC6311"/>
    <w:rsid w:val="00EC6996"/>
    <w:rsid w:val="00EC7BEB"/>
    <w:rsid w:val="00ED213B"/>
    <w:rsid w:val="00ED3F81"/>
    <w:rsid w:val="00ED448A"/>
    <w:rsid w:val="00ED4532"/>
    <w:rsid w:val="00ED4D5A"/>
    <w:rsid w:val="00ED51C7"/>
    <w:rsid w:val="00ED52A2"/>
    <w:rsid w:val="00ED69EC"/>
    <w:rsid w:val="00ED75F5"/>
    <w:rsid w:val="00EE025E"/>
    <w:rsid w:val="00EE1883"/>
    <w:rsid w:val="00EE2B4E"/>
    <w:rsid w:val="00EE46C6"/>
    <w:rsid w:val="00EE5C9B"/>
    <w:rsid w:val="00EE5D1C"/>
    <w:rsid w:val="00EE6066"/>
    <w:rsid w:val="00EE6122"/>
    <w:rsid w:val="00EE63CF"/>
    <w:rsid w:val="00EE6649"/>
    <w:rsid w:val="00EE7848"/>
    <w:rsid w:val="00EE78A2"/>
    <w:rsid w:val="00EF215E"/>
    <w:rsid w:val="00EF252F"/>
    <w:rsid w:val="00EF2B40"/>
    <w:rsid w:val="00EF3934"/>
    <w:rsid w:val="00EF4A62"/>
    <w:rsid w:val="00EF6094"/>
    <w:rsid w:val="00EF728D"/>
    <w:rsid w:val="00EF7930"/>
    <w:rsid w:val="00EF7B04"/>
    <w:rsid w:val="00F00058"/>
    <w:rsid w:val="00F02462"/>
    <w:rsid w:val="00F03BA5"/>
    <w:rsid w:val="00F04449"/>
    <w:rsid w:val="00F0495C"/>
    <w:rsid w:val="00F05BA0"/>
    <w:rsid w:val="00F05C4B"/>
    <w:rsid w:val="00F06305"/>
    <w:rsid w:val="00F06BAB"/>
    <w:rsid w:val="00F10281"/>
    <w:rsid w:val="00F1079B"/>
    <w:rsid w:val="00F1113F"/>
    <w:rsid w:val="00F11152"/>
    <w:rsid w:val="00F11A2E"/>
    <w:rsid w:val="00F1205D"/>
    <w:rsid w:val="00F13937"/>
    <w:rsid w:val="00F15297"/>
    <w:rsid w:val="00F170AB"/>
    <w:rsid w:val="00F1759B"/>
    <w:rsid w:val="00F17A71"/>
    <w:rsid w:val="00F20B2A"/>
    <w:rsid w:val="00F22E84"/>
    <w:rsid w:val="00F2432F"/>
    <w:rsid w:val="00F25B5E"/>
    <w:rsid w:val="00F3175A"/>
    <w:rsid w:val="00F3199E"/>
    <w:rsid w:val="00F3271A"/>
    <w:rsid w:val="00F339CD"/>
    <w:rsid w:val="00F33E7A"/>
    <w:rsid w:val="00F35B55"/>
    <w:rsid w:val="00F35D47"/>
    <w:rsid w:val="00F35EB6"/>
    <w:rsid w:val="00F366E2"/>
    <w:rsid w:val="00F36886"/>
    <w:rsid w:val="00F402A5"/>
    <w:rsid w:val="00F407D0"/>
    <w:rsid w:val="00F40E38"/>
    <w:rsid w:val="00F40EE0"/>
    <w:rsid w:val="00F4158A"/>
    <w:rsid w:val="00F41FBE"/>
    <w:rsid w:val="00F4263D"/>
    <w:rsid w:val="00F430F1"/>
    <w:rsid w:val="00F44DAE"/>
    <w:rsid w:val="00F47AB2"/>
    <w:rsid w:val="00F47CB9"/>
    <w:rsid w:val="00F47D4D"/>
    <w:rsid w:val="00F536E1"/>
    <w:rsid w:val="00F53E63"/>
    <w:rsid w:val="00F54C2F"/>
    <w:rsid w:val="00F550F8"/>
    <w:rsid w:val="00F55577"/>
    <w:rsid w:val="00F55AE9"/>
    <w:rsid w:val="00F55F0C"/>
    <w:rsid w:val="00F56666"/>
    <w:rsid w:val="00F56C79"/>
    <w:rsid w:val="00F62664"/>
    <w:rsid w:val="00F62CD7"/>
    <w:rsid w:val="00F648B5"/>
    <w:rsid w:val="00F64B61"/>
    <w:rsid w:val="00F70312"/>
    <w:rsid w:val="00F70876"/>
    <w:rsid w:val="00F708F9"/>
    <w:rsid w:val="00F70ABC"/>
    <w:rsid w:val="00F710F9"/>
    <w:rsid w:val="00F72BCD"/>
    <w:rsid w:val="00F72C4F"/>
    <w:rsid w:val="00F7404F"/>
    <w:rsid w:val="00F7452D"/>
    <w:rsid w:val="00F7528E"/>
    <w:rsid w:val="00F75A5E"/>
    <w:rsid w:val="00F77922"/>
    <w:rsid w:val="00F77B3B"/>
    <w:rsid w:val="00F8045C"/>
    <w:rsid w:val="00F822CF"/>
    <w:rsid w:val="00F833B9"/>
    <w:rsid w:val="00F834BC"/>
    <w:rsid w:val="00F8369A"/>
    <w:rsid w:val="00F837C0"/>
    <w:rsid w:val="00F83DC1"/>
    <w:rsid w:val="00F84017"/>
    <w:rsid w:val="00F84E68"/>
    <w:rsid w:val="00F85E7D"/>
    <w:rsid w:val="00F86366"/>
    <w:rsid w:val="00F87179"/>
    <w:rsid w:val="00F87193"/>
    <w:rsid w:val="00F900A8"/>
    <w:rsid w:val="00F9115D"/>
    <w:rsid w:val="00F92220"/>
    <w:rsid w:val="00F94FF7"/>
    <w:rsid w:val="00F955FC"/>
    <w:rsid w:val="00F968F2"/>
    <w:rsid w:val="00F9723B"/>
    <w:rsid w:val="00FA0112"/>
    <w:rsid w:val="00FA0E46"/>
    <w:rsid w:val="00FA2510"/>
    <w:rsid w:val="00FA2D09"/>
    <w:rsid w:val="00FA6CEA"/>
    <w:rsid w:val="00FA74BA"/>
    <w:rsid w:val="00FB1C4F"/>
    <w:rsid w:val="00FB2AA5"/>
    <w:rsid w:val="00FB57EB"/>
    <w:rsid w:val="00FB588C"/>
    <w:rsid w:val="00FB673B"/>
    <w:rsid w:val="00FB69D7"/>
    <w:rsid w:val="00FB713B"/>
    <w:rsid w:val="00FC0501"/>
    <w:rsid w:val="00FC1A4C"/>
    <w:rsid w:val="00FC1CC7"/>
    <w:rsid w:val="00FC237C"/>
    <w:rsid w:val="00FC5FB4"/>
    <w:rsid w:val="00FC6F03"/>
    <w:rsid w:val="00FC777F"/>
    <w:rsid w:val="00FC77BB"/>
    <w:rsid w:val="00FD2BA7"/>
    <w:rsid w:val="00FD3EB7"/>
    <w:rsid w:val="00FD480D"/>
    <w:rsid w:val="00FD5888"/>
    <w:rsid w:val="00FD5E83"/>
    <w:rsid w:val="00FD67C6"/>
    <w:rsid w:val="00FD6B7B"/>
    <w:rsid w:val="00FD78CB"/>
    <w:rsid w:val="00FD7F96"/>
    <w:rsid w:val="00FE03A9"/>
    <w:rsid w:val="00FE22B3"/>
    <w:rsid w:val="00FE4EF9"/>
    <w:rsid w:val="00FF0DF2"/>
    <w:rsid w:val="00FF22E8"/>
    <w:rsid w:val="00FF29C1"/>
    <w:rsid w:val="00FF2AE1"/>
    <w:rsid w:val="00FF5A82"/>
    <w:rsid w:val="00FF706C"/>
    <w:rsid w:val="00FF7A4C"/>
    <w:rsid w:val="00FF7B6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821DD39"/>
  <w15:docId w15:val="{AA4E06AC-8E80-44DC-9EA2-220A48F24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before="100" w:beforeAutospacing="1" w:after="100" w:afterAutospac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50BD"/>
    <w:pPr>
      <w:spacing w:before="0" w:beforeAutospacing="0" w:after="200" w:afterAutospacing="0" w:line="276" w:lineRule="auto"/>
    </w:pPr>
    <w:rPr>
      <w:lang w:val="en-US"/>
    </w:rPr>
  </w:style>
  <w:style w:type="paragraph" w:styleId="Heading1">
    <w:name w:val="heading 1"/>
    <w:basedOn w:val="Normal"/>
    <w:next w:val="Normal"/>
    <w:link w:val="Heading1Char"/>
    <w:uiPriority w:val="9"/>
    <w:qFormat/>
    <w:rsid w:val="005B5F4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BD0D0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50BD"/>
    <w:pPr>
      <w:ind w:left="720"/>
      <w:contextualSpacing/>
    </w:pPr>
  </w:style>
  <w:style w:type="paragraph" w:styleId="Header">
    <w:name w:val="header"/>
    <w:basedOn w:val="Normal"/>
    <w:link w:val="HeaderChar"/>
    <w:uiPriority w:val="99"/>
    <w:unhideWhenUsed/>
    <w:rsid w:val="002444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44FF"/>
    <w:rPr>
      <w:lang w:val="en-US"/>
    </w:rPr>
  </w:style>
  <w:style w:type="paragraph" w:styleId="Footer">
    <w:name w:val="footer"/>
    <w:basedOn w:val="Normal"/>
    <w:link w:val="FooterChar"/>
    <w:uiPriority w:val="99"/>
    <w:unhideWhenUsed/>
    <w:rsid w:val="002444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44FF"/>
    <w:rPr>
      <w:lang w:val="en-US"/>
    </w:rPr>
  </w:style>
  <w:style w:type="character" w:styleId="PlaceholderText">
    <w:name w:val="Placeholder Text"/>
    <w:basedOn w:val="DefaultParagraphFont"/>
    <w:uiPriority w:val="99"/>
    <w:semiHidden/>
    <w:rsid w:val="00A118F5"/>
    <w:rPr>
      <w:color w:val="808080"/>
    </w:rPr>
  </w:style>
  <w:style w:type="paragraph" w:styleId="BalloonText">
    <w:name w:val="Balloon Text"/>
    <w:basedOn w:val="Normal"/>
    <w:link w:val="BalloonTextChar"/>
    <w:uiPriority w:val="99"/>
    <w:semiHidden/>
    <w:unhideWhenUsed/>
    <w:rsid w:val="00A118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18F5"/>
    <w:rPr>
      <w:rFonts w:ascii="Tahoma" w:hAnsi="Tahoma" w:cs="Tahoma"/>
      <w:sz w:val="16"/>
      <w:szCs w:val="16"/>
      <w:lang w:val="en-US"/>
    </w:rPr>
  </w:style>
  <w:style w:type="character" w:styleId="CommentReference">
    <w:name w:val="annotation reference"/>
    <w:basedOn w:val="DefaultParagraphFont"/>
    <w:uiPriority w:val="99"/>
    <w:semiHidden/>
    <w:unhideWhenUsed/>
    <w:rsid w:val="004F6C78"/>
    <w:rPr>
      <w:sz w:val="18"/>
      <w:szCs w:val="18"/>
    </w:rPr>
  </w:style>
  <w:style w:type="paragraph" w:styleId="CommentText">
    <w:name w:val="annotation text"/>
    <w:basedOn w:val="Normal"/>
    <w:link w:val="CommentTextChar"/>
    <w:uiPriority w:val="99"/>
    <w:semiHidden/>
    <w:unhideWhenUsed/>
    <w:rsid w:val="004F6C78"/>
    <w:pPr>
      <w:spacing w:line="240" w:lineRule="auto"/>
    </w:pPr>
    <w:rPr>
      <w:sz w:val="24"/>
      <w:szCs w:val="24"/>
    </w:rPr>
  </w:style>
  <w:style w:type="character" w:customStyle="1" w:styleId="CommentTextChar">
    <w:name w:val="Comment Text Char"/>
    <w:basedOn w:val="DefaultParagraphFont"/>
    <w:link w:val="CommentText"/>
    <w:uiPriority w:val="99"/>
    <w:semiHidden/>
    <w:rsid w:val="004F6C78"/>
    <w:rPr>
      <w:sz w:val="24"/>
      <w:szCs w:val="24"/>
      <w:lang w:val="en-US"/>
    </w:rPr>
  </w:style>
  <w:style w:type="paragraph" w:styleId="CommentSubject">
    <w:name w:val="annotation subject"/>
    <w:basedOn w:val="CommentText"/>
    <w:next w:val="CommentText"/>
    <w:link w:val="CommentSubjectChar"/>
    <w:uiPriority w:val="99"/>
    <w:semiHidden/>
    <w:unhideWhenUsed/>
    <w:rsid w:val="004F6C78"/>
    <w:rPr>
      <w:b/>
      <w:bCs/>
      <w:sz w:val="20"/>
      <w:szCs w:val="20"/>
    </w:rPr>
  </w:style>
  <w:style w:type="character" w:customStyle="1" w:styleId="CommentSubjectChar">
    <w:name w:val="Comment Subject Char"/>
    <w:basedOn w:val="CommentTextChar"/>
    <w:link w:val="CommentSubject"/>
    <w:uiPriority w:val="99"/>
    <w:semiHidden/>
    <w:rsid w:val="004F6C78"/>
    <w:rPr>
      <w:b/>
      <w:bCs/>
      <w:sz w:val="20"/>
      <w:szCs w:val="20"/>
      <w:lang w:val="en-US"/>
    </w:rPr>
  </w:style>
  <w:style w:type="table" w:styleId="TableGrid">
    <w:name w:val="Table Grid"/>
    <w:basedOn w:val="TableNormal"/>
    <w:uiPriority w:val="59"/>
    <w:rsid w:val="00293DFE"/>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796B5A"/>
    <w:rPr>
      <w:i/>
      <w:iCs/>
    </w:rPr>
  </w:style>
  <w:style w:type="paragraph" w:styleId="Revision">
    <w:name w:val="Revision"/>
    <w:hidden/>
    <w:uiPriority w:val="99"/>
    <w:semiHidden/>
    <w:rsid w:val="00240E86"/>
    <w:pPr>
      <w:spacing w:before="0" w:beforeAutospacing="0" w:after="0" w:afterAutospacing="0"/>
    </w:pPr>
    <w:rPr>
      <w:lang w:val="en-US"/>
    </w:rPr>
  </w:style>
  <w:style w:type="character" w:styleId="Hyperlink">
    <w:name w:val="Hyperlink"/>
    <w:basedOn w:val="DefaultParagraphFont"/>
    <w:uiPriority w:val="99"/>
    <w:unhideWhenUsed/>
    <w:rsid w:val="008E32C6"/>
    <w:rPr>
      <w:color w:val="0000FF" w:themeColor="hyperlink"/>
      <w:u w:val="single"/>
    </w:rPr>
  </w:style>
  <w:style w:type="table" w:customStyle="1" w:styleId="TableGrid1">
    <w:name w:val="Table Grid1"/>
    <w:basedOn w:val="TableNormal"/>
    <w:next w:val="TableGrid"/>
    <w:uiPriority w:val="59"/>
    <w:rsid w:val="00D32A16"/>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76729"/>
    <w:pPr>
      <w:spacing w:before="0" w:beforeAutospacing="0" w:after="0" w:afterAutospacing="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1221C8"/>
    <w:pPr>
      <w:spacing w:before="0" w:beforeAutospacing="0" w:after="0" w:afterAutospacing="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5C4A49"/>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5C4A49"/>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D0D06"/>
    <w:rPr>
      <w:rFonts w:asciiTheme="majorHAnsi" w:eastAsiaTheme="majorEastAsia" w:hAnsiTheme="majorHAnsi" w:cstheme="majorBidi"/>
      <w:b/>
      <w:bCs/>
      <w:color w:val="4F81BD" w:themeColor="accent1"/>
      <w:sz w:val="26"/>
      <w:szCs w:val="26"/>
      <w:lang w:val="en-US"/>
    </w:rPr>
  </w:style>
  <w:style w:type="character" w:customStyle="1" w:styleId="maintitle">
    <w:name w:val="maintitle"/>
    <w:basedOn w:val="DefaultParagraphFont"/>
    <w:rsid w:val="00EA1463"/>
  </w:style>
  <w:style w:type="character" w:customStyle="1" w:styleId="apple-converted-space">
    <w:name w:val="apple-converted-space"/>
    <w:basedOn w:val="DefaultParagraphFont"/>
    <w:rsid w:val="00EA1463"/>
  </w:style>
  <w:style w:type="character" w:customStyle="1" w:styleId="slug-vol">
    <w:name w:val="slug-vol"/>
    <w:basedOn w:val="DefaultParagraphFont"/>
    <w:rsid w:val="00EA1463"/>
  </w:style>
  <w:style w:type="character" w:customStyle="1" w:styleId="slug-issue">
    <w:name w:val="slug-issue"/>
    <w:basedOn w:val="DefaultParagraphFont"/>
    <w:rsid w:val="00EA1463"/>
  </w:style>
  <w:style w:type="character" w:customStyle="1" w:styleId="slug-pages">
    <w:name w:val="slug-pages"/>
    <w:basedOn w:val="DefaultParagraphFont"/>
    <w:rsid w:val="00EA1463"/>
  </w:style>
  <w:style w:type="character" w:styleId="Strong">
    <w:name w:val="Strong"/>
    <w:basedOn w:val="DefaultParagraphFont"/>
    <w:uiPriority w:val="22"/>
    <w:qFormat/>
    <w:rsid w:val="00EA1463"/>
    <w:rPr>
      <w:b/>
      <w:bCs/>
    </w:rPr>
  </w:style>
  <w:style w:type="paragraph" w:styleId="FootnoteText">
    <w:name w:val="footnote text"/>
    <w:basedOn w:val="Normal"/>
    <w:link w:val="FootnoteTextChar"/>
    <w:uiPriority w:val="99"/>
    <w:semiHidden/>
    <w:unhideWhenUsed/>
    <w:rsid w:val="006D60E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D60E1"/>
    <w:rPr>
      <w:sz w:val="20"/>
      <w:szCs w:val="20"/>
      <w:lang w:val="en-US"/>
    </w:rPr>
  </w:style>
  <w:style w:type="character" w:styleId="FootnoteReference">
    <w:name w:val="footnote reference"/>
    <w:basedOn w:val="DefaultParagraphFont"/>
    <w:uiPriority w:val="99"/>
    <w:semiHidden/>
    <w:unhideWhenUsed/>
    <w:rsid w:val="006D60E1"/>
    <w:rPr>
      <w:vertAlign w:val="superscript"/>
    </w:rPr>
  </w:style>
  <w:style w:type="paragraph" w:styleId="ListBullet">
    <w:name w:val="List Bullet"/>
    <w:basedOn w:val="Normal"/>
    <w:uiPriority w:val="99"/>
    <w:unhideWhenUsed/>
    <w:rsid w:val="006A425C"/>
    <w:pPr>
      <w:numPr>
        <w:numId w:val="26"/>
      </w:numPr>
      <w:contextualSpacing/>
    </w:pPr>
  </w:style>
  <w:style w:type="character" w:customStyle="1" w:styleId="Heading1Char">
    <w:name w:val="Heading 1 Char"/>
    <w:basedOn w:val="DefaultParagraphFont"/>
    <w:link w:val="Heading1"/>
    <w:uiPriority w:val="9"/>
    <w:rsid w:val="005B5F43"/>
    <w:rPr>
      <w:rFonts w:asciiTheme="majorHAnsi" w:eastAsiaTheme="majorEastAsia" w:hAnsiTheme="majorHAnsi" w:cstheme="majorBidi"/>
      <w:color w:val="365F91" w:themeColor="accent1" w:themeShade="BF"/>
      <w:sz w:val="32"/>
      <w:szCs w:val="32"/>
      <w:lang w:val="en-US"/>
    </w:rPr>
  </w:style>
  <w:style w:type="paragraph" w:customStyle="1" w:styleId="volissue">
    <w:name w:val="volissue"/>
    <w:basedOn w:val="Normal"/>
    <w:rsid w:val="005B5F4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specissuetitle">
    <w:name w:val="specissuetitle"/>
    <w:basedOn w:val="Normal"/>
    <w:rsid w:val="005B5F4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collapsetext">
    <w:name w:val="collapsetext"/>
    <w:basedOn w:val="DefaultParagraphFont"/>
    <w:rsid w:val="005B5F43"/>
  </w:style>
  <w:style w:type="character" w:customStyle="1" w:styleId="showinfo">
    <w:name w:val="showinfo"/>
    <w:basedOn w:val="DefaultParagraphFont"/>
    <w:rsid w:val="005B5F43"/>
  </w:style>
  <w:style w:type="table" w:customStyle="1" w:styleId="TableGrid21">
    <w:name w:val="Table Grid21"/>
    <w:basedOn w:val="TableNormal"/>
    <w:next w:val="TableGrid"/>
    <w:uiPriority w:val="59"/>
    <w:rsid w:val="00B75F05"/>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B75F05"/>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86851">
      <w:bodyDiv w:val="1"/>
      <w:marLeft w:val="0"/>
      <w:marRight w:val="0"/>
      <w:marTop w:val="0"/>
      <w:marBottom w:val="0"/>
      <w:divBdr>
        <w:top w:val="none" w:sz="0" w:space="0" w:color="auto"/>
        <w:left w:val="none" w:sz="0" w:space="0" w:color="auto"/>
        <w:bottom w:val="none" w:sz="0" w:space="0" w:color="auto"/>
        <w:right w:val="none" w:sz="0" w:space="0" w:color="auto"/>
      </w:divBdr>
      <w:divsChild>
        <w:div w:id="1683706952">
          <w:marLeft w:val="0"/>
          <w:marRight w:val="0"/>
          <w:marTop w:val="0"/>
          <w:marBottom w:val="0"/>
          <w:divBdr>
            <w:top w:val="none" w:sz="0" w:space="0" w:color="auto"/>
            <w:left w:val="none" w:sz="0" w:space="0" w:color="auto"/>
            <w:bottom w:val="none" w:sz="0" w:space="0" w:color="auto"/>
            <w:right w:val="none" w:sz="0" w:space="0" w:color="auto"/>
          </w:divBdr>
          <w:divsChild>
            <w:div w:id="449319079">
              <w:marLeft w:val="0"/>
              <w:marRight w:val="0"/>
              <w:marTop w:val="0"/>
              <w:marBottom w:val="0"/>
              <w:divBdr>
                <w:top w:val="none" w:sz="0" w:space="0" w:color="auto"/>
                <w:left w:val="none" w:sz="0" w:space="0" w:color="auto"/>
                <w:bottom w:val="none" w:sz="0" w:space="0" w:color="auto"/>
                <w:right w:val="none" w:sz="0" w:space="0" w:color="auto"/>
              </w:divBdr>
              <w:divsChild>
                <w:div w:id="514416510">
                  <w:marLeft w:val="0"/>
                  <w:marRight w:val="0"/>
                  <w:marTop w:val="0"/>
                  <w:marBottom w:val="0"/>
                  <w:divBdr>
                    <w:top w:val="none" w:sz="0" w:space="0" w:color="auto"/>
                    <w:left w:val="none" w:sz="0" w:space="0" w:color="auto"/>
                    <w:bottom w:val="none" w:sz="0" w:space="0" w:color="auto"/>
                    <w:right w:val="none" w:sz="0" w:space="0" w:color="auto"/>
                  </w:divBdr>
                  <w:divsChild>
                    <w:div w:id="1423067792">
                      <w:marLeft w:val="0"/>
                      <w:marRight w:val="0"/>
                      <w:marTop w:val="0"/>
                      <w:marBottom w:val="0"/>
                      <w:divBdr>
                        <w:top w:val="none" w:sz="0" w:space="0" w:color="auto"/>
                        <w:left w:val="none" w:sz="0" w:space="0" w:color="auto"/>
                        <w:bottom w:val="none" w:sz="0" w:space="0" w:color="auto"/>
                        <w:right w:val="none" w:sz="0" w:space="0" w:color="auto"/>
                      </w:divBdr>
                      <w:divsChild>
                        <w:div w:id="96364977">
                          <w:marLeft w:val="0"/>
                          <w:marRight w:val="0"/>
                          <w:marTop w:val="0"/>
                          <w:marBottom w:val="0"/>
                          <w:divBdr>
                            <w:top w:val="none" w:sz="0" w:space="0" w:color="auto"/>
                            <w:left w:val="none" w:sz="0" w:space="0" w:color="auto"/>
                            <w:bottom w:val="none" w:sz="0" w:space="0" w:color="auto"/>
                            <w:right w:val="none" w:sz="0" w:space="0" w:color="auto"/>
                          </w:divBdr>
                          <w:divsChild>
                            <w:div w:id="193574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189233">
      <w:bodyDiv w:val="1"/>
      <w:marLeft w:val="0"/>
      <w:marRight w:val="0"/>
      <w:marTop w:val="0"/>
      <w:marBottom w:val="0"/>
      <w:divBdr>
        <w:top w:val="none" w:sz="0" w:space="0" w:color="auto"/>
        <w:left w:val="none" w:sz="0" w:space="0" w:color="auto"/>
        <w:bottom w:val="none" w:sz="0" w:space="0" w:color="auto"/>
        <w:right w:val="none" w:sz="0" w:space="0" w:color="auto"/>
      </w:divBdr>
    </w:div>
    <w:div w:id="256639529">
      <w:bodyDiv w:val="1"/>
      <w:marLeft w:val="0"/>
      <w:marRight w:val="0"/>
      <w:marTop w:val="0"/>
      <w:marBottom w:val="0"/>
      <w:divBdr>
        <w:top w:val="none" w:sz="0" w:space="0" w:color="auto"/>
        <w:left w:val="none" w:sz="0" w:space="0" w:color="auto"/>
        <w:bottom w:val="none" w:sz="0" w:space="0" w:color="auto"/>
        <w:right w:val="none" w:sz="0" w:space="0" w:color="auto"/>
      </w:divBdr>
    </w:div>
    <w:div w:id="270863786">
      <w:bodyDiv w:val="1"/>
      <w:marLeft w:val="0"/>
      <w:marRight w:val="0"/>
      <w:marTop w:val="0"/>
      <w:marBottom w:val="0"/>
      <w:divBdr>
        <w:top w:val="none" w:sz="0" w:space="0" w:color="auto"/>
        <w:left w:val="none" w:sz="0" w:space="0" w:color="auto"/>
        <w:bottom w:val="none" w:sz="0" w:space="0" w:color="auto"/>
        <w:right w:val="none" w:sz="0" w:space="0" w:color="auto"/>
      </w:divBdr>
    </w:div>
    <w:div w:id="600379929">
      <w:bodyDiv w:val="1"/>
      <w:marLeft w:val="0"/>
      <w:marRight w:val="0"/>
      <w:marTop w:val="0"/>
      <w:marBottom w:val="0"/>
      <w:divBdr>
        <w:top w:val="none" w:sz="0" w:space="0" w:color="auto"/>
        <w:left w:val="none" w:sz="0" w:space="0" w:color="auto"/>
        <w:bottom w:val="none" w:sz="0" w:space="0" w:color="auto"/>
        <w:right w:val="none" w:sz="0" w:space="0" w:color="auto"/>
      </w:divBdr>
      <w:divsChild>
        <w:div w:id="1322466866">
          <w:marLeft w:val="0"/>
          <w:marRight w:val="0"/>
          <w:marTop w:val="0"/>
          <w:marBottom w:val="0"/>
          <w:divBdr>
            <w:top w:val="none" w:sz="0" w:space="0" w:color="auto"/>
            <w:left w:val="none" w:sz="0" w:space="0" w:color="auto"/>
            <w:bottom w:val="none" w:sz="0" w:space="0" w:color="auto"/>
            <w:right w:val="none" w:sz="0" w:space="0" w:color="auto"/>
          </w:divBdr>
          <w:divsChild>
            <w:div w:id="421343351">
              <w:marLeft w:val="0"/>
              <w:marRight w:val="0"/>
              <w:marTop w:val="0"/>
              <w:marBottom w:val="0"/>
              <w:divBdr>
                <w:top w:val="none" w:sz="0" w:space="0" w:color="auto"/>
                <w:left w:val="none" w:sz="0" w:space="0" w:color="auto"/>
                <w:bottom w:val="none" w:sz="0" w:space="0" w:color="auto"/>
                <w:right w:val="none" w:sz="0" w:space="0" w:color="auto"/>
              </w:divBdr>
              <w:divsChild>
                <w:div w:id="1111977752">
                  <w:marLeft w:val="0"/>
                  <w:marRight w:val="0"/>
                  <w:marTop w:val="0"/>
                  <w:marBottom w:val="0"/>
                  <w:divBdr>
                    <w:top w:val="none" w:sz="0" w:space="0" w:color="auto"/>
                    <w:left w:val="none" w:sz="0" w:space="0" w:color="auto"/>
                    <w:bottom w:val="none" w:sz="0" w:space="0" w:color="auto"/>
                    <w:right w:val="none" w:sz="0" w:space="0" w:color="auto"/>
                  </w:divBdr>
                  <w:divsChild>
                    <w:div w:id="328750338">
                      <w:marLeft w:val="0"/>
                      <w:marRight w:val="0"/>
                      <w:marTop w:val="0"/>
                      <w:marBottom w:val="0"/>
                      <w:divBdr>
                        <w:top w:val="none" w:sz="0" w:space="0" w:color="auto"/>
                        <w:left w:val="none" w:sz="0" w:space="0" w:color="auto"/>
                        <w:bottom w:val="none" w:sz="0" w:space="0" w:color="auto"/>
                        <w:right w:val="none" w:sz="0" w:space="0" w:color="auto"/>
                      </w:divBdr>
                      <w:divsChild>
                        <w:div w:id="1882283785">
                          <w:marLeft w:val="0"/>
                          <w:marRight w:val="0"/>
                          <w:marTop w:val="0"/>
                          <w:marBottom w:val="0"/>
                          <w:divBdr>
                            <w:top w:val="none" w:sz="0" w:space="0" w:color="auto"/>
                            <w:left w:val="none" w:sz="0" w:space="0" w:color="auto"/>
                            <w:bottom w:val="none" w:sz="0" w:space="0" w:color="auto"/>
                            <w:right w:val="none" w:sz="0" w:space="0" w:color="auto"/>
                          </w:divBdr>
                          <w:divsChild>
                            <w:div w:id="15519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3868665">
      <w:bodyDiv w:val="1"/>
      <w:marLeft w:val="0"/>
      <w:marRight w:val="0"/>
      <w:marTop w:val="0"/>
      <w:marBottom w:val="0"/>
      <w:divBdr>
        <w:top w:val="none" w:sz="0" w:space="0" w:color="auto"/>
        <w:left w:val="none" w:sz="0" w:space="0" w:color="auto"/>
        <w:bottom w:val="none" w:sz="0" w:space="0" w:color="auto"/>
        <w:right w:val="none" w:sz="0" w:space="0" w:color="auto"/>
      </w:divBdr>
      <w:divsChild>
        <w:div w:id="34087915">
          <w:marLeft w:val="0"/>
          <w:marRight w:val="0"/>
          <w:marTop w:val="225"/>
          <w:marBottom w:val="180"/>
          <w:divBdr>
            <w:top w:val="single" w:sz="6" w:space="0" w:color="D7D7D7"/>
            <w:left w:val="none" w:sz="0" w:space="0" w:color="auto"/>
            <w:bottom w:val="single" w:sz="6" w:space="0" w:color="D7D7D7"/>
            <w:right w:val="none" w:sz="0" w:space="0" w:color="auto"/>
          </w:divBdr>
          <w:divsChild>
            <w:div w:id="1705715307">
              <w:marLeft w:val="0"/>
              <w:marRight w:val="0"/>
              <w:marTop w:val="0"/>
              <w:marBottom w:val="0"/>
              <w:divBdr>
                <w:top w:val="none" w:sz="0" w:space="0" w:color="auto"/>
                <w:left w:val="none" w:sz="0" w:space="0" w:color="auto"/>
                <w:bottom w:val="none" w:sz="0" w:space="0" w:color="auto"/>
                <w:right w:val="none" w:sz="0" w:space="0" w:color="auto"/>
              </w:divBdr>
            </w:div>
            <w:div w:id="2028173824">
              <w:marLeft w:val="0"/>
              <w:marRight w:val="0"/>
              <w:marTop w:val="0"/>
              <w:marBottom w:val="0"/>
              <w:divBdr>
                <w:top w:val="none" w:sz="0" w:space="0" w:color="auto"/>
                <w:left w:val="none" w:sz="0" w:space="0" w:color="auto"/>
                <w:bottom w:val="none" w:sz="0" w:space="0" w:color="auto"/>
                <w:right w:val="none" w:sz="0" w:space="0" w:color="auto"/>
              </w:divBdr>
            </w:div>
          </w:divsChild>
        </w:div>
        <w:div w:id="1308822334">
          <w:marLeft w:val="0"/>
          <w:marRight w:val="0"/>
          <w:marTop w:val="0"/>
          <w:marBottom w:val="0"/>
          <w:divBdr>
            <w:top w:val="none" w:sz="0" w:space="0" w:color="auto"/>
            <w:left w:val="none" w:sz="0" w:space="0" w:color="auto"/>
            <w:bottom w:val="none" w:sz="0" w:space="0" w:color="auto"/>
            <w:right w:val="none" w:sz="0" w:space="0" w:color="auto"/>
          </w:divBdr>
        </w:div>
      </w:divsChild>
    </w:div>
    <w:div w:id="1654524357">
      <w:bodyDiv w:val="1"/>
      <w:marLeft w:val="0"/>
      <w:marRight w:val="0"/>
      <w:marTop w:val="0"/>
      <w:marBottom w:val="0"/>
      <w:divBdr>
        <w:top w:val="none" w:sz="0" w:space="0" w:color="auto"/>
        <w:left w:val="none" w:sz="0" w:space="0" w:color="auto"/>
        <w:bottom w:val="none" w:sz="0" w:space="0" w:color="auto"/>
        <w:right w:val="none" w:sz="0" w:space="0" w:color="auto"/>
      </w:divBdr>
    </w:div>
    <w:div w:id="1873036548">
      <w:bodyDiv w:val="1"/>
      <w:marLeft w:val="0"/>
      <w:marRight w:val="0"/>
      <w:marTop w:val="0"/>
      <w:marBottom w:val="0"/>
      <w:divBdr>
        <w:top w:val="none" w:sz="0" w:space="0" w:color="auto"/>
        <w:left w:val="none" w:sz="0" w:space="0" w:color="auto"/>
        <w:bottom w:val="none" w:sz="0" w:space="0" w:color="auto"/>
        <w:right w:val="none" w:sz="0" w:space="0" w:color="auto"/>
      </w:divBdr>
    </w:div>
    <w:div w:id="1988969958">
      <w:bodyDiv w:val="1"/>
      <w:marLeft w:val="0"/>
      <w:marRight w:val="0"/>
      <w:marTop w:val="0"/>
      <w:marBottom w:val="0"/>
      <w:divBdr>
        <w:top w:val="none" w:sz="0" w:space="0" w:color="auto"/>
        <w:left w:val="none" w:sz="0" w:space="0" w:color="auto"/>
        <w:bottom w:val="none" w:sz="0" w:space="0" w:color="auto"/>
        <w:right w:val="none" w:sz="0" w:space="0" w:color="auto"/>
      </w:divBdr>
      <w:divsChild>
        <w:div w:id="1481993427">
          <w:marLeft w:val="0"/>
          <w:marRight w:val="0"/>
          <w:marTop w:val="0"/>
          <w:marBottom w:val="0"/>
          <w:divBdr>
            <w:top w:val="none" w:sz="0" w:space="0" w:color="auto"/>
            <w:left w:val="none" w:sz="0" w:space="0" w:color="auto"/>
            <w:bottom w:val="none" w:sz="0" w:space="0" w:color="auto"/>
            <w:right w:val="none" w:sz="0" w:space="0" w:color="auto"/>
          </w:divBdr>
          <w:divsChild>
            <w:div w:id="591471984">
              <w:marLeft w:val="0"/>
              <w:marRight w:val="0"/>
              <w:marTop w:val="0"/>
              <w:marBottom w:val="0"/>
              <w:divBdr>
                <w:top w:val="none" w:sz="0" w:space="0" w:color="auto"/>
                <w:left w:val="none" w:sz="0" w:space="0" w:color="auto"/>
                <w:bottom w:val="none" w:sz="0" w:space="0" w:color="auto"/>
                <w:right w:val="none" w:sz="0" w:space="0" w:color="auto"/>
              </w:divBdr>
              <w:divsChild>
                <w:div w:id="810026529">
                  <w:marLeft w:val="0"/>
                  <w:marRight w:val="0"/>
                  <w:marTop w:val="0"/>
                  <w:marBottom w:val="0"/>
                  <w:divBdr>
                    <w:top w:val="none" w:sz="0" w:space="0" w:color="auto"/>
                    <w:left w:val="none" w:sz="0" w:space="0" w:color="auto"/>
                    <w:bottom w:val="none" w:sz="0" w:space="0" w:color="auto"/>
                    <w:right w:val="none" w:sz="0" w:space="0" w:color="auto"/>
                  </w:divBdr>
                  <w:divsChild>
                    <w:div w:id="66417243">
                      <w:marLeft w:val="0"/>
                      <w:marRight w:val="0"/>
                      <w:marTop w:val="0"/>
                      <w:marBottom w:val="0"/>
                      <w:divBdr>
                        <w:top w:val="none" w:sz="0" w:space="0" w:color="auto"/>
                        <w:left w:val="none" w:sz="0" w:space="0" w:color="auto"/>
                        <w:bottom w:val="none" w:sz="0" w:space="0" w:color="auto"/>
                        <w:right w:val="none" w:sz="0" w:space="0" w:color="auto"/>
                      </w:divBdr>
                      <w:divsChild>
                        <w:div w:id="1926303431">
                          <w:marLeft w:val="0"/>
                          <w:marRight w:val="0"/>
                          <w:marTop w:val="0"/>
                          <w:marBottom w:val="0"/>
                          <w:divBdr>
                            <w:top w:val="none" w:sz="0" w:space="0" w:color="auto"/>
                            <w:left w:val="none" w:sz="0" w:space="0" w:color="auto"/>
                            <w:bottom w:val="none" w:sz="0" w:space="0" w:color="auto"/>
                            <w:right w:val="none" w:sz="0" w:space="0" w:color="auto"/>
                          </w:divBdr>
                          <w:divsChild>
                            <w:div w:id="1275790923">
                              <w:marLeft w:val="0"/>
                              <w:marRight w:val="0"/>
                              <w:marTop w:val="0"/>
                              <w:marBottom w:val="0"/>
                              <w:divBdr>
                                <w:top w:val="single" w:sz="6" w:space="0" w:color="auto"/>
                                <w:left w:val="single" w:sz="6" w:space="0" w:color="auto"/>
                                <w:bottom w:val="single" w:sz="6" w:space="0" w:color="auto"/>
                                <w:right w:val="single" w:sz="6" w:space="0" w:color="auto"/>
                              </w:divBdr>
                              <w:divsChild>
                                <w:div w:id="1585609525">
                                  <w:marLeft w:val="0"/>
                                  <w:marRight w:val="0"/>
                                  <w:marTop w:val="0"/>
                                  <w:marBottom w:val="0"/>
                                  <w:divBdr>
                                    <w:top w:val="none" w:sz="0" w:space="0" w:color="auto"/>
                                    <w:left w:val="none" w:sz="0" w:space="0" w:color="auto"/>
                                    <w:bottom w:val="none" w:sz="0" w:space="0" w:color="auto"/>
                                    <w:right w:val="none" w:sz="0" w:space="0" w:color="auto"/>
                                  </w:divBdr>
                                  <w:divsChild>
                                    <w:div w:id="1780444090">
                                      <w:marLeft w:val="0"/>
                                      <w:marRight w:val="0"/>
                                      <w:marTop w:val="0"/>
                                      <w:marBottom w:val="0"/>
                                      <w:divBdr>
                                        <w:top w:val="none" w:sz="0" w:space="0" w:color="auto"/>
                                        <w:left w:val="none" w:sz="0" w:space="0" w:color="auto"/>
                                        <w:bottom w:val="none" w:sz="0" w:space="0" w:color="auto"/>
                                        <w:right w:val="none" w:sz="0" w:space="0" w:color="auto"/>
                                      </w:divBdr>
                                      <w:divsChild>
                                        <w:div w:id="492373292">
                                          <w:marLeft w:val="0"/>
                                          <w:marRight w:val="0"/>
                                          <w:marTop w:val="0"/>
                                          <w:marBottom w:val="0"/>
                                          <w:divBdr>
                                            <w:top w:val="none" w:sz="0" w:space="0" w:color="auto"/>
                                            <w:left w:val="none" w:sz="0" w:space="0" w:color="auto"/>
                                            <w:bottom w:val="none" w:sz="0" w:space="0" w:color="auto"/>
                                            <w:right w:val="none" w:sz="0" w:space="0" w:color="auto"/>
                                          </w:divBdr>
                                          <w:divsChild>
                                            <w:div w:id="619147796">
                                              <w:marLeft w:val="0"/>
                                              <w:marRight w:val="0"/>
                                              <w:marTop w:val="0"/>
                                              <w:marBottom w:val="0"/>
                                              <w:divBdr>
                                                <w:top w:val="none" w:sz="0" w:space="0" w:color="auto"/>
                                                <w:left w:val="none" w:sz="0" w:space="0" w:color="auto"/>
                                                <w:bottom w:val="none" w:sz="0" w:space="0" w:color="auto"/>
                                                <w:right w:val="none" w:sz="0" w:space="0" w:color="auto"/>
                                              </w:divBdr>
                                              <w:divsChild>
                                                <w:div w:id="1073503062">
                                                  <w:marLeft w:val="0"/>
                                                  <w:marRight w:val="0"/>
                                                  <w:marTop w:val="0"/>
                                                  <w:marBottom w:val="0"/>
                                                  <w:divBdr>
                                                    <w:top w:val="none" w:sz="0" w:space="0" w:color="auto"/>
                                                    <w:left w:val="none" w:sz="0" w:space="0" w:color="auto"/>
                                                    <w:bottom w:val="none" w:sz="0" w:space="0" w:color="auto"/>
                                                    <w:right w:val="none" w:sz="0" w:space="0" w:color="auto"/>
                                                  </w:divBdr>
                                                  <w:divsChild>
                                                    <w:div w:id="901720816">
                                                      <w:marLeft w:val="0"/>
                                                      <w:marRight w:val="0"/>
                                                      <w:marTop w:val="0"/>
                                                      <w:marBottom w:val="0"/>
                                                      <w:divBdr>
                                                        <w:top w:val="none" w:sz="0" w:space="0" w:color="auto"/>
                                                        <w:left w:val="none" w:sz="0" w:space="0" w:color="auto"/>
                                                        <w:bottom w:val="none" w:sz="0" w:space="0" w:color="auto"/>
                                                        <w:right w:val="none" w:sz="0" w:space="0" w:color="auto"/>
                                                      </w:divBdr>
                                                      <w:divsChild>
                                                        <w:div w:id="523204244">
                                                          <w:marLeft w:val="0"/>
                                                          <w:marRight w:val="0"/>
                                                          <w:marTop w:val="0"/>
                                                          <w:marBottom w:val="0"/>
                                                          <w:divBdr>
                                                            <w:top w:val="none" w:sz="0" w:space="0" w:color="auto"/>
                                                            <w:left w:val="none" w:sz="0" w:space="0" w:color="auto"/>
                                                            <w:bottom w:val="none" w:sz="0" w:space="0" w:color="auto"/>
                                                            <w:right w:val="none" w:sz="0" w:space="0" w:color="auto"/>
                                                          </w:divBdr>
                                                          <w:divsChild>
                                                            <w:div w:id="1290475699">
                                                              <w:marLeft w:val="0"/>
                                                              <w:marRight w:val="0"/>
                                                              <w:marTop w:val="0"/>
                                                              <w:marBottom w:val="0"/>
                                                              <w:divBdr>
                                                                <w:top w:val="none" w:sz="0" w:space="0" w:color="auto"/>
                                                                <w:left w:val="none" w:sz="0" w:space="0" w:color="auto"/>
                                                                <w:bottom w:val="none" w:sz="0" w:space="0" w:color="auto"/>
                                                                <w:right w:val="none" w:sz="0" w:space="0" w:color="auto"/>
                                                              </w:divBdr>
                                                              <w:divsChild>
                                                                <w:div w:id="211960909">
                                                                  <w:marLeft w:val="405"/>
                                                                  <w:marRight w:val="0"/>
                                                                  <w:marTop w:val="0"/>
                                                                  <w:marBottom w:val="0"/>
                                                                  <w:divBdr>
                                                                    <w:top w:val="none" w:sz="0" w:space="0" w:color="auto"/>
                                                                    <w:left w:val="none" w:sz="0" w:space="0" w:color="auto"/>
                                                                    <w:bottom w:val="none" w:sz="0" w:space="0" w:color="auto"/>
                                                                    <w:right w:val="none" w:sz="0" w:space="0" w:color="auto"/>
                                                                  </w:divBdr>
                                                                  <w:divsChild>
                                                                    <w:div w:id="1664703188">
                                                                      <w:marLeft w:val="0"/>
                                                                      <w:marRight w:val="0"/>
                                                                      <w:marTop w:val="0"/>
                                                                      <w:marBottom w:val="0"/>
                                                                      <w:divBdr>
                                                                        <w:top w:val="none" w:sz="0" w:space="0" w:color="auto"/>
                                                                        <w:left w:val="none" w:sz="0" w:space="0" w:color="auto"/>
                                                                        <w:bottom w:val="none" w:sz="0" w:space="0" w:color="auto"/>
                                                                        <w:right w:val="none" w:sz="0" w:space="0" w:color="auto"/>
                                                                      </w:divBdr>
                                                                      <w:divsChild>
                                                                        <w:div w:id="70396977">
                                                                          <w:marLeft w:val="0"/>
                                                                          <w:marRight w:val="0"/>
                                                                          <w:marTop w:val="0"/>
                                                                          <w:marBottom w:val="0"/>
                                                                          <w:divBdr>
                                                                            <w:top w:val="none" w:sz="0" w:space="0" w:color="auto"/>
                                                                            <w:left w:val="none" w:sz="0" w:space="0" w:color="auto"/>
                                                                            <w:bottom w:val="none" w:sz="0" w:space="0" w:color="auto"/>
                                                                            <w:right w:val="none" w:sz="0" w:space="0" w:color="auto"/>
                                                                          </w:divBdr>
                                                                          <w:divsChild>
                                                                            <w:div w:id="1189028086">
                                                                              <w:marLeft w:val="0"/>
                                                                              <w:marRight w:val="0"/>
                                                                              <w:marTop w:val="0"/>
                                                                              <w:marBottom w:val="0"/>
                                                                              <w:divBdr>
                                                                                <w:top w:val="none" w:sz="0" w:space="0" w:color="auto"/>
                                                                                <w:left w:val="none" w:sz="0" w:space="0" w:color="auto"/>
                                                                                <w:bottom w:val="none" w:sz="0" w:space="0" w:color="auto"/>
                                                                                <w:right w:val="none" w:sz="0" w:space="0" w:color="auto"/>
                                                                              </w:divBdr>
                                                                              <w:divsChild>
                                                                                <w:div w:id="263539963">
                                                                                  <w:marLeft w:val="0"/>
                                                                                  <w:marRight w:val="0"/>
                                                                                  <w:marTop w:val="0"/>
                                                                                  <w:marBottom w:val="0"/>
                                                                                  <w:divBdr>
                                                                                    <w:top w:val="none" w:sz="0" w:space="0" w:color="auto"/>
                                                                                    <w:left w:val="none" w:sz="0" w:space="0" w:color="auto"/>
                                                                                    <w:bottom w:val="none" w:sz="0" w:space="0" w:color="auto"/>
                                                                                    <w:right w:val="none" w:sz="0" w:space="0" w:color="auto"/>
                                                                                  </w:divBdr>
                                                                                  <w:divsChild>
                                                                                    <w:div w:id="272058950">
                                                                                      <w:marLeft w:val="0"/>
                                                                                      <w:marRight w:val="0"/>
                                                                                      <w:marTop w:val="0"/>
                                                                                      <w:marBottom w:val="0"/>
                                                                                      <w:divBdr>
                                                                                        <w:top w:val="none" w:sz="0" w:space="0" w:color="auto"/>
                                                                                        <w:left w:val="none" w:sz="0" w:space="0" w:color="auto"/>
                                                                                        <w:bottom w:val="none" w:sz="0" w:space="0" w:color="auto"/>
                                                                                        <w:right w:val="none" w:sz="0" w:space="0" w:color="auto"/>
                                                                                      </w:divBdr>
                                                                                      <w:divsChild>
                                                                                        <w:div w:id="624312165">
                                                                                          <w:marLeft w:val="0"/>
                                                                                          <w:marRight w:val="0"/>
                                                                                          <w:marTop w:val="0"/>
                                                                                          <w:marBottom w:val="0"/>
                                                                                          <w:divBdr>
                                                                                            <w:top w:val="none" w:sz="0" w:space="0" w:color="auto"/>
                                                                                            <w:left w:val="none" w:sz="0" w:space="0" w:color="auto"/>
                                                                                            <w:bottom w:val="none" w:sz="0" w:space="0" w:color="auto"/>
                                                                                            <w:right w:val="none" w:sz="0" w:space="0" w:color="auto"/>
                                                                                          </w:divBdr>
                                                                                          <w:divsChild>
                                                                                            <w:div w:id="24721860">
                                                                                              <w:marLeft w:val="0"/>
                                                                                              <w:marRight w:val="0"/>
                                                                                              <w:marTop w:val="15"/>
                                                                                              <w:marBottom w:val="0"/>
                                                                                              <w:divBdr>
                                                                                                <w:top w:val="none" w:sz="0" w:space="0" w:color="auto"/>
                                                                                                <w:left w:val="none" w:sz="0" w:space="0" w:color="auto"/>
                                                                                                <w:bottom w:val="single" w:sz="6" w:space="15" w:color="auto"/>
                                                                                                <w:right w:val="none" w:sz="0" w:space="0" w:color="auto"/>
                                                                                              </w:divBdr>
                                                                                              <w:divsChild>
                                                                                                <w:div w:id="535045403">
                                                                                                  <w:marLeft w:val="0"/>
                                                                                                  <w:marRight w:val="0"/>
                                                                                                  <w:marTop w:val="180"/>
                                                                                                  <w:marBottom w:val="0"/>
                                                                                                  <w:divBdr>
                                                                                                    <w:top w:val="none" w:sz="0" w:space="0" w:color="auto"/>
                                                                                                    <w:left w:val="none" w:sz="0" w:space="0" w:color="auto"/>
                                                                                                    <w:bottom w:val="none" w:sz="0" w:space="0" w:color="auto"/>
                                                                                                    <w:right w:val="none" w:sz="0" w:space="0" w:color="auto"/>
                                                                                                  </w:divBdr>
                                                                                                  <w:divsChild>
                                                                                                    <w:div w:id="798452931">
                                                                                                      <w:marLeft w:val="0"/>
                                                                                                      <w:marRight w:val="0"/>
                                                                                                      <w:marTop w:val="0"/>
                                                                                                      <w:marBottom w:val="0"/>
                                                                                                      <w:divBdr>
                                                                                                        <w:top w:val="none" w:sz="0" w:space="0" w:color="auto"/>
                                                                                                        <w:left w:val="none" w:sz="0" w:space="0" w:color="auto"/>
                                                                                                        <w:bottom w:val="none" w:sz="0" w:space="0" w:color="auto"/>
                                                                                                        <w:right w:val="none" w:sz="0" w:space="0" w:color="auto"/>
                                                                                                      </w:divBdr>
                                                                                                      <w:divsChild>
                                                                                                        <w:div w:id="1529756747">
                                                                                                          <w:marLeft w:val="0"/>
                                                                                                          <w:marRight w:val="0"/>
                                                                                                          <w:marTop w:val="0"/>
                                                                                                          <w:marBottom w:val="0"/>
                                                                                                          <w:divBdr>
                                                                                                            <w:top w:val="none" w:sz="0" w:space="0" w:color="auto"/>
                                                                                                            <w:left w:val="none" w:sz="0" w:space="0" w:color="auto"/>
                                                                                                            <w:bottom w:val="none" w:sz="0" w:space="0" w:color="auto"/>
                                                                                                            <w:right w:val="none" w:sz="0" w:space="0" w:color="auto"/>
                                                                                                          </w:divBdr>
                                                                                                          <w:divsChild>
                                                                                                            <w:div w:id="1206717186">
                                                                                                              <w:marLeft w:val="0"/>
                                                                                                              <w:marRight w:val="0"/>
                                                                                                              <w:marTop w:val="30"/>
                                                                                                              <w:marBottom w:val="0"/>
                                                                                                              <w:divBdr>
                                                                                                                <w:top w:val="none" w:sz="0" w:space="0" w:color="auto"/>
                                                                                                                <w:left w:val="none" w:sz="0" w:space="0" w:color="auto"/>
                                                                                                                <w:bottom w:val="none" w:sz="0" w:space="0" w:color="auto"/>
                                                                                                                <w:right w:val="none" w:sz="0" w:space="0" w:color="auto"/>
                                                                                                              </w:divBdr>
                                                                                                              <w:divsChild>
                                                                                                                <w:div w:id="2143569436">
                                                                                                                  <w:marLeft w:val="0"/>
                                                                                                                  <w:marRight w:val="0"/>
                                                                                                                  <w:marTop w:val="0"/>
                                                                                                                  <w:marBottom w:val="0"/>
                                                                                                                  <w:divBdr>
                                                                                                                    <w:top w:val="none" w:sz="0" w:space="0" w:color="auto"/>
                                                                                                                    <w:left w:val="none" w:sz="0" w:space="0" w:color="auto"/>
                                                                                                                    <w:bottom w:val="none" w:sz="0" w:space="0" w:color="auto"/>
                                                                                                                    <w:right w:val="none" w:sz="0" w:space="0" w:color="auto"/>
                                                                                                                  </w:divBdr>
                                                                                                                  <w:divsChild>
                                                                                                                    <w:div w:id="1202282689">
                                                                                                                      <w:marLeft w:val="0"/>
                                                                                                                      <w:marRight w:val="0"/>
                                                                                                                      <w:marTop w:val="0"/>
                                                                                                                      <w:marBottom w:val="0"/>
                                                                                                                      <w:divBdr>
                                                                                                                        <w:top w:val="none" w:sz="0" w:space="0" w:color="auto"/>
                                                                                                                        <w:left w:val="none" w:sz="0" w:space="0" w:color="auto"/>
                                                                                                                        <w:bottom w:val="none" w:sz="0" w:space="0" w:color="auto"/>
                                                                                                                        <w:right w:val="none" w:sz="0" w:space="0" w:color="auto"/>
                                                                                                                      </w:divBdr>
                                                                                                                      <w:divsChild>
                                                                                                                        <w:div w:id="1312830036">
                                                                                                                          <w:marLeft w:val="0"/>
                                                                                                                          <w:marRight w:val="0"/>
                                                                                                                          <w:marTop w:val="0"/>
                                                                                                                          <w:marBottom w:val="0"/>
                                                                                                                          <w:divBdr>
                                                                                                                            <w:top w:val="none" w:sz="0" w:space="0" w:color="auto"/>
                                                                                                                            <w:left w:val="none" w:sz="0" w:space="0" w:color="auto"/>
                                                                                                                            <w:bottom w:val="none" w:sz="0" w:space="0" w:color="auto"/>
                                                                                                                            <w:right w:val="none" w:sz="0" w:space="0" w:color="auto"/>
                                                                                                                          </w:divBdr>
                                                                                                                          <w:divsChild>
                                                                                                                            <w:div w:id="1819102948">
                                                                                                                              <w:marLeft w:val="0"/>
                                                                                                                              <w:marRight w:val="0"/>
                                                                                                                              <w:marTop w:val="0"/>
                                                                                                                              <w:marBottom w:val="0"/>
                                                                                                                              <w:divBdr>
                                                                                                                                <w:top w:val="none" w:sz="0" w:space="0" w:color="auto"/>
                                                                                                                                <w:left w:val="none" w:sz="0" w:space="0" w:color="auto"/>
                                                                                                                                <w:bottom w:val="none" w:sz="0" w:space="0" w:color="auto"/>
                                                                                                                                <w:right w:val="none" w:sz="0" w:space="0" w:color="auto"/>
                                                                                                                              </w:divBdr>
                                                                                                                            </w:div>
                                                                                                                            <w:div w:id="543444436">
                                                                                                                              <w:marLeft w:val="0"/>
                                                                                                                              <w:marRight w:val="0"/>
                                                                                                                              <w:marTop w:val="0"/>
                                                                                                                              <w:marBottom w:val="0"/>
                                                                                                                              <w:divBdr>
                                                                                                                                <w:top w:val="none" w:sz="0" w:space="0" w:color="auto"/>
                                                                                                                                <w:left w:val="none" w:sz="0" w:space="0" w:color="auto"/>
                                                                                                                                <w:bottom w:val="none" w:sz="0" w:space="0" w:color="auto"/>
                                                                                                                                <w:right w:val="none" w:sz="0" w:space="0" w:color="auto"/>
                                                                                                                              </w:divBdr>
                                                                                                                            </w:div>
                                                                                                                            <w:div w:id="1383748433">
                                                                                                                              <w:marLeft w:val="0"/>
                                                                                                                              <w:marRight w:val="0"/>
                                                                                                                              <w:marTop w:val="0"/>
                                                                                                                              <w:marBottom w:val="0"/>
                                                                                                                              <w:divBdr>
                                                                                                                                <w:top w:val="none" w:sz="0" w:space="0" w:color="auto"/>
                                                                                                                                <w:left w:val="none" w:sz="0" w:space="0" w:color="auto"/>
                                                                                                                                <w:bottom w:val="none" w:sz="0" w:space="0" w:color="auto"/>
                                                                                                                                <w:right w:val="none" w:sz="0" w:space="0" w:color="auto"/>
                                                                                                                              </w:divBdr>
                                                                                                                            </w:div>
                                                                                                                            <w:div w:id="1805269471">
                                                                                                                              <w:marLeft w:val="0"/>
                                                                                                                              <w:marRight w:val="0"/>
                                                                                                                              <w:marTop w:val="0"/>
                                                                                                                              <w:marBottom w:val="0"/>
                                                                                                                              <w:divBdr>
                                                                                                                                <w:top w:val="none" w:sz="0" w:space="0" w:color="auto"/>
                                                                                                                                <w:left w:val="none" w:sz="0" w:space="0" w:color="auto"/>
                                                                                                                                <w:bottom w:val="none" w:sz="0" w:space="0" w:color="auto"/>
                                                                                                                                <w:right w:val="none" w:sz="0" w:space="0" w:color="auto"/>
                                                                                                                              </w:divBdr>
                                                                                                                            </w:div>
                                                                                                                            <w:div w:id="687295020">
                                                                                                                              <w:marLeft w:val="0"/>
                                                                                                                              <w:marRight w:val="0"/>
                                                                                                                              <w:marTop w:val="0"/>
                                                                                                                              <w:marBottom w:val="0"/>
                                                                                                                              <w:divBdr>
                                                                                                                                <w:top w:val="none" w:sz="0" w:space="0" w:color="auto"/>
                                                                                                                                <w:left w:val="none" w:sz="0" w:space="0" w:color="auto"/>
                                                                                                                                <w:bottom w:val="none" w:sz="0" w:space="0" w:color="auto"/>
                                                                                                                                <w:right w:val="none" w:sz="0" w:space="0" w:color="auto"/>
                                                                                                                              </w:divBdr>
                                                                                                                            </w:div>
                                                                                                                            <w:div w:id="711269599">
                                                                                                                              <w:marLeft w:val="0"/>
                                                                                                                              <w:marRight w:val="0"/>
                                                                                                                              <w:marTop w:val="0"/>
                                                                                                                              <w:marBottom w:val="0"/>
                                                                                                                              <w:divBdr>
                                                                                                                                <w:top w:val="none" w:sz="0" w:space="0" w:color="auto"/>
                                                                                                                                <w:left w:val="none" w:sz="0" w:space="0" w:color="auto"/>
                                                                                                                                <w:bottom w:val="none" w:sz="0" w:space="0" w:color="auto"/>
                                                                                                                                <w:right w:val="none" w:sz="0" w:space="0" w:color="auto"/>
                                                                                                                              </w:divBdr>
                                                                                                                            </w:div>
                                                                                                                            <w:div w:id="395857364">
                                                                                                                              <w:marLeft w:val="0"/>
                                                                                                                              <w:marRight w:val="0"/>
                                                                                                                              <w:marTop w:val="0"/>
                                                                                                                              <w:marBottom w:val="0"/>
                                                                                                                              <w:divBdr>
                                                                                                                                <w:top w:val="none" w:sz="0" w:space="0" w:color="auto"/>
                                                                                                                                <w:left w:val="none" w:sz="0" w:space="0" w:color="auto"/>
                                                                                                                                <w:bottom w:val="none" w:sz="0" w:space="0" w:color="auto"/>
                                                                                                                                <w:right w:val="none" w:sz="0" w:space="0" w:color="auto"/>
                                                                                                                              </w:divBdr>
                                                                                                                            </w:div>
                                                                                                                            <w:div w:id="130904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3994553">
      <w:bodyDiv w:val="1"/>
      <w:marLeft w:val="0"/>
      <w:marRight w:val="0"/>
      <w:marTop w:val="0"/>
      <w:marBottom w:val="0"/>
      <w:divBdr>
        <w:top w:val="none" w:sz="0" w:space="0" w:color="auto"/>
        <w:left w:val="none" w:sz="0" w:space="0" w:color="auto"/>
        <w:bottom w:val="none" w:sz="0" w:space="0" w:color="auto"/>
        <w:right w:val="none" w:sz="0" w:space="0" w:color="auto"/>
      </w:divBdr>
      <w:divsChild>
        <w:div w:id="862204373">
          <w:marLeft w:val="0"/>
          <w:marRight w:val="0"/>
          <w:marTop w:val="225"/>
          <w:marBottom w:val="180"/>
          <w:divBdr>
            <w:top w:val="single" w:sz="6" w:space="0" w:color="D7D7D7"/>
            <w:left w:val="none" w:sz="0" w:space="0" w:color="auto"/>
            <w:bottom w:val="single" w:sz="6" w:space="0" w:color="D7D7D7"/>
            <w:right w:val="none" w:sz="0" w:space="0" w:color="auto"/>
          </w:divBdr>
          <w:divsChild>
            <w:div w:id="1693990778">
              <w:marLeft w:val="0"/>
              <w:marRight w:val="0"/>
              <w:marTop w:val="0"/>
              <w:marBottom w:val="0"/>
              <w:divBdr>
                <w:top w:val="none" w:sz="0" w:space="0" w:color="auto"/>
                <w:left w:val="none" w:sz="0" w:space="0" w:color="auto"/>
                <w:bottom w:val="none" w:sz="0" w:space="0" w:color="auto"/>
                <w:right w:val="none" w:sz="0" w:space="0" w:color="auto"/>
              </w:divBdr>
            </w:div>
            <w:div w:id="1072702378">
              <w:marLeft w:val="0"/>
              <w:marRight w:val="0"/>
              <w:marTop w:val="0"/>
              <w:marBottom w:val="0"/>
              <w:divBdr>
                <w:top w:val="none" w:sz="0" w:space="0" w:color="auto"/>
                <w:left w:val="none" w:sz="0" w:space="0" w:color="auto"/>
                <w:bottom w:val="none" w:sz="0" w:space="0" w:color="auto"/>
                <w:right w:val="none" w:sz="0" w:space="0" w:color="auto"/>
              </w:divBdr>
            </w:div>
          </w:divsChild>
        </w:div>
        <w:div w:id="1159467629">
          <w:marLeft w:val="0"/>
          <w:marRight w:val="0"/>
          <w:marTop w:val="0"/>
          <w:marBottom w:val="0"/>
          <w:divBdr>
            <w:top w:val="none" w:sz="0" w:space="0" w:color="auto"/>
            <w:left w:val="none" w:sz="0" w:space="0" w:color="auto"/>
            <w:bottom w:val="none" w:sz="0" w:space="0" w:color="auto"/>
            <w:right w:val="none" w:sz="0" w:space="0" w:color="auto"/>
          </w:divBdr>
          <w:divsChild>
            <w:div w:id="202081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iencedirect.com/science/journal/0304405X" TargetMode="External"/><Relationship Id="rId13"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data.worldbank.org/data-catalog/world-development-indicators" TargetMode="External"/><Relationship Id="rId4" Type="http://schemas.openxmlformats.org/officeDocument/2006/relationships/settings" Target="settings.xml"/><Relationship Id="rId9" Type="http://schemas.openxmlformats.org/officeDocument/2006/relationships/hyperlink" Target="http://www.sciencedirect.com/science/journal/0304405X" TargetMode="External"/><Relationship Id="rId1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715C2C-A6C7-4090-A9F2-EBCD96CC3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53</Pages>
  <Words>10981</Words>
  <Characters>62592</Characters>
  <Application>Microsoft Office Word</Application>
  <DocSecurity>4</DocSecurity>
  <Lines>521</Lines>
  <Paragraphs>146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73427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MIRIAM;ismail.adelopo@uwe.ac.uk</dc:creator>
  <cp:lastModifiedBy>Tauringana V.</cp:lastModifiedBy>
  <cp:revision>2</cp:revision>
  <cp:lastPrinted>2016-12-18T12:12:00Z</cp:lastPrinted>
  <dcterms:created xsi:type="dcterms:W3CDTF">2017-12-13T11:50:00Z</dcterms:created>
  <dcterms:modified xsi:type="dcterms:W3CDTF">2017-12-13T11:50:00Z</dcterms:modified>
</cp:coreProperties>
</file>