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718" w:rsidRDefault="00FF4718" w:rsidP="00815640">
      <w:pPr>
        <w:spacing w:after="240" w:line="480" w:lineRule="auto"/>
        <w:ind w:firstLine="720"/>
        <w:rPr>
          <w:rFonts w:asciiTheme="majorBidi" w:hAnsiTheme="majorBidi" w:cstheme="majorBidi"/>
          <w:sz w:val="24"/>
          <w:szCs w:val="24"/>
        </w:rPr>
      </w:pPr>
      <w:bookmarkStart w:id="0" w:name="_GoBack"/>
      <w:bookmarkEnd w:id="0"/>
    </w:p>
    <w:p w:rsidR="00CB19CB" w:rsidRDefault="00CB19CB" w:rsidP="00815640">
      <w:pPr>
        <w:spacing w:after="240" w:line="480" w:lineRule="auto"/>
        <w:ind w:firstLine="720"/>
        <w:rPr>
          <w:rFonts w:asciiTheme="majorBidi" w:hAnsiTheme="majorBidi" w:cstheme="majorBidi"/>
          <w:sz w:val="24"/>
          <w:szCs w:val="24"/>
        </w:rPr>
      </w:pPr>
    </w:p>
    <w:p w:rsidR="00CB19CB" w:rsidRDefault="00CB19CB" w:rsidP="00815640">
      <w:pPr>
        <w:spacing w:after="240" w:line="480" w:lineRule="auto"/>
        <w:ind w:firstLine="720"/>
        <w:rPr>
          <w:rFonts w:asciiTheme="majorBidi" w:hAnsiTheme="majorBidi" w:cstheme="majorBidi"/>
          <w:sz w:val="24"/>
          <w:szCs w:val="24"/>
        </w:rPr>
      </w:pPr>
    </w:p>
    <w:p w:rsidR="00CB19CB" w:rsidRPr="00CB19CB" w:rsidRDefault="00CB19CB" w:rsidP="00815640">
      <w:pPr>
        <w:spacing w:after="240" w:line="480" w:lineRule="auto"/>
        <w:ind w:firstLine="720"/>
        <w:rPr>
          <w:rFonts w:asciiTheme="majorBidi" w:hAnsiTheme="majorBidi" w:cstheme="majorBidi"/>
          <w:sz w:val="24"/>
          <w:szCs w:val="24"/>
        </w:rPr>
      </w:pPr>
    </w:p>
    <w:p w:rsidR="00FF4718" w:rsidRPr="00282668" w:rsidRDefault="00CB19CB" w:rsidP="00815640">
      <w:pPr>
        <w:pStyle w:val="Title"/>
        <w:ind w:firstLine="720"/>
        <w:rPr>
          <w:rFonts w:asciiTheme="majorBidi" w:hAnsiTheme="majorBidi"/>
          <w:b/>
          <w:bCs/>
          <w:sz w:val="24"/>
          <w:szCs w:val="24"/>
          <w:vertAlign w:val="superscript"/>
        </w:rPr>
      </w:pPr>
      <w:r w:rsidRPr="00282668">
        <w:rPr>
          <w:rFonts w:asciiTheme="majorBidi" w:hAnsiTheme="majorBidi"/>
          <w:b/>
          <w:bCs/>
          <w:i/>
          <w:iCs/>
          <w:sz w:val="32"/>
          <w:szCs w:val="32"/>
        </w:rPr>
        <w:t>‘</w:t>
      </w:r>
      <w:r w:rsidR="00FF4718" w:rsidRPr="00282668">
        <w:rPr>
          <w:rFonts w:asciiTheme="majorBidi" w:hAnsiTheme="majorBidi"/>
          <w:b/>
          <w:bCs/>
          <w:i/>
          <w:iCs/>
          <w:sz w:val="32"/>
          <w:szCs w:val="32"/>
        </w:rPr>
        <w:t>UNDERSTANDING GOVERNANCE</w:t>
      </w:r>
      <w:r w:rsidRPr="00282668">
        <w:rPr>
          <w:rFonts w:asciiTheme="majorBidi" w:hAnsiTheme="majorBidi"/>
          <w:b/>
          <w:bCs/>
          <w:i/>
          <w:iCs/>
          <w:sz w:val="32"/>
          <w:szCs w:val="32"/>
        </w:rPr>
        <w:t>’</w:t>
      </w:r>
      <w:r w:rsidR="00FF4718" w:rsidRPr="00282668">
        <w:rPr>
          <w:rFonts w:asciiTheme="majorBidi" w:hAnsiTheme="majorBidi"/>
          <w:b/>
          <w:bCs/>
          <w:sz w:val="32"/>
          <w:szCs w:val="32"/>
        </w:rPr>
        <w:t xml:space="preserve">: </w:t>
      </w:r>
      <w:r w:rsidR="00D136F3" w:rsidRPr="00282668">
        <w:rPr>
          <w:rFonts w:asciiTheme="majorBidi" w:hAnsiTheme="majorBidi"/>
          <w:b/>
          <w:bCs/>
          <w:sz w:val="32"/>
          <w:szCs w:val="32"/>
        </w:rPr>
        <w:t>20</w:t>
      </w:r>
      <w:r w:rsidRPr="00282668">
        <w:rPr>
          <w:rFonts w:asciiTheme="majorBidi" w:hAnsiTheme="majorBidi"/>
          <w:b/>
          <w:bCs/>
          <w:sz w:val="32"/>
          <w:szCs w:val="32"/>
        </w:rPr>
        <w:t xml:space="preserve"> years on</w:t>
      </w:r>
      <w:r w:rsidR="00FF4718" w:rsidRPr="00282668">
        <w:rPr>
          <w:rStyle w:val="FootnoteReference"/>
          <w:rFonts w:asciiTheme="majorBidi" w:hAnsiTheme="majorBidi"/>
          <w:b/>
          <w:bCs/>
          <w:sz w:val="24"/>
          <w:szCs w:val="24"/>
        </w:rPr>
        <w:footnoteReference w:id="1"/>
      </w:r>
    </w:p>
    <w:p w:rsidR="00FF4718" w:rsidRDefault="00FF4718" w:rsidP="00815640">
      <w:pPr>
        <w:spacing w:after="240" w:line="480" w:lineRule="auto"/>
        <w:ind w:firstLine="720"/>
        <w:rPr>
          <w:rFonts w:asciiTheme="majorBidi" w:eastAsia="PMingLiU" w:hAnsiTheme="majorBidi" w:cstheme="majorBidi"/>
          <w:sz w:val="24"/>
          <w:szCs w:val="24"/>
          <w:lang w:eastAsia="zh-TW"/>
        </w:rPr>
      </w:pPr>
    </w:p>
    <w:p w:rsidR="00CB19CB" w:rsidRPr="00CB19CB" w:rsidRDefault="00CB19CB" w:rsidP="00815640">
      <w:pPr>
        <w:spacing w:after="240" w:line="480" w:lineRule="auto"/>
        <w:ind w:firstLine="720"/>
        <w:rPr>
          <w:rFonts w:asciiTheme="majorBidi" w:eastAsia="PMingLiU" w:hAnsiTheme="majorBidi" w:cstheme="majorBidi"/>
          <w:sz w:val="24"/>
          <w:szCs w:val="24"/>
          <w:lang w:eastAsia="zh-TW"/>
        </w:rPr>
      </w:pP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R. A. W. Rhodes</w:t>
      </w: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Professor of Government, University of Southampton</w:t>
      </w: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u w:val="single"/>
          <w:lang w:eastAsia="zh-TW"/>
        </w:rPr>
        <w:t>Contact address</w:t>
      </w:r>
      <w:r w:rsidRPr="00CB19CB">
        <w:rPr>
          <w:rFonts w:asciiTheme="majorBidi" w:eastAsia="PMingLiU" w:hAnsiTheme="majorBidi" w:cstheme="majorBidi"/>
          <w:sz w:val="24"/>
          <w:szCs w:val="24"/>
          <w:lang w:eastAsia="zh-TW"/>
        </w:rPr>
        <w:t>:</w:t>
      </w: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Department of Politics and International Relations</w:t>
      </w: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University of Southampton</w:t>
      </w: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Murray Building</w:t>
      </w: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Southampton</w:t>
      </w:r>
    </w:p>
    <w:p w:rsidR="00FF4718" w:rsidRPr="00CB19CB" w:rsidRDefault="00FF4718" w:rsidP="00815640">
      <w:pPr>
        <w:spacing w:after="0" w:line="24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SO17 1BJ</w:t>
      </w:r>
    </w:p>
    <w:p w:rsidR="00FF4718" w:rsidRPr="00CB19CB" w:rsidRDefault="00FF4718" w:rsidP="00815640">
      <w:pPr>
        <w:spacing w:after="240" w:line="480" w:lineRule="auto"/>
        <w:ind w:left="216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United Kingdom</w:t>
      </w:r>
    </w:p>
    <w:p w:rsidR="00FF4718" w:rsidRPr="00CB19CB" w:rsidRDefault="00FF4718" w:rsidP="00815640">
      <w:pPr>
        <w:spacing w:after="240" w:line="480" w:lineRule="auto"/>
        <w:ind w:left="1440" w:firstLine="720"/>
        <w:rPr>
          <w:rFonts w:asciiTheme="majorBidi" w:eastAsia="PMingLiU" w:hAnsiTheme="majorBidi" w:cstheme="majorBidi"/>
          <w:sz w:val="24"/>
          <w:szCs w:val="24"/>
          <w:lang w:eastAsia="zh-TW"/>
        </w:rPr>
      </w:pPr>
      <w:r w:rsidRPr="00CB19CB">
        <w:rPr>
          <w:rFonts w:asciiTheme="majorBidi" w:eastAsia="PMingLiU" w:hAnsiTheme="majorBidi" w:cstheme="majorBidi"/>
          <w:sz w:val="24"/>
          <w:szCs w:val="24"/>
          <w:lang w:eastAsia="zh-TW"/>
        </w:rPr>
        <w:t>Email: r.a.w.rhodes@soton.ac.uk</w:t>
      </w:r>
    </w:p>
    <w:p w:rsidR="00FF4718" w:rsidRPr="00CB19CB" w:rsidRDefault="00FF4718" w:rsidP="00815640">
      <w:pPr>
        <w:spacing w:after="240" w:line="480" w:lineRule="auto"/>
        <w:ind w:firstLine="720"/>
        <w:rPr>
          <w:rFonts w:asciiTheme="majorBidi" w:eastAsia="PMingLiU" w:hAnsiTheme="majorBidi" w:cstheme="majorBidi"/>
          <w:b/>
          <w:bCs/>
          <w:sz w:val="24"/>
          <w:szCs w:val="24"/>
          <w:lang w:eastAsia="zh-TW"/>
        </w:rPr>
      </w:pPr>
    </w:p>
    <w:p w:rsidR="00FF4718" w:rsidRPr="00CB19CB" w:rsidRDefault="00FF4718" w:rsidP="00815640">
      <w:pPr>
        <w:spacing w:after="240" w:line="480" w:lineRule="auto"/>
        <w:ind w:firstLine="720"/>
        <w:rPr>
          <w:rFonts w:asciiTheme="majorBidi" w:hAnsiTheme="majorBidi" w:cstheme="majorBidi"/>
          <w:color w:val="000000" w:themeColor="text1"/>
          <w:sz w:val="24"/>
          <w:szCs w:val="24"/>
        </w:rPr>
      </w:pPr>
    </w:p>
    <w:p w:rsidR="00FF4718" w:rsidRPr="00CB19CB" w:rsidRDefault="00FF4718" w:rsidP="00815640">
      <w:pPr>
        <w:spacing w:after="240" w:line="480" w:lineRule="auto"/>
        <w:ind w:firstLine="720"/>
        <w:rPr>
          <w:rFonts w:asciiTheme="majorBidi" w:hAnsiTheme="majorBidi" w:cstheme="majorBidi"/>
          <w:sz w:val="24"/>
          <w:szCs w:val="24"/>
        </w:rPr>
      </w:pPr>
      <w:r w:rsidRPr="00CB19CB">
        <w:rPr>
          <w:rFonts w:asciiTheme="majorBidi" w:hAnsiTheme="majorBidi" w:cstheme="majorBidi"/>
          <w:sz w:val="24"/>
          <w:szCs w:val="24"/>
        </w:rPr>
        <w:br w:type="page"/>
      </w:r>
    </w:p>
    <w:p w:rsidR="00074004" w:rsidRPr="004758D6" w:rsidRDefault="00074004" w:rsidP="0043753F">
      <w:pPr>
        <w:pStyle w:val="Heading1"/>
        <w:spacing w:before="0" w:line="480" w:lineRule="auto"/>
        <w:ind w:firstLine="720"/>
        <w:rPr>
          <w:rFonts w:asciiTheme="majorBidi" w:hAnsiTheme="majorBidi"/>
        </w:rPr>
      </w:pPr>
      <w:r w:rsidRPr="004758D6">
        <w:rPr>
          <w:rFonts w:asciiTheme="majorBidi" w:hAnsiTheme="majorBidi"/>
        </w:rPr>
        <w:lastRenderedPageBreak/>
        <w:t>Introduc</w:t>
      </w:r>
      <w:r w:rsidR="003A2F6E">
        <w:rPr>
          <w:rFonts w:asciiTheme="majorBidi" w:hAnsiTheme="majorBidi"/>
        </w:rPr>
        <w:t xml:space="preserve">ing the differentiated polity </w:t>
      </w:r>
    </w:p>
    <w:p w:rsidR="00074004" w:rsidRPr="00CB19CB" w:rsidRDefault="00074004" w:rsidP="00815640">
      <w:pPr>
        <w:spacing w:after="240" w:line="480" w:lineRule="auto"/>
        <w:ind w:firstLine="720"/>
        <w:rPr>
          <w:rFonts w:asciiTheme="majorBidi" w:hAnsiTheme="majorBidi" w:cstheme="majorBidi"/>
          <w:sz w:val="24"/>
          <w:szCs w:val="24"/>
        </w:rPr>
      </w:pPr>
      <w:r w:rsidRPr="00CB19CB">
        <w:rPr>
          <w:rFonts w:asciiTheme="majorBidi" w:hAnsiTheme="majorBidi" w:cstheme="majorBidi"/>
          <w:sz w:val="24"/>
          <w:szCs w:val="24"/>
        </w:rPr>
        <w:t xml:space="preserve">A </w:t>
      </w:r>
      <w:r w:rsidR="009A46A9">
        <w:rPr>
          <w:rFonts w:asciiTheme="majorBidi" w:hAnsiTheme="majorBidi" w:cstheme="majorBidi"/>
          <w:sz w:val="24"/>
          <w:szCs w:val="24"/>
        </w:rPr>
        <w:t>world</w:t>
      </w:r>
      <w:r w:rsidR="009B53F4">
        <w:rPr>
          <w:rFonts w:asciiTheme="majorBidi" w:hAnsiTheme="majorBidi" w:cstheme="majorBidi"/>
          <w:sz w:val="24"/>
          <w:szCs w:val="24"/>
        </w:rPr>
        <w:t>-</w:t>
      </w:r>
      <w:r w:rsidRPr="00CB19CB">
        <w:rPr>
          <w:rFonts w:asciiTheme="majorBidi" w:hAnsiTheme="majorBidi" w:cstheme="majorBidi"/>
          <w:sz w:val="24"/>
          <w:szCs w:val="24"/>
        </w:rPr>
        <w:t>famous rock band once sang ‘It was twenty years ago today …’</w:t>
      </w:r>
      <w:r w:rsidR="00056569" w:rsidRPr="00CB19CB">
        <w:rPr>
          <w:rFonts w:asciiTheme="majorBidi" w:hAnsiTheme="majorBidi" w:cstheme="majorBidi"/>
          <w:sz w:val="24"/>
          <w:szCs w:val="24"/>
        </w:rPr>
        <w:t>,</w:t>
      </w:r>
      <w:r w:rsidRPr="00CB19CB">
        <w:rPr>
          <w:rFonts w:asciiTheme="majorBidi" w:hAnsiTheme="majorBidi" w:cstheme="majorBidi"/>
          <w:sz w:val="24"/>
          <w:szCs w:val="24"/>
        </w:rPr>
        <w:t xml:space="preserve"> and it is</w:t>
      </w:r>
      <w:r w:rsidR="00056569" w:rsidRPr="00CB19CB">
        <w:rPr>
          <w:rFonts w:asciiTheme="majorBidi" w:hAnsiTheme="majorBidi" w:cstheme="majorBidi"/>
          <w:sz w:val="24"/>
          <w:szCs w:val="24"/>
        </w:rPr>
        <w:t xml:space="preserve"> 20 years </w:t>
      </w:r>
      <w:r w:rsidR="00CB19CB">
        <w:rPr>
          <w:rFonts w:asciiTheme="majorBidi" w:hAnsiTheme="majorBidi" w:cstheme="majorBidi"/>
          <w:sz w:val="24"/>
          <w:szCs w:val="24"/>
        </w:rPr>
        <w:t xml:space="preserve">ago </w:t>
      </w:r>
      <w:r w:rsidR="00841078">
        <w:rPr>
          <w:rFonts w:asciiTheme="majorBidi" w:hAnsiTheme="majorBidi" w:cstheme="majorBidi"/>
          <w:sz w:val="24"/>
          <w:szCs w:val="24"/>
        </w:rPr>
        <w:t>that</w:t>
      </w:r>
      <w:r w:rsidR="00056569" w:rsidRPr="00CB19CB">
        <w:rPr>
          <w:rFonts w:asciiTheme="majorBidi" w:hAnsiTheme="majorBidi" w:cstheme="majorBidi"/>
          <w:sz w:val="24"/>
          <w:szCs w:val="24"/>
        </w:rPr>
        <w:t xml:space="preserve"> I wrote </w:t>
      </w:r>
      <w:r w:rsidR="00056569" w:rsidRPr="00CB19CB">
        <w:rPr>
          <w:rFonts w:asciiTheme="majorBidi" w:hAnsiTheme="majorBidi" w:cstheme="majorBidi"/>
          <w:i/>
          <w:iCs/>
          <w:sz w:val="24"/>
          <w:szCs w:val="24"/>
        </w:rPr>
        <w:t xml:space="preserve">Understanding Governance. </w:t>
      </w:r>
      <w:r w:rsidR="00CB19CB" w:rsidRPr="00CB19CB">
        <w:rPr>
          <w:rFonts w:asciiTheme="majorBidi" w:hAnsiTheme="majorBidi" w:cstheme="majorBidi"/>
          <w:sz w:val="24"/>
          <w:szCs w:val="24"/>
        </w:rPr>
        <w:t>In 2017, Renmin University Press will publish a translation of the book</w:t>
      </w:r>
      <w:r w:rsidR="0076718D">
        <w:rPr>
          <w:rFonts w:asciiTheme="majorBidi" w:hAnsiTheme="majorBidi" w:cstheme="majorBidi"/>
          <w:sz w:val="24"/>
          <w:szCs w:val="24"/>
        </w:rPr>
        <w:t>,</w:t>
      </w:r>
      <w:r w:rsidR="00CB19CB" w:rsidRPr="00CB19CB">
        <w:rPr>
          <w:rFonts w:asciiTheme="majorBidi" w:hAnsiTheme="majorBidi" w:cstheme="majorBidi"/>
          <w:sz w:val="24"/>
          <w:szCs w:val="24"/>
        </w:rPr>
        <w:t xml:space="preserve"> and this event is my excuse for revisiting the book for a second time (see: Rhodes 2007). </w:t>
      </w:r>
    </w:p>
    <w:p w:rsidR="00254128" w:rsidRDefault="00254128" w:rsidP="00780D68">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The phrase ‘the differentiated polity’ is my preferred summary term for my</w:t>
      </w:r>
      <w:r w:rsidR="00056569" w:rsidRPr="00CB19CB">
        <w:rPr>
          <w:rFonts w:asciiTheme="majorBidi" w:hAnsiTheme="majorBidi" w:cstheme="majorBidi"/>
          <w:sz w:val="24"/>
          <w:szCs w:val="24"/>
        </w:rPr>
        <w:t xml:space="preserve"> account of British </w:t>
      </w:r>
      <w:r w:rsidR="00C7174A">
        <w:rPr>
          <w:rFonts w:asciiTheme="majorBidi" w:hAnsiTheme="majorBidi" w:cstheme="majorBidi"/>
          <w:sz w:val="24"/>
          <w:szCs w:val="24"/>
        </w:rPr>
        <w:t>governance</w:t>
      </w:r>
      <w:r w:rsidR="009B53F4">
        <w:rPr>
          <w:rFonts w:asciiTheme="majorBidi" w:hAnsiTheme="majorBidi" w:cstheme="majorBidi"/>
          <w:sz w:val="24"/>
          <w:szCs w:val="24"/>
        </w:rPr>
        <w:t xml:space="preserve">. It </w:t>
      </w:r>
      <w:r w:rsidRPr="00CB19CB">
        <w:rPr>
          <w:rFonts w:asciiTheme="majorBidi" w:hAnsiTheme="majorBidi" w:cstheme="majorBidi"/>
          <w:sz w:val="24"/>
          <w:szCs w:val="24"/>
        </w:rPr>
        <w:t xml:space="preserve">is described </w:t>
      </w:r>
      <w:r w:rsidR="00C7174A">
        <w:rPr>
          <w:rFonts w:asciiTheme="majorBidi" w:hAnsiTheme="majorBidi" w:cstheme="majorBidi"/>
          <w:sz w:val="24"/>
          <w:szCs w:val="24"/>
        </w:rPr>
        <w:t xml:space="preserve">also </w:t>
      </w:r>
      <w:r w:rsidRPr="00CB19CB">
        <w:rPr>
          <w:rFonts w:asciiTheme="majorBidi" w:hAnsiTheme="majorBidi" w:cstheme="majorBidi"/>
          <w:sz w:val="24"/>
          <w:szCs w:val="24"/>
        </w:rPr>
        <w:t>as ‘the Anglo-Governance School’ (Marinetto 2003) and ‘the Governance narrative’ (Newman 2005: 8</w:t>
      </w:r>
      <w:r w:rsidR="00A2399E">
        <w:rPr>
          <w:rFonts w:asciiTheme="majorBidi" w:hAnsiTheme="majorBidi" w:cstheme="majorBidi"/>
          <w:sz w:val="24"/>
          <w:szCs w:val="24"/>
        </w:rPr>
        <w:t xml:space="preserve">). </w:t>
      </w:r>
      <w:r w:rsidR="00555DBF">
        <w:rPr>
          <w:rFonts w:asciiTheme="majorBidi" w:hAnsiTheme="majorBidi" w:cstheme="majorBidi"/>
          <w:sz w:val="24"/>
          <w:szCs w:val="24"/>
        </w:rPr>
        <w:t xml:space="preserve"> </w:t>
      </w:r>
      <w:r w:rsidR="00054607">
        <w:rPr>
          <w:rFonts w:asciiTheme="majorBidi" w:hAnsiTheme="majorBidi" w:cstheme="majorBidi"/>
          <w:sz w:val="24"/>
          <w:szCs w:val="24"/>
        </w:rPr>
        <w:t xml:space="preserve">Marsh (2011 refers to it as ‘the new orthodoxy’. </w:t>
      </w:r>
      <w:r w:rsidRPr="00CB19CB">
        <w:rPr>
          <w:rFonts w:asciiTheme="majorBidi" w:hAnsiTheme="majorBidi" w:cstheme="majorBidi"/>
          <w:sz w:val="24"/>
          <w:szCs w:val="24"/>
        </w:rPr>
        <w:t xml:space="preserve">The Westminster model of British government is best understood by exploring such core ideas as a unitary state, parliamentary sovereignty, strong cabinet government, ministerial accountability, majority party control of the executive, and institutionalised opposition (see Rhodes and Weller 2005). </w:t>
      </w:r>
      <w:r w:rsidR="00056569" w:rsidRPr="00CB19CB">
        <w:rPr>
          <w:rFonts w:asciiTheme="majorBidi" w:hAnsiTheme="majorBidi" w:cstheme="majorBidi"/>
          <w:i/>
          <w:iCs/>
          <w:sz w:val="24"/>
          <w:szCs w:val="24"/>
        </w:rPr>
        <w:t xml:space="preserve">Understanding Governance </w:t>
      </w:r>
      <w:r w:rsidR="00056569" w:rsidRPr="00CB19CB">
        <w:rPr>
          <w:rFonts w:asciiTheme="majorBidi" w:hAnsiTheme="majorBidi" w:cstheme="majorBidi"/>
          <w:sz w:val="24"/>
          <w:szCs w:val="24"/>
        </w:rPr>
        <w:t>and its</w:t>
      </w:r>
      <w:r w:rsidRPr="00CB19CB">
        <w:rPr>
          <w:rFonts w:asciiTheme="majorBidi" w:hAnsiTheme="majorBidi" w:cstheme="majorBidi"/>
          <w:sz w:val="24"/>
          <w:szCs w:val="24"/>
        </w:rPr>
        <w:t xml:space="preserve"> differentiated polity narrative challenges th</w:t>
      </w:r>
      <w:r w:rsidR="00C7174A">
        <w:rPr>
          <w:rFonts w:asciiTheme="majorBidi" w:hAnsiTheme="majorBidi" w:cstheme="majorBidi"/>
          <w:sz w:val="24"/>
          <w:szCs w:val="24"/>
        </w:rPr>
        <w:t>is</w:t>
      </w:r>
      <w:r w:rsidRPr="00CB19CB">
        <w:rPr>
          <w:rFonts w:asciiTheme="majorBidi" w:hAnsiTheme="majorBidi" w:cstheme="majorBidi"/>
          <w:sz w:val="24"/>
          <w:szCs w:val="24"/>
        </w:rPr>
        <w:t xml:space="preserve"> account of British government. Its core ideas are policy networks, the core executive, </w:t>
      </w:r>
      <w:r w:rsidR="00E95783">
        <w:rPr>
          <w:rFonts w:asciiTheme="majorBidi" w:hAnsiTheme="majorBidi" w:cstheme="majorBidi"/>
          <w:sz w:val="24"/>
          <w:szCs w:val="24"/>
        </w:rPr>
        <w:t>hollowing-out</w:t>
      </w:r>
      <w:r w:rsidRPr="00CB19CB">
        <w:rPr>
          <w:rFonts w:asciiTheme="majorBidi" w:hAnsiTheme="majorBidi" w:cstheme="majorBidi"/>
          <w:sz w:val="24"/>
          <w:szCs w:val="24"/>
        </w:rPr>
        <w:t xml:space="preserve"> and governance. It argues there has been a shift from government by a unitary state to governance through and by networks</w:t>
      </w:r>
      <w:r w:rsidR="00A2399E">
        <w:rPr>
          <w:rFonts w:asciiTheme="majorBidi" w:hAnsiTheme="majorBidi" w:cstheme="majorBidi"/>
          <w:sz w:val="24"/>
          <w:szCs w:val="24"/>
        </w:rPr>
        <w:t xml:space="preserve"> (see: </w:t>
      </w:r>
      <w:r w:rsidR="00A2399E" w:rsidRPr="00615890">
        <w:rPr>
          <w:rFonts w:ascii="Times New Roman" w:hAnsi="Times New Roman" w:hint="eastAsia"/>
          <w:sz w:val="24"/>
          <w:szCs w:val="24"/>
        </w:rPr>
        <w:t>罗茨</w:t>
      </w:r>
      <w:r w:rsidR="00A2399E">
        <w:rPr>
          <w:rFonts w:asciiTheme="majorBidi" w:hAnsiTheme="majorBidi" w:cstheme="majorBidi"/>
          <w:sz w:val="24"/>
          <w:szCs w:val="24"/>
        </w:rPr>
        <w:t>1999)</w:t>
      </w:r>
      <w:r w:rsidR="00A2399E" w:rsidRPr="00CB19CB">
        <w:rPr>
          <w:rFonts w:asciiTheme="majorBidi" w:hAnsiTheme="majorBidi" w:cstheme="majorBidi"/>
          <w:sz w:val="24"/>
          <w:szCs w:val="24"/>
        </w:rPr>
        <w:t>.</w:t>
      </w:r>
      <w:r w:rsidRPr="00CB19CB">
        <w:rPr>
          <w:rFonts w:asciiTheme="majorBidi" w:hAnsiTheme="majorBidi" w:cstheme="majorBidi"/>
          <w:sz w:val="24"/>
          <w:szCs w:val="24"/>
        </w:rPr>
        <w:t xml:space="preserve"> Differentiation became more extensive </w:t>
      </w:r>
      <w:r w:rsidR="00C7174A">
        <w:rPr>
          <w:rFonts w:asciiTheme="majorBidi" w:hAnsiTheme="majorBidi" w:cstheme="majorBidi"/>
          <w:sz w:val="24"/>
          <w:szCs w:val="24"/>
        </w:rPr>
        <w:t>since</w:t>
      </w:r>
      <w:r w:rsidRPr="00CB19CB">
        <w:rPr>
          <w:rFonts w:asciiTheme="majorBidi" w:hAnsiTheme="majorBidi" w:cstheme="majorBidi"/>
          <w:sz w:val="24"/>
          <w:szCs w:val="24"/>
        </w:rPr>
        <w:t xml:space="preserve"> the 1980s </w:t>
      </w:r>
      <w:r w:rsidR="00C7174A">
        <w:rPr>
          <w:rFonts w:asciiTheme="majorBidi" w:hAnsiTheme="majorBidi" w:cstheme="majorBidi"/>
          <w:sz w:val="24"/>
          <w:szCs w:val="24"/>
        </w:rPr>
        <w:t xml:space="preserve">and subsequent decades have seen </w:t>
      </w:r>
      <w:r w:rsidRPr="00CB19CB">
        <w:rPr>
          <w:rFonts w:asciiTheme="majorBidi" w:hAnsiTheme="majorBidi" w:cstheme="majorBidi"/>
          <w:sz w:val="24"/>
          <w:szCs w:val="24"/>
        </w:rPr>
        <w:t xml:space="preserve">significant changes in the functional and territorial specialisation of British government. </w:t>
      </w:r>
      <w:r w:rsidR="00E95783">
        <w:rPr>
          <w:rFonts w:asciiTheme="majorBidi" w:hAnsiTheme="majorBidi" w:cstheme="majorBidi"/>
          <w:sz w:val="24"/>
          <w:szCs w:val="24"/>
        </w:rPr>
        <w:t>N</w:t>
      </w:r>
      <w:r w:rsidRPr="00CB19CB">
        <w:rPr>
          <w:rFonts w:asciiTheme="majorBidi" w:hAnsiTheme="majorBidi" w:cstheme="majorBidi"/>
          <w:sz w:val="24"/>
          <w:szCs w:val="24"/>
        </w:rPr>
        <w:t xml:space="preserve">etworks have </w:t>
      </w:r>
      <w:r w:rsidR="00E95783" w:rsidRPr="00CB19CB">
        <w:rPr>
          <w:rFonts w:asciiTheme="majorBidi" w:hAnsiTheme="majorBidi" w:cstheme="majorBidi"/>
          <w:sz w:val="24"/>
          <w:szCs w:val="24"/>
        </w:rPr>
        <w:t>multiplied and</w:t>
      </w:r>
      <w:r w:rsidRPr="00CB19CB">
        <w:rPr>
          <w:rFonts w:asciiTheme="majorBidi" w:hAnsiTheme="majorBidi" w:cstheme="majorBidi"/>
          <w:sz w:val="24"/>
          <w:szCs w:val="24"/>
        </w:rPr>
        <w:t xml:space="preserve"> </w:t>
      </w:r>
      <w:r w:rsidR="00E95783">
        <w:rPr>
          <w:rFonts w:asciiTheme="majorBidi" w:hAnsiTheme="majorBidi" w:cstheme="majorBidi"/>
          <w:sz w:val="24"/>
          <w:szCs w:val="24"/>
        </w:rPr>
        <w:t>the state’s</w:t>
      </w:r>
      <w:r w:rsidRPr="00CB19CB">
        <w:rPr>
          <w:rFonts w:asciiTheme="majorBidi" w:hAnsiTheme="majorBidi" w:cstheme="majorBidi"/>
          <w:sz w:val="24"/>
          <w:szCs w:val="24"/>
        </w:rPr>
        <w:t xml:space="preserve"> capacity to steer </w:t>
      </w:r>
      <w:r w:rsidR="00E95783">
        <w:rPr>
          <w:rFonts w:asciiTheme="majorBidi" w:hAnsiTheme="majorBidi" w:cstheme="majorBidi"/>
          <w:sz w:val="24"/>
          <w:szCs w:val="24"/>
        </w:rPr>
        <w:t>has been</w:t>
      </w:r>
      <w:r w:rsidRPr="00CB19CB">
        <w:rPr>
          <w:rFonts w:asciiTheme="majorBidi" w:hAnsiTheme="majorBidi" w:cstheme="majorBidi"/>
          <w:sz w:val="24"/>
          <w:szCs w:val="24"/>
        </w:rPr>
        <w:t xml:space="preserve"> </w:t>
      </w:r>
      <w:r w:rsidR="00E95783">
        <w:rPr>
          <w:rFonts w:asciiTheme="majorBidi" w:hAnsiTheme="majorBidi" w:cstheme="majorBidi"/>
          <w:sz w:val="24"/>
          <w:szCs w:val="24"/>
        </w:rPr>
        <w:t>increasingly constrained</w:t>
      </w:r>
      <w:r w:rsidR="00A2399E">
        <w:rPr>
          <w:rFonts w:asciiTheme="majorBidi" w:hAnsiTheme="majorBidi" w:cstheme="majorBidi"/>
          <w:sz w:val="24"/>
          <w:szCs w:val="24"/>
        </w:rPr>
        <w:t xml:space="preserve">. </w:t>
      </w:r>
      <w:r w:rsidRPr="00CB19CB">
        <w:rPr>
          <w:rFonts w:asciiTheme="majorBidi" w:hAnsiTheme="majorBidi" w:cstheme="majorBidi"/>
          <w:sz w:val="24"/>
          <w:szCs w:val="24"/>
        </w:rPr>
        <w:t xml:space="preserve"> </w:t>
      </w:r>
      <w:r w:rsidR="00E95783">
        <w:rPr>
          <w:rFonts w:asciiTheme="majorBidi" w:hAnsiTheme="majorBidi" w:cstheme="majorBidi"/>
          <w:sz w:val="24"/>
          <w:szCs w:val="24"/>
        </w:rPr>
        <w:t>C</w:t>
      </w:r>
      <w:r w:rsidRPr="00CB19CB">
        <w:rPr>
          <w:rFonts w:asciiTheme="majorBidi" w:hAnsiTheme="majorBidi" w:cstheme="majorBidi"/>
          <w:sz w:val="24"/>
          <w:szCs w:val="24"/>
        </w:rPr>
        <w:t>entralisation and control are incomplete and Britain is best viewed as a differentiated polity</w:t>
      </w:r>
      <w:r w:rsidR="00053A32">
        <w:rPr>
          <w:rFonts w:asciiTheme="majorBidi" w:hAnsiTheme="majorBidi" w:cstheme="majorBidi"/>
          <w:sz w:val="24"/>
          <w:szCs w:val="24"/>
        </w:rPr>
        <w:t>.</w:t>
      </w:r>
      <w:r w:rsidRPr="00CB19CB">
        <w:rPr>
          <w:rFonts w:asciiTheme="majorBidi" w:hAnsiTheme="majorBidi" w:cstheme="majorBidi"/>
          <w:sz w:val="24"/>
          <w:szCs w:val="24"/>
        </w:rPr>
        <w:t xml:space="preserve"> </w:t>
      </w:r>
    </w:p>
    <w:p w:rsidR="00254128" w:rsidRPr="00CB19CB" w:rsidRDefault="00403E06" w:rsidP="00053A32">
      <w:pPr>
        <w:spacing w:after="240" w:line="480" w:lineRule="auto"/>
        <w:ind w:firstLine="720"/>
        <w:rPr>
          <w:rFonts w:asciiTheme="majorBidi" w:hAnsiTheme="majorBidi" w:cstheme="majorBidi"/>
          <w:sz w:val="24"/>
          <w:szCs w:val="24"/>
        </w:rPr>
      </w:pPr>
      <w:r w:rsidRPr="00CB19CB">
        <w:rPr>
          <w:rFonts w:asciiTheme="majorBidi" w:hAnsiTheme="majorBidi" w:cstheme="majorBidi"/>
          <w:sz w:val="24"/>
          <w:szCs w:val="24"/>
        </w:rPr>
        <w:t xml:space="preserve">There </w:t>
      </w:r>
      <w:r w:rsidR="00053A32">
        <w:rPr>
          <w:rFonts w:asciiTheme="majorBidi" w:hAnsiTheme="majorBidi" w:cstheme="majorBidi"/>
          <w:sz w:val="24"/>
          <w:szCs w:val="24"/>
        </w:rPr>
        <w:t>have been</w:t>
      </w:r>
      <w:r w:rsidRPr="00CB19CB">
        <w:rPr>
          <w:rFonts w:asciiTheme="majorBidi" w:hAnsiTheme="majorBidi" w:cstheme="majorBidi"/>
          <w:sz w:val="24"/>
          <w:szCs w:val="24"/>
        </w:rPr>
        <w:t xml:space="preserve"> many criticisms of the differentiated polity and its core notions of policy networks, </w:t>
      </w:r>
      <w:r w:rsidR="00254128" w:rsidRPr="00CB19CB">
        <w:rPr>
          <w:rFonts w:asciiTheme="majorBidi" w:hAnsiTheme="majorBidi" w:cstheme="majorBidi"/>
          <w:sz w:val="24"/>
          <w:szCs w:val="24"/>
        </w:rPr>
        <w:t xml:space="preserve">hollowing –out, </w:t>
      </w:r>
      <w:r w:rsidRPr="00CB19CB">
        <w:rPr>
          <w:rFonts w:asciiTheme="majorBidi" w:hAnsiTheme="majorBidi" w:cstheme="majorBidi"/>
          <w:sz w:val="24"/>
          <w:szCs w:val="24"/>
        </w:rPr>
        <w:t xml:space="preserve">the core executive, and governance. </w:t>
      </w:r>
      <w:r w:rsidR="00024D58">
        <w:rPr>
          <w:rFonts w:asciiTheme="majorBidi" w:hAnsiTheme="majorBidi" w:cstheme="majorBidi"/>
          <w:sz w:val="24"/>
          <w:szCs w:val="24"/>
        </w:rPr>
        <w:t xml:space="preserve">Of course, </w:t>
      </w:r>
      <w:r w:rsidR="00B16D04">
        <w:rPr>
          <w:rFonts w:asciiTheme="majorBidi" w:hAnsiTheme="majorBidi" w:cstheme="majorBidi"/>
          <w:sz w:val="24"/>
          <w:szCs w:val="24"/>
        </w:rPr>
        <w:t>any</w:t>
      </w:r>
      <w:r w:rsidR="00024D58">
        <w:rPr>
          <w:rFonts w:asciiTheme="majorBidi" w:hAnsiTheme="majorBidi" w:cstheme="majorBidi"/>
          <w:sz w:val="24"/>
          <w:szCs w:val="24"/>
        </w:rPr>
        <w:t xml:space="preserve"> writer is grateful for readers</w:t>
      </w:r>
      <w:r w:rsidR="00B16D04">
        <w:rPr>
          <w:rFonts w:asciiTheme="majorBidi" w:hAnsiTheme="majorBidi" w:cstheme="majorBidi"/>
          <w:sz w:val="24"/>
          <w:szCs w:val="24"/>
        </w:rPr>
        <w:t>,</w:t>
      </w:r>
      <w:r w:rsidR="00024D58">
        <w:rPr>
          <w:rFonts w:asciiTheme="majorBidi" w:hAnsiTheme="majorBidi" w:cstheme="majorBidi"/>
          <w:sz w:val="24"/>
          <w:szCs w:val="24"/>
        </w:rPr>
        <w:t xml:space="preserve"> and</w:t>
      </w:r>
      <w:r w:rsidR="00B16D04">
        <w:rPr>
          <w:rFonts w:asciiTheme="majorBidi" w:hAnsiTheme="majorBidi" w:cstheme="majorBidi"/>
          <w:sz w:val="24"/>
          <w:szCs w:val="24"/>
        </w:rPr>
        <w:t>,</w:t>
      </w:r>
      <w:r w:rsidR="00024D58">
        <w:rPr>
          <w:rFonts w:asciiTheme="majorBidi" w:hAnsiTheme="majorBidi" w:cstheme="majorBidi"/>
          <w:sz w:val="24"/>
          <w:szCs w:val="24"/>
        </w:rPr>
        <w:t xml:space="preserve"> </w:t>
      </w:r>
      <w:r w:rsidR="00B16D04">
        <w:rPr>
          <w:rFonts w:asciiTheme="majorBidi" w:hAnsiTheme="majorBidi" w:cstheme="majorBidi"/>
          <w:sz w:val="24"/>
          <w:szCs w:val="24"/>
        </w:rPr>
        <w:t xml:space="preserve">in academia, </w:t>
      </w:r>
      <w:r w:rsidR="00024D58">
        <w:rPr>
          <w:rFonts w:asciiTheme="majorBidi" w:hAnsiTheme="majorBidi" w:cstheme="majorBidi"/>
          <w:sz w:val="24"/>
          <w:szCs w:val="24"/>
        </w:rPr>
        <w:t xml:space="preserve">critical engagement is a mark of respect because your book has been read and the arguments deemed worthy of comment. </w:t>
      </w:r>
      <w:r w:rsidR="00056569" w:rsidRPr="00CB19CB">
        <w:rPr>
          <w:rFonts w:asciiTheme="majorBidi" w:hAnsiTheme="majorBidi" w:cstheme="majorBidi"/>
          <w:sz w:val="24"/>
          <w:szCs w:val="24"/>
        </w:rPr>
        <w:t xml:space="preserve">In these debates, </w:t>
      </w:r>
      <w:r w:rsidR="00024D58">
        <w:rPr>
          <w:rFonts w:asciiTheme="majorBidi" w:hAnsiTheme="majorBidi" w:cstheme="majorBidi"/>
          <w:sz w:val="24"/>
          <w:szCs w:val="24"/>
        </w:rPr>
        <w:t xml:space="preserve">however, </w:t>
      </w:r>
      <w:r w:rsidR="00056569" w:rsidRPr="00CB19CB">
        <w:rPr>
          <w:rFonts w:asciiTheme="majorBidi" w:hAnsiTheme="majorBidi" w:cstheme="majorBidi"/>
          <w:sz w:val="24"/>
          <w:szCs w:val="24"/>
        </w:rPr>
        <w:t xml:space="preserve">I often feel that I am a mere ‘scriptor’ who cannot provide the authoritative reading of his </w:t>
      </w:r>
      <w:r w:rsidR="00056569" w:rsidRPr="00CB19CB">
        <w:rPr>
          <w:rFonts w:asciiTheme="majorBidi" w:hAnsiTheme="majorBidi" w:cstheme="majorBidi"/>
          <w:sz w:val="24"/>
          <w:szCs w:val="24"/>
        </w:rPr>
        <w:lastRenderedPageBreak/>
        <w:t>own text. Rather, it</w:t>
      </w:r>
      <w:r w:rsidR="00056569" w:rsidRPr="00CB19CB">
        <w:rPr>
          <w:rFonts w:asciiTheme="majorBidi" w:hAnsiTheme="majorBidi" w:cstheme="majorBidi"/>
          <w:color w:val="000000"/>
          <w:sz w:val="24"/>
          <w:szCs w:val="24"/>
          <w:shd w:val="clear" w:color="auto" w:fill="FFFFFF"/>
        </w:rPr>
        <w:t xml:space="preserve"> is ‘eternally written here and now’ by each reader</w:t>
      </w:r>
      <w:r w:rsidR="00C7174A">
        <w:rPr>
          <w:rFonts w:asciiTheme="majorBidi" w:hAnsiTheme="majorBidi" w:cstheme="majorBidi"/>
          <w:color w:val="000000"/>
          <w:sz w:val="24"/>
          <w:szCs w:val="24"/>
          <w:shd w:val="clear" w:color="auto" w:fill="FFFFFF"/>
        </w:rPr>
        <w:t xml:space="preserve"> (Barthes 1977: 146-6)</w:t>
      </w:r>
      <w:r w:rsidR="00056569" w:rsidRPr="00CB19CB">
        <w:rPr>
          <w:rFonts w:asciiTheme="majorBidi" w:hAnsiTheme="majorBidi" w:cstheme="majorBidi"/>
          <w:color w:val="000000"/>
          <w:sz w:val="24"/>
          <w:szCs w:val="24"/>
          <w:shd w:val="clear" w:color="auto" w:fill="FFFFFF"/>
        </w:rPr>
        <w:t xml:space="preserve">. </w:t>
      </w:r>
      <w:r w:rsidR="00024D58">
        <w:rPr>
          <w:rFonts w:asciiTheme="majorBidi" w:hAnsiTheme="majorBidi" w:cstheme="majorBidi"/>
          <w:color w:val="000000"/>
          <w:sz w:val="24"/>
          <w:szCs w:val="24"/>
          <w:shd w:val="clear" w:color="auto" w:fill="FFFFFF"/>
        </w:rPr>
        <w:t xml:space="preserve">It is interpreted and reinterpreted to the point where the starting arguments are unrecognisable. </w:t>
      </w:r>
      <w:r w:rsidR="00056569" w:rsidRPr="00CB19CB">
        <w:rPr>
          <w:rFonts w:asciiTheme="majorBidi" w:hAnsiTheme="majorBidi" w:cstheme="majorBidi"/>
          <w:color w:val="000000"/>
          <w:sz w:val="24"/>
          <w:szCs w:val="24"/>
          <w:shd w:val="clear" w:color="auto" w:fill="FFFFFF"/>
        </w:rPr>
        <w:t>Authorial intention is no more</w:t>
      </w:r>
      <w:r w:rsidR="00024D58">
        <w:rPr>
          <w:rFonts w:asciiTheme="majorBidi" w:hAnsiTheme="majorBidi" w:cstheme="majorBidi"/>
          <w:color w:val="000000"/>
          <w:sz w:val="24"/>
          <w:szCs w:val="24"/>
          <w:shd w:val="clear" w:color="auto" w:fill="FFFFFF"/>
        </w:rPr>
        <w:t>.</w:t>
      </w:r>
      <w:r w:rsidR="00056569" w:rsidRPr="00CB19CB">
        <w:rPr>
          <w:rFonts w:asciiTheme="majorBidi" w:hAnsiTheme="majorBidi" w:cstheme="majorBidi"/>
          <w:color w:val="000000"/>
          <w:sz w:val="24"/>
          <w:szCs w:val="24"/>
          <w:shd w:val="clear" w:color="auto" w:fill="FFFFFF"/>
        </w:rPr>
        <w:t xml:space="preserve"> </w:t>
      </w:r>
      <w:r w:rsidR="00056569" w:rsidRPr="00CB19CB">
        <w:rPr>
          <w:rFonts w:asciiTheme="majorBidi" w:hAnsiTheme="majorBidi" w:cstheme="majorBidi"/>
          <w:sz w:val="24"/>
          <w:szCs w:val="24"/>
        </w:rPr>
        <w:t xml:space="preserve">I am reluctant to surrender my intentions – hence this article. </w:t>
      </w:r>
      <w:r w:rsidRPr="00CB19CB">
        <w:rPr>
          <w:rFonts w:asciiTheme="majorBidi" w:hAnsiTheme="majorBidi" w:cstheme="majorBidi"/>
          <w:sz w:val="24"/>
          <w:szCs w:val="24"/>
        </w:rPr>
        <w:t xml:space="preserve">I will not even try to reply to every criticism – with the benefit of 20/20 hindsight, much of the debate is unduly esoteric, even self-absorbed. </w:t>
      </w:r>
      <w:r w:rsidR="00254128" w:rsidRPr="00CB19CB">
        <w:rPr>
          <w:rFonts w:asciiTheme="majorBidi" w:hAnsiTheme="majorBidi" w:cstheme="majorBidi"/>
          <w:sz w:val="24"/>
          <w:szCs w:val="24"/>
        </w:rPr>
        <w:t xml:space="preserve">Rather, </w:t>
      </w:r>
      <w:r w:rsidR="00024D58">
        <w:rPr>
          <w:rFonts w:asciiTheme="majorBidi" w:hAnsiTheme="majorBidi" w:cstheme="majorBidi"/>
          <w:sz w:val="24"/>
          <w:szCs w:val="24"/>
        </w:rPr>
        <w:t xml:space="preserve">here, </w:t>
      </w:r>
      <w:r w:rsidR="00254128" w:rsidRPr="00CB19CB">
        <w:rPr>
          <w:rFonts w:asciiTheme="majorBidi" w:hAnsiTheme="majorBidi" w:cstheme="majorBidi"/>
          <w:sz w:val="24"/>
          <w:szCs w:val="24"/>
        </w:rPr>
        <w:t xml:space="preserve">I </w:t>
      </w:r>
      <w:r w:rsidRPr="00CB19CB">
        <w:rPr>
          <w:rFonts w:asciiTheme="majorBidi" w:hAnsiTheme="majorBidi" w:cstheme="majorBidi"/>
          <w:sz w:val="24"/>
          <w:szCs w:val="24"/>
        </w:rPr>
        <w:t xml:space="preserve">focus on </w:t>
      </w:r>
      <w:r w:rsidR="00254128" w:rsidRPr="00CB19CB">
        <w:rPr>
          <w:rFonts w:asciiTheme="majorBidi" w:hAnsiTheme="majorBidi" w:cstheme="majorBidi"/>
          <w:sz w:val="24"/>
          <w:szCs w:val="24"/>
        </w:rPr>
        <w:t xml:space="preserve">the arguments around the </w:t>
      </w:r>
      <w:r w:rsidR="00841078">
        <w:rPr>
          <w:rFonts w:asciiTheme="majorBidi" w:hAnsiTheme="majorBidi" w:cstheme="majorBidi"/>
          <w:sz w:val="24"/>
          <w:szCs w:val="24"/>
        </w:rPr>
        <w:t xml:space="preserve">two </w:t>
      </w:r>
      <w:r w:rsidR="00056569" w:rsidRPr="00CB19CB">
        <w:rPr>
          <w:rFonts w:asciiTheme="majorBidi" w:hAnsiTheme="majorBidi" w:cstheme="majorBidi"/>
          <w:sz w:val="24"/>
          <w:szCs w:val="24"/>
        </w:rPr>
        <w:t xml:space="preserve">notions </w:t>
      </w:r>
      <w:r w:rsidR="00841078">
        <w:rPr>
          <w:rFonts w:asciiTheme="majorBidi" w:hAnsiTheme="majorBidi" w:cstheme="majorBidi"/>
          <w:sz w:val="24"/>
          <w:szCs w:val="24"/>
        </w:rPr>
        <w:t xml:space="preserve">that have attracted most attention: </w:t>
      </w:r>
      <w:r w:rsidR="00056569" w:rsidRPr="00CB19CB">
        <w:rPr>
          <w:rFonts w:asciiTheme="majorBidi" w:hAnsiTheme="majorBidi" w:cstheme="majorBidi"/>
          <w:sz w:val="24"/>
          <w:szCs w:val="24"/>
        </w:rPr>
        <w:t>hollowing-</w:t>
      </w:r>
      <w:r w:rsidR="00254128" w:rsidRPr="00CB19CB">
        <w:rPr>
          <w:rFonts w:asciiTheme="majorBidi" w:hAnsiTheme="majorBidi" w:cstheme="majorBidi"/>
          <w:sz w:val="24"/>
          <w:szCs w:val="24"/>
        </w:rPr>
        <w:t>out</w:t>
      </w:r>
      <w:r w:rsidR="000E0523">
        <w:rPr>
          <w:rFonts w:asciiTheme="majorBidi" w:hAnsiTheme="majorBidi" w:cstheme="majorBidi"/>
          <w:sz w:val="24"/>
          <w:szCs w:val="24"/>
        </w:rPr>
        <w:t>,</w:t>
      </w:r>
      <w:r w:rsidR="00254128" w:rsidRPr="00CB19CB">
        <w:rPr>
          <w:rFonts w:asciiTheme="majorBidi" w:hAnsiTheme="majorBidi" w:cstheme="majorBidi"/>
          <w:sz w:val="24"/>
          <w:szCs w:val="24"/>
        </w:rPr>
        <w:t xml:space="preserve"> and</w:t>
      </w:r>
      <w:r w:rsidR="000E0523">
        <w:rPr>
          <w:rFonts w:asciiTheme="majorBidi" w:hAnsiTheme="majorBidi" w:cstheme="majorBidi"/>
          <w:sz w:val="24"/>
          <w:szCs w:val="24"/>
        </w:rPr>
        <w:t xml:space="preserve"> </w:t>
      </w:r>
      <w:r w:rsidR="00056569" w:rsidRPr="00CB19CB">
        <w:rPr>
          <w:rFonts w:asciiTheme="majorBidi" w:hAnsiTheme="majorBidi" w:cstheme="majorBidi"/>
          <w:sz w:val="24"/>
          <w:szCs w:val="24"/>
        </w:rPr>
        <w:t>governance</w:t>
      </w:r>
      <w:r w:rsidR="00024D58">
        <w:rPr>
          <w:rFonts w:asciiTheme="majorBidi" w:hAnsiTheme="majorBidi" w:cstheme="majorBidi"/>
          <w:sz w:val="24"/>
          <w:szCs w:val="24"/>
        </w:rPr>
        <w:t xml:space="preserve"> (see also Rhodes 2017a)</w:t>
      </w:r>
      <w:r w:rsidR="00056569" w:rsidRPr="00CB19CB">
        <w:rPr>
          <w:rFonts w:asciiTheme="majorBidi" w:hAnsiTheme="majorBidi" w:cstheme="majorBidi"/>
          <w:sz w:val="24"/>
          <w:szCs w:val="24"/>
        </w:rPr>
        <w:t xml:space="preserve">. </w:t>
      </w:r>
    </w:p>
    <w:p w:rsidR="00403E06" w:rsidRPr="004758D6" w:rsidRDefault="00056569" w:rsidP="0043753F">
      <w:pPr>
        <w:pStyle w:val="Heading1"/>
        <w:spacing w:before="0" w:line="480" w:lineRule="auto"/>
        <w:ind w:firstLine="720"/>
        <w:rPr>
          <w:rFonts w:asciiTheme="majorBidi" w:hAnsiTheme="majorBidi"/>
        </w:rPr>
      </w:pPr>
      <w:r w:rsidRPr="004758D6">
        <w:rPr>
          <w:rFonts w:asciiTheme="majorBidi" w:hAnsiTheme="majorBidi"/>
        </w:rPr>
        <w:t>Hollowing-</w:t>
      </w:r>
      <w:r w:rsidR="00403E06" w:rsidRPr="004758D6">
        <w:rPr>
          <w:rFonts w:asciiTheme="majorBidi" w:hAnsiTheme="majorBidi"/>
        </w:rPr>
        <w:t xml:space="preserve">out </w:t>
      </w:r>
    </w:p>
    <w:p w:rsidR="00403E06" w:rsidRPr="002B4A09" w:rsidRDefault="00640B44" w:rsidP="00054607">
      <w:pPr>
        <w:spacing w:line="480" w:lineRule="auto"/>
        <w:ind w:firstLine="720"/>
        <w:rPr>
          <w:rFonts w:asciiTheme="majorBidi" w:hAnsiTheme="majorBidi" w:cstheme="majorBidi"/>
          <w:sz w:val="24"/>
          <w:szCs w:val="24"/>
        </w:rPr>
      </w:pPr>
      <w:r w:rsidRPr="002B4A09">
        <w:rPr>
          <w:rFonts w:asciiTheme="majorBidi" w:hAnsiTheme="majorBidi" w:cstheme="majorBidi"/>
          <w:sz w:val="24"/>
          <w:szCs w:val="24"/>
        </w:rPr>
        <w:t xml:space="preserve">In </w:t>
      </w:r>
      <w:r w:rsidRPr="002B4A09">
        <w:rPr>
          <w:rFonts w:asciiTheme="majorBidi" w:hAnsiTheme="majorBidi" w:cstheme="majorBidi"/>
          <w:i/>
          <w:iCs/>
          <w:sz w:val="24"/>
          <w:szCs w:val="24"/>
        </w:rPr>
        <w:t xml:space="preserve">Understanding Governance </w:t>
      </w:r>
      <w:r w:rsidRPr="002B4A09">
        <w:rPr>
          <w:rFonts w:asciiTheme="majorBidi" w:hAnsiTheme="majorBidi" w:cstheme="majorBidi"/>
          <w:sz w:val="24"/>
          <w:szCs w:val="24"/>
        </w:rPr>
        <w:t>(1997</w:t>
      </w:r>
      <w:r w:rsidR="00E927FE">
        <w:rPr>
          <w:rFonts w:asciiTheme="majorBidi" w:hAnsiTheme="majorBidi" w:cstheme="majorBidi"/>
          <w:sz w:val="24"/>
          <w:szCs w:val="24"/>
        </w:rPr>
        <w:t>a</w:t>
      </w:r>
      <w:r w:rsidRPr="002B4A09">
        <w:rPr>
          <w:rFonts w:asciiTheme="majorBidi" w:hAnsiTheme="majorBidi" w:cstheme="majorBidi"/>
          <w:sz w:val="24"/>
          <w:szCs w:val="24"/>
        </w:rPr>
        <w:t>: 17-18</w:t>
      </w:r>
      <w:r w:rsidR="002B4A09" w:rsidRPr="002B4A09">
        <w:rPr>
          <w:rFonts w:asciiTheme="majorBidi" w:hAnsiTheme="majorBidi" w:cstheme="majorBidi"/>
          <w:sz w:val="24"/>
          <w:szCs w:val="24"/>
        </w:rPr>
        <w:t>; and chapter 3)</w:t>
      </w:r>
      <w:r w:rsidRPr="002B4A09">
        <w:rPr>
          <w:rFonts w:asciiTheme="majorBidi" w:hAnsiTheme="majorBidi" w:cstheme="majorBidi"/>
          <w:i/>
          <w:iCs/>
          <w:sz w:val="24"/>
          <w:szCs w:val="24"/>
        </w:rPr>
        <w:t xml:space="preserve"> </w:t>
      </w:r>
      <w:r w:rsidRPr="002B4A09">
        <w:rPr>
          <w:rFonts w:asciiTheme="majorBidi" w:hAnsiTheme="majorBidi" w:cstheme="majorBidi"/>
          <w:sz w:val="24"/>
          <w:szCs w:val="24"/>
        </w:rPr>
        <w:t xml:space="preserve">the ‘hollowing out of the state’ referred to the many </w:t>
      </w:r>
      <w:r w:rsidR="002B4A09" w:rsidRPr="002B4A09">
        <w:rPr>
          <w:rFonts w:asciiTheme="majorBidi" w:hAnsiTheme="majorBidi" w:cstheme="majorBidi"/>
          <w:sz w:val="24"/>
          <w:szCs w:val="24"/>
        </w:rPr>
        <w:t>changes that</w:t>
      </w:r>
      <w:r w:rsidRPr="002B4A09">
        <w:rPr>
          <w:rFonts w:asciiTheme="majorBidi" w:hAnsiTheme="majorBidi" w:cstheme="majorBidi"/>
          <w:sz w:val="24"/>
          <w:szCs w:val="24"/>
        </w:rPr>
        <w:t xml:space="preserve"> had taken place</w:t>
      </w:r>
      <w:r w:rsidR="002B4A09" w:rsidRPr="002B4A09">
        <w:rPr>
          <w:rFonts w:asciiTheme="majorBidi" w:hAnsiTheme="majorBidi" w:cstheme="majorBidi"/>
          <w:sz w:val="24"/>
          <w:szCs w:val="24"/>
        </w:rPr>
        <w:t>,</w:t>
      </w:r>
      <w:r w:rsidRPr="002B4A09">
        <w:rPr>
          <w:rFonts w:asciiTheme="majorBidi" w:hAnsiTheme="majorBidi" w:cstheme="majorBidi"/>
          <w:sz w:val="24"/>
          <w:szCs w:val="24"/>
        </w:rPr>
        <w:t xml:space="preserve"> or were taking place</w:t>
      </w:r>
      <w:r w:rsidR="002B4A09" w:rsidRPr="002B4A09">
        <w:rPr>
          <w:rFonts w:asciiTheme="majorBidi" w:hAnsiTheme="majorBidi" w:cstheme="majorBidi"/>
          <w:sz w:val="24"/>
          <w:szCs w:val="24"/>
        </w:rPr>
        <w:t>,</w:t>
      </w:r>
      <w:r w:rsidRPr="002B4A09">
        <w:rPr>
          <w:rFonts w:asciiTheme="majorBidi" w:hAnsiTheme="majorBidi" w:cstheme="majorBidi"/>
          <w:sz w:val="24"/>
          <w:szCs w:val="24"/>
        </w:rPr>
        <w:t xml:space="preserve"> in British government. I suggested that the state had been hollowed out from above (by </w:t>
      </w:r>
      <w:r w:rsidR="002B4A09" w:rsidRPr="002B4A09">
        <w:rPr>
          <w:rFonts w:asciiTheme="majorBidi" w:hAnsiTheme="majorBidi" w:cstheme="majorBidi"/>
          <w:sz w:val="24"/>
          <w:szCs w:val="24"/>
        </w:rPr>
        <w:t xml:space="preserve">the </w:t>
      </w:r>
      <w:r w:rsidR="00054607">
        <w:rPr>
          <w:rFonts w:asciiTheme="majorBidi" w:hAnsiTheme="majorBidi" w:cstheme="majorBidi"/>
          <w:sz w:val="24"/>
          <w:szCs w:val="24"/>
        </w:rPr>
        <w:t>European Union (EU)</w:t>
      </w:r>
      <w:r w:rsidR="002B4A09" w:rsidRPr="002B4A09">
        <w:rPr>
          <w:rFonts w:asciiTheme="majorBidi" w:hAnsiTheme="majorBidi" w:cstheme="majorBidi"/>
          <w:sz w:val="24"/>
          <w:szCs w:val="24"/>
        </w:rPr>
        <w:t xml:space="preserve"> and other forms of </w:t>
      </w:r>
      <w:r w:rsidRPr="002B4A09">
        <w:rPr>
          <w:rFonts w:asciiTheme="majorBidi" w:hAnsiTheme="majorBidi" w:cstheme="majorBidi"/>
          <w:sz w:val="24"/>
          <w:szCs w:val="24"/>
        </w:rPr>
        <w:t xml:space="preserve">international interdependence); from below (by </w:t>
      </w:r>
      <w:r w:rsidR="00054607" w:rsidRPr="002B4A09">
        <w:rPr>
          <w:rFonts w:asciiTheme="majorBidi" w:hAnsiTheme="majorBidi" w:cstheme="majorBidi"/>
          <w:sz w:val="24"/>
          <w:szCs w:val="24"/>
        </w:rPr>
        <w:t>marketization</w:t>
      </w:r>
      <w:r w:rsidRPr="002B4A09">
        <w:rPr>
          <w:rFonts w:asciiTheme="majorBidi" w:hAnsiTheme="majorBidi" w:cstheme="majorBidi"/>
          <w:sz w:val="24"/>
          <w:szCs w:val="24"/>
        </w:rPr>
        <w:t xml:space="preserve"> and networks); sideways (by agencies and the several species of parastatal bodies)</w:t>
      </w:r>
      <w:r w:rsidR="002B4A09" w:rsidRPr="002B4A09">
        <w:rPr>
          <w:rFonts w:asciiTheme="majorBidi" w:hAnsiTheme="majorBidi" w:cstheme="majorBidi"/>
          <w:sz w:val="24"/>
          <w:szCs w:val="24"/>
        </w:rPr>
        <w:t xml:space="preserve">; and by public sector reform. </w:t>
      </w:r>
      <w:r w:rsidRPr="002B4A09">
        <w:rPr>
          <w:rFonts w:asciiTheme="majorBidi" w:hAnsiTheme="majorBidi" w:cstheme="majorBidi"/>
          <w:sz w:val="24"/>
          <w:szCs w:val="24"/>
        </w:rPr>
        <w:t xml:space="preserve"> </w:t>
      </w:r>
      <w:r w:rsidR="002B4A09" w:rsidRPr="002B4A09">
        <w:rPr>
          <w:rFonts w:asciiTheme="majorBidi" w:hAnsiTheme="majorBidi" w:cstheme="majorBidi"/>
          <w:sz w:val="24"/>
          <w:szCs w:val="24"/>
        </w:rPr>
        <w:t xml:space="preserve">My critics disputed both that such changes had taken place and that they had the effect of reducing the capacity of the central state to steer. In this section, </w:t>
      </w:r>
      <w:r w:rsidR="00403E06" w:rsidRPr="002B4A09">
        <w:rPr>
          <w:rFonts w:asciiTheme="majorBidi" w:hAnsiTheme="majorBidi" w:cstheme="majorBidi"/>
          <w:sz w:val="24"/>
          <w:szCs w:val="24"/>
        </w:rPr>
        <w:t xml:space="preserve">I concentrate on describing what has changed empirically </w:t>
      </w:r>
      <w:r w:rsidR="00CB19CB" w:rsidRPr="002B4A09">
        <w:rPr>
          <w:rFonts w:asciiTheme="majorBidi" w:hAnsiTheme="majorBidi" w:cstheme="majorBidi"/>
          <w:sz w:val="24"/>
          <w:szCs w:val="24"/>
        </w:rPr>
        <w:t xml:space="preserve">since </w:t>
      </w:r>
      <w:r w:rsidR="00CB19CB" w:rsidRPr="002B4A09">
        <w:rPr>
          <w:rFonts w:asciiTheme="majorBidi" w:hAnsiTheme="majorBidi" w:cstheme="majorBidi"/>
          <w:i/>
          <w:iCs/>
          <w:sz w:val="24"/>
          <w:szCs w:val="24"/>
        </w:rPr>
        <w:t xml:space="preserve">Understanding Governance </w:t>
      </w:r>
      <w:r w:rsidR="00CB19CB" w:rsidRPr="002B4A09">
        <w:rPr>
          <w:rFonts w:asciiTheme="majorBidi" w:hAnsiTheme="majorBidi" w:cstheme="majorBidi"/>
          <w:sz w:val="24"/>
          <w:szCs w:val="24"/>
        </w:rPr>
        <w:t>was published. I seek to</w:t>
      </w:r>
      <w:r w:rsidR="00403E06" w:rsidRPr="002B4A09">
        <w:rPr>
          <w:rFonts w:asciiTheme="majorBidi" w:hAnsiTheme="majorBidi" w:cstheme="majorBidi"/>
          <w:sz w:val="24"/>
          <w:szCs w:val="24"/>
        </w:rPr>
        <w:t xml:space="preserve"> demonstrat</w:t>
      </w:r>
      <w:r w:rsidR="00CB19CB" w:rsidRPr="002B4A09">
        <w:rPr>
          <w:rFonts w:asciiTheme="majorBidi" w:hAnsiTheme="majorBidi" w:cstheme="majorBidi"/>
          <w:sz w:val="24"/>
          <w:szCs w:val="24"/>
        </w:rPr>
        <w:t>e</w:t>
      </w:r>
      <w:r w:rsidR="00403E06" w:rsidRPr="002B4A09">
        <w:rPr>
          <w:rFonts w:asciiTheme="majorBidi" w:hAnsiTheme="majorBidi" w:cstheme="majorBidi"/>
          <w:sz w:val="24"/>
          <w:szCs w:val="24"/>
        </w:rPr>
        <w:t xml:space="preserve"> the continuing relevance of </w:t>
      </w:r>
      <w:r w:rsidR="00403E06" w:rsidRPr="002B4A09">
        <w:rPr>
          <w:rFonts w:asciiTheme="majorBidi" w:eastAsia="PMingLiU" w:hAnsiTheme="majorBidi" w:cstheme="majorBidi"/>
          <w:sz w:val="24"/>
          <w:szCs w:val="24"/>
          <w:lang w:eastAsia="zh-TW"/>
        </w:rPr>
        <w:t>my speculations</w:t>
      </w:r>
      <w:r w:rsidR="002B4A09" w:rsidRPr="002B4A09">
        <w:rPr>
          <w:rFonts w:asciiTheme="majorBidi" w:eastAsia="PMingLiU" w:hAnsiTheme="majorBidi" w:cstheme="majorBidi"/>
          <w:sz w:val="24"/>
          <w:szCs w:val="24"/>
          <w:lang w:eastAsia="zh-TW"/>
        </w:rPr>
        <w:t xml:space="preserve"> </w:t>
      </w:r>
      <w:r w:rsidR="002B4A09" w:rsidRPr="002B4A09">
        <w:rPr>
          <w:rFonts w:asciiTheme="majorBidi" w:hAnsiTheme="majorBidi" w:cstheme="majorBidi"/>
          <w:sz w:val="24"/>
          <w:szCs w:val="24"/>
        </w:rPr>
        <w:t>by</w:t>
      </w:r>
      <w:r w:rsidR="00403E06" w:rsidRPr="002B4A09">
        <w:rPr>
          <w:rFonts w:asciiTheme="majorBidi" w:hAnsiTheme="majorBidi" w:cstheme="majorBidi"/>
          <w:sz w:val="24"/>
          <w:szCs w:val="24"/>
        </w:rPr>
        <w:t xml:space="preserve"> </w:t>
      </w:r>
      <w:r w:rsidR="002B4A09" w:rsidRPr="002B4A09">
        <w:rPr>
          <w:rFonts w:asciiTheme="majorBidi" w:hAnsiTheme="majorBidi" w:cstheme="majorBidi"/>
          <w:sz w:val="24"/>
          <w:szCs w:val="24"/>
        </w:rPr>
        <w:t>revisiting the</w:t>
      </w:r>
      <w:r w:rsidR="00403E06" w:rsidRPr="002B4A09">
        <w:rPr>
          <w:rFonts w:asciiTheme="majorBidi" w:hAnsiTheme="majorBidi" w:cstheme="majorBidi"/>
          <w:sz w:val="24"/>
          <w:szCs w:val="24"/>
        </w:rPr>
        <w:t xml:space="preserve"> topics of </w:t>
      </w:r>
      <w:r w:rsidR="002B4A09" w:rsidRPr="002B4A09">
        <w:rPr>
          <w:rFonts w:asciiTheme="majorBidi" w:hAnsiTheme="majorBidi" w:cstheme="majorBidi"/>
          <w:sz w:val="24"/>
          <w:szCs w:val="24"/>
        </w:rPr>
        <w:t>marketization, the EU, service delivery and public sector reform</w:t>
      </w:r>
      <w:r w:rsidR="00403E06" w:rsidRPr="002B4A09">
        <w:rPr>
          <w:rFonts w:asciiTheme="majorBidi" w:hAnsiTheme="majorBidi" w:cstheme="majorBidi"/>
          <w:sz w:val="24"/>
          <w:szCs w:val="24"/>
        </w:rPr>
        <w:t xml:space="preserve">. </w:t>
      </w:r>
      <w:r w:rsidR="00403E06" w:rsidRPr="002B4A09">
        <w:rPr>
          <w:rStyle w:val="FootnoteReference"/>
          <w:rFonts w:asciiTheme="majorBidi" w:hAnsiTheme="majorBidi" w:cstheme="majorBidi"/>
          <w:sz w:val="24"/>
          <w:szCs w:val="24"/>
        </w:rPr>
        <w:footnoteReference w:id="2"/>
      </w:r>
      <w:r w:rsidR="00403E06" w:rsidRPr="002B4A09">
        <w:rPr>
          <w:rFonts w:asciiTheme="majorBidi" w:hAnsiTheme="majorBidi" w:cstheme="majorBidi"/>
          <w:sz w:val="24"/>
          <w:szCs w:val="24"/>
        </w:rPr>
        <w:t xml:space="preserve"> </w:t>
      </w:r>
      <w:r w:rsidR="002B4A09">
        <w:rPr>
          <w:rFonts w:asciiTheme="majorBidi" w:hAnsiTheme="majorBidi" w:cstheme="majorBidi"/>
          <w:sz w:val="24"/>
          <w:szCs w:val="24"/>
        </w:rPr>
        <w:t xml:space="preserve">In the next section, I look at the effects of governance on the state. </w:t>
      </w:r>
    </w:p>
    <w:p w:rsidR="00403E06" w:rsidRPr="00CB19CB" w:rsidRDefault="00403E06" w:rsidP="00815640">
      <w:pPr>
        <w:spacing w:after="240" w:line="480" w:lineRule="auto"/>
        <w:ind w:right="-46" w:firstLine="720"/>
        <w:rPr>
          <w:rFonts w:asciiTheme="majorBidi" w:hAnsiTheme="majorBidi" w:cstheme="majorBidi"/>
          <w:color w:val="000000"/>
          <w:sz w:val="24"/>
          <w:szCs w:val="24"/>
          <w:shd w:val="clear" w:color="auto" w:fill="FFFFFF"/>
        </w:rPr>
      </w:pPr>
      <w:r w:rsidRPr="00CB19CB">
        <w:rPr>
          <w:rFonts w:asciiTheme="majorBidi" w:hAnsiTheme="majorBidi" w:cstheme="majorBidi"/>
          <w:sz w:val="24"/>
          <w:szCs w:val="24"/>
        </w:rPr>
        <w:t>In 199</w:t>
      </w:r>
      <w:r w:rsidR="002B4A09">
        <w:rPr>
          <w:rFonts w:asciiTheme="majorBidi" w:hAnsiTheme="majorBidi" w:cstheme="majorBidi"/>
          <w:sz w:val="24"/>
          <w:szCs w:val="24"/>
        </w:rPr>
        <w:t>7</w:t>
      </w:r>
      <w:r w:rsidRPr="00CB19CB">
        <w:rPr>
          <w:rFonts w:asciiTheme="majorBidi" w:hAnsiTheme="majorBidi" w:cstheme="majorBidi"/>
          <w:sz w:val="24"/>
          <w:szCs w:val="24"/>
        </w:rPr>
        <w:t>, the UK economy was recovering from ‘Black Wednesday’</w:t>
      </w:r>
      <w:r w:rsidR="00841078">
        <w:rPr>
          <w:rFonts w:asciiTheme="majorBidi" w:hAnsiTheme="majorBidi" w:cstheme="majorBidi"/>
          <w:sz w:val="24"/>
          <w:szCs w:val="24"/>
        </w:rPr>
        <w:t xml:space="preserve"> </w:t>
      </w:r>
      <w:r w:rsidRPr="00CB19CB">
        <w:rPr>
          <w:rFonts w:asciiTheme="majorBidi" w:hAnsiTheme="majorBidi" w:cstheme="majorBidi"/>
          <w:sz w:val="24"/>
          <w:szCs w:val="24"/>
        </w:rPr>
        <w:t xml:space="preserve">or Britain’s withdrawal from the European Exchange Rate Mechanism on 16 September 1992. This decision cost the UK economy some £3.3 billion and caused an economic recession. However, </w:t>
      </w:r>
      <w:r w:rsidRPr="00CB19CB">
        <w:rPr>
          <w:rFonts w:asciiTheme="majorBidi" w:hAnsiTheme="majorBidi" w:cstheme="majorBidi"/>
          <w:sz w:val="24"/>
          <w:szCs w:val="24"/>
        </w:rPr>
        <w:lastRenderedPageBreak/>
        <w:t>by 199</w:t>
      </w:r>
      <w:r w:rsidR="002B4A09">
        <w:rPr>
          <w:rFonts w:asciiTheme="majorBidi" w:hAnsiTheme="majorBidi" w:cstheme="majorBidi"/>
          <w:sz w:val="24"/>
          <w:szCs w:val="24"/>
        </w:rPr>
        <w:t>7</w:t>
      </w:r>
      <w:r w:rsidRPr="00CB19CB">
        <w:rPr>
          <w:rFonts w:asciiTheme="majorBidi" w:hAnsiTheme="majorBidi" w:cstheme="majorBidi"/>
          <w:sz w:val="24"/>
          <w:szCs w:val="24"/>
        </w:rPr>
        <w:t>, the economy was growing, u</w:t>
      </w:r>
      <w:r w:rsidRPr="00CB19CB">
        <w:rPr>
          <w:rFonts w:asciiTheme="majorBidi" w:hAnsiTheme="majorBidi" w:cstheme="majorBidi"/>
          <w:color w:val="000000"/>
          <w:sz w:val="24"/>
          <w:szCs w:val="24"/>
          <w:shd w:val="clear" w:color="auto" w:fill="FFFFFF"/>
        </w:rPr>
        <w:t xml:space="preserve">nemployment was falling, and inflation was low. Unfortunately for the Conservatives, they gained little credit for the recovery. They polled less than 30 per cent of the electorate and were about to lose power. So, my original remarks were shaped by 18 years of Conservative rule and their avowed intent of redrawing the boundaries of the state. </w:t>
      </w:r>
    </w:p>
    <w:p w:rsidR="00403E06" w:rsidRPr="00CB19CB" w:rsidRDefault="00403E06" w:rsidP="00815640">
      <w:pPr>
        <w:spacing w:after="240" w:line="480" w:lineRule="auto"/>
        <w:ind w:right="-46" w:firstLine="720"/>
        <w:rPr>
          <w:rFonts w:asciiTheme="majorBidi" w:hAnsiTheme="majorBidi" w:cstheme="majorBidi"/>
          <w:sz w:val="24"/>
          <w:szCs w:val="24"/>
        </w:rPr>
      </w:pPr>
      <w:r w:rsidRPr="00CB19CB">
        <w:rPr>
          <w:rFonts w:asciiTheme="majorBidi" w:hAnsiTheme="majorBidi" w:cstheme="majorBidi"/>
          <w:color w:val="000000"/>
          <w:sz w:val="24"/>
          <w:szCs w:val="24"/>
          <w:shd w:val="clear" w:color="auto" w:fill="FFFFFF"/>
        </w:rPr>
        <w:t xml:space="preserve">After New Labour’s electoral victory in 1997, Tony Blair kept much of the neoliberal agenda for reforming the public sector but his Chancellor of the Exchequer, Gordon Brown, did not believe in the minimalist state. Under his tutelage, public </w:t>
      </w:r>
      <w:r w:rsidR="00E95783">
        <w:rPr>
          <w:rFonts w:asciiTheme="majorBidi" w:hAnsiTheme="majorBidi" w:cstheme="majorBidi"/>
          <w:color w:val="000000"/>
          <w:sz w:val="24"/>
          <w:szCs w:val="24"/>
          <w:shd w:val="clear" w:color="auto" w:fill="FFFFFF"/>
        </w:rPr>
        <w:t>spending</w:t>
      </w:r>
      <w:r w:rsidRPr="00CB19CB">
        <w:rPr>
          <w:rFonts w:asciiTheme="majorBidi" w:hAnsiTheme="majorBidi" w:cstheme="majorBidi"/>
          <w:color w:val="000000"/>
          <w:sz w:val="24"/>
          <w:szCs w:val="24"/>
          <w:shd w:val="clear" w:color="auto" w:fill="FFFFFF"/>
        </w:rPr>
        <w:t xml:space="preserve"> rose steadily in the 2000s to a peak of 47.7 per cent of GDP (</w:t>
      </w:r>
      <w:r w:rsidRPr="00CB19CB">
        <w:rPr>
          <w:rFonts w:asciiTheme="majorBidi" w:hAnsiTheme="majorBidi" w:cstheme="majorBidi"/>
          <w:sz w:val="24"/>
          <w:szCs w:val="24"/>
        </w:rPr>
        <w:t>Keynes and Tetlow 2014)</w:t>
      </w:r>
      <w:r w:rsidRPr="00CB19CB">
        <w:rPr>
          <w:rFonts w:asciiTheme="majorBidi" w:hAnsiTheme="majorBidi" w:cstheme="majorBidi"/>
          <w:color w:val="000000"/>
          <w:sz w:val="24"/>
          <w:szCs w:val="24"/>
          <w:shd w:val="clear" w:color="auto" w:fill="FFFFFF"/>
        </w:rPr>
        <w:t xml:space="preserve">. Similarly, public employment rose again in </w:t>
      </w:r>
      <w:r w:rsidRPr="00CB19CB">
        <w:rPr>
          <w:rFonts w:asciiTheme="majorBidi" w:hAnsiTheme="majorBidi" w:cstheme="majorBidi"/>
          <w:sz w:val="24"/>
          <w:szCs w:val="24"/>
        </w:rPr>
        <w:t xml:space="preserve">the late 1990s throughout the 2000s. </w:t>
      </w:r>
      <w:r w:rsidR="00E95783">
        <w:rPr>
          <w:rFonts w:asciiTheme="majorBidi" w:hAnsiTheme="majorBidi" w:cstheme="majorBidi"/>
          <w:sz w:val="24"/>
          <w:szCs w:val="24"/>
        </w:rPr>
        <w:t>T</w:t>
      </w:r>
      <w:r w:rsidRPr="00CB19CB">
        <w:rPr>
          <w:rFonts w:asciiTheme="majorBidi" w:hAnsiTheme="majorBidi" w:cstheme="majorBidi"/>
          <w:sz w:val="24"/>
          <w:szCs w:val="24"/>
        </w:rPr>
        <w:t>here was a return to bureaucracy. However, with the advent of the</w:t>
      </w:r>
      <w:r w:rsidR="002B4A09">
        <w:rPr>
          <w:rFonts w:asciiTheme="majorBidi" w:hAnsiTheme="majorBidi" w:cstheme="majorBidi"/>
          <w:sz w:val="24"/>
          <w:szCs w:val="24"/>
        </w:rPr>
        <w:t xml:space="preserve"> Conservative-led</w:t>
      </w:r>
      <w:r w:rsidRPr="00CB19CB">
        <w:rPr>
          <w:rFonts w:asciiTheme="majorBidi" w:hAnsiTheme="majorBidi" w:cstheme="majorBidi"/>
          <w:sz w:val="24"/>
          <w:szCs w:val="24"/>
        </w:rPr>
        <w:t xml:space="preserve"> Coalition in 2010, both these trends were reversed. Public spending was cut and fell to 44.4 per cent by 2014. Public employment was cut from an average </w:t>
      </w:r>
      <w:r w:rsidRPr="00CB19CB">
        <w:rPr>
          <w:rFonts w:asciiTheme="majorBidi" w:eastAsia="PMingLiU" w:hAnsiTheme="majorBidi" w:cstheme="majorBidi"/>
          <w:sz w:val="24"/>
          <w:szCs w:val="24"/>
          <w:lang w:eastAsia="zh-TW"/>
        </w:rPr>
        <w:t>of</w:t>
      </w:r>
      <w:r w:rsidRPr="00CB19CB">
        <w:rPr>
          <w:rFonts w:asciiTheme="majorBidi" w:hAnsiTheme="majorBidi" w:cstheme="majorBidi"/>
          <w:sz w:val="24"/>
          <w:szCs w:val="24"/>
        </w:rPr>
        <w:t xml:space="preserve"> some 20 per cent in the 2000s to 14.8 per cent in 2013 (Cribb et al. 2014: 36), although health service and education continue to be protected.</w:t>
      </w:r>
      <w:r w:rsidRPr="00CB19CB">
        <w:rPr>
          <w:rStyle w:val="FootnoteReference"/>
          <w:rFonts w:asciiTheme="majorBidi" w:hAnsiTheme="majorBidi" w:cstheme="majorBidi"/>
          <w:i/>
          <w:iCs/>
          <w:sz w:val="24"/>
          <w:szCs w:val="24"/>
        </w:rPr>
        <w:footnoteReference w:id="3"/>
      </w:r>
    </w:p>
    <w:p w:rsidR="00C7174A" w:rsidRDefault="00E95783" w:rsidP="00054607">
      <w:pPr>
        <w:pStyle w:val="NormalWeb"/>
        <w:shd w:val="clear" w:color="auto" w:fill="FFFFFF"/>
        <w:spacing w:before="0" w:beforeAutospacing="0" w:after="240" w:afterAutospacing="0" w:line="480" w:lineRule="auto"/>
        <w:ind w:right="-46" w:firstLine="720"/>
        <w:rPr>
          <w:rFonts w:asciiTheme="majorBidi" w:hAnsiTheme="majorBidi" w:cstheme="majorBidi"/>
        </w:rPr>
      </w:pPr>
      <w:r>
        <w:rPr>
          <w:rFonts w:asciiTheme="majorBidi" w:hAnsiTheme="majorBidi" w:cstheme="majorBidi"/>
        </w:rPr>
        <w:t>P</w:t>
      </w:r>
      <w:r w:rsidR="00403E06" w:rsidRPr="00CB19CB">
        <w:rPr>
          <w:rFonts w:asciiTheme="majorBidi" w:hAnsiTheme="majorBidi" w:cstheme="majorBidi"/>
        </w:rPr>
        <w:t xml:space="preserve">rivatisation continued at a lesser rate under </w:t>
      </w:r>
      <w:r w:rsidR="00054607">
        <w:rPr>
          <w:rFonts w:asciiTheme="majorBidi" w:hAnsiTheme="majorBidi" w:cstheme="majorBidi"/>
        </w:rPr>
        <w:t xml:space="preserve">New Labour, Coalition and </w:t>
      </w:r>
      <w:r w:rsidR="00403E06" w:rsidRPr="00CB19CB">
        <w:rPr>
          <w:rFonts w:asciiTheme="majorBidi" w:hAnsiTheme="majorBidi" w:cstheme="majorBidi"/>
        </w:rPr>
        <w:t xml:space="preserve">Cameron governments, </w:t>
      </w:r>
      <w:r>
        <w:rPr>
          <w:rFonts w:asciiTheme="majorBidi" w:hAnsiTheme="majorBidi" w:cstheme="majorBidi"/>
        </w:rPr>
        <w:t>although some</w:t>
      </w:r>
      <w:r w:rsidR="00403E06" w:rsidRPr="00CB19CB">
        <w:rPr>
          <w:rFonts w:asciiTheme="majorBidi" w:hAnsiTheme="majorBidi" w:cstheme="majorBidi"/>
        </w:rPr>
        <w:t xml:space="preserve"> industries were sold to the private sector (for example the Royal Mail, the Tote)</w:t>
      </w:r>
      <w:r>
        <w:rPr>
          <w:rFonts w:asciiTheme="majorBidi" w:hAnsiTheme="majorBidi" w:cstheme="majorBidi"/>
        </w:rPr>
        <w:t>.</w:t>
      </w:r>
      <w:r w:rsidR="00403E06" w:rsidRPr="00CB19CB">
        <w:rPr>
          <w:rFonts w:asciiTheme="majorBidi" w:hAnsiTheme="majorBidi" w:cstheme="majorBidi"/>
        </w:rPr>
        <w:t xml:space="preserve"> </w:t>
      </w:r>
      <w:r w:rsidRPr="00CB19CB">
        <w:rPr>
          <w:rFonts w:asciiTheme="majorBidi" w:hAnsiTheme="majorBidi" w:cstheme="majorBidi"/>
        </w:rPr>
        <w:t>The</w:t>
      </w:r>
      <w:r w:rsidR="00403E06" w:rsidRPr="00CB19CB">
        <w:rPr>
          <w:rFonts w:asciiTheme="majorBidi" w:hAnsiTheme="majorBidi" w:cstheme="majorBidi"/>
        </w:rPr>
        <w:t xml:space="preserve"> most significant trend since 2010 was the growth of contracting-out. Bowman et al. (2015: 2-3) describe this growth as the emerging ‘franchise state’. Citing Gash et al. (2013: 4), they estimate this public service industry had a turnover of some £100 billion a year with some £1 in every £3 going to independent providers (see also Raco 2016). A few global firms have emerged that specialise in contract delivery and regulation on a mass scale (for example, G4S, Atos, Capita</w:t>
      </w:r>
      <w:r w:rsidR="00E91998">
        <w:rPr>
          <w:rFonts w:asciiTheme="majorBidi" w:hAnsiTheme="majorBidi" w:cstheme="majorBidi"/>
        </w:rPr>
        <w:t>,</w:t>
      </w:r>
      <w:r w:rsidR="00403E06" w:rsidRPr="00CB19CB">
        <w:rPr>
          <w:rFonts w:asciiTheme="majorBidi" w:hAnsiTheme="majorBidi" w:cstheme="majorBidi"/>
        </w:rPr>
        <w:t xml:space="preserve"> and Serco). Indeed, the annual update on </w:t>
      </w:r>
      <w:r w:rsidR="00403E06" w:rsidRPr="00CB19CB">
        <w:rPr>
          <w:rFonts w:asciiTheme="majorBidi" w:hAnsiTheme="majorBidi" w:cstheme="majorBidi"/>
          <w:i/>
          <w:iCs/>
        </w:rPr>
        <w:t xml:space="preserve">Open Public Services </w:t>
      </w:r>
      <w:r w:rsidR="00403E06" w:rsidRPr="00CB19CB">
        <w:rPr>
          <w:rFonts w:asciiTheme="majorBidi" w:hAnsiTheme="majorBidi" w:cstheme="majorBidi"/>
        </w:rPr>
        <w:t>(Cabinet Office 2012: 13) was explicit:</w:t>
      </w:r>
    </w:p>
    <w:p w:rsidR="00403E06" w:rsidRPr="00CB19CB" w:rsidRDefault="00403E06" w:rsidP="00815640">
      <w:pPr>
        <w:spacing w:after="240" w:line="480" w:lineRule="auto"/>
        <w:ind w:left="720" w:right="-46" w:firstLine="720"/>
        <w:textAlignment w:val="baseline"/>
        <w:rPr>
          <w:rFonts w:asciiTheme="majorBidi" w:hAnsiTheme="majorBidi" w:cstheme="majorBidi"/>
          <w:sz w:val="24"/>
          <w:szCs w:val="24"/>
        </w:rPr>
      </w:pPr>
      <w:r w:rsidRPr="00CB19CB">
        <w:rPr>
          <w:rFonts w:asciiTheme="majorBidi" w:hAnsiTheme="majorBidi" w:cstheme="majorBidi"/>
          <w:sz w:val="24"/>
          <w:szCs w:val="24"/>
        </w:rPr>
        <w:t>In the world we are now entering, all those who serve the public will have a right to be recognised as public servants – regardless of whether the organisations for which they work are traditional public sector agencies, independent trusts, employee mutuals, private enterprises, social enterprises or community groups. Dedication to the provision of high-quality public services should be recognised as the hallmark of the public servant, regardless of which particular type of employer he or she happens to work for.</w:t>
      </w:r>
    </w:p>
    <w:p w:rsidR="00403E06" w:rsidRPr="00CB19CB" w:rsidRDefault="00403E06" w:rsidP="00815640">
      <w:pPr>
        <w:pStyle w:val="NormalWeb"/>
        <w:shd w:val="clear" w:color="auto" w:fill="FFFFFF"/>
        <w:spacing w:before="0" w:beforeAutospacing="0" w:after="240" w:afterAutospacing="0" w:line="480" w:lineRule="auto"/>
        <w:ind w:right="-46" w:firstLine="720"/>
        <w:rPr>
          <w:rFonts w:asciiTheme="majorBidi" w:hAnsiTheme="majorBidi" w:cstheme="majorBidi"/>
          <w:color w:val="000000"/>
          <w:shd w:val="clear" w:color="auto" w:fill="FFFFFF"/>
        </w:rPr>
      </w:pPr>
      <w:r w:rsidRPr="00CB19CB">
        <w:rPr>
          <w:rFonts w:asciiTheme="majorBidi" w:hAnsiTheme="majorBidi" w:cstheme="majorBidi"/>
          <w:color w:val="000000"/>
          <w:shd w:val="clear" w:color="auto" w:fill="FFFFFF"/>
        </w:rPr>
        <w:t xml:space="preserve">The state and these giant corporations are co-dependent. The corporations rely on the taxpayer money, and the state that awards and monitors the contracts has ‘stripped itself of institutional resources and intelligence previously used to deliver goods and services’ (Bowman et al. 2015: 5). </w:t>
      </w:r>
    </w:p>
    <w:p w:rsidR="00403E06" w:rsidRPr="00CB19CB" w:rsidRDefault="00403E06" w:rsidP="00815640">
      <w:pPr>
        <w:pStyle w:val="CommentText"/>
        <w:spacing w:after="240" w:line="480" w:lineRule="auto"/>
        <w:ind w:right="-46" w:firstLine="720"/>
        <w:rPr>
          <w:rFonts w:asciiTheme="majorBidi" w:hAnsiTheme="majorBidi" w:cstheme="majorBidi"/>
          <w:sz w:val="24"/>
          <w:szCs w:val="24"/>
        </w:rPr>
      </w:pPr>
      <w:r w:rsidRPr="00CB19CB">
        <w:rPr>
          <w:rFonts w:asciiTheme="majorBidi" w:hAnsiTheme="majorBidi" w:cstheme="majorBidi"/>
          <w:color w:val="000000"/>
          <w:sz w:val="24"/>
          <w:szCs w:val="24"/>
        </w:rPr>
        <w:t xml:space="preserve">The cuts in public </w:t>
      </w:r>
      <w:r w:rsidR="00E95783">
        <w:rPr>
          <w:rFonts w:asciiTheme="majorBidi" w:hAnsiTheme="majorBidi" w:cstheme="majorBidi"/>
          <w:color w:val="000000"/>
          <w:sz w:val="24"/>
          <w:szCs w:val="24"/>
        </w:rPr>
        <w:t>spending</w:t>
      </w:r>
      <w:r w:rsidRPr="00CB19CB">
        <w:rPr>
          <w:rFonts w:asciiTheme="majorBidi" w:hAnsiTheme="majorBidi" w:cstheme="majorBidi"/>
          <w:color w:val="000000"/>
          <w:sz w:val="24"/>
          <w:szCs w:val="24"/>
        </w:rPr>
        <w:t xml:space="preserve"> and public employment, and the growth of the franchise state were underpinned by the so-called austerity narrative (</w:t>
      </w:r>
      <w:r w:rsidRPr="00CB19CB">
        <w:rPr>
          <w:rFonts w:asciiTheme="majorBidi" w:hAnsiTheme="majorBidi" w:cstheme="majorBidi"/>
          <w:sz w:val="24"/>
          <w:szCs w:val="24"/>
        </w:rPr>
        <w:t xml:space="preserve">Blyth 2013; </w:t>
      </w:r>
      <w:r w:rsidRPr="00841078">
        <w:rPr>
          <w:rStyle w:val="Strong"/>
          <w:rFonts w:asciiTheme="majorBidi" w:hAnsiTheme="majorBidi" w:cstheme="majorBidi"/>
          <w:b w:val="0"/>
          <w:bCs w:val="0"/>
          <w:color w:val="000000"/>
          <w:sz w:val="24"/>
          <w:szCs w:val="24"/>
          <w:shd w:val="clear" w:color="auto" w:fill="FFFFFF"/>
        </w:rPr>
        <w:t>Johnson and Chandler</w:t>
      </w:r>
      <w:r w:rsidRPr="00CB19CB">
        <w:rPr>
          <w:rStyle w:val="Strong"/>
          <w:rFonts w:asciiTheme="majorBidi" w:hAnsiTheme="majorBidi" w:cstheme="majorBidi"/>
          <w:color w:val="000000"/>
          <w:sz w:val="24"/>
          <w:szCs w:val="24"/>
          <w:shd w:val="clear" w:color="auto" w:fill="FFFFFF"/>
        </w:rPr>
        <w:t xml:space="preserve"> </w:t>
      </w:r>
      <w:r w:rsidRPr="00CB19CB">
        <w:rPr>
          <w:rFonts w:asciiTheme="majorBidi" w:hAnsiTheme="majorBidi" w:cstheme="majorBidi"/>
          <w:sz w:val="24"/>
          <w:szCs w:val="24"/>
        </w:rPr>
        <w:t>2015).</w:t>
      </w:r>
      <w:r w:rsidRPr="00CB19CB">
        <w:rPr>
          <w:rFonts w:asciiTheme="majorBidi" w:hAnsiTheme="majorBidi" w:cstheme="majorBidi"/>
          <w:color w:val="000000"/>
          <w:sz w:val="24"/>
          <w:szCs w:val="24"/>
        </w:rPr>
        <w:t xml:space="preserve"> </w:t>
      </w:r>
      <w:r w:rsidRPr="00CB19CB">
        <w:rPr>
          <w:rFonts w:asciiTheme="majorBidi" w:hAnsiTheme="majorBidi" w:cstheme="majorBidi"/>
          <w:sz w:val="24"/>
          <w:szCs w:val="24"/>
        </w:rPr>
        <w:t>The ‘structural current budget deficit’ is the perceived problem. It was caused by the spending of the previous Labour government, the secondary banking crisis in America, and world recession. The governing elite agreed the most pressing problem facing British government was the size of the public sector debt. So, the major parties agreed we must have spending cuts to bring the deficit down; fiscal consolidation. As with Margaret Thatcher’s Conservative government, this economic reality was a brute fact; government must do less and public spending must be cut. An old acronym returned; TINA - there is no alternative. The budgets for health and education were ring fenced, so most of the cuts fell on welfare payments and local government. However, the combined impact of the continuing Eurozone crisis, slow growth, high unemployment and low productivity meant that deficit targets were not met. Further cuts in public spending were announced over the life of the 2015 parliament. The deserving poor were protected (the elderly). The undeserving poor (everyone else) paid for the polite euphemism of ‘fiscal consolidation’. Cameron has presided over a ‘concerted assault on the bottom third of society’ (Toynbee and Walker 2015: 3). Or, in the language of broadsheet headlines, the recipe is ‘more poverty and worse public services’ (</w:t>
      </w:r>
      <w:r w:rsidRPr="00CB19CB">
        <w:rPr>
          <w:rFonts w:asciiTheme="majorBidi" w:hAnsiTheme="majorBidi" w:cstheme="majorBidi"/>
          <w:i/>
          <w:iCs/>
          <w:sz w:val="24"/>
          <w:szCs w:val="24"/>
        </w:rPr>
        <w:t>The Guardian</w:t>
      </w:r>
      <w:r w:rsidRPr="00CB19CB">
        <w:rPr>
          <w:rFonts w:asciiTheme="majorBidi" w:hAnsiTheme="majorBidi" w:cstheme="majorBidi"/>
          <w:sz w:val="24"/>
          <w:szCs w:val="24"/>
        </w:rPr>
        <w:t>, 8 December 2013).</w:t>
      </w:r>
    </w:p>
    <w:p w:rsidR="00403E06" w:rsidRPr="00CB19CB" w:rsidRDefault="00403E06" w:rsidP="00815640">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This austerity narrative is about </w:t>
      </w:r>
      <w:r w:rsidRPr="00CB19CB">
        <w:rPr>
          <w:rFonts w:asciiTheme="majorBidi" w:eastAsia="PMingLiU" w:hAnsiTheme="majorBidi" w:cstheme="majorBidi"/>
          <w:sz w:val="24"/>
          <w:szCs w:val="24"/>
          <w:lang w:eastAsia="zh-TW"/>
        </w:rPr>
        <w:t xml:space="preserve">not only </w:t>
      </w:r>
      <w:r w:rsidRPr="00CB19CB">
        <w:rPr>
          <w:rFonts w:asciiTheme="majorBidi" w:hAnsiTheme="majorBidi" w:cstheme="majorBidi"/>
          <w:sz w:val="24"/>
          <w:szCs w:val="24"/>
        </w:rPr>
        <w:t xml:space="preserve">fiscal consolidation but </w:t>
      </w:r>
      <w:r w:rsidRPr="00CB19CB">
        <w:rPr>
          <w:rFonts w:asciiTheme="majorBidi" w:eastAsia="PMingLiU" w:hAnsiTheme="majorBidi" w:cstheme="majorBidi"/>
          <w:sz w:val="24"/>
          <w:szCs w:val="24"/>
          <w:lang w:eastAsia="zh-TW"/>
        </w:rPr>
        <w:t>also</w:t>
      </w:r>
      <w:r w:rsidRPr="00CB19CB">
        <w:rPr>
          <w:rFonts w:asciiTheme="majorBidi" w:hAnsiTheme="majorBidi" w:cstheme="majorBidi"/>
          <w:sz w:val="24"/>
          <w:szCs w:val="24"/>
        </w:rPr>
        <w:t xml:space="preserve"> that age-old neoliberal ambition for the minimal state. As Bale (2014) argues ‘the right – free-market, small-state, low-tax, tight-borders, tougher sentences, eco- and Euro-sceptical – is where the solid centre of the [Conservative] party now comfortably resides’. So, the franchise state is part of the blueprint for creating and managing the minimal state. It involves a concentration of power in the hands of the Minister and the central department. Intermediate institutions are abolished or bypassed for various forms of markets. Services are out-sourced or privatised. Managers are </w:t>
      </w:r>
      <w:r w:rsidRPr="00CB19CB">
        <w:rPr>
          <w:rFonts w:asciiTheme="majorBidi" w:eastAsia="PMingLiU" w:hAnsiTheme="majorBidi" w:cstheme="majorBidi"/>
          <w:sz w:val="24"/>
          <w:szCs w:val="24"/>
          <w:lang w:eastAsia="zh-TW"/>
        </w:rPr>
        <w:t xml:space="preserve">becoming </w:t>
      </w:r>
      <w:r w:rsidRPr="00CB19CB">
        <w:rPr>
          <w:rFonts w:asciiTheme="majorBidi" w:hAnsiTheme="majorBidi" w:cstheme="majorBidi"/>
          <w:sz w:val="24"/>
          <w:szCs w:val="24"/>
        </w:rPr>
        <w:t>empowered. The new quasi-market</w:t>
      </w:r>
      <w:r w:rsidRPr="00CB19CB">
        <w:rPr>
          <w:rFonts w:asciiTheme="majorBidi" w:eastAsia="PMingLiU" w:hAnsiTheme="majorBidi" w:cstheme="majorBidi"/>
          <w:sz w:val="24"/>
          <w:szCs w:val="24"/>
          <w:lang w:eastAsia="zh-TW"/>
        </w:rPr>
        <w:t>s</w:t>
      </w:r>
      <w:r w:rsidRPr="00CB19CB">
        <w:rPr>
          <w:rFonts w:asciiTheme="majorBidi" w:hAnsiTheme="majorBidi" w:cstheme="majorBidi"/>
          <w:sz w:val="24"/>
          <w:szCs w:val="24"/>
        </w:rPr>
        <w:t xml:space="preserve"> </w:t>
      </w:r>
      <w:r w:rsidRPr="00CB19CB">
        <w:rPr>
          <w:rFonts w:asciiTheme="majorBidi" w:eastAsia="PMingLiU" w:hAnsiTheme="majorBidi" w:cstheme="majorBidi"/>
          <w:sz w:val="24"/>
          <w:szCs w:val="24"/>
          <w:lang w:eastAsia="zh-TW"/>
        </w:rPr>
        <w:t>are</w:t>
      </w:r>
      <w:r w:rsidRPr="00CB19CB">
        <w:rPr>
          <w:rFonts w:asciiTheme="majorBidi" w:hAnsiTheme="majorBidi" w:cstheme="majorBidi"/>
          <w:sz w:val="24"/>
          <w:szCs w:val="24"/>
        </w:rPr>
        <w:t xml:space="preserve"> subject to regulation by performance measurement regime</w:t>
      </w:r>
      <w:r w:rsidRPr="00CB19CB">
        <w:rPr>
          <w:rFonts w:asciiTheme="majorBidi" w:eastAsia="PMingLiU" w:hAnsiTheme="majorBidi" w:cstheme="majorBidi"/>
          <w:sz w:val="24"/>
          <w:szCs w:val="24"/>
          <w:lang w:eastAsia="zh-TW"/>
        </w:rPr>
        <w:t>s</w:t>
      </w:r>
      <w:r w:rsidRPr="00CB19CB">
        <w:rPr>
          <w:rFonts w:asciiTheme="majorBidi" w:hAnsiTheme="majorBidi" w:cstheme="majorBidi"/>
          <w:sz w:val="24"/>
          <w:szCs w:val="24"/>
        </w:rPr>
        <w:t xml:space="preserve"> that </w:t>
      </w:r>
      <w:r w:rsidRPr="00CB19CB">
        <w:rPr>
          <w:rFonts w:asciiTheme="majorBidi" w:eastAsia="PMingLiU" w:hAnsiTheme="majorBidi" w:cstheme="majorBidi"/>
          <w:sz w:val="24"/>
          <w:szCs w:val="24"/>
          <w:lang w:eastAsia="zh-TW"/>
        </w:rPr>
        <w:t>are</w:t>
      </w:r>
      <w:r w:rsidRPr="00CB19CB">
        <w:rPr>
          <w:rFonts w:asciiTheme="majorBidi" w:hAnsiTheme="majorBidi" w:cstheme="majorBidi"/>
          <w:sz w:val="24"/>
          <w:szCs w:val="24"/>
        </w:rPr>
        <w:t xml:space="preserve"> also intended to foster choice by giving </w:t>
      </w:r>
      <w:r w:rsidRPr="00CB19CB">
        <w:rPr>
          <w:rFonts w:asciiTheme="majorBidi" w:eastAsia="PMingLiU" w:hAnsiTheme="majorBidi" w:cstheme="majorBidi"/>
          <w:sz w:val="24"/>
          <w:szCs w:val="24"/>
          <w:lang w:eastAsia="zh-TW"/>
        </w:rPr>
        <w:t>citizens</w:t>
      </w:r>
      <w:r w:rsidRPr="00CB19CB">
        <w:rPr>
          <w:rFonts w:asciiTheme="majorBidi" w:hAnsiTheme="majorBidi" w:cstheme="majorBidi"/>
          <w:sz w:val="24"/>
          <w:szCs w:val="24"/>
        </w:rPr>
        <w:t xml:space="preserve"> more information. There would appear to be a coherent ‘new governance’ narrative stemming from the impact of neoliberal, managerial and neoconservative ideas</w:t>
      </w:r>
      <w:r w:rsidRPr="00CB19CB">
        <w:rPr>
          <w:rFonts w:asciiTheme="majorBidi" w:hAnsiTheme="majorBidi" w:cstheme="majorBidi"/>
          <w:sz w:val="24"/>
          <w:szCs w:val="24"/>
          <w:lang w:eastAsia="zh-TW"/>
        </w:rPr>
        <w:t xml:space="preserve"> (Bevir and Rhodes 2016)</w:t>
      </w:r>
      <w:r w:rsidRPr="00CB19CB">
        <w:rPr>
          <w:rFonts w:asciiTheme="majorBidi" w:hAnsiTheme="majorBidi" w:cstheme="majorBidi"/>
          <w:sz w:val="24"/>
          <w:szCs w:val="24"/>
        </w:rPr>
        <w:t xml:space="preserve">. This blueprint has been the solid centre of government policy since 2010. It also brings to the fore once again questions about the capacity of the central state. As Bowman et al. (2015: 3) argue the ‘franchise state is socially wasteful and administratively inefficient’. The companies ‘game the contractual system and taxation regimes’ and the state has ‘limited organisational capabilities’ to regulate such gaming (Bowman et al. 2015: 6). </w:t>
      </w:r>
    </w:p>
    <w:p w:rsidR="00403E06" w:rsidRPr="00CB19CB" w:rsidRDefault="00403E06" w:rsidP="00815640">
      <w:pPr>
        <w:pStyle w:val="CommentText"/>
        <w:spacing w:after="240" w:line="480" w:lineRule="auto"/>
        <w:ind w:right="-46" w:firstLine="720"/>
        <w:rPr>
          <w:rFonts w:asciiTheme="majorBidi" w:hAnsiTheme="majorBidi" w:cstheme="majorBidi"/>
          <w:color w:val="000000"/>
          <w:sz w:val="24"/>
          <w:szCs w:val="24"/>
        </w:rPr>
      </w:pPr>
      <w:r w:rsidRPr="00CB19CB">
        <w:rPr>
          <w:rFonts w:asciiTheme="majorBidi" w:hAnsiTheme="majorBidi" w:cstheme="majorBidi"/>
          <w:sz w:val="24"/>
          <w:szCs w:val="24"/>
        </w:rPr>
        <w:t xml:space="preserve">In other words, the </w:t>
      </w:r>
      <w:r w:rsidR="00E95783">
        <w:rPr>
          <w:rFonts w:asciiTheme="majorBidi" w:hAnsiTheme="majorBidi" w:cstheme="majorBidi"/>
          <w:sz w:val="24"/>
          <w:szCs w:val="24"/>
        </w:rPr>
        <w:t>hollowing-out</w:t>
      </w:r>
      <w:r w:rsidRPr="00CB19CB">
        <w:rPr>
          <w:rFonts w:asciiTheme="majorBidi" w:hAnsiTheme="majorBidi" w:cstheme="majorBidi"/>
          <w:sz w:val="24"/>
          <w:szCs w:val="24"/>
        </w:rPr>
        <w:t xml:space="preserve"> thesis continues to pose </w:t>
      </w:r>
      <w:r w:rsidR="00E95783">
        <w:rPr>
          <w:rFonts w:asciiTheme="majorBidi" w:hAnsiTheme="majorBidi" w:cstheme="majorBidi"/>
          <w:sz w:val="24"/>
          <w:szCs w:val="24"/>
        </w:rPr>
        <w:t xml:space="preserve">important </w:t>
      </w:r>
      <w:r w:rsidRPr="00CB19CB">
        <w:rPr>
          <w:rFonts w:asciiTheme="majorBidi" w:hAnsiTheme="majorBidi" w:cstheme="majorBidi"/>
          <w:sz w:val="24"/>
          <w:szCs w:val="24"/>
        </w:rPr>
        <w:t xml:space="preserve">questions about the roles and boundaries of the state. The trends in public spending, public employment and privatisation in the 2010s </w:t>
      </w:r>
      <w:r w:rsidRPr="00CB19CB">
        <w:rPr>
          <w:rFonts w:asciiTheme="majorBidi" w:hAnsiTheme="majorBidi" w:cstheme="majorBidi"/>
          <w:color w:val="000000"/>
          <w:sz w:val="24"/>
          <w:szCs w:val="24"/>
        </w:rPr>
        <w:t xml:space="preserve">show the continuing relevance of my argument, with an important qualification. Because I was writing about the heyday of Conservative rule in the 1980s and 1990s, I did not allow for the influence of the differing beliefs of the political parties. </w:t>
      </w:r>
      <w:r w:rsidRPr="00CB19CB">
        <w:rPr>
          <w:rFonts w:asciiTheme="majorBidi" w:hAnsiTheme="majorBidi" w:cstheme="majorBidi"/>
          <w:sz w:val="24"/>
          <w:szCs w:val="24"/>
        </w:rPr>
        <w:t>It is not black</w:t>
      </w:r>
      <w:r w:rsidR="00E95783">
        <w:rPr>
          <w:rFonts w:asciiTheme="majorBidi" w:hAnsiTheme="majorBidi" w:cstheme="majorBidi"/>
          <w:sz w:val="24"/>
          <w:szCs w:val="24"/>
        </w:rPr>
        <w:t>-and-</w:t>
      </w:r>
      <w:r w:rsidRPr="00CB19CB">
        <w:rPr>
          <w:rFonts w:asciiTheme="majorBidi" w:hAnsiTheme="majorBidi" w:cstheme="majorBidi"/>
          <w:sz w:val="24"/>
          <w:szCs w:val="24"/>
        </w:rPr>
        <w:t xml:space="preserve">white argument. </w:t>
      </w:r>
      <w:r w:rsidR="005420D2">
        <w:rPr>
          <w:rFonts w:asciiTheme="majorBidi" w:hAnsiTheme="majorBidi" w:cstheme="majorBidi"/>
          <w:sz w:val="24"/>
          <w:szCs w:val="24"/>
        </w:rPr>
        <w:t>Some features of the</w:t>
      </w:r>
      <w:r w:rsidRPr="00CB19CB">
        <w:rPr>
          <w:rFonts w:asciiTheme="majorBidi" w:hAnsiTheme="majorBidi" w:cstheme="majorBidi"/>
          <w:sz w:val="24"/>
          <w:szCs w:val="24"/>
        </w:rPr>
        <w:t xml:space="preserve"> neoliberal agenda </w:t>
      </w:r>
      <w:r w:rsidR="005420D2">
        <w:rPr>
          <w:rFonts w:asciiTheme="majorBidi" w:hAnsiTheme="majorBidi" w:cstheme="majorBidi"/>
          <w:sz w:val="24"/>
          <w:szCs w:val="24"/>
        </w:rPr>
        <w:t>are</w:t>
      </w:r>
      <w:r w:rsidRPr="00CB19CB">
        <w:rPr>
          <w:rFonts w:asciiTheme="majorBidi" w:hAnsiTheme="majorBidi" w:cstheme="majorBidi"/>
          <w:sz w:val="24"/>
          <w:szCs w:val="24"/>
        </w:rPr>
        <w:t xml:space="preserve"> </w:t>
      </w:r>
      <w:r w:rsidR="005420D2">
        <w:rPr>
          <w:rFonts w:asciiTheme="majorBidi" w:hAnsiTheme="majorBidi" w:cstheme="majorBidi"/>
          <w:sz w:val="24"/>
          <w:szCs w:val="24"/>
        </w:rPr>
        <w:t>accepted</w:t>
      </w:r>
      <w:r w:rsidRPr="00CB19CB">
        <w:rPr>
          <w:rFonts w:asciiTheme="majorBidi" w:hAnsiTheme="majorBidi" w:cstheme="majorBidi"/>
          <w:sz w:val="24"/>
          <w:szCs w:val="24"/>
        </w:rPr>
        <w:t xml:space="preserve"> by New Labour, and the Labour opposition under Ed Miliband adhered to the austerity narrative. Nonetheless, neoliberal</w:t>
      </w:r>
      <w:r w:rsidRPr="00CB19CB">
        <w:rPr>
          <w:rFonts w:asciiTheme="majorBidi" w:hAnsiTheme="majorBidi" w:cstheme="majorBidi"/>
          <w:color w:val="000000"/>
          <w:sz w:val="24"/>
          <w:szCs w:val="24"/>
        </w:rPr>
        <w:t xml:space="preserve"> beliefs in the minimal state are held mainly by the Conservative Party whereas the Labour Party envisages a continuing</w:t>
      </w:r>
      <w:r w:rsidR="00E91998">
        <w:rPr>
          <w:rFonts w:asciiTheme="majorBidi" w:hAnsiTheme="majorBidi" w:cstheme="majorBidi"/>
          <w:color w:val="000000"/>
          <w:sz w:val="24"/>
          <w:szCs w:val="24"/>
        </w:rPr>
        <w:t>,</w:t>
      </w:r>
      <w:r w:rsidRPr="00CB19CB">
        <w:rPr>
          <w:rFonts w:asciiTheme="majorBidi" w:hAnsiTheme="majorBidi" w:cstheme="majorBidi"/>
          <w:color w:val="000000"/>
          <w:sz w:val="24"/>
          <w:szCs w:val="24"/>
        </w:rPr>
        <w:t xml:space="preserve"> even decisive</w:t>
      </w:r>
      <w:r w:rsidR="00E91998">
        <w:rPr>
          <w:rFonts w:asciiTheme="majorBidi" w:hAnsiTheme="majorBidi" w:cstheme="majorBidi"/>
          <w:color w:val="000000"/>
          <w:sz w:val="24"/>
          <w:szCs w:val="24"/>
        </w:rPr>
        <w:t>,</w:t>
      </w:r>
      <w:r w:rsidRPr="00CB19CB">
        <w:rPr>
          <w:rFonts w:asciiTheme="majorBidi" w:hAnsiTheme="majorBidi" w:cstheme="majorBidi"/>
          <w:color w:val="000000"/>
          <w:sz w:val="24"/>
          <w:szCs w:val="24"/>
        </w:rPr>
        <w:t xml:space="preserve"> role for the central state. The franchise state is </w:t>
      </w:r>
      <w:r w:rsidR="00E95783">
        <w:rPr>
          <w:rFonts w:asciiTheme="majorBidi" w:hAnsiTheme="majorBidi" w:cstheme="majorBidi"/>
          <w:sz w:val="24"/>
          <w:szCs w:val="24"/>
        </w:rPr>
        <w:t>hollowing-out</w:t>
      </w:r>
      <w:r w:rsidRPr="00CB19CB">
        <w:rPr>
          <w:rFonts w:asciiTheme="majorBidi" w:hAnsiTheme="majorBidi" w:cstheme="majorBidi"/>
          <w:sz w:val="24"/>
          <w:szCs w:val="24"/>
        </w:rPr>
        <w:t xml:space="preserve"> in new clothes. As in the Thatcher and Major years, </w:t>
      </w:r>
      <w:r w:rsidRPr="00CB19CB">
        <w:rPr>
          <w:rFonts w:asciiTheme="majorBidi" w:hAnsiTheme="majorBidi" w:cstheme="majorBidi"/>
          <w:color w:val="000000"/>
          <w:sz w:val="24"/>
          <w:szCs w:val="24"/>
        </w:rPr>
        <w:t>Conservative rule continues to hollow out the central state.</w:t>
      </w:r>
    </w:p>
    <w:p w:rsidR="00403E06" w:rsidRPr="00CB19CB" w:rsidRDefault="00403E06" w:rsidP="00815640">
      <w:pPr>
        <w:pStyle w:val="CommentText"/>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The immediate retort to this argument is that the state has greater control over less. But all the</w:t>
      </w:r>
      <w:r w:rsidR="005420D2">
        <w:rPr>
          <w:rFonts w:asciiTheme="majorBidi" w:hAnsiTheme="majorBidi" w:cstheme="majorBidi"/>
          <w:sz w:val="24"/>
          <w:szCs w:val="24"/>
        </w:rPr>
        <w:t xml:space="preserve"> recent </w:t>
      </w:r>
      <w:r w:rsidRPr="00CB19CB">
        <w:rPr>
          <w:rFonts w:asciiTheme="majorBidi" w:hAnsiTheme="majorBidi" w:cstheme="majorBidi"/>
          <w:sz w:val="24"/>
          <w:szCs w:val="24"/>
        </w:rPr>
        <w:t xml:space="preserve">changes disaggregate public bureaucracies – central and local – while providing limited capacity for regulation. It does not control the franchise state. It does not even monitor the outcomes. </w:t>
      </w:r>
    </w:p>
    <w:p w:rsidR="00403E06" w:rsidRPr="00CB19CB" w:rsidRDefault="00403E06" w:rsidP="00815640">
      <w:pPr>
        <w:pStyle w:val="CommentText"/>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Nor is it obvious that British government had much influence over the issue of British sovereignty in the EU. Indeed, it was the lack of such influence that helped to fuel demands for the 2016 referendum and subsequent British exit from the EU. Indeed, there was </w:t>
      </w:r>
      <w:r w:rsidR="005420D2">
        <w:rPr>
          <w:rFonts w:asciiTheme="majorBidi" w:hAnsiTheme="majorBidi" w:cstheme="majorBidi"/>
          <w:sz w:val="24"/>
          <w:szCs w:val="24"/>
        </w:rPr>
        <w:t xml:space="preserve">a </w:t>
      </w:r>
      <w:r w:rsidRPr="00CB19CB">
        <w:rPr>
          <w:rFonts w:asciiTheme="majorBidi" w:hAnsiTheme="majorBidi" w:cstheme="majorBidi"/>
          <w:sz w:val="24"/>
          <w:szCs w:val="24"/>
        </w:rPr>
        <w:t xml:space="preserve">case to be made that the influence of the EU had grown. Clifton (2014) suggests that public service delivery </w:t>
      </w:r>
      <w:r w:rsidR="005420D2">
        <w:rPr>
          <w:rFonts w:asciiTheme="majorBidi" w:hAnsiTheme="majorBidi" w:cstheme="majorBidi"/>
          <w:sz w:val="24"/>
          <w:szCs w:val="24"/>
        </w:rPr>
        <w:t>was</w:t>
      </w:r>
      <w:r w:rsidRPr="00CB19CB">
        <w:rPr>
          <w:rFonts w:asciiTheme="majorBidi" w:hAnsiTheme="majorBidi" w:cstheme="majorBidi"/>
          <w:sz w:val="24"/>
          <w:szCs w:val="24"/>
        </w:rPr>
        <w:t xml:space="preserve"> being Euro</w:t>
      </w:r>
      <w:r w:rsidR="005420D2">
        <w:rPr>
          <w:rFonts w:asciiTheme="majorBidi" w:hAnsiTheme="majorBidi" w:cstheme="majorBidi"/>
          <w:sz w:val="24"/>
          <w:szCs w:val="24"/>
        </w:rPr>
        <w:t>peanised because many services we</w:t>
      </w:r>
      <w:r w:rsidRPr="00CB19CB">
        <w:rPr>
          <w:rFonts w:asciiTheme="majorBidi" w:hAnsiTheme="majorBidi" w:cstheme="majorBidi"/>
          <w:sz w:val="24"/>
          <w:szCs w:val="24"/>
        </w:rPr>
        <w:t>re increasingly treated as economic and, therefore, within the purview o</w:t>
      </w:r>
      <w:r w:rsidR="005420D2">
        <w:rPr>
          <w:rFonts w:asciiTheme="majorBidi" w:hAnsiTheme="majorBidi" w:cstheme="majorBidi"/>
          <w:sz w:val="24"/>
          <w:szCs w:val="24"/>
        </w:rPr>
        <w:t>f the Commission. For example, we</w:t>
      </w:r>
      <w:r w:rsidRPr="00CB19CB">
        <w:rPr>
          <w:rFonts w:asciiTheme="majorBidi" w:hAnsiTheme="majorBidi" w:cstheme="majorBidi"/>
          <w:sz w:val="24"/>
          <w:szCs w:val="24"/>
        </w:rPr>
        <w:t>re the subsidised lifeline ferry services to the Scottish islands an economic service subject to competition rules? The Commission said they were</w:t>
      </w:r>
      <w:r w:rsidR="00E91998">
        <w:rPr>
          <w:rFonts w:asciiTheme="majorBidi" w:hAnsiTheme="majorBidi" w:cstheme="majorBidi"/>
          <w:sz w:val="24"/>
          <w:szCs w:val="24"/>
        </w:rPr>
        <w:t>,</w:t>
      </w:r>
      <w:r w:rsidRPr="00CB19CB">
        <w:rPr>
          <w:rFonts w:asciiTheme="majorBidi" w:hAnsiTheme="majorBidi" w:cstheme="majorBidi"/>
          <w:sz w:val="24"/>
          <w:szCs w:val="24"/>
        </w:rPr>
        <w:t xml:space="preserve"> and the Scottish government had to introduce competitive tendering. To everyone else, the ferries were an unprofitable social service for which there was little scope for competition. No matter. The Commission has become a policy entrepreneur. We enter the era of the ‘straightjacketed state’. Similarly, Richardson (2012: 12) argues that the EU has ‘acquired quite a high degree of sovereignty and by so doing has begun to look very state like’. Morphet (2013: 201) concludes that the EU has ‘shaped key areas of British public policy ... and as the extent of pooled powers has increased, then so has the level of influence.’ Britain remained a defensive, semi-detached member of the EU until Brexit. In Morphet’s (2013: 209) characterisation, Britain received policies made in the EU rather than engaging with the process. That was not the statecraft of a strong state. </w:t>
      </w:r>
    </w:p>
    <w:p w:rsidR="00403E06" w:rsidRPr="00CB19CB" w:rsidRDefault="00403E06" w:rsidP="00E91998">
      <w:pPr>
        <w:pStyle w:val="NormalWeb"/>
        <w:shd w:val="clear" w:color="auto" w:fill="FFFFFF"/>
        <w:spacing w:before="0" w:beforeAutospacing="0" w:after="240" w:afterAutospacing="0" w:line="480" w:lineRule="auto"/>
        <w:ind w:right="-46" w:firstLine="720"/>
        <w:rPr>
          <w:rFonts w:asciiTheme="majorBidi" w:hAnsiTheme="majorBidi" w:cstheme="majorBidi"/>
        </w:rPr>
      </w:pPr>
      <w:r w:rsidRPr="00CB19CB">
        <w:rPr>
          <w:rFonts w:asciiTheme="majorBidi" w:hAnsiTheme="majorBidi" w:cstheme="majorBidi"/>
          <w:color w:val="000000"/>
          <w:shd w:val="clear" w:color="auto" w:fill="FFFFFF"/>
        </w:rPr>
        <w:t>The New Public Management</w:t>
      </w:r>
      <w:r w:rsidR="00E91998">
        <w:rPr>
          <w:rFonts w:asciiTheme="majorBidi" w:hAnsiTheme="majorBidi" w:cstheme="majorBidi"/>
          <w:color w:val="000000"/>
          <w:shd w:val="clear" w:color="auto" w:fill="FFFFFF"/>
        </w:rPr>
        <w:t xml:space="preserve"> of the 1980s and 1990s</w:t>
      </w:r>
      <w:r w:rsidRPr="00CB19CB">
        <w:rPr>
          <w:rFonts w:asciiTheme="majorBidi" w:hAnsiTheme="majorBidi" w:cstheme="majorBidi"/>
          <w:color w:val="000000"/>
          <w:shd w:val="clear" w:color="auto" w:fill="FFFFFF"/>
        </w:rPr>
        <w:t xml:space="preserve"> became so all embracing it lost any distinctive meaning (Pollitt and Bouckaert 2011). It became a synonym for public sector reform. Such reform was a constant as successive governments sought for the ever elusive solution they could not articulate to problems they could not define with precision and accuracy. A former senior civil servant opined: </w:t>
      </w:r>
    </w:p>
    <w:p w:rsidR="00403E06" w:rsidRPr="00CB19CB" w:rsidRDefault="00403E06" w:rsidP="00815640">
      <w:pPr>
        <w:pStyle w:val="NormalWeb"/>
        <w:shd w:val="clear" w:color="auto" w:fill="FFFFFF"/>
        <w:spacing w:before="0" w:beforeAutospacing="0" w:after="240" w:afterAutospacing="0" w:line="480" w:lineRule="auto"/>
        <w:ind w:left="1440" w:right="-46" w:firstLine="720"/>
        <w:rPr>
          <w:rFonts w:asciiTheme="majorBidi" w:hAnsiTheme="majorBidi" w:cstheme="majorBidi"/>
        </w:rPr>
      </w:pPr>
      <w:r w:rsidRPr="00CB19CB">
        <w:rPr>
          <w:rFonts w:asciiTheme="majorBidi" w:hAnsiTheme="majorBidi" w:cstheme="majorBidi"/>
        </w:rPr>
        <w:t>Blair confuses the civil servants around him: On the civil service, he doesn’t know what he wants. They say, in e</w:t>
      </w:r>
      <w:r w:rsidRPr="00CB19CB">
        <w:rPr>
          <w:rFonts w:asciiTheme="majorBidi" w:eastAsia="MinionExp-Regular" w:hAnsiTheme="majorBidi" w:cstheme="majorBidi"/>
        </w:rPr>
        <w:t>ff</w:t>
      </w:r>
      <w:r w:rsidRPr="00CB19CB">
        <w:rPr>
          <w:rFonts w:asciiTheme="majorBidi" w:hAnsiTheme="majorBidi" w:cstheme="majorBidi"/>
        </w:rPr>
        <w:t xml:space="preserve">ect, ‘Tell me what </w:t>
      </w:r>
      <w:r w:rsidRPr="00CB19CB">
        <w:rPr>
          <w:rFonts w:asciiTheme="majorBidi" w:hAnsiTheme="majorBidi" w:cstheme="majorBidi"/>
          <w:i/>
          <w:iCs/>
        </w:rPr>
        <w:t xml:space="preserve">you </w:t>
      </w:r>
      <w:r w:rsidRPr="00CB19CB">
        <w:rPr>
          <w:rFonts w:asciiTheme="majorBidi" w:hAnsiTheme="majorBidi" w:cstheme="majorBidi"/>
        </w:rPr>
        <w:t xml:space="preserve">want and </w:t>
      </w:r>
      <w:r w:rsidRPr="00CB19CB">
        <w:rPr>
          <w:rFonts w:asciiTheme="majorBidi" w:hAnsiTheme="majorBidi" w:cstheme="majorBidi"/>
          <w:i/>
          <w:iCs/>
        </w:rPr>
        <w:t xml:space="preserve">we’ll </w:t>
      </w:r>
      <w:r w:rsidRPr="00CB19CB">
        <w:rPr>
          <w:rFonts w:asciiTheme="majorBidi" w:hAnsiTheme="majorBidi" w:cstheme="majorBidi"/>
        </w:rPr>
        <w:t>do it.’ But he keeps saying di</w:t>
      </w:r>
      <w:r w:rsidRPr="00CB19CB">
        <w:rPr>
          <w:rFonts w:asciiTheme="majorBidi" w:eastAsia="MinionExp-Regular" w:hAnsiTheme="majorBidi" w:cstheme="majorBidi"/>
        </w:rPr>
        <w:t>ff</w:t>
      </w:r>
      <w:r w:rsidRPr="00CB19CB">
        <w:rPr>
          <w:rFonts w:asciiTheme="majorBidi" w:hAnsiTheme="majorBidi" w:cstheme="majorBidi"/>
        </w:rPr>
        <w:t>erent things. Richard Wilson finds it very di</w:t>
      </w:r>
      <w:r w:rsidRPr="00CB19CB">
        <w:rPr>
          <w:rFonts w:asciiTheme="majorBidi" w:eastAsia="MinionExp-Regular" w:hAnsiTheme="majorBidi" w:cstheme="majorBidi"/>
        </w:rPr>
        <w:t>ffi</w:t>
      </w:r>
      <w:r w:rsidRPr="00CB19CB">
        <w:rPr>
          <w:rFonts w:asciiTheme="majorBidi" w:hAnsiTheme="majorBidi" w:cstheme="majorBidi"/>
        </w:rPr>
        <w:t>cult the way the Prime Minister jumps around’ (</w:t>
      </w:r>
      <w:r w:rsidR="00E91998">
        <w:rPr>
          <w:rFonts w:asciiTheme="majorBidi" w:hAnsiTheme="majorBidi" w:cstheme="majorBidi"/>
        </w:rPr>
        <w:t xml:space="preserve">cited in </w:t>
      </w:r>
      <w:r w:rsidRPr="00CB19CB">
        <w:rPr>
          <w:rFonts w:asciiTheme="majorBidi" w:hAnsiTheme="majorBidi" w:cstheme="majorBidi"/>
        </w:rPr>
        <w:t>Hennessy 2000: 9).</w:t>
      </w:r>
    </w:p>
    <w:p w:rsidR="00403E06" w:rsidRPr="00CB19CB" w:rsidRDefault="00403E06" w:rsidP="00E91998">
      <w:pPr>
        <w:pStyle w:val="NormalWeb"/>
        <w:shd w:val="clear" w:color="auto" w:fill="FFFFFF"/>
        <w:spacing w:before="0" w:beforeAutospacing="0" w:after="240" w:afterAutospacing="0" w:line="480" w:lineRule="auto"/>
        <w:ind w:right="-46" w:firstLine="720"/>
        <w:rPr>
          <w:rFonts w:asciiTheme="majorBidi" w:hAnsiTheme="majorBidi" w:cstheme="majorBidi"/>
          <w:color w:val="000000"/>
          <w:shd w:val="clear" w:color="auto" w:fill="FFFFFF"/>
        </w:rPr>
      </w:pPr>
      <w:r w:rsidRPr="00CB19CB">
        <w:rPr>
          <w:rFonts w:asciiTheme="majorBidi" w:hAnsiTheme="majorBidi" w:cstheme="majorBidi"/>
        </w:rPr>
        <w:t xml:space="preserve"> So, initiatives come and go. Hood and Lodge (2007</w:t>
      </w:r>
      <w:r w:rsidR="00E91998">
        <w:rPr>
          <w:rFonts w:asciiTheme="majorBidi" w:hAnsiTheme="majorBidi" w:cstheme="majorBidi"/>
        </w:rPr>
        <w:t>:</w:t>
      </w:r>
      <w:r w:rsidRPr="00CB19CB">
        <w:rPr>
          <w:rFonts w:asciiTheme="majorBidi" w:hAnsiTheme="majorBidi" w:cstheme="majorBidi"/>
        </w:rPr>
        <w:t xml:space="preserve"> 59) suggest we have created the ‘civil service reform syndrome’ in which ‘</w:t>
      </w:r>
      <w:r w:rsidRPr="00CB19CB">
        <w:rPr>
          <w:rFonts w:asciiTheme="majorBidi" w:hAnsiTheme="majorBidi" w:cstheme="majorBidi"/>
          <w:color w:val="000000"/>
        </w:rPr>
        <w:t xml:space="preserve">initiatives come and go, overlap and ignore each other, leaving behind residues of varying size and style’. </w:t>
      </w:r>
      <w:r w:rsidRPr="00CB19CB">
        <w:rPr>
          <w:rFonts w:asciiTheme="majorBidi" w:hAnsiTheme="majorBidi" w:cstheme="majorBidi"/>
          <w:color w:val="000000"/>
          <w:shd w:val="clear" w:color="auto" w:fill="FFFFFF"/>
        </w:rPr>
        <w:t xml:space="preserve">Tony Blair famously remarked on public sector reform: </w:t>
      </w:r>
    </w:p>
    <w:p w:rsidR="00403E06" w:rsidRPr="00CB19CB" w:rsidRDefault="00403E06" w:rsidP="00815640">
      <w:pPr>
        <w:pStyle w:val="NormalWeb"/>
        <w:shd w:val="clear" w:color="auto" w:fill="FFFFFF"/>
        <w:spacing w:before="0" w:beforeAutospacing="0" w:after="240" w:afterAutospacing="0" w:line="480" w:lineRule="auto"/>
        <w:ind w:left="1440" w:right="-46" w:firstLine="720"/>
        <w:rPr>
          <w:rFonts w:asciiTheme="majorBidi" w:hAnsiTheme="majorBidi" w:cstheme="majorBidi"/>
          <w:color w:val="000000"/>
          <w:shd w:val="clear" w:color="auto" w:fill="FFFFFF"/>
        </w:rPr>
      </w:pPr>
      <w:r w:rsidRPr="00CB19CB">
        <w:rPr>
          <w:rFonts w:asciiTheme="majorBidi" w:hAnsiTheme="majorBidi" w:cstheme="majorBidi"/>
          <w:color w:val="141414"/>
          <w:shd w:val="clear" w:color="auto" w:fill="FCFCFF"/>
        </w:rPr>
        <w:t>You try getting change, you know, in the public sector and public services and, you know, I</w:t>
      </w:r>
      <w:r w:rsidRPr="00CB19CB">
        <w:rPr>
          <w:rFonts w:asciiTheme="majorBidi" w:hAnsiTheme="majorBidi" w:cstheme="majorBidi"/>
          <w:b/>
          <w:bCs/>
          <w:color w:val="141414"/>
          <w:shd w:val="clear" w:color="auto" w:fill="FCFCFF"/>
        </w:rPr>
        <w:t xml:space="preserve"> </w:t>
      </w:r>
      <w:r w:rsidRPr="00CB19CB">
        <w:rPr>
          <w:rFonts w:asciiTheme="majorBidi" w:hAnsiTheme="majorBidi" w:cstheme="majorBidi"/>
          <w:color w:val="141414"/>
          <w:shd w:val="clear" w:color="auto" w:fill="FCFCFF"/>
        </w:rPr>
        <w:t>bear the scars on my back</w:t>
      </w:r>
      <w:r w:rsidRPr="00CB19CB">
        <w:rPr>
          <w:rStyle w:val="apple-converted-space"/>
          <w:rFonts w:asciiTheme="majorBidi" w:hAnsiTheme="majorBidi" w:cstheme="majorBidi"/>
          <w:color w:val="141414"/>
          <w:shd w:val="clear" w:color="auto" w:fill="FCFCFF"/>
        </w:rPr>
        <w:t xml:space="preserve"> </w:t>
      </w:r>
      <w:r w:rsidRPr="00CB19CB">
        <w:rPr>
          <w:rFonts w:asciiTheme="majorBidi" w:hAnsiTheme="majorBidi" w:cstheme="majorBidi"/>
          <w:color w:val="141414"/>
          <w:shd w:val="clear" w:color="auto" w:fill="FCFCFF"/>
        </w:rPr>
        <w:t>after two years in government and heaven knows what it’ll be like if it was a bit longer (Blair 1999)</w:t>
      </w:r>
      <w:r w:rsidRPr="00CB19CB">
        <w:rPr>
          <w:rFonts w:asciiTheme="majorBidi" w:hAnsiTheme="majorBidi" w:cstheme="majorBidi"/>
          <w:color w:val="000000"/>
          <w:shd w:val="clear" w:color="auto" w:fill="FFFFFF"/>
        </w:rPr>
        <w:t xml:space="preserve">. </w:t>
      </w:r>
    </w:p>
    <w:p w:rsidR="00403E06" w:rsidRPr="00CB19CB" w:rsidRDefault="00403E06" w:rsidP="00815640">
      <w:pPr>
        <w:pStyle w:val="NormalWeb"/>
        <w:shd w:val="clear" w:color="auto" w:fill="FFFFFF"/>
        <w:spacing w:before="0" w:beforeAutospacing="0" w:after="240" w:afterAutospacing="0" w:line="480" w:lineRule="auto"/>
        <w:ind w:right="-46" w:firstLine="720"/>
        <w:rPr>
          <w:rStyle w:val="CommentReference"/>
          <w:rFonts w:asciiTheme="majorBidi" w:hAnsiTheme="majorBidi" w:cstheme="majorBidi"/>
          <w:sz w:val="24"/>
          <w:szCs w:val="24"/>
        </w:rPr>
      </w:pPr>
      <w:r w:rsidRPr="00CB19CB">
        <w:rPr>
          <w:rFonts w:asciiTheme="majorBidi" w:hAnsiTheme="majorBidi" w:cstheme="majorBidi"/>
          <w:color w:val="141414"/>
          <w:shd w:val="clear" w:color="auto" w:fill="FCFCFF"/>
        </w:rPr>
        <w:t xml:space="preserve">His question was probably rhetorical because over the ensuing years there was yet more frustration over the pace of change. If the aim of </w:t>
      </w:r>
      <w:r w:rsidRPr="00CB19CB">
        <w:rPr>
          <w:rFonts w:asciiTheme="majorBidi" w:hAnsiTheme="majorBidi" w:cstheme="majorBidi"/>
        </w:rPr>
        <w:t xml:space="preserve">managerial reforms was to reduce civil service discretion and increase their responsive to their political masters, then the conclusion is probably, ‘job done’. If the aim was the ‘3Es’ of economy, efficiency and effectiveness, then, at best, the case is non-proven. </w:t>
      </w:r>
      <w:r w:rsidRPr="00CB19CB">
        <w:rPr>
          <w:rStyle w:val="CommentReference"/>
          <w:rFonts w:asciiTheme="majorBidi" w:hAnsiTheme="majorBidi" w:cstheme="majorBidi"/>
          <w:sz w:val="24"/>
          <w:szCs w:val="24"/>
        </w:rPr>
        <w:t xml:space="preserve">Pollitt and Bouckaert (2011: 155) describe the results of reform as a ‘half empty wineglass’ because we don’t have the data about efficiency or outcomes. </w:t>
      </w:r>
    </w:p>
    <w:p w:rsidR="003165DE" w:rsidRDefault="00403E06" w:rsidP="0043753F">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Whether the preferred term is the franchise state, the straightjacketed state, or the hollow state, the</w:t>
      </w:r>
      <w:r w:rsidR="00E95783">
        <w:rPr>
          <w:rFonts w:asciiTheme="majorBidi" w:hAnsiTheme="majorBidi" w:cstheme="majorBidi"/>
          <w:sz w:val="24"/>
          <w:szCs w:val="24"/>
        </w:rPr>
        <w:t>re is a</w:t>
      </w:r>
      <w:r w:rsidRPr="00CB19CB">
        <w:rPr>
          <w:rFonts w:asciiTheme="majorBidi" w:hAnsiTheme="majorBidi" w:cstheme="majorBidi"/>
          <w:sz w:val="24"/>
          <w:szCs w:val="24"/>
        </w:rPr>
        <w:t xml:space="preserve"> common thread </w:t>
      </w:r>
      <w:r w:rsidR="00E95783">
        <w:rPr>
          <w:rFonts w:asciiTheme="majorBidi" w:hAnsiTheme="majorBidi" w:cstheme="majorBidi"/>
          <w:sz w:val="24"/>
          <w:szCs w:val="24"/>
        </w:rPr>
        <w:t xml:space="preserve">linking these terms. It </w:t>
      </w:r>
      <w:r w:rsidRPr="00CB19CB">
        <w:rPr>
          <w:rFonts w:asciiTheme="majorBidi" w:hAnsiTheme="majorBidi" w:cstheme="majorBidi"/>
          <w:sz w:val="24"/>
          <w:szCs w:val="24"/>
        </w:rPr>
        <w:t xml:space="preserve">is the </w:t>
      </w:r>
      <w:r w:rsidR="00E91998">
        <w:rPr>
          <w:rFonts w:asciiTheme="majorBidi" w:hAnsiTheme="majorBidi" w:cstheme="majorBidi"/>
          <w:sz w:val="24"/>
          <w:szCs w:val="24"/>
        </w:rPr>
        <w:t>debate</w:t>
      </w:r>
      <w:r w:rsidRPr="00CB19CB">
        <w:rPr>
          <w:rFonts w:asciiTheme="majorBidi" w:hAnsiTheme="majorBidi" w:cstheme="majorBidi"/>
          <w:sz w:val="24"/>
          <w:szCs w:val="24"/>
        </w:rPr>
        <w:t xml:space="preserve"> about the consequences of neoliberal economic ideas</w:t>
      </w:r>
      <w:r w:rsidR="00E95783">
        <w:rPr>
          <w:rFonts w:asciiTheme="majorBidi" w:hAnsiTheme="majorBidi" w:cstheme="majorBidi"/>
          <w:sz w:val="24"/>
          <w:szCs w:val="24"/>
        </w:rPr>
        <w:t xml:space="preserve">. So, </w:t>
      </w:r>
      <w:r w:rsidRPr="00CB19CB">
        <w:rPr>
          <w:rFonts w:asciiTheme="majorBidi" w:hAnsiTheme="majorBidi" w:cstheme="majorBidi"/>
          <w:sz w:val="24"/>
          <w:szCs w:val="24"/>
        </w:rPr>
        <w:t xml:space="preserve">privatisation in all guises, membership of the EU, </w:t>
      </w:r>
      <w:r w:rsidR="0043753F">
        <w:rPr>
          <w:rFonts w:asciiTheme="majorBidi" w:hAnsiTheme="majorBidi" w:cstheme="majorBidi"/>
          <w:sz w:val="24"/>
          <w:szCs w:val="24"/>
        </w:rPr>
        <w:t>new ways of delivering</w:t>
      </w:r>
      <w:r w:rsidRPr="00CB19CB">
        <w:rPr>
          <w:rFonts w:asciiTheme="majorBidi" w:hAnsiTheme="majorBidi" w:cstheme="majorBidi"/>
          <w:sz w:val="24"/>
          <w:szCs w:val="24"/>
        </w:rPr>
        <w:t xml:space="preserve"> public service</w:t>
      </w:r>
      <w:r w:rsidR="0043753F">
        <w:rPr>
          <w:rFonts w:asciiTheme="majorBidi" w:hAnsiTheme="majorBidi" w:cstheme="majorBidi"/>
          <w:sz w:val="24"/>
          <w:szCs w:val="24"/>
        </w:rPr>
        <w:t>s, and public sector reform</w:t>
      </w:r>
      <w:r w:rsidRPr="00CB19CB">
        <w:rPr>
          <w:rFonts w:asciiTheme="majorBidi" w:hAnsiTheme="majorBidi" w:cstheme="majorBidi"/>
          <w:sz w:val="24"/>
          <w:szCs w:val="24"/>
        </w:rPr>
        <w:t xml:space="preserve"> </w:t>
      </w:r>
      <w:r w:rsidR="00E95783">
        <w:rPr>
          <w:rFonts w:asciiTheme="majorBidi" w:hAnsiTheme="majorBidi" w:cstheme="majorBidi"/>
          <w:sz w:val="24"/>
          <w:szCs w:val="24"/>
        </w:rPr>
        <w:t xml:space="preserve">all change </w:t>
      </w:r>
      <w:r w:rsidRPr="00CB19CB">
        <w:rPr>
          <w:rFonts w:asciiTheme="majorBidi" w:hAnsiTheme="majorBidi" w:cstheme="majorBidi"/>
          <w:sz w:val="24"/>
          <w:szCs w:val="24"/>
        </w:rPr>
        <w:t xml:space="preserve">our understanding of the state, and of the capacity of the central state to govern. The reform blueprint for the both Coalition and Cameron’s Conservative governments once again emphasises the salience of these trends for our understanding of the roles and boundaries of the state. </w:t>
      </w:r>
      <w:r w:rsidR="003165DE">
        <w:rPr>
          <w:rFonts w:asciiTheme="majorBidi" w:hAnsiTheme="majorBidi" w:cstheme="majorBidi"/>
          <w:sz w:val="24"/>
          <w:szCs w:val="24"/>
        </w:rPr>
        <w:t xml:space="preserve">Longstanding concerns about the centre's capacity to steer persist. </w:t>
      </w:r>
      <w:r w:rsidR="0043753F">
        <w:rPr>
          <w:rFonts w:asciiTheme="majorBidi" w:hAnsiTheme="majorBidi" w:cstheme="majorBidi"/>
          <w:sz w:val="24"/>
          <w:szCs w:val="24"/>
        </w:rPr>
        <w:t xml:space="preserve">In the 1990s, </w:t>
      </w:r>
      <w:r w:rsidR="003165DE">
        <w:rPr>
          <w:rFonts w:asciiTheme="majorBidi" w:hAnsiTheme="majorBidi" w:cstheme="majorBidi"/>
          <w:sz w:val="24"/>
          <w:szCs w:val="24"/>
        </w:rPr>
        <w:t>Kettl (1993: 206-7) argue</w:t>
      </w:r>
      <w:r w:rsidR="007573F2">
        <w:rPr>
          <w:rFonts w:asciiTheme="majorBidi" w:hAnsiTheme="majorBidi" w:cstheme="majorBidi"/>
          <w:sz w:val="24"/>
          <w:szCs w:val="24"/>
        </w:rPr>
        <w:t>d</w:t>
      </w:r>
      <w:r w:rsidR="003165DE">
        <w:rPr>
          <w:rFonts w:asciiTheme="majorBidi" w:hAnsiTheme="majorBidi" w:cstheme="majorBidi"/>
          <w:sz w:val="24"/>
          <w:szCs w:val="24"/>
        </w:rPr>
        <w:t xml:space="preserve"> that, as a result of contracting-out, government agencies found themselves 'sitting on top of complex public-private relationships whose dimensions they may only vaguely understand'. They had only 'loose leverage' but remained 'responsible for a system over which they had little real control'. </w:t>
      </w:r>
      <w:r w:rsidR="00FA4197">
        <w:rPr>
          <w:rFonts w:asciiTheme="majorBidi" w:hAnsiTheme="majorBidi" w:cstheme="majorBidi"/>
          <w:sz w:val="24"/>
          <w:szCs w:val="24"/>
        </w:rPr>
        <w:t xml:space="preserve"> The same fears lie at the heart of the debate about the franchise state</w:t>
      </w:r>
      <w:r w:rsidR="0043753F">
        <w:rPr>
          <w:rFonts w:asciiTheme="majorBidi" w:hAnsiTheme="majorBidi" w:cstheme="majorBidi"/>
          <w:sz w:val="24"/>
          <w:szCs w:val="24"/>
        </w:rPr>
        <w:t xml:space="preserve"> in the 2010s</w:t>
      </w:r>
      <w:r w:rsidR="00FA4197">
        <w:rPr>
          <w:rFonts w:asciiTheme="majorBidi" w:hAnsiTheme="majorBidi" w:cstheme="majorBidi"/>
          <w:sz w:val="24"/>
          <w:szCs w:val="24"/>
        </w:rPr>
        <w:t xml:space="preserve">. </w:t>
      </w:r>
    </w:p>
    <w:p w:rsidR="003E7D3F" w:rsidRPr="00CB19CB" w:rsidRDefault="003E7D3F" w:rsidP="00815640">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It is clear from my account of the </w:t>
      </w:r>
      <w:r w:rsidR="00E95783">
        <w:rPr>
          <w:rFonts w:asciiTheme="majorBidi" w:hAnsiTheme="majorBidi" w:cstheme="majorBidi"/>
          <w:sz w:val="24"/>
          <w:szCs w:val="24"/>
        </w:rPr>
        <w:t>hollowing-out</w:t>
      </w:r>
      <w:r w:rsidRPr="00CB19CB">
        <w:rPr>
          <w:rFonts w:asciiTheme="majorBidi" w:hAnsiTheme="majorBidi" w:cstheme="majorBidi"/>
          <w:sz w:val="24"/>
          <w:szCs w:val="24"/>
        </w:rPr>
        <w:t xml:space="preserve"> of the </w:t>
      </w:r>
      <w:r w:rsidRPr="00CB19CB">
        <w:rPr>
          <w:rFonts w:asciiTheme="majorBidi" w:hAnsiTheme="majorBidi" w:cstheme="majorBidi"/>
          <w:sz w:val="24"/>
          <w:szCs w:val="24"/>
          <w:lang w:eastAsia="zh-TW"/>
        </w:rPr>
        <w:t xml:space="preserve">British </w:t>
      </w:r>
      <w:r w:rsidRPr="00CB19CB">
        <w:rPr>
          <w:rFonts w:asciiTheme="majorBidi" w:hAnsiTheme="majorBidi" w:cstheme="majorBidi"/>
          <w:sz w:val="24"/>
          <w:szCs w:val="24"/>
        </w:rPr>
        <w:t xml:space="preserve">state that there is a new meta-narrative around austerity and </w:t>
      </w:r>
      <w:r w:rsidRPr="00CB19CB">
        <w:rPr>
          <w:rFonts w:asciiTheme="majorBidi" w:hAnsiTheme="majorBidi" w:cstheme="majorBidi"/>
          <w:sz w:val="24"/>
          <w:szCs w:val="24"/>
          <w:lang w:eastAsia="zh-TW"/>
        </w:rPr>
        <w:t>‘</w:t>
      </w:r>
      <w:r w:rsidRPr="00CB19CB">
        <w:rPr>
          <w:rFonts w:asciiTheme="majorBidi" w:hAnsiTheme="majorBidi" w:cstheme="majorBidi"/>
          <w:sz w:val="24"/>
          <w:szCs w:val="24"/>
        </w:rPr>
        <w:t>the new governance</w:t>
      </w:r>
      <w:r w:rsidRPr="00CB19CB">
        <w:rPr>
          <w:rFonts w:asciiTheme="majorBidi" w:hAnsiTheme="majorBidi" w:cstheme="majorBidi"/>
          <w:sz w:val="24"/>
          <w:szCs w:val="24"/>
          <w:lang w:eastAsia="zh-TW"/>
        </w:rPr>
        <w:t>’</w:t>
      </w:r>
      <w:r w:rsidR="005420D2">
        <w:rPr>
          <w:rFonts w:asciiTheme="majorBidi" w:hAnsiTheme="majorBidi" w:cstheme="majorBidi"/>
          <w:sz w:val="24"/>
          <w:szCs w:val="24"/>
        </w:rPr>
        <w:t>. Today’s n</w:t>
      </w:r>
      <w:r w:rsidRPr="00CB19CB">
        <w:rPr>
          <w:rFonts w:asciiTheme="majorBidi" w:hAnsiTheme="majorBidi" w:cstheme="majorBidi"/>
          <w:sz w:val="24"/>
          <w:szCs w:val="24"/>
        </w:rPr>
        <w:t>eoliberal states have come into being</w:t>
      </w:r>
      <w:r w:rsidR="005420D2">
        <w:rPr>
          <w:rFonts w:asciiTheme="majorBidi" w:hAnsiTheme="majorBidi" w:cstheme="majorBidi"/>
          <w:sz w:val="24"/>
          <w:szCs w:val="24"/>
        </w:rPr>
        <w:t>,</w:t>
      </w:r>
      <w:r w:rsidRPr="00CB19CB">
        <w:rPr>
          <w:rFonts w:asciiTheme="majorBidi" w:hAnsiTheme="majorBidi" w:cstheme="majorBidi"/>
          <w:sz w:val="24"/>
          <w:szCs w:val="24"/>
        </w:rPr>
        <w:t xml:space="preserve"> and are perpetually reconstituted</w:t>
      </w:r>
      <w:r w:rsidR="005420D2">
        <w:rPr>
          <w:rFonts w:asciiTheme="majorBidi" w:hAnsiTheme="majorBidi" w:cstheme="majorBidi"/>
          <w:sz w:val="24"/>
          <w:szCs w:val="24"/>
        </w:rPr>
        <w:t>,</w:t>
      </w:r>
      <w:r w:rsidRPr="00CB19CB">
        <w:rPr>
          <w:rFonts w:asciiTheme="majorBidi" w:hAnsiTheme="majorBidi" w:cstheme="majorBidi"/>
          <w:sz w:val="24"/>
          <w:szCs w:val="24"/>
        </w:rPr>
        <w:t xml:space="preserve"> through constant reform initiatives. Many of the individual reform initiatives have their roots in neoliberal ideas about increased privatisation, deregulation, and reductions in government spending. A recurrent theme in my work is the changing role of the state, asking whether the state has been rolled-back to create the minimalist state or whether it is rolling-out to extend its influence by outsourcing and incorporating others in public governance. Of course, it is both, and my original version of </w:t>
      </w:r>
      <w:r w:rsidR="00E95783">
        <w:rPr>
          <w:rFonts w:asciiTheme="majorBidi" w:hAnsiTheme="majorBidi" w:cstheme="majorBidi"/>
          <w:sz w:val="24"/>
          <w:szCs w:val="24"/>
        </w:rPr>
        <w:t>hollowing-out</w:t>
      </w:r>
      <w:r w:rsidRPr="00CB19CB">
        <w:rPr>
          <w:rFonts w:asciiTheme="majorBidi" w:hAnsiTheme="majorBidi" w:cstheme="majorBidi"/>
          <w:sz w:val="24"/>
          <w:szCs w:val="24"/>
        </w:rPr>
        <w:t xml:space="preserve"> did not allow for </w:t>
      </w:r>
      <w:r w:rsidRPr="00CB19CB">
        <w:rPr>
          <w:rFonts w:asciiTheme="majorBidi" w:hAnsiTheme="majorBidi" w:cstheme="majorBidi"/>
          <w:i/>
          <w:iCs/>
          <w:sz w:val="24"/>
          <w:szCs w:val="24"/>
        </w:rPr>
        <w:t>both</w:t>
      </w:r>
      <w:r w:rsidRPr="00CB19CB">
        <w:rPr>
          <w:rFonts w:asciiTheme="majorBidi" w:hAnsiTheme="majorBidi" w:cstheme="majorBidi"/>
          <w:sz w:val="24"/>
          <w:szCs w:val="24"/>
        </w:rPr>
        <w:t xml:space="preserve"> these trends. </w:t>
      </w:r>
      <w:r w:rsidR="00D136F3">
        <w:rPr>
          <w:rFonts w:asciiTheme="majorBidi" w:hAnsiTheme="majorBidi" w:cstheme="majorBidi"/>
          <w:sz w:val="24"/>
          <w:szCs w:val="24"/>
        </w:rPr>
        <w:t xml:space="preserve">Neither did my critics. </w:t>
      </w:r>
    </w:p>
    <w:p w:rsidR="00403E06" w:rsidRPr="003A2F6E" w:rsidRDefault="00403E06" w:rsidP="0043753F">
      <w:pPr>
        <w:pStyle w:val="Heading1"/>
        <w:spacing w:before="0" w:line="480" w:lineRule="auto"/>
        <w:ind w:firstLine="720"/>
        <w:rPr>
          <w:rFonts w:asciiTheme="majorBidi" w:hAnsiTheme="majorBidi"/>
        </w:rPr>
      </w:pPr>
      <w:r w:rsidRPr="003A2F6E">
        <w:rPr>
          <w:rFonts w:asciiTheme="majorBidi" w:hAnsiTheme="majorBidi"/>
        </w:rPr>
        <w:t>Governa</w:t>
      </w:r>
      <w:r w:rsidR="00056569" w:rsidRPr="003A2F6E">
        <w:rPr>
          <w:rFonts w:asciiTheme="majorBidi" w:hAnsiTheme="majorBidi"/>
        </w:rPr>
        <w:t>nce</w:t>
      </w:r>
    </w:p>
    <w:p w:rsidR="009A46A9" w:rsidRDefault="00815640" w:rsidP="00E70000">
      <w:pPr>
        <w:spacing w:after="0" w:line="480" w:lineRule="auto"/>
        <w:ind w:right="-180" w:firstLine="720"/>
        <w:rPr>
          <w:rFonts w:asciiTheme="majorBidi" w:hAnsiTheme="majorBidi" w:cstheme="majorBidi"/>
          <w:sz w:val="24"/>
          <w:szCs w:val="24"/>
        </w:rPr>
      </w:pPr>
      <w:r w:rsidRPr="00815640">
        <w:rPr>
          <w:rFonts w:asciiTheme="majorBidi" w:hAnsiTheme="majorBidi" w:cstheme="majorBidi"/>
          <w:sz w:val="24"/>
          <w:szCs w:val="24"/>
        </w:rPr>
        <w:t xml:space="preserve">In </w:t>
      </w:r>
      <w:r w:rsidRPr="00815640">
        <w:rPr>
          <w:rFonts w:asciiTheme="majorBidi" w:hAnsiTheme="majorBidi" w:cstheme="majorBidi"/>
          <w:i/>
          <w:iCs/>
          <w:sz w:val="24"/>
          <w:szCs w:val="24"/>
        </w:rPr>
        <w:t>Understanding Governance</w:t>
      </w:r>
      <w:r w:rsidRPr="00815640">
        <w:rPr>
          <w:rFonts w:asciiTheme="majorBidi" w:hAnsiTheme="majorBidi" w:cstheme="majorBidi"/>
          <w:sz w:val="24"/>
          <w:szCs w:val="24"/>
        </w:rPr>
        <w:t xml:space="preserve"> (1997a: </w:t>
      </w:r>
      <w:r w:rsidR="00E70000">
        <w:rPr>
          <w:rFonts w:asciiTheme="majorBidi" w:hAnsiTheme="majorBidi" w:cstheme="majorBidi"/>
          <w:sz w:val="24"/>
          <w:szCs w:val="24"/>
        </w:rPr>
        <w:t>chapter 3</w:t>
      </w:r>
      <w:r w:rsidRPr="00815640">
        <w:rPr>
          <w:rFonts w:asciiTheme="majorBidi" w:hAnsiTheme="majorBidi" w:cstheme="majorBidi"/>
          <w:sz w:val="24"/>
          <w:szCs w:val="24"/>
        </w:rPr>
        <w:t>), I note</w:t>
      </w:r>
      <w:r w:rsidR="0043753F">
        <w:rPr>
          <w:rFonts w:asciiTheme="majorBidi" w:hAnsiTheme="majorBidi" w:cstheme="majorBidi"/>
          <w:sz w:val="24"/>
          <w:szCs w:val="24"/>
        </w:rPr>
        <w:t>d</w:t>
      </w:r>
      <w:r w:rsidRPr="00815640">
        <w:rPr>
          <w:rFonts w:asciiTheme="majorBidi" w:hAnsiTheme="majorBidi" w:cstheme="majorBidi"/>
          <w:sz w:val="24"/>
          <w:szCs w:val="24"/>
        </w:rPr>
        <w:t xml:space="preserve"> the term governance</w:t>
      </w:r>
      <w:r>
        <w:rPr>
          <w:rFonts w:asciiTheme="majorBidi" w:hAnsiTheme="majorBidi" w:cstheme="majorBidi"/>
          <w:sz w:val="24"/>
          <w:szCs w:val="24"/>
        </w:rPr>
        <w:t xml:space="preserve"> has many meanings,</w:t>
      </w:r>
      <w:r w:rsidRPr="00815640">
        <w:rPr>
          <w:rFonts w:asciiTheme="majorBidi" w:hAnsiTheme="majorBidi" w:cstheme="majorBidi"/>
          <w:sz w:val="24"/>
          <w:szCs w:val="24"/>
        </w:rPr>
        <w:t xml:space="preserve"> refer</w:t>
      </w:r>
      <w:r>
        <w:rPr>
          <w:rFonts w:asciiTheme="majorBidi" w:hAnsiTheme="majorBidi" w:cstheme="majorBidi"/>
          <w:sz w:val="24"/>
          <w:szCs w:val="24"/>
        </w:rPr>
        <w:t xml:space="preserve">ring </w:t>
      </w:r>
      <w:r w:rsidRPr="00815640">
        <w:rPr>
          <w:rFonts w:asciiTheme="majorBidi" w:hAnsiTheme="majorBidi" w:cstheme="majorBidi"/>
          <w:sz w:val="24"/>
          <w:szCs w:val="24"/>
        </w:rPr>
        <w:t>to</w:t>
      </w:r>
      <w:r>
        <w:rPr>
          <w:rFonts w:asciiTheme="majorBidi" w:hAnsiTheme="majorBidi" w:cstheme="majorBidi"/>
          <w:sz w:val="24"/>
          <w:szCs w:val="24"/>
        </w:rPr>
        <w:t xml:space="preserve">, for example, </w:t>
      </w:r>
      <w:r w:rsidRPr="00815640">
        <w:rPr>
          <w:rFonts w:asciiTheme="majorBidi" w:hAnsiTheme="majorBidi" w:cstheme="majorBidi"/>
          <w:sz w:val="24"/>
          <w:szCs w:val="24"/>
        </w:rPr>
        <w:t>the minimal state</w:t>
      </w:r>
      <w:r w:rsidR="0043753F">
        <w:rPr>
          <w:rFonts w:asciiTheme="majorBidi" w:hAnsiTheme="majorBidi" w:cstheme="majorBidi"/>
          <w:sz w:val="24"/>
          <w:szCs w:val="24"/>
        </w:rPr>
        <w:t>,</w:t>
      </w:r>
      <w:r w:rsidRPr="00815640">
        <w:rPr>
          <w:rFonts w:asciiTheme="majorBidi" w:hAnsiTheme="majorBidi" w:cstheme="majorBidi"/>
          <w:sz w:val="24"/>
          <w:szCs w:val="24"/>
        </w:rPr>
        <w:t xml:space="preserve"> corporate governance</w:t>
      </w:r>
      <w:r w:rsidR="0043753F">
        <w:rPr>
          <w:rFonts w:asciiTheme="majorBidi" w:hAnsiTheme="majorBidi" w:cstheme="majorBidi"/>
          <w:sz w:val="24"/>
          <w:szCs w:val="24"/>
        </w:rPr>
        <w:t>,</w:t>
      </w:r>
      <w:r w:rsidRPr="00815640">
        <w:rPr>
          <w:rFonts w:asciiTheme="majorBidi" w:hAnsiTheme="majorBidi" w:cstheme="majorBidi"/>
          <w:sz w:val="24"/>
          <w:szCs w:val="24"/>
        </w:rPr>
        <w:t xml:space="preserve"> and the new public management (</w:t>
      </w:r>
      <w:r w:rsidR="00E70000">
        <w:rPr>
          <w:rFonts w:asciiTheme="majorBidi" w:hAnsiTheme="majorBidi" w:cstheme="majorBidi"/>
          <w:sz w:val="24"/>
          <w:szCs w:val="24"/>
        </w:rPr>
        <w:t xml:space="preserve">see also: </w:t>
      </w:r>
      <w:r w:rsidRPr="00815640">
        <w:rPr>
          <w:rFonts w:asciiTheme="majorBidi" w:hAnsiTheme="majorBidi" w:cstheme="majorBidi"/>
          <w:sz w:val="24"/>
          <w:szCs w:val="24"/>
        </w:rPr>
        <w:t>Kjaer 2004).  However, I stipulate</w:t>
      </w:r>
      <w:r w:rsidR="00660AF6">
        <w:rPr>
          <w:rFonts w:asciiTheme="majorBidi" w:hAnsiTheme="majorBidi" w:cstheme="majorBidi"/>
          <w:sz w:val="24"/>
          <w:szCs w:val="24"/>
        </w:rPr>
        <w:t>d</w:t>
      </w:r>
      <w:r w:rsidRPr="00815640">
        <w:rPr>
          <w:rFonts w:asciiTheme="majorBidi" w:hAnsiTheme="majorBidi" w:cstheme="majorBidi"/>
          <w:sz w:val="24"/>
          <w:szCs w:val="24"/>
        </w:rPr>
        <w:t xml:space="preserve"> one meaning to show how the term can contributes to the analysis of change in British government. So, </w:t>
      </w:r>
      <w:r w:rsidRPr="00815640">
        <w:rPr>
          <w:rFonts w:asciiTheme="majorBidi" w:hAnsiTheme="majorBidi" w:cstheme="majorBidi"/>
          <w:i/>
          <w:sz w:val="24"/>
          <w:szCs w:val="24"/>
        </w:rPr>
        <w:t>governance refers to self-organising, inter-organisational networks</w:t>
      </w:r>
      <w:r w:rsidRPr="00815640">
        <w:rPr>
          <w:rFonts w:asciiTheme="majorBidi" w:hAnsiTheme="majorBidi" w:cstheme="majorBidi"/>
          <w:sz w:val="24"/>
          <w:szCs w:val="24"/>
        </w:rPr>
        <w:t xml:space="preserve"> characterised by interdependence, resource exchange, rules of the game and significant autonomy from the state. </w:t>
      </w:r>
      <w:r>
        <w:rPr>
          <w:rFonts w:asciiTheme="majorBidi" w:hAnsiTheme="majorBidi" w:cstheme="majorBidi"/>
          <w:sz w:val="24"/>
          <w:szCs w:val="24"/>
        </w:rPr>
        <w:t xml:space="preserve">To distinguish my use from the others, I adopted the shorthand phrase ‘network governance’. </w:t>
      </w:r>
      <w:r w:rsidRPr="00815640">
        <w:rPr>
          <w:rFonts w:asciiTheme="majorBidi" w:hAnsiTheme="majorBidi" w:cstheme="majorBidi"/>
          <w:sz w:val="24"/>
          <w:szCs w:val="24"/>
        </w:rPr>
        <w:t xml:space="preserve"> </w:t>
      </w:r>
      <w:r w:rsidR="009A46A9">
        <w:rPr>
          <w:rFonts w:asciiTheme="majorBidi" w:hAnsiTheme="majorBidi" w:cstheme="majorBidi"/>
          <w:sz w:val="24"/>
          <w:szCs w:val="24"/>
        </w:rPr>
        <w:t xml:space="preserve">Responding to the critics of </w:t>
      </w:r>
      <w:r>
        <w:rPr>
          <w:rFonts w:asciiTheme="majorBidi" w:hAnsiTheme="majorBidi" w:cstheme="majorBidi"/>
          <w:sz w:val="24"/>
          <w:szCs w:val="24"/>
        </w:rPr>
        <w:t xml:space="preserve">network </w:t>
      </w:r>
      <w:r w:rsidR="009A46A9">
        <w:rPr>
          <w:rFonts w:asciiTheme="majorBidi" w:hAnsiTheme="majorBidi" w:cstheme="majorBidi"/>
          <w:sz w:val="24"/>
          <w:szCs w:val="24"/>
        </w:rPr>
        <w:t xml:space="preserve">governance is not as </w:t>
      </w:r>
      <w:r>
        <w:rPr>
          <w:rFonts w:asciiTheme="majorBidi" w:hAnsiTheme="majorBidi" w:cstheme="majorBidi"/>
          <w:sz w:val="24"/>
          <w:szCs w:val="24"/>
        </w:rPr>
        <w:t>straight forward</w:t>
      </w:r>
      <w:r w:rsidR="009A46A9">
        <w:rPr>
          <w:rFonts w:asciiTheme="majorBidi" w:hAnsiTheme="majorBidi" w:cstheme="majorBidi"/>
          <w:sz w:val="24"/>
          <w:szCs w:val="24"/>
        </w:rPr>
        <w:t xml:space="preserve"> as it might first appear</w:t>
      </w:r>
      <w:r w:rsidR="00E70000">
        <w:rPr>
          <w:rFonts w:asciiTheme="majorBidi" w:hAnsiTheme="majorBidi" w:cstheme="majorBidi"/>
          <w:sz w:val="24"/>
          <w:szCs w:val="24"/>
        </w:rPr>
        <w:t xml:space="preserve"> because t</w:t>
      </w:r>
      <w:r>
        <w:rPr>
          <w:rFonts w:asciiTheme="majorBidi" w:hAnsiTheme="majorBidi" w:cstheme="majorBidi"/>
          <w:sz w:val="24"/>
          <w:szCs w:val="24"/>
        </w:rPr>
        <w:t xml:space="preserve">he </w:t>
      </w:r>
      <w:r w:rsidR="00E70000">
        <w:rPr>
          <w:rFonts w:asciiTheme="majorBidi" w:hAnsiTheme="majorBidi" w:cstheme="majorBidi"/>
          <w:sz w:val="24"/>
          <w:szCs w:val="24"/>
        </w:rPr>
        <w:t>subject</w:t>
      </w:r>
      <w:r>
        <w:rPr>
          <w:rFonts w:asciiTheme="majorBidi" w:hAnsiTheme="majorBidi" w:cstheme="majorBidi"/>
          <w:sz w:val="24"/>
          <w:szCs w:val="24"/>
        </w:rPr>
        <w:t xml:space="preserve"> move</w:t>
      </w:r>
      <w:r w:rsidR="00E70000">
        <w:rPr>
          <w:rFonts w:asciiTheme="majorBidi" w:hAnsiTheme="majorBidi" w:cstheme="majorBidi"/>
          <w:sz w:val="24"/>
          <w:szCs w:val="24"/>
        </w:rPr>
        <w:t>s</w:t>
      </w:r>
      <w:r>
        <w:rPr>
          <w:rFonts w:asciiTheme="majorBidi" w:hAnsiTheme="majorBidi" w:cstheme="majorBidi"/>
          <w:sz w:val="24"/>
          <w:szCs w:val="24"/>
        </w:rPr>
        <w:t xml:space="preserve"> on</w:t>
      </w:r>
      <w:r w:rsidR="00E70000">
        <w:rPr>
          <w:rFonts w:asciiTheme="majorBidi" w:hAnsiTheme="majorBidi" w:cstheme="majorBidi"/>
          <w:sz w:val="24"/>
          <w:szCs w:val="24"/>
        </w:rPr>
        <w:t>. T</w:t>
      </w:r>
      <w:r w:rsidR="009A46A9">
        <w:rPr>
          <w:rFonts w:asciiTheme="majorBidi" w:hAnsiTheme="majorBidi" w:cstheme="majorBidi"/>
          <w:sz w:val="24"/>
          <w:szCs w:val="24"/>
        </w:rPr>
        <w:t>here are now three main approaches to, or waves, of governance</w:t>
      </w:r>
      <w:r w:rsidR="00E70000">
        <w:rPr>
          <w:rFonts w:asciiTheme="majorBidi" w:hAnsiTheme="majorBidi" w:cstheme="majorBidi"/>
          <w:sz w:val="24"/>
          <w:szCs w:val="24"/>
        </w:rPr>
        <w:t>:</w:t>
      </w:r>
      <w:r w:rsidR="009A46A9">
        <w:rPr>
          <w:rFonts w:asciiTheme="majorBidi" w:hAnsiTheme="majorBidi" w:cstheme="majorBidi"/>
          <w:sz w:val="24"/>
          <w:szCs w:val="24"/>
        </w:rPr>
        <w:t xml:space="preserve"> network governance, metagovernance</w:t>
      </w:r>
      <w:r w:rsidR="00E70000">
        <w:rPr>
          <w:rFonts w:asciiTheme="majorBidi" w:hAnsiTheme="majorBidi" w:cstheme="majorBidi"/>
          <w:sz w:val="24"/>
          <w:szCs w:val="24"/>
        </w:rPr>
        <w:t>,</w:t>
      </w:r>
      <w:r w:rsidR="009A46A9">
        <w:rPr>
          <w:rFonts w:asciiTheme="majorBidi" w:hAnsiTheme="majorBidi" w:cstheme="majorBidi"/>
          <w:sz w:val="24"/>
          <w:szCs w:val="24"/>
        </w:rPr>
        <w:t xml:space="preserve"> and decentred governance. </w:t>
      </w:r>
      <w:r w:rsidR="00053A32">
        <w:rPr>
          <w:rFonts w:asciiTheme="majorBidi" w:hAnsiTheme="majorBidi" w:cstheme="majorBidi"/>
          <w:sz w:val="24"/>
          <w:szCs w:val="24"/>
        </w:rPr>
        <w:t>I consider each in turn, focusing on the effects of governance on the role of the state.</w:t>
      </w:r>
    </w:p>
    <w:p w:rsidR="009A46A9" w:rsidRPr="001A274C" w:rsidRDefault="009A46A9" w:rsidP="0043753F">
      <w:pPr>
        <w:pStyle w:val="Heading2"/>
        <w:spacing w:before="0" w:line="480" w:lineRule="auto"/>
        <w:ind w:firstLine="720"/>
        <w:rPr>
          <w:rFonts w:asciiTheme="majorBidi" w:hAnsiTheme="majorBidi"/>
          <w:i/>
          <w:iCs/>
          <w:sz w:val="24"/>
          <w:szCs w:val="24"/>
        </w:rPr>
      </w:pPr>
      <w:r w:rsidRPr="001A274C">
        <w:rPr>
          <w:rFonts w:asciiTheme="majorBidi" w:hAnsiTheme="majorBidi"/>
          <w:i/>
          <w:iCs/>
          <w:sz w:val="24"/>
          <w:szCs w:val="24"/>
        </w:rPr>
        <w:t>Network governance</w:t>
      </w:r>
    </w:p>
    <w:p w:rsidR="00403E06" w:rsidRPr="00CB19CB" w:rsidRDefault="00403E06" w:rsidP="005F7788">
      <w:pPr>
        <w:spacing w:after="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There </w:t>
      </w:r>
      <w:r w:rsidRPr="00CB19CB">
        <w:rPr>
          <w:rFonts w:asciiTheme="majorBidi" w:hAnsiTheme="majorBidi" w:cstheme="majorBidi"/>
          <w:sz w:val="24"/>
          <w:szCs w:val="24"/>
          <w:lang w:eastAsia="zh-TW"/>
        </w:rPr>
        <w:t>is a</w:t>
      </w:r>
      <w:r w:rsidR="00E95783">
        <w:rPr>
          <w:rFonts w:asciiTheme="majorBidi" w:hAnsiTheme="majorBidi" w:cstheme="majorBidi"/>
          <w:sz w:val="24"/>
          <w:szCs w:val="24"/>
          <w:lang w:eastAsia="zh-TW"/>
        </w:rPr>
        <w:t>n</w:t>
      </w:r>
      <w:r w:rsidRPr="00CB19CB">
        <w:rPr>
          <w:rFonts w:asciiTheme="majorBidi" w:hAnsiTheme="majorBidi" w:cstheme="majorBidi"/>
          <w:sz w:val="24"/>
          <w:szCs w:val="24"/>
          <w:lang w:eastAsia="zh-TW"/>
        </w:rPr>
        <w:t xml:space="preserve"> odd challenge</w:t>
      </w:r>
      <w:r w:rsidRPr="00CB19CB">
        <w:rPr>
          <w:rFonts w:asciiTheme="majorBidi" w:hAnsiTheme="majorBidi" w:cstheme="majorBidi"/>
          <w:sz w:val="24"/>
          <w:szCs w:val="24"/>
        </w:rPr>
        <w:t xml:space="preserve"> to the </w:t>
      </w:r>
      <w:r w:rsidR="000E0523">
        <w:rPr>
          <w:rFonts w:asciiTheme="majorBidi" w:hAnsiTheme="majorBidi" w:cstheme="majorBidi"/>
          <w:sz w:val="24"/>
          <w:szCs w:val="24"/>
        </w:rPr>
        <w:t xml:space="preserve">network </w:t>
      </w:r>
      <w:r w:rsidRPr="00CB19CB">
        <w:rPr>
          <w:rFonts w:asciiTheme="majorBidi" w:hAnsiTheme="majorBidi" w:cstheme="majorBidi"/>
          <w:sz w:val="24"/>
          <w:szCs w:val="24"/>
        </w:rPr>
        <w:t>governance narrative that question</w:t>
      </w:r>
      <w:r w:rsidR="000E0523">
        <w:rPr>
          <w:rFonts w:asciiTheme="majorBidi" w:hAnsiTheme="majorBidi" w:cstheme="majorBidi"/>
          <w:sz w:val="24"/>
          <w:szCs w:val="24"/>
        </w:rPr>
        <w:t>s</w:t>
      </w:r>
      <w:r w:rsidRPr="00CB19CB">
        <w:rPr>
          <w:rFonts w:asciiTheme="majorBidi" w:hAnsiTheme="majorBidi" w:cstheme="majorBidi"/>
          <w:sz w:val="24"/>
          <w:szCs w:val="24"/>
        </w:rPr>
        <w:t xml:space="preserve"> whether it is an accurate description</w:t>
      </w:r>
      <w:r w:rsidRPr="00CB19CB">
        <w:rPr>
          <w:rFonts w:asciiTheme="majorBidi" w:hAnsiTheme="majorBidi" w:cstheme="majorBidi"/>
          <w:sz w:val="24"/>
          <w:szCs w:val="24"/>
          <w:lang w:eastAsia="zh-TW"/>
        </w:rPr>
        <w:t xml:space="preserve"> (Colebatch 2009; Hughes 2010)</w:t>
      </w:r>
      <w:r w:rsidRPr="00CB19CB">
        <w:rPr>
          <w:rFonts w:asciiTheme="majorBidi" w:hAnsiTheme="majorBidi" w:cstheme="majorBidi"/>
          <w:sz w:val="24"/>
          <w:szCs w:val="24"/>
        </w:rPr>
        <w:t xml:space="preserve">. Whether the number of networks has grown or whether such networks are new are, frankly, </w:t>
      </w:r>
      <w:r w:rsidR="005F7788">
        <w:rPr>
          <w:rFonts w:asciiTheme="majorBidi" w:hAnsiTheme="majorBidi" w:cstheme="majorBidi"/>
          <w:sz w:val="24"/>
          <w:szCs w:val="24"/>
        </w:rPr>
        <w:t>no longer</w:t>
      </w:r>
      <w:r w:rsidRPr="00CB19CB">
        <w:rPr>
          <w:rFonts w:asciiTheme="majorBidi" w:hAnsiTheme="majorBidi" w:cstheme="majorBidi"/>
          <w:sz w:val="24"/>
          <w:szCs w:val="24"/>
        </w:rPr>
        <w:t xml:space="preserve"> interesting questions</w:t>
      </w:r>
      <w:r w:rsidR="005F7788">
        <w:rPr>
          <w:rFonts w:asciiTheme="majorBidi" w:hAnsiTheme="majorBidi" w:cstheme="majorBidi"/>
          <w:sz w:val="24"/>
          <w:szCs w:val="24"/>
        </w:rPr>
        <w:t>. They</w:t>
      </w:r>
      <w:r w:rsidRPr="00CB19CB">
        <w:rPr>
          <w:rFonts w:asciiTheme="majorBidi" w:hAnsiTheme="majorBidi" w:cstheme="majorBidi"/>
          <w:sz w:val="24"/>
          <w:szCs w:val="24"/>
        </w:rPr>
        <w:t xml:space="preserve"> miss the point. My main concern is the spread of new ideas about markets and networks and the consequent changes in the role of the state. Such sceptics are dealt with brusquely and briskly by Torfing et al. (2012: 31-2). They argue there have been three ‘irreversible changes’: in the expectations of stakeholders about their involvement in collaborative policy making; in the shift of public bureaucracies to ‘open organisations … engaged in joint problem solving and collaborative service delivery’; and in the belief that network governance is ‘a legitimate alternative to hierarchy and markets’. The new ideas had consequences. </w:t>
      </w:r>
    </w:p>
    <w:p w:rsidR="00403E06" w:rsidRPr="00CB19CB" w:rsidRDefault="00403E06" w:rsidP="005F7788">
      <w:pPr>
        <w:spacing w:after="240" w:line="480" w:lineRule="auto"/>
        <w:ind w:right="-46" w:firstLine="720"/>
        <w:rPr>
          <w:rFonts w:asciiTheme="majorBidi" w:hAnsiTheme="majorBidi" w:cstheme="majorBidi"/>
          <w:b/>
          <w:bCs/>
          <w:i/>
          <w:iCs/>
          <w:sz w:val="24"/>
          <w:szCs w:val="24"/>
        </w:rPr>
      </w:pPr>
      <w:r w:rsidRPr="00CB19CB">
        <w:rPr>
          <w:rFonts w:asciiTheme="majorBidi" w:hAnsiTheme="majorBidi" w:cstheme="majorBidi"/>
          <w:sz w:val="24"/>
          <w:szCs w:val="24"/>
          <w:lang w:eastAsia="zh-TW"/>
        </w:rPr>
        <w:t>Most critics</w:t>
      </w:r>
      <w:r w:rsidR="000E0523">
        <w:rPr>
          <w:rFonts w:asciiTheme="majorBidi" w:hAnsiTheme="majorBidi" w:cstheme="majorBidi"/>
          <w:sz w:val="24"/>
          <w:szCs w:val="24"/>
          <w:lang w:eastAsia="zh-TW"/>
        </w:rPr>
        <w:t xml:space="preserve"> are more perceptive and</w:t>
      </w:r>
      <w:r w:rsidRPr="00CB19CB">
        <w:rPr>
          <w:rFonts w:asciiTheme="majorBidi" w:hAnsiTheme="majorBidi" w:cstheme="majorBidi"/>
          <w:sz w:val="24"/>
          <w:szCs w:val="24"/>
        </w:rPr>
        <w:t xml:space="preserve"> have focus</w:t>
      </w:r>
      <w:r w:rsidR="005F7788">
        <w:rPr>
          <w:rFonts w:asciiTheme="majorBidi" w:hAnsiTheme="majorBidi" w:cstheme="majorBidi"/>
          <w:sz w:val="24"/>
          <w:szCs w:val="24"/>
        </w:rPr>
        <w:t>ed</w:t>
      </w:r>
      <w:r w:rsidRPr="00CB19CB">
        <w:rPr>
          <w:rFonts w:asciiTheme="majorBidi" w:hAnsiTheme="majorBidi" w:cstheme="majorBidi"/>
          <w:sz w:val="24"/>
          <w:szCs w:val="24"/>
        </w:rPr>
        <w:t xml:space="preserve">, correctly, on the changing role of the state </w:t>
      </w:r>
      <w:r w:rsidR="003A2F6E">
        <w:rPr>
          <w:rFonts w:asciiTheme="majorBidi" w:hAnsiTheme="majorBidi" w:cstheme="majorBidi"/>
          <w:sz w:val="24"/>
          <w:szCs w:val="24"/>
        </w:rPr>
        <w:t>but they</w:t>
      </w:r>
      <w:r w:rsidRPr="00CB19CB">
        <w:rPr>
          <w:rFonts w:asciiTheme="majorBidi" w:hAnsiTheme="majorBidi" w:cstheme="majorBidi"/>
          <w:bCs/>
          <w:sz w:val="24"/>
          <w:szCs w:val="24"/>
        </w:rPr>
        <w:t xml:space="preserve"> see a transformation rather than a weakening of the state.</w:t>
      </w:r>
      <w:r w:rsidRPr="00CB19CB">
        <w:rPr>
          <w:rStyle w:val="FootnoteReference"/>
          <w:rFonts w:asciiTheme="majorBidi" w:hAnsiTheme="majorBidi" w:cstheme="majorBidi"/>
          <w:bCs/>
          <w:sz w:val="24"/>
          <w:szCs w:val="24"/>
        </w:rPr>
        <w:footnoteReference w:id="4"/>
      </w:r>
      <w:r w:rsidRPr="00CB19CB">
        <w:rPr>
          <w:rFonts w:asciiTheme="majorBidi" w:hAnsiTheme="majorBidi" w:cstheme="majorBidi"/>
          <w:bCs/>
          <w:sz w:val="24"/>
          <w:szCs w:val="24"/>
        </w:rPr>
        <w:t xml:space="preserve"> One example must suffice and I examine the critique by </w:t>
      </w:r>
      <w:r w:rsidRPr="00CB19CB">
        <w:rPr>
          <w:rFonts w:asciiTheme="majorBidi" w:hAnsiTheme="majorBidi" w:cstheme="majorBidi"/>
          <w:sz w:val="24"/>
          <w:szCs w:val="24"/>
        </w:rPr>
        <w:t>Pierre and Peters (2000</w:t>
      </w:r>
      <w:r w:rsidR="005F7788">
        <w:rPr>
          <w:rFonts w:asciiTheme="majorBidi" w:hAnsiTheme="majorBidi" w:cstheme="majorBidi"/>
          <w:sz w:val="24"/>
          <w:szCs w:val="24"/>
        </w:rPr>
        <w:t>:</w:t>
      </w:r>
      <w:r w:rsidRPr="00CB19CB">
        <w:rPr>
          <w:rFonts w:asciiTheme="majorBidi" w:hAnsiTheme="majorBidi" w:cstheme="majorBidi"/>
          <w:sz w:val="24"/>
          <w:szCs w:val="24"/>
        </w:rPr>
        <w:t xml:space="preserve"> 78, 104-5 and 111</w:t>
      </w:r>
      <w:r w:rsidR="009E1B2E">
        <w:rPr>
          <w:rFonts w:asciiTheme="majorBidi" w:hAnsiTheme="majorBidi" w:cstheme="majorBidi"/>
          <w:sz w:val="24"/>
          <w:szCs w:val="24"/>
        </w:rPr>
        <w:t>;</w:t>
      </w:r>
      <w:r w:rsidRPr="00CB19CB">
        <w:rPr>
          <w:rFonts w:asciiTheme="majorBidi" w:hAnsiTheme="majorBidi" w:cstheme="majorBidi"/>
          <w:sz w:val="24"/>
          <w:szCs w:val="24"/>
        </w:rPr>
        <w:t xml:space="preserve"> 1998; and 2009; Torfing, Peters et al. 2012)</w:t>
      </w:r>
      <w:r w:rsidR="00284F37">
        <w:rPr>
          <w:rFonts w:asciiTheme="majorBidi" w:hAnsiTheme="majorBidi" w:cstheme="majorBidi"/>
          <w:sz w:val="24"/>
          <w:szCs w:val="24"/>
        </w:rPr>
        <w:t>. T</w:t>
      </w:r>
      <w:r w:rsidRPr="00CB19CB">
        <w:rPr>
          <w:rFonts w:asciiTheme="majorBidi" w:hAnsiTheme="majorBidi" w:cstheme="majorBidi"/>
          <w:sz w:val="24"/>
          <w:szCs w:val="24"/>
        </w:rPr>
        <w:t xml:space="preserve">heir views are typical and, undeniably, they have been persistent. They argue the shift to network governance could ‘increase public control over society’ because governments ‘rethink the mix of policy instruments’. They continue, ‘coercive or regulatory instruments become less important and … “softer” instruments gain importance’; for example, for steering instead of rowing. In short, the state has not been hollowed-out but reasserted its privileged position to govern by regulating the mix of governing structures such as markets and networks and deploying indirect instruments of control. There has been no decline of the state. They argue the changes are not a zero-sum game and governance has increased state control over civil society (Pierre and Peters (2000: 78). </w:t>
      </w:r>
    </w:p>
    <w:p w:rsidR="00403E06" w:rsidRPr="00CB19CB" w:rsidRDefault="00403E06" w:rsidP="005F7788">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It would seem I am a ‘scriptor’ again, </w:t>
      </w:r>
      <w:r w:rsidR="00056569" w:rsidRPr="00CB19CB">
        <w:rPr>
          <w:rFonts w:asciiTheme="majorBidi" w:hAnsiTheme="majorBidi" w:cstheme="majorBidi"/>
          <w:sz w:val="24"/>
          <w:szCs w:val="24"/>
        </w:rPr>
        <w:t xml:space="preserve">and </w:t>
      </w:r>
      <w:r w:rsidR="005F7788">
        <w:rPr>
          <w:rFonts w:asciiTheme="majorBidi" w:hAnsiTheme="majorBidi" w:cstheme="majorBidi"/>
          <w:sz w:val="24"/>
          <w:szCs w:val="24"/>
        </w:rPr>
        <w:t xml:space="preserve">I am </w:t>
      </w:r>
      <w:r w:rsidRPr="00CB19CB">
        <w:rPr>
          <w:rFonts w:asciiTheme="majorBidi" w:hAnsiTheme="majorBidi" w:cstheme="majorBidi"/>
          <w:sz w:val="24"/>
          <w:szCs w:val="24"/>
        </w:rPr>
        <w:t xml:space="preserve">sorely challenged by some of the more egregious misrepresentations. There is some ground clearing to do before we can move forward. </w:t>
      </w:r>
    </w:p>
    <w:p w:rsidR="00403E06" w:rsidRPr="00CB19CB" w:rsidRDefault="00403E06" w:rsidP="005F7788">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First, I agree with Scharpf (199</w:t>
      </w:r>
      <w:r w:rsidR="006A29AD">
        <w:rPr>
          <w:rFonts w:asciiTheme="majorBidi" w:hAnsiTheme="majorBidi" w:cstheme="majorBidi"/>
          <w:sz w:val="24"/>
          <w:szCs w:val="24"/>
        </w:rPr>
        <w:t>7</w:t>
      </w:r>
      <w:r w:rsidRPr="00CB19CB">
        <w:rPr>
          <w:rFonts w:asciiTheme="majorBidi" w:hAnsiTheme="majorBidi" w:cstheme="majorBidi"/>
          <w:sz w:val="24"/>
          <w:szCs w:val="24"/>
        </w:rPr>
        <w:t>: 38 and 40) that, although hierarchical coordination ‘remains a relatively rare phenomenon’, self-coordination among units takes place in ‘the shadow of hierarchy’ because, for example, hierarchical structures ‘define the context within which negotiations take place’. There is nothing new here because I rehearsed this argument about the continuing importance of hierarchy in Rhodes (1986: 4-7) as well as arguing for the continuing importance of bureaucracy in Australia</w:t>
      </w:r>
      <w:r w:rsidR="00462259">
        <w:rPr>
          <w:rFonts w:asciiTheme="majorBidi" w:hAnsiTheme="majorBidi" w:cstheme="majorBidi"/>
          <w:sz w:val="24"/>
          <w:szCs w:val="24"/>
        </w:rPr>
        <w:t>n</w:t>
      </w:r>
      <w:r w:rsidRPr="00CB19CB">
        <w:rPr>
          <w:rFonts w:asciiTheme="majorBidi" w:hAnsiTheme="majorBidi" w:cstheme="majorBidi"/>
          <w:sz w:val="24"/>
          <w:szCs w:val="24"/>
        </w:rPr>
        <w:t xml:space="preserve"> (Davis and Rhodes 2000) and British governmen</w:t>
      </w:r>
      <w:r w:rsidR="009E1B2E">
        <w:rPr>
          <w:rFonts w:asciiTheme="majorBidi" w:hAnsiTheme="majorBidi" w:cstheme="majorBidi"/>
          <w:sz w:val="24"/>
          <w:szCs w:val="24"/>
        </w:rPr>
        <w:t>t (Rhodes 1994</w:t>
      </w:r>
      <w:r w:rsidRPr="00CB19CB">
        <w:rPr>
          <w:rFonts w:asciiTheme="majorBidi" w:hAnsiTheme="majorBidi" w:cstheme="majorBidi"/>
          <w:sz w:val="24"/>
          <w:szCs w:val="24"/>
        </w:rPr>
        <w:t xml:space="preserve">). </w:t>
      </w:r>
    </w:p>
    <w:p w:rsidR="00403E06" w:rsidRPr="003E7D3F" w:rsidRDefault="00403E06" w:rsidP="00815640">
      <w:pPr>
        <w:spacing w:after="240" w:line="480" w:lineRule="auto"/>
        <w:ind w:right="-46" w:firstLine="720"/>
        <w:rPr>
          <w:rFonts w:asciiTheme="majorBidi" w:hAnsiTheme="majorBidi" w:cstheme="majorBidi"/>
          <w:bCs/>
          <w:sz w:val="24"/>
          <w:szCs w:val="24"/>
        </w:rPr>
      </w:pPr>
      <w:r w:rsidRPr="003E7D3F">
        <w:rPr>
          <w:rFonts w:asciiTheme="majorBidi" w:hAnsiTheme="majorBidi" w:cstheme="majorBidi"/>
          <w:sz w:val="24"/>
          <w:szCs w:val="24"/>
        </w:rPr>
        <w:t>Second, some claim my views are ‘extreme’ (Torfing et al. 2012: 3). It is d</w:t>
      </w:r>
      <w:r w:rsidRPr="003E7D3F">
        <w:rPr>
          <w:rFonts w:asciiTheme="majorBidi" w:hAnsiTheme="majorBidi" w:cstheme="majorBidi"/>
          <w:bCs/>
          <w:sz w:val="24"/>
          <w:szCs w:val="24"/>
        </w:rPr>
        <w:t>ifficult to reconcile such assertions with what I said.</w:t>
      </w:r>
      <w:r w:rsidRPr="003E7D3F">
        <w:rPr>
          <w:rFonts w:asciiTheme="majorBidi" w:hAnsiTheme="majorBidi" w:cstheme="majorBidi"/>
          <w:sz w:val="24"/>
          <w:szCs w:val="24"/>
        </w:rPr>
        <w:t xml:space="preserve"> </w:t>
      </w:r>
      <w:r w:rsidR="006A29AD" w:rsidRPr="003E7D3F">
        <w:rPr>
          <w:rFonts w:asciiTheme="majorBidi" w:hAnsiTheme="majorBidi" w:cstheme="majorBidi"/>
          <w:sz w:val="24"/>
          <w:szCs w:val="24"/>
        </w:rPr>
        <w:t>In Rhodes (1997b)</w:t>
      </w:r>
      <w:r w:rsidRPr="003E7D3F">
        <w:rPr>
          <w:rFonts w:asciiTheme="majorBidi" w:hAnsiTheme="majorBidi" w:cstheme="majorBidi"/>
          <w:sz w:val="24"/>
          <w:szCs w:val="24"/>
        </w:rPr>
        <w:t>, I argued that governments had to choose between</w:t>
      </w:r>
      <w:r w:rsidR="00462259">
        <w:rPr>
          <w:rFonts w:asciiTheme="majorBidi" w:hAnsiTheme="majorBidi" w:cstheme="majorBidi"/>
          <w:sz w:val="24"/>
          <w:szCs w:val="24"/>
        </w:rPr>
        <w:t xml:space="preserve"> the</w:t>
      </w:r>
      <w:r w:rsidRPr="003E7D3F">
        <w:rPr>
          <w:rFonts w:asciiTheme="majorBidi" w:hAnsiTheme="majorBidi" w:cstheme="majorBidi"/>
          <w:sz w:val="24"/>
          <w:szCs w:val="24"/>
        </w:rPr>
        <w:t xml:space="preserve"> th</w:t>
      </w:r>
      <w:r w:rsidR="009E1B2E" w:rsidRPr="003E7D3F">
        <w:rPr>
          <w:rFonts w:asciiTheme="majorBidi" w:hAnsiTheme="majorBidi" w:cstheme="majorBidi"/>
          <w:sz w:val="24"/>
          <w:szCs w:val="24"/>
        </w:rPr>
        <w:t>r</w:t>
      </w:r>
      <w:r w:rsidRPr="003E7D3F">
        <w:rPr>
          <w:rFonts w:asciiTheme="majorBidi" w:hAnsiTheme="majorBidi" w:cstheme="majorBidi"/>
          <w:sz w:val="24"/>
          <w:szCs w:val="24"/>
        </w:rPr>
        <w:t>ee main governing structures of bureaucracy, markets and networks</w:t>
      </w:r>
      <w:r w:rsidR="006A29AD" w:rsidRPr="003E7D3F">
        <w:rPr>
          <w:rFonts w:asciiTheme="majorBidi" w:hAnsiTheme="majorBidi" w:cstheme="majorBidi"/>
          <w:sz w:val="24"/>
          <w:szCs w:val="24"/>
        </w:rPr>
        <w:t xml:space="preserve">. </w:t>
      </w:r>
      <w:r w:rsidR="006A29AD" w:rsidRPr="003E7D3F">
        <w:rPr>
          <w:rFonts w:asciiTheme="majorBidi" w:eastAsia="SimSun" w:hAnsiTheme="majorBidi" w:cstheme="majorBidi"/>
          <w:sz w:val="24"/>
          <w:szCs w:val="24"/>
        </w:rPr>
        <w:t xml:space="preserve"> This article was one of a series of articles </w:t>
      </w:r>
      <w:r w:rsidR="00462259">
        <w:rPr>
          <w:rFonts w:asciiTheme="majorBidi" w:eastAsia="SimSun" w:hAnsiTheme="majorBidi" w:cstheme="majorBidi"/>
          <w:sz w:val="24"/>
          <w:szCs w:val="24"/>
        </w:rPr>
        <w:t xml:space="preserve">written in the </w:t>
      </w:r>
      <w:r w:rsidR="006A29AD" w:rsidRPr="003E7D3F">
        <w:rPr>
          <w:rFonts w:asciiTheme="majorBidi" w:eastAsia="SimSun" w:hAnsiTheme="majorBidi" w:cstheme="majorBidi"/>
          <w:sz w:val="24"/>
          <w:szCs w:val="24"/>
        </w:rPr>
        <w:t>mid-1990s and</w:t>
      </w:r>
      <w:r w:rsidR="006A29AD" w:rsidRPr="003E7D3F">
        <w:rPr>
          <w:rFonts w:asciiTheme="majorBidi" w:hAnsiTheme="majorBidi" w:cstheme="majorBidi"/>
          <w:color w:val="000000"/>
          <w:sz w:val="24"/>
          <w:szCs w:val="24"/>
        </w:rPr>
        <w:t xml:space="preserve">, frankly, I should have included it in </w:t>
      </w:r>
      <w:r w:rsidR="006A29AD" w:rsidRPr="003E7D3F">
        <w:rPr>
          <w:rFonts w:asciiTheme="majorBidi" w:hAnsiTheme="majorBidi" w:cstheme="majorBidi"/>
          <w:i/>
          <w:iCs/>
          <w:color w:val="000000"/>
          <w:sz w:val="24"/>
          <w:szCs w:val="24"/>
        </w:rPr>
        <w:t xml:space="preserve">Understanding Governance </w:t>
      </w:r>
      <w:r w:rsidR="006A29AD" w:rsidRPr="003E7D3F">
        <w:rPr>
          <w:rFonts w:asciiTheme="majorBidi" w:hAnsiTheme="majorBidi" w:cstheme="majorBidi"/>
          <w:color w:val="000000"/>
          <w:sz w:val="24"/>
          <w:szCs w:val="24"/>
        </w:rPr>
        <w:t xml:space="preserve">(Rhodes 1997a). It would have avoided several misunderstandings of my argument. So, to clear up those misunderstandings, I restate </w:t>
      </w:r>
      <w:r w:rsidR="003E7D3F">
        <w:rPr>
          <w:rFonts w:asciiTheme="majorBidi" w:hAnsiTheme="majorBidi" w:cstheme="majorBidi"/>
          <w:color w:val="000000"/>
          <w:sz w:val="24"/>
          <w:szCs w:val="24"/>
        </w:rPr>
        <w:t>my</w:t>
      </w:r>
      <w:r w:rsidR="006A29AD" w:rsidRPr="003E7D3F">
        <w:rPr>
          <w:rFonts w:asciiTheme="majorBidi" w:hAnsiTheme="majorBidi" w:cstheme="majorBidi"/>
          <w:color w:val="000000"/>
          <w:sz w:val="24"/>
          <w:szCs w:val="24"/>
        </w:rPr>
        <w:t xml:space="preserve"> </w:t>
      </w:r>
      <w:r w:rsidR="003A2F6E">
        <w:rPr>
          <w:rFonts w:asciiTheme="majorBidi" w:hAnsiTheme="majorBidi" w:cstheme="majorBidi"/>
          <w:color w:val="000000"/>
          <w:sz w:val="24"/>
          <w:szCs w:val="24"/>
        </w:rPr>
        <w:t>case</w:t>
      </w:r>
      <w:r w:rsidR="006A29AD" w:rsidRPr="003E7D3F">
        <w:rPr>
          <w:rFonts w:asciiTheme="majorBidi" w:hAnsiTheme="majorBidi" w:cstheme="majorBidi"/>
          <w:color w:val="000000"/>
          <w:sz w:val="24"/>
          <w:szCs w:val="24"/>
        </w:rPr>
        <w:t xml:space="preserve">: </w:t>
      </w:r>
    </w:p>
    <w:p w:rsidR="00403E06" w:rsidRPr="00CB19CB" w:rsidRDefault="00403E06" w:rsidP="00815640">
      <w:pPr>
        <w:spacing w:after="240" w:line="480" w:lineRule="auto"/>
        <w:ind w:left="1440" w:right="-46" w:firstLine="720"/>
        <w:rPr>
          <w:rFonts w:asciiTheme="majorBidi" w:hAnsiTheme="majorBidi" w:cstheme="majorBidi"/>
          <w:sz w:val="24"/>
          <w:szCs w:val="24"/>
        </w:rPr>
      </w:pPr>
      <w:r w:rsidRPr="00CB19CB">
        <w:rPr>
          <w:rFonts w:asciiTheme="majorBidi" w:hAnsiTheme="majorBidi" w:cstheme="majorBidi"/>
          <w:sz w:val="24"/>
          <w:szCs w:val="24"/>
        </w:rPr>
        <w:t xml:space="preserve">British government is searching for a new ‘operating code’ ', and ‘this search involves choosing not only between governing structures but also the mix of structures and strategies for managing them’ (Rhodes 1997b: 48). </w:t>
      </w:r>
    </w:p>
    <w:p w:rsidR="00403E06" w:rsidRPr="00CB19CB" w:rsidRDefault="00403E06" w:rsidP="00815640">
      <w:pPr>
        <w:spacing w:after="240" w:line="480" w:lineRule="auto"/>
        <w:ind w:left="1440" w:right="-46" w:firstLine="720"/>
        <w:rPr>
          <w:rFonts w:asciiTheme="majorBidi" w:hAnsiTheme="majorBidi" w:cstheme="majorBidi"/>
          <w:sz w:val="24"/>
          <w:szCs w:val="24"/>
        </w:rPr>
      </w:pPr>
      <w:r w:rsidRPr="00CB19CB">
        <w:rPr>
          <w:rFonts w:asciiTheme="majorBidi" w:hAnsiTheme="majorBidi" w:cstheme="majorBidi"/>
          <w:sz w:val="24"/>
          <w:szCs w:val="24"/>
        </w:rPr>
        <w:t>No governing structure works for all services in all conditions. The issue, therefore, is not the superiority of markets and hierarchy over networks, but managing networks in the conditions under which they work best (Rhodes 1997b: 48-9).</w:t>
      </w:r>
    </w:p>
    <w:p w:rsidR="00403E06" w:rsidRPr="00CB19CB" w:rsidRDefault="00403E06" w:rsidP="00815640">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Indeed, the title of the 1997</w:t>
      </w:r>
      <w:r w:rsidR="00E927FE">
        <w:rPr>
          <w:rFonts w:asciiTheme="majorBidi" w:hAnsiTheme="majorBidi" w:cstheme="majorBidi"/>
          <w:sz w:val="24"/>
          <w:szCs w:val="24"/>
        </w:rPr>
        <w:t>b</w:t>
      </w:r>
      <w:r w:rsidRPr="00CB19CB">
        <w:rPr>
          <w:rFonts w:asciiTheme="majorBidi" w:hAnsiTheme="majorBidi" w:cstheme="majorBidi"/>
          <w:sz w:val="24"/>
          <w:szCs w:val="24"/>
        </w:rPr>
        <w:t xml:space="preserve"> article, ‘it’s the mix that matters’, might suggest that I saw the state’s key task as steering through some mix of markets, hierarchies and networks. Torfing et al. (2012), Pierre and Peters (2000 and 2009) find it impossible to get beyond the eye-catching phrase ‘from government to governance’ to grasp the essentials of my arguments. For example, Torfing et al. (2012: 14) define interactive forms of governance as:</w:t>
      </w:r>
    </w:p>
    <w:p w:rsidR="00403E06" w:rsidRPr="00CB19CB" w:rsidRDefault="00403E06" w:rsidP="00815640">
      <w:pPr>
        <w:spacing w:after="240" w:line="480" w:lineRule="auto"/>
        <w:ind w:left="1440" w:right="-46" w:firstLine="720"/>
        <w:rPr>
          <w:rFonts w:asciiTheme="majorBidi" w:hAnsiTheme="majorBidi" w:cstheme="majorBidi"/>
          <w:sz w:val="24"/>
          <w:szCs w:val="24"/>
        </w:rPr>
      </w:pPr>
      <w:r w:rsidRPr="00CB19CB">
        <w:rPr>
          <w:rFonts w:asciiTheme="majorBidi" w:hAnsiTheme="majorBidi" w:cstheme="majorBidi"/>
          <w:sz w:val="24"/>
          <w:szCs w:val="24"/>
        </w:rPr>
        <w:t>the complex process through which a plurality of social and political actors with diverging interests interact in order to formulate, promote, and achieve common objectives by means of mobilizing, exchanging, and deploying a range of ideas, rules, and resources.</w:t>
      </w:r>
    </w:p>
    <w:p w:rsidR="00403E06" w:rsidRPr="00CB19CB" w:rsidRDefault="00403E06" w:rsidP="00815640">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The definition accords no special place to command and control despite their stress on the core role of the state. Rather, they stress that complexity, common objectives and decentring are the three key features of this definition. Governments … ‘often play a crucial role as facilitator and manager … but </w:t>
      </w:r>
      <w:r w:rsidRPr="00CB19CB">
        <w:rPr>
          <w:rFonts w:asciiTheme="majorBidi" w:hAnsiTheme="majorBidi" w:cstheme="majorBidi"/>
          <w:i/>
          <w:iCs/>
          <w:sz w:val="24"/>
          <w:szCs w:val="24"/>
        </w:rPr>
        <w:t>there is no privileged centre</w:t>
      </w:r>
      <w:r w:rsidRPr="00CB19CB">
        <w:rPr>
          <w:rFonts w:asciiTheme="majorBidi" w:hAnsiTheme="majorBidi" w:cstheme="majorBidi"/>
          <w:sz w:val="24"/>
          <w:szCs w:val="24"/>
        </w:rPr>
        <w:t xml:space="preserve"> in public policy making, but a number of competing actors and arenas’ (Torfing et al. 2012:15, emphasis added; see also Peters and Pierre 2009: 92). </w:t>
      </w:r>
      <w:r w:rsidR="009E1B2E" w:rsidRPr="00CB19CB">
        <w:rPr>
          <w:rFonts w:asciiTheme="majorBidi" w:hAnsiTheme="majorBidi" w:cstheme="majorBidi"/>
          <w:sz w:val="24"/>
          <w:szCs w:val="24"/>
        </w:rPr>
        <w:t>Moreover</w:t>
      </w:r>
      <w:r w:rsidR="009E1B2E">
        <w:rPr>
          <w:rFonts w:asciiTheme="majorBidi" w:hAnsiTheme="majorBidi" w:cstheme="majorBidi"/>
          <w:sz w:val="24"/>
          <w:szCs w:val="24"/>
        </w:rPr>
        <w:t>,</w:t>
      </w:r>
      <w:r w:rsidRPr="00CB19CB">
        <w:rPr>
          <w:rFonts w:asciiTheme="majorBidi" w:hAnsiTheme="majorBidi" w:cstheme="majorBidi"/>
          <w:sz w:val="24"/>
          <w:szCs w:val="24"/>
        </w:rPr>
        <w:t xml:space="preserve"> Ansell and Torfing (2016: 552) concede that the argument about self-organisation is a common theme, not an extreme position.  Given that I also said the state does not occupy a privileged sovereign position, that the relationship is asymmetric, that centralisation must co-exist with interdependence; and that the state can imperfectly steer (Rhodes 1997a: 199), it is difficult to see how their account differs from mine. Frankly, it would be hard to get a slip of Rizla paper between my views and those of many of my critics (cf. Peters 1994), although I concede that my emphasis fell on the role of non-state actors because others focused on the state to the exclusion of all else. </w:t>
      </w:r>
    </w:p>
    <w:p w:rsidR="00C7174A" w:rsidRPr="001A274C" w:rsidRDefault="00C7174A" w:rsidP="0043753F">
      <w:pPr>
        <w:pStyle w:val="Heading2"/>
        <w:spacing w:before="0" w:line="480" w:lineRule="auto"/>
        <w:ind w:firstLine="720"/>
        <w:rPr>
          <w:rFonts w:asciiTheme="majorBidi" w:hAnsiTheme="majorBidi"/>
          <w:i/>
          <w:iCs/>
          <w:sz w:val="24"/>
          <w:szCs w:val="24"/>
        </w:rPr>
      </w:pPr>
      <w:r w:rsidRPr="001A274C">
        <w:rPr>
          <w:rFonts w:asciiTheme="majorBidi" w:hAnsiTheme="majorBidi"/>
          <w:i/>
          <w:iCs/>
          <w:sz w:val="24"/>
          <w:szCs w:val="24"/>
        </w:rPr>
        <w:t>Metagovernance</w:t>
      </w:r>
    </w:p>
    <w:p w:rsidR="00403E06" w:rsidRPr="00CB19CB" w:rsidRDefault="00054607" w:rsidP="00A57BA5">
      <w:pPr>
        <w:spacing w:after="240" w:line="480" w:lineRule="auto"/>
        <w:ind w:right="-45" w:firstLine="720"/>
        <w:rPr>
          <w:rFonts w:asciiTheme="majorBidi" w:hAnsiTheme="majorBidi" w:cstheme="majorBidi"/>
          <w:sz w:val="24"/>
          <w:szCs w:val="24"/>
        </w:rPr>
      </w:pPr>
      <w:r>
        <w:rPr>
          <w:rFonts w:asciiTheme="majorBidi" w:hAnsiTheme="majorBidi" w:cstheme="majorBidi"/>
          <w:sz w:val="24"/>
          <w:szCs w:val="24"/>
        </w:rPr>
        <w:t xml:space="preserve">Metagovernace is ‘an umbrella concept that describes the role of the state and its characteristic policy instruments in the new world of network governance’ (Bevir 2013: 56). </w:t>
      </w:r>
      <w:r w:rsidR="003A2F6E">
        <w:rPr>
          <w:rFonts w:asciiTheme="majorBidi" w:hAnsiTheme="majorBidi" w:cstheme="majorBidi"/>
          <w:sz w:val="24"/>
          <w:szCs w:val="24"/>
        </w:rPr>
        <w:t xml:space="preserve">Because network governance stressed the self-organisation of networks and the erosion of state control, </w:t>
      </w:r>
      <w:r w:rsidR="000E0523">
        <w:rPr>
          <w:rFonts w:asciiTheme="majorBidi" w:hAnsiTheme="majorBidi" w:cstheme="majorBidi"/>
          <w:sz w:val="24"/>
          <w:szCs w:val="24"/>
        </w:rPr>
        <w:t xml:space="preserve">its </w:t>
      </w:r>
      <w:r w:rsidR="003A2F6E">
        <w:rPr>
          <w:rFonts w:asciiTheme="majorBidi" w:hAnsiTheme="majorBidi" w:cstheme="majorBidi"/>
          <w:sz w:val="24"/>
          <w:szCs w:val="24"/>
        </w:rPr>
        <w:t xml:space="preserve">critics looked for ways to bring the state back in. </w:t>
      </w:r>
      <w:r w:rsidR="00660673" w:rsidRPr="00CB19CB">
        <w:rPr>
          <w:rFonts w:asciiTheme="majorBidi" w:hAnsiTheme="majorBidi" w:cstheme="majorBidi"/>
          <w:sz w:val="24"/>
          <w:szCs w:val="24"/>
        </w:rPr>
        <w:t xml:space="preserve">Metagovernance </w:t>
      </w:r>
      <w:r w:rsidR="00660673">
        <w:rPr>
          <w:rFonts w:asciiTheme="majorBidi" w:hAnsiTheme="majorBidi" w:cstheme="majorBidi"/>
          <w:sz w:val="24"/>
          <w:szCs w:val="24"/>
        </w:rPr>
        <w:t>seeks</w:t>
      </w:r>
      <w:r w:rsidR="003A2F6E">
        <w:rPr>
          <w:rFonts w:asciiTheme="majorBidi" w:hAnsiTheme="majorBidi" w:cstheme="majorBidi"/>
          <w:sz w:val="24"/>
          <w:szCs w:val="24"/>
        </w:rPr>
        <w:t xml:space="preserve"> to do just that. It r</w:t>
      </w:r>
      <w:r w:rsidR="00403E06" w:rsidRPr="00CB19CB">
        <w:rPr>
          <w:rFonts w:asciiTheme="majorBidi" w:hAnsiTheme="majorBidi" w:cstheme="majorBidi"/>
          <w:sz w:val="24"/>
          <w:szCs w:val="24"/>
        </w:rPr>
        <w:t>efers to the role of the state in securing coordination in governance and its use of informal modes of steering. As with network governance, metagovernance comes in several varieties (Sørensen and</w:t>
      </w:r>
      <w:r w:rsidR="00E927FE">
        <w:rPr>
          <w:rFonts w:asciiTheme="majorBidi" w:hAnsiTheme="majorBidi" w:cstheme="majorBidi"/>
          <w:sz w:val="24"/>
          <w:szCs w:val="24"/>
        </w:rPr>
        <w:t xml:space="preserve"> </w:t>
      </w:r>
      <w:r w:rsidR="00403E06" w:rsidRPr="00CB19CB">
        <w:rPr>
          <w:rFonts w:asciiTheme="majorBidi" w:hAnsiTheme="majorBidi" w:cstheme="majorBidi"/>
          <w:sz w:val="24"/>
          <w:szCs w:val="24"/>
        </w:rPr>
        <w:t xml:space="preserve">Torfing 2007: 170-80). They share a concern, however, with </w:t>
      </w:r>
      <w:r w:rsidR="00A57BA5">
        <w:rPr>
          <w:rFonts w:asciiTheme="majorBidi" w:hAnsiTheme="majorBidi" w:cstheme="majorBidi"/>
          <w:sz w:val="24"/>
          <w:szCs w:val="24"/>
        </w:rPr>
        <w:t xml:space="preserve">designing the game of governance and setting its rules; with </w:t>
      </w:r>
      <w:r w:rsidR="00403E06" w:rsidRPr="00CB19CB">
        <w:rPr>
          <w:rFonts w:asciiTheme="majorBidi" w:hAnsiTheme="majorBidi" w:cstheme="majorBidi"/>
          <w:sz w:val="24"/>
          <w:szCs w:val="24"/>
        </w:rPr>
        <w:t xml:space="preserve">the varied ways in which the state now steers organisations, governments and networks rather than directly providing services through state bureaucracies, or rowing. These other organisations undertake much of the work of governing; they implement policies, they provide public services, and at times they even regulate themselves. The state governs the organisations that govern civil society; </w:t>
      </w:r>
      <w:r w:rsidR="00403E06" w:rsidRPr="00CB19CB">
        <w:rPr>
          <w:rFonts w:asciiTheme="majorBidi" w:hAnsiTheme="majorBidi" w:cstheme="majorBidi"/>
          <w:i/>
          <w:iCs/>
          <w:sz w:val="24"/>
          <w:szCs w:val="24"/>
        </w:rPr>
        <w:t>‘the governance of government and governance’ (</w:t>
      </w:r>
      <w:r w:rsidR="00403E06" w:rsidRPr="00CB19CB">
        <w:rPr>
          <w:rFonts w:asciiTheme="majorBidi" w:hAnsiTheme="majorBidi" w:cstheme="majorBidi"/>
          <w:sz w:val="24"/>
          <w:szCs w:val="24"/>
        </w:rPr>
        <w:t xml:space="preserve">Jessop 2000: 23). Moreover, the other organisations characteristically have a degree of autonomy from the state; they are often voluntary or private sector groups or they are governmental agencies or tiers of government separate from the core executive. So, the state cannot govern them solely by the instruments that work in bureaucracies. </w:t>
      </w:r>
    </w:p>
    <w:p w:rsidR="00403E06" w:rsidRPr="00CB19CB" w:rsidRDefault="00403E06" w:rsidP="005F7788">
      <w:pPr>
        <w:spacing w:after="240" w:line="480" w:lineRule="auto"/>
        <w:ind w:right="-45" w:firstLine="720"/>
        <w:rPr>
          <w:rFonts w:asciiTheme="majorBidi" w:hAnsiTheme="majorBidi" w:cstheme="majorBidi"/>
          <w:sz w:val="24"/>
          <w:szCs w:val="24"/>
        </w:rPr>
      </w:pPr>
      <w:r w:rsidRPr="00CB19CB">
        <w:rPr>
          <w:rFonts w:asciiTheme="majorBidi" w:hAnsiTheme="majorBidi" w:cstheme="majorBidi"/>
          <w:sz w:val="24"/>
          <w:szCs w:val="24"/>
        </w:rPr>
        <w:t>Torfing et al. (2012</w:t>
      </w:r>
      <w:r w:rsidR="005F7788">
        <w:rPr>
          <w:rFonts w:asciiTheme="majorBidi" w:hAnsiTheme="majorBidi" w:cstheme="majorBidi"/>
          <w:sz w:val="24"/>
          <w:szCs w:val="24"/>
        </w:rPr>
        <w:t>:</w:t>
      </w:r>
      <w:r w:rsidRPr="00CB19CB">
        <w:rPr>
          <w:rFonts w:asciiTheme="majorBidi" w:hAnsiTheme="majorBidi" w:cstheme="majorBidi"/>
          <w:sz w:val="24"/>
          <w:szCs w:val="24"/>
        </w:rPr>
        <w:t xml:space="preserve"> 156-9; and chapter 7) suggest the traditional role of the public service is ‘supplemented’ (not replaced) with that of the ‘meta-governor managing and facilitating interactive governance’. Their task is to ‘balance autonomy of networks with hands-on intervention’. They have various specific ways of carrying out this balancing act. They become ‘meta-governors’ managing the mix of bureaucracy, markets and networks.</w:t>
      </w:r>
    </w:p>
    <w:p w:rsidR="00403E06" w:rsidRPr="00CB19CB" w:rsidRDefault="00403E06" w:rsidP="00054607">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There are several ways in which the state can steer the other actors involved in governance (se</w:t>
      </w:r>
      <w:r w:rsidR="00974031">
        <w:rPr>
          <w:rFonts w:asciiTheme="majorBidi" w:hAnsiTheme="majorBidi" w:cstheme="majorBidi"/>
          <w:sz w:val="24"/>
          <w:szCs w:val="24"/>
        </w:rPr>
        <w:t>e for example Jessop 2000: 23-4</w:t>
      </w:r>
      <w:r w:rsidRPr="00CB19CB">
        <w:rPr>
          <w:rFonts w:asciiTheme="majorBidi" w:hAnsiTheme="majorBidi" w:cstheme="majorBidi"/>
          <w:sz w:val="24"/>
          <w:szCs w:val="24"/>
        </w:rPr>
        <w:t xml:space="preserve">; Torfing et al. 2012: chapter 7). First, the state can set the rules of the game for other actors and then leave them to do what they will within those rules; they work ‘in the shadow of hierarchy’. So, it can redesign markets, reregulate policy sectors, or introduce constitutional change. It can supplement such hands-on measures with, second, hands-off steering through storytelling. It can organise dialogues, foster meanings, beliefs, and identities among the relevant actors, and influence what actors think and do. Third, the state can steer by the way in which it distributes resources such as money and authority. It can play a boundary spanning role, alter the balance between actors in a network; act as a court of appeal when conflict arises; rebalance the mix of governing structures; and step in when network governance fails. Of course, the state need not adopt a single uniform approach to metagovernance. Finally, </w:t>
      </w:r>
      <w:r w:rsidR="005F7788">
        <w:rPr>
          <w:rFonts w:asciiTheme="majorBidi" w:hAnsiTheme="majorBidi" w:cstheme="majorBidi"/>
          <w:sz w:val="24"/>
          <w:szCs w:val="24"/>
        </w:rPr>
        <w:t>public officials</w:t>
      </w:r>
      <w:r w:rsidRPr="00CB19CB">
        <w:rPr>
          <w:rFonts w:asciiTheme="majorBidi" w:hAnsiTheme="majorBidi" w:cstheme="majorBidi"/>
          <w:sz w:val="24"/>
          <w:szCs w:val="24"/>
        </w:rPr>
        <w:t xml:space="preserve"> have a small p’ political role that can involve campaigning for a policy and forming alliances with politicians. </w:t>
      </w:r>
      <w:r w:rsidR="005F7788">
        <w:rPr>
          <w:rFonts w:asciiTheme="majorBidi" w:hAnsiTheme="majorBidi" w:cstheme="majorBidi"/>
          <w:sz w:val="24"/>
          <w:szCs w:val="24"/>
        </w:rPr>
        <w:t>The state</w:t>
      </w:r>
      <w:r w:rsidRPr="00CB19CB">
        <w:rPr>
          <w:rFonts w:asciiTheme="majorBidi" w:hAnsiTheme="majorBidi" w:cstheme="majorBidi"/>
          <w:sz w:val="24"/>
          <w:szCs w:val="24"/>
        </w:rPr>
        <w:t xml:space="preserve"> can use different approaches in different settings at different times (and for a list of the more specific skills of network management see</w:t>
      </w:r>
      <w:r w:rsidR="00555DBF">
        <w:rPr>
          <w:rFonts w:asciiTheme="majorBidi" w:hAnsiTheme="majorBidi" w:cstheme="majorBidi"/>
          <w:sz w:val="24"/>
          <w:szCs w:val="24"/>
        </w:rPr>
        <w:t>:</w:t>
      </w:r>
      <w:r w:rsidRPr="00CB19CB">
        <w:rPr>
          <w:rFonts w:asciiTheme="majorBidi" w:hAnsiTheme="majorBidi" w:cstheme="majorBidi"/>
          <w:sz w:val="24"/>
          <w:szCs w:val="24"/>
        </w:rPr>
        <w:t xml:space="preserve"> </w:t>
      </w:r>
      <w:r w:rsidR="00054607" w:rsidRPr="00615890">
        <w:rPr>
          <w:rFonts w:ascii="Times New Roman" w:hAnsi="Times New Roman" w:hint="eastAsia"/>
          <w:sz w:val="24"/>
          <w:szCs w:val="24"/>
        </w:rPr>
        <w:t>罗茨</w:t>
      </w:r>
      <w:r w:rsidR="00054607">
        <w:rPr>
          <w:rFonts w:ascii="Times New Roman" w:hAnsi="Times New Roman"/>
          <w:sz w:val="24"/>
          <w:szCs w:val="24"/>
        </w:rPr>
        <w:t xml:space="preserve"> </w:t>
      </w:r>
      <w:r w:rsidR="00660673">
        <w:rPr>
          <w:rFonts w:asciiTheme="majorBidi" w:hAnsiTheme="majorBidi" w:cstheme="majorBidi"/>
          <w:sz w:val="24"/>
          <w:szCs w:val="24"/>
        </w:rPr>
        <w:t xml:space="preserve">2015; and </w:t>
      </w:r>
      <w:r w:rsidR="00054607">
        <w:rPr>
          <w:rFonts w:asciiTheme="majorBidi" w:hAnsiTheme="majorBidi" w:cstheme="majorBidi"/>
          <w:sz w:val="24"/>
          <w:szCs w:val="24"/>
        </w:rPr>
        <w:t xml:space="preserve">Rhodes </w:t>
      </w:r>
      <w:r w:rsidR="00660673">
        <w:rPr>
          <w:rFonts w:asciiTheme="majorBidi" w:hAnsiTheme="majorBidi" w:cstheme="majorBidi"/>
          <w:sz w:val="24"/>
          <w:szCs w:val="24"/>
        </w:rPr>
        <w:t>2017a: ch</w:t>
      </w:r>
      <w:r w:rsidRPr="00CB19CB">
        <w:rPr>
          <w:rFonts w:asciiTheme="majorBidi" w:hAnsiTheme="majorBidi" w:cstheme="majorBidi"/>
          <w:sz w:val="24"/>
          <w:szCs w:val="24"/>
        </w:rPr>
        <w:t xml:space="preserve">apter </w:t>
      </w:r>
      <w:r w:rsidR="00123D90">
        <w:rPr>
          <w:rFonts w:asciiTheme="majorBidi" w:eastAsia="PMingLiU" w:hAnsiTheme="majorBidi" w:cstheme="majorBidi"/>
          <w:sz w:val="24"/>
          <w:szCs w:val="24"/>
          <w:lang w:eastAsia="zh-TW"/>
        </w:rPr>
        <w:t>5</w:t>
      </w:r>
      <w:r w:rsidRPr="00CB19CB">
        <w:rPr>
          <w:rFonts w:asciiTheme="majorBidi" w:hAnsiTheme="majorBidi" w:cstheme="majorBidi"/>
          <w:sz w:val="24"/>
          <w:szCs w:val="24"/>
        </w:rPr>
        <w:t xml:space="preserve">). </w:t>
      </w:r>
    </w:p>
    <w:p w:rsidR="00403E06" w:rsidRPr="00CB19CB" w:rsidRDefault="00403E06" w:rsidP="00660AF6">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So, </w:t>
      </w:r>
      <w:r w:rsidR="00660AF6">
        <w:rPr>
          <w:rFonts w:asciiTheme="majorBidi" w:hAnsiTheme="majorBidi" w:cstheme="majorBidi"/>
          <w:sz w:val="24"/>
          <w:szCs w:val="24"/>
        </w:rPr>
        <w:t>public</w:t>
      </w:r>
      <w:r w:rsidR="00660AF6" w:rsidRPr="00CB19CB">
        <w:rPr>
          <w:rFonts w:asciiTheme="majorBidi" w:hAnsiTheme="majorBidi" w:cstheme="majorBidi"/>
          <w:sz w:val="24"/>
          <w:szCs w:val="24"/>
        </w:rPr>
        <w:t xml:space="preserve"> </w:t>
      </w:r>
      <w:r w:rsidRPr="00CB19CB">
        <w:rPr>
          <w:rFonts w:asciiTheme="majorBidi" w:hAnsiTheme="majorBidi" w:cstheme="majorBidi"/>
          <w:sz w:val="24"/>
          <w:szCs w:val="24"/>
        </w:rPr>
        <w:t xml:space="preserve">servants of the political executive </w:t>
      </w:r>
      <w:r w:rsidR="00660AF6">
        <w:rPr>
          <w:rFonts w:asciiTheme="majorBidi" w:hAnsiTheme="majorBidi" w:cstheme="majorBidi"/>
          <w:sz w:val="24"/>
          <w:szCs w:val="24"/>
          <w:lang w:eastAsia="zh-TW"/>
        </w:rPr>
        <w:t>have a new skill set, They manage</w:t>
      </w:r>
      <w:r w:rsidR="00660AF6" w:rsidRPr="00CB19CB">
        <w:rPr>
          <w:rFonts w:asciiTheme="majorBidi" w:hAnsiTheme="majorBidi" w:cstheme="majorBidi"/>
          <w:sz w:val="24"/>
          <w:szCs w:val="24"/>
          <w:lang w:eastAsia="zh-TW"/>
        </w:rPr>
        <w:t xml:space="preserve"> </w:t>
      </w:r>
      <w:r w:rsidRPr="00CB19CB">
        <w:rPr>
          <w:rFonts w:asciiTheme="majorBidi" w:hAnsiTheme="majorBidi" w:cstheme="majorBidi"/>
          <w:sz w:val="24"/>
          <w:szCs w:val="24"/>
        </w:rPr>
        <w:t>the complex, non-routine issues, policies and relationships in networks; that is, meta-governing, boundary spanning, and collaborative leadership. The</w:t>
      </w:r>
      <w:r w:rsidR="00660AF6">
        <w:rPr>
          <w:rFonts w:asciiTheme="majorBidi" w:hAnsiTheme="majorBidi" w:cstheme="majorBidi"/>
          <w:sz w:val="24"/>
          <w:szCs w:val="24"/>
        </w:rPr>
        <w:t>ir</w:t>
      </w:r>
      <w:r w:rsidRPr="00CB19CB">
        <w:rPr>
          <w:rFonts w:asciiTheme="majorBidi" w:hAnsiTheme="majorBidi" w:cstheme="majorBidi"/>
          <w:sz w:val="24"/>
          <w:szCs w:val="24"/>
        </w:rPr>
        <w:t xml:space="preserve"> </w:t>
      </w:r>
      <w:r w:rsidR="00353146">
        <w:rPr>
          <w:rFonts w:asciiTheme="majorBidi" w:hAnsiTheme="majorBidi" w:cstheme="majorBidi"/>
          <w:sz w:val="24"/>
          <w:szCs w:val="24"/>
        </w:rPr>
        <w:t xml:space="preserve">key </w:t>
      </w:r>
      <w:r w:rsidRPr="00CB19CB">
        <w:rPr>
          <w:rFonts w:asciiTheme="majorBidi" w:hAnsiTheme="majorBidi" w:cstheme="majorBidi"/>
          <w:sz w:val="24"/>
          <w:szCs w:val="24"/>
        </w:rPr>
        <w:t>task is to manage the mix of bureaucracy, markets and networks. The public service needs these new skills, although it is a step too far to talk of these new skills requiring ‘a full blown cultural transformation’ (Goldsmith and Eggers 2004, 178; cf. Rhodes 2016).</w:t>
      </w:r>
    </w:p>
    <w:p w:rsidR="00403E06" w:rsidRPr="00CB19CB" w:rsidRDefault="00403E06" w:rsidP="005F7788">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For </w:t>
      </w:r>
      <w:r w:rsidR="005F7788">
        <w:rPr>
          <w:rFonts w:asciiTheme="majorBidi" w:hAnsiTheme="majorBidi" w:cstheme="majorBidi"/>
          <w:sz w:val="24"/>
          <w:szCs w:val="24"/>
        </w:rPr>
        <w:t xml:space="preserve">all the different emphases, these </w:t>
      </w:r>
      <w:r w:rsidRPr="00CB19CB">
        <w:rPr>
          <w:rFonts w:asciiTheme="majorBidi" w:hAnsiTheme="majorBidi" w:cstheme="majorBidi"/>
          <w:sz w:val="24"/>
          <w:szCs w:val="24"/>
        </w:rPr>
        <w:t>two waves of governance share common features. First, proponents of metagovernance takes for granted the characteristics of network governance. They agree networks are characterised by trust. They accept that states are becoming increasingly fragmented into networks based on several different stakeholders</w:t>
      </w:r>
      <w:r w:rsidR="00284F37">
        <w:rPr>
          <w:rFonts w:asciiTheme="majorBidi" w:hAnsiTheme="majorBidi" w:cstheme="majorBidi"/>
          <w:sz w:val="24"/>
          <w:szCs w:val="24"/>
        </w:rPr>
        <w:t>. They agree</w:t>
      </w:r>
      <w:r w:rsidRPr="00CB19CB">
        <w:rPr>
          <w:rFonts w:asciiTheme="majorBidi" w:hAnsiTheme="majorBidi" w:cstheme="majorBidi"/>
          <w:sz w:val="24"/>
          <w:szCs w:val="24"/>
        </w:rPr>
        <w:t xml:space="preserve"> the dividing line between the state and civil society is becoming more blurred because the relevant stakeholders are private or voluntary sector organisations. So, Jessop (2000: 24) concedes ‘the state is no longer the sovereign authority … [it is] less hierarchical, less centralised, less </w:t>
      </w:r>
      <w:r w:rsidRPr="00CB19CB">
        <w:rPr>
          <w:rFonts w:asciiTheme="majorBidi" w:hAnsiTheme="majorBidi" w:cstheme="majorBidi"/>
          <w:i/>
          <w:sz w:val="24"/>
          <w:szCs w:val="24"/>
        </w:rPr>
        <w:t>dirigiste</w:t>
      </w:r>
      <w:r w:rsidRPr="00CB19CB">
        <w:rPr>
          <w:rFonts w:asciiTheme="majorBidi" w:hAnsiTheme="majorBidi" w:cstheme="majorBidi"/>
          <w:sz w:val="24"/>
          <w:szCs w:val="24"/>
        </w:rPr>
        <w:t xml:space="preserve">’. There is a shared modernist-empiricist description of the characteristics of governance. </w:t>
      </w:r>
    </w:p>
    <w:p w:rsidR="00403E06" w:rsidRPr="00CB19CB" w:rsidRDefault="00403E06" w:rsidP="00353146">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Second, the analysis of metagovernance</w:t>
      </w:r>
      <w:r w:rsidR="00345152">
        <w:rPr>
          <w:rFonts w:asciiTheme="majorBidi" w:hAnsiTheme="majorBidi" w:cstheme="majorBidi"/>
          <w:sz w:val="24"/>
          <w:szCs w:val="24"/>
        </w:rPr>
        <w:t xml:space="preserve"> accepts that</w:t>
      </w:r>
      <w:r w:rsidRPr="00CB19CB">
        <w:rPr>
          <w:rFonts w:asciiTheme="majorBidi" w:hAnsiTheme="majorBidi" w:cstheme="majorBidi"/>
          <w:sz w:val="24"/>
          <w:szCs w:val="24"/>
        </w:rPr>
        <w:t xml:space="preserve"> non-state actors </w:t>
      </w:r>
      <w:r w:rsidR="00345152">
        <w:rPr>
          <w:rFonts w:asciiTheme="majorBidi" w:hAnsiTheme="majorBidi" w:cstheme="majorBidi"/>
          <w:sz w:val="24"/>
          <w:szCs w:val="24"/>
        </w:rPr>
        <w:t xml:space="preserve">are both important and self-regulating </w:t>
      </w:r>
      <w:r w:rsidR="00345152" w:rsidRPr="00CB19CB">
        <w:rPr>
          <w:rFonts w:asciiTheme="majorBidi" w:hAnsiTheme="majorBidi" w:cstheme="majorBidi"/>
          <w:sz w:val="24"/>
          <w:szCs w:val="24"/>
        </w:rPr>
        <w:t>but</w:t>
      </w:r>
      <w:r w:rsidRPr="00CB19CB">
        <w:rPr>
          <w:rFonts w:asciiTheme="majorBidi" w:hAnsiTheme="majorBidi" w:cstheme="majorBidi"/>
          <w:sz w:val="24"/>
          <w:szCs w:val="24"/>
        </w:rPr>
        <w:t xml:space="preserve"> </w:t>
      </w:r>
      <w:r w:rsidR="00345152">
        <w:rPr>
          <w:rFonts w:asciiTheme="majorBidi" w:hAnsiTheme="majorBidi" w:cstheme="majorBidi"/>
          <w:sz w:val="24"/>
          <w:szCs w:val="24"/>
        </w:rPr>
        <w:t xml:space="preserve">it sees the </w:t>
      </w:r>
      <w:r w:rsidRPr="00CB19CB">
        <w:rPr>
          <w:rFonts w:asciiTheme="majorBidi" w:hAnsiTheme="majorBidi" w:cstheme="majorBidi"/>
          <w:sz w:val="24"/>
          <w:szCs w:val="24"/>
        </w:rPr>
        <w:t>state exert</w:t>
      </w:r>
      <w:r w:rsidR="00345152">
        <w:rPr>
          <w:rFonts w:asciiTheme="majorBidi" w:hAnsiTheme="majorBidi" w:cstheme="majorBidi"/>
          <w:sz w:val="24"/>
          <w:szCs w:val="24"/>
        </w:rPr>
        <w:t>ing</w:t>
      </w:r>
      <w:r w:rsidRPr="00CB19CB">
        <w:rPr>
          <w:rFonts w:asciiTheme="majorBidi" w:hAnsiTheme="majorBidi" w:cstheme="majorBidi"/>
          <w:sz w:val="24"/>
          <w:szCs w:val="24"/>
        </w:rPr>
        <w:t xml:space="preserve"> macro-control over </w:t>
      </w:r>
      <w:r w:rsidR="00345152">
        <w:rPr>
          <w:rFonts w:asciiTheme="majorBidi" w:hAnsiTheme="majorBidi" w:cstheme="majorBidi"/>
          <w:sz w:val="24"/>
          <w:szCs w:val="24"/>
        </w:rPr>
        <w:t>that</w:t>
      </w:r>
      <w:r w:rsidRPr="00CB19CB">
        <w:rPr>
          <w:rFonts w:asciiTheme="majorBidi" w:hAnsiTheme="majorBidi" w:cstheme="majorBidi"/>
          <w:sz w:val="24"/>
          <w:szCs w:val="24"/>
        </w:rPr>
        <w:t xml:space="preserve"> self-regulation. The state governs the other actors involved in governance. In other words, metagovernance heralds the return of the state by reinventing its governing role; it is ‘bringing the state back in (yet again)’ (Jessop 2007: 54). This return to the state opens opportunities for policy advice on the practice of metagovernance. </w:t>
      </w:r>
      <w:r w:rsidR="00345152">
        <w:rPr>
          <w:rFonts w:asciiTheme="majorBidi" w:hAnsiTheme="majorBidi" w:cstheme="majorBidi"/>
          <w:sz w:val="24"/>
          <w:szCs w:val="24"/>
        </w:rPr>
        <w:t xml:space="preserve">Network governance and metagovernance </w:t>
      </w:r>
      <w:r w:rsidRPr="00CB19CB">
        <w:rPr>
          <w:rFonts w:asciiTheme="majorBidi" w:hAnsiTheme="majorBidi" w:cstheme="majorBidi"/>
          <w:sz w:val="24"/>
          <w:szCs w:val="24"/>
        </w:rPr>
        <w:t>share a common concern to manage, directly and indirectly, the networks of service delivery</w:t>
      </w:r>
      <w:r w:rsidR="00353146">
        <w:rPr>
          <w:rFonts w:asciiTheme="majorBidi" w:hAnsiTheme="majorBidi" w:cstheme="majorBidi"/>
          <w:sz w:val="24"/>
          <w:szCs w:val="24"/>
        </w:rPr>
        <w:t xml:space="preserve">. </w:t>
      </w:r>
      <w:r w:rsidR="000E0523">
        <w:rPr>
          <w:rFonts w:asciiTheme="majorBidi" w:hAnsiTheme="majorBidi" w:cstheme="majorBidi"/>
          <w:sz w:val="24"/>
          <w:szCs w:val="24"/>
        </w:rPr>
        <w:t xml:space="preserve">Whether these critics reinvent the state is a </w:t>
      </w:r>
      <w:r w:rsidR="00284F37">
        <w:rPr>
          <w:rFonts w:asciiTheme="majorBidi" w:hAnsiTheme="majorBidi" w:cstheme="majorBidi"/>
          <w:sz w:val="24"/>
          <w:szCs w:val="24"/>
        </w:rPr>
        <w:t>contentious</w:t>
      </w:r>
      <w:r w:rsidR="000E0523">
        <w:rPr>
          <w:rFonts w:asciiTheme="majorBidi" w:hAnsiTheme="majorBidi" w:cstheme="majorBidi"/>
          <w:sz w:val="24"/>
          <w:szCs w:val="24"/>
        </w:rPr>
        <w:t xml:space="preserve"> point. </w:t>
      </w:r>
      <w:r w:rsidR="00284F37">
        <w:rPr>
          <w:rFonts w:asciiTheme="majorBidi" w:hAnsiTheme="majorBidi" w:cstheme="majorBidi"/>
          <w:sz w:val="24"/>
          <w:szCs w:val="24"/>
        </w:rPr>
        <w:t>The proponents of n</w:t>
      </w:r>
      <w:r w:rsidR="000E0523">
        <w:rPr>
          <w:rFonts w:asciiTheme="majorBidi" w:hAnsiTheme="majorBidi" w:cstheme="majorBidi"/>
          <w:sz w:val="24"/>
          <w:szCs w:val="24"/>
        </w:rPr>
        <w:t xml:space="preserve">etwork governance </w:t>
      </w:r>
      <w:r w:rsidR="00284F37">
        <w:rPr>
          <w:rFonts w:asciiTheme="majorBidi" w:hAnsiTheme="majorBidi" w:cstheme="majorBidi"/>
          <w:sz w:val="24"/>
          <w:szCs w:val="24"/>
        </w:rPr>
        <w:t>clearly accepted that</w:t>
      </w:r>
      <w:r w:rsidR="000E0523">
        <w:rPr>
          <w:rFonts w:asciiTheme="majorBidi" w:hAnsiTheme="majorBidi" w:cstheme="majorBidi"/>
          <w:sz w:val="24"/>
          <w:szCs w:val="24"/>
        </w:rPr>
        <w:t xml:space="preserve"> the state managed the mix of governing structures and used indirect, diplomatic</w:t>
      </w:r>
      <w:r w:rsidR="00345152">
        <w:rPr>
          <w:rFonts w:asciiTheme="majorBidi" w:hAnsiTheme="majorBidi" w:cstheme="majorBidi"/>
          <w:sz w:val="24"/>
          <w:szCs w:val="24"/>
        </w:rPr>
        <w:t xml:space="preserve"> strategies to steer networks</w:t>
      </w:r>
      <w:r w:rsidR="000E0523">
        <w:rPr>
          <w:rFonts w:asciiTheme="majorBidi" w:hAnsiTheme="majorBidi" w:cstheme="majorBidi"/>
          <w:sz w:val="24"/>
          <w:szCs w:val="24"/>
        </w:rPr>
        <w:t xml:space="preserve"> (Rhodes 1997b: 50-51)</w:t>
      </w:r>
      <w:r w:rsidR="00345152">
        <w:rPr>
          <w:rFonts w:asciiTheme="majorBidi" w:hAnsiTheme="majorBidi" w:cstheme="majorBidi"/>
          <w:sz w:val="24"/>
          <w:szCs w:val="24"/>
        </w:rPr>
        <w:t xml:space="preserve">. </w:t>
      </w:r>
      <w:r w:rsidR="000E0523">
        <w:rPr>
          <w:rFonts w:asciiTheme="majorBidi" w:hAnsiTheme="majorBidi" w:cstheme="majorBidi"/>
          <w:sz w:val="24"/>
          <w:szCs w:val="24"/>
        </w:rPr>
        <w:t>T</w:t>
      </w:r>
      <w:r w:rsidRPr="00CB19CB">
        <w:rPr>
          <w:rFonts w:asciiTheme="majorBidi" w:hAnsiTheme="majorBidi" w:cstheme="majorBidi"/>
          <w:sz w:val="24"/>
          <w:szCs w:val="24"/>
        </w:rPr>
        <w:t xml:space="preserve">he literature on network steering has proliferated over the past decade (see </w:t>
      </w:r>
      <w:r w:rsidR="00345152">
        <w:rPr>
          <w:rFonts w:asciiTheme="majorBidi" w:hAnsiTheme="majorBidi" w:cstheme="majorBidi"/>
          <w:sz w:val="24"/>
          <w:szCs w:val="24"/>
        </w:rPr>
        <w:t>Rhodes 2017a: c</w:t>
      </w:r>
      <w:r w:rsidRPr="00CB19CB">
        <w:rPr>
          <w:rFonts w:asciiTheme="majorBidi" w:hAnsiTheme="majorBidi" w:cstheme="majorBidi"/>
          <w:sz w:val="24"/>
          <w:szCs w:val="24"/>
        </w:rPr>
        <w:t xml:space="preserve">hapter </w:t>
      </w:r>
      <w:r w:rsidR="00123D90">
        <w:rPr>
          <w:rFonts w:asciiTheme="majorBidi" w:hAnsiTheme="majorBidi" w:cstheme="majorBidi"/>
          <w:sz w:val="24"/>
          <w:szCs w:val="24"/>
        </w:rPr>
        <w:t>5</w:t>
      </w:r>
      <w:r w:rsidRPr="00CB19CB">
        <w:rPr>
          <w:rFonts w:asciiTheme="majorBidi" w:hAnsiTheme="majorBidi" w:cstheme="majorBidi"/>
          <w:sz w:val="24"/>
          <w:szCs w:val="24"/>
        </w:rPr>
        <w:t xml:space="preserve">). </w:t>
      </w:r>
      <w:r w:rsidR="00345152">
        <w:rPr>
          <w:rFonts w:asciiTheme="majorBidi" w:hAnsiTheme="majorBidi" w:cstheme="majorBidi"/>
          <w:sz w:val="24"/>
          <w:szCs w:val="24"/>
        </w:rPr>
        <w:t>Both</w:t>
      </w:r>
      <w:r w:rsidR="000E0523">
        <w:rPr>
          <w:rFonts w:asciiTheme="majorBidi" w:hAnsiTheme="majorBidi" w:cstheme="majorBidi"/>
          <w:sz w:val="24"/>
          <w:szCs w:val="24"/>
        </w:rPr>
        <w:t xml:space="preserve"> network governance and metagovernance</w:t>
      </w:r>
      <w:r w:rsidRPr="00CB19CB">
        <w:rPr>
          <w:rFonts w:asciiTheme="majorBidi" w:hAnsiTheme="majorBidi" w:cstheme="majorBidi"/>
          <w:sz w:val="24"/>
          <w:szCs w:val="24"/>
        </w:rPr>
        <w:t xml:space="preserve"> treat government departments, local authorities, markets and networks as fixed structures that governments can manipulate using the right tools. </w:t>
      </w:r>
      <w:r w:rsidR="000E0523">
        <w:rPr>
          <w:rFonts w:asciiTheme="majorBidi" w:hAnsiTheme="majorBidi" w:cstheme="majorBidi"/>
          <w:sz w:val="24"/>
          <w:szCs w:val="24"/>
        </w:rPr>
        <w:t>Both</w:t>
      </w:r>
      <w:r w:rsidRPr="00CB19CB">
        <w:rPr>
          <w:rFonts w:asciiTheme="majorBidi" w:hAnsiTheme="majorBidi" w:cstheme="majorBidi"/>
          <w:sz w:val="24"/>
          <w:szCs w:val="24"/>
        </w:rPr>
        <w:t xml:space="preserve"> seek to improve the ability of the state to manage the mix of hierarchies, markets and networks and of state managers to steer these structures. </w:t>
      </w:r>
    </w:p>
    <w:p w:rsidR="00403E06" w:rsidRDefault="000E0523" w:rsidP="0043753F">
      <w:pPr>
        <w:spacing w:after="0" w:line="480" w:lineRule="auto"/>
        <w:ind w:right="-46" w:firstLine="720"/>
        <w:rPr>
          <w:rFonts w:asciiTheme="majorBidi" w:hAnsiTheme="majorBidi" w:cstheme="majorBidi"/>
          <w:sz w:val="24"/>
          <w:szCs w:val="24"/>
        </w:rPr>
      </w:pPr>
      <w:r>
        <w:rPr>
          <w:rFonts w:asciiTheme="majorBidi" w:hAnsiTheme="majorBidi" w:cstheme="majorBidi"/>
          <w:sz w:val="24"/>
          <w:szCs w:val="24"/>
        </w:rPr>
        <w:t>Finally</w:t>
      </w:r>
      <w:r w:rsidR="00403E06" w:rsidRPr="00CB19CB">
        <w:rPr>
          <w:rFonts w:asciiTheme="majorBidi" w:hAnsiTheme="majorBidi" w:cstheme="majorBidi"/>
          <w:sz w:val="24"/>
          <w:szCs w:val="24"/>
        </w:rPr>
        <w:t xml:space="preserve">, both narratives rely on a reified notion of structure. The proponents of first-wave governance are self-confessed modernist-empiricists with a reified notion of structure rooted in an explicit social science theory of functional differentiation. The proponents of metagovernance also continue to claim the state is a material object, a structure, or a social form. They draw on critical realist epistemology and such notions as ‘emergence’ and ‘mechanisms’ ostensibly to guard against the charge of reification (see for example Jessop 2007; and </w:t>
      </w:r>
      <w:r w:rsidR="00660673">
        <w:rPr>
          <w:rFonts w:asciiTheme="majorBidi" w:hAnsiTheme="majorBidi" w:cstheme="majorBidi"/>
          <w:sz w:val="24"/>
          <w:szCs w:val="24"/>
        </w:rPr>
        <w:t xml:space="preserve">Rhodes </w:t>
      </w:r>
      <w:r>
        <w:rPr>
          <w:rFonts w:asciiTheme="majorBidi" w:hAnsiTheme="majorBidi" w:cstheme="majorBidi"/>
          <w:sz w:val="24"/>
          <w:szCs w:val="24"/>
        </w:rPr>
        <w:t>201</w:t>
      </w:r>
      <w:r w:rsidR="00660673">
        <w:rPr>
          <w:rFonts w:asciiTheme="majorBidi" w:hAnsiTheme="majorBidi" w:cstheme="majorBidi"/>
          <w:sz w:val="24"/>
          <w:szCs w:val="24"/>
        </w:rPr>
        <w:t>7b:</w:t>
      </w:r>
      <w:r w:rsidR="00403E06" w:rsidRPr="00CB19CB">
        <w:rPr>
          <w:rFonts w:asciiTheme="majorBidi" w:hAnsiTheme="majorBidi" w:cstheme="majorBidi"/>
          <w:sz w:val="24"/>
          <w:szCs w:val="24"/>
        </w:rPr>
        <w:t xml:space="preserve"> </w:t>
      </w:r>
      <w:r w:rsidR="00660673">
        <w:rPr>
          <w:rFonts w:asciiTheme="majorBidi" w:hAnsiTheme="majorBidi" w:cstheme="majorBidi"/>
          <w:sz w:val="24"/>
          <w:szCs w:val="24"/>
        </w:rPr>
        <w:t>c</w:t>
      </w:r>
      <w:r w:rsidR="00403E06" w:rsidRPr="00CB19CB">
        <w:rPr>
          <w:rFonts w:asciiTheme="majorBidi" w:hAnsiTheme="majorBidi" w:cstheme="majorBidi"/>
          <w:sz w:val="24"/>
          <w:szCs w:val="24"/>
        </w:rPr>
        <w:t xml:space="preserve">hapter 12). </w:t>
      </w:r>
    </w:p>
    <w:p w:rsidR="00C7174A" w:rsidRPr="001A274C" w:rsidRDefault="00C7174A" w:rsidP="0043753F">
      <w:pPr>
        <w:pStyle w:val="Heading2"/>
        <w:spacing w:before="0" w:line="480" w:lineRule="auto"/>
        <w:ind w:firstLine="720"/>
        <w:rPr>
          <w:rFonts w:asciiTheme="majorBidi" w:hAnsiTheme="majorBidi"/>
          <w:i/>
          <w:iCs/>
          <w:sz w:val="24"/>
          <w:szCs w:val="24"/>
        </w:rPr>
      </w:pPr>
      <w:r w:rsidRPr="001A274C">
        <w:rPr>
          <w:rFonts w:asciiTheme="majorBidi" w:hAnsiTheme="majorBidi"/>
          <w:i/>
          <w:iCs/>
          <w:sz w:val="24"/>
          <w:szCs w:val="24"/>
        </w:rPr>
        <w:t>Decentred governance</w:t>
      </w:r>
    </w:p>
    <w:p w:rsidR="007113E4" w:rsidRPr="00BD75BC" w:rsidRDefault="00284F37" w:rsidP="0043753F">
      <w:pPr>
        <w:spacing w:after="0" w:line="480" w:lineRule="auto"/>
        <w:ind w:right="-45" w:firstLine="720"/>
        <w:rPr>
          <w:rFonts w:asciiTheme="majorBidi" w:hAnsiTheme="majorBidi" w:cstheme="majorBidi"/>
          <w:sz w:val="24"/>
          <w:szCs w:val="24"/>
        </w:rPr>
      </w:pPr>
      <w:r>
        <w:rPr>
          <w:rFonts w:asciiTheme="majorBidi" w:hAnsiTheme="majorBidi" w:cstheme="majorBidi"/>
          <w:sz w:val="24"/>
          <w:szCs w:val="24"/>
        </w:rPr>
        <w:t>The decentred governance approach offers a</w:t>
      </w:r>
      <w:r w:rsidR="000E0523" w:rsidRPr="00BD75BC">
        <w:rPr>
          <w:rFonts w:asciiTheme="majorBidi" w:hAnsiTheme="majorBidi" w:cstheme="majorBidi"/>
          <w:sz w:val="24"/>
          <w:szCs w:val="24"/>
        </w:rPr>
        <w:t xml:space="preserve"> fundamental critique of both network </w:t>
      </w:r>
      <w:r w:rsidR="00FC34A9" w:rsidRPr="00BD75BC">
        <w:rPr>
          <w:rFonts w:asciiTheme="majorBidi" w:hAnsiTheme="majorBidi" w:cstheme="majorBidi"/>
          <w:sz w:val="24"/>
          <w:szCs w:val="24"/>
        </w:rPr>
        <w:t>governance</w:t>
      </w:r>
      <w:r w:rsidR="000E0523" w:rsidRPr="00BD75BC">
        <w:rPr>
          <w:rFonts w:asciiTheme="majorBidi" w:hAnsiTheme="majorBidi" w:cstheme="majorBidi"/>
          <w:sz w:val="24"/>
          <w:szCs w:val="24"/>
        </w:rPr>
        <w:t xml:space="preserve"> and metagovernance</w:t>
      </w:r>
      <w:r w:rsidR="00123D90">
        <w:rPr>
          <w:rFonts w:asciiTheme="majorBidi" w:hAnsiTheme="majorBidi" w:cstheme="majorBidi"/>
          <w:sz w:val="24"/>
          <w:szCs w:val="24"/>
        </w:rPr>
        <w:t xml:space="preserve"> by challenging all three shared characteristics</w:t>
      </w:r>
      <w:r w:rsidR="000E0523" w:rsidRPr="00BD75BC">
        <w:rPr>
          <w:rFonts w:asciiTheme="majorBidi" w:hAnsiTheme="majorBidi" w:cstheme="majorBidi"/>
          <w:sz w:val="24"/>
          <w:szCs w:val="24"/>
        </w:rPr>
        <w:t xml:space="preserve"> </w:t>
      </w:r>
      <w:r w:rsidR="00FC34A9" w:rsidRPr="00BD75BC">
        <w:rPr>
          <w:rFonts w:asciiTheme="majorBidi" w:hAnsiTheme="majorBidi" w:cstheme="majorBidi"/>
          <w:sz w:val="24"/>
          <w:szCs w:val="24"/>
        </w:rPr>
        <w:t xml:space="preserve">(see: Bevir and Rhodes </w:t>
      </w:r>
      <w:r w:rsidR="00974031">
        <w:rPr>
          <w:rFonts w:asciiTheme="majorBidi" w:hAnsiTheme="majorBidi" w:cstheme="majorBidi"/>
          <w:sz w:val="24"/>
          <w:szCs w:val="24"/>
        </w:rPr>
        <w:t xml:space="preserve">2003; </w:t>
      </w:r>
      <w:r w:rsidR="00FC34A9" w:rsidRPr="00BD75BC">
        <w:rPr>
          <w:rFonts w:asciiTheme="majorBidi" w:hAnsiTheme="majorBidi" w:cstheme="majorBidi"/>
          <w:sz w:val="24"/>
          <w:szCs w:val="24"/>
        </w:rPr>
        <w:t>2010;</w:t>
      </w:r>
      <w:r w:rsidR="009A46A9">
        <w:rPr>
          <w:rFonts w:asciiTheme="majorBidi" w:hAnsiTheme="majorBidi" w:cstheme="majorBidi"/>
          <w:sz w:val="24"/>
          <w:szCs w:val="24"/>
        </w:rPr>
        <w:t xml:space="preserve"> and</w:t>
      </w:r>
      <w:r w:rsidR="00FC34A9" w:rsidRPr="00BD75BC">
        <w:rPr>
          <w:rFonts w:asciiTheme="majorBidi" w:hAnsiTheme="majorBidi" w:cstheme="majorBidi"/>
          <w:sz w:val="24"/>
          <w:szCs w:val="24"/>
        </w:rPr>
        <w:t xml:space="preserve"> Rhodes 2017b). </w:t>
      </w:r>
      <w:r>
        <w:rPr>
          <w:rFonts w:asciiTheme="majorBidi" w:hAnsiTheme="majorBidi" w:cstheme="majorBidi"/>
          <w:sz w:val="24"/>
          <w:szCs w:val="24"/>
        </w:rPr>
        <w:t>It</w:t>
      </w:r>
      <w:r w:rsidR="007113E4" w:rsidRPr="00BD75BC">
        <w:rPr>
          <w:rFonts w:asciiTheme="majorBidi" w:hAnsiTheme="majorBidi" w:cstheme="majorBidi"/>
          <w:sz w:val="24"/>
          <w:szCs w:val="24"/>
        </w:rPr>
        <w:t xml:space="preserve"> argues that </w:t>
      </w:r>
      <w:r>
        <w:rPr>
          <w:rFonts w:asciiTheme="majorBidi" w:hAnsiTheme="majorBidi" w:cstheme="majorBidi"/>
          <w:sz w:val="24"/>
          <w:szCs w:val="24"/>
        </w:rPr>
        <w:t>governance</w:t>
      </w:r>
      <w:r w:rsidR="007113E4" w:rsidRPr="00BD75BC">
        <w:rPr>
          <w:rFonts w:asciiTheme="majorBidi" w:hAnsiTheme="majorBidi" w:cstheme="majorBidi"/>
          <w:sz w:val="24"/>
          <w:szCs w:val="24"/>
        </w:rPr>
        <w:t xml:space="preserve"> does not have essentialist features like trust or reciprocity, only family resemblances that are constructed, contested, and contingent. Instead of looking for recurring patterns or creating typologies, it focuses on the everyday practices of agents whose beliefs and actions are informed by </w:t>
      </w:r>
      <w:r w:rsidR="007113E4" w:rsidRPr="00BD75BC">
        <w:rPr>
          <w:rFonts w:asciiTheme="majorBidi" w:hAnsiTheme="majorBidi" w:cstheme="majorBidi"/>
          <w:iCs/>
          <w:sz w:val="24"/>
          <w:szCs w:val="24"/>
        </w:rPr>
        <w:t>traditions</w:t>
      </w:r>
      <w:r w:rsidR="007113E4" w:rsidRPr="00BD75BC">
        <w:rPr>
          <w:rFonts w:asciiTheme="majorBidi" w:hAnsiTheme="majorBidi" w:cstheme="majorBidi"/>
          <w:sz w:val="24"/>
          <w:szCs w:val="24"/>
        </w:rPr>
        <w:t>. In a phrase, it shifts away from a top-down focus on the intentions of central elites to a bottom-up analysis of the beliefs and practices of citizens, street-level bureaucrats and the like. It explains shifting patterns of governance by focusing on the actors’ own interpretations of events, not</w:t>
      </w:r>
      <w:r w:rsidR="007113E4" w:rsidRPr="00BD75BC">
        <w:rPr>
          <w:rFonts w:asciiTheme="majorBidi" w:hAnsiTheme="majorBidi" w:cstheme="majorBidi"/>
          <w:iCs/>
          <w:sz w:val="24"/>
          <w:szCs w:val="24"/>
        </w:rPr>
        <w:t xml:space="preserve"> external causes such as a global financial crisis. </w:t>
      </w:r>
      <w:r w:rsidR="007113E4" w:rsidRPr="00BD75BC">
        <w:rPr>
          <w:rFonts w:asciiTheme="majorBidi" w:hAnsiTheme="majorBidi" w:cstheme="majorBidi"/>
          <w:sz w:val="24"/>
          <w:szCs w:val="24"/>
        </w:rPr>
        <w:t xml:space="preserve">It explores the diverse ways in which such situated agents change the boundaries of state and civil society by constantly remaking practices as their beliefs change in response to </w:t>
      </w:r>
      <w:r w:rsidR="007113E4" w:rsidRPr="00BD75BC">
        <w:rPr>
          <w:rFonts w:asciiTheme="majorBidi" w:hAnsiTheme="majorBidi" w:cstheme="majorBidi"/>
          <w:iCs/>
          <w:sz w:val="24"/>
          <w:szCs w:val="24"/>
        </w:rPr>
        <w:t>dilemmas.</w:t>
      </w:r>
      <w:r w:rsidR="00BD75BC" w:rsidRPr="00BD75BC">
        <w:rPr>
          <w:rFonts w:asciiTheme="majorBidi" w:hAnsiTheme="majorBidi" w:cstheme="majorBidi"/>
          <w:sz w:val="24"/>
          <w:szCs w:val="24"/>
        </w:rPr>
        <w:t xml:space="preserve"> </w:t>
      </w:r>
      <w:r w:rsidR="00BD75BC" w:rsidRPr="00CB19CB">
        <w:rPr>
          <w:rFonts w:asciiTheme="majorBidi" w:hAnsiTheme="majorBidi" w:cstheme="majorBidi"/>
          <w:sz w:val="24"/>
          <w:szCs w:val="24"/>
        </w:rPr>
        <w:t xml:space="preserve">Decentred theory rejects the notion of the state as a material object and governance as an emergent structure. It is a ‘stateless’ theory in the sense that it rejects the idea of the state as a pre-existing causal structure that can be understood as having an autonomous existence and causal effects over and apart from people’s beliefs and actions. The state is just an aggregate description for a vast array of meaningful actions that coalesce into contingent, shifting, and contested practices. </w:t>
      </w:r>
      <w:r w:rsidR="007113E4" w:rsidRPr="00BD75BC">
        <w:rPr>
          <w:rFonts w:asciiTheme="majorBidi" w:hAnsiTheme="majorBidi" w:cstheme="majorBidi"/>
          <w:sz w:val="24"/>
          <w:szCs w:val="24"/>
        </w:rPr>
        <w:t xml:space="preserve">It highlights a more diverse view of state authority and its exercise by recovering the </w:t>
      </w:r>
      <w:r w:rsidR="007113E4" w:rsidRPr="00BD75BC">
        <w:rPr>
          <w:rFonts w:asciiTheme="majorBidi" w:hAnsiTheme="majorBidi" w:cstheme="majorBidi"/>
          <w:iCs/>
          <w:sz w:val="24"/>
          <w:szCs w:val="24"/>
        </w:rPr>
        <w:t>contingent and contestable</w:t>
      </w:r>
      <w:r w:rsidR="007113E4" w:rsidRPr="00BD75BC">
        <w:rPr>
          <w:rFonts w:asciiTheme="majorBidi" w:hAnsiTheme="majorBidi" w:cstheme="majorBidi"/>
          <w:sz w:val="24"/>
          <w:szCs w:val="24"/>
        </w:rPr>
        <w:t xml:space="preserve"> narratives or stories that people tell about. </w:t>
      </w:r>
      <w:r w:rsidR="00BD75BC" w:rsidRPr="00CB19CB">
        <w:rPr>
          <w:rStyle w:val="FootnoteReference"/>
          <w:rFonts w:asciiTheme="majorBidi" w:hAnsiTheme="majorBidi" w:cstheme="majorBidi"/>
          <w:sz w:val="24"/>
          <w:szCs w:val="24"/>
        </w:rPr>
        <w:footnoteReference w:id="5"/>
      </w:r>
    </w:p>
    <w:p w:rsidR="00403E06" w:rsidRPr="00CB19CB" w:rsidRDefault="00403E06" w:rsidP="00815640">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 xml:space="preserve">So, the notion of a monolithic state in control of itself and civil society was always a myth. The myth obscured the reality of diverse state practices that escaped the control of the centre because they arose from the contingent beliefs and actions of diverse actors at the boundary of state and civil society. The state is never monolithic and it always negotiates with others. Policy </w:t>
      </w:r>
      <w:r w:rsidR="00BD75BC">
        <w:rPr>
          <w:rFonts w:asciiTheme="majorBidi" w:hAnsiTheme="majorBidi" w:cstheme="majorBidi"/>
          <w:sz w:val="24"/>
          <w:szCs w:val="24"/>
        </w:rPr>
        <w:t xml:space="preserve">arises from interactions </w:t>
      </w:r>
      <w:r w:rsidRPr="00CB19CB">
        <w:rPr>
          <w:rFonts w:asciiTheme="majorBidi" w:hAnsiTheme="majorBidi" w:cstheme="majorBidi"/>
          <w:sz w:val="24"/>
          <w:szCs w:val="24"/>
        </w:rPr>
        <w:t xml:space="preserve">in networks of organisations and individuals. Patterns of rule traverse the public, private, and voluntary sectors. The boundaries between state and civil society are blurred. Trans-national and international links and flows always disrupt national borders. In short, state authority is constantly being remade, negotiated, and contested in widely different ways within widely varying everyday practices </w:t>
      </w:r>
    </w:p>
    <w:p w:rsidR="009A46A9" w:rsidRDefault="009A46A9" w:rsidP="00A57BA5">
      <w:pPr>
        <w:spacing w:after="240" w:line="480" w:lineRule="auto"/>
        <w:ind w:right="-46" w:firstLine="720"/>
        <w:rPr>
          <w:rFonts w:asciiTheme="majorBidi" w:hAnsiTheme="majorBidi" w:cstheme="majorBidi"/>
          <w:sz w:val="24"/>
          <w:szCs w:val="24"/>
        </w:rPr>
      </w:pPr>
      <w:r>
        <w:rPr>
          <w:rFonts w:asciiTheme="majorBidi" w:hAnsiTheme="majorBidi" w:cstheme="majorBidi"/>
          <w:sz w:val="24"/>
          <w:szCs w:val="24"/>
        </w:rPr>
        <w:t xml:space="preserve">When </w:t>
      </w:r>
      <w:r w:rsidR="00C7174A">
        <w:rPr>
          <w:rFonts w:asciiTheme="majorBidi" w:hAnsiTheme="majorBidi" w:cstheme="majorBidi"/>
          <w:sz w:val="24"/>
          <w:szCs w:val="24"/>
        </w:rPr>
        <w:t>a decentred approach</w:t>
      </w:r>
      <w:r>
        <w:rPr>
          <w:rFonts w:asciiTheme="majorBidi" w:hAnsiTheme="majorBidi" w:cstheme="majorBidi"/>
          <w:sz w:val="24"/>
          <w:szCs w:val="24"/>
        </w:rPr>
        <w:t xml:space="preserve"> provide</w:t>
      </w:r>
      <w:r w:rsidR="00C7174A">
        <w:rPr>
          <w:rFonts w:asciiTheme="majorBidi" w:hAnsiTheme="majorBidi" w:cstheme="majorBidi"/>
          <w:sz w:val="24"/>
          <w:szCs w:val="24"/>
        </w:rPr>
        <w:t>s</w:t>
      </w:r>
      <w:r>
        <w:rPr>
          <w:rFonts w:asciiTheme="majorBidi" w:hAnsiTheme="majorBidi" w:cstheme="majorBidi"/>
          <w:sz w:val="24"/>
          <w:szCs w:val="24"/>
        </w:rPr>
        <w:t xml:space="preserve"> a definition or general account of governance, it should be couched as a set of ‘family resemblances’. Wittgenstein (</w:t>
      </w:r>
      <w:r w:rsidR="00C7174A">
        <w:rPr>
          <w:rFonts w:asciiTheme="majorBidi" w:hAnsiTheme="majorBidi" w:cstheme="majorBidi"/>
          <w:sz w:val="24"/>
          <w:szCs w:val="24"/>
        </w:rPr>
        <w:t>2009 [</w:t>
      </w:r>
      <w:r>
        <w:rPr>
          <w:rFonts w:asciiTheme="majorBidi" w:hAnsiTheme="majorBidi" w:cstheme="majorBidi"/>
          <w:sz w:val="24"/>
          <w:szCs w:val="24"/>
        </w:rPr>
        <w:t>19</w:t>
      </w:r>
      <w:r w:rsidR="00DC0B3C">
        <w:rPr>
          <w:rFonts w:asciiTheme="majorBidi" w:hAnsiTheme="majorBidi" w:cstheme="majorBidi"/>
          <w:sz w:val="24"/>
          <w:szCs w:val="24"/>
        </w:rPr>
        <w:t>53</w:t>
      </w:r>
      <w:r w:rsidR="00C7174A">
        <w:rPr>
          <w:rFonts w:asciiTheme="majorBidi" w:hAnsiTheme="majorBidi" w:cstheme="majorBidi"/>
          <w:sz w:val="24"/>
          <w:szCs w:val="24"/>
        </w:rPr>
        <w:t>]</w:t>
      </w:r>
      <w:r>
        <w:rPr>
          <w:rFonts w:asciiTheme="majorBidi" w:hAnsiTheme="majorBidi" w:cstheme="majorBidi"/>
          <w:sz w:val="24"/>
          <w:szCs w:val="24"/>
        </w:rPr>
        <w:t>: 17-20) famously suggested that general concepts such as ‘game’ should be defined by various traits that overlapped and criss-crossed in much the same way as do the resemblances between members of a family</w:t>
      </w:r>
      <w:r w:rsidR="00284F37">
        <w:rPr>
          <w:rFonts w:asciiTheme="majorBidi" w:hAnsiTheme="majorBidi" w:cstheme="majorBidi"/>
          <w:sz w:val="24"/>
          <w:szCs w:val="24"/>
        </w:rPr>
        <w:t xml:space="preserve"> </w:t>
      </w:r>
      <w:r>
        <w:rPr>
          <w:rFonts w:asciiTheme="majorBidi" w:hAnsiTheme="majorBidi" w:cstheme="majorBidi"/>
          <w:sz w:val="24"/>
          <w:szCs w:val="24"/>
        </w:rPr>
        <w:t xml:space="preserve"> – their builds, eye colour, gait, personalities. He considered various examples of games to challenge the idea that they all possessed a given property or set of properties – skill, enjoyment, victory and defeat – by which we could define the concept. Instead, he suggested the examples exhibited a network of similarities, at various levels of detail, so they coalesced even though no one feature was common to them all. </w:t>
      </w:r>
    </w:p>
    <w:p w:rsidR="009A46A9" w:rsidRDefault="009A46A9" w:rsidP="00815640">
      <w:pPr>
        <w:spacing w:after="240" w:line="480" w:lineRule="auto"/>
        <w:ind w:right="-46" w:firstLine="720"/>
        <w:rPr>
          <w:rFonts w:asciiTheme="majorBidi" w:hAnsiTheme="majorBidi" w:cstheme="majorBidi"/>
          <w:sz w:val="24"/>
          <w:szCs w:val="24"/>
        </w:rPr>
      </w:pPr>
      <w:r>
        <w:rPr>
          <w:rFonts w:asciiTheme="majorBidi" w:hAnsiTheme="majorBidi" w:cstheme="majorBidi"/>
          <w:sz w:val="24"/>
          <w:szCs w:val="24"/>
        </w:rPr>
        <w:t>We do not master such family resemblances by discovering a theory or rule that tells us precisely when we should and should not apply it. Our grasp of the concept consists in our ability to explain why it should be applied in one case but not another, our ability to draw analogies with other cases, and our ability to point to the criss-crossing similarities. Our knowledge of ‘governance’ is analogous to our knowledge of ‘game’ as described by Wittgenstein. It is ‘completely expressed’ by our describing various cases of governance, showing how other cases can be considered as analogous to these, and suggesting that we would be unlikely to describe yet other cases as ones of governance.</w:t>
      </w:r>
    </w:p>
    <w:p w:rsidR="009A46A9" w:rsidRDefault="009A46A9" w:rsidP="00DC0B3C">
      <w:pPr>
        <w:pStyle w:val="Footer"/>
        <w:spacing w:after="240" w:line="480" w:lineRule="auto"/>
        <w:ind w:right="-46" w:firstLine="720"/>
        <w:rPr>
          <w:rFonts w:asciiTheme="majorBidi" w:hAnsiTheme="majorBidi" w:cstheme="majorBidi"/>
          <w:szCs w:val="24"/>
        </w:rPr>
      </w:pPr>
      <w:r>
        <w:rPr>
          <w:rFonts w:asciiTheme="majorBidi" w:hAnsiTheme="majorBidi" w:cstheme="majorBidi"/>
          <w:szCs w:val="24"/>
        </w:rPr>
        <w:t>Some of the family resemblances that characterise governance derive from a focus on meaning in action and apply to all patterns of rule. A decentred approach highlights, first, a more differentiated view of state authority and its exercise. All patterns of rule arise as the contingent products of diverse actions and political struggles informed by the varied beliefs of situated agents.</w:t>
      </w:r>
    </w:p>
    <w:p w:rsidR="009A46A9" w:rsidRDefault="009A46A9" w:rsidP="00397288">
      <w:pPr>
        <w:pStyle w:val="Footer"/>
        <w:spacing w:after="240" w:line="480" w:lineRule="auto"/>
        <w:ind w:right="-46" w:firstLine="720"/>
        <w:rPr>
          <w:rFonts w:asciiTheme="majorBidi" w:hAnsiTheme="majorBidi" w:cstheme="majorBidi"/>
          <w:szCs w:val="24"/>
        </w:rPr>
      </w:pPr>
      <w:r>
        <w:rPr>
          <w:rFonts w:asciiTheme="majorBidi" w:hAnsiTheme="majorBidi" w:cstheme="majorBidi"/>
          <w:szCs w:val="24"/>
        </w:rPr>
        <w:t>A decentred approach suggests, second, these everyday practices arise from situated agents whose beliefs and actions are informed by traditions and expressed in stories. In every government department, we can identify departmental traditions, often embodied in rituals and routines. For example, British civil servants are socialised into the broad notions of the Westminster model, such as ministerial responsibility, as well as the specific ways of doing things around here</w:t>
      </w:r>
      <w:r w:rsidR="00284F37">
        <w:rPr>
          <w:rFonts w:asciiTheme="majorBidi" w:hAnsiTheme="majorBidi" w:cstheme="majorBidi"/>
          <w:szCs w:val="24"/>
        </w:rPr>
        <w:t>. For example,</w:t>
      </w:r>
      <w:r w:rsidR="00353146">
        <w:rPr>
          <w:rFonts w:asciiTheme="majorBidi" w:hAnsiTheme="majorBidi" w:cstheme="majorBidi"/>
          <w:szCs w:val="24"/>
        </w:rPr>
        <w:t xml:space="preserve"> they are </w:t>
      </w:r>
      <w:r>
        <w:rPr>
          <w:rFonts w:asciiTheme="majorBidi" w:hAnsiTheme="majorBidi" w:cstheme="majorBidi"/>
          <w:szCs w:val="24"/>
        </w:rPr>
        <w:t>socialised into the idea of a profession, and learn the framework of the acceptable (</w:t>
      </w:r>
      <w:r w:rsidR="00353146">
        <w:rPr>
          <w:rFonts w:asciiTheme="majorBidi" w:hAnsiTheme="majorBidi" w:cstheme="majorBidi"/>
          <w:szCs w:val="24"/>
        </w:rPr>
        <w:t>Rhodes 2011: 59-61; 284-5</w:t>
      </w:r>
      <w:r w:rsidR="00397288">
        <w:rPr>
          <w:rFonts w:asciiTheme="majorBidi" w:hAnsiTheme="majorBidi" w:cstheme="majorBidi"/>
          <w:szCs w:val="24"/>
        </w:rPr>
        <w:t>; and chapter 7</w:t>
      </w:r>
      <w:r>
        <w:rPr>
          <w:rFonts w:asciiTheme="majorBidi" w:hAnsiTheme="majorBidi" w:cstheme="majorBidi"/>
          <w:szCs w:val="24"/>
        </w:rPr>
        <w:t>). Governance is not any given set of characteristics. It is the stories people use to construct, convey, and explain traditions, dilemmas, beliefs and practices.</w:t>
      </w:r>
    </w:p>
    <w:p w:rsidR="009A46A9" w:rsidRDefault="009A46A9" w:rsidP="00815640">
      <w:pPr>
        <w:pStyle w:val="Footer"/>
        <w:spacing w:after="240" w:line="480" w:lineRule="auto"/>
        <w:ind w:right="-46" w:firstLine="720"/>
        <w:rPr>
          <w:rFonts w:asciiTheme="majorBidi" w:hAnsiTheme="majorBidi" w:cstheme="majorBidi"/>
          <w:szCs w:val="24"/>
        </w:rPr>
      </w:pPr>
      <w:r>
        <w:rPr>
          <w:rFonts w:asciiTheme="majorBidi" w:hAnsiTheme="majorBidi" w:cstheme="majorBidi"/>
          <w:szCs w:val="24"/>
        </w:rPr>
        <w:t>A decentred approach also might help to highlight a third family resemblance that characterises British governance but might not be found in patterns of rule in other times or places. In Britain, the neoliberal reforms of the Conservatives and New Labour have brought about a shift from hierarchy to markets to networks. While this shift is widely recognised, a decentred approach suggests, crucially, that it takes many diverse forms; it is a contingent mix</w:t>
      </w:r>
      <w:r w:rsidR="00284F37">
        <w:rPr>
          <w:rFonts w:asciiTheme="majorBidi" w:hAnsiTheme="majorBidi" w:cstheme="majorBidi"/>
          <w:szCs w:val="24"/>
        </w:rPr>
        <w:t xml:space="preserve"> that can and does vary between state traditions. </w:t>
      </w:r>
    </w:p>
    <w:p w:rsidR="009A46A9" w:rsidRDefault="009A46A9" w:rsidP="00DC0B3C">
      <w:pPr>
        <w:pStyle w:val="Footer"/>
        <w:spacing w:after="240" w:line="480" w:lineRule="auto"/>
        <w:ind w:right="-46" w:firstLine="720"/>
        <w:rPr>
          <w:rFonts w:asciiTheme="majorBidi" w:hAnsiTheme="majorBidi" w:cstheme="majorBidi"/>
          <w:szCs w:val="24"/>
        </w:rPr>
      </w:pPr>
      <w:r>
        <w:rPr>
          <w:rFonts w:asciiTheme="majorBidi" w:hAnsiTheme="majorBidi" w:cstheme="majorBidi"/>
          <w:szCs w:val="24"/>
        </w:rPr>
        <w:t>A fourth family resemblance is that the central state h</w:t>
      </w:r>
      <w:r w:rsidR="00DC0B3C">
        <w:rPr>
          <w:rFonts w:asciiTheme="majorBidi" w:hAnsiTheme="majorBidi" w:cstheme="majorBidi"/>
          <w:szCs w:val="24"/>
        </w:rPr>
        <w:t xml:space="preserve">as adopted a less hands-on role and a more varied toolkit. </w:t>
      </w:r>
      <w:r>
        <w:rPr>
          <w:rFonts w:asciiTheme="majorBidi" w:hAnsiTheme="majorBidi" w:cstheme="majorBidi"/>
          <w:szCs w:val="24"/>
        </w:rPr>
        <w:t xml:space="preserve"> </w:t>
      </w:r>
      <w:r w:rsidR="00DC0B3C">
        <w:rPr>
          <w:rFonts w:asciiTheme="majorBidi" w:hAnsiTheme="majorBidi" w:cstheme="majorBidi"/>
          <w:szCs w:val="24"/>
        </w:rPr>
        <w:t>A</w:t>
      </w:r>
      <w:r>
        <w:rPr>
          <w:rFonts w:asciiTheme="majorBidi" w:hAnsiTheme="majorBidi" w:cstheme="majorBidi"/>
          <w:szCs w:val="24"/>
        </w:rPr>
        <w:t xml:space="preserve"> decentred approach suggests, crucially, that steering, co-ordination, and regulation take many diverse hands-off forms and involve many non-state actors. Governance is found in many and new forms. </w:t>
      </w:r>
    </w:p>
    <w:p w:rsidR="009A46A9" w:rsidRDefault="009A46A9" w:rsidP="00DC0B3C">
      <w:pPr>
        <w:spacing w:after="240" w:line="480" w:lineRule="auto"/>
        <w:ind w:right="-46" w:firstLine="720"/>
        <w:rPr>
          <w:rFonts w:asciiTheme="majorBidi" w:hAnsiTheme="majorBidi" w:cstheme="majorBidi"/>
          <w:sz w:val="24"/>
          <w:szCs w:val="24"/>
        </w:rPr>
      </w:pPr>
      <w:r>
        <w:rPr>
          <w:rFonts w:asciiTheme="majorBidi" w:hAnsiTheme="majorBidi" w:cstheme="majorBidi"/>
          <w:sz w:val="24"/>
          <w:szCs w:val="24"/>
        </w:rPr>
        <w:t xml:space="preserve">A decentred approach highlights the resemblances that contribute to a general characterisation of governance and a more specific characterisation of governance in Britain. It highlights plurality, the constructed nature of the state, the oscillating mix of governing structures, and self-organizing networks. Nonetheless, it disavows any logic to the specific forms that governance takes in particular circumstances. So, a decentred approach resolves the theoretical difficulties that beset earlier narratives of the changing state. It avoids the unacceptable suggestion that institutions fix the actions of individuals in them rather than being products of those actions. It replaces unhelpful phrases such as path-dependency with an analysis of change rooted in the beliefs and practices of situated agents. Yet it allows political scientists to offer aggregate studies by using the </w:t>
      </w:r>
      <w:r w:rsidR="00E655FB">
        <w:rPr>
          <w:rFonts w:asciiTheme="majorBidi" w:hAnsiTheme="majorBidi" w:cstheme="majorBidi"/>
          <w:sz w:val="24"/>
          <w:szCs w:val="24"/>
        </w:rPr>
        <w:t>idea</w:t>
      </w:r>
      <w:r>
        <w:rPr>
          <w:rFonts w:asciiTheme="majorBidi" w:hAnsiTheme="majorBidi" w:cstheme="majorBidi"/>
          <w:sz w:val="24"/>
          <w:szCs w:val="24"/>
        </w:rPr>
        <w:t xml:space="preserve"> of tradition to explain how people come to hold beliefs and perform practices. </w:t>
      </w:r>
    </w:p>
    <w:p w:rsidR="00C7174A" w:rsidRDefault="00C7174A" w:rsidP="00397288">
      <w:pPr>
        <w:pStyle w:val="BodyText"/>
        <w:spacing w:after="240" w:line="480" w:lineRule="auto"/>
        <w:ind w:right="-46" w:firstLine="720"/>
        <w:rPr>
          <w:rFonts w:asciiTheme="majorBidi" w:hAnsiTheme="majorBidi" w:cstheme="majorBidi"/>
          <w:szCs w:val="24"/>
        </w:rPr>
      </w:pPr>
      <w:r w:rsidRPr="00CB19CB">
        <w:rPr>
          <w:rFonts w:asciiTheme="majorBidi" w:hAnsiTheme="majorBidi" w:cstheme="majorBidi"/>
          <w:szCs w:val="24"/>
        </w:rPr>
        <w:t>A de</w:t>
      </w:r>
      <w:r>
        <w:rPr>
          <w:rFonts w:asciiTheme="majorBidi" w:hAnsiTheme="majorBidi" w:cstheme="majorBidi"/>
          <w:szCs w:val="24"/>
        </w:rPr>
        <w:t xml:space="preserve">centred theory of governance challenges the dominant mainstream academic and the official view of networks as structures to be managed by the state, and as a tool </w:t>
      </w:r>
      <w:r w:rsidR="00397288">
        <w:rPr>
          <w:rFonts w:asciiTheme="majorBidi" w:hAnsiTheme="majorBidi" w:cstheme="majorBidi"/>
          <w:szCs w:val="24"/>
        </w:rPr>
        <w:t>for</w:t>
      </w:r>
      <w:r>
        <w:rPr>
          <w:rFonts w:asciiTheme="majorBidi" w:hAnsiTheme="majorBidi" w:cstheme="majorBidi"/>
          <w:szCs w:val="24"/>
        </w:rPr>
        <w:t xml:space="preserve"> greater state control. Rather, it focuses on local networks and local knowledge. It argues that l</w:t>
      </w:r>
      <w:r w:rsidRPr="00CB19CB">
        <w:rPr>
          <w:rFonts w:asciiTheme="majorBidi" w:hAnsiTheme="majorBidi" w:cstheme="majorBidi"/>
          <w:szCs w:val="24"/>
        </w:rPr>
        <w:t xml:space="preserve">ocal networks cease to be local networks when they are centrally manipulated or directed. In effect, when networks are centrally managed, horizontal relationships are transformed into vertical relationships. Such relationships are better described as exercises in official consultation; at least this phrase does not imply any local discretion or local ownership. But the effect is that central management of local networks threatens their autonomy, distinctiveness and effectiveness. This threat arises because any pattern of governance is a product of diverse practices that are themselves composed of multiple individuals acting on all sorts of conflicting beliefs which they have reached against the background of many traditions and in response to varied dilemmas. So, a decentred approach sees governance arising from the bottom-up and suggests that central intervention will undermine the bottom-up construction of governance, provoking resistance and generating unintended consequences. </w:t>
      </w:r>
    </w:p>
    <w:p w:rsidR="00403E06" w:rsidRPr="003A2F6E" w:rsidRDefault="003A2F6E" w:rsidP="0043753F">
      <w:pPr>
        <w:pStyle w:val="Heading1"/>
        <w:spacing w:before="0" w:line="480" w:lineRule="auto"/>
        <w:ind w:firstLine="720"/>
        <w:rPr>
          <w:rFonts w:asciiTheme="majorBidi" w:hAnsiTheme="majorBidi"/>
        </w:rPr>
      </w:pPr>
      <w:r>
        <w:rPr>
          <w:rFonts w:asciiTheme="majorBidi" w:hAnsiTheme="majorBidi"/>
        </w:rPr>
        <w:t>Conclusions: t</w:t>
      </w:r>
      <w:r w:rsidR="00403E06" w:rsidRPr="003A2F6E">
        <w:rPr>
          <w:rFonts w:asciiTheme="majorBidi" w:hAnsiTheme="majorBidi"/>
        </w:rPr>
        <w:t>he differentiated polity revisited</w:t>
      </w:r>
    </w:p>
    <w:p w:rsidR="00403E06" w:rsidRDefault="00403E06" w:rsidP="00EE5AB0">
      <w:pPr>
        <w:spacing w:after="240" w:line="480" w:lineRule="auto"/>
        <w:ind w:right="-46" w:firstLine="720"/>
        <w:rPr>
          <w:rFonts w:asciiTheme="majorBidi" w:hAnsiTheme="majorBidi" w:cstheme="majorBidi"/>
          <w:sz w:val="24"/>
          <w:szCs w:val="24"/>
        </w:rPr>
      </w:pPr>
      <w:r w:rsidRPr="00CB19CB">
        <w:rPr>
          <w:rFonts w:asciiTheme="majorBidi" w:hAnsiTheme="majorBidi" w:cstheme="majorBidi"/>
          <w:sz w:val="24"/>
          <w:szCs w:val="24"/>
        </w:rPr>
        <w:t>The differentiated polity identifies important empirical gaps in the Westminster model and key changes in British government. It focuses on the dilemma</w:t>
      </w:r>
      <w:r w:rsidR="0007115E">
        <w:rPr>
          <w:rFonts w:asciiTheme="majorBidi" w:hAnsiTheme="majorBidi" w:cstheme="majorBidi"/>
          <w:sz w:val="24"/>
          <w:szCs w:val="24"/>
        </w:rPr>
        <w:t>s</w:t>
      </w:r>
      <w:r w:rsidRPr="00CB19CB">
        <w:rPr>
          <w:rFonts w:asciiTheme="majorBidi" w:hAnsiTheme="majorBidi" w:cstheme="majorBidi"/>
          <w:sz w:val="24"/>
          <w:szCs w:val="24"/>
        </w:rPr>
        <w:t xml:space="preserve"> that arise as the ideas and practices of the centralised Westminster government conflict with the ideas of practices of the differentiated polity. It opens new avenues of exploration on key issues confronting policy making and policy-implementation</w:t>
      </w:r>
      <w:r w:rsidR="00C7174A">
        <w:rPr>
          <w:rFonts w:asciiTheme="majorBidi" w:hAnsiTheme="majorBidi" w:cstheme="majorBidi"/>
          <w:sz w:val="24"/>
          <w:szCs w:val="24"/>
        </w:rPr>
        <w:t xml:space="preserve">. </w:t>
      </w:r>
      <w:r w:rsidRPr="00CB19CB">
        <w:rPr>
          <w:rFonts w:asciiTheme="majorBidi" w:hAnsiTheme="majorBidi" w:cstheme="majorBidi"/>
          <w:sz w:val="24"/>
          <w:szCs w:val="24"/>
        </w:rPr>
        <w:t>The differentiated polity narrative is best seen as a corrective to the traditional Westminster model. I use it to develop a new way of seeing state authority in its relationship to civil society.</w:t>
      </w:r>
      <w:r w:rsidR="00D136F3">
        <w:rPr>
          <w:rFonts w:asciiTheme="majorBidi" w:hAnsiTheme="majorBidi" w:cstheme="majorBidi"/>
          <w:sz w:val="24"/>
          <w:szCs w:val="24"/>
        </w:rPr>
        <w:t xml:space="preserve"> </w:t>
      </w:r>
      <w:r w:rsidR="00863035">
        <w:rPr>
          <w:rFonts w:asciiTheme="majorBidi" w:hAnsiTheme="majorBidi" w:cstheme="majorBidi"/>
          <w:sz w:val="24"/>
          <w:szCs w:val="24"/>
        </w:rPr>
        <w:t xml:space="preserve">In a phrase, </w:t>
      </w:r>
      <w:r w:rsidR="00863035">
        <w:rPr>
          <w:rFonts w:asciiTheme="majorBidi" w:hAnsiTheme="majorBidi" w:cstheme="majorBidi"/>
          <w:i/>
          <w:iCs/>
          <w:sz w:val="24"/>
          <w:szCs w:val="24"/>
        </w:rPr>
        <w:t xml:space="preserve">Understanding Governance </w:t>
      </w:r>
      <w:r w:rsidR="00863035">
        <w:rPr>
          <w:rFonts w:asciiTheme="majorBidi" w:hAnsiTheme="majorBidi" w:cstheme="majorBidi"/>
          <w:sz w:val="24"/>
          <w:szCs w:val="24"/>
        </w:rPr>
        <w:t xml:space="preserve">was </w:t>
      </w:r>
      <w:r w:rsidR="00D136F3">
        <w:rPr>
          <w:rFonts w:asciiTheme="majorBidi" w:hAnsiTheme="majorBidi" w:cstheme="majorBidi"/>
          <w:sz w:val="24"/>
          <w:szCs w:val="24"/>
        </w:rPr>
        <w:t>edifying</w:t>
      </w:r>
      <w:r w:rsidR="00E655FB">
        <w:rPr>
          <w:rFonts w:asciiTheme="majorBidi" w:hAnsiTheme="majorBidi" w:cstheme="majorBidi"/>
          <w:sz w:val="24"/>
          <w:szCs w:val="24"/>
        </w:rPr>
        <w:t xml:space="preserve"> and many of the questions it raised continue to occupy scholars and practitioners alike because this </w:t>
      </w:r>
      <w:r w:rsidRPr="00CB19CB">
        <w:rPr>
          <w:rFonts w:asciiTheme="majorBidi" w:hAnsiTheme="majorBidi" w:cstheme="majorBidi"/>
          <w:sz w:val="24"/>
          <w:szCs w:val="24"/>
        </w:rPr>
        <w:t xml:space="preserve">narrative is not just a story that academics tell to one another. It is hard to draw a clear-cut distinction between academic commentators and elite actors. They share ideas and assumptions about how the system works. These images or organising perspectives are </w:t>
      </w:r>
      <w:r w:rsidR="0007115E">
        <w:rPr>
          <w:rFonts w:asciiTheme="majorBidi" w:hAnsiTheme="majorBidi" w:cstheme="majorBidi"/>
          <w:sz w:val="24"/>
          <w:szCs w:val="24"/>
        </w:rPr>
        <w:t>common currency</w:t>
      </w:r>
      <w:r w:rsidRPr="00CB19CB">
        <w:rPr>
          <w:rFonts w:asciiTheme="majorBidi" w:hAnsiTheme="majorBidi" w:cstheme="majorBidi"/>
          <w:sz w:val="24"/>
          <w:szCs w:val="24"/>
        </w:rPr>
        <w:t xml:space="preserve">. Such is the case for governance; elite actors talk of holistic governance and of joined-up government (see Bevir 2005: 29-30 and 48-51). </w:t>
      </w:r>
      <w:r w:rsidR="00863035">
        <w:rPr>
          <w:rFonts w:asciiTheme="majorBidi" w:hAnsiTheme="majorBidi" w:cstheme="majorBidi"/>
          <w:sz w:val="24"/>
          <w:szCs w:val="24"/>
        </w:rPr>
        <w:t xml:space="preserve">It was edifying for practitioners too. </w:t>
      </w:r>
    </w:p>
    <w:p w:rsidR="00F5527C" w:rsidRDefault="00D136F3" w:rsidP="00815640">
      <w:pPr>
        <w:spacing w:after="240" w:line="480" w:lineRule="auto"/>
        <w:ind w:right="-46" w:firstLine="720"/>
        <w:rPr>
          <w:rFonts w:asciiTheme="majorBidi" w:hAnsiTheme="majorBidi" w:cstheme="majorBidi"/>
          <w:sz w:val="24"/>
          <w:szCs w:val="24"/>
        </w:rPr>
      </w:pPr>
      <w:r>
        <w:rPr>
          <w:rFonts w:asciiTheme="majorBidi" w:hAnsiTheme="majorBidi" w:cstheme="majorBidi"/>
          <w:sz w:val="24"/>
          <w:szCs w:val="24"/>
        </w:rPr>
        <w:t xml:space="preserve">I have made it clear </w:t>
      </w:r>
      <w:r w:rsidR="00FB6255">
        <w:rPr>
          <w:rFonts w:asciiTheme="majorBidi" w:hAnsiTheme="majorBidi" w:cstheme="majorBidi"/>
          <w:sz w:val="24"/>
          <w:szCs w:val="24"/>
        </w:rPr>
        <w:t>throughout this article</w:t>
      </w:r>
      <w:r>
        <w:rPr>
          <w:rFonts w:asciiTheme="majorBidi" w:hAnsiTheme="majorBidi" w:cstheme="majorBidi"/>
          <w:sz w:val="24"/>
          <w:szCs w:val="24"/>
        </w:rPr>
        <w:t xml:space="preserve"> </w:t>
      </w:r>
      <w:r w:rsidR="00FB6255">
        <w:rPr>
          <w:rFonts w:asciiTheme="majorBidi" w:hAnsiTheme="majorBidi" w:cstheme="majorBidi"/>
          <w:sz w:val="24"/>
          <w:szCs w:val="24"/>
        </w:rPr>
        <w:t xml:space="preserve">that </w:t>
      </w:r>
      <w:r>
        <w:rPr>
          <w:rFonts w:asciiTheme="majorBidi" w:hAnsiTheme="majorBidi" w:cstheme="majorBidi"/>
          <w:sz w:val="24"/>
          <w:szCs w:val="24"/>
        </w:rPr>
        <w:t xml:space="preserve">my </w:t>
      </w:r>
      <w:r w:rsidR="00BB2FA5">
        <w:rPr>
          <w:rFonts w:asciiTheme="majorBidi" w:hAnsiTheme="majorBidi" w:cstheme="majorBidi"/>
          <w:sz w:val="24"/>
          <w:szCs w:val="24"/>
        </w:rPr>
        <w:t>analysis focuses on</w:t>
      </w:r>
      <w:r>
        <w:rPr>
          <w:rFonts w:asciiTheme="majorBidi" w:hAnsiTheme="majorBidi" w:cstheme="majorBidi"/>
          <w:sz w:val="24"/>
          <w:szCs w:val="24"/>
        </w:rPr>
        <w:t xml:space="preserve"> British government. </w:t>
      </w:r>
      <w:r w:rsidR="00863035">
        <w:rPr>
          <w:rFonts w:asciiTheme="majorBidi" w:hAnsiTheme="majorBidi" w:cstheme="majorBidi"/>
          <w:sz w:val="24"/>
          <w:szCs w:val="24"/>
        </w:rPr>
        <w:t xml:space="preserve">However, the approach </w:t>
      </w:r>
      <w:r>
        <w:rPr>
          <w:rFonts w:asciiTheme="majorBidi" w:hAnsiTheme="majorBidi" w:cstheme="majorBidi"/>
          <w:sz w:val="24"/>
          <w:szCs w:val="24"/>
        </w:rPr>
        <w:t xml:space="preserve">travels well to </w:t>
      </w:r>
      <w:r w:rsidR="00FB6255">
        <w:rPr>
          <w:rFonts w:asciiTheme="majorBidi" w:hAnsiTheme="majorBidi" w:cstheme="majorBidi"/>
          <w:sz w:val="24"/>
          <w:szCs w:val="24"/>
        </w:rPr>
        <w:t xml:space="preserve">the </w:t>
      </w:r>
      <w:r>
        <w:rPr>
          <w:rFonts w:asciiTheme="majorBidi" w:hAnsiTheme="majorBidi" w:cstheme="majorBidi"/>
          <w:sz w:val="24"/>
          <w:szCs w:val="24"/>
        </w:rPr>
        <w:t xml:space="preserve">advanced industrial democracies of Western Europe and </w:t>
      </w:r>
      <w:r w:rsidR="00FB6255">
        <w:rPr>
          <w:rFonts w:asciiTheme="majorBidi" w:hAnsiTheme="majorBidi" w:cstheme="majorBidi"/>
          <w:sz w:val="24"/>
          <w:szCs w:val="24"/>
        </w:rPr>
        <w:t>to Westminster</w:t>
      </w:r>
      <w:r>
        <w:rPr>
          <w:rFonts w:asciiTheme="majorBidi" w:hAnsiTheme="majorBidi" w:cstheme="majorBidi"/>
          <w:sz w:val="24"/>
          <w:szCs w:val="24"/>
        </w:rPr>
        <w:t xml:space="preserve"> democracies such as Australia and Canada</w:t>
      </w:r>
      <w:r w:rsidR="00FB6255">
        <w:rPr>
          <w:rFonts w:asciiTheme="majorBidi" w:hAnsiTheme="majorBidi" w:cstheme="majorBidi"/>
          <w:sz w:val="24"/>
          <w:szCs w:val="24"/>
        </w:rPr>
        <w:t xml:space="preserve"> (see Elgie 2011)</w:t>
      </w:r>
      <w:r>
        <w:rPr>
          <w:rFonts w:asciiTheme="majorBidi" w:hAnsiTheme="majorBidi" w:cstheme="majorBidi"/>
          <w:sz w:val="24"/>
          <w:szCs w:val="24"/>
        </w:rPr>
        <w:t xml:space="preserve">. </w:t>
      </w:r>
      <w:r w:rsidR="00FB6255">
        <w:rPr>
          <w:rFonts w:asciiTheme="majorBidi" w:hAnsiTheme="majorBidi" w:cstheme="majorBidi"/>
          <w:sz w:val="24"/>
          <w:szCs w:val="24"/>
        </w:rPr>
        <w:t>However, does it travel well to China? In its details, my account of the differentiated polity is irrelevant</w:t>
      </w:r>
      <w:r w:rsidR="00C94D35">
        <w:rPr>
          <w:rFonts w:asciiTheme="majorBidi" w:hAnsiTheme="majorBidi" w:cstheme="majorBidi"/>
          <w:sz w:val="24"/>
          <w:szCs w:val="24"/>
        </w:rPr>
        <w:t>.</w:t>
      </w:r>
      <w:r w:rsidR="00FB6255">
        <w:rPr>
          <w:rFonts w:asciiTheme="majorBidi" w:hAnsiTheme="majorBidi" w:cstheme="majorBidi"/>
          <w:sz w:val="24"/>
          <w:szCs w:val="24"/>
        </w:rPr>
        <w:t xml:space="preserve"> But if, as I claim, the approach is edifying, the details matter not. The key issue is whether the study of governance poses new questions about the government of China.</w:t>
      </w:r>
      <w:r w:rsidR="00F5527C">
        <w:rPr>
          <w:rFonts w:asciiTheme="majorBidi" w:hAnsiTheme="majorBidi" w:cstheme="majorBidi"/>
          <w:sz w:val="24"/>
          <w:szCs w:val="24"/>
        </w:rPr>
        <w:t xml:space="preserve"> </w:t>
      </w:r>
    </w:p>
    <w:p w:rsidR="00406D89" w:rsidRPr="00C94D35" w:rsidRDefault="00F5527C" w:rsidP="00DC0B3C">
      <w:pPr>
        <w:spacing w:after="240" w:line="480" w:lineRule="auto"/>
        <w:ind w:firstLine="720"/>
        <w:rPr>
          <w:rFonts w:asciiTheme="majorBidi" w:hAnsiTheme="majorBidi" w:cstheme="majorBidi"/>
          <w:sz w:val="24"/>
          <w:szCs w:val="24"/>
        </w:rPr>
      </w:pPr>
      <w:r w:rsidRPr="00C94D35">
        <w:rPr>
          <w:rFonts w:asciiTheme="majorBidi" w:hAnsiTheme="majorBidi" w:cstheme="majorBidi"/>
          <w:sz w:val="24"/>
          <w:szCs w:val="24"/>
        </w:rPr>
        <w:t xml:space="preserve">The study of governances poses questions directly relevant to Chinese governance because </w:t>
      </w:r>
      <w:r w:rsidR="007A7008" w:rsidRPr="00C94D35">
        <w:rPr>
          <w:rFonts w:asciiTheme="majorBidi" w:hAnsiTheme="majorBidi" w:cstheme="majorBidi"/>
          <w:sz w:val="24"/>
          <w:szCs w:val="24"/>
        </w:rPr>
        <w:t>it</w:t>
      </w:r>
      <w:r w:rsidRPr="00C94D35">
        <w:rPr>
          <w:rFonts w:asciiTheme="majorBidi" w:hAnsiTheme="majorBidi" w:cstheme="majorBidi"/>
          <w:sz w:val="24"/>
          <w:szCs w:val="24"/>
        </w:rPr>
        <w:t xml:space="preserve"> </w:t>
      </w:r>
      <w:r w:rsidR="007A7008" w:rsidRPr="00C94D35">
        <w:rPr>
          <w:rFonts w:asciiTheme="majorBidi" w:hAnsiTheme="majorBidi" w:cstheme="majorBidi"/>
          <w:sz w:val="24"/>
          <w:szCs w:val="24"/>
        </w:rPr>
        <w:t xml:space="preserve">highlights a </w:t>
      </w:r>
      <w:r w:rsidR="00406D89" w:rsidRPr="00C94D35">
        <w:rPr>
          <w:rFonts w:asciiTheme="majorBidi" w:hAnsiTheme="majorBidi" w:cstheme="majorBidi"/>
          <w:sz w:val="24"/>
          <w:szCs w:val="24"/>
        </w:rPr>
        <w:t>differentiated</w:t>
      </w:r>
      <w:r w:rsidR="007A7008" w:rsidRPr="00C94D35">
        <w:rPr>
          <w:rFonts w:asciiTheme="majorBidi" w:hAnsiTheme="majorBidi" w:cstheme="majorBidi"/>
          <w:sz w:val="24"/>
          <w:szCs w:val="24"/>
        </w:rPr>
        <w:t xml:space="preserve"> view of state authority and its exercise.</w:t>
      </w:r>
      <w:r w:rsidR="00E655FB">
        <w:rPr>
          <w:rFonts w:asciiTheme="majorBidi" w:hAnsiTheme="majorBidi" w:cstheme="majorBidi"/>
          <w:sz w:val="24"/>
          <w:szCs w:val="24"/>
        </w:rPr>
        <w:t xml:space="preserve"> </w:t>
      </w:r>
      <w:r w:rsidR="007A7008" w:rsidRPr="00C94D35">
        <w:rPr>
          <w:rFonts w:asciiTheme="majorBidi" w:hAnsiTheme="majorBidi" w:cstheme="majorBidi"/>
          <w:sz w:val="24"/>
          <w:szCs w:val="24"/>
        </w:rPr>
        <w:t>In a country as vast as China with many ethnic groups and languages, what works in Beijing may well generate unintended consequences</w:t>
      </w:r>
      <w:r w:rsidR="00DC0B3C">
        <w:rPr>
          <w:rFonts w:asciiTheme="majorBidi" w:hAnsiTheme="majorBidi" w:cstheme="majorBidi"/>
          <w:sz w:val="24"/>
          <w:szCs w:val="24"/>
        </w:rPr>
        <w:t xml:space="preserve"> elsewhere</w:t>
      </w:r>
      <w:r w:rsidR="007A7008" w:rsidRPr="00C94D35">
        <w:rPr>
          <w:rFonts w:asciiTheme="majorBidi" w:hAnsiTheme="majorBidi" w:cstheme="majorBidi"/>
          <w:sz w:val="24"/>
          <w:szCs w:val="24"/>
        </w:rPr>
        <w:t>.</w:t>
      </w:r>
      <w:r w:rsidR="00C94D35">
        <w:rPr>
          <w:rFonts w:asciiTheme="majorBidi" w:hAnsiTheme="majorBidi" w:cstheme="majorBidi"/>
          <w:sz w:val="24"/>
          <w:szCs w:val="24"/>
        </w:rPr>
        <w:t xml:space="preserve"> </w:t>
      </w:r>
      <w:r w:rsidR="00DC0B3C">
        <w:rPr>
          <w:rFonts w:asciiTheme="majorBidi" w:hAnsiTheme="majorBidi" w:cstheme="majorBidi"/>
          <w:sz w:val="24"/>
          <w:szCs w:val="24"/>
        </w:rPr>
        <w:t>Are there</w:t>
      </w:r>
      <w:r w:rsidR="00C94D35">
        <w:rPr>
          <w:rFonts w:asciiTheme="majorBidi" w:hAnsiTheme="majorBidi" w:cstheme="majorBidi"/>
          <w:sz w:val="24"/>
          <w:szCs w:val="24"/>
        </w:rPr>
        <w:t xml:space="preserve"> implementation deficits </w:t>
      </w:r>
      <w:r w:rsidR="00DC0B3C">
        <w:rPr>
          <w:rFonts w:asciiTheme="majorBidi" w:hAnsiTheme="majorBidi" w:cstheme="majorBidi"/>
          <w:sz w:val="24"/>
          <w:szCs w:val="24"/>
        </w:rPr>
        <w:t xml:space="preserve">within and between provinces, municipalities and autonomous regions? </w:t>
      </w:r>
      <w:r w:rsidR="00C94D35">
        <w:rPr>
          <w:rFonts w:asciiTheme="majorBidi" w:hAnsiTheme="majorBidi" w:cstheme="majorBidi"/>
          <w:sz w:val="24"/>
          <w:szCs w:val="24"/>
        </w:rPr>
        <w:t xml:space="preserve"> Are such changes valuable local </w:t>
      </w:r>
      <w:r w:rsidR="00DC0B3C">
        <w:rPr>
          <w:rFonts w:asciiTheme="majorBidi" w:hAnsiTheme="majorBidi" w:cstheme="majorBidi"/>
          <w:sz w:val="24"/>
          <w:szCs w:val="24"/>
        </w:rPr>
        <w:t>‘</w:t>
      </w:r>
      <w:r w:rsidR="00C94D35">
        <w:rPr>
          <w:rFonts w:asciiTheme="majorBidi" w:hAnsiTheme="majorBidi" w:cstheme="majorBidi"/>
          <w:sz w:val="24"/>
          <w:szCs w:val="24"/>
        </w:rPr>
        <w:t>corrective</w:t>
      </w:r>
      <w:r w:rsidR="00DC0B3C">
        <w:rPr>
          <w:rFonts w:asciiTheme="majorBidi" w:hAnsiTheme="majorBidi" w:cstheme="majorBidi"/>
          <w:sz w:val="24"/>
          <w:szCs w:val="24"/>
        </w:rPr>
        <w:t>s’</w:t>
      </w:r>
      <w:r w:rsidR="00C94D35">
        <w:rPr>
          <w:rFonts w:asciiTheme="majorBidi" w:hAnsiTheme="majorBidi" w:cstheme="majorBidi"/>
          <w:sz w:val="24"/>
          <w:szCs w:val="24"/>
        </w:rPr>
        <w:t xml:space="preserve"> or ‘errors’? Governance poses questions about </w:t>
      </w:r>
      <w:r w:rsidR="007A7008" w:rsidRPr="00C94D35">
        <w:rPr>
          <w:rFonts w:asciiTheme="majorBidi" w:hAnsiTheme="majorBidi" w:cstheme="majorBidi"/>
          <w:sz w:val="24"/>
          <w:szCs w:val="24"/>
        </w:rPr>
        <w:t>the shifting boundaries between state and civil society</w:t>
      </w:r>
      <w:r w:rsidR="00BB2FA5">
        <w:rPr>
          <w:rFonts w:asciiTheme="majorBidi" w:hAnsiTheme="majorBidi" w:cstheme="majorBidi"/>
          <w:sz w:val="24"/>
          <w:szCs w:val="24"/>
        </w:rPr>
        <w:t xml:space="preserve">. </w:t>
      </w:r>
      <w:r w:rsidR="00E655FB">
        <w:rPr>
          <w:rFonts w:asciiTheme="majorBidi" w:hAnsiTheme="majorBidi" w:cstheme="majorBidi"/>
          <w:sz w:val="24"/>
          <w:szCs w:val="24"/>
        </w:rPr>
        <w:t xml:space="preserve"> </w:t>
      </w:r>
      <w:r w:rsidR="00E655FB" w:rsidRPr="00E655FB">
        <w:rPr>
          <w:rFonts w:asciiTheme="majorBidi" w:hAnsiTheme="majorBidi" w:cstheme="majorBidi"/>
          <w:sz w:val="24"/>
          <w:szCs w:val="24"/>
        </w:rPr>
        <w:t xml:space="preserve">Governance has no essential characteristics; it is a contingent mix of </w:t>
      </w:r>
      <w:r w:rsidR="00E655FB" w:rsidRPr="00397288">
        <w:rPr>
          <w:rFonts w:asciiTheme="majorBidi" w:hAnsiTheme="majorBidi" w:cstheme="majorBidi"/>
          <w:sz w:val="24"/>
          <w:szCs w:val="24"/>
        </w:rPr>
        <w:t xml:space="preserve">resemblances that can and do vary between state traditions. So, the relevant question is not whether governance in China resembles governance in Britain. Rather, the issue is how the notion of governance is constructed in China, by whom, and against the backcloth of which traditions.  </w:t>
      </w:r>
      <w:r w:rsidR="00BB2FA5">
        <w:rPr>
          <w:rFonts w:asciiTheme="majorBidi" w:hAnsiTheme="majorBidi" w:cstheme="majorBidi"/>
          <w:sz w:val="24"/>
          <w:szCs w:val="24"/>
        </w:rPr>
        <w:t>Such</w:t>
      </w:r>
      <w:r w:rsidR="007A7008" w:rsidRPr="00C94D35">
        <w:rPr>
          <w:rFonts w:asciiTheme="majorBidi" w:hAnsiTheme="majorBidi" w:cstheme="majorBidi"/>
          <w:sz w:val="24"/>
          <w:szCs w:val="24"/>
        </w:rPr>
        <w:t xml:space="preserve"> question</w:t>
      </w:r>
      <w:r w:rsidR="00BB2FA5">
        <w:rPr>
          <w:rFonts w:asciiTheme="majorBidi" w:hAnsiTheme="majorBidi" w:cstheme="majorBidi"/>
          <w:sz w:val="24"/>
          <w:szCs w:val="24"/>
        </w:rPr>
        <w:t>s</w:t>
      </w:r>
      <w:r w:rsidR="00E655FB">
        <w:rPr>
          <w:rFonts w:asciiTheme="majorBidi" w:hAnsiTheme="majorBidi" w:cstheme="majorBidi"/>
          <w:sz w:val="24"/>
          <w:szCs w:val="24"/>
        </w:rPr>
        <w:t xml:space="preserve"> about the boundary between the state and civil society</w:t>
      </w:r>
      <w:r w:rsidR="007A7008" w:rsidRPr="00C94D35">
        <w:rPr>
          <w:rFonts w:asciiTheme="majorBidi" w:hAnsiTheme="majorBidi" w:cstheme="majorBidi"/>
          <w:sz w:val="24"/>
          <w:szCs w:val="24"/>
        </w:rPr>
        <w:t xml:space="preserve"> </w:t>
      </w:r>
      <w:r w:rsidR="00BB2FA5">
        <w:rPr>
          <w:rFonts w:asciiTheme="majorBidi" w:hAnsiTheme="majorBidi" w:cstheme="majorBidi"/>
          <w:sz w:val="24"/>
          <w:szCs w:val="24"/>
        </w:rPr>
        <w:t>are relevant</w:t>
      </w:r>
      <w:r w:rsidR="007A7008" w:rsidRPr="00C94D35">
        <w:rPr>
          <w:rFonts w:asciiTheme="majorBidi" w:hAnsiTheme="majorBidi" w:cstheme="majorBidi"/>
          <w:sz w:val="24"/>
          <w:szCs w:val="24"/>
        </w:rPr>
        <w:t xml:space="preserve"> because of </w:t>
      </w:r>
      <w:r w:rsidR="00406D89" w:rsidRPr="00C94D35">
        <w:rPr>
          <w:rFonts w:asciiTheme="majorBidi" w:hAnsiTheme="majorBidi" w:cstheme="majorBidi"/>
          <w:sz w:val="24"/>
          <w:szCs w:val="24"/>
        </w:rPr>
        <w:t>China’s</w:t>
      </w:r>
      <w:r w:rsidR="007A7008" w:rsidRPr="00C94D35">
        <w:rPr>
          <w:rFonts w:asciiTheme="majorBidi" w:hAnsiTheme="majorBidi" w:cstheme="majorBidi"/>
          <w:sz w:val="24"/>
          <w:szCs w:val="24"/>
        </w:rPr>
        <w:t xml:space="preserve"> </w:t>
      </w:r>
      <w:r w:rsidR="00406D89" w:rsidRPr="00C94D35">
        <w:rPr>
          <w:rFonts w:asciiTheme="majorBidi" w:hAnsiTheme="majorBidi" w:cstheme="majorBidi"/>
          <w:sz w:val="24"/>
          <w:szCs w:val="24"/>
        </w:rPr>
        <w:t xml:space="preserve">experiment with local deliberative democracy. With its focus on the mix </w:t>
      </w:r>
      <w:r w:rsidR="00C73CB6">
        <w:rPr>
          <w:rFonts w:asciiTheme="majorBidi" w:hAnsiTheme="majorBidi" w:cstheme="majorBidi"/>
          <w:sz w:val="24"/>
          <w:szCs w:val="24"/>
        </w:rPr>
        <w:t>of governing structures</w:t>
      </w:r>
      <w:r w:rsidR="00406D89" w:rsidRPr="00C94D35">
        <w:rPr>
          <w:rFonts w:asciiTheme="majorBidi" w:hAnsiTheme="majorBidi" w:cstheme="majorBidi"/>
          <w:sz w:val="24"/>
          <w:szCs w:val="24"/>
        </w:rPr>
        <w:t>, governance explores the conditions under which hierarchy, markets and networks work best. Given that the Chinese government is concerned with effective public service delivery</w:t>
      </w:r>
      <w:r w:rsidR="00E655FB">
        <w:rPr>
          <w:rFonts w:asciiTheme="majorBidi" w:hAnsiTheme="majorBidi" w:cstheme="majorBidi"/>
          <w:sz w:val="24"/>
          <w:szCs w:val="24"/>
        </w:rPr>
        <w:t>,</w:t>
      </w:r>
      <w:r w:rsidR="00406D89" w:rsidRPr="00C94D35">
        <w:rPr>
          <w:rFonts w:asciiTheme="majorBidi" w:hAnsiTheme="majorBidi" w:cstheme="majorBidi"/>
          <w:sz w:val="24"/>
          <w:szCs w:val="24"/>
        </w:rPr>
        <w:t xml:space="preserve"> exploring when (say) networks work is </w:t>
      </w:r>
      <w:r w:rsidR="00E655FB">
        <w:rPr>
          <w:rFonts w:asciiTheme="majorBidi" w:hAnsiTheme="majorBidi" w:cstheme="majorBidi"/>
          <w:sz w:val="24"/>
          <w:szCs w:val="24"/>
        </w:rPr>
        <w:t>as relevant in China as in Britain</w:t>
      </w:r>
      <w:r w:rsidR="00406D89" w:rsidRPr="00C94D35">
        <w:rPr>
          <w:rFonts w:asciiTheme="majorBidi" w:hAnsiTheme="majorBidi" w:cstheme="majorBidi"/>
          <w:sz w:val="24"/>
          <w:szCs w:val="24"/>
        </w:rPr>
        <w:t xml:space="preserve">. If networks are seen as an effective mechanism for delivering services, then the efficient management of those networks is again </w:t>
      </w:r>
      <w:r w:rsidR="00C94D35">
        <w:rPr>
          <w:rFonts w:asciiTheme="majorBidi" w:hAnsiTheme="majorBidi" w:cstheme="majorBidi"/>
          <w:sz w:val="24"/>
          <w:szCs w:val="24"/>
        </w:rPr>
        <w:t>o</w:t>
      </w:r>
      <w:r w:rsidR="00406D89" w:rsidRPr="00C94D35">
        <w:rPr>
          <w:rFonts w:asciiTheme="majorBidi" w:hAnsiTheme="majorBidi" w:cstheme="majorBidi"/>
          <w:sz w:val="24"/>
          <w:szCs w:val="24"/>
        </w:rPr>
        <w:t xml:space="preserve">f interest. </w:t>
      </w:r>
      <w:r w:rsidR="00397288">
        <w:rPr>
          <w:rFonts w:asciiTheme="majorBidi" w:hAnsiTheme="majorBidi" w:cstheme="majorBidi"/>
          <w:sz w:val="24"/>
          <w:szCs w:val="24"/>
        </w:rPr>
        <w:t>How do you steer a network</w:t>
      </w:r>
      <w:r w:rsidR="00054607">
        <w:rPr>
          <w:rFonts w:asciiTheme="majorBidi" w:hAnsiTheme="majorBidi" w:cstheme="majorBidi"/>
          <w:sz w:val="24"/>
          <w:szCs w:val="24"/>
        </w:rPr>
        <w:t xml:space="preserve"> (</w:t>
      </w:r>
      <w:r w:rsidR="00054607" w:rsidRPr="00615890">
        <w:rPr>
          <w:rFonts w:ascii="Times New Roman" w:hAnsi="Times New Roman" w:hint="eastAsia"/>
          <w:sz w:val="24"/>
          <w:szCs w:val="24"/>
        </w:rPr>
        <w:t>罗茨</w:t>
      </w:r>
      <w:r w:rsidR="00054607">
        <w:rPr>
          <w:rFonts w:ascii="Times New Roman" w:hAnsi="Times New Roman"/>
          <w:sz w:val="24"/>
          <w:szCs w:val="24"/>
        </w:rPr>
        <w:t xml:space="preserve"> 2015)</w:t>
      </w:r>
      <w:r w:rsidR="00397288">
        <w:rPr>
          <w:rFonts w:asciiTheme="majorBidi" w:hAnsiTheme="majorBidi" w:cstheme="majorBidi"/>
          <w:sz w:val="24"/>
          <w:szCs w:val="24"/>
        </w:rPr>
        <w:t xml:space="preserve">? </w:t>
      </w:r>
      <w:r w:rsidR="00406D89" w:rsidRPr="00C94D35">
        <w:rPr>
          <w:rFonts w:asciiTheme="majorBidi" w:hAnsiTheme="majorBidi" w:cstheme="majorBidi"/>
          <w:sz w:val="24"/>
          <w:szCs w:val="24"/>
        </w:rPr>
        <w:t xml:space="preserve">If effective management requires local knowledge, what is the best way of collecting and using that knowledge? If effective network management requires indirect, hands-off steering can the CCP stand back and rely on light touch regulation. </w:t>
      </w:r>
      <w:r w:rsidR="00C94D35" w:rsidRPr="00C94D35">
        <w:rPr>
          <w:rFonts w:asciiTheme="majorBidi" w:hAnsiTheme="majorBidi" w:cstheme="majorBidi"/>
          <w:sz w:val="24"/>
          <w:szCs w:val="24"/>
        </w:rPr>
        <w:t>If local networks have greater discretion, what are the implications fo</w:t>
      </w:r>
      <w:r w:rsidR="00C94D35">
        <w:rPr>
          <w:rFonts w:asciiTheme="majorBidi" w:hAnsiTheme="majorBidi" w:cstheme="majorBidi"/>
          <w:sz w:val="24"/>
          <w:szCs w:val="24"/>
        </w:rPr>
        <w:t>r</w:t>
      </w:r>
      <w:r w:rsidR="00C94D35" w:rsidRPr="00C94D35">
        <w:rPr>
          <w:rFonts w:asciiTheme="majorBidi" w:hAnsiTheme="majorBidi" w:cstheme="majorBidi"/>
          <w:sz w:val="24"/>
          <w:szCs w:val="24"/>
        </w:rPr>
        <w:t xml:space="preserve"> official corruption?</w:t>
      </w:r>
      <w:r w:rsidR="00C94D35">
        <w:rPr>
          <w:rFonts w:asciiTheme="majorBidi" w:hAnsiTheme="majorBidi" w:cstheme="majorBidi"/>
          <w:sz w:val="24"/>
          <w:szCs w:val="24"/>
        </w:rPr>
        <w:t xml:space="preserve"> In short, the governance perspective poses potentially edifying questions </w:t>
      </w:r>
      <w:r w:rsidR="00BB2FA5">
        <w:rPr>
          <w:rFonts w:asciiTheme="majorBidi" w:hAnsiTheme="majorBidi" w:cstheme="majorBidi"/>
          <w:sz w:val="24"/>
          <w:szCs w:val="24"/>
        </w:rPr>
        <w:t>about Chinese</w:t>
      </w:r>
      <w:r w:rsidR="00C94D35">
        <w:rPr>
          <w:rFonts w:asciiTheme="majorBidi" w:hAnsiTheme="majorBidi" w:cstheme="majorBidi"/>
          <w:sz w:val="24"/>
          <w:szCs w:val="24"/>
        </w:rPr>
        <w:t xml:space="preserve"> govern</w:t>
      </w:r>
      <w:r w:rsidR="00E655FB">
        <w:rPr>
          <w:rFonts w:asciiTheme="majorBidi" w:hAnsiTheme="majorBidi" w:cstheme="majorBidi"/>
          <w:sz w:val="24"/>
          <w:szCs w:val="24"/>
        </w:rPr>
        <w:t>ance</w:t>
      </w:r>
      <w:r w:rsidR="00C94D35">
        <w:rPr>
          <w:rFonts w:asciiTheme="majorBidi" w:hAnsiTheme="majorBidi" w:cstheme="majorBidi"/>
          <w:sz w:val="24"/>
          <w:szCs w:val="24"/>
        </w:rPr>
        <w:t>. Beyond dispute, it provides a lengthy research agenda for specialists in Chinese public administration.</w:t>
      </w:r>
    </w:p>
    <w:p w:rsidR="000F3824" w:rsidRDefault="000F3824" w:rsidP="00815640">
      <w:pPr>
        <w:ind w:firstLine="720"/>
        <w:rPr>
          <w:rFonts w:asciiTheme="majorBidi" w:hAnsiTheme="majorBidi" w:cstheme="majorBidi"/>
          <w:b/>
          <w:bCs/>
          <w:sz w:val="24"/>
          <w:szCs w:val="24"/>
        </w:rPr>
      </w:pPr>
      <w:r>
        <w:rPr>
          <w:rFonts w:asciiTheme="majorBidi" w:hAnsiTheme="majorBidi" w:cstheme="majorBidi"/>
          <w:b/>
          <w:bCs/>
          <w:sz w:val="24"/>
          <w:szCs w:val="24"/>
        </w:rPr>
        <w:br w:type="page"/>
      </w:r>
    </w:p>
    <w:p w:rsidR="00D136F3" w:rsidRPr="00CB19CB" w:rsidRDefault="00FF4718" w:rsidP="0043753F">
      <w:pPr>
        <w:pStyle w:val="Heading1"/>
        <w:spacing w:before="0" w:line="480" w:lineRule="auto"/>
      </w:pPr>
      <w:r w:rsidRPr="00CB19CB">
        <w:t xml:space="preserve">References </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Ansell, C. and Torfing, J. (2016) ‘Epilogue: the Current Status and Future Development of Governance Theories’, in Ansell, C. and Torfing, J. (Eds.) </w:t>
      </w:r>
      <w:r w:rsidRPr="00615890">
        <w:rPr>
          <w:rFonts w:asciiTheme="majorBidi" w:hAnsiTheme="majorBidi" w:cstheme="majorBidi"/>
          <w:i/>
          <w:iCs/>
          <w:sz w:val="24"/>
          <w:szCs w:val="24"/>
        </w:rPr>
        <w:t>Handbook on Theories of Governance</w:t>
      </w:r>
      <w:r w:rsidRPr="00615890">
        <w:rPr>
          <w:rFonts w:asciiTheme="majorBidi" w:hAnsiTheme="majorBidi" w:cstheme="majorBidi"/>
          <w:sz w:val="24"/>
          <w:szCs w:val="24"/>
        </w:rPr>
        <w:t xml:space="preserve">. Cheltenham: Edward Elgar, pp. 551-59. </w:t>
      </w:r>
    </w:p>
    <w:p w:rsidR="00615890" w:rsidRPr="00615890" w:rsidRDefault="00615890"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Bale, T. (2014) ‘Inside the Tory mind’, </w:t>
      </w:r>
      <w:r w:rsidRPr="00615890">
        <w:rPr>
          <w:rFonts w:asciiTheme="majorBidi" w:hAnsiTheme="majorBidi" w:cstheme="majorBidi"/>
          <w:i/>
          <w:iCs/>
          <w:sz w:val="24"/>
          <w:szCs w:val="24"/>
        </w:rPr>
        <w:t>Progress</w:t>
      </w:r>
      <w:r w:rsidRPr="00615890">
        <w:rPr>
          <w:rFonts w:asciiTheme="majorBidi" w:hAnsiTheme="majorBidi" w:cstheme="majorBidi"/>
          <w:sz w:val="24"/>
          <w:szCs w:val="24"/>
        </w:rPr>
        <w:t>, 3 February 2014.</w:t>
      </w:r>
      <w:r w:rsidRPr="00615890">
        <w:rPr>
          <w:rFonts w:asciiTheme="majorBidi" w:hAnsiTheme="majorBidi" w:cstheme="majorBidi"/>
          <w:sz w:val="24"/>
          <w:szCs w:val="24"/>
          <w:bdr w:val="none" w:sz="0" w:space="0" w:color="auto" w:frame="1"/>
        </w:rPr>
        <w:t xml:space="preserve"> Available@: </w:t>
      </w:r>
      <w:hyperlink r:id="rId7" w:history="1">
        <w:r w:rsidRPr="00615890">
          <w:rPr>
            <w:rStyle w:val="Hyperlink"/>
            <w:rFonts w:asciiTheme="majorBidi" w:hAnsiTheme="majorBidi" w:cstheme="majorBidi"/>
            <w:sz w:val="24"/>
            <w:szCs w:val="24"/>
            <w:bdr w:val="none" w:sz="0" w:space="0" w:color="auto" w:frame="1"/>
          </w:rPr>
          <w:t>http://www.progressonline.org.uk/2014/02/03/inside-the-tory-mind-2/</w:t>
        </w:r>
      </w:hyperlink>
      <w:r w:rsidRPr="00615890">
        <w:rPr>
          <w:rFonts w:asciiTheme="majorBidi" w:hAnsiTheme="majorBidi" w:cstheme="majorBidi"/>
          <w:sz w:val="24"/>
          <w:szCs w:val="24"/>
          <w:bdr w:val="none" w:sz="0" w:space="0" w:color="auto" w:frame="1"/>
        </w:rPr>
        <w:t xml:space="preserve"> </w:t>
      </w:r>
      <w:r w:rsidR="00974031">
        <w:rPr>
          <w:rFonts w:asciiTheme="majorBidi" w:hAnsiTheme="majorBidi" w:cstheme="majorBidi"/>
          <w:sz w:val="24"/>
          <w:szCs w:val="24"/>
          <w:bdr w:val="none" w:sz="0" w:space="0" w:color="auto" w:frame="1"/>
        </w:rPr>
        <w:t xml:space="preserve">. </w:t>
      </w:r>
      <w:r w:rsidRPr="00615890">
        <w:rPr>
          <w:rFonts w:asciiTheme="majorBidi" w:hAnsiTheme="majorBidi" w:cstheme="majorBidi"/>
          <w:sz w:val="24"/>
          <w:szCs w:val="24"/>
        </w:rPr>
        <w:t>Last accessed 8 July 2015.</w:t>
      </w:r>
    </w:p>
    <w:p w:rsidR="00660673" w:rsidRPr="00615890" w:rsidRDefault="00660673" w:rsidP="00CF2006">
      <w:pPr>
        <w:spacing w:after="240" w:line="240" w:lineRule="auto"/>
        <w:ind w:right="-46" w:firstLine="720"/>
        <w:rPr>
          <w:rStyle w:val="apple-converted-space"/>
          <w:rFonts w:asciiTheme="majorBidi" w:hAnsiTheme="majorBidi" w:cstheme="majorBidi"/>
          <w:color w:val="111111"/>
          <w:sz w:val="24"/>
          <w:szCs w:val="24"/>
        </w:rPr>
      </w:pPr>
      <w:r w:rsidRPr="00615890">
        <w:rPr>
          <w:rFonts w:asciiTheme="majorBidi" w:hAnsiTheme="majorBidi" w:cstheme="majorBidi"/>
          <w:sz w:val="24"/>
          <w:szCs w:val="24"/>
        </w:rPr>
        <w:t xml:space="preserve">Barthes, R. (1977) ‘Death of the Author’, in his </w:t>
      </w:r>
      <w:r w:rsidRPr="00615890">
        <w:rPr>
          <w:rStyle w:val="a-size-large"/>
          <w:rFonts w:asciiTheme="majorBidi" w:hAnsiTheme="majorBidi" w:cstheme="majorBidi"/>
          <w:i/>
          <w:iCs/>
          <w:color w:val="111111"/>
          <w:sz w:val="24"/>
          <w:szCs w:val="24"/>
        </w:rPr>
        <w:t>Image-Music-Text</w:t>
      </w:r>
      <w:r w:rsidRPr="00615890">
        <w:rPr>
          <w:rStyle w:val="apple-converted-space"/>
          <w:rFonts w:asciiTheme="majorBidi" w:hAnsiTheme="majorBidi" w:cstheme="majorBidi"/>
          <w:color w:val="111111"/>
          <w:sz w:val="24"/>
          <w:szCs w:val="24"/>
        </w:rPr>
        <w:t>. New York: Hill and Wang, pp. 142-8.</w:t>
      </w:r>
    </w:p>
    <w:p w:rsidR="00660673" w:rsidRPr="00615890" w:rsidRDefault="00660673" w:rsidP="00CF2006">
      <w:pPr>
        <w:spacing w:after="240" w:line="240" w:lineRule="auto"/>
        <w:ind w:firstLine="720"/>
        <w:rPr>
          <w:rFonts w:asciiTheme="majorBidi" w:hAnsiTheme="majorBidi" w:cstheme="majorBidi"/>
          <w:sz w:val="24"/>
          <w:szCs w:val="24"/>
        </w:rPr>
      </w:pPr>
      <w:r w:rsidRPr="00615890">
        <w:rPr>
          <w:rFonts w:asciiTheme="majorBidi" w:hAnsiTheme="majorBidi" w:cstheme="majorBidi"/>
          <w:sz w:val="24"/>
          <w:szCs w:val="24"/>
        </w:rPr>
        <w:t xml:space="preserve">Bell, S. and Hindmoor, A. (2009) </w:t>
      </w:r>
      <w:r w:rsidRPr="00615890">
        <w:rPr>
          <w:rFonts w:asciiTheme="majorBidi" w:hAnsiTheme="majorBidi" w:cstheme="majorBidi"/>
          <w:i/>
          <w:iCs/>
          <w:sz w:val="24"/>
          <w:szCs w:val="24"/>
        </w:rPr>
        <w:t>Rethinking Governance: The Centrality of the State in Modern Society</w:t>
      </w:r>
      <w:r w:rsidRPr="00615890">
        <w:rPr>
          <w:rFonts w:asciiTheme="majorBidi" w:hAnsiTheme="majorBidi" w:cstheme="majorBidi"/>
          <w:sz w:val="24"/>
          <w:szCs w:val="24"/>
        </w:rPr>
        <w:t>. Cambridge: Cambridge University Press.  </w:t>
      </w:r>
    </w:p>
    <w:p w:rsidR="000B6D31" w:rsidRDefault="000B6D31" w:rsidP="00CF2006">
      <w:pPr>
        <w:tabs>
          <w:tab w:val="left" w:pos="9072"/>
        </w:tabs>
        <w:spacing w:after="240" w:line="240" w:lineRule="auto"/>
        <w:ind w:right="-45" w:firstLine="720"/>
        <w:rPr>
          <w:rFonts w:asciiTheme="majorBidi" w:hAnsiTheme="majorBidi" w:cstheme="majorBidi"/>
          <w:sz w:val="24"/>
          <w:szCs w:val="24"/>
        </w:rPr>
      </w:pPr>
      <w:r w:rsidRPr="000B6D31">
        <w:rPr>
          <w:rFonts w:asciiTheme="majorBidi" w:hAnsiTheme="majorBidi" w:cstheme="majorBidi"/>
          <w:sz w:val="24"/>
          <w:szCs w:val="24"/>
        </w:rPr>
        <w:t xml:space="preserve">Bevir, M. (2005) </w:t>
      </w:r>
      <w:r w:rsidRPr="000B6D31">
        <w:rPr>
          <w:rFonts w:asciiTheme="majorBidi" w:hAnsiTheme="majorBidi" w:cstheme="majorBidi"/>
          <w:i/>
          <w:iCs/>
          <w:sz w:val="24"/>
          <w:szCs w:val="24"/>
        </w:rPr>
        <w:t xml:space="preserve">New Labour: a Critique. </w:t>
      </w:r>
      <w:r w:rsidRPr="000B6D31">
        <w:rPr>
          <w:rFonts w:asciiTheme="majorBidi" w:hAnsiTheme="majorBidi" w:cstheme="majorBidi"/>
          <w:sz w:val="24"/>
          <w:szCs w:val="24"/>
        </w:rPr>
        <w:t>Abingdon, Oxon: Routledge.</w:t>
      </w:r>
    </w:p>
    <w:p w:rsidR="00713300" w:rsidRDefault="00054607" w:rsidP="00713300">
      <w:pPr>
        <w:rPr>
          <w:rFonts w:asciiTheme="majorBidi" w:hAnsiTheme="majorBidi" w:cstheme="majorBidi"/>
          <w:b/>
          <w:bCs/>
          <w:sz w:val="24"/>
          <w:szCs w:val="24"/>
        </w:rPr>
      </w:pPr>
      <w:r w:rsidRPr="00713300">
        <w:rPr>
          <w:rFonts w:asciiTheme="majorBidi" w:hAnsiTheme="majorBidi" w:cstheme="majorBidi"/>
          <w:sz w:val="24"/>
          <w:szCs w:val="24"/>
        </w:rPr>
        <w:t xml:space="preserve">Bevir, M. (2013) </w:t>
      </w:r>
      <w:r w:rsidRPr="00713300">
        <w:rPr>
          <w:rFonts w:asciiTheme="majorBidi" w:hAnsiTheme="majorBidi" w:cstheme="majorBidi"/>
          <w:i/>
          <w:iCs/>
          <w:sz w:val="24"/>
          <w:szCs w:val="24"/>
        </w:rPr>
        <w:t>A Theory of Governance</w:t>
      </w:r>
      <w:r w:rsidRPr="00713300">
        <w:rPr>
          <w:rFonts w:asciiTheme="majorBidi" w:hAnsiTheme="majorBidi" w:cstheme="majorBidi"/>
          <w:sz w:val="24"/>
          <w:szCs w:val="24"/>
        </w:rPr>
        <w:t>. University of California, e-Scholarship</w:t>
      </w:r>
      <w:r w:rsidR="00713300">
        <w:rPr>
          <w:rFonts w:asciiTheme="majorBidi" w:hAnsiTheme="majorBidi" w:cstheme="majorBidi"/>
          <w:sz w:val="24"/>
          <w:szCs w:val="24"/>
        </w:rPr>
        <w:t>,</w:t>
      </w:r>
      <w:r w:rsidR="00713300" w:rsidRPr="00713300">
        <w:rPr>
          <w:rFonts w:asciiTheme="majorBidi" w:hAnsiTheme="majorBidi" w:cstheme="majorBidi"/>
          <w:sz w:val="24"/>
          <w:szCs w:val="24"/>
        </w:rPr>
        <w:t xml:space="preserve"> GAIA Books. Available @:</w:t>
      </w:r>
      <w:r w:rsidR="00713300">
        <w:rPr>
          <w:rFonts w:asciiTheme="majorBidi" w:hAnsiTheme="majorBidi" w:cstheme="majorBidi"/>
          <w:sz w:val="24"/>
          <w:szCs w:val="24"/>
        </w:rPr>
        <w:t xml:space="preserve"> </w:t>
      </w:r>
      <w:hyperlink r:id="rId8" w:history="1">
        <w:r w:rsidR="00713300" w:rsidRPr="00B8509F">
          <w:rPr>
            <w:rStyle w:val="Hyperlink"/>
            <w:rFonts w:asciiTheme="majorBidi" w:hAnsiTheme="majorBidi" w:cstheme="majorBidi"/>
            <w:sz w:val="24"/>
            <w:szCs w:val="24"/>
          </w:rPr>
          <w:t>http://escholarship.org/uc/item/2qs2w3rb</w:t>
        </w:r>
      </w:hyperlink>
      <w:r w:rsidR="00713300">
        <w:rPr>
          <w:rFonts w:asciiTheme="majorBidi" w:hAnsiTheme="majorBidi" w:cstheme="majorBidi"/>
          <w:sz w:val="24"/>
          <w:szCs w:val="24"/>
        </w:rPr>
        <w:t xml:space="preserve">. </w:t>
      </w:r>
    </w:p>
    <w:p w:rsidR="000B6D31" w:rsidRPr="000B6D31" w:rsidRDefault="000B6D31" w:rsidP="00CF2006">
      <w:pPr>
        <w:spacing w:after="240" w:line="240" w:lineRule="auto"/>
        <w:ind w:right="-45" w:firstLine="720"/>
        <w:rPr>
          <w:rFonts w:asciiTheme="majorBidi" w:hAnsiTheme="majorBidi" w:cstheme="majorBidi"/>
          <w:sz w:val="24"/>
          <w:szCs w:val="24"/>
        </w:rPr>
      </w:pPr>
      <w:r w:rsidRPr="000B6D31">
        <w:rPr>
          <w:rFonts w:asciiTheme="majorBidi" w:hAnsiTheme="majorBidi" w:cstheme="majorBidi"/>
          <w:sz w:val="24"/>
          <w:szCs w:val="24"/>
        </w:rPr>
        <w:t>Bevir, M. and Rhodes R. A. W. (2003) In</w:t>
      </w:r>
      <w:r w:rsidRPr="000B6D31">
        <w:rPr>
          <w:rFonts w:asciiTheme="majorBidi" w:hAnsiTheme="majorBidi" w:cstheme="majorBidi"/>
          <w:i/>
          <w:iCs/>
          <w:sz w:val="24"/>
          <w:szCs w:val="24"/>
        </w:rPr>
        <w:t>terpreting British Governance</w:t>
      </w:r>
      <w:r w:rsidRPr="000B6D31">
        <w:rPr>
          <w:rFonts w:asciiTheme="majorBidi" w:hAnsiTheme="majorBidi" w:cstheme="majorBidi"/>
          <w:sz w:val="24"/>
          <w:szCs w:val="24"/>
        </w:rPr>
        <w:t>. London: Routledge.</w:t>
      </w:r>
    </w:p>
    <w:p w:rsidR="000B6D31" w:rsidRPr="000B6D31" w:rsidRDefault="000B6D31" w:rsidP="00CF2006">
      <w:pPr>
        <w:tabs>
          <w:tab w:val="left" w:pos="9072"/>
        </w:tabs>
        <w:spacing w:after="240" w:line="240" w:lineRule="auto"/>
        <w:ind w:right="-45" w:firstLine="720"/>
        <w:rPr>
          <w:rFonts w:asciiTheme="majorBidi" w:hAnsiTheme="majorBidi" w:cstheme="majorBidi"/>
          <w:sz w:val="24"/>
          <w:szCs w:val="24"/>
        </w:rPr>
      </w:pPr>
      <w:r w:rsidRPr="000B6D31">
        <w:rPr>
          <w:rFonts w:asciiTheme="majorBidi" w:hAnsiTheme="majorBidi" w:cstheme="majorBidi"/>
          <w:sz w:val="24"/>
          <w:szCs w:val="24"/>
        </w:rPr>
        <w:t xml:space="preserve">Bevir, M. and Rhodes, R. A. W. (2010) </w:t>
      </w:r>
      <w:r w:rsidRPr="000B6D31">
        <w:rPr>
          <w:rFonts w:asciiTheme="majorBidi" w:hAnsiTheme="majorBidi" w:cstheme="majorBidi"/>
          <w:i/>
          <w:sz w:val="24"/>
          <w:szCs w:val="24"/>
        </w:rPr>
        <w:t>The State as Cultural Practice</w:t>
      </w:r>
      <w:r w:rsidRPr="000B6D31">
        <w:rPr>
          <w:rFonts w:asciiTheme="majorBidi" w:hAnsiTheme="majorBidi" w:cstheme="majorBidi"/>
          <w:sz w:val="24"/>
          <w:szCs w:val="24"/>
        </w:rPr>
        <w:t xml:space="preserve">. Oxford: Oxford University Press. </w:t>
      </w:r>
    </w:p>
    <w:p w:rsidR="00974031" w:rsidRDefault="00660673" w:rsidP="00EE5AB0">
      <w:pPr>
        <w:pStyle w:val="List"/>
        <w:spacing w:after="240"/>
        <w:ind w:left="0" w:firstLine="709"/>
        <w:rPr>
          <w:rFonts w:asciiTheme="majorBidi" w:hAnsiTheme="majorBidi" w:cstheme="majorBidi"/>
          <w:color w:val="000000"/>
          <w:sz w:val="24"/>
          <w:szCs w:val="24"/>
        </w:rPr>
      </w:pPr>
      <w:r w:rsidRPr="00615890">
        <w:rPr>
          <w:rFonts w:asciiTheme="majorBidi" w:hAnsiTheme="majorBidi" w:cstheme="majorBidi"/>
          <w:sz w:val="24"/>
          <w:szCs w:val="24"/>
        </w:rPr>
        <w:t xml:space="preserve">Bevir, M. and Rhodes, R. A. W. (2016) </w:t>
      </w:r>
      <w:r w:rsidR="00974031" w:rsidRPr="00B316FF">
        <w:rPr>
          <w:rFonts w:asciiTheme="majorBidi" w:hAnsiTheme="majorBidi" w:cstheme="majorBidi"/>
          <w:color w:val="000000"/>
          <w:sz w:val="24"/>
          <w:szCs w:val="24"/>
        </w:rPr>
        <w:t>‘The “3Rs” in Rethinking Gove</w:t>
      </w:r>
      <w:r w:rsidR="00974031">
        <w:rPr>
          <w:rFonts w:asciiTheme="majorBidi" w:hAnsiTheme="majorBidi" w:cstheme="majorBidi"/>
          <w:color w:val="000000"/>
          <w:sz w:val="24"/>
          <w:szCs w:val="24"/>
        </w:rPr>
        <w:t>rnance: Ruling, Rationalities, a</w:t>
      </w:r>
      <w:r w:rsidR="00974031" w:rsidRPr="00B316FF">
        <w:rPr>
          <w:rFonts w:asciiTheme="majorBidi" w:hAnsiTheme="majorBidi" w:cstheme="majorBidi"/>
          <w:color w:val="000000"/>
          <w:sz w:val="24"/>
          <w:szCs w:val="24"/>
        </w:rPr>
        <w:t xml:space="preserve">nd Resistance’, in Mark Bevir </w:t>
      </w:r>
      <w:r w:rsidR="00974031">
        <w:rPr>
          <w:rFonts w:asciiTheme="majorBidi" w:hAnsiTheme="majorBidi" w:cstheme="majorBidi"/>
          <w:color w:val="000000"/>
          <w:sz w:val="24"/>
          <w:szCs w:val="24"/>
        </w:rPr>
        <w:t xml:space="preserve">and R. A. W. Rhodes (Eds.) </w:t>
      </w:r>
      <w:r w:rsidR="00974031" w:rsidRPr="00B316FF">
        <w:rPr>
          <w:rFonts w:asciiTheme="majorBidi" w:hAnsiTheme="majorBidi" w:cstheme="majorBidi"/>
          <w:i/>
          <w:iCs/>
          <w:color w:val="000000"/>
          <w:sz w:val="24"/>
          <w:szCs w:val="24"/>
        </w:rPr>
        <w:t xml:space="preserve">Rethinking Governance: ruling rationalities and resistance. </w:t>
      </w:r>
      <w:r w:rsidR="00974031" w:rsidRPr="00B316FF">
        <w:rPr>
          <w:rFonts w:asciiTheme="majorBidi" w:hAnsiTheme="majorBidi" w:cstheme="majorBidi"/>
          <w:color w:val="000000"/>
          <w:sz w:val="24"/>
          <w:szCs w:val="24"/>
        </w:rPr>
        <w:t xml:space="preserve"> Abingdon, Oxon: Routledge, </w:t>
      </w:r>
      <w:r w:rsidR="00974031">
        <w:rPr>
          <w:rFonts w:asciiTheme="majorBidi" w:hAnsiTheme="majorBidi" w:cstheme="majorBidi"/>
          <w:color w:val="000000"/>
          <w:sz w:val="24"/>
          <w:szCs w:val="24"/>
        </w:rPr>
        <w:t>pp. 1-21.</w:t>
      </w:r>
    </w:p>
    <w:p w:rsidR="00660673" w:rsidRPr="00B10BB1" w:rsidRDefault="00660673" w:rsidP="00DC0B3C">
      <w:pPr>
        <w:spacing w:after="240" w:line="240" w:lineRule="auto"/>
        <w:ind w:firstLine="720"/>
        <w:rPr>
          <w:rFonts w:asciiTheme="majorBidi" w:hAnsiTheme="majorBidi" w:cstheme="majorBidi"/>
          <w:color w:val="434343"/>
          <w:sz w:val="24"/>
          <w:szCs w:val="24"/>
          <w:shd w:val="clear" w:color="auto" w:fill="F7F7F7"/>
        </w:rPr>
      </w:pPr>
      <w:r w:rsidRPr="00DC0B3C">
        <w:rPr>
          <w:rFonts w:asciiTheme="majorBidi" w:hAnsiTheme="majorBidi" w:cs="Times New Roman"/>
          <w:color w:val="000000" w:themeColor="text1"/>
          <w:sz w:val="24"/>
          <w:szCs w:val="24"/>
        </w:rPr>
        <w:t xml:space="preserve">Blair Tony (1999) Speech by the Prime Minister, Rt. Hon Tony Blair MP, at the British Venture Capital Association Conference at the Intercontinental Hotel, London, on Tuesday 6 July. </w:t>
      </w:r>
      <w:r w:rsidR="00B10BB1" w:rsidRPr="00B10BB1">
        <w:rPr>
          <w:rFonts w:asciiTheme="majorBidi" w:hAnsiTheme="majorBidi" w:cstheme="majorBidi"/>
          <w:color w:val="434343"/>
          <w:sz w:val="24"/>
          <w:szCs w:val="24"/>
          <w:shd w:val="clear" w:color="auto" w:fill="F7F7F7"/>
        </w:rPr>
        <w:t xml:space="preserve">Available@: </w:t>
      </w:r>
      <w:hyperlink r:id="rId9" w:history="1">
        <w:r w:rsidR="00B10BB1" w:rsidRPr="00B10BB1">
          <w:rPr>
            <w:rStyle w:val="Hyperlink"/>
            <w:rFonts w:asciiTheme="majorBidi" w:hAnsiTheme="majorBidi" w:cstheme="majorBidi"/>
            <w:sz w:val="24"/>
            <w:szCs w:val="24"/>
            <w:shd w:val="clear" w:color="auto" w:fill="F7F7F7"/>
          </w:rPr>
          <w:t>http://www.parliament.uk/business/publications/business-papers/commons/deposited-papers/?max=10&amp;y=1999&amp;search_term=Prime+Minister&amp;itemId=120543</w:t>
        </w:r>
      </w:hyperlink>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Blyth, M. (2013) </w:t>
      </w:r>
      <w:r w:rsidRPr="00615890">
        <w:rPr>
          <w:rFonts w:asciiTheme="majorBidi" w:hAnsiTheme="majorBidi" w:cstheme="majorBidi"/>
          <w:i/>
          <w:iCs/>
          <w:sz w:val="24"/>
          <w:szCs w:val="24"/>
        </w:rPr>
        <w:t>Austerity: The History of a Dangerous Idea</w:t>
      </w:r>
      <w:r w:rsidRPr="00615890">
        <w:rPr>
          <w:rFonts w:asciiTheme="majorBidi" w:hAnsiTheme="majorBidi" w:cstheme="majorBidi"/>
          <w:sz w:val="24"/>
          <w:szCs w:val="24"/>
        </w:rPr>
        <w:t>. Oxford: Oxford University Press.</w:t>
      </w:r>
    </w:p>
    <w:p w:rsidR="00660673" w:rsidRPr="00615890" w:rsidRDefault="00660673" w:rsidP="00CF2006">
      <w:pPr>
        <w:spacing w:after="240" w:line="240" w:lineRule="auto"/>
        <w:ind w:right="-46" w:firstLine="720"/>
        <w:rPr>
          <w:rFonts w:asciiTheme="majorBidi" w:hAnsiTheme="majorBidi" w:cstheme="majorBidi"/>
          <w:i/>
          <w:iCs/>
          <w:color w:val="000000"/>
          <w:sz w:val="24"/>
          <w:szCs w:val="24"/>
        </w:rPr>
      </w:pPr>
      <w:r w:rsidRPr="00615890">
        <w:rPr>
          <w:rFonts w:asciiTheme="majorBidi" w:hAnsiTheme="majorBidi" w:cstheme="majorBidi"/>
          <w:color w:val="000000"/>
          <w:sz w:val="24"/>
          <w:szCs w:val="24"/>
        </w:rPr>
        <w:t xml:space="preserve">Bowman, A., Ertürk, I., Folkman, P., Froud, J., Haslam, C., Johal, S., Leaver, A., Moran, M., Tsitsianis, N. and Williams, K. (2015) </w:t>
      </w:r>
      <w:r w:rsidRPr="00615890">
        <w:rPr>
          <w:rFonts w:asciiTheme="majorBidi" w:hAnsiTheme="majorBidi" w:cstheme="majorBidi"/>
          <w:i/>
          <w:iCs/>
          <w:color w:val="000000"/>
          <w:sz w:val="24"/>
          <w:szCs w:val="24"/>
        </w:rPr>
        <w:t xml:space="preserve">What a Waste. Outsourcing and How It Goes Wrong. </w:t>
      </w:r>
      <w:r w:rsidRPr="00615890">
        <w:rPr>
          <w:rFonts w:asciiTheme="majorBidi" w:hAnsiTheme="majorBidi" w:cstheme="majorBidi"/>
          <w:color w:val="000000"/>
          <w:sz w:val="24"/>
          <w:szCs w:val="24"/>
        </w:rPr>
        <w:t xml:space="preserve">Manchester: Manchester University Press. </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Clifton, J. (2014) ‘Beyond </w:t>
      </w:r>
      <w:r w:rsidR="00E95783">
        <w:rPr>
          <w:rFonts w:asciiTheme="majorBidi" w:hAnsiTheme="majorBidi" w:cstheme="majorBidi"/>
          <w:sz w:val="24"/>
          <w:szCs w:val="24"/>
        </w:rPr>
        <w:t>Hollowing-out</w:t>
      </w:r>
      <w:r w:rsidRPr="00615890">
        <w:rPr>
          <w:rFonts w:asciiTheme="majorBidi" w:hAnsiTheme="majorBidi" w:cstheme="majorBidi"/>
          <w:sz w:val="24"/>
          <w:szCs w:val="24"/>
        </w:rPr>
        <w:t xml:space="preserve">: Straitjacketing the State’, </w:t>
      </w:r>
      <w:r w:rsidRPr="00615890">
        <w:rPr>
          <w:rFonts w:asciiTheme="majorBidi" w:hAnsiTheme="majorBidi" w:cstheme="majorBidi"/>
          <w:i/>
          <w:iCs/>
          <w:sz w:val="24"/>
          <w:szCs w:val="24"/>
        </w:rPr>
        <w:t>The Political Quarterly</w:t>
      </w:r>
      <w:r w:rsidRPr="00615890">
        <w:rPr>
          <w:rFonts w:asciiTheme="majorBidi" w:hAnsiTheme="majorBidi" w:cstheme="majorBidi"/>
          <w:sz w:val="24"/>
          <w:szCs w:val="24"/>
        </w:rPr>
        <w:t xml:space="preserve"> 85: 437-44.</w:t>
      </w:r>
    </w:p>
    <w:p w:rsidR="00660673" w:rsidRPr="00615890" w:rsidRDefault="00660673" w:rsidP="00DC0B3C">
      <w:pPr>
        <w:spacing w:after="240" w:line="240" w:lineRule="auto"/>
        <w:ind w:right="-45" w:firstLine="720"/>
        <w:rPr>
          <w:rFonts w:asciiTheme="majorBidi" w:hAnsiTheme="majorBidi" w:cstheme="majorBidi"/>
          <w:sz w:val="24"/>
          <w:szCs w:val="24"/>
          <w:lang w:eastAsia="zh-TW"/>
        </w:rPr>
      </w:pPr>
      <w:r w:rsidRPr="00615890">
        <w:rPr>
          <w:rFonts w:asciiTheme="majorBidi" w:hAnsiTheme="majorBidi" w:cstheme="majorBidi"/>
          <w:sz w:val="24"/>
          <w:szCs w:val="24"/>
        </w:rPr>
        <w:t>Colebatch</w:t>
      </w:r>
      <w:r w:rsidRPr="00615890">
        <w:rPr>
          <w:rFonts w:asciiTheme="majorBidi" w:hAnsiTheme="majorBidi" w:cstheme="majorBidi"/>
          <w:sz w:val="24"/>
          <w:szCs w:val="24"/>
          <w:lang w:eastAsia="zh-TW"/>
        </w:rPr>
        <w:t xml:space="preserve">, </w:t>
      </w:r>
      <w:r w:rsidRPr="00615890">
        <w:rPr>
          <w:rFonts w:asciiTheme="majorBidi" w:hAnsiTheme="majorBidi" w:cstheme="majorBidi"/>
          <w:sz w:val="24"/>
          <w:szCs w:val="24"/>
        </w:rPr>
        <w:t xml:space="preserve">H. K. </w:t>
      </w:r>
      <w:r w:rsidRPr="00615890">
        <w:rPr>
          <w:rFonts w:asciiTheme="majorBidi" w:hAnsiTheme="majorBidi" w:cstheme="majorBidi"/>
          <w:sz w:val="24"/>
          <w:szCs w:val="24"/>
          <w:lang w:eastAsia="zh-TW"/>
        </w:rPr>
        <w:t>(2009) ‘</w:t>
      </w:r>
      <w:r w:rsidRPr="00615890">
        <w:rPr>
          <w:rFonts w:asciiTheme="majorBidi" w:hAnsiTheme="majorBidi" w:cstheme="majorBidi"/>
          <w:sz w:val="24"/>
          <w:szCs w:val="24"/>
        </w:rPr>
        <w:t xml:space="preserve">Governance as a </w:t>
      </w:r>
      <w:r w:rsidR="00DC0B3C" w:rsidRPr="00615890">
        <w:rPr>
          <w:rFonts w:asciiTheme="majorBidi" w:hAnsiTheme="majorBidi" w:cstheme="majorBidi"/>
          <w:sz w:val="24"/>
          <w:szCs w:val="24"/>
        </w:rPr>
        <w:t xml:space="preserve">Conceptual Development </w:t>
      </w:r>
      <w:r w:rsidRPr="00615890">
        <w:rPr>
          <w:rFonts w:asciiTheme="majorBidi" w:hAnsiTheme="majorBidi" w:cstheme="majorBidi"/>
          <w:sz w:val="24"/>
          <w:szCs w:val="24"/>
        </w:rPr>
        <w:t xml:space="preserve">in the </w:t>
      </w:r>
      <w:r w:rsidR="00DC0B3C" w:rsidRPr="00615890">
        <w:rPr>
          <w:rFonts w:asciiTheme="majorBidi" w:hAnsiTheme="majorBidi" w:cstheme="majorBidi"/>
          <w:sz w:val="24"/>
          <w:szCs w:val="24"/>
        </w:rPr>
        <w:t xml:space="preserve">Analysis </w:t>
      </w:r>
      <w:r w:rsidRPr="00615890">
        <w:rPr>
          <w:rFonts w:asciiTheme="majorBidi" w:hAnsiTheme="majorBidi" w:cstheme="majorBidi"/>
          <w:sz w:val="24"/>
          <w:szCs w:val="24"/>
        </w:rPr>
        <w:t xml:space="preserve">of </w:t>
      </w:r>
      <w:r w:rsidR="00DC0B3C">
        <w:rPr>
          <w:rFonts w:asciiTheme="majorBidi" w:hAnsiTheme="majorBidi" w:cstheme="majorBidi"/>
          <w:sz w:val="24"/>
          <w:szCs w:val="24"/>
        </w:rPr>
        <w:t>Policy’,</w:t>
      </w:r>
      <w:r w:rsidRPr="00615890">
        <w:rPr>
          <w:rFonts w:asciiTheme="majorBidi" w:hAnsiTheme="majorBidi" w:cstheme="majorBidi"/>
          <w:sz w:val="24"/>
          <w:szCs w:val="24"/>
        </w:rPr>
        <w:t xml:space="preserve"> </w:t>
      </w:r>
      <w:r w:rsidRPr="00615890">
        <w:rPr>
          <w:rFonts w:asciiTheme="majorBidi" w:hAnsiTheme="majorBidi" w:cstheme="majorBidi"/>
          <w:i/>
          <w:iCs/>
          <w:sz w:val="24"/>
          <w:szCs w:val="24"/>
        </w:rPr>
        <w:t>Critical Policy Studies</w:t>
      </w:r>
      <w:r w:rsidRPr="00615890">
        <w:rPr>
          <w:rFonts w:asciiTheme="majorBidi" w:hAnsiTheme="majorBidi" w:cstheme="majorBidi"/>
          <w:sz w:val="24"/>
          <w:szCs w:val="24"/>
          <w:lang w:eastAsia="zh-TW"/>
        </w:rPr>
        <w:t xml:space="preserve">, </w:t>
      </w:r>
      <w:r w:rsidRPr="00615890">
        <w:rPr>
          <w:rFonts w:asciiTheme="majorBidi" w:hAnsiTheme="majorBidi" w:cstheme="majorBidi"/>
          <w:sz w:val="24"/>
          <w:szCs w:val="24"/>
        </w:rPr>
        <w:t>3</w:t>
      </w:r>
      <w:r w:rsidRPr="00615890">
        <w:rPr>
          <w:rFonts w:asciiTheme="majorBidi" w:hAnsiTheme="majorBidi" w:cstheme="majorBidi"/>
          <w:sz w:val="24"/>
          <w:szCs w:val="24"/>
          <w:lang w:eastAsia="zh-TW"/>
        </w:rPr>
        <w:t xml:space="preserve">: </w:t>
      </w:r>
      <w:r w:rsidRPr="00615890">
        <w:rPr>
          <w:rFonts w:asciiTheme="majorBidi" w:hAnsiTheme="majorBidi" w:cstheme="majorBidi"/>
          <w:sz w:val="24"/>
          <w:szCs w:val="24"/>
        </w:rPr>
        <w:t>58-67</w:t>
      </w:r>
      <w:r w:rsidRPr="00615890">
        <w:rPr>
          <w:rFonts w:asciiTheme="majorBidi" w:hAnsiTheme="majorBidi" w:cstheme="majorBidi"/>
          <w:sz w:val="24"/>
          <w:szCs w:val="24"/>
          <w:lang w:eastAsia="zh-TW"/>
        </w:rPr>
        <w:t xml:space="preserve">. </w:t>
      </w:r>
    </w:p>
    <w:p w:rsidR="00660673" w:rsidRPr="00615890" w:rsidRDefault="00660673" w:rsidP="00974031">
      <w:pPr>
        <w:pStyle w:val="CommentText"/>
        <w:spacing w:after="240"/>
        <w:ind w:right="-46" w:firstLine="720"/>
        <w:rPr>
          <w:rFonts w:asciiTheme="majorBidi" w:hAnsiTheme="majorBidi" w:cstheme="majorBidi"/>
          <w:sz w:val="24"/>
          <w:szCs w:val="24"/>
        </w:rPr>
      </w:pPr>
      <w:r w:rsidRPr="00615890">
        <w:rPr>
          <w:rFonts w:asciiTheme="majorBidi" w:hAnsiTheme="majorBidi" w:cstheme="majorBidi"/>
          <w:sz w:val="24"/>
          <w:szCs w:val="24"/>
        </w:rPr>
        <w:t xml:space="preserve">Cribb, J., Disney, R. and Sibieta1, L. (2014) The </w:t>
      </w:r>
      <w:r w:rsidRPr="00615890">
        <w:rPr>
          <w:rFonts w:asciiTheme="majorBidi" w:hAnsiTheme="majorBidi" w:cstheme="majorBidi"/>
          <w:i/>
          <w:iCs/>
          <w:sz w:val="24"/>
          <w:szCs w:val="24"/>
        </w:rPr>
        <w:t>Public Sector Workforce: Past, Present And Future</w:t>
      </w:r>
      <w:r w:rsidRPr="00615890">
        <w:rPr>
          <w:rFonts w:asciiTheme="majorBidi" w:hAnsiTheme="majorBidi" w:cstheme="majorBidi"/>
          <w:sz w:val="24"/>
          <w:szCs w:val="24"/>
        </w:rPr>
        <w:t xml:space="preserve"> IFS Briefing Note BN145. London: Institute for Fiscal Studies. </w:t>
      </w:r>
    </w:p>
    <w:p w:rsidR="00660673" w:rsidRPr="00615890" w:rsidRDefault="00660673" w:rsidP="00CF2006">
      <w:pPr>
        <w:pStyle w:val="BodyText"/>
        <w:tabs>
          <w:tab w:val="left" w:pos="9072"/>
        </w:tabs>
        <w:spacing w:after="240" w:line="240" w:lineRule="auto"/>
        <w:ind w:right="-46" w:firstLine="720"/>
        <w:rPr>
          <w:rFonts w:asciiTheme="majorBidi" w:hAnsiTheme="majorBidi" w:cstheme="majorBidi"/>
          <w:szCs w:val="24"/>
        </w:rPr>
      </w:pPr>
      <w:r w:rsidRPr="00615890">
        <w:rPr>
          <w:rFonts w:asciiTheme="majorBidi" w:hAnsiTheme="majorBidi" w:cstheme="majorBidi"/>
          <w:szCs w:val="24"/>
        </w:rPr>
        <w:t xml:space="preserve">Davis, G. and Rhodes, R. A. W. and (2000), ‘From Hierarchy to Contracts and Back Again: Reforming the Australian Public Service’, in Keating, M., Wanna, J. and Weller, P. (Eds.) </w:t>
      </w:r>
      <w:r w:rsidRPr="00615890">
        <w:rPr>
          <w:rFonts w:asciiTheme="majorBidi" w:hAnsiTheme="majorBidi" w:cstheme="majorBidi"/>
          <w:i/>
          <w:szCs w:val="24"/>
        </w:rPr>
        <w:t>Institutions on the Edge? Capacity for Governance</w:t>
      </w:r>
      <w:r w:rsidRPr="00615890">
        <w:rPr>
          <w:rFonts w:asciiTheme="majorBidi" w:hAnsiTheme="majorBidi" w:cstheme="majorBidi"/>
          <w:szCs w:val="24"/>
        </w:rPr>
        <w:t xml:space="preserve">. Sydney: Allen &amp; Unwin, pp. 74-98. </w:t>
      </w:r>
    </w:p>
    <w:p w:rsidR="00103405" w:rsidRPr="00103405" w:rsidRDefault="00103405" w:rsidP="00CF2006">
      <w:pPr>
        <w:spacing w:after="240" w:line="240" w:lineRule="auto"/>
        <w:ind w:right="-45" w:firstLine="720"/>
        <w:rPr>
          <w:rFonts w:asciiTheme="majorBidi" w:hAnsiTheme="majorBidi" w:cstheme="majorBidi"/>
          <w:sz w:val="24"/>
          <w:szCs w:val="24"/>
        </w:rPr>
      </w:pPr>
      <w:r w:rsidRPr="00103405">
        <w:rPr>
          <w:rFonts w:asciiTheme="majorBidi" w:hAnsiTheme="majorBidi" w:cstheme="majorBidi"/>
          <w:sz w:val="24"/>
          <w:szCs w:val="24"/>
        </w:rPr>
        <w:t xml:space="preserve">Elgie, R. (2011) ‘Core Executive Studies Two Decades On’, </w:t>
      </w:r>
      <w:r w:rsidRPr="00103405">
        <w:rPr>
          <w:rFonts w:asciiTheme="majorBidi" w:hAnsiTheme="majorBidi" w:cstheme="majorBidi"/>
          <w:i/>
          <w:iCs/>
          <w:sz w:val="24"/>
          <w:szCs w:val="24"/>
        </w:rPr>
        <w:t>Public Administration</w:t>
      </w:r>
      <w:r w:rsidRPr="00103405">
        <w:rPr>
          <w:rFonts w:asciiTheme="majorBidi" w:hAnsiTheme="majorBidi" w:cstheme="majorBidi"/>
          <w:sz w:val="24"/>
          <w:szCs w:val="24"/>
        </w:rPr>
        <w:t>, 89: 64–77.</w:t>
      </w:r>
    </w:p>
    <w:p w:rsidR="009A46A9" w:rsidRPr="009A46A9" w:rsidRDefault="009A46A9" w:rsidP="00CF2006">
      <w:pPr>
        <w:spacing w:after="240" w:line="240" w:lineRule="auto"/>
        <w:ind w:firstLine="720"/>
        <w:rPr>
          <w:rFonts w:asciiTheme="majorBidi" w:hAnsiTheme="majorBidi" w:cstheme="majorBidi"/>
          <w:sz w:val="24"/>
          <w:szCs w:val="24"/>
        </w:rPr>
      </w:pPr>
      <w:r w:rsidRPr="009A46A9">
        <w:rPr>
          <w:rFonts w:asciiTheme="majorBidi" w:hAnsiTheme="majorBidi" w:cstheme="majorBidi"/>
          <w:sz w:val="24"/>
          <w:szCs w:val="24"/>
        </w:rPr>
        <w:t xml:space="preserve">Finlayson A. (2004) (Ed.) ‘The Interpretive Approach in Political Science: A Symposium’, </w:t>
      </w:r>
      <w:r w:rsidRPr="009A46A9">
        <w:rPr>
          <w:rFonts w:asciiTheme="majorBidi" w:hAnsiTheme="majorBidi" w:cstheme="majorBidi"/>
          <w:i/>
          <w:iCs/>
          <w:sz w:val="24"/>
          <w:szCs w:val="24"/>
        </w:rPr>
        <w:t>British Journal of Politics and International Relation</w:t>
      </w:r>
      <w:r w:rsidRPr="009A46A9">
        <w:rPr>
          <w:rFonts w:asciiTheme="majorBidi" w:hAnsiTheme="majorBidi" w:cstheme="majorBidi"/>
          <w:sz w:val="24"/>
          <w:szCs w:val="24"/>
        </w:rPr>
        <w:t xml:space="preserve"> 6: 129-64. </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Gash, T., Panchamia, N. Sims, S. and Hotson, L. (2013)</w:t>
      </w:r>
      <w:r w:rsidRPr="00615890">
        <w:rPr>
          <w:rFonts w:asciiTheme="majorBidi" w:hAnsiTheme="majorBidi" w:cstheme="majorBidi"/>
          <w:i/>
          <w:iCs/>
          <w:sz w:val="24"/>
          <w:szCs w:val="24"/>
        </w:rPr>
        <w:t xml:space="preserve"> Making Public Service Markets Work</w:t>
      </w:r>
      <w:r w:rsidRPr="00615890">
        <w:rPr>
          <w:rFonts w:asciiTheme="majorBidi" w:hAnsiTheme="majorBidi" w:cstheme="majorBidi"/>
          <w:sz w:val="24"/>
          <w:szCs w:val="24"/>
        </w:rPr>
        <w:t xml:space="preserve">. London: Institute for Government. </w:t>
      </w:r>
    </w:p>
    <w:p w:rsidR="00615890" w:rsidRDefault="00615890"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Goldsmith, S. and Eggers, W. D. (2004) </w:t>
      </w:r>
      <w:r w:rsidRPr="00615890">
        <w:rPr>
          <w:rFonts w:asciiTheme="majorBidi" w:hAnsiTheme="majorBidi" w:cstheme="majorBidi"/>
          <w:i/>
          <w:sz w:val="24"/>
          <w:szCs w:val="24"/>
        </w:rPr>
        <w:t>Governing by Networks</w:t>
      </w:r>
      <w:r w:rsidRPr="00615890">
        <w:rPr>
          <w:rFonts w:asciiTheme="majorBidi" w:hAnsiTheme="majorBidi" w:cstheme="majorBidi"/>
          <w:sz w:val="24"/>
          <w:szCs w:val="24"/>
        </w:rPr>
        <w:t xml:space="preserve">. Washington, DC: Brookings Institution Press. </w:t>
      </w:r>
    </w:p>
    <w:p w:rsidR="000B6D31" w:rsidRPr="000B6D31" w:rsidRDefault="000B6D31" w:rsidP="00CF2006">
      <w:pPr>
        <w:spacing w:after="240" w:line="240" w:lineRule="auto"/>
        <w:ind w:firstLine="720"/>
        <w:rPr>
          <w:rFonts w:asciiTheme="majorBidi" w:hAnsiTheme="majorBidi" w:cstheme="majorBidi"/>
          <w:sz w:val="24"/>
          <w:szCs w:val="24"/>
        </w:rPr>
      </w:pPr>
      <w:r w:rsidRPr="000B6D31">
        <w:rPr>
          <w:rFonts w:asciiTheme="majorBidi" w:hAnsiTheme="majorBidi" w:cstheme="majorBidi"/>
          <w:sz w:val="24"/>
          <w:szCs w:val="24"/>
        </w:rPr>
        <w:t xml:space="preserve">Hay, C. (2011) ‘Interpreting Interpretivism Interpreting Interpretations: The New Hermeneutics of Public Administration’, </w:t>
      </w:r>
      <w:r w:rsidRPr="000B6D31">
        <w:rPr>
          <w:rFonts w:asciiTheme="majorBidi" w:hAnsiTheme="majorBidi" w:cstheme="majorBidi"/>
          <w:i/>
          <w:iCs/>
          <w:sz w:val="24"/>
          <w:szCs w:val="24"/>
        </w:rPr>
        <w:t>Public Administration</w:t>
      </w:r>
      <w:r w:rsidRPr="000B6D31">
        <w:rPr>
          <w:rFonts w:asciiTheme="majorBidi" w:hAnsiTheme="majorBidi" w:cstheme="majorBidi"/>
          <w:sz w:val="24"/>
          <w:szCs w:val="24"/>
        </w:rPr>
        <w:t>, 89: 167–182.</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Hennessy, P. (2000) </w:t>
      </w:r>
      <w:r w:rsidRPr="00615890">
        <w:rPr>
          <w:rFonts w:asciiTheme="majorBidi" w:hAnsiTheme="majorBidi" w:cstheme="majorBidi"/>
          <w:i/>
          <w:iCs/>
          <w:sz w:val="24"/>
          <w:szCs w:val="24"/>
        </w:rPr>
        <w:t>The Prime Ministers</w:t>
      </w:r>
      <w:r w:rsidRPr="00615890">
        <w:rPr>
          <w:rFonts w:asciiTheme="majorBidi" w:hAnsiTheme="majorBidi" w:cstheme="majorBidi"/>
          <w:sz w:val="24"/>
          <w:szCs w:val="24"/>
        </w:rPr>
        <w:t xml:space="preserve">. London: Allen Lane The Penguin Press. </w:t>
      </w:r>
    </w:p>
    <w:p w:rsidR="00660673" w:rsidRPr="00615890" w:rsidRDefault="00660673" w:rsidP="00974031">
      <w:pPr>
        <w:spacing w:after="240" w:line="240" w:lineRule="auto"/>
        <w:ind w:right="-45" w:firstLine="720"/>
        <w:rPr>
          <w:rFonts w:asciiTheme="majorBidi" w:hAnsiTheme="majorBidi" w:cstheme="majorBidi"/>
          <w:sz w:val="24"/>
          <w:szCs w:val="24"/>
        </w:rPr>
      </w:pPr>
      <w:r w:rsidRPr="00615890">
        <w:rPr>
          <w:rFonts w:asciiTheme="majorBidi" w:hAnsiTheme="majorBidi" w:cstheme="majorBidi"/>
          <w:sz w:val="24"/>
          <w:szCs w:val="24"/>
        </w:rPr>
        <w:t xml:space="preserve">Hood, C. and M. Lodge, M.( 2007) “Civil Service Reform Syndrome – Are We Heading for a Cure?” </w:t>
      </w:r>
      <w:r w:rsidRPr="00615890">
        <w:rPr>
          <w:rFonts w:asciiTheme="majorBidi" w:hAnsiTheme="majorBidi" w:cstheme="majorBidi"/>
          <w:i/>
          <w:iCs/>
          <w:sz w:val="24"/>
          <w:szCs w:val="24"/>
        </w:rPr>
        <w:t>Transformation</w:t>
      </w:r>
      <w:r w:rsidRPr="00615890">
        <w:rPr>
          <w:rFonts w:asciiTheme="majorBidi" w:hAnsiTheme="majorBidi" w:cstheme="majorBidi"/>
          <w:sz w:val="24"/>
          <w:szCs w:val="24"/>
        </w:rPr>
        <w:t xml:space="preserve">, Spring, 58-59. </w:t>
      </w:r>
    </w:p>
    <w:p w:rsidR="00660673" w:rsidRPr="00615890" w:rsidRDefault="00660673" w:rsidP="00CF2006">
      <w:pPr>
        <w:pStyle w:val="Default"/>
        <w:spacing w:after="240"/>
        <w:ind w:right="-45" w:firstLine="720"/>
        <w:rPr>
          <w:rFonts w:asciiTheme="majorBidi" w:hAnsiTheme="majorBidi" w:cstheme="majorBidi"/>
          <w:color w:val="222222"/>
          <w:shd w:val="clear" w:color="auto" w:fill="FFFFFF"/>
        </w:rPr>
      </w:pPr>
      <w:r w:rsidRPr="00615890">
        <w:rPr>
          <w:rFonts w:asciiTheme="majorBidi" w:hAnsiTheme="majorBidi" w:cstheme="majorBidi"/>
          <w:color w:val="222222"/>
          <w:shd w:val="clear" w:color="auto" w:fill="FFFFFF"/>
        </w:rPr>
        <w:t xml:space="preserve">Hughes, Owen (2010). ‘Does Governance Exist?’ in Osborne, S. (Ed.) </w:t>
      </w:r>
      <w:r w:rsidRPr="00615890">
        <w:rPr>
          <w:rFonts w:asciiTheme="majorBidi" w:hAnsiTheme="majorBidi" w:cstheme="majorBidi"/>
          <w:i/>
          <w:iCs/>
          <w:color w:val="222222"/>
          <w:shd w:val="clear" w:color="auto" w:fill="FFFFFF"/>
        </w:rPr>
        <w:t>The New Public Governance: Emerging Perspectives on the Theory and Practice of Public Governance</w:t>
      </w:r>
      <w:r w:rsidRPr="00615890">
        <w:rPr>
          <w:rFonts w:asciiTheme="majorBidi" w:hAnsiTheme="majorBidi" w:cstheme="majorBidi"/>
          <w:color w:val="222222"/>
          <w:shd w:val="clear" w:color="auto" w:fill="FFFFFF"/>
        </w:rPr>
        <w:t>. London and New York: Routledge/Taylor and Francis, pp. 87-104.</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Jessop, B. (2000) ‘Governance failure’, in Stoker, G. (Ed.) </w:t>
      </w:r>
      <w:r w:rsidRPr="00615890">
        <w:rPr>
          <w:rFonts w:asciiTheme="majorBidi" w:hAnsiTheme="majorBidi" w:cstheme="majorBidi"/>
          <w:i/>
          <w:sz w:val="24"/>
          <w:szCs w:val="24"/>
        </w:rPr>
        <w:t>The New Politics of British Local Governance</w:t>
      </w:r>
      <w:r w:rsidRPr="00615890">
        <w:rPr>
          <w:rFonts w:asciiTheme="majorBidi" w:hAnsiTheme="majorBidi" w:cstheme="majorBidi"/>
          <w:sz w:val="24"/>
          <w:szCs w:val="24"/>
        </w:rPr>
        <w:t xml:space="preserve">. Houndmills, Basingstoke: Macmillan, pp. 11-32. </w:t>
      </w:r>
    </w:p>
    <w:p w:rsidR="00615890" w:rsidRPr="00615890" w:rsidRDefault="00615890"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Jessop, B. (2004) ‘</w:t>
      </w:r>
      <w:r w:rsidR="00E95783">
        <w:rPr>
          <w:rFonts w:asciiTheme="majorBidi" w:hAnsiTheme="majorBidi" w:cstheme="majorBidi"/>
          <w:sz w:val="24"/>
          <w:szCs w:val="24"/>
        </w:rPr>
        <w:t>Hollowing-out</w:t>
      </w:r>
      <w:r w:rsidRPr="00615890">
        <w:rPr>
          <w:rFonts w:asciiTheme="majorBidi" w:hAnsiTheme="majorBidi" w:cstheme="majorBidi"/>
          <w:sz w:val="24"/>
          <w:szCs w:val="24"/>
        </w:rPr>
        <w:t xml:space="preserve"> the ‘Nation-State’ and Multi-Level Governance’, in Kennett, P. (Ed.) </w:t>
      </w:r>
      <w:r w:rsidRPr="00615890">
        <w:rPr>
          <w:rFonts w:asciiTheme="majorBidi" w:hAnsiTheme="majorBidi" w:cstheme="majorBidi"/>
          <w:i/>
          <w:iCs/>
          <w:sz w:val="24"/>
          <w:szCs w:val="24"/>
        </w:rPr>
        <w:t>A Handbook Of Comparative Social Policy</w:t>
      </w:r>
      <w:r w:rsidRPr="00615890">
        <w:rPr>
          <w:rFonts w:asciiTheme="majorBidi" w:hAnsiTheme="majorBidi" w:cstheme="majorBidi"/>
          <w:sz w:val="24"/>
          <w:szCs w:val="24"/>
        </w:rPr>
        <w:t xml:space="preserve">. Cheltenham : Edward Elgar Publishing, 2004. </w:t>
      </w:r>
      <w:r w:rsidR="00103405">
        <w:rPr>
          <w:rFonts w:asciiTheme="majorBidi" w:hAnsiTheme="majorBidi" w:cstheme="majorBidi"/>
          <w:sz w:val="24"/>
          <w:szCs w:val="24"/>
        </w:rPr>
        <w:t>p</w:t>
      </w:r>
      <w:r w:rsidRPr="00615890">
        <w:rPr>
          <w:rFonts w:asciiTheme="majorBidi" w:hAnsiTheme="majorBidi" w:cstheme="majorBidi"/>
          <w:sz w:val="24"/>
          <w:szCs w:val="24"/>
        </w:rPr>
        <w:t>p. 11-25.</w:t>
      </w:r>
    </w:p>
    <w:p w:rsidR="00615890" w:rsidRPr="00615890" w:rsidRDefault="00615890" w:rsidP="00CF2006">
      <w:pPr>
        <w:spacing w:after="240" w:line="240" w:lineRule="auto"/>
        <w:ind w:firstLine="720"/>
        <w:rPr>
          <w:rFonts w:asciiTheme="majorBidi" w:hAnsiTheme="majorBidi" w:cstheme="majorBidi"/>
          <w:sz w:val="24"/>
          <w:szCs w:val="24"/>
        </w:rPr>
      </w:pPr>
      <w:r w:rsidRPr="00615890">
        <w:rPr>
          <w:rFonts w:asciiTheme="majorBidi" w:hAnsiTheme="majorBidi" w:cstheme="majorBidi"/>
          <w:sz w:val="24"/>
          <w:szCs w:val="24"/>
        </w:rPr>
        <w:t xml:space="preserve">Jessop, B. (2007) </w:t>
      </w:r>
      <w:r w:rsidRPr="00615890">
        <w:rPr>
          <w:rFonts w:asciiTheme="majorBidi" w:hAnsiTheme="majorBidi" w:cstheme="majorBidi"/>
          <w:i/>
          <w:iCs/>
          <w:sz w:val="24"/>
          <w:szCs w:val="24"/>
        </w:rPr>
        <w:t>State Power.</w:t>
      </w:r>
      <w:r w:rsidRPr="00615890">
        <w:rPr>
          <w:rFonts w:asciiTheme="majorBidi" w:hAnsiTheme="majorBidi" w:cstheme="majorBidi"/>
          <w:sz w:val="24"/>
          <w:szCs w:val="24"/>
        </w:rPr>
        <w:t xml:space="preserve"> Cambridge: Polity </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Style w:val="Strong"/>
          <w:rFonts w:asciiTheme="majorBidi" w:hAnsiTheme="majorBidi" w:cstheme="majorBidi"/>
          <w:b w:val="0"/>
          <w:bCs w:val="0"/>
          <w:color w:val="000000"/>
          <w:sz w:val="24"/>
          <w:szCs w:val="24"/>
          <w:shd w:val="clear" w:color="auto" w:fill="FFFFFF"/>
        </w:rPr>
        <w:t>Johnson, P. and Chandler, D. (2015) ‘The Coalition and the Economy, in</w:t>
      </w:r>
      <w:r w:rsidRPr="00615890">
        <w:rPr>
          <w:rStyle w:val="Strong"/>
          <w:rFonts w:asciiTheme="majorBidi" w:hAnsiTheme="majorBidi" w:cstheme="majorBidi"/>
          <w:color w:val="000000"/>
          <w:sz w:val="24"/>
          <w:szCs w:val="24"/>
          <w:shd w:val="clear" w:color="auto" w:fill="FFFFFF"/>
        </w:rPr>
        <w:t xml:space="preserve"> </w:t>
      </w:r>
      <w:r w:rsidRPr="00615890">
        <w:rPr>
          <w:rFonts w:asciiTheme="majorBidi" w:hAnsiTheme="majorBidi" w:cstheme="majorBidi"/>
          <w:sz w:val="24"/>
          <w:szCs w:val="24"/>
        </w:rPr>
        <w:t xml:space="preserve">Seldon, A. and Finn, M. (Eds.) </w:t>
      </w:r>
      <w:r w:rsidRPr="00615890">
        <w:rPr>
          <w:rFonts w:asciiTheme="majorBidi" w:hAnsiTheme="majorBidi" w:cstheme="majorBidi"/>
          <w:i/>
          <w:iCs/>
          <w:sz w:val="24"/>
          <w:szCs w:val="24"/>
        </w:rPr>
        <w:t>The Coalition Effect, 2010-2015</w:t>
      </w:r>
      <w:r w:rsidRPr="00615890">
        <w:rPr>
          <w:rFonts w:asciiTheme="majorBidi" w:hAnsiTheme="majorBidi" w:cstheme="majorBidi"/>
          <w:sz w:val="24"/>
          <w:szCs w:val="24"/>
        </w:rPr>
        <w:t>. Cambridge: Cambridge University Press, pp. 159-193.</w:t>
      </w:r>
    </w:p>
    <w:p w:rsidR="00660673" w:rsidRPr="00615890" w:rsidRDefault="00660673" w:rsidP="00CF2006">
      <w:pPr>
        <w:tabs>
          <w:tab w:val="left" w:pos="8280"/>
        </w:tabs>
        <w:spacing w:after="240" w:line="240" w:lineRule="auto"/>
        <w:ind w:right="-46" w:firstLine="720"/>
        <w:rPr>
          <w:rFonts w:asciiTheme="majorBidi" w:hAnsiTheme="majorBidi" w:cstheme="majorBidi"/>
          <w:i/>
          <w:sz w:val="24"/>
          <w:szCs w:val="24"/>
        </w:rPr>
      </w:pPr>
      <w:r w:rsidRPr="00615890">
        <w:rPr>
          <w:rFonts w:asciiTheme="majorBidi" w:hAnsiTheme="majorBidi" w:cstheme="majorBidi"/>
          <w:sz w:val="24"/>
          <w:szCs w:val="24"/>
        </w:rPr>
        <w:t xml:space="preserve">Kettl, D. F. (1993) </w:t>
      </w:r>
      <w:r w:rsidRPr="00615890">
        <w:rPr>
          <w:rFonts w:asciiTheme="majorBidi" w:hAnsiTheme="majorBidi" w:cstheme="majorBidi"/>
          <w:i/>
          <w:sz w:val="24"/>
          <w:szCs w:val="24"/>
        </w:rPr>
        <w:t>Sharing Power: Public Governance and Private Markets</w:t>
      </w:r>
      <w:r w:rsidRPr="00615890">
        <w:rPr>
          <w:rFonts w:asciiTheme="majorBidi" w:hAnsiTheme="majorBidi" w:cstheme="majorBidi"/>
          <w:sz w:val="24"/>
          <w:szCs w:val="24"/>
        </w:rPr>
        <w:t xml:space="preserve">. Washington, D.C.: The Brookings Institution. </w:t>
      </w:r>
    </w:p>
    <w:p w:rsidR="00660673" w:rsidRPr="00615890" w:rsidRDefault="00660673" w:rsidP="00974031">
      <w:pPr>
        <w:pStyle w:val="CommentText"/>
        <w:spacing w:after="240"/>
        <w:ind w:right="-46" w:firstLine="720"/>
        <w:rPr>
          <w:rFonts w:asciiTheme="majorBidi" w:hAnsiTheme="majorBidi" w:cstheme="majorBidi"/>
          <w:sz w:val="24"/>
          <w:szCs w:val="24"/>
        </w:rPr>
      </w:pPr>
      <w:r w:rsidRPr="00615890">
        <w:rPr>
          <w:rFonts w:asciiTheme="majorBidi" w:hAnsiTheme="majorBidi" w:cstheme="majorBidi"/>
          <w:sz w:val="24"/>
          <w:szCs w:val="24"/>
        </w:rPr>
        <w:t xml:space="preserve">Keynes, S. and Tetlow, G. (2014) </w:t>
      </w:r>
      <w:r w:rsidRPr="00615890">
        <w:rPr>
          <w:rFonts w:asciiTheme="majorBidi" w:hAnsiTheme="majorBidi" w:cstheme="majorBidi"/>
          <w:i/>
          <w:iCs/>
          <w:sz w:val="24"/>
          <w:szCs w:val="24"/>
        </w:rPr>
        <w:t>Survey of Public Spending in the UK</w:t>
      </w:r>
      <w:r w:rsidRPr="00615890">
        <w:rPr>
          <w:rFonts w:asciiTheme="majorBidi" w:hAnsiTheme="majorBidi" w:cstheme="majorBidi"/>
          <w:sz w:val="24"/>
          <w:szCs w:val="24"/>
        </w:rPr>
        <w:t xml:space="preserve"> IFS Briefing Note BN43. London: Institute for Fiscal Studies. </w:t>
      </w:r>
    </w:p>
    <w:p w:rsidR="00660673" w:rsidRPr="00615890" w:rsidRDefault="00660673" w:rsidP="00CF2006">
      <w:pPr>
        <w:spacing w:after="240" w:line="240" w:lineRule="auto"/>
        <w:ind w:right="-46" w:firstLine="720"/>
        <w:rPr>
          <w:rFonts w:asciiTheme="majorBidi" w:hAnsiTheme="majorBidi" w:cstheme="majorBidi"/>
          <w:i/>
          <w:sz w:val="24"/>
          <w:szCs w:val="24"/>
        </w:rPr>
      </w:pPr>
      <w:r w:rsidRPr="00615890">
        <w:rPr>
          <w:rFonts w:asciiTheme="majorBidi" w:hAnsiTheme="majorBidi" w:cstheme="majorBidi"/>
          <w:sz w:val="24"/>
          <w:szCs w:val="24"/>
        </w:rPr>
        <w:t xml:space="preserve">Kjær, A. M. (2004) </w:t>
      </w:r>
      <w:r w:rsidRPr="00615890">
        <w:rPr>
          <w:rFonts w:asciiTheme="majorBidi" w:hAnsiTheme="majorBidi" w:cstheme="majorBidi"/>
          <w:i/>
          <w:sz w:val="24"/>
          <w:szCs w:val="24"/>
        </w:rPr>
        <w:t>Governance</w:t>
      </w:r>
      <w:r w:rsidRPr="00615890">
        <w:rPr>
          <w:rFonts w:asciiTheme="majorBidi" w:hAnsiTheme="majorBidi" w:cstheme="majorBidi"/>
          <w:sz w:val="24"/>
          <w:szCs w:val="24"/>
        </w:rPr>
        <w:t>. Cambridge: Polity.</w:t>
      </w:r>
    </w:p>
    <w:p w:rsidR="00660673" w:rsidRPr="00615890" w:rsidRDefault="00660673" w:rsidP="00CF2006">
      <w:pPr>
        <w:tabs>
          <w:tab w:val="left" w:pos="8280"/>
        </w:tabs>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Marinetto, M. ((2003) ‘Governing Beyond the Centre: A Critique of the Anglo-Governance School’, </w:t>
      </w:r>
      <w:r w:rsidRPr="00615890">
        <w:rPr>
          <w:rFonts w:asciiTheme="majorBidi" w:hAnsiTheme="majorBidi" w:cstheme="majorBidi"/>
          <w:i/>
          <w:iCs/>
          <w:sz w:val="24"/>
          <w:szCs w:val="24"/>
        </w:rPr>
        <w:t>Political Studies</w:t>
      </w:r>
      <w:r w:rsidRPr="00615890">
        <w:rPr>
          <w:rFonts w:asciiTheme="majorBidi" w:hAnsiTheme="majorBidi" w:cstheme="majorBidi"/>
          <w:iCs/>
          <w:sz w:val="24"/>
          <w:szCs w:val="24"/>
        </w:rPr>
        <w:t>,</w:t>
      </w:r>
      <w:r w:rsidRPr="00615890">
        <w:rPr>
          <w:rFonts w:asciiTheme="majorBidi" w:hAnsiTheme="majorBidi" w:cstheme="majorBidi"/>
          <w:sz w:val="24"/>
          <w:szCs w:val="24"/>
        </w:rPr>
        <w:t xml:space="preserve"> 51: 592-608. </w:t>
      </w:r>
    </w:p>
    <w:p w:rsidR="00660673" w:rsidRPr="00615890" w:rsidRDefault="00660673" w:rsidP="00CF2006">
      <w:pPr>
        <w:spacing w:after="240" w:line="240" w:lineRule="auto"/>
        <w:ind w:right="-46" w:firstLine="720"/>
        <w:rPr>
          <w:rFonts w:asciiTheme="majorBidi" w:hAnsiTheme="majorBidi" w:cstheme="majorBidi"/>
          <w:color w:val="000000"/>
          <w:sz w:val="24"/>
          <w:szCs w:val="24"/>
          <w:shd w:val="clear" w:color="auto" w:fill="FFFFFF"/>
        </w:rPr>
      </w:pPr>
      <w:r w:rsidRPr="00615890">
        <w:rPr>
          <w:rFonts w:asciiTheme="majorBidi" w:hAnsiTheme="majorBidi" w:cstheme="majorBidi"/>
          <w:color w:val="000000"/>
          <w:sz w:val="24"/>
          <w:szCs w:val="24"/>
          <w:shd w:val="clear" w:color="auto" w:fill="FFFFFF"/>
        </w:rPr>
        <w:t xml:space="preserve">Marsh, D. (2011) ‘The New Orthodoxy: The Differentiated Polity Model’, </w:t>
      </w:r>
      <w:r w:rsidRPr="00615890">
        <w:rPr>
          <w:rFonts w:asciiTheme="majorBidi" w:hAnsiTheme="majorBidi" w:cstheme="majorBidi"/>
          <w:i/>
          <w:iCs/>
          <w:color w:val="000000"/>
          <w:sz w:val="24"/>
          <w:szCs w:val="24"/>
          <w:shd w:val="clear" w:color="auto" w:fill="FFFFFF"/>
        </w:rPr>
        <w:t>Public Administration</w:t>
      </w:r>
      <w:r w:rsidRPr="00615890">
        <w:rPr>
          <w:rFonts w:asciiTheme="majorBidi" w:hAnsiTheme="majorBidi" w:cstheme="majorBidi"/>
          <w:color w:val="000000"/>
          <w:sz w:val="24"/>
          <w:szCs w:val="24"/>
          <w:shd w:val="clear" w:color="auto" w:fill="FFFFFF"/>
        </w:rPr>
        <w:t>, 89: 32–48.</w:t>
      </w:r>
    </w:p>
    <w:p w:rsidR="00660673" w:rsidRPr="00615890" w:rsidRDefault="00660673" w:rsidP="00CF2006">
      <w:pPr>
        <w:spacing w:after="240" w:line="240" w:lineRule="auto"/>
        <w:ind w:right="-46" w:firstLine="720"/>
        <w:rPr>
          <w:rFonts w:asciiTheme="majorBidi" w:hAnsiTheme="majorBidi" w:cstheme="majorBidi"/>
          <w:sz w:val="24"/>
          <w:szCs w:val="24"/>
          <w:u w:val="single"/>
        </w:rPr>
      </w:pPr>
      <w:r w:rsidRPr="00615890">
        <w:rPr>
          <w:rFonts w:asciiTheme="majorBidi" w:hAnsiTheme="majorBidi" w:cstheme="majorBidi"/>
          <w:sz w:val="24"/>
          <w:szCs w:val="24"/>
        </w:rPr>
        <w:t xml:space="preserve">Marsh, D., Richards, D. and Smith, M. J. (2003) ‘Unequal Plurality: Towards an Asymmetric Power Model of British Politics’, </w:t>
      </w:r>
      <w:r w:rsidRPr="00615890">
        <w:rPr>
          <w:rFonts w:asciiTheme="majorBidi" w:hAnsiTheme="majorBidi" w:cstheme="majorBidi"/>
          <w:i/>
          <w:sz w:val="24"/>
          <w:szCs w:val="24"/>
        </w:rPr>
        <w:t>Government and Opposition,</w:t>
      </w:r>
      <w:r w:rsidRPr="00615890">
        <w:rPr>
          <w:rFonts w:asciiTheme="majorBidi" w:hAnsiTheme="majorBidi" w:cstheme="majorBidi"/>
          <w:sz w:val="24"/>
          <w:szCs w:val="24"/>
        </w:rPr>
        <w:t xml:space="preserve"> 38: 306-32.</w:t>
      </w:r>
    </w:p>
    <w:p w:rsidR="000B6D31" w:rsidRPr="000B6D31" w:rsidRDefault="000B6D31" w:rsidP="00E927FE">
      <w:pPr>
        <w:spacing w:after="240" w:line="240" w:lineRule="auto"/>
        <w:ind w:right="-46" w:firstLine="720"/>
        <w:rPr>
          <w:rFonts w:asciiTheme="majorBidi" w:eastAsia="SimSun" w:hAnsiTheme="majorBidi" w:cstheme="majorBidi"/>
          <w:sz w:val="24"/>
          <w:szCs w:val="24"/>
        </w:rPr>
      </w:pPr>
      <w:r w:rsidRPr="000B6D31">
        <w:rPr>
          <w:rFonts w:asciiTheme="majorBidi" w:eastAsia="SimSun" w:hAnsiTheme="majorBidi" w:cstheme="majorBidi"/>
          <w:sz w:val="24"/>
          <w:szCs w:val="24"/>
        </w:rPr>
        <w:t xml:space="preserve">McAnulla, S. (2006) Challenging The New Interpretivist Approach: Towards A Critical Realist Alternative. </w:t>
      </w:r>
      <w:r w:rsidRPr="000B6D31">
        <w:rPr>
          <w:rFonts w:asciiTheme="majorBidi" w:eastAsia="SimSun" w:hAnsiTheme="majorBidi" w:cstheme="majorBidi"/>
          <w:i/>
          <w:sz w:val="24"/>
          <w:szCs w:val="24"/>
        </w:rPr>
        <w:t>British Politics</w:t>
      </w:r>
      <w:r w:rsidRPr="000B6D31">
        <w:rPr>
          <w:rFonts w:asciiTheme="majorBidi" w:eastAsia="SimSun" w:hAnsiTheme="majorBidi" w:cstheme="majorBidi"/>
          <w:sz w:val="24"/>
          <w:szCs w:val="24"/>
        </w:rPr>
        <w:t xml:space="preserve"> 1: 113-38. </w:t>
      </w:r>
    </w:p>
    <w:p w:rsidR="00660673" w:rsidRPr="00615890" w:rsidRDefault="00660673" w:rsidP="00CF2006">
      <w:pPr>
        <w:pStyle w:val="CommentText"/>
        <w:spacing w:after="240"/>
        <w:ind w:right="-46" w:firstLine="720"/>
        <w:rPr>
          <w:rFonts w:asciiTheme="majorBidi" w:hAnsiTheme="majorBidi" w:cstheme="majorBidi"/>
          <w:sz w:val="24"/>
          <w:szCs w:val="24"/>
        </w:rPr>
      </w:pPr>
      <w:r w:rsidRPr="00615890">
        <w:rPr>
          <w:rFonts w:asciiTheme="majorBidi" w:hAnsiTheme="majorBidi" w:cstheme="majorBidi"/>
          <w:sz w:val="24"/>
          <w:szCs w:val="24"/>
        </w:rPr>
        <w:t xml:space="preserve">Milward, H. B. and Provan, K. G. (2000) ‘Governing the Hollow State’, </w:t>
      </w:r>
      <w:r w:rsidRPr="00615890">
        <w:rPr>
          <w:rFonts w:asciiTheme="majorBidi" w:hAnsiTheme="majorBidi" w:cstheme="majorBidi"/>
          <w:i/>
          <w:iCs/>
          <w:sz w:val="24"/>
          <w:szCs w:val="24"/>
        </w:rPr>
        <w:t>Journal of Public Administration Research &amp; Theory</w:t>
      </w:r>
      <w:r w:rsidRPr="00615890">
        <w:rPr>
          <w:rFonts w:asciiTheme="majorBidi" w:hAnsiTheme="majorBidi" w:cstheme="majorBidi"/>
          <w:sz w:val="24"/>
          <w:szCs w:val="24"/>
        </w:rPr>
        <w:t xml:space="preserve"> 10: 359-380. </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Morphet, J. (2013) </w:t>
      </w:r>
      <w:r w:rsidRPr="00615890">
        <w:rPr>
          <w:rFonts w:asciiTheme="majorBidi" w:hAnsiTheme="majorBidi" w:cstheme="majorBidi"/>
          <w:i/>
          <w:iCs/>
          <w:sz w:val="24"/>
          <w:szCs w:val="24"/>
        </w:rPr>
        <w:t xml:space="preserve">How Europe Shapes British Public Policy. </w:t>
      </w:r>
      <w:r w:rsidRPr="00615890">
        <w:rPr>
          <w:rFonts w:asciiTheme="majorBidi" w:hAnsiTheme="majorBidi" w:cstheme="majorBidi"/>
          <w:sz w:val="24"/>
          <w:szCs w:val="24"/>
        </w:rPr>
        <w:t xml:space="preserve">Bristol: The Policy Press. </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Newman, J. (2005) ‘Introduction’, in J. Newman (Ed.</w:t>
      </w:r>
      <w:r w:rsidRPr="00615890">
        <w:rPr>
          <w:rFonts w:asciiTheme="majorBidi" w:hAnsiTheme="majorBidi" w:cstheme="majorBidi"/>
          <w:i/>
          <w:sz w:val="24"/>
          <w:szCs w:val="24"/>
        </w:rPr>
        <w:t xml:space="preserve">) Remaking </w:t>
      </w:r>
      <w:r w:rsidR="00E927FE" w:rsidRPr="00615890">
        <w:rPr>
          <w:rFonts w:asciiTheme="majorBidi" w:hAnsiTheme="majorBidi" w:cstheme="majorBidi"/>
          <w:i/>
          <w:sz w:val="24"/>
          <w:szCs w:val="24"/>
        </w:rPr>
        <w:t>Governance</w:t>
      </w:r>
      <w:r w:rsidRPr="00615890">
        <w:rPr>
          <w:rFonts w:asciiTheme="majorBidi" w:hAnsiTheme="majorBidi" w:cstheme="majorBidi"/>
          <w:sz w:val="24"/>
          <w:szCs w:val="24"/>
        </w:rPr>
        <w:t xml:space="preserve">. Bristol: The Policy Press, pp. 1-15. </w:t>
      </w:r>
    </w:p>
    <w:p w:rsidR="00660673" w:rsidRPr="00615890" w:rsidRDefault="00660673" w:rsidP="00CF2006">
      <w:pPr>
        <w:spacing w:after="240" w:line="240" w:lineRule="auto"/>
        <w:ind w:right="-46" w:firstLine="720"/>
        <w:rPr>
          <w:rFonts w:asciiTheme="majorBidi" w:hAnsiTheme="majorBidi" w:cstheme="majorBidi"/>
          <w:i/>
          <w:iCs/>
          <w:sz w:val="24"/>
          <w:szCs w:val="24"/>
        </w:rPr>
      </w:pPr>
      <w:r w:rsidRPr="00615890">
        <w:rPr>
          <w:rFonts w:asciiTheme="majorBidi" w:hAnsiTheme="majorBidi" w:cstheme="majorBidi"/>
          <w:sz w:val="24"/>
          <w:szCs w:val="24"/>
        </w:rPr>
        <w:t xml:space="preserve">Peters, B. G. (1994) ‘Managing the Hollow State’ </w:t>
      </w:r>
      <w:r w:rsidRPr="00615890">
        <w:rPr>
          <w:rFonts w:asciiTheme="majorBidi" w:hAnsiTheme="majorBidi" w:cstheme="majorBidi"/>
          <w:i/>
          <w:iCs/>
          <w:sz w:val="24"/>
          <w:szCs w:val="24"/>
        </w:rPr>
        <w:t xml:space="preserve">International Journal of Public Administration </w:t>
      </w:r>
      <w:r w:rsidRPr="00615890">
        <w:rPr>
          <w:rFonts w:asciiTheme="majorBidi" w:hAnsiTheme="majorBidi" w:cstheme="majorBidi"/>
          <w:sz w:val="24"/>
          <w:szCs w:val="24"/>
        </w:rPr>
        <w:t xml:space="preserve">17: 739-56. </w:t>
      </w:r>
    </w:p>
    <w:p w:rsidR="00660673" w:rsidRPr="00615890" w:rsidRDefault="00660673" w:rsidP="00CF2006">
      <w:pPr>
        <w:spacing w:after="240" w:line="240" w:lineRule="auto"/>
        <w:ind w:right="-46" w:firstLine="720"/>
        <w:rPr>
          <w:rFonts w:asciiTheme="majorBidi" w:hAnsiTheme="majorBidi" w:cstheme="majorBidi"/>
          <w:bCs/>
          <w:sz w:val="24"/>
          <w:szCs w:val="24"/>
        </w:rPr>
      </w:pPr>
      <w:r w:rsidRPr="00615890">
        <w:rPr>
          <w:rFonts w:asciiTheme="majorBidi" w:hAnsiTheme="majorBidi" w:cstheme="majorBidi"/>
          <w:bCs/>
          <w:sz w:val="24"/>
          <w:szCs w:val="24"/>
        </w:rPr>
        <w:t xml:space="preserve">Peters, B. G. and Pierre, J. (1998) ‘Governing without Government: Rethinking Public Administration’, </w:t>
      </w:r>
      <w:r w:rsidRPr="00615890">
        <w:rPr>
          <w:rFonts w:asciiTheme="majorBidi" w:hAnsiTheme="majorBidi" w:cstheme="majorBidi"/>
          <w:bCs/>
          <w:i/>
          <w:iCs/>
          <w:sz w:val="24"/>
          <w:szCs w:val="24"/>
        </w:rPr>
        <w:t>Journal of Public Administration and Theory</w:t>
      </w:r>
      <w:r w:rsidRPr="00615890">
        <w:rPr>
          <w:rFonts w:asciiTheme="majorBidi" w:hAnsiTheme="majorBidi" w:cstheme="majorBidi"/>
          <w:bCs/>
          <w:sz w:val="24"/>
          <w:szCs w:val="24"/>
        </w:rPr>
        <w:t xml:space="preserve">, 8: 223-42. </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bCs/>
          <w:sz w:val="24"/>
          <w:szCs w:val="24"/>
        </w:rPr>
        <w:t xml:space="preserve">Peters, B. G. and Pierre, J. (2009) ‘Governance Approaches’, </w:t>
      </w:r>
      <w:r w:rsidRPr="00615890">
        <w:rPr>
          <w:rFonts w:asciiTheme="majorBidi" w:hAnsiTheme="majorBidi" w:cstheme="majorBidi"/>
          <w:sz w:val="24"/>
          <w:szCs w:val="24"/>
        </w:rPr>
        <w:t xml:space="preserve">in Wiener, A. and Diez, T. (Eds.), </w:t>
      </w:r>
      <w:r w:rsidRPr="00615890">
        <w:rPr>
          <w:rFonts w:asciiTheme="majorBidi" w:hAnsiTheme="majorBidi" w:cstheme="majorBidi"/>
          <w:i/>
          <w:iCs/>
          <w:sz w:val="24"/>
          <w:szCs w:val="24"/>
        </w:rPr>
        <w:t>European Integration Theory</w:t>
      </w:r>
      <w:r w:rsidRPr="00615890">
        <w:rPr>
          <w:rFonts w:asciiTheme="majorBidi" w:hAnsiTheme="majorBidi" w:cstheme="majorBidi"/>
          <w:sz w:val="24"/>
          <w:szCs w:val="24"/>
        </w:rPr>
        <w:t>. Second edition. Oxford: Oxford University Press, pp. 91-104.</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Pierre, J. and Peters, B. G. (2000) </w:t>
      </w:r>
      <w:r w:rsidRPr="00615890">
        <w:rPr>
          <w:rFonts w:asciiTheme="majorBidi" w:hAnsiTheme="majorBidi" w:cstheme="majorBidi"/>
          <w:i/>
          <w:iCs/>
          <w:sz w:val="24"/>
          <w:szCs w:val="24"/>
        </w:rPr>
        <w:t>Governance, Politics and the State</w:t>
      </w:r>
      <w:r w:rsidRPr="00615890">
        <w:rPr>
          <w:rFonts w:asciiTheme="majorBidi" w:hAnsiTheme="majorBidi" w:cstheme="majorBidi"/>
          <w:sz w:val="24"/>
          <w:szCs w:val="24"/>
        </w:rPr>
        <w:t xml:space="preserve">. Houndmills, Basingstoke: Macmillan. </w:t>
      </w:r>
    </w:p>
    <w:p w:rsidR="00660673" w:rsidRPr="00615890" w:rsidRDefault="00660673" w:rsidP="00CF2006">
      <w:pPr>
        <w:pStyle w:val="Body"/>
        <w:spacing w:after="240" w:line="240" w:lineRule="auto"/>
        <w:ind w:right="-46" w:firstLine="720"/>
        <w:rPr>
          <w:rFonts w:asciiTheme="majorBidi" w:hAnsiTheme="majorBidi" w:cstheme="majorBidi"/>
          <w:sz w:val="24"/>
          <w:szCs w:val="24"/>
          <w:lang w:val="en-GB"/>
        </w:rPr>
      </w:pPr>
      <w:r w:rsidRPr="00615890">
        <w:rPr>
          <w:rFonts w:asciiTheme="majorBidi" w:hAnsiTheme="majorBidi" w:cstheme="majorBidi"/>
          <w:sz w:val="24"/>
          <w:szCs w:val="24"/>
          <w:lang w:val="en-GB"/>
        </w:rPr>
        <w:t>Raco, M. (2016), ‘Mass-Privatisation and the Changing Nature of Governance in the</w:t>
      </w:r>
      <w:r w:rsidRPr="00615890">
        <w:rPr>
          <w:rFonts w:asciiTheme="majorBidi" w:hAnsiTheme="majorBidi" w:cstheme="majorBidi"/>
          <w:b/>
          <w:bCs/>
          <w:sz w:val="24"/>
          <w:szCs w:val="24"/>
          <w:lang w:val="en-GB"/>
        </w:rPr>
        <w:t xml:space="preserve"> </w:t>
      </w:r>
      <w:r w:rsidRPr="00615890">
        <w:rPr>
          <w:rFonts w:asciiTheme="majorBidi" w:hAnsiTheme="majorBidi" w:cstheme="majorBidi"/>
          <w:sz w:val="24"/>
          <w:szCs w:val="24"/>
          <w:lang w:val="en-GB"/>
        </w:rPr>
        <w:t>UK’</w:t>
      </w:r>
      <w:r w:rsidRPr="00615890">
        <w:rPr>
          <w:rFonts w:asciiTheme="majorBidi" w:hAnsiTheme="majorBidi" w:cstheme="majorBidi"/>
          <w:b/>
          <w:bCs/>
          <w:sz w:val="24"/>
          <w:szCs w:val="24"/>
          <w:lang w:val="en-GB"/>
        </w:rPr>
        <w:t xml:space="preserve">, </w:t>
      </w:r>
      <w:r w:rsidRPr="00615890">
        <w:rPr>
          <w:rFonts w:asciiTheme="majorBidi" w:hAnsiTheme="majorBidi" w:cstheme="majorBidi"/>
          <w:sz w:val="24"/>
          <w:szCs w:val="24"/>
          <w:lang w:val="en-GB"/>
        </w:rPr>
        <w:t>in</w:t>
      </w:r>
      <w:r w:rsidRPr="00615890">
        <w:rPr>
          <w:rFonts w:asciiTheme="majorBidi" w:hAnsiTheme="majorBidi" w:cstheme="majorBidi"/>
          <w:b/>
          <w:bCs/>
          <w:sz w:val="24"/>
          <w:szCs w:val="24"/>
          <w:lang w:val="en-GB"/>
        </w:rPr>
        <w:t xml:space="preserve"> </w:t>
      </w:r>
      <w:r w:rsidRPr="00615890">
        <w:rPr>
          <w:rFonts w:asciiTheme="majorBidi" w:hAnsiTheme="majorBidi" w:cstheme="majorBidi"/>
          <w:sz w:val="24"/>
          <w:szCs w:val="24"/>
          <w:lang w:val="en-GB"/>
        </w:rPr>
        <w:t xml:space="preserve">Bevir, M. in Rhodes, R. A. W. (Eds.) </w:t>
      </w:r>
      <w:r w:rsidRPr="00615890">
        <w:rPr>
          <w:rFonts w:asciiTheme="majorBidi" w:hAnsiTheme="majorBidi" w:cstheme="majorBidi"/>
          <w:i/>
          <w:iCs/>
          <w:sz w:val="24"/>
          <w:szCs w:val="24"/>
          <w:lang w:val="en-GB"/>
        </w:rPr>
        <w:t xml:space="preserve">Rethinking Governance: Ruling Rationalities and Resistance. </w:t>
      </w:r>
      <w:r w:rsidRPr="00615890">
        <w:rPr>
          <w:rFonts w:asciiTheme="majorBidi" w:hAnsiTheme="majorBidi" w:cstheme="majorBidi"/>
          <w:sz w:val="24"/>
          <w:szCs w:val="24"/>
          <w:lang w:val="en-GB"/>
        </w:rPr>
        <w:t xml:space="preserve">Abingdon, Oxon: Routledge, pp. 50-69. </w:t>
      </w:r>
    </w:p>
    <w:p w:rsidR="00660673" w:rsidRPr="00615890" w:rsidRDefault="00660673" w:rsidP="00CF2006">
      <w:pPr>
        <w:spacing w:after="240" w:line="240" w:lineRule="auto"/>
        <w:ind w:right="-46" w:firstLine="720"/>
        <w:rPr>
          <w:rFonts w:asciiTheme="majorBidi" w:hAnsiTheme="majorBidi" w:cstheme="majorBidi"/>
          <w:i/>
          <w:sz w:val="24"/>
          <w:szCs w:val="24"/>
        </w:rPr>
      </w:pPr>
      <w:r w:rsidRPr="00615890">
        <w:rPr>
          <w:rFonts w:asciiTheme="majorBidi" w:hAnsiTheme="majorBidi" w:cstheme="majorBidi"/>
          <w:sz w:val="24"/>
          <w:szCs w:val="24"/>
        </w:rPr>
        <w:t xml:space="preserve">Rhodes, R. A. W. (1986) ‘“Power-dependence” Theories of Central-Local Relations: a Critical Assessment', in M. J. Goldsmith (Ed.) </w:t>
      </w:r>
      <w:r w:rsidRPr="00615890">
        <w:rPr>
          <w:rFonts w:asciiTheme="majorBidi" w:hAnsiTheme="majorBidi" w:cstheme="majorBidi"/>
          <w:i/>
          <w:iCs/>
          <w:sz w:val="24"/>
          <w:szCs w:val="24"/>
        </w:rPr>
        <w:t>New Research in Central-Local Relations.</w:t>
      </w:r>
      <w:r w:rsidRPr="00615890">
        <w:rPr>
          <w:rFonts w:asciiTheme="majorBidi" w:hAnsiTheme="majorBidi" w:cstheme="majorBidi"/>
          <w:sz w:val="24"/>
          <w:szCs w:val="24"/>
        </w:rPr>
        <w:t xml:space="preserve"> Aldershot: Gower, pp. 1-33.</w:t>
      </w:r>
    </w:p>
    <w:p w:rsidR="00660AF6" w:rsidRDefault="00660AF6" w:rsidP="00660AF6">
      <w:pPr>
        <w:spacing w:after="240" w:line="240" w:lineRule="auto"/>
        <w:ind w:firstLine="720"/>
        <w:rPr>
          <w:rFonts w:asciiTheme="majorBidi" w:hAnsiTheme="majorBidi" w:cstheme="majorBidi"/>
          <w:color w:val="000000"/>
          <w:sz w:val="24"/>
          <w:szCs w:val="24"/>
        </w:rPr>
      </w:pPr>
      <w:r w:rsidRPr="00A2399E">
        <w:rPr>
          <w:rFonts w:asciiTheme="majorBidi" w:hAnsiTheme="majorBidi" w:cstheme="majorBidi"/>
          <w:color w:val="000000"/>
          <w:sz w:val="24"/>
          <w:szCs w:val="24"/>
        </w:rPr>
        <w:t>罗茨</w:t>
      </w:r>
      <w:r w:rsidRPr="00A2399E">
        <w:rPr>
          <w:rFonts w:asciiTheme="majorBidi" w:hAnsiTheme="majorBidi" w:cstheme="majorBidi"/>
          <w:color w:val="000000"/>
          <w:sz w:val="24"/>
          <w:szCs w:val="24"/>
        </w:rPr>
        <w:t xml:space="preserve"> R. A. W. (1999) ‘</w:t>
      </w:r>
      <w:r w:rsidRPr="00A2399E">
        <w:rPr>
          <w:rFonts w:asciiTheme="majorBidi" w:hAnsiTheme="majorBidi" w:cstheme="majorBidi"/>
          <w:color w:val="000000"/>
          <w:sz w:val="24"/>
          <w:szCs w:val="24"/>
        </w:rPr>
        <w:t>新的治理</w:t>
      </w:r>
      <w:r w:rsidRPr="00A2399E">
        <w:rPr>
          <w:rFonts w:asciiTheme="majorBidi" w:hAnsiTheme="majorBidi" w:cstheme="majorBidi"/>
          <w:color w:val="000000"/>
          <w:sz w:val="24"/>
          <w:szCs w:val="24"/>
        </w:rPr>
        <w:t xml:space="preserve">’. </w:t>
      </w:r>
      <w:r w:rsidRPr="00A2399E">
        <w:rPr>
          <w:rFonts w:asciiTheme="majorBidi" w:hAnsiTheme="majorBidi" w:cstheme="majorBidi"/>
          <w:i/>
          <w:iCs/>
          <w:color w:val="000000"/>
          <w:sz w:val="24"/>
          <w:szCs w:val="24"/>
        </w:rPr>
        <w:t>马克思主义与现实</w:t>
      </w:r>
      <w:r w:rsidRPr="00A2399E">
        <w:rPr>
          <w:rFonts w:asciiTheme="majorBidi" w:hAnsiTheme="majorBidi" w:cstheme="majorBidi"/>
          <w:color w:val="000000"/>
          <w:sz w:val="24"/>
          <w:szCs w:val="24"/>
        </w:rPr>
        <w:t xml:space="preserve">, </w:t>
      </w:r>
      <w:r w:rsidR="00397288">
        <w:rPr>
          <w:rFonts w:asciiTheme="majorBidi" w:hAnsiTheme="majorBidi" w:cstheme="majorBidi"/>
          <w:color w:val="000000"/>
          <w:sz w:val="24"/>
          <w:szCs w:val="24"/>
        </w:rPr>
        <w:t>(</w:t>
      </w:r>
      <w:r w:rsidRPr="00A2399E">
        <w:rPr>
          <w:rFonts w:asciiTheme="majorBidi" w:hAnsiTheme="majorBidi" w:cstheme="majorBidi"/>
          <w:color w:val="000000"/>
          <w:sz w:val="24"/>
          <w:szCs w:val="24"/>
        </w:rPr>
        <w:t>05</w:t>
      </w:r>
      <w:r w:rsidR="00397288">
        <w:rPr>
          <w:rFonts w:asciiTheme="majorBidi" w:hAnsiTheme="majorBidi" w:cstheme="majorBidi"/>
          <w:color w:val="000000"/>
          <w:sz w:val="24"/>
          <w:szCs w:val="24"/>
        </w:rPr>
        <w:t>)</w:t>
      </w:r>
      <w:r w:rsidRPr="00A2399E">
        <w:rPr>
          <w:rFonts w:asciiTheme="majorBidi" w:hAnsiTheme="majorBidi" w:cstheme="majorBidi"/>
          <w:color w:val="000000"/>
          <w:sz w:val="24"/>
          <w:szCs w:val="24"/>
        </w:rPr>
        <w:t>: 42-48</w:t>
      </w:r>
      <w:r>
        <w:rPr>
          <w:rFonts w:asciiTheme="majorBidi" w:hAnsiTheme="majorBidi" w:cstheme="majorBidi"/>
          <w:color w:val="000000"/>
          <w:sz w:val="24"/>
          <w:szCs w:val="24"/>
        </w:rPr>
        <w:t xml:space="preserve"> </w:t>
      </w:r>
    </w:p>
    <w:p w:rsidR="00660AF6" w:rsidRPr="00615890" w:rsidRDefault="00660AF6" w:rsidP="00660AF6">
      <w:pPr>
        <w:overflowPunct w:val="0"/>
        <w:autoSpaceDE w:val="0"/>
        <w:autoSpaceDN w:val="0"/>
        <w:adjustRightInd w:val="0"/>
        <w:spacing w:after="240" w:line="240" w:lineRule="auto"/>
        <w:ind w:firstLine="720"/>
        <w:textAlignment w:val="baseline"/>
        <w:rPr>
          <w:rFonts w:ascii="Times New Roman" w:hAnsi="Times New Roman"/>
          <w:sz w:val="20"/>
          <w:szCs w:val="20"/>
        </w:rPr>
      </w:pPr>
      <w:r w:rsidRPr="00615890">
        <w:rPr>
          <w:rFonts w:ascii="Times New Roman" w:hAnsi="Times New Roman" w:hint="eastAsia"/>
          <w:sz w:val="24"/>
          <w:szCs w:val="24"/>
        </w:rPr>
        <w:t>罗茨</w:t>
      </w:r>
      <w:r>
        <w:rPr>
          <w:rFonts w:ascii="Times New Roman" w:hAnsi="Times New Roman"/>
          <w:sz w:val="24"/>
          <w:szCs w:val="24"/>
        </w:rPr>
        <w:t xml:space="preserve"> R. A. W. (2015)</w:t>
      </w:r>
      <w:r w:rsidRPr="00615890">
        <w:rPr>
          <w:rFonts w:ascii="Times New Roman" w:hAnsi="Times New Roman"/>
          <w:sz w:val="24"/>
          <w:szCs w:val="24"/>
        </w:rPr>
        <w:t xml:space="preserve"> ‘</w:t>
      </w:r>
      <w:r w:rsidRPr="00615890">
        <w:rPr>
          <w:rFonts w:ascii="Times New Roman" w:hAnsi="Times New Roman" w:hint="eastAsia"/>
          <w:sz w:val="24"/>
          <w:szCs w:val="24"/>
        </w:rPr>
        <w:t>王宇颖译</w:t>
      </w:r>
      <w:r w:rsidRPr="00615890">
        <w:rPr>
          <w:rFonts w:ascii="Times New Roman" w:hAnsi="Times New Roman"/>
          <w:sz w:val="24"/>
          <w:szCs w:val="24"/>
        </w:rPr>
        <w:t xml:space="preserve">. </w:t>
      </w:r>
      <w:r>
        <w:rPr>
          <w:rFonts w:ascii="Times New Roman" w:hAnsi="Times New Roman" w:hint="eastAsia"/>
          <w:sz w:val="24"/>
          <w:szCs w:val="24"/>
        </w:rPr>
        <w:t>如何管理政策网络</w:t>
      </w:r>
      <w:r w:rsidRPr="00615890">
        <w:rPr>
          <w:rFonts w:ascii="Times New Roman" w:hAnsi="Times New Roman"/>
          <w:sz w:val="24"/>
          <w:szCs w:val="24"/>
        </w:rPr>
        <w:t>’</w:t>
      </w:r>
      <w:r>
        <w:rPr>
          <w:rFonts w:ascii="Times New Roman" w:hAnsi="Times New Roman"/>
          <w:sz w:val="24"/>
          <w:szCs w:val="24"/>
        </w:rPr>
        <w:t xml:space="preserve"> </w:t>
      </w:r>
      <w:r w:rsidRPr="00615890">
        <w:rPr>
          <w:rFonts w:ascii="Times New Roman" w:hAnsi="Times New Roman"/>
          <w:sz w:val="24"/>
          <w:szCs w:val="24"/>
        </w:rPr>
        <w:t xml:space="preserve">[J]. </w:t>
      </w:r>
      <w:r w:rsidRPr="00615890">
        <w:rPr>
          <w:rFonts w:ascii="Times New Roman" w:hAnsi="Times New Roman" w:hint="eastAsia"/>
          <w:sz w:val="24"/>
          <w:szCs w:val="24"/>
        </w:rPr>
        <w:t>中国行政管理</w:t>
      </w:r>
      <w:r w:rsidRPr="00615890">
        <w:rPr>
          <w:rFonts w:ascii="Times New Roman" w:hAnsi="Times New Roman"/>
          <w:sz w:val="24"/>
          <w:szCs w:val="24"/>
        </w:rPr>
        <w:t xml:space="preserve">, (11): 139-44. </w:t>
      </w:r>
    </w:p>
    <w:p w:rsidR="00660673" w:rsidRPr="00615890" w:rsidRDefault="00660673" w:rsidP="00660AF6">
      <w:pPr>
        <w:spacing w:after="240" w:line="240" w:lineRule="auto"/>
        <w:ind w:firstLine="720"/>
        <w:rPr>
          <w:rFonts w:asciiTheme="majorBidi" w:hAnsiTheme="majorBidi" w:cstheme="majorBidi"/>
          <w:sz w:val="24"/>
          <w:szCs w:val="24"/>
        </w:rPr>
      </w:pPr>
      <w:r w:rsidRPr="00615890">
        <w:rPr>
          <w:rFonts w:asciiTheme="majorBidi" w:hAnsiTheme="majorBidi" w:cstheme="majorBidi"/>
          <w:sz w:val="24"/>
          <w:szCs w:val="24"/>
        </w:rPr>
        <w:t xml:space="preserve">Rhodes, R. A. W. (1994) ‘The Hollowing-Out of the State’, </w:t>
      </w:r>
      <w:r w:rsidRPr="00615890">
        <w:rPr>
          <w:rFonts w:asciiTheme="majorBidi" w:hAnsiTheme="majorBidi" w:cstheme="majorBidi"/>
          <w:i/>
          <w:sz w:val="24"/>
          <w:szCs w:val="24"/>
        </w:rPr>
        <w:t>Political Quarterly</w:t>
      </w:r>
      <w:r w:rsidRPr="00615890">
        <w:rPr>
          <w:rFonts w:asciiTheme="majorBidi" w:hAnsiTheme="majorBidi" w:cstheme="majorBidi"/>
          <w:sz w:val="24"/>
          <w:szCs w:val="24"/>
        </w:rPr>
        <w:t>, 65: 138-51.</w:t>
      </w:r>
    </w:p>
    <w:p w:rsidR="00660673" w:rsidRPr="00615890" w:rsidRDefault="00660673" w:rsidP="00660AF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Rhodes, R. A. W. (1997a) </w:t>
      </w:r>
      <w:r w:rsidRPr="00615890">
        <w:rPr>
          <w:rFonts w:asciiTheme="majorBidi" w:hAnsiTheme="majorBidi" w:cstheme="majorBidi"/>
          <w:i/>
          <w:sz w:val="24"/>
          <w:szCs w:val="24"/>
        </w:rPr>
        <w:t>Understanding Governance</w:t>
      </w:r>
      <w:r w:rsidRPr="00615890">
        <w:rPr>
          <w:rFonts w:asciiTheme="majorBidi" w:hAnsiTheme="majorBidi" w:cstheme="majorBidi"/>
          <w:sz w:val="24"/>
          <w:szCs w:val="24"/>
        </w:rPr>
        <w:t xml:space="preserve">. Buckingham: Open University Press. </w:t>
      </w:r>
    </w:p>
    <w:p w:rsidR="00660673" w:rsidRDefault="00660673" w:rsidP="00660AF6">
      <w:pPr>
        <w:tabs>
          <w:tab w:val="left" w:pos="9072"/>
        </w:tabs>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Rhodes, R. A. W. (1997b) ‘From Marketization to Diplomacy: It’s the Mix that Matters’, </w:t>
      </w:r>
      <w:r w:rsidRPr="00615890">
        <w:rPr>
          <w:rFonts w:asciiTheme="majorBidi" w:hAnsiTheme="majorBidi" w:cstheme="majorBidi"/>
          <w:i/>
          <w:sz w:val="24"/>
          <w:szCs w:val="24"/>
        </w:rPr>
        <w:t>Australian Journal of Public Administration</w:t>
      </w:r>
      <w:r w:rsidRPr="00615890">
        <w:rPr>
          <w:rFonts w:asciiTheme="majorBidi" w:hAnsiTheme="majorBidi" w:cstheme="majorBidi"/>
          <w:sz w:val="24"/>
          <w:szCs w:val="24"/>
        </w:rPr>
        <w:t xml:space="preserve">, 56: 40-53. </w:t>
      </w:r>
    </w:p>
    <w:p w:rsidR="00660673" w:rsidRDefault="00660673" w:rsidP="00660AF6">
      <w:pPr>
        <w:tabs>
          <w:tab w:val="left" w:pos="9072"/>
        </w:tabs>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Rhodes, R. A. W. (2007) </w:t>
      </w:r>
      <w:r w:rsidRPr="00615890">
        <w:rPr>
          <w:rFonts w:asciiTheme="majorBidi" w:hAnsiTheme="majorBidi" w:cstheme="majorBidi"/>
          <w:i/>
          <w:sz w:val="24"/>
          <w:szCs w:val="24"/>
        </w:rPr>
        <w:t>‘Understanding Governance</w:t>
      </w:r>
      <w:r w:rsidRPr="00615890">
        <w:rPr>
          <w:rFonts w:asciiTheme="majorBidi" w:hAnsiTheme="majorBidi" w:cstheme="majorBidi"/>
          <w:sz w:val="24"/>
          <w:szCs w:val="24"/>
        </w:rPr>
        <w:t xml:space="preserve">: Ten Years On’, </w:t>
      </w:r>
      <w:r w:rsidRPr="00615890">
        <w:rPr>
          <w:rFonts w:asciiTheme="majorBidi" w:hAnsiTheme="majorBidi" w:cstheme="majorBidi"/>
          <w:i/>
          <w:sz w:val="24"/>
          <w:szCs w:val="24"/>
        </w:rPr>
        <w:t>Organization Studies</w:t>
      </w:r>
      <w:r w:rsidRPr="00615890">
        <w:rPr>
          <w:rFonts w:asciiTheme="majorBidi" w:hAnsiTheme="majorBidi" w:cstheme="majorBidi"/>
          <w:sz w:val="24"/>
          <w:szCs w:val="24"/>
        </w:rPr>
        <w:t xml:space="preserve">, 28: 1243-1264. </w:t>
      </w:r>
    </w:p>
    <w:p w:rsidR="00397288" w:rsidRPr="00397288" w:rsidRDefault="00397288" w:rsidP="00660AF6">
      <w:pPr>
        <w:tabs>
          <w:tab w:val="left" w:pos="9072"/>
        </w:tabs>
        <w:spacing w:after="240" w:line="240" w:lineRule="auto"/>
        <w:ind w:right="-46" w:firstLine="720"/>
        <w:rPr>
          <w:rFonts w:asciiTheme="majorBidi" w:hAnsiTheme="majorBidi" w:cstheme="majorBidi"/>
          <w:sz w:val="24"/>
          <w:szCs w:val="24"/>
        </w:rPr>
      </w:pPr>
      <w:r>
        <w:rPr>
          <w:rFonts w:asciiTheme="majorBidi" w:hAnsiTheme="majorBidi" w:cstheme="majorBidi"/>
          <w:sz w:val="24"/>
          <w:szCs w:val="24"/>
        </w:rPr>
        <w:t xml:space="preserve">Rhodes, R. A. W. (2011) </w:t>
      </w:r>
      <w:r>
        <w:rPr>
          <w:rFonts w:asciiTheme="majorBidi" w:hAnsiTheme="majorBidi" w:cstheme="majorBidi"/>
          <w:i/>
          <w:iCs/>
          <w:sz w:val="24"/>
          <w:szCs w:val="24"/>
        </w:rPr>
        <w:t xml:space="preserve">Everyday Life in British Government. </w:t>
      </w:r>
      <w:r>
        <w:rPr>
          <w:rFonts w:asciiTheme="majorBidi" w:hAnsiTheme="majorBidi" w:cstheme="majorBidi"/>
          <w:sz w:val="24"/>
          <w:szCs w:val="24"/>
        </w:rPr>
        <w:t xml:space="preserve">Oxford: Oxford University Press. </w:t>
      </w:r>
    </w:p>
    <w:p w:rsidR="00615890" w:rsidRPr="00615890" w:rsidRDefault="00615890" w:rsidP="00660AF6">
      <w:pPr>
        <w:spacing w:after="240" w:line="240" w:lineRule="auto"/>
        <w:ind w:firstLine="720"/>
        <w:rPr>
          <w:rFonts w:asciiTheme="majorBidi" w:hAnsiTheme="majorBidi" w:cstheme="majorBidi"/>
          <w:sz w:val="24"/>
          <w:szCs w:val="24"/>
        </w:rPr>
      </w:pPr>
      <w:r w:rsidRPr="00615890">
        <w:rPr>
          <w:rFonts w:asciiTheme="majorBidi" w:hAnsiTheme="majorBidi" w:cstheme="majorBidi"/>
          <w:sz w:val="24"/>
          <w:szCs w:val="24"/>
        </w:rPr>
        <w:t xml:space="preserve">Rhodes, </w:t>
      </w:r>
      <w:r w:rsidRPr="00615890">
        <w:rPr>
          <w:rFonts w:asciiTheme="majorBidi" w:hAnsiTheme="majorBidi" w:cstheme="majorBidi"/>
          <w:bCs/>
          <w:sz w:val="24"/>
          <w:szCs w:val="24"/>
        </w:rPr>
        <w:t>R</w:t>
      </w:r>
      <w:r w:rsidRPr="00615890">
        <w:rPr>
          <w:rFonts w:asciiTheme="majorBidi" w:hAnsiTheme="majorBidi" w:cstheme="majorBidi"/>
          <w:sz w:val="24"/>
          <w:szCs w:val="24"/>
        </w:rPr>
        <w:t xml:space="preserve">. A. W. (2016) ‘Recovering the Craft of Public Administration’, </w:t>
      </w:r>
      <w:r w:rsidRPr="00615890">
        <w:rPr>
          <w:rFonts w:asciiTheme="majorBidi" w:hAnsiTheme="majorBidi" w:cstheme="majorBidi"/>
          <w:i/>
          <w:iCs/>
          <w:sz w:val="24"/>
          <w:szCs w:val="24"/>
        </w:rPr>
        <w:t>Public Administration Review</w:t>
      </w:r>
      <w:r w:rsidRPr="00615890">
        <w:rPr>
          <w:rFonts w:asciiTheme="majorBidi" w:hAnsiTheme="majorBidi" w:cstheme="majorBidi"/>
          <w:sz w:val="24"/>
          <w:szCs w:val="24"/>
        </w:rPr>
        <w:t xml:space="preserve"> 76 (4): 638–647. </w:t>
      </w:r>
    </w:p>
    <w:p w:rsidR="00660673" w:rsidRPr="00615890" w:rsidRDefault="00660673" w:rsidP="00660AF6">
      <w:pPr>
        <w:spacing w:after="240" w:line="240" w:lineRule="auto"/>
        <w:ind w:firstLine="720"/>
        <w:rPr>
          <w:rFonts w:asciiTheme="majorBidi" w:hAnsiTheme="majorBidi" w:cstheme="majorBidi"/>
          <w:sz w:val="24"/>
          <w:szCs w:val="24"/>
        </w:rPr>
      </w:pPr>
      <w:r w:rsidRPr="00615890">
        <w:rPr>
          <w:rFonts w:asciiTheme="majorBidi" w:hAnsiTheme="majorBidi" w:cstheme="majorBidi"/>
          <w:sz w:val="24"/>
          <w:szCs w:val="24"/>
        </w:rPr>
        <w:t xml:space="preserve">Rhodes, R. A. W. (2017a) </w:t>
      </w:r>
      <w:r w:rsidRPr="00615890">
        <w:rPr>
          <w:rFonts w:asciiTheme="majorBidi" w:hAnsiTheme="majorBidi" w:cstheme="majorBidi"/>
          <w:i/>
          <w:iCs/>
          <w:sz w:val="24"/>
          <w:szCs w:val="24"/>
        </w:rPr>
        <w:t>Network Governance and the Differentiated Polity: Selected Essays. Volume I.</w:t>
      </w:r>
      <w:r w:rsidRPr="00615890">
        <w:rPr>
          <w:rFonts w:asciiTheme="majorBidi" w:hAnsiTheme="majorBidi" w:cstheme="majorBidi"/>
          <w:sz w:val="24"/>
          <w:szCs w:val="24"/>
        </w:rPr>
        <w:t xml:space="preserve"> Oxford: Oxford University Press.</w:t>
      </w:r>
    </w:p>
    <w:p w:rsidR="00660673" w:rsidRPr="00615890" w:rsidRDefault="00660673" w:rsidP="00660AF6">
      <w:pPr>
        <w:spacing w:after="240" w:line="240" w:lineRule="auto"/>
        <w:ind w:firstLine="720"/>
        <w:rPr>
          <w:rFonts w:asciiTheme="majorBidi" w:hAnsiTheme="majorBidi" w:cstheme="majorBidi"/>
          <w:sz w:val="24"/>
          <w:szCs w:val="24"/>
        </w:rPr>
      </w:pPr>
      <w:r w:rsidRPr="00615890">
        <w:rPr>
          <w:rFonts w:asciiTheme="majorBidi" w:hAnsiTheme="majorBidi" w:cstheme="majorBidi"/>
          <w:sz w:val="24"/>
          <w:szCs w:val="24"/>
        </w:rPr>
        <w:t xml:space="preserve">Rhodes, R. A. W. (2017b) </w:t>
      </w:r>
      <w:r w:rsidRPr="00615890">
        <w:rPr>
          <w:rFonts w:asciiTheme="majorBidi" w:hAnsiTheme="majorBidi" w:cstheme="majorBidi"/>
          <w:i/>
          <w:iCs/>
          <w:sz w:val="24"/>
          <w:szCs w:val="24"/>
        </w:rPr>
        <w:t>Interpretive Political Science. Selected Essays. Volume</w:t>
      </w:r>
      <w:r w:rsidRPr="00615890">
        <w:rPr>
          <w:rFonts w:asciiTheme="majorBidi" w:hAnsiTheme="majorBidi" w:cstheme="majorBidi"/>
          <w:sz w:val="24"/>
          <w:szCs w:val="24"/>
        </w:rPr>
        <w:t xml:space="preserve"> </w:t>
      </w:r>
      <w:r w:rsidRPr="00615890">
        <w:rPr>
          <w:rFonts w:asciiTheme="majorBidi" w:hAnsiTheme="majorBidi" w:cstheme="majorBidi"/>
          <w:i/>
          <w:iCs/>
          <w:sz w:val="24"/>
          <w:szCs w:val="24"/>
        </w:rPr>
        <w:t>II.</w:t>
      </w:r>
      <w:r w:rsidRPr="00615890">
        <w:rPr>
          <w:rFonts w:asciiTheme="majorBidi" w:hAnsiTheme="majorBidi" w:cstheme="majorBidi"/>
          <w:sz w:val="24"/>
          <w:szCs w:val="24"/>
        </w:rPr>
        <w:t xml:space="preserve"> Oxford: Oxford University Press</w:t>
      </w:r>
    </w:p>
    <w:p w:rsidR="00660673" w:rsidRPr="00615890" w:rsidRDefault="00660673" w:rsidP="00660AF6">
      <w:pPr>
        <w:spacing w:after="240" w:line="240" w:lineRule="auto"/>
        <w:ind w:right="-46" w:firstLine="720"/>
        <w:rPr>
          <w:rFonts w:asciiTheme="majorBidi" w:hAnsiTheme="majorBidi" w:cstheme="majorBidi"/>
          <w:bCs/>
          <w:sz w:val="24"/>
          <w:szCs w:val="24"/>
        </w:rPr>
      </w:pPr>
      <w:r w:rsidRPr="00615890">
        <w:rPr>
          <w:rFonts w:asciiTheme="majorBidi" w:hAnsiTheme="majorBidi" w:cstheme="majorBidi"/>
          <w:sz w:val="24"/>
          <w:szCs w:val="24"/>
        </w:rPr>
        <w:t>Rhodes, R. A. W. and Weller: (2005). ‘</w:t>
      </w:r>
      <w:r w:rsidRPr="00615890">
        <w:rPr>
          <w:rFonts w:asciiTheme="majorBidi" w:hAnsiTheme="majorBidi" w:cstheme="majorBidi"/>
          <w:bCs/>
          <w:sz w:val="24"/>
          <w:szCs w:val="24"/>
        </w:rPr>
        <w:t xml:space="preserve">Westminster Transplanted and Westminster Implanted: Explanations for Political Change’, in Patapan, H., Wanna, J. and Weller, P. (Eds.), </w:t>
      </w:r>
      <w:r w:rsidRPr="00615890">
        <w:rPr>
          <w:rFonts w:asciiTheme="majorBidi" w:hAnsiTheme="majorBidi" w:cstheme="majorBidi"/>
          <w:i/>
          <w:sz w:val="24"/>
          <w:szCs w:val="24"/>
        </w:rPr>
        <w:t>Westminster Legacies: Democracy and Responsible Government in Asia, Australasia and the Pacific</w:t>
      </w:r>
      <w:r w:rsidRPr="00615890">
        <w:rPr>
          <w:rFonts w:asciiTheme="majorBidi" w:hAnsiTheme="majorBidi" w:cstheme="majorBidi"/>
          <w:sz w:val="24"/>
          <w:szCs w:val="24"/>
        </w:rPr>
        <w:t xml:space="preserve">. </w:t>
      </w:r>
      <w:r w:rsidRPr="00615890">
        <w:rPr>
          <w:rFonts w:asciiTheme="majorBidi" w:hAnsiTheme="majorBidi" w:cstheme="majorBidi"/>
          <w:bCs/>
          <w:sz w:val="24"/>
          <w:szCs w:val="24"/>
        </w:rPr>
        <w:t xml:space="preserve">Sydney: University of New South Wales Press, pp. 1-12. </w:t>
      </w:r>
    </w:p>
    <w:p w:rsidR="00660673" w:rsidRPr="00615890" w:rsidRDefault="00660673" w:rsidP="00CF2006">
      <w:pPr>
        <w:pStyle w:val="BodyText"/>
        <w:spacing w:after="240" w:line="240" w:lineRule="auto"/>
        <w:ind w:right="-46" w:firstLine="720"/>
        <w:rPr>
          <w:rFonts w:asciiTheme="majorBidi" w:hAnsiTheme="majorBidi" w:cstheme="majorBidi"/>
          <w:i/>
          <w:iCs/>
          <w:szCs w:val="24"/>
        </w:rPr>
      </w:pPr>
      <w:r w:rsidRPr="00615890">
        <w:rPr>
          <w:rFonts w:asciiTheme="majorBidi" w:hAnsiTheme="majorBidi" w:cstheme="majorBidi"/>
          <w:szCs w:val="24"/>
        </w:rPr>
        <w:t xml:space="preserve">Scharpf, F. W. (1997) </w:t>
      </w:r>
      <w:r w:rsidRPr="00615890">
        <w:rPr>
          <w:rFonts w:asciiTheme="majorBidi" w:hAnsiTheme="majorBidi" w:cstheme="majorBidi"/>
          <w:i/>
          <w:iCs/>
          <w:szCs w:val="24"/>
        </w:rPr>
        <w:t>Games Real Actors Play. Actor-Centred Institutionalism in Policy Research</w:t>
      </w:r>
      <w:r w:rsidRPr="00615890">
        <w:rPr>
          <w:rFonts w:asciiTheme="majorBidi" w:hAnsiTheme="majorBidi" w:cstheme="majorBidi"/>
          <w:szCs w:val="24"/>
        </w:rPr>
        <w:t xml:space="preserve">. Boulder, CO: Westview Press. </w:t>
      </w:r>
    </w:p>
    <w:p w:rsidR="00660673" w:rsidRPr="00615890" w:rsidRDefault="00E927FE" w:rsidP="00E927FE">
      <w:pPr>
        <w:pStyle w:val="References"/>
        <w:spacing w:after="240" w:line="240" w:lineRule="auto"/>
        <w:ind w:left="0" w:right="-46" w:firstLine="720"/>
        <w:rPr>
          <w:rFonts w:asciiTheme="majorBidi" w:hAnsiTheme="majorBidi" w:cstheme="majorBidi"/>
          <w:lang w:val="en-GB"/>
        </w:rPr>
      </w:pPr>
      <w:r w:rsidRPr="00CB19CB">
        <w:rPr>
          <w:rFonts w:asciiTheme="majorBidi" w:hAnsiTheme="majorBidi" w:cstheme="majorBidi"/>
        </w:rPr>
        <w:t>Sørensen</w:t>
      </w:r>
      <w:r w:rsidR="00660673" w:rsidRPr="00615890">
        <w:rPr>
          <w:rFonts w:asciiTheme="majorBidi" w:hAnsiTheme="majorBidi" w:cstheme="majorBidi"/>
          <w:lang w:val="en-GB"/>
        </w:rPr>
        <w:t xml:space="preserve">, E. and Torfing, J. (2007) ‘Theoretical Approaches to Metagovernance’, in E. </w:t>
      </w:r>
      <w:r w:rsidRPr="00CB19CB">
        <w:rPr>
          <w:rFonts w:asciiTheme="majorBidi" w:hAnsiTheme="majorBidi" w:cstheme="majorBidi"/>
        </w:rPr>
        <w:t>Sørensen</w:t>
      </w:r>
      <w:r w:rsidRPr="00615890">
        <w:rPr>
          <w:rFonts w:asciiTheme="majorBidi" w:hAnsiTheme="majorBidi" w:cstheme="majorBidi"/>
          <w:lang w:val="en-GB"/>
        </w:rPr>
        <w:t xml:space="preserve"> </w:t>
      </w:r>
      <w:r w:rsidR="00660673" w:rsidRPr="00615890">
        <w:rPr>
          <w:rFonts w:asciiTheme="majorBidi" w:hAnsiTheme="majorBidi" w:cstheme="majorBidi"/>
          <w:lang w:val="en-GB"/>
        </w:rPr>
        <w:t xml:space="preserve">and J. Torfing, Eds. </w:t>
      </w:r>
      <w:r w:rsidR="00660673" w:rsidRPr="00615890">
        <w:rPr>
          <w:rFonts w:asciiTheme="majorBidi" w:hAnsiTheme="majorBidi" w:cstheme="majorBidi"/>
          <w:i/>
          <w:lang w:val="en-GB"/>
        </w:rPr>
        <w:t>Theories of Democratic Network Governance</w:t>
      </w:r>
      <w:r w:rsidR="00660673" w:rsidRPr="00615890">
        <w:rPr>
          <w:rFonts w:asciiTheme="majorBidi" w:hAnsiTheme="majorBidi" w:cstheme="majorBidi"/>
          <w:lang w:val="en-GB"/>
        </w:rPr>
        <w:t xml:space="preserve">. Houndmills, Basingstoke: Palgrave-Macmillan, pp. 169-82 </w:t>
      </w:r>
    </w:p>
    <w:p w:rsidR="00660673" w:rsidRPr="00615890" w:rsidRDefault="00660673" w:rsidP="00E927FE">
      <w:pPr>
        <w:pStyle w:val="BodyText"/>
        <w:spacing w:after="240" w:line="240" w:lineRule="auto"/>
        <w:ind w:right="-46" w:firstLine="720"/>
        <w:rPr>
          <w:rFonts w:asciiTheme="majorBidi" w:hAnsiTheme="majorBidi" w:cstheme="majorBidi"/>
          <w:szCs w:val="24"/>
        </w:rPr>
      </w:pPr>
      <w:r w:rsidRPr="00615890">
        <w:rPr>
          <w:rFonts w:asciiTheme="majorBidi" w:hAnsiTheme="majorBidi" w:cstheme="majorBidi"/>
          <w:szCs w:val="24"/>
        </w:rPr>
        <w:t xml:space="preserve">Torfing, J., Peters, B. G., Pierre, J. and </w:t>
      </w:r>
      <w:r w:rsidR="00E927FE" w:rsidRPr="00CB19CB">
        <w:rPr>
          <w:rFonts w:asciiTheme="majorBidi" w:hAnsiTheme="majorBidi" w:cstheme="majorBidi"/>
          <w:szCs w:val="24"/>
        </w:rPr>
        <w:t>Sørensen</w:t>
      </w:r>
      <w:r w:rsidRPr="00615890">
        <w:rPr>
          <w:rFonts w:asciiTheme="majorBidi" w:hAnsiTheme="majorBidi" w:cstheme="majorBidi"/>
          <w:szCs w:val="24"/>
        </w:rPr>
        <w:t xml:space="preserve">, E. (2012) </w:t>
      </w:r>
      <w:r w:rsidRPr="00615890">
        <w:rPr>
          <w:rFonts w:asciiTheme="majorBidi" w:hAnsiTheme="majorBidi" w:cstheme="majorBidi"/>
          <w:i/>
          <w:iCs/>
          <w:szCs w:val="24"/>
        </w:rPr>
        <w:t xml:space="preserve">Interactive Governance: Advancing the Paradigm. </w:t>
      </w:r>
      <w:r w:rsidRPr="00615890">
        <w:rPr>
          <w:rFonts w:asciiTheme="majorBidi" w:hAnsiTheme="majorBidi" w:cstheme="majorBidi"/>
          <w:szCs w:val="24"/>
        </w:rPr>
        <w:t xml:space="preserve">Oxford: Oxford University Press. </w:t>
      </w:r>
    </w:p>
    <w:p w:rsidR="00660673" w:rsidRPr="00615890" w:rsidRDefault="00660673" w:rsidP="00CF2006">
      <w:pPr>
        <w:spacing w:after="240" w:line="240" w:lineRule="auto"/>
        <w:ind w:right="-46" w:firstLine="720"/>
        <w:rPr>
          <w:rFonts w:asciiTheme="majorBidi" w:hAnsiTheme="majorBidi" w:cstheme="majorBidi"/>
          <w:sz w:val="24"/>
          <w:szCs w:val="24"/>
        </w:rPr>
      </w:pPr>
      <w:r w:rsidRPr="00615890">
        <w:rPr>
          <w:rFonts w:asciiTheme="majorBidi" w:hAnsiTheme="majorBidi" w:cstheme="majorBidi"/>
          <w:sz w:val="24"/>
          <w:szCs w:val="24"/>
        </w:rPr>
        <w:t xml:space="preserve">Toynbee, P. and Walker, D. (2015) </w:t>
      </w:r>
      <w:r w:rsidRPr="00615890">
        <w:rPr>
          <w:rFonts w:asciiTheme="majorBidi" w:hAnsiTheme="majorBidi" w:cstheme="majorBidi"/>
          <w:i/>
          <w:iCs/>
          <w:sz w:val="24"/>
          <w:szCs w:val="24"/>
        </w:rPr>
        <w:t>Cameron's Coup: How the Tories Took Britain to the Brink</w:t>
      </w:r>
      <w:r w:rsidRPr="00615890">
        <w:rPr>
          <w:rFonts w:asciiTheme="majorBidi" w:hAnsiTheme="majorBidi" w:cstheme="majorBidi"/>
          <w:sz w:val="24"/>
          <w:szCs w:val="24"/>
        </w:rPr>
        <w:t xml:space="preserve">. London: Guardian Faber Publishing. </w:t>
      </w:r>
    </w:p>
    <w:p w:rsidR="000B6D31" w:rsidRDefault="000B6D31" w:rsidP="00CF2006">
      <w:pPr>
        <w:spacing w:after="240" w:line="240" w:lineRule="auto"/>
        <w:ind w:firstLine="720"/>
        <w:rPr>
          <w:rFonts w:asciiTheme="majorBidi" w:hAnsiTheme="majorBidi" w:cstheme="majorBidi"/>
          <w:color w:val="000000" w:themeColor="text1"/>
          <w:sz w:val="24"/>
          <w:szCs w:val="24"/>
        </w:rPr>
      </w:pPr>
      <w:r w:rsidRPr="000B6D31">
        <w:rPr>
          <w:rFonts w:asciiTheme="majorBidi" w:hAnsiTheme="majorBidi" w:cstheme="majorBidi"/>
          <w:color w:val="000000" w:themeColor="text1"/>
          <w:sz w:val="24"/>
          <w:szCs w:val="24"/>
        </w:rPr>
        <w:t>W</w:t>
      </w:r>
      <w:r w:rsidRPr="000B6D31">
        <w:rPr>
          <w:rFonts w:asciiTheme="majorBidi" w:hAnsiTheme="majorBidi" w:cstheme="majorBidi"/>
          <w:sz w:val="24"/>
          <w:szCs w:val="24"/>
        </w:rPr>
        <w:t>ittgenstein, L.</w:t>
      </w:r>
      <w:r w:rsidRPr="000B6D31">
        <w:rPr>
          <w:rFonts w:asciiTheme="majorBidi" w:hAnsiTheme="majorBidi" w:cstheme="majorBidi"/>
          <w:color w:val="000000" w:themeColor="text1"/>
          <w:sz w:val="24"/>
          <w:szCs w:val="24"/>
        </w:rPr>
        <w:t xml:space="preserve"> (2009) [1953] </w:t>
      </w:r>
      <w:r w:rsidRPr="000B6D31">
        <w:rPr>
          <w:rFonts w:asciiTheme="majorBidi" w:hAnsiTheme="majorBidi" w:cstheme="majorBidi"/>
          <w:i/>
          <w:iCs/>
          <w:color w:val="000000" w:themeColor="text1"/>
          <w:sz w:val="24"/>
          <w:szCs w:val="24"/>
        </w:rPr>
        <w:t>Philosophical Investigations</w:t>
      </w:r>
      <w:r w:rsidRPr="000B6D31">
        <w:rPr>
          <w:rFonts w:asciiTheme="majorBidi" w:hAnsiTheme="majorBidi" w:cstheme="majorBidi"/>
          <w:color w:val="000000" w:themeColor="text1"/>
          <w:sz w:val="24"/>
          <w:szCs w:val="24"/>
        </w:rPr>
        <w:t xml:space="preserve">. Fourth edition. Edited by </w:t>
      </w:r>
      <w:r w:rsidRPr="000B6D31">
        <w:rPr>
          <w:rStyle w:val="author"/>
          <w:rFonts w:asciiTheme="majorBidi" w:hAnsiTheme="majorBidi" w:cstheme="majorBidi"/>
          <w:color w:val="111111"/>
          <w:sz w:val="24"/>
          <w:szCs w:val="24"/>
          <w:shd w:val="clear" w:color="auto" w:fill="FFFFFF"/>
        </w:rPr>
        <w:t>P. M. S. Hacker</w:t>
      </w:r>
      <w:r w:rsidRPr="000B6D31">
        <w:rPr>
          <w:rStyle w:val="apple-converted-space"/>
          <w:rFonts w:asciiTheme="majorBidi" w:hAnsiTheme="majorBidi" w:cstheme="majorBidi"/>
          <w:color w:val="111111"/>
          <w:sz w:val="24"/>
          <w:szCs w:val="24"/>
          <w:shd w:val="clear" w:color="auto" w:fill="FFFFFF"/>
        </w:rPr>
        <w:t xml:space="preserve"> and </w:t>
      </w:r>
      <w:r w:rsidRPr="000B6D31">
        <w:rPr>
          <w:rStyle w:val="author"/>
          <w:rFonts w:asciiTheme="majorBidi" w:hAnsiTheme="majorBidi" w:cstheme="majorBidi"/>
          <w:color w:val="111111"/>
          <w:sz w:val="24"/>
          <w:szCs w:val="24"/>
          <w:shd w:val="clear" w:color="auto" w:fill="FFFFFF"/>
        </w:rPr>
        <w:t>Joachim Schulte.</w:t>
      </w:r>
      <w:r w:rsidRPr="000B6D31">
        <w:rPr>
          <w:rFonts w:asciiTheme="majorBidi" w:hAnsiTheme="majorBidi" w:cstheme="majorBidi"/>
          <w:color w:val="000000" w:themeColor="text1"/>
          <w:sz w:val="24"/>
          <w:szCs w:val="24"/>
        </w:rPr>
        <w:t xml:space="preserve"> Oxford: Wiley-Blackwell.</w:t>
      </w:r>
    </w:p>
    <w:p w:rsidR="00282668" w:rsidRDefault="0028266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282668" w:rsidRDefault="00282668" w:rsidP="00282668">
      <w:pPr>
        <w:ind w:firstLine="720"/>
        <w:rPr>
          <w:rFonts w:ascii="Times New Roman" w:hAnsi="Times New Roman"/>
          <w:sz w:val="24"/>
          <w:szCs w:val="24"/>
        </w:rPr>
      </w:pPr>
      <w:r>
        <w:rPr>
          <w:rFonts w:ascii="Times New Roman" w:hAnsi="Times New Roman"/>
          <w:b/>
          <w:bCs/>
          <w:sz w:val="24"/>
          <w:szCs w:val="24"/>
        </w:rPr>
        <w:t xml:space="preserve">Biography </w:t>
      </w:r>
    </w:p>
    <w:p w:rsidR="00282668" w:rsidRPr="00AF71B0" w:rsidRDefault="00282668" w:rsidP="00282668">
      <w:pPr>
        <w:spacing w:line="240" w:lineRule="auto"/>
        <w:rPr>
          <w:rFonts w:asciiTheme="majorBidi" w:hAnsiTheme="majorBidi" w:cstheme="majorBidi"/>
          <w:sz w:val="24"/>
          <w:szCs w:val="24"/>
        </w:rPr>
      </w:pPr>
      <w:r w:rsidRPr="00AF71B0">
        <w:rPr>
          <w:rStyle w:val="Strong"/>
          <w:rFonts w:asciiTheme="majorBidi" w:hAnsiTheme="majorBidi" w:cstheme="majorBidi"/>
          <w:sz w:val="24"/>
          <w:szCs w:val="24"/>
        </w:rPr>
        <w:t>Rod Rhodes</w:t>
      </w:r>
      <w:r w:rsidRPr="00AF71B0">
        <w:rPr>
          <w:rFonts w:asciiTheme="majorBidi" w:hAnsiTheme="majorBidi" w:cstheme="majorBidi"/>
          <w:sz w:val="24"/>
          <w:szCs w:val="24"/>
        </w:rPr>
        <w:t xml:space="preserve"> is Professor of Government (Research) at the University of Southampton (UK); Emeritus Professor of Politics at the University of Newcastle (UK); Visiting Professor, Utrecht School of Governance, University of Utrecht, The Netherlands; and Adjunct Professor, Centre for Governance and Public Policy, Griffith University, Queensland, Australia.  Previously, he was the Director of the UK Economic and Social Research Council’s ‘Whitehall Programme’ (1994-1999); Distinguished Professor of Political Science at the Australian National University (2006-11); and Director of the Research School of Social Sciences at the Australian National University (2007-8). </w:t>
      </w:r>
    </w:p>
    <w:p w:rsidR="00282668" w:rsidRPr="00AF71B0" w:rsidRDefault="00282668" w:rsidP="00282668">
      <w:pPr>
        <w:autoSpaceDN w:val="0"/>
        <w:spacing w:after="240" w:line="240" w:lineRule="auto"/>
        <w:rPr>
          <w:rFonts w:asciiTheme="majorBidi" w:hAnsiTheme="majorBidi" w:cstheme="majorBidi"/>
          <w:sz w:val="24"/>
          <w:szCs w:val="24"/>
        </w:rPr>
      </w:pPr>
      <w:r w:rsidRPr="00AF71B0">
        <w:rPr>
          <w:rFonts w:asciiTheme="majorBidi" w:hAnsiTheme="majorBidi" w:cstheme="majorBidi"/>
          <w:sz w:val="24"/>
          <w:szCs w:val="24"/>
        </w:rPr>
        <w:t>He is the author of 1</w:t>
      </w:r>
      <w:r>
        <w:rPr>
          <w:rFonts w:asciiTheme="majorBidi" w:hAnsiTheme="majorBidi" w:cstheme="majorBidi"/>
          <w:sz w:val="24"/>
          <w:szCs w:val="24"/>
        </w:rPr>
        <w:t>9</w:t>
      </w:r>
      <w:r w:rsidRPr="00AF71B0">
        <w:rPr>
          <w:rFonts w:asciiTheme="majorBidi" w:hAnsiTheme="majorBidi" w:cstheme="majorBidi"/>
          <w:sz w:val="24"/>
          <w:szCs w:val="24"/>
        </w:rPr>
        <w:t xml:space="preserve"> books including, since 2006: </w:t>
      </w:r>
      <w:r w:rsidRPr="00AF71B0">
        <w:rPr>
          <w:rFonts w:asciiTheme="majorBidi" w:hAnsiTheme="majorBidi" w:cstheme="majorBidi"/>
          <w:i/>
          <w:iCs/>
          <w:sz w:val="24"/>
          <w:szCs w:val="24"/>
        </w:rPr>
        <w:t>Networks, Governance and the Differentiated Polity. Selected Essays. Volume I.</w:t>
      </w:r>
      <w:r w:rsidRPr="00AF71B0">
        <w:rPr>
          <w:rFonts w:asciiTheme="majorBidi" w:hAnsiTheme="majorBidi" w:cstheme="majorBidi"/>
          <w:sz w:val="24"/>
          <w:szCs w:val="24"/>
        </w:rPr>
        <w:t xml:space="preserve"> (Oxford University Press, 2017);  </w:t>
      </w:r>
      <w:r w:rsidRPr="00AF71B0">
        <w:rPr>
          <w:rFonts w:asciiTheme="majorBidi" w:hAnsiTheme="majorBidi" w:cstheme="majorBidi"/>
          <w:i/>
          <w:iCs/>
          <w:sz w:val="24"/>
          <w:szCs w:val="24"/>
        </w:rPr>
        <w:t>Interpretive Political Science. Selected Essays. Volume II</w:t>
      </w:r>
      <w:r w:rsidRPr="00AF71B0">
        <w:rPr>
          <w:rFonts w:asciiTheme="majorBidi" w:hAnsiTheme="majorBidi" w:cstheme="majorBidi"/>
          <w:sz w:val="24"/>
          <w:szCs w:val="24"/>
        </w:rPr>
        <w:t xml:space="preserve"> (Oxford University Press, 2017); </w:t>
      </w:r>
      <w:r w:rsidRPr="00AF71B0">
        <w:rPr>
          <w:rFonts w:asciiTheme="majorBidi" w:hAnsiTheme="majorBidi" w:cstheme="majorBidi"/>
          <w:i/>
          <w:iCs/>
          <w:sz w:val="24"/>
          <w:szCs w:val="24"/>
        </w:rPr>
        <w:t>Lessons of Governing. A Profile of Prime Ministers’ Chiefs of Staff</w:t>
      </w:r>
      <w:r w:rsidRPr="00AF71B0">
        <w:rPr>
          <w:rFonts w:asciiTheme="majorBidi" w:hAnsiTheme="majorBidi" w:cstheme="majorBidi"/>
          <w:sz w:val="24"/>
          <w:szCs w:val="24"/>
        </w:rPr>
        <w:t xml:space="preserve"> (with Anne Tiernan, Melbourne University Press, 2014); </w:t>
      </w:r>
      <w:r w:rsidRPr="00AF71B0">
        <w:rPr>
          <w:rFonts w:asciiTheme="majorBidi" w:hAnsiTheme="majorBidi" w:cstheme="majorBidi"/>
          <w:i/>
          <w:iCs/>
          <w:sz w:val="24"/>
          <w:szCs w:val="24"/>
        </w:rPr>
        <w:t>Everyday</w:t>
      </w:r>
      <w:r w:rsidRPr="00AF71B0">
        <w:rPr>
          <w:rStyle w:val="Emphasis"/>
          <w:rFonts w:asciiTheme="majorBidi" w:hAnsiTheme="majorBidi" w:cstheme="majorBidi"/>
          <w:sz w:val="24"/>
          <w:szCs w:val="24"/>
        </w:rPr>
        <w:t xml:space="preserve"> Life in British Government</w:t>
      </w:r>
      <w:r w:rsidRPr="00AF71B0">
        <w:rPr>
          <w:rFonts w:asciiTheme="majorBidi" w:hAnsiTheme="majorBidi" w:cstheme="majorBidi"/>
          <w:sz w:val="24"/>
          <w:szCs w:val="24"/>
        </w:rPr>
        <w:t xml:space="preserve"> (Oxford University Press 2011. Paperback 2015); </w:t>
      </w:r>
      <w:r w:rsidRPr="00AF71B0">
        <w:rPr>
          <w:rStyle w:val="Emphasis"/>
          <w:rFonts w:asciiTheme="majorBidi" w:hAnsiTheme="majorBidi" w:cstheme="majorBidi"/>
          <w:sz w:val="24"/>
          <w:szCs w:val="24"/>
        </w:rPr>
        <w:t>The State as Cultural Practice</w:t>
      </w:r>
      <w:r w:rsidRPr="00AF71B0">
        <w:rPr>
          <w:rFonts w:asciiTheme="majorBidi" w:hAnsiTheme="majorBidi" w:cstheme="majorBidi"/>
          <w:sz w:val="24"/>
          <w:szCs w:val="24"/>
        </w:rPr>
        <w:t xml:space="preserve"> (with Mark Bevir, Oxford University Press 2010. Paperback 2015); </w:t>
      </w:r>
      <w:r w:rsidRPr="00AF71B0">
        <w:rPr>
          <w:rStyle w:val="Emphasis"/>
          <w:rFonts w:asciiTheme="majorBidi" w:hAnsiTheme="majorBidi" w:cstheme="majorBidi"/>
          <w:sz w:val="24"/>
          <w:szCs w:val="24"/>
        </w:rPr>
        <w:t>Comparing Westminster</w:t>
      </w:r>
      <w:r w:rsidRPr="00AF71B0">
        <w:rPr>
          <w:rFonts w:asciiTheme="majorBidi" w:hAnsiTheme="majorBidi" w:cstheme="majorBidi"/>
          <w:sz w:val="24"/>
          <w:szCs w:val="24"/>
        </w:rPr>
        <w:t xml:space="preserve"> (with Patrick Weller and John Wanna, Oxford University Press 2009); and </w:t>
      </w:r>
      <w:r w:rsidRPr="00AF71B0">
        <w:rPr>
          <w:rStyle w:val="Emphasis"/>
          <w:rFonts w:asciiTheme="majorBidi" w:hAnsiTheme="majorBidi" w:cstheme="majorBidi"/>
          <w:sz w:val="24"/>
          <w:szCs w:val="24"/>
        </w:rPr>
        <w:t>Governance Stories</w:t>
      </w:r>
      <w:r w:rsidRPr="00AF71B0">
        <w:rPr>
          <w:rFonts w:asciiTheme="majorBidi" w:hAnsiTheme="majorBidi" w:cstheme="majorBidi"/>
          <w:sz w:val="24"/>
          <w:szCs w:val="24"/>
        </w:rPr>
        <w:t xml:space="preserve"> (with Mark Bevir, Routledge 2006). </w:t>
      </w:r>
    </w:p>
    <w:p w:rsidR="00282668" w:rsidRPr="00F000E1" w:rsidRDefault="00282668" w:rsidP="00282668">
      <w:pPr>
        <w:spacing w:after="240" w:line="240" w:lineRule="auto"/>
        <w:rPr>
          <w:rFonts w:asciiTheme="majorBidi" w:hAnsiTheme="majorBidi" w:cstheme="majorBidi"/>
          <w:sz w:val="24"/>
          <w:szCs w:val="24"/>
        </w:rPr>
      </w:pPr>
      <w:r w:rsidRPr="00F000E1">
        <w:rPr>
          <w:rFonts w:asciiTheme="majorBidi" w:hAnsiTheme="majorBidi" w:cstheme="majorBidi"/>
          <w:sz w:val="24"/>
          <w:szCs w:val="24"/>
        </w:rPr>
        <w:t>He also edited a further 19 book including, since 2006</w:t>
      </w:r>
      <w:r w:rsidRPr="00F000E1">
        <w:rPr>
          <w:rFonts w:asciiTheme="majorBidi" w:hAnsiTheme="majorBidi" w:cstheme="majorBidi"/>
          <w:i/>
          <w:iCs/>
          <w:sz w:val="24"/>
          <w:szCs w:val="24"/>
        </w:rPr>
        <w:t>: Rethinking Governance: Rule, Rationality, Resistance</w:t>
      </w:r>
      <w:r w:rsidRPr="00F000E1">
        <w:rPr>
          <w:rFonts w:asciiTheme="majorBidi" w:hAnsiTheme="majorBidi" w:cstheme="majorBidi"/>
          <w:sz w:val="24"/>
          <w:szCs w:val="24"/>
        </w:rPr>
        <w:t xml:space="preserve"> (with Mark Bevir, Routledge, 2016); </w:t>
      </w:r>
      <w:r w:rsidRPr="00F000E1">
        <w:rPr>
          <w:rFonts w:asciiTheme="majorBidi" w:hAnsiTheme="majorBidi" w:cstheme="majorBidi"/>
          <w:i/>
          <w:iCs/>
          <w:sz w:val="24"/>
          <w:szCs w:val="24"/>
        </w:rPr>
        <w:t>The Routledge Handbook of Interpretive Political Science</w:t>
      </w:r>
      <w:r w:rsidRPr="00F000E1">
        <w:rPr>
          <w:rFonts w:asciiTheme="majorBidi" w:hAnsiTheme="majorBidi" w:cstheme="majorBidi"/>
          <w:sz w:val="24"/>
          <w:szCs w:val="24"/>
        </w:rPr>
        <w:t xml:space="preserve"> (with Mark Bevir, Routledge 2015);</w:t>
      </w:r>
      <w:r w:rsidRPr="00F000E1">
        <w:rPr>
          <w:rFonts w:asciiTheme="majorBidi" w:hAnsiTheme="majorBidi" w:cstheme="majorBidi"/>
          <w:i/>
          <w:iCs/>
          <w:sz w:val="24"/>
          <w:szCs w:val="24"/>
        </w:rPr>
        <w:t xml:space="preserve"> The Oxford Handbook of Political Leadership </w:t>
      </w:r>
      <w:r w:rsidRPr="00F000E1">
        <w:rPr>
          <w:rFonts w:asciiTheme="majorBidi" w:hAnsiTheme="majorBidi" w:cstheme="majorBidi"/>
          <w:sz w:val="24"/>
          <w:szCs w:val="24"/>
        </w:rPr>
        <w:t>(with Paul ‘t Hart, Oxford University Press, 2014); The</w:t>
      </w:r>
      <w:r w:rsidRPr="00F000E1">
        <w:rPr>
          <w:rFonts w:asciiTheme="majorBidi" w:hAnsiTheme="majorBidi" w:cstheme="majorBidi"/>
          <w:i/>
          <w:iCs/>
          <w:sz w:val="24"/>
          <w:szCs w:val="24"/>
        </w:rPr>
        <w:t xml:space="preserve"> Craft of Governing </w:t>
      </w:r>
      <w:r w:rsidRPr="00F000E1">
        <w:rPr>
          <w:rFonts w:asciiTheme="majorBidi" w:hAnsiTheme="majorBidi" w:cstheme="majorBidi"/>
          <w:sz w:val="24"/>
          <w:szCs w:val="24"/>
        </w:rPr>
        <w:t>(with Glyn Davis,</w:t>
      </w:r>
      <w:r w:rsidRPr="00F000E1">
        <w:rPr>
          <w:rFonts w:asciiTheme="majorBidi" w:hAnsiTheme="majorBidi" w:cstheme="majorBidi"/>
          <w:i/>
          <w:iCs/>
          <w:sz w:val="24"/>
          <w:szCs w:val="24"/>
        </w:rPr>
        <w:t xml:space="preserve"> </w:t>
      </w:r>
      <w:r w:rsidRPr="00F000E1">
        <w:rPr>
          <w:rFonts w:asciiTheme="majorBidi" w:hAnsiTheme="majorBidi" w:cstheme="majorBidi"/>
          <w:sz w:val="24"/>
          <w:szCs w:val="24"/>
        </w:rPr>
        <w:t xml:space="preserve">Allen &amp; Unwin, 2014); </w:t>
      </w:r>
      <w:r w:rsidRPr="00F000E1">
        <w:rPr>
          <w:rStyle w:val="Emphasis"/>
          <w:rFonts w:asciiTheme="majorBidi" w:hAnsiTheme="majorBidi" w:cstheme="majorBidi"/>
          <w:sz w:val="24"/>
          <w:szCs w:val="24"/>
        </w:rPr>
        <w:t>The Australian Study of Politics</w:t>
      </w:r>
      <w:r w:rsidRPr="00F000E1">
        <w:rPr>
          <w:rFonts w:asciiTheme="majorBidi" w:hAnsiTheme="majorBidi" w:cstheme="majorBidi"/>
          <w:sz w:val="24"/>
          <w:szCs w:val="24"/>
        </w:rPr>
        <w:t xml:space="preserve"> (Palgrave-Macmillan, 2009); </w:t>
      </w:r>
      <w:r w:rsidRPr="00F000E1">
        <w:rPr>
          <w:rStyle w:val="Emphasis"/>
          <w:rFonts w:asciiTheme="majorBidi" w:hAnsiTheme="majorBidi" w:cstheme="majorBidi"/>
          <w:sz w:val="24"/>
          <w:szCs w:val="24"/>
        </w:rPr>
        <w:t xml:space="preserve">Observing Government Elites </w:t>
      </w:r>
      <w:r w:rsidRPr="00F000E1">
        <w:rPr>
          <w:rFonts w:asciiTheme="majorBidi" w:hAnsiTheme="majorBidi" w:cstheme="majorBidi"/>
          <w:sz w:val="24"/>
          <w:szCs w:val="24"/>
        </w:rPr>
        <w:t xml:space="preserve">(with Paul ‘t Hart and Mirko Noordegraaf, Palgrave-Macmillan, 2007); and </w:t>
      </w:r>
      <w:r w:rsidRPr="00F000E1">
        <w:rPr>
          <w:rStyle w:val="Emphasis"/>
          <w:rFonts w:asciiTheme="majorBidi" w:hAnsiTheme="majorBidi" w:cstheme="majorBidi"/>
          <w:sz w:val="24"/>
          <w:szCs w:val="24"/>
        </w:rPr>
        <w:t>The</w:t>
      </w:r>
      <w:r w:rsidRPr="00F000E1">
        <w:rPr>
          <w:rFonts w:asciiTheme="majorBidi" w:hAnsiTheme="majorBidi" w:cstheme="majorBidi"/>
          <w:sz w:val="24"/>
          <w:szCs w:val="24"/>
        </w:rPr>
        <w:t xml:space="preserve"> </w:t>
      </w:r>
      <w:r w:rsidRPr="00F000E1">
        <w:rPr>
          <w:rStyle w:val="Emphasis"/>
          <w:rFonts w:asciiTheme="majorBidi" w:hAnsiTheme="majorBidi" w:cstheme="majorBidi"/>
          <w:sz w:val="24"/>
          <w:szCs w:val="24"/>
        </w:rPr>
        <w:t xml:space="preserve">Oxford Handbook of Political Institutions </w:t>
      </w:r>
      <w:r w:rsidRPr="00F000E1">
        <w:rPr>
          <w:rFonts w:asciiTheme="majorBidi" w:hAnsiTheme="majorBidi" w:cstheme="majorBidi"/>
          <w:sz w:val="24"/>
          <w:szCs w:val="24"/>
        </w:rPr>
        <w:t xml:space="preserve">(with Sarah Binder and Bert Rockman, Oxford University Press, 2006). </w:t>
      </w:r>
    </w:p>
    <w:p w:rsidR="00282668" w:rsidRDefault="00282668" w:rsidP="00282668">
      <w:pPr>
        <w:pStyle w:val="NormalWeb"/>
      </w:pPr>
      <w:r w:rsidRPr="00474F1B">
        <w:t xml:space="preserve">He is life Vice-President of the Political Studies Association of the United Kingdom; a Fellow of the Academy of the Social Sciences in Australia; and a </w:t>
      </w:r>
      <w:r>
        <w:t>Fellow</w:t>
      </w:r>
      <w:r w:rsidRPr="00474F1B">
        <w:t xml:space="preserve"> of the Academy of Social Sciences (UK). He has also been a Fellow of the Royal Society of Arts and he was editor of </w:t>
      </w:r>
      <w:r w:rsidRPr="00474F1B">
        <w:rPr>
          <w:rStyle w:val="Emphasis"/>
        </w:rPr>
        <w:t>Public Administration</w:t>
      </w:r>
      <w:r w:rsidRPr="00474F1B">
        <w:t xml:space="preserve"> from 1986 to 2011.</w:t>
      </w:r>
      <w:r>
        <w:t xml:space="preserve"> In </w:t>
      </w:r>
      <w:r w:rsidRPr="00CF541B">
        <w:t>2012</w:t>
      </w:r>
      <w:r>
        <w:t>, he was awarded</w:t>
      </w:r>
      <w:r w:rsidRPr="00CF541B">
        <w:t xml:space="preserve"> International Research Association for Public Management and Routledge Prize for Outstanding Contribution to Public Management Research.</w:t>
      </w:r>
      <w:r>
        <w:t xml:space="preserve"> In 2014, he was awarded the </w:t>
      </w:r>
      <w:r w:rsidRPr="00B2682E">
        <w:rPr>
          <w:color w:val="000000"/>
        </w:rPr>
        <w:t xml:space="preserve">Special Recognition Award by the Political Studies Association of the United Kingdom for </w:t>
      </w:r>
      <w:r>
        <w:rPr>
          <w:color w:val="000000"/>
        </w:rPr>
        <w:t>his</w:t>
      </w:r>
      <w:r w:rsidRPr="00B2682E">
        <w:rPr>
          <w:color w:val="000000"/>
        </w:rPr>
        <w:t xml:space="preserve"> outstanding contribution to political science which has ‘increased enormously our understanding of how government works and done much to raise the esteem of the discipline’.</w:t>
      </w:r>
      <w:r>
        <w:rPr>
          <w:color w:val="000000"/>
        </w:rPr>
        <w:t xml:space="preserve"> In 2015, he was awarded t</w:t>
      </w:r>
      <w:r>
        <w:rPr>
          <w:color w:val="333333"/>
          <w:shd w:val="clear" w:color="auto" w:fill="FFFFFF"/>
        </w:rPr>
        <w:t xml:space="preserve">he biennial ECPR's (European Consortium for Political Research) Lifetime Achievement Award for his ‘outstanding contribution to all areas of political science, and the exceptional impact of his work’. </w:t>
      </w:r>
    </w:p>
    <w:p w:rsidR="00282668" w:rsidRPr="00474F1B" w:rsidRDefault="00282668" w:rsidP="00282668">
      <w:pPr>
        <w:pStyle w:val="NormalWeb"/>
      </w:pPr>
      <w:r>
        <w:t xml:space="preserve">For a full CV and more information see: </w:t>
      </w:r>
      <w:hyperlink r:id="rId10" w:history="1">
        <w:r>
          <w:rPr>
            <w:rStyle w:val="Hyperlink"/>
          </w:rPr>
          <w:t>http://www.raw-rhodes.co.uk/</w:t>
        </w:r>
      </w:hyperlink>
    </w:p>
    <w:p w:rsidR="00282668" w:rsidRDefault="00282668" w:rsidP="00282668"/>
    <w:p w:rsidR="00282668" w:rsidRPr="000B6D31" w:rsidRDefault="00282668" w:rsidP="00CF2006">
      <w:pPr>
        <w:spacing w:after="240" w:line="240" w:lineRule="auto"/>
        <w:ind w:firstLine="720"/>
        <w:rPr>
          <w:rFonts w:asciiTheme="majorBidi" w:hAnsiTheme="majorBidi" w:cstheme="majorBidi"/>
          <w:color w:val="000000" w:themeColor="text1"/>
          <w:sz w:val="24"/>
          <w:szCs w:val="24"/>
        </w:rPr>
      </w:pPr>
    </w:p>
    <w:sectPr w:rsidR="00282668" w:rsidRPr="000B6D3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4F2" w:rsidRDefault="00E264F2" w:rsidP="00FF4718">
      <w:pPr>
        <w:spacing w:after="0" w:line="240" w:lineRule="auto"/>
      </w:pPr>
      <w:r>
        <w:separator/>
      </w:r>
    </w:p>
  </w:endnote>
  <w:endnote w:type="continuationSeparator" w:id="0">
    <w:p w:rsidR="00E264F2" w:rsidRDefault="00E264F2" w:rsidP="00FF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MinionExp-Regular">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4F2" w:rsidRDefault="00E264F2" w:rsidP="00FF4718">
      <w:pPr>
        <w:spacing w:after="0" w:line="240" w:lineRule="auto"/>
      </w:pPr>
      <w:r>
        <w:separator/>
      </w:r>
    </w:p>
  </w:footnote>
  <w:footnote w:type="continuationSeparator" w:id="0">
    <w:p w:rsidR="00E264F2" w:rsidRDefault="00E264F2" w:rsidP="00FF4718">
      <w:pPr>
        <w:spacing w:after="0" w:line="240" w:lineRule="auto"/>
      </w:pPr>
      <w:r>
        <w:continuationSeparator/>
      </w:r>
    </w:p>
  </w:footnote>
  <w:footnote w:id="1">
    <w:p w:rsidR="00AF242D" w:rsidRPr="00AF242D" w:rsidRDefault="00D136F3" w:rsidP="00AF242D">
      <w:pPr>
        <w:spacing w:after="0" w:line="240" w:lineRule="auto"/>
        <w:rPr>
          <w:rFonts w:asciiTheme="majorBidi" w:hAnsiTheme="majorBidi" w:cstheme="majorBidi"/>
          <w:sz w:val="20"/>
          <w:szCs w:val="20"/>
        </w:rPr>
      </w:pPr>
      <w:r w:rsidRPr="00AF242D">
        <w:rPr>
          <w:rStyle w:val="FootnoteReference"/>
          <w:rFonts w:asciiTheme="majorBidi" w:hAnsiTheme="majorBidi" w:cstheme="majorBidi"/>
          <w:sz w:val="20"/>
          <w:szCs w:val="20"/>
        </w:rPr>
        <w:footnoteRef/>
      </w:r>
      <w:r w:rsidRPr="00AF242D">
        <w:rPr>
          <w:rFonts w:asciiTheme="majorBidi" w:hAnsiTheme="majorBidi" w:cstheme="majorBidi"/>
          <w:sz w:val="20"/>
          <w:szCs w:val="20"/>
        </w:rPr>
        <w:t xml:space="preserve"> Article for the </w:t>
      </w:r>
      <w:r w:rsidRPr="00AF242D">
        <w:rPr>
          <w:rFonts w:asciiTheme="majorBidi" w:eastAsia="MingLiU" w:hAnsiTheme="majorBidi" w:cstheme="majorBidi"/>
          <w:sz w:val="20"/>
          <w:szCs w:val="20"/>
        </w:rPr>
        <w:t>领导科学论坛</w:t>
      </w:r>
      <w:r w:rsidRPr="00AF242D">
        <w:rPr>
          <w:rFonts w:asciiTheme="majorBidi" w:hAnsiTheme="majorBidi" w:cstheme="majorBidi"/>
          <w:sz w:val="20"/>
          <w:szCs w:val="20"/>
        </w:rPr>
        <w:t>·</w:t>
      </w:r>
      <w:r w:rsidRPr="00AF242D">
        <w:rPr>
          <w:rFonts w:asciiTheme="majorBidi" w:eastAsia="MingLiU" w:hAnsiTheme="majorBidi" w:cstheme="majorBidi"/>
          <w:sz w:val="20"/>
          <w:szCs w:val="20"/>
        </w:rPr>
        <w:t>国家治理评论</w:t>
      </w:r>
      <w:r w:rsidRPr="00AF242D">
        <w:rPr>
          <w:rFonts w:asciiTheme="majorBidi" w:eastAsia="MingLiU" w:hAnsiTheme="majorBidi" w:cstheme="majorBidi"/>
          <w:sz w:val="20"/>
          <w:szCs w:val="20"/>
        </w:rPr>
        <w:t xml:space="preserve"> 2017</w:t>
      </w:r>
      <w:r w:rsidRPr="00AF242D">
        <w:rPr>
          <w:rFonts w:asciiTheme="majorBidi" w:hAnsiTheme="majorBidi" w:cstheme="majorBidi"/>
          <w:sz w:val="20"/>
          <w:szCs w:val="20"/>
        </w:rPr>
        <w:t xml:space="preserve">. </w:t>
      </w:r>
      <w:r w:rsidRPr="00AF242D">
        <w:rPr>
          <w:rFonts w:asciiTheme="majorBidi" w:hAnsiTheme="majorBidi" w:cstheme="majorBidi"/>
          <w:color w:val="000000" w:themeColor="text1"/>
          <w:sz w:val="20"/>
          <w:szCs w:val="20"/>
        </w:rPr>
        <w:t xml:space="preserve">This paper draws on the relevant chapters in Rhodes 2017a and 2017b. </w:t>
      </w:r>
      <w:r w:rsidR="00AF242D" w:rsidRPr="00AF242D">
        <w:rPr>
          <w:rFonts w:asciiTheme="majorBidi" w:hAnsiTheme="majorBidi" w:cstheme="majorBidi"/>
          <w:sz w:val="20"/>
          <w:szCs w:val="20"/>
        </w:rPr>
        <w:t xml:space="preserve">I have written this reply especially for my Chinese readers. It is published contemporaneously with the Chinese edition of </w:t>
      </w:r>
      <w:r w:rsidR="00AF242D" w:rsidRPr="00AF242D">
        <w:rPr>
          <w:rFonts w:asciiTheme="majorBidi" w:hAnsiTheme="majorBidi" w:cstheme="majorBidi"/>
          <w:i/>
          <w:iCs/>
          <w:sz w:val="20"/>
          <w:szCs w:val="20"/>
        </w:rPr>
        <w:t xml:space="preserve">Understanding Governance.  </w:t>
      </w:r>
      <w:r w:rsidR="00AF242D" w:rsidRPr="00AF242D">
        <w:rPr>
          <w:rFonts w:asciiTheme="majorBidi" w:hAnsiTheme="majorBidi" w:cstheme="majorBidi"/>
          <w:sz w:val="20"/>
          <w:szCs w:val="20"/>
        </w:rPr>
        <w:t xml:space="preserve">I am grateful to Professor Ding Huang (Wuhan University) not only for translating </w:t>
      </w:r>
      <w:r w:rsidR="00AF242D" w:rsidRPr="00AF242D">
        <w:rPr>
          <w:rFonts w:asciiTheme="majorBidi" w:hAnsiTheme="majorBidi" w:cstheme="majorBidi"/>
          <w:i/>
          <w:iCs/>
          <w:sz w:val="20"/>
          <w:szCs w:val="20"/>
        </w:rPr>
        <w:t>Understanding Governance</w:t>
      </w:r>
      <w:r w:rsidR="00AF242D" w:rsidRPr="00AF242D">
        <w:rPr>
          <w:rFonts w:asciiTheme="majorBidi" w:hAnsiTheme="majorBidi" w:cstheme="majorBidi"/>
          <w:sz w:val="20"/>
          <w:szCs w:val="20"/>
        </w:rPr>
        <w:t xml:space="preserve"> and piloting the book to publication but also for giving me the opportunity to write for my Chinese readers. </w:t>
      </w:r>
    </w:p>
    <w:p w:rsidR="00D136F3" w:rsidRPr="00FF4718" w:rsidRDefault="00D136F3" w:rsidP="00841078">
      <w:pPr>
        <w:pStyle w:val="FootnoteText"/>
        <w:rPr>
          <w:rFonts w:asciiTheme="majorBidi" w:hAnsiTheme="majorBidi" w:cstheme="majorBidi"/>
        </w:rPr>
      </w:pPr>
    </w:p>
  </w:footnote>
  <w:footnote w:id="2">
    <w:p w:rsidR="00D136F3" w:rsidRDefault="00D136F3" w:rsidP="00E927F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Of course, I was not alone is diagnosing the </w:t>
      </w:r>
      <w:r w:rsidR="00E95783">
        <w:rPr>
          <w:rFonts w:asciiTheme="majorBidi" w:hAnsiTheme="majorBidi" w:cstheme="majorBidi"/>
        </w:rPr>
        <w:t>hollowing-out</w:t>
      </w:r>
      <w:r>
        <w:rPr>
          <w:rFonts w:asciiTheme="majorBidi" w:hAnsiTheme="majorBidi" w:cstheme="majorBidi"/>
        </w:rPr>
        <w:t xml:space="preserve"> of the state. See for example: Frederickson 1996; Jessop 2004; Milward and Proven 2000; and, surprisingly in view of his later strictures on this subject, Peters 1994. </w:t>
      </w:r>
    </w:p>
  </w:footnote>
  <w:footnote w:id="3">
    <w:p w:rsidR="00D136F3" w:rsidRDefault="00D136F3" w:rsidP="00054607">
      <w:pPr>
        <w:pStyle w:val="CommentText"/>
        <w:spacing w:after="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The Institute of Fiscal Studies provides authoritative commentaries on the state of the economy (see: </w:t>
      </w:r>
      <w:hyperlink r:id="rId1" w:history="1">
        <w:r>
          <w:rPr>
            <w:rStyle w:val="Hyperlink"/>
            <w:rFonts w:asciiTheme="majorBidi" w:hAnsiTheme="majorBidi" w:cstheme="majorBidi"/>
          </w:rPr>
          <w:t>http://www.ifs.org.uk/</w:t>
        </w:r>
      </w:hyperlink>
      <w:r>
        <w:rPr>
          <w:rFonts w:asciiTheme="majorBidi" w:hAnsiTheme="majorBidi" w:cstheme="majorBidi"/>
        </w:rPr>
        <w:t xml:space="preserve">). The Office for Budget Responsibility is another authoritative source of data – see: </w:t>
      </w:r>
      <w:hyperlink r:id="rId2" w:history="1">
        <w:r>
          <w:rPr>
            <w:rStyle w:val="Hyperlink"/>
            <w:rFonts w:asciiTheme="majorBidi" w:hAnsiTheme="majorBidi" w:cstheme="majorBidi"/>
          </w:rPr>
          <w:t>http://budgetresponsibility.org.uk/category/publications/</w:t>
        </w:r>
      </w:hyperlink>
      <w:r>
        <w:rPr>
          <w:rFonts w:asciiTheme="majorBidi" w:hAnsiTheme="majorBidi" w:cstheme="majorBidi"/>
        </w:rPr>
        <w:t xml:space="preserve">. See also: </w:t>
      </w:r>
      <w:hyperlink r:id="rId3" w:history="1">
        <w:r>
          <w:rPr>
            <w:rStyle w:val="Hyperlink"/>
            <w:rFonts w:asciiTheme="majorBidi" w:hAnsiTheme="majorBidi" w:cstheme="majorBidi"/>
          </w:rPr>
          <w:t>www.hm-treasury.gov.uk/psf_statistics.htm</w:t>
        </w:r>
      </w:hyperlink>
    </w:p>
    <w:p w:rsidR="00D136F3" w:rsidRDefault="00D136F3" w:rsidP="00403E06">
      <w:pPr>
        <w:pStyle w:val="FootnoteText"/>
        <w:rPr>
          <w:rFonts w:asciiTheme="majorBidi" w:hAnsiTheme="majorBidi" w:cstheme="majorBidi"/>
        </w:rPr>
      </w:pPr>
    </w:p>
  </w:footnote>
  <w:footnote w:id="4">
    <w:p w:rsidR="00D136F3" w:rsidRDefault="00D136F3" w:rsidP="00EE5AB0">
      <w:pPr>
        <w:spacing w:after="0" w:line="240" w:lineRule="auto"/>
        <w:rPr>
          <w:rFonts w:asciiTheme="majorBidi" w:hAnsiTheme="majorBidi" w:cstheme="majorBidi"/>
          <w:sz w:val="20"/>
        </w:rPr>
      </w:pPr>
      <w:r>
        <w:rPr>
          <w:rStyle w:val="FootnoteReference"/>
          <w:rFonts w:asciiTheme="majorBidi" w:hAnsiTheme="majorBidi" w:cstheme="majorBidi"/>
          <w:sz w:val="20"/>
        </w:rPr>
        <w:footnoteRef/>
      </w:r>
      <w:r>
        <w:rPr>
          <w:rFonts w:asciiTheme="majorBidi" w:hAnsiTheme="majorBidi" w:cstheme="majorBidi"/>
          <w:sz w:val="20"/>
        </w:rPr>
        <w:t xml:space="preserve"> </w:t>
      </w:r>
      <w:r>
        <w:rPr>
          <w:rFonts w:asciiTheme="majorBidi" w:hAnsiTheme="majorBidi" w:cstheme="majorBidi"/>
          <w:bCs/>
          <w:sz w:val="20"/>
        </w:rPr>
        <w:t>See</w:t>
      </w:r>
      <w:r w:rsidR="00EE5AB0">
        <w:rPr>
          <w:rFonts w:asciiTheme="majorBidi" w:hAnsiTheme="majorBidi" w:cstheme="majorBidi"/>
          <w:bCs/>
          <w:sz w:val="20"/>
        </w:rPr>
        <w:t xml:space="preserve"> also</w:t>
      </w:r>
      <w:r>
        <w:rPr>
          <w:rFonts w:asciiTheme="majorBidi" w:hAnsiTheme="majorBidi" w:cstheme="majorBidi"/>
          <w:bCs/>
          <w:sz w:val="20"/>
        </w:rPr>
        <w:t xml:space="preserve">, for example: </w:t>
      </w:r>
      <w:r>
        <w:rPr>
          <w:rFonts w:asciiTheme="majorBidi" w:eastAsia="Arial Unicode MS" w:hAnsiTheme="majorBidi" w:cstheme="majorBidi"/>
          <w:sz w:val="20"/>
          <w:lang w:val="en-US"/>
        </w:rPr>
        <w:t xml:space="preserve">Bell and Hindmoor 2009; </w:t>
      </w:r>
      <w:r>
        <w:rPr>
          <w:rFonts w:asciiTheme="majorBidi" w:hAnsiTheme="majorBidi" w:cstheme="majorBidi"/>
          <w:bCs/>
          <w:sz w:val="20"/>
        </w:rPr>
        <w:t>Jessop 2000;</w:t>
      </w:r>
      <w:r>
        <w:rPr>
          <w:rFonts w:asciiTheme="majorBidi" w:hAnsiTheme="majorBidi" w:cstheme="majorBidi"/>
          <w:sz w:val="20"/>
        </w:rPr>
        <w:t xml:space="preserve"> </w:t>
      </w:r>
      <w:r>
        <w:rPr>
          <w:rFonts w:asciiTheme="majorBidi" w:hAnsiTheme="majorBidi" w:cstheme="majorBidi"/>
          <w:bCs/>
          <w:sz w:val="20"/>
        </w:rPr>
        <w:t>Kjær 2004; Newman 2005</w:t>
      </w:r>
      <w:r>
        <w:rPr>
          <w:rFonts w:asciiTheme="majorBidi" w:hAnsiTheme="majorBidi" w:cstheme="majorBidi"/>
          <w:sz w:val="20"/>
        </w:rPr>
        <w:t>; Marsh 2011; Marsh, Richards and Smith 2003</w:t>
      </w:r>
      <w:r>
        <w:rPr>
          <w:rFonts w:asciiTheme="majorBidi" w:hAnsiTheme="majorBidi" w:cstheme="majorBidi"/>
          <w:bCs/>
          <w:sz w:val="20"/>
        </w:rPr>
        <w:t>; and Torfing et al. 2011</w:t>
      </w:r>
      <w:r>
        <w:rPr>
          <w:rFonts w:asciiTheme="majorBidi" w:hAnsiTheme="majorBidi" w:cstheme="majorBidi"/>
          <w:sz w:val="20"/>
        </w:rPr>
        <w:t xml:space="preserve">. </w:t>
      </w:r>
    </w:p>
    <w:p w:rsidR="00D136F3" w:rsidRDefault="00D136F3" w:rsidP="009E1B2E">
      <w:pPr>
        <w:pStyle w:val="FootnoteText"/>
        <w:jc w:val="right"/>
        <w:rPr>
          <w:rFonts w:asciiTheme="majorBidi" w:hAnsiTheme="majorBidi" w:cstheme="majorBidi"/>
        </w:rPr>
      </w:pPr>
    </w:p>
  </w:footnote>
  <w:footnote w:id="5">
    <w:p w:rsidR="00D136F3" w:rsidRDefault="00D136F3" w:rsidP="00E927F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On decentred theory see Bevir and Rhodes 2010; and Rhodes 2017b. Its critics include:  Finlayson et al. 2004; McAnulla 2006; and Hay 2011.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92"/>
      <w:gridCol w:w="3393"/>
    </w:tblGrid>
    <w:tr w:rsidR="00D136F3">
      <w:trPr>
        <w:trHeight w:hRule="exact" w:val="792"/>
      </w:trPr>
      <w:tc>
        <w:tcPr>
          <w:tcW w:w="792" w:type="dxa"/>
          <w:shd w:val="clear" w:color="auto" w:fill="C0504D" w:themeFill="accent2"/>
          <w:vAlign w:val="center"/>
        </w:tcPr>
        <w:p w:rsidR="00D136F3" w:rsidRDefault="00D136F3">
          <w:pPr>
            <w:pStyle w:val="Footer"/>
            <w:jc w:val="center"/>
            <w:rPr>
              <w:color w:val="FFFFFF" w:themeColor="background1"/>
            </w:rPr>
          </w:pPr>
          <w:r>
            <w:fldChar w:fldCharType="begin"/>
          </w:r>
          <w:r>
            <w:instrText xml:space="preserve"> PAGE  \* MERGEFORMAT </w:instrText>
          </w:r>
          <w:r>
            <w:fldChar w:fldCharType="separate"/>
          </w:r>
          <w:r w:rsidR="00BD73F8" w:rsidRPr="00BD73F8">
            <w:rPr>
              <w:noProof/>
              <w:color w:val="FFFFFF" w:themeColor="background1"/>
            </w:rPr>
            <w:t>1</w:t>
          </w:r>
          <w:r>
            <w:rPr>
              <w:noProof/>
              <w:color w:val="FFFFFF" w:themeColor="background1"/>
            </w:rPr>
            <w:fldChar w:fldCharType="end"/>
          </w:r>
        </w:p>
      </w:tc>
      <w:sdt>
        <w:sdtPr>
          <w:rPr>
            <w:rFonts w:asciiTheme="majorBidi" w:eastAsiaTheme="majorEastAsia" w:hAnsiTheme="majorBidi" w:cstheme="majorBidi"/>
            <w:sz w:val="20"/>
          </w:rPr>
          <w:alias w:val="Title"/>
          <w:id w:val="23280118"/>
          <w:placeholder>
            <w:docPart w:val="F523B623EFCA4D7FA969C5D6755E0954"/>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D136F3" w:rsidRDefault="00D136F3" w:rsidP="007573F2">
              <w:pPr>
                <w:pStyle w:val="Footer"/>
                <w:rPr>
                  <w:rFonts w:asciiTheme="majorHAnsi" w:eastAsiaTheme="majorEastAsia" w:hAnsiTheme="majorHAnsi" w:cstheme="majorBidi"/>
                  <w:sz w:val="28"/>
                  <w:szCs w:val="28"/>
                </w:rPr>
              </w:pPr>
              <w:r w:rsidRPr="007573F2">
                <w:rPr>
                  <w:rFonts w:asciiTheme="majorBidi" w:eastAsiaTheme="majorEastAsia" w:hAnsiTheme="majorBidi" w:cstheme="majorBidi"/>
                  <w:sz w:val="20"/>
                </w:rPr>
                <w:t>Understanding governance: 20 years on</w:t>
              </w:r>
            </w:p>
          </w:tc>
        </w:sdtContent>
      </w:sdt>
    </w:tr>
  </w:tbl>
  <w:p w:rsidR="00D136F3" w:rsidRDefault="00D136F3" w:rsidP="00757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003C7"/>
    <w:multiLevelType w:val="hybridMultilevel"/>
    <w:tmpl w:val="1546A4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9F67C8"/>
    <w:multiLevelType w:val="hybridMultilevel"/>
    <w:tmpl w:val="06DA5382"/>
    <w:lvl w:ilvl="0" w:tplc="717AF23C">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BA58F6"/>
    <w:multiLevelType w:val="hybridMultilevel"/>
    <w:tmpl w:val="C6CAED5E"/>
    <w:lvl w:ilvl="0" w:tplc="F606E9D4">
      <w:start w:val="1"/>
      <w:numFmt w:val="decimal"/>
      <w:lvlText w:val="%1."/>
      <w:lvlJc w:val="left"/>
      <w:pPr>
        <w:ind w:left="928"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18"/>
    <w:rsid w:val="00010433"/>
    <w:rsid w:val="00011061"/>
    <w:rsid w:val="00024D58"/>
    <w:rsid w:val="000427DB"/>
    <w:rsid w:val="0005351A"/>
    <w:rsid w:val="00053A32"/>
    <w:rsid w:val="00054607"/>
    <w:rsid w:val="00056569"/>
    <w:rsid w:val="0007115E"/>
    <w:rsid w:val="00074004"/>
    <w:rsid w:val="00084B3B"/>
    <w:rsid w:val="000872AC"/>
    <w:rsid w:val="00097FE0"/>
    <w:rsid w:val="000B2447"/>
    <w:rsid w:val="000B52A3"/>
    <w:rsid w:val="000B6D31"/>
    <w:rsid w:val="000C7E0D"/>
    <w:rsid w:val="000D4240"/>
    <w:rsid w:val="000E0523"/>
    <w:rsid w:val="000F3824"/>
    <w:rsid w:val="000F4D01"/>
    <w:rsid w:val="00103405"/>
    <w:rsid w:val="00123D90"/>
    <w:rsid w:val="00141E25"/>
    <w:rsid w:val="00151524"/>
    <w:rsid w:val="00163833"/>
    <w:rsid w:val="00172CDA"/>
    <w:rsid w:val="00191164"/>
    <w:rsid w:val="001924CC"/>
    <w:rsid w:val="001A274C"/>
    <w:rsid w:val="001B066C"/>
    <w:rsid w:val="001C1AD8"/>
    <w:rsid w:val="001E4EF2"/>
    <w:rsid w:val="001F4775"/>
    <w:rsid w:val="0022281B"/>
    <w:rsid w:val="00240437"/>
    <w:rsid w:val="00251970"/>
    <w:rsid w:val="00254128"/>
    <w:rsid w:val="002576BC"/>
    <w:rsid w:val="002606B9"/>
    <w:rsid w:val="00282668"/>
    <w:rsid w:val="00284F37"/>
    <w:rsid w:val="002B4A09"/>
    <w:rsid w:val="002B73F3"/>
    <w:rsid w:val="002B74B3"/>
    <w:rsid w:val="002E0A7D"/>
    <w:rsid w:val="002E33D3"/>
    <w:rsid w:val="002F22FE"/>
    <w:rsid w:val="002F2A51"/>
    <w:rsid w:val="003165DE"/>
    <w:rsid w:val="0032704E"/>
    <w:rsid w:val="00345152"/>
    <w:rsid w:val="00346443"/>
    <w:rsid w:val="003504D5"/>
    <w:rsid w:val="00353146"/>
    <w:rsid w:val="00354085"/>
    <w:rsid w:val="0037499F"/>
    <w:rsid w:val="003901A4"/>
    <w:rsid w:val="00397288"/>
    <w:rsid w:val="003979E9"/>
    <w:rsid w:val="003A2F6E"/>
    <w:rsid w:val="003C42DB"/>
    <w:rsid w:val="003D2281"/>
    <w:rsid w:val="003D37BF"/>
    <w:rsid w:val="003D6B99"/>
    <w:rsid w:val="003E7D3F"/>
    <w:rsid w:val="003F4CA7"/>
    <w:rsid w:val="003F4F98"/>
    <w:rsid w:val="00403E06"/>
    <w:rsid w:val="00406D89"/>
    <w:rsid w:val="0041337A"/>
    <w:rsid w:val="0043753F"/>
    <w:rsid w:val="004574AE"/>
    <w:rsid w:val="00462259"/>
    <w:rsid w:val="00467DC9"/>
    <w:rsid w:val="004758D6"/>
    <w:rsid w:val="004767BC"/>
    <w:rsid w:val="005420D2"/>
    <w:rsid w:val="00555DBF"/>
    <w:rsid w:val="005A1250"/>
    <w:rsid w:val="005C29FF"/>
    <w:rsid w:val="005E4D15"/>
    <w:rsid w:val="005F7788"/>
    <w:rsid w:val="00603C08"/>
    <w:rsid w:val="00605F45"/>
    <w:rsid w:val="0061323D"/>
    <w:rsid w:val="006136B8"/>
    <w:rsid w:val="00615890"/>
    <w:rsid w:val="00640B44"/>
    <w:rsid w:val="00660673"/>
    <w:rsid w:val="00660AF6"/>
    <w:rsid w:val="00661E8E"/>
    <w:rsid w:val="006633C4"/>
    <w:rsid w:val="006715EB"/>
    <w:rsid w:val="006A1FDE"/>
    <w:rsid w:val="006A29AD"/>
    <w:rsid w:val="006E39B7"/>
    <w:rsid w:val="006F1BD3"/>
    <w:rsid w:val="007113E4"/>
    <w:rsid w:val="00713300"/>
    <w:rsid w:val="0071385A"/>
    <w:rsid w:val="00724570"/>
    <w:rsid w:val="0073557B"/>
    <w:rsid w:val="007459BE"/>
    <w:rsid w:val="00753AEE"/>
    <w:rsid w:val="00755278"/>
    <w:rsid w:val="007573F2"/>
    <w:rsid w:val="0076718D"/>
    <w:rsid w:val="007779DA"/>
    <w:rsid w:val="00780D68"/>
    <w:rsid w:val="00780F2F"/>
    <w:rsid w:val="007A7008"/>
    <w:rsid w:val="007B13FD"/>
    <w:rsid w:val="007B5A56"/>
    <w:rsid w:val="007E3807"/>
    <w:rsid w:val="007F0A7A"/>
    <w:rsid w:val="007F6F61"/>
    <w:rsid w:val="00803B37"/>
    <w:rsid w:val="00815640"/>
    <w:rsid w:val="00841078"/>
    <w:rsid w:val="008627ED"/>
    <w:rsid w:val="00863035"/>
    <w:rsid w:val="008650FD"/>
    <w:rsid w:val="008E4CF8"/>
    <w:rsid w:val="0092102C"/>
    <w:rsid w:val="00921DFE"/>
    <w:rsid w:val="00942042"/>
    <w:rsid w:val="0094443F"/>
    <w:rsid w:val="0095541E"/>
    <w:rsid w:val="00961A80"/>
    <w:rsid w:val="00970862"/>
    <w:rsid w:val="009723A5"/>
    <w:rsid w:val="00974031"/>
    <w:rsid w:val="0097429C"/>
    <w:rsid w:val="00984045"/>
    <w:rsid w:val="009A46A9"/>
    <w:rsid w:val="009B53F4"/>
    <w:rsid w:val="009C5DF3"/>
    <w:rsid w:val="009C66B9"/>
    <w:rsid w:val="009E1B2E"/>
    <w:rsid w:val="009E70F3"/>
    <w:rsid w:val="009F2A09"/>
    <w:rsid w:val="00A2399E"/>
    <w:rsid w:val="00A37350"/>
    <w:rsid w:val="00A457B4"/>
    <w:rsid w:val="00A54DFB"/>
    <w:rsid w:val="00A57BA5"/>
    <w:rsid w:val="00A87DB8"/>
    <w:rsid w:val="00AF242D"/>
    <w:rsid w:val="00B06E18"/>
    <w:rsid w:val="00B10BB1"/>
    <w:rsid w:val="00B16D04"/>
    <w:rsid w:val="00B20569"/>
    <w:rsid w:val="00B936BF"/>
    <w:rsid w:val="00B96668"/>
    <w:rsid w:val="00BB2FA5"/>
    <w:rsid w:val="00BD73F8"/>
    <w:rsid w:val="00BD75BC"/>
    <w:rsid w:val="00BF76A8"/>
    <w:rsid w:val="00C1012A"/>
    <w:rsid w:val="00C17ACC"/>
    <w:rsid w:val="00C50F7A"/>
    <w:rsid w:val="00C67CA9"/>
    <w:rsid w:val="00C7174A"/>
    <w:rsid w:val="00C7353D"/>
    <w:rsid w:val="00C73CB6"/>
    <w:rsid w:val="00C76AFB"/>
    <w:rsid w:val="00C77576"/>
    <w:rsid w:val="00C811B4"/>
    <w:rsid w:val="00C87A7A"/>
    <w:rsid w:val="00C94D35"/>
    <w:rsid w:val="00C94EE0"/>
    <w:rsid w:val="00CA0B6A"/>
    <w:rsid w:val="00CA615A"/>
    <w:rsid w:val="00CB19CB"/>
    <w:rsid w:val="00CF2006"/>
    <w:rsid w:val="00D136F3"/>
    <w:rsid w:val="00D30FFB"/>
    <w:rsid w:val="00D71982"/>
    <w:rsid w:val="00D83E83"/>
    <w:rsid w:val="00DB079C"/>
    <w:rsid w:val="00DC0B3C"/>
    <w:rsid w:val="00DC370F"/>
    <w:rsid w:val="00DC499B"/>
    <w:rsid w:val="00DE7B34"/>
    <w:rsid w:val="00E264F2"/>
    <w:rsid w:val="00E43B43"/>
    <w:rsid w:val="00E655FB"/>
    <w:rsid w:val="00E70000"/>
    <w:rsid w:val="00E81624"/>
    <w:rsid w:val="00E84BD5"/>
    <w:rsid w:val="00E91998"/>
    <w:rsid w:val="00E927FE"/>
    <w:rsid w:val="00E95783"/>
    <w:rsid w:val="00EB0290"/>
    <w:rsid w:val="00EC19BF"/>
    <w:rsid w:val="00EE2BB5"/>
    <w:rsid w:val="00EE5AB0"/>
    <w:rsid w:val="00F0046B"/>
    <w:rsid w:val="00F40E58"/>
    <w:rsid w:val="00F53740"/>
    <w:rsid w:val="00F5527C"/>
    <w:rsid w:val="00F66C61"/>
    <w:rsid w:val="00F8537D"/>
    <w:rsid w:val="00FA4197"/>
    <w:rsid w:val="00FB6255"/>
    <w:rsid w:val="00FC34A9"/>
    <w:rsid w:val="00FF4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ED878-8984-4ECE-9996-5E338A8C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718"/>
  </w:style>
  <w:style w:type="paragraph" w:styleId="Heading1">
    <w:name w:val="heading 1"/>
    <w:basedOn w:val="Normal"/>
    <w:next w:val="Normal"/>
    <w:link w:val="Heading1Char"/>
    <w:uiPriority w:val="9"/>
    <w:qFormat/>
    <w:rsid w:val="00475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2F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4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718"/>
    <w:rPr>
      <w:sz w:val="20"/>
      <w:szCs w:val="20"/>
    </w:rPr>
  </w:style>
  <w:style w:type="paragraph" w:styleId="Title">
    <w:name w:val="Title"/>
    <w:basedOn w:val="Normal"/>
    <w:next w:val="Normal"/>
    <w:link w:val="TitleChar"/>
    <w:uiPriority w:val="10"/>
    <w:qFormat/>
    <w:rsid w:val="00FF47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4718"/>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basedOn w:val="DefaultParagraphFont"/>
    <w:uiPriority w:val="99"/>
    <w:semiHidden/>
    <w:unhideWhenUsed/>
    <w:rsid w:val="00FF4718"/>
    <w:rPr>
      <w:vertAlign w:val="superscript"/>
    </w:rPr>
  </w:style>
  <w:style w:type="paragraph" w:styleId="Footer">
    <w:name w:val="footer"/>
    <w:basedOn w:val="Normal"/>
    <w:link w:val="FooterChar"/>
    <w:uiPriority w:val="99"/>
    <w:unhideWhenUsed/>
    <w:rsid w:val="00403E06"/>
    <w:pPr>
      <w:tabs>
        <w:tab w:val="center" w:pos="4513"/>
        <w:tab w:val="right" w:pos="9026"/>
      </w:tabs>
      <w:overflowPunct w:val="0"/>
      <w:autoSpaceDE w:val="0"/>
      <w:autoSpaceDN w:val="0"/>
      <w:adjustRightInd w:val="0"/>
      <w:spacing w:after="0" w:line="240" w:lineRule="auto"/>
    </w:pPr>
    <w:rPr>
      <w:rFonts w:ascii="CG Times" w:eastAsia="Times New Roman" w:hAnsi="CG Times" w:cs="Times New Roman"/>
      <w:sz w:val="24"/>
      <w:szCs w:val="20"/>
      <w:lang w:eastAsia="en-US"/>
    </w:rPr>
  </w:style>
  <w:style w:type="character" w:customStyle="1" w:styleId="FooterChar">
    <w:name w:val="Footer Char"/>
    <w:basedOn w:val="DefaultParagraphFont"/>
    <w:link w:val="Footer"/>
    <w:uiPriority w:val="99"/>
    <w:rsid w:val="00403E06"/>
    <w:rPr>
      <w:rFonts w:ascii="CG Times" w:eastAsia="Times New Roman" w:hAnsi="CG Times" w:cs="Times New Roman"/>
      <w:sz w:val="24"/>
      <w:szCs w:val="20"/>
      <w:lang w:eastAsia="en-US"/>
    </w:rPr>
  </w:style>
  <w:style w:type="paragraph" w:styleId="BodyText">
    <w:name w:val="Body Text"/>
    <w:basedOn w:val="Normal"/>
    <w:link w:val="BodyTextChar"/>
    <w:semiHidden/>
    <w:unhideWhenUsed/>
    <w:rsid w:val="00403E06"/>
    <w:pPr>
      <w:overflowPunct w:val="0"/>
      <w:autoSpaceDE w:val="0"/>
      <w:autoSpaceDN w:val="0"/>
      <w:adjustRightInd w:val="0"/>
      <w:spacing w:after="120" w:line="240" w:lineRule="exact"/>
    </w:pPr>
    <w:rPr>
      <w:rFonts w:ascii="CG Times" w:eastAsia="Times New Roman" w:hAnsi="CG Times" w:cs="Times New Roman"/>
      <w:sz w:val="24"/>
      <w:szCs w:val="20"/>
      <w:lang w:eastAsia="en-US"/>
    </w:rPr>
  </w:style>
  <w:style w:type="character" w:customStyle="1" w:styleId="BodyTextChar">
    <w:name w:val="Body Text Char"/>
    <w:basedOn w:val="DefaultParagraphFont"/>
    <w:link w:val="BodyText"/>
    <w:semiHidden/>
    <w:rsid w:val="00403E06"/>
    <w:rPr>
      <w:rFonts w:ascii="CG Times" w:eastAsia="Times New Roman" w:hAnsi="CG Times" w:cs="Times New Roman"/>
      <w:sz w:val="24"/>
      <w:szCs w:val="20"/>
      <w:lang w:eastAsia="en-US"/>
    </w:rPr>
  </w:style>
  <w:style w:type="paragraph" w:styleId="BodyTextIndent">
    <w:name w:val="Body Text Indent"/>
    <w:basedOn w:val="Normal"/>
    <w:link w:val="BodyTextIndentChar"/>
    <w:semiHidden/>
    <w:unhideWhenUsed/>
    <w:rsid w:val="00403E06"/>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semiHidden/>
    <w:rsid w:val="00403E06"/>
    <w:rPr>
      <w:rFonts w:ascii="Times New Roman" w:eastAsia="Times New Roman" w:hAnsi="Times New Roman" w:cs="Times New Roman"/>
      <w:sz w:val="24"/>
      <w:szCs w:val="24"/>
      <w:lang w:eastAsia="en-US"/>
    </w:rPr>
  </w:style>
  <w:style w:type="paragraph" w:styleId="PlainText">
    <w:name w:val="Plain Text"/>
    <w:basedOn w:val="Normal"/>
    <w:link w:val="PlainTextChar"/>
    <w:semiHidden/>
    <w:unhideWhenUsed/>
    <w:rsid w:val="00403E06"/>
    <w:pPr>
      <w:spacing w:after="0" w:line="240" w:lineRule="auto"/>
    </w:pPr>
    <w:rPr>
      <w:rFonts w:ascii="Calibri" w:eastAsia="SimSun" w:hAnsi="Calibri" w:cs="Arial"/>
      <w:szCs w:val="21"/>
    </w:rPr>
  </w:style>
  <w:style w:type="character" w:customStyle="1" w:styleId="PlainTextChar">
    <w:name w:val="Plain Text Char"/>
    <w:basedOn w:val="DefaultParagraphFont"/>
    <w:link w:val="PlainText"/>
    <w:semiHidden/>
    <w:rsid w:val="00403E06"/>
    <w:rPr>
      <w:rFonts w:ascii="Calibri" w:eastAsia="SimSun" w:hAnsi="Calibri" w:cs="Arial"/>
      <w:szCs w:val="21"/>
    </w:rPr>
  </w:style>
  <w:style w:type="paragraph" w:styleId="Quote">
    <w:name w:val="Quote"/>
    <w:basedOn w:val="Normal"/>
    <w:link w:val="QuoteChar"/>
    <w:qFormat/>
    <w:rsid w:val="00403E06"/>
    <w:pPr>
      <w:spacing w:after="0" w:line="480" w:lineRule="auto"/>
      <w:ind w:left="720"/>
      <w:jc w:val="both"/>
    </w:pPr>
    <w:rPr>
      <w:rFonts w:ascii="Times New Roman" w:eastAsia="PMingLiU" w:hAnsi="Times New Roman" w:cs="Times New Roman"/>
      <w:bCs/>
      <w:spacing w:val="-3"/>
      <w:sz w:val="24"/>
      <w:szCs w:val="24"/>
      <w:lang w:val="en-US" w:eastAsia="en-US"/>
    </w:rPr>
  </w:style>
  <w:style w:type="character" w:customStyle="1" w:styleId="QuoteChar">
    <w:name w:val="Quote Char"/>
    <w:basedOn w:val="DefaultParagraphFont"/>
    <w:link w:val="Quote"/>
    <w:rsid w:val="00403E06"/>
    <w:rPr>
      <w:rFonts w:ascii="Times New Roman" w:eastAsia="PMingLiU" w:hAnsi="Times New Roman" w:cs="Times New Roman"/>
      <w:bCs/>
      <w:spacing w:val="-3"/>
      <w:sz w:val="24"/>
      <w:szCs w:val="24"/>
      <w:lang w:val="en-US" w:eastAsia="en-US"/>
    </w:rPr>
  </w:style>
  <w:style w:type="paragraph" w:customStyle="1" w:styleId="Bodytextfo">
    <w:name w:val="#Body text fo"/>
    <w:basedOn w:val="Normal"/>
    <w:rsid w:val="00403E06"/>
    <w:pPr>
      <w:spacing w:after="0" w:line="240" w:lineRule="auto"/>
    </w:pPr>
    <w:rPr>
      <w:rFonts w:ascii="Times New Roman" w:eastAsia="Times" w:hAnsi="Times New Roman" w:cs="Times New Roman"/>
      <w:sz w:val="24"/>
      <w:szCs w:val="20"/>
      <w:lang w:eastAsia="en-US"/>
    </w:rPr>
  </w:style>
  <w:style w:type="paragraph" w:customStyle="1" w:styleId="Bodytextparaindent">
    <w:name w:val="#Body text para indent"/>
    <w:basedOn w:val="Normal"/>
    <w:rsid w:val="00403E06"/>
    <w:pPr>
      <w:spacing w:after="0" w:line="240" w:lineRule="auto"/>
      <w:ind w:firstLine="720"/>
    </w:pPr>
    <w:rPr>
      <w:rFonts w:ascii="Times New Roman" w:eastAsia="Times" w:hAnsi="Times New Roman" w:cs="Times New Roman"/>
      <w:sz w:val="24"/>
      <w:szCs w:val="20"/>
      <w:lang w:eastAsia="en-US"/>
    </w:rPr>
  </w:style>
  <w:style w:type="character" w:customStyle="1" w:styleId="2ndheadingChar">
    <w:name w:val="2nd heading Char"/>
    <w:link w:val="2ndheading"/>
    <w:locked/>
    <w:rsid w:val="00403E06"/>
    <w:rPr>
      <w:spacing w:val="-3"/>
      <w:sz w:val="24"/>
      <w:szCs w:val="24"/>
      <w:lang w:val="en-US" w:eastAsia="en-US"/>
    </w:rPr>
  </w:style>
  <w:style w:type="paragraph" w:customStyle="1" w:styleId="2ndheading">
    <w:name w:val="2nd heading"/>
    <w:basedOn w:val="Normal"/>
    <w:link w:val="2ndheadingChar"/>
    <w:rsid w:val="00403E06"/>
    <w:pPr>
      <w:spacing w:after="0" w:line="480" w:lineRule="auto"/>
      <w:ind w:firstLine="720"/>
      <w:jc w:val="both"/>
    </w:pPr>
    <w:rPr>
      <w:spacing w:val="-3"/>
      <w:sz w:val="24"/>
      <w:szCs w:val="24"/>
      <w:lang w:val="en-US" w:eastAsia="en-US"/>
    </w:rPr>
  </w:style>
  <w:style w:type="paragraph" w:customStyle="1" w:styleId="Blockquotefo">
    <w:name w:val="#Block quote fo"/>
    <w:basedOn w:val="Normal"/>
    <w:rsid w:val="00403E06"/>
    <w:pPr>
      <w:spacing w:before="120" w:after="0" w:line="240" w:lineRule="auto"/>
      <w:ind w:left="737" w:right="567"/>
    </w:pPr>
    <w:rPr>
      <w:rFonts w:ascii="Times New Roman" w:eastAsia="Times" w:hAnsi="Times New Roman" w:cs="Times New Roman"/>
      <w:sz w:val="24"/>
      <w:szCs w:val="20"/>
      <w:lang w:eastAsia="en-US"/>
    </w:rPr>
  </w:style>
  <w:style w:type="character" w:customStyle="1" w:styleId="slug-vol">
    <w:name w:val="slug-vol"/>
    <w:basedOn w:val="DefaultParagraphFont"/>
    <w:rsid w:val="00403E06"/>
  </w:style>
  <w:style w:type="character" w:customStyle="1" w:styleId="slug-issue">
    <w:name w:val="slug-issue"/>
    <w:basedOn w:val="DefaultParagraphFont"/>
    <w:rsid w:val="00403E06"/>
  </w:style>
  <w:style w:type="character" w:customStyle="1" w:styleId="apple-converted-space">
    <w:name w:val="apple-converted-space"/>
    <w:rsid w:val="00403E06"/>
  </w:style>
  <w:style w:type="character" w:customStyle="1" w:styleId="a-size-large">
    <w:name w:val="a-size-large"/>
    <w:basedOn w:val="DefaultParagraphFont"/>
    <w:rsid w:val="00403E06"/>
  </w:style>
  <w:style w:type="character" w:styleId="Hyperlink">
    <w:name w:val="Hyperlink"/>
    <w:uiPriority w:val="99"/>
    <w:unhideWhenUsed/>
    <w:rsid w:val="00403E06"/>
    <w:rPr>
      <w:color w:val="0000FF"/>
      <w:u w:val="single"/>
    </w:rPr>
  </w:style>
  <w:style w:type="paragraph" w:styleId="NormalWeb">
    <w:name w:val="Normal (Web)"/>
    <w:basedOn w:val="Normal"/>
    <w:uiPriority w:val="99"/>
    <w:unhideWhenUsed/>
    <w:rsid w:val="00403E06"/>
    <w:pPr>
      <w:spacing w:before="100" w:beforeAutospacing="1" w:after="100" w:afterAutospacing="1" w:line="240" w:lineRule="auto"/>
    </w:pPr>
    <w:rPr>
      <w:rFonts w:ascii="Times New Roman" w:eastAsia="SimSun" w:hAnsi="Times New Roman" w:cs="Times New Roman"/>
      <w:sz w:val="24"/>
      <w:szCs w:val="24"/>
    </w:rPr>
  </w:style>
  <w:style w:type="paragraph" w:styleId="CommentText">
    <w:name w:val="annotation text"/>
    <w:basedOn w:val="Normal"/>
    <w:link w:val="CommentTextChar"/>
    <w:semiHidden/>
    <w:unhideWhenUsed/>
    <w:rsid w:val="00403E06"/>
    <w:pPr>
      <w:spacing w:line="240" w:lineRule="auto"/>
    </w:pPr>
    <w:rPr>
      <w:sz w:val="20"/>
      <w:szCs w:val="20"/>
    </w:rPr>
  </w:style>
  <w:style w:type="character" w:customStyle="1" w:styleId="CommentTextChar">
    <w:name w:val="Comment Text Char"/>
    <w:basedOn w:val="DefaultParagraphFont"/>
    <w:link w:val="CommentText"/>
    <w:semiHidden/>
    <w:rsid w:val="00403E06"/>
    <w:rPr>
      <w:sz w:val="20"/>
      <w:szCs w:val="20"/>
    </w:rPr>
  </w:style>
  <w:style w:type="character" w:styleId="CommentReference">
    <w:name w:val="annotation reference"/>
    <w:basedOn w:val="DefaultParagraphFont"/>
    <w:uiPriority w:val="99"/>
    <w:semiHidden/>
    <w:unhideWhenUsed/>
    <w:rsid w:val="00403E06"/>
    <w:rPr>
      <w:sz w:val="16"/>
      <w:szCs w:val="16"/>
    </w:rPr>
  </w:style>
  <w:style w:type="character" w:styleId="Strong">
    <w:name w:val="Strong"/>
    <w:basedOn w:val="DefaultParagraphFont"/>
    <w:uiPriority w:val="22"/>
    <w:qFormat/>
    <w:rsid w:val="00403E06"/>
    <w:rPr>
      <w:b/>
      <w:bCs/>
    </w:rPr>
  </w:style>
  <w:style w:type="paragraph" w:customStyle="1" w:styleId="Body">
    <w:name w:val="Body"/>
    <w:rsid w:val="000F3824"/>
    <w:rPr>
      <w:rFonts w:ascii="Calibri" w:eastAsia="Calibri" w:hAnsi="Calibri" w:cs="Calibri"/>
      <w:color w:val="000000"/>
      <w:u w:color="000000"/>
      <w:lang w:val="en-US" w:eastAsia="en-GB"/>
    </w:rPr>
  </w:style>
  <w:style w:type="paragraph" w:styleId="CommentSubject">
    <w:name w:val="annotation subject"/>
    <w:basedOn w:val="CommentText"/>
    <w:next w:val="CommentText"/>
    <w:link w:val="CommentSubjectChar"/>
    <w:uiPriority w:val="99"/>
    <w:semiHidden/>
    <w:unhideWhenUsed/>
    <w:rsid w:val="007573F2"/>
    <w:rPr>
      <w:b/>
      <w:bCs/>
    </w:rPr>
  </w:style>
  <w:style w:type="character" w:customStyle="1" w:styleId="CommentSubjectChar">
    <w:name w:val="Comment Subject Char"/>
    <w:basedOn w:val="CommentTextChar"/>
    <w:link w:val="CommentSubject"/>
    <w:uiPriority w:val="99"/>
    <w:semiHidden/>
    <w:rsid w:val="007573F2"/>
    <w:rPr>
      <w:b/>
      <w:bCs/>
      <w:sz w:val="20"/>
      <w:szCs w:val="20"/>
    </w:rPr>
  </w:style>
  <w:style w:type="paragraph" w:styleId="BalloonText">
    <w:name w:val="Balloon Text"/>
    <w:basedOn w:val="Normal"/>
    <w:link w:val="BalloonTextChar"/>
    <w:uiPriority w:val="99"/>
    <w:semiHidden/>
    <w:unhideWhenUsed/>
    <w:rsid w:val="00757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F2"/>
    <w:rPr>
      <w:rFonts w:ascii="Tahoma" w:hAnsi="Tahoma" w:cs="Tahoma"/>
      <w:sz w:val="16"/>
      <w:szCs w:val="16"/>
    </w:rPr>
  </w:style>
  <w:style w:type="paragraph" w:styleId="Header">
    <w:name w:val="header"/>
    <w:basedOn w:val="Normal"/>
    <w:link w:val="HeaderChar"/>
    <w:uiPriority w:val="99"/>
    <w:unhideWhenUsed/>
    <w:rsid w:val="00757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3F2"/>
  </w:style>
  <w:style w:type="character" w:customStyle="1" w:styleId="Heading1Char">
    <w:name w:val="Heading 1 Char"/>
    <w:basedOn w:val="DefaultParagraphFont"/>
    <w:link w:val="Heading1"/>
    <w:uiPriority w:val="9"/>
    <w:rsid w:val="004758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2F6E"/>
    <w:rPr>
      <w:rFonts w:asciiTheme="majorHAnsi" w:eastAsiaTheme="majorEastAsia" w:hAnsiTheme="majorHAnsi" w:cstheme="majorBidi"/>
      <w:b/>
      <w:bCs/>
      <w:color w:val="4F81BD" w:themeColor="accent1"/>
      <w:sz w:val="26"/>
      <w:szCs w:val="26"/>
    </w:rPr>
  </w:style>
  <w:style w:type="paragraph" w:customStyle="1" w:styleId="Default">
    <w:name w:val="Default"/>
    <w:rsid w:val="001515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ferences">
    <w:name w:val="References"/>
    <w:basedOn w:val="Normal"/>
    <w:rsid w:val="00660673"/>
    <w:pPr>
      <w:tabs>
        <w:tab w:val="left" w:pos="10"/>
      </w:tabs>
      <w:spacing w:after="0" w:line="480" w:lineRule="auto"/>
      <w:ind w:left="720" w:hanging="720"/>
    </w:pPr>
    <w:rPr>
      <w:rFonts w:ascii="Times New Roman" w:eastAsia="PMingLiU" w:hAnsi="Times New Roman" w:cs="Times New Roman"/>
      <w:sz w:val="24"/>
      <w:szCs w:val="24"/>
      <w:lang w:val="en-US" w:eastAsia="en-US"/>
    </w:rPr>
  </w:style>
  <w:style w:type="paragraph" w:styleId="ListParagraph">
    <w:name w:val="List Paragraph"/>
    <w:basedOn w:val="Normal"/>
    <w:uiPriority w:val="1"/>
    <w:qFormat/>
    <w:rsid w:val="00615890"/>
    <w:pPr>
      <w:ind w:left="720"/>
      <w:contextualSpacing/>
    </w:pPr>
    <w:rPr>
      <w:rFonts w:ascii="Calibri" w:eastAsia="PMingLiU" w:hAnsi="Calibri" w:cs="Times New Roman"/>
      <w:lang w:val="en-AU" w:eastAsia="en-US"/>
    </w:rPr>
  </w:style>
  <w:style w:type="paragraph" w:styleId="EndnoteText">
    <w:name w:val="endnote text"/>
    <w:basedOn w:val="Normal"/>
    <w:link w:val="EndnoteTextChar"/>
    <w:semiHidden/>
    <w:unhideWhenUsed/>
    <w:rsid w:val="000B6D31"/>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B6D31"/>
    <w:rPr>
      <w:rFonts w:ascii="Times New Roman" w:eastAsia="Times New Roman" w:hAnsi="Times New Roman" w:cs="Times New Roman"/>
      <w:sz w:val="20"/>
      <w:szCs w:val="20"/>
    </w:rPr>
  </w:style>
  <w:style w:type="character" w:customStyle="1" w:styleId="author">
    <w:name w:val="author"/>
    <w:basedOn w:val="DefaultParagraphFont"/>
    <w:rsid w:val="000B6D31"/>
  </w:style>
  <w:style w:type="paragraph" w:styleId="List">
    <w:name w:val="List"/>
    <w:basedOn w:val="Normal"/>
    <w:uiPriority w:val="99"/>
    <w:unhideWhenUsed/>
    <w:rsid w:val="00974031"/>
    <w:pPr>
      <w:spacing w:after="0" w:line="240" w:lineRule="auto"/>
      <w:ind w:left="283" w:hanging="283"/>
    </w:pPr>
    <w:rPr>
      <w:rFonts w:ascii="Calibri" w:eastAsia="SimSun" w:hAnsi="Calibri" w:cs="Times New Roman"/>
    </w:rPr>
  </w:style>
  <w:style w:type="character" w:styleId="FollowedHyperlink">
    <w:name w:val="FollowedHyperlink"/>
    <w:basedOn w:val="DefaultParagraphFont"/>
    <w:uiPriority w:val="99"/>
    <w:semiHidden/>
    <w:unhideWhenUsed/>
    <w:rsid w:val="00974031"/>
    <w:rPr>
      <w:color w:val="800080" w:themeColor="followedHyperlink"/>
      <w:u w:val="single"/>
    </w:rPr>
  </w:style>
  <w:style w:type="character" w:styleId="Emphasis">
    <w:name w:val="Emphasis"/>
    <w:uiPriority w:val="20"/>
    <w:qFormat/>
    <w:rsid w:val="002826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7">
      <w:bodyDiv w:val="1"/>
      <w:marLeft w:val="0"/>
      <w:marRight w:val="0"/>
      <w:marTop w:val="0"/>
      <w:marBottom w:val="0"/>
      <w:divBdr>
        <w:top w:val="none" w:sz="0" w:space="0" w:color="auto"/>
        <w:left w:val="none" w:sz="0" w:space="0" w:color="auto"/>
        <w:bottom w:val="none" w:sz="0" w:space="0" w:color="auto"/>
        <w:right w:val="none" w:sz="0" w:space="0" w:color="auto"/>
      </w:divBdr>
    </w:div>
    <w:div w:id="6178841">
      <w:bodyDiv w:val="1"/>
      <w:marLeft w:val="0"/>
      <w:marRight w:val="0"/>
      <w:marTop w:val="0"/>
      <w:marBottom w:val="0"/>
      <w:divBdr>
        <w:top w:val="none" w:sz="0" w:space="0" w:color="auto"/>
        <w:left w:val="none" w:sz="0" w:space="0" w:color="auto"/>
        <w:bottom w:val="none" w:sz="0" w:space="0" w:color="auto"/>
        <w:right w:val="none" w:sz="0" w:space="0" w:color="auto"/>
      </w:divBdr>
    </w:div>
    <w:div w:id="26417988">
      <w:bodyDiv w:val="1"/>
      <w:marLeft w:val="0"/>
      <w:marRight w:val="0"/>
      <w:marTop w:val="0"/>
      <w:marBottom w:val="0"/>
      <w:divBdr>
        <w:top w:val="none" w:sz="0" w:space="0" w:color="auto"/>
        <w:left w:val="none" w:sz="0" w:space="0" w:color="auto"/>
        <w:bottom w:val="none" w:sz="0" w:space="0" w:color="auto"/>
        <w:right w:val="none" w:sz="0" w:space="0" w:color="auto"/>
      </w:divBdr>
    </w:div>
    <w:div w:id="43451661">
      <w:bodyDiv w:val="1"/>
      <w:marLeft w:val="0"/>
      <w:marRight w:val="0"/>
      <w:marTop w:val="0"/>
      <w:marBottom w:val="0"/>
      <w:divBdr>
        <w:top w:val="none" w:sz="0" w:space="0" w:color="auto"/>
        <w:left w:val="none" w:sz="0" w:space="0" w:color="auto"/>
        <w:bottom w:val="none" w:sz="0" w:space="0" w:color="auto"/>
        <w:right w:val="none" w:sz="0" w:space="0" w:color="auto"/>
      </w:divBdr>
    </w:div>
    <w:div w:id="57096314">
      <w:bodyDiv w:val="1"/>
      <w:marLeft w:val="0"/>
      <w:marRight w:val="0"/>
      <w:marTop w:val="0"/>
      <w:marBottom w:val="0"/>
      <w:divBdr>
        <w:top w:val="none" w:sz="0" w:space="0" w:color="auto"/>
        <w:left w:val="none" w:sz="0" w:space="0" w:color="auto"/>
        <w:bottom w:val="none" w:sz="0" w:space="0" w:color="auto"/>
        <w:right w:val="none" w:sz="0" w:space="0" w:color="auto"/>
      </w:divBdr>
    </w:div>
    <w:div w:id="57171857">
      <w:bodyDiv w:val="1"/>
      <w:marLeft w:val="0"/>
      <w:marRight w:val="0"/>
      <w:marTop w:val="0"/>
      <w:marBottom w:val="0"/>
      <w:divBdr>
        <w:top w:val="none" w:sz="0" w:space="0" w:color="auto"/>
        <w:left w:val="none" w:sz="0" w:space="0" w:color="auto"/>
        <w:bottom w:val="none" w:sz="0" w:space="0" w:color="auto"/>
        <w:right w:val="none" w:sz="0" w:space="0" w:color="auto"/>
      </w:divBdr>
    </w:div>
    <w:div w:id="78410307">
      <w:bodyDiv w:val="1"/>
      <w:marLeft w:val="0"/>
      <w:marRight w:val="0"/>
      <w:marTop w:val="0"/>
      <w:marBottom w:val="0"/>
      <w:divBdr>
        <w:top w:val="none" w:sz="0" w:space="0" w:color="auto"/>
        <w:left w:val="none" w:sz="0" w:space="0" w:color="auto"/>
        <w:bottom w:val="none" w:sz="0" w:space="0" w:color="auto"/>
        <w:right w:val="none" w:sz="0" w:space="0" w:color="auto"/>
      </w:divBdr>
    </w:div>
    <w:div w:id="89401177">
      <w:bodyDiv w:val="1"/>
      <w:marLeft w:val="0"/>
      <w:marRight w:val="0"/>
      <w:marTop w:val="0"/>
      <w:marBottom w:val="0"/>
      <w:divBdr>
        <w:top w:val="none" w:sz="0" w:space="0" w:color="auto"/>
        <w:left w:val="none" w:sz="0" w:space="0" w:color="auto"/>
        <w:bottom w:val="none" w:sz="0" w:space="0" w:color="auto"/>
        <w:right w:val="none" w:sz="0" w:space="0" w:color="auto"/>
      </w:divBdr>
    </w:div>
    <w:div w:id="110785454">
      <w:bodyDiv w:val="1"/>
      <w:marLeft w:val="0"/>
      <w:marRight w:val="0"/>
      <w:marTop w:val="0"/>
      <w:marBottom w:val="0"/>
      <w:divBdr>
        <w:top w:val="none" w:sz="0" w:space="0" w:color="auto"/>
        <w:left w:val="none" w:sz="0" w:space="0" w:color="auto"/>
        <w:bottom w:val="none" w:sz="0" w:space="0" w:color="auto"/>
        <w:right w:val="none" w:sz="0" w:space="0" w:color="auto"/>
      </w:divBdr>
    </w:div>
    <w:div w:id="132255583">
      <w:bodyDiv w:val="1"/>
      <w:marLeft w:val="0"/>
      <w:marRight w:val="0"/>
      <w:marTop w:val="0"/>
      <w:marBottom w:val="0"/>
      <w:divBdr>
        <w:top w:val="none" w:sz="0" w:space="0" w:color="auto"/>
        <w:left w:val="none" w:sz="0" w:space="0" w:color="auto"/>
        <w:bottom w:val="none" w:sz="0" w:space="0" w:color="auto"/>
        <w:right w:val="none" w:sz="0" w:space="0" w:color="auto"/>
      </w:divBdr>
    </w:div>
    <w:div w:id="174417180">
      <w:bodyDiv w:val="1"/>
      <w:marLeft w:val="0"/>
      <w:marRight w:val="0"/>
      <w:marTop w:val="0"/>
      <w:marBottom w:val="0"/>
      <w:divBdr>
        <w:top w:val="none" w:sz="0" w:space="0" w:color="auto"/>
        <w:left w:val="none" w:sz="0" w:space="0" w:color="auto"/>
        <w:bottom w:val="none" w:sz="0" w:space="0" w:color="auto"/>
        <w:right w:val="none" w:sz="0" w:space="0" w:color="auto"/>
      </w:divBdr>
    </w:div>
    <w:div w:id="202065064">
      <w:bodyDiv w:val="1"/>
      <w:marLeft w:val="0"/>
      <w:marRight w:val="0"/>
      <w:marTop w:val="0"/>
      <w:marBottom w:val="0"/>
      <w:divBdr>
        <w:top w:val="none" w:sz="0" w:space="0" w:color="auto"/>
        <w:left w:val="none" w:sz="0" w:space="0" w:color="auto"/>
        <w:bottom w:val="none" w:sz="0" w:space="0" w:color="auto"/>
        <w:right w:val="none" w:sz="0" w:space="0" w:color="auto"/>
      </w:divBdr>
    </w:div>
    <w:div w:id="227037419">
      <w:bodyDiv w:val="1"/>
      <w:marLeft w:val="0"/>
      <w:marRight w:val="0"/>
      <w:marTop w:val="0"/>
      <w:marBottom w:val="0"/>
      <w:divBdr>
        <w:top w:val="none" w:sz="0" w:space="0" w:color="auto"/>
        <w:left w:val="none" w:sz="0" w:space="0" w:color="auto"/>
        <w:bottom w:val="none" w:sz="0" w:space="0" w:color="auto"/>
        <w:right w:val="none" w:sz="0" w:space="0" w:color="auto"/>
      </w:divBdr>
    </w:div>
    <w:div w:id="234899335">
      <w:bodyDiv w:val="1"/>
      <w:marLeft w:val="0"/>
      <w:marRight w:val="0"/>
      <w:marTop w:val="0"/>
      <w:marBottom w:val="0"/>
      <w:divBdr>
        <w:top w:val="none" w:sz="0" w:space="0" w:color="auto"/>
        <w:left w:val="none" w:sz="0" w:space="0" w:color="auto"/>
        <w:bottom w:val="none" w:sz="0" w:space="0" w:color="auto"/>
        <w:right w:val="none" w:sz="0" w:space="0" w:color="auto"/>
      </w:divBdr>
    </w:div>
    <w:div w:id="235941107">
      <w:bodyDiv w:val="1"/>
      <w:marLeft w:val="0"/>
      <w:marRight w:val="0"/>
      <w:marTop w:val="0"/>
      <w:marBottom w:val="0"/>
      <w:divBdr>
        <w:top w:val="none" w:sz="0" w:space="0" w:color="auto"/>
        <w:left w:val="none" w:sz="0" w:space="0" w:color="auto"/>
        <w:bottom w:val="none" w:sz="0" w:space="0" w:color="auto"/>
        <w:right w:val="none" w:sz="0" w:space="0" w:color="auto"/>
      </w:divBdr>
    </w:div>
    <w:div w:id="277832681">
      <w:bodyDiv w:val="1"/>
      <w:marLeft w:val="0"/>
      <w:marRight w:val="0"/>
      <w:marTop w:val="0"/>
      <w:marBottom w:val="0"/>
      <w:divBdr>
        <w:top w:val="none" w:sz="0" w:space="0" w:color="auto"/>
        <w:left w:val="none" w:sz="0" w:space="0" w:color="auto"/>
        <w:bottom w:val="none" w:sz="0" w:space="0" w:color="auto"/>
        <w:right w:val="none" w:sz="0" w:space="0" w:color="auto"/>
      </w:divBdr>
    </w:div>
    <w:div w:id="296182485">
      <w:bodyDiv w:val="1"/>
      <w:marLeft w:val="0"/>
      <w:marRight w:val="0"/>
      <w:marTop w:val="0"/>
      <w:marBottom w:val="0"/>
      <w:divBdr>
        <w:top w:val="none" w:sz="0" w:space="0" w:color="auto"/>
        <w:left w:val="none" w:sz="0" w:space="0" w:color="auto"/>
        <w:bottom w:val="none" w:sz="0" w:space="0" w:color="auto"/>
        <w:right w:val="none" w:sz="0" w:space="0" w:color="auto"/>
      </w:divBdr>
    </w:div>
    <w:div w:id="313293748">
      <w:bodyDiv w:val="1"/>
      <w:marLeft w:val="0"/>
      <w:marRight w:val="0"/>
      <w:marTop w:val="0"/>
      <w:marBottom w:val="0"/>
      <w:divBdr>
        <w:top w:val="none" w:sz="0" w:space="0" w:color="auto"/>
        <w:left w:val="none" w:sz="0" w:space="0" w:color="auto"/>
        <w:bottom w:val="none" w:sz="0" w:space="0" w:color="auto"/>
        <w:right w:val="none" w:sz="0" w:space="0" w:color="auto"/>
      </w:divBdr>
    </w:div>
    <w:div w:id="405617098">
      <w:bodyDiv w:val="1"/>
      <w:marLeft w:val="0"/>
      <w:marRight w:val="0"/>
      <w:marTop w:val="0"/>
      <w:marBottom w:val="0"/>
      <w:divBdr>
        <w:top w:val="none" w:sz="0" w:space="0" w:color="auto"/>
        <w:left w:val="none" w:sz="0" w:space="0" w:color="auto"/>
        <w:bottom w:val="none" w:sz="0" w:space="0" w:color="auto"/>
        <w:right w:val="none" w:sz="0" w:space="0" w:color="auto"/>
      </w:divBdr>
    </w:div>
    <w:div w:id="410583548">
      <w:bodyDiv w:val="1"/>
      <w:marLeft w:val="0"/>
      <w:marRight w:val="0"/>
      <w:marTop w:val="0"/>
      <w:marBottom w:val="0"/>
      <w:divBdr>
        <w:top w:val="none" w:sz="0" w:space="0" w:color="auto"/>
        <w:left w:val="none" w:sz="0" w:space="0" w:color="auto"/>
        <w:bottom w:val="none" w:sz="0" w:space="0" w:color="auto"/>
        <w:right w:val="none" w:sz="0" w:space="0" w:color="auto"/>
      </w:divBdr>
    </w:div>
    <w:div w:id="422069940">
      <w:bodyDiv w:val="1"/>
      <w:marLeft w:val="0"/>
      <w:marRight w:val="0"/>
      <w:marTop w:val="0"/>
      <w:marBottom w:val="0"/>
      <w:divBdr>
        <w:top w:val="none" w:sz="0" w:space="0" w:color="auto"/>
        <w:left w:val="none" w:sz="0" w:space="0" w:color="auto"/>
        <w:bottom w:val="none" w:sz="0" w:space="0" w:color="auto"/>
        <w:right w:val="none" w:sz="0" w:space="0" w:color="auto"/>
      </w:divBdr>
    </w:div>
    <w:div w:id="459765515">
      <w:bodyDiv w:val="1"/>
      <w:marLeft w:val="0"/>
      <w:marRight w:val="0"/>
      <w:marTop w:val="0"/>
      <w:marBottom w:val="0"/>
      <w:divBdr>
        <w:top w:val="none" w:sz="0" w:space="0" w:color="auto"/>
        <w:left w:val="none" w:sz="0" w:space="0" w:color="auto"/>
        <w:bottom w:val="none" w:sz="0" w:space="0" w:color="auto"/>
        <w:right w:val="none" w:sz="0" w:space="0" w:color="auto"/>
      </w:divBdr>
    </w:div>
    <w:div w:id="460609542">
      <w:bodyDiv w:val="1"/>
      <w:marLeft w:val="0"/>
      <w:marRight w:val="0"/>
      <w:marTop w:val="0"/>
      <w:marBottom w:val="0"/>
      <w:divBdr>
        <w:top w:val="none" w:sz="0" w:space="0" w:color="auto"/>
        <w:left w:val="none" w:sz="0" w:space="0" w:color="auto"/>
        <w:bottom w:val="none" w:sz="0" w:space="0" w:color="auto"/>
        <w:right w:val="none" w:sz="0" w:space="0" w:color="auto"/>
      </w:divBdr>
    </w:div>
    <w:div w:id="508639309">
      <w:bodyDiv w:val="1"/>
      <w:marLeft w:val="0"/>
      <w:marRight w:val="0"/>
      <w:marTop w:val="0"/>
      <w:marBottom w:val="0"/>
      <w:divBdr>
        <w:top w:val="none" w:sz="0" w:space="0" w:color="auto"/>
        <w:left w:val="none" w:sz="0" w:space="0" w:color="auto"/>
        <w:bottom w:val="none" w:sz="0" w:space="0" w:color="auto"/>
        <w:right w:val="none" w:sz="0" w:space="0" w:color="auto"/>
      </w:divBdr>
    </w:div>
    <w:div w:id="528101895">
      <w:bodyDiv w:val="1"/>
      <w:marLeft w:val="0"/>
      <w:marRight w:val="0"/>
      <w:marTop w:val="0"/>
      <w:marBottom w:val="0"/>
      <w:divBdr>
        <w:top w:val="none" w:sz="0" w:space="0" w:color="auto"/>
        <w:left w:val="none" w:sz="0" w:space="0" w:color="auto"/>
        <w:bottom w:val="none" w:sz="0" w:space="0" w:color="auto"/>
        <w:right w:val="none" w:sz="0" w:space="0" w:color="auto"/>
      </w:divBdr>
    </w:div>
    <w:div w:id="576474186">
      <w:bodyDiv w:val="1"/>
      <w:marLeft w:val="0"/>
      <w:marRight w:val="0"/>
      <w:marTop w:val="0"/>
      <w:marBottom w:val="0"/>
      <w:divBdr>
        <w:top w:val="none" w:sz="0" w:space="0" w:color="auto"/>
        <w:left w:val="none" w:sz="0" w:space="0" w:color="auto"/>
        <w:bottom w:val="none" w:sz="0" w:space="0" w:color="auto"/>
        <w:right w:val="none" w:sz="0" w:space="0" w:color="auto"/>
      </w:divBdr>
    </w:div>
    <w:div w:id="593129997">
      <w:bodyDiv w:val="1"/>
      <w:marLeft w:val="0"/>
      <w:marRight w:val="0"/>
      <w:marTop w:val="0"/>
      <w:marBottom w:val="0"/>
      <w:divBdr>
        <w:top w:val="none" w:sz="0" w:space="0" w:color="auto"/>
        <w:left w:val="none" w:sz="0" w:space="0" w:color="auto"/>
        <w:bottom w:val="none" w:sz="0" w:space="0" w:color="auto"/>
        <w:right w:val="none" w:sz="0" w:space="0" w:color="auto"/>
      </w:divBdr>
    </w:div>
    <w:div w:id="661201537">
      <w:bodyDiv w:val="1"/>
      <w:marLeft w:val="0"/>
      <w:marRight w:val="0"/>
      <w:marTop w:val="0"/>
      <w:marBottom w:val="0"/>
      <w:divBdr>
        <w:top w:val="none" w:sz="0" w:space="0" w:color="auto"/>
        <w:left w:val="none" w:sz="0" w:space="0" w:color="auto"/>
        <w:bottom w:val="none" w:sz="0" w:space="0" w:color="auto"/>
        <w:right w:val="none" w:sz="0" w:space="0" w:color="auto"/>
      </w:divBdr>
    </w:div>
    <w:div w:id="675771986">
      <w:bodyDiv w:val="1"/>
      <w:marLeft w:val="0"/>
      <w:marRight w:val="0"/>
      <w:marTop w:val="0"/>
      <w:marBottom w:val="0"/>
      <w:divBdr>
        <w:top w:val="none" w:sz="0" w:space="0" w:color="auto"/>
        <w:left w:val="none" w:sz="0" w:space="0" w:color="auto"/>
        <w:bottom w:val="none" w:sz="0" w:space="0" w:color="auto"/>
        <w:right w:val="none" w:sz="0" w:space="0" w:color="auto"/>
      </w:divBdr>
    </w:div>
    <w:div w:id="686299459">
      <w:bodyDiv w:val="1"/>
      <w:marLeft w:val="0"/>
      <w:marRight w:val="0"/>
      <w:marTop w:val="0"/>
      <w:marBottom w:val="0"/>
      <w:divBdr>
        <w:top w:val="none" w:sz="0" w:space="0" w:color="auto"/>
        <w:left w:val="none" w:sz="0" w:space="0" w:color="auto"/>
        <w:bottom w:val="none" w:sz="0" w:space="0" w:color="auto"/>
        <w:right w:val="none" w:sz="0" w:space="0" w:color="auto"/>
      </w:divBdr>
    </w:div>
    <w:div w:id="687872088">
      <w:bodyDiv w:val="1"/>
      <w:marLeft w:val="0"/>
      <w:marRight w:val="0"/>
      <w:marTop w:val="0"/>
      <w:marBottom w:val="0"/>
      <w:divBdr>
        <w:top w:val="none" w:sz="0" w:space="0" w:color="auto"/>
        <w:left w:val="none" w:sz="0" w:space="0" w:color="auto"/>
        <w:bottom w:val="none" w:sz="0" w:space="0" w:color="auto"/>
        <w:right w:val="none" w:sz="0" w:space="0" w:color="auto"/>
      </w:divBdr>
    </w:div>
    <w:div w:id="697201366">
      <w:bodyDiv w:val="1"/>
      <w:marLeft w:val="0"/>
      <w:marRight w:val="0"/>
      <w:marTop w:val="0"/>
      <w:marBottom w:val="0"/>
      <w:divBdr>
        <w:top w:val="none" w:sz="0" w:space="0" w:color="auto"/>
        <w:left w:val="none" w:sz="0" w:space="0" w:color="auto"/>
        <w:bottom w:val="none" w:sz="0" w:space="0" w:color="auto"/>
        <w:right w:val="none" w:sz="0" w:space="0" w:color="auto"/>
      </w:divBdr>
    </w:div>
    <w:div w:id="707147252">
      <w:bodyDiv w:val="1"/>
      <w:marLeft w:val="0"/>
      <w:marRight w:val="0"/>
      <w:marTop w:val="0"/>
      <w:marBottom w:val="0"/>
      <w:divBdr>
        <w:top w:val="none" w:sz="0" w:space="0" w:color="auto"/>
        <w:left w:val="none" w:sz="0" w:space="0" w:color="auto"/>
        <w:bottom w:val="none" w:sz="0" w:space="0" w:color="auto"/>
        <w:right w:val="none" w:sz="0" w:space="0" w:color="auto"/>
      </w:divBdr>
    </w:div>
    <w:div w:id="731316367">
      <w:bodyDiv w:val="1"/>
      <w:marLeft w:val="0"/>
      <w:marRight w:val="0"/>
      <w:marTop w:val="0"/>
      <w:marBottom w:val="0"/>
      <w:divBdr>
        <w:top w:val="none" w:sz="0" w:space="0" w:color="auto"/>
        <w:left w:val="none" w:sz="0" w:space="0" w:color="auto"/>
        <w:bottom w:val="none" w:sz="0" w:space="0" w:color="auto"/>
        <w:right w:val="none" w:sz="0" w:space="0" w:color="auto"/>
      </w:divBdr>
    </w:div>
    <w:div w:id="731385729">
      <w:bodyDiv w:val="1"/>
      <w:marLeft w:val="0"/>
      <w:marRight w:val="0"/>
      <w:marTop w:val="0"/>
      <w:marBottom w:val="0"/>
      <w:divBdr>
        <w:top w:val="none" w:sz="0" w:space="0" w:color="auto"/>
        <w:left w:val="none" w:sz="0" w:space="0" w:color="auto"/>
        <w:bottom w:val="none" w:sz="0" w:space="0" w:color="auto"/>
        <w:right w:val="none" w:sz="0" w:space="0" w:color="auto"/>
      </w:divBdr>
    </w:div>
    <w:div w:id="756250915">
      <w:bodyDiv w:val="1"/>
      <w:marLeft w:val="0"/>
      <w:marRight w:val="0"/>
      <w:marTop w:val="0"/>
      <w:marBottom w:val="0"/>
      <w:divBdr>
        <w:top w:val="none" w:sz="0" w:space="0" w:color="auto"/>
        <w:left w:val="none" w:sz="0" w:space="0" w:color="auto"/>
        <w:bottom w:val="none" w:sz="0" w:space="0" w:color="auto"/>
        <w:right w:val="none" w:sz="0" w:space="0" w:color="auto"/>
      </w:divBdr>
    </w:div>
    <w:div w:id="773549823">
      <w:bodyDiv w:val="1"/>
      <w:marLeft w:val="0"/>
      <w:marRight w:val="0"/>
      <w:marTop w:val="0"/>
      <w:marBottom w:val="0"/>
      <w:divBdr>
        <w:top w:val="none" w:sz="0" w:space="0" w:color="auto"/>
        <w:left w:val="none" w:sz="0" w:space="0" w:color="auto"/>
        <w:bottom w:val="none" w:sz="0" w:space="0" w:color="auto"/>
        <w:right w:val="none" w:sz="0" w:space="0" w:color="auto"/>
      </w:divBdr>
    </w:div>
    <w:div w:id="775637096">
      <w:bodyDiv w:val="1"/>
      <w:marLeft w:val="0"/>
      <w:marRight w:val="0"/>
      <w:marTop w:val="0"/>
      <w:marBottom w:val="0"/>
      <w:divBdr>
        <w:top w:val="none" w:sz="0" w:space="0" w:color="auto"/>
        <w:left w:val="none" w:sz="0" w:space="0" w:color="auto"/>
        <w:bottom w:val="none" w:sz="0" w:space="0" w:color="auto"/>
        <w:right w:val="none" w:sz="0" w:space="0" w:color="auto"/>
      </w:divBdr>
    </w:div>
    <w:div w:id="801769197">
      <w:bodyDiv w:val="1"/>
      <w:marLeft w:val="0"/>
      <w:marRight w:val="0"/>
      <w:marTop w:val="0"/>
      <w:marBottom w:val="0"/>
      <w:divBdr>
        <w:top w:val="none" w:sz="0" w:space="0" w:color="auto"/>
        <w:left w:val="none" w:sz="0" w:space="0" w:color="auto"/>
        <w:bottom w:val="none" w:sz="0" w:space="0" w:color="auto"/>
        <w:right w:val="none" w:sz="0" w:space="0" w:color="auto"/>
      </w:divBdr>
    </w:div>
    <w:div w:id="801969415">
      <w:bodyDiv w:val="1"/>
      <w:marLeft w:val="0"/>
      <w:marRight w:val="0"/>
      <w:marTop w:val="0"/>
      <w:marBottom w:val="0"/>
      <w:divBdr>
        <w:top w:val="none" w:sz="0" w:space="0" w:color="auto"/>
        <w:left w:val="none" w:sz="0" w:space="0" w:color="auto"/>
        <w:bottom w:val="none" w:sz="0" w:space="0" w:color="auto"/>
        <w:right w:val="none" w:sz="0" w:space="0" w:color="auto"/>
      </w:divBdr>
    </w:div>
    <w:div w:id="806895366">
      <w:bodyDiv w:val="1"/>
      <w:marLeft w:val="0"/>
      <w:marRight w:val="0"/>
      <w:marTop w:val="0"/>
      <w:marBottom w:val="0"/>
      <w:divBdr>
        <w:top w:val="none" w:sz="0" w:space="0" w:color="auto"/>
        <w:left w:val="none" w:sz="0" w:space="0" w:color="auto"/>
        <w:bottom w:val="none" w:sz="0" w:space="0" w:color="auto"/>
        <w:right w:val="none" w:sz="0" w:space="0" w:color="auto"/>
      </w:divBdr>
    </w:div>
    <w:div w:id="811943595">
      <w:bodyDiv w:val="1"/>
      <w:marLeft w:val="0"/>
      <w:marRight w:val="0"/>
      <w:marTop w:val="0"/>
      <w:marBottom w:val="0"/>
      <w:divBdr>
        <w:top w:val="none" w:sz="0" w:space="0" w:color="auto"/>
        <w:left w:val="none" w:sz="0" w:space="0" w:color="auto"/>
        <w:bottom w:val="none" w:sz="0" w:space="0" w:color="auto"/>
        <w:right w:val="none" w:sz="0" w:space="0" w:color="auto"/>
      </w:divBdr>
    </w:div>
    <w:div w:id="844515196">
      <w:bodyDiv w:val="1"/>
      <w:marLeft w:val="0"/>
      <w:marRight w:val="0"/>
      <w:marTop w:val="0"/>
      <w:marBottom w:val="0"/>
      <w:divBdr>
        <w:top w:val="none" w:sz="0" w:space="0" w:color="auto"/>
        <w:left w:val="none" w:sz="0" w:space="0" w:color="auto"/>
        <w:bottom w:val="none" w:sz="0" w:space="0" w:color="auto"/>
        <w:right w:val="none" w:sz="0" w:space="0" w:color="auto"/>
      </w:divBdr>
    </w:div>
    <w:div w:id="860364254">
      <w:bodyDiv w:val="1"/>
      <w:marLeft w:val="0"/>
      <w:marRight w:val="0"/>
      <w:marTop w:val="0"/>
      <w:marBottom w:val="0"/>
      <w:divBdr>
        <w:top w:val="none" w:sz="0" w:space="0" w:color="auto"/>
        <w:left w:val="none" w:sz="0" w:space="0" w:color="auto"/>
        <w:bottom w:val="none" w:sz="0" w:space="0" w:color="auto"/>
        <w:right w:val="none" w:sz="0" w:space="0" w:color="auto"/>
      </w:divBdr>
    </w:div>
    <w:div w:id="868447799">
      <w:bodyDiv w:val="1"/>
      <w:marLeft w:val="0"/>
      <w:marRight w:val="0"/>
      <w:marTop w:val="0"/>
      <w:marBottom w:val="0"/>
      <w:divBdr>
        <w:top w:val="none" w:sz="0" w:space="0" w:color="auto"/>
        <w:left w:val="none" w:sz="0" w:space="0" w:color="auto"/>
        <w:bottom w:val="none" w:sz="0" w:space="0" w:color="auto"/>
        <w:right w:val="none" w:sz="0" w:space="0" w:color="auto"/>
      </w:divBdr>
    </w:div>
    <w:div w:id="970287813">
      <w:bodyDiv w:val="1"/>
      <w:marLeft w:val="0"/>
      <w:marRight w:val="0"/>
      <w:marTop w:val="0"/>
      <w:marBottom w:val="0"/>
      <w:divBdr>
        <w:top w:val="none" w:sz="0" w:space="0" w:color="auto"/>
        <w:left w:val="none" w:sz="0" w:space="0" w:color="auto"/>
        <w:bottom w:val="none" w:sz="0" w:space="0" w:color="auto"/>
        <w:right w:val="none" w:sz="0" w:space="0" w:color="auto"/>
      </w:divBdr>
    </w:div>
    <w:div w:id="991368381">
      <w:bodyDiv w:val="1"/>
      <w:marLeft w:val="0"/>
      <w:marRight w:val="0"/>
      <w:marTop w:val="0"/>
      <w:marBottom w:val="0"/>
      <w:divBdr>
        <w:top w:val="none" w:sz="0" w:space="0" w:color="auto"/>
        <w:left w:val="none" w:sz="0" w:space="0" w:color="auto"/>
        <w:bottom w:val="none" w:sz="0" w:space="0" w:color="auto"/>
        <w:right w:val="none" w:sz="0" w:space="0" w:color="auto"/>
      </w:divBdr>
    </w:div>
    <w:div w:id="1012683647">
      <w:bodyDiv w:val="1"/>
      <w:marLeft w:val="0"/>
      <w:marRight w:val="0"/>
      <w:marTop w:val="0"/>
      <w:marBottom w:val="0"/>
      <w:divBdr>
        <w:top w:val="none" w:sz="0" w:space="0" w:color="auto"/>
        <w:left w:val="none" w:sz="0" w:space="0" w:color="auto"/>
        <w:bottom w:val="none" w:sz="0" w:space="0" w:color="auto"/>
        <w:right w:val="none" w:sz="0" w:space="0" w:color="auto"/>
      </w:divBdr>
    </w:div>
    <w:div w:id="1028143732">
      <w:bodyDiv w:val="1"/>
      <w:marLeft w:val="0"/>
      <w:marRight w:val="0"/>
      <w:marTop w:val="0"/>
      <w:marBottom w:val="0"/>
      <w:divBdr>
        <w:top w:val="none" w:sz="0" w:space="0" w:color="auto"/>
        <w:left w:val="none" w:sz="0" w:space="0" w:color="auto"/>
        <w:bottom w:val="none" w:sz="0" w:space="0" w:color="auto"/>
        <w:right w:val="none" w:sz="0" w:space="0" w:color="auto"/>
      </w:divBdr>
    </w:div>
    <w:div w:id="1057433216">
      <w:bodyDiv w:val="1"/>
      <w:marLeft w:val="0"/>
      <w:marRight w:val="0"/>
      <w:marTop w:val="0"/>
      <w:marBottom w:val="0"/>
      <w:divBdr>
        <w:top w:val="none" w:sz="0" w:space="0" w:color="auto"/>
        <w:left w:val="none" w:sz="0" w:space="0" w:color="auto"/>
        <w:bottom w:val="none" w:sz="0" w:space="0" w:color="auto"/>
        <w:right w:val="none" w:sz="0" w:space="0" w:color="auto"/>
      </w:divBdr>
    </w:div>
    <w:div w:id="1071737435">
      <w:bodyDiv w:val="1"/>
      <w:marLeft w:val="0"/>
      <w:marRight w:val="0"/>
      <w:marTop w:val="0"/>
      <w:marBottom w:val="0"/>
      <w:divBdr>
        <w:top w:val="none" w:sz="0" w:space="0" w:color="auto"/>
        <w:left w:val="none" w:sz="0" w:space="0" w:color="auto"/>
        <w:bottom w:val="none" w:sz="0" w:space="0" w:color="auto"/>
        <w:right w:val="none" w:sz="0" w:space="0" w:color="auto"/>
      </w:divBdr>
    </w:div>
    <w:div w:id="1092315172">
      <w:bodyDiv w:val="1"/>
      <w:marLeft w:val="0"/>
      <w:marRight w:val="0"/>
      <w:marTop w:val="0"/>
      <w:marBottom w:val="0"/>
      <w:divBdr>
        <w:top w:val="none" w:sz="0" w:space="0" w:color="auto"/>
        <w:left w:val="none" w:sz="0" w:space="0" w:color="auto"/>
        <w:bottom w:val="none" w:sz="0" w:space="0" w:color="auto"/>
        <w:right w:val="none" w:sz="0" w:space="0" w:color="auto"/>
      </w:divBdr>
    </w:div>
    <w:div w:id="1111045678">
      <w:bodyDiv w:val="1"/>
      <w:marLeft w:val="0"/>
      <w:marRight w:val="0"/>
      <w:marTop w:val="0"/>
      <w:marBottom w:val="0"/>
      <w:divBdr>
        <w:top w:val="none" w:sz="0" w:space="0" w:color="auto"/>
        <w:left w:val="none" w:sz="0" w:space="0" w:color="auto"/>
        <w:bottom w:val="none" w:sz="0" w:space="0" w:color="auto"/>
        <w:right w:val="none" w:sz="0" w:space="0" w:color="auto"/>
      </w:divBdr>
    </w:div>
    <w:div w:id="1120152789">
      <w:bodyDiv w:val="1"/>
      <w:marLeft w:val="0"/>
      <w:marRight w:val="0"/>
      <w:marTop w:val="0"/>
      <w:marBottom w:val="0"/>
      <w:divBdr>
        <w:top w:val="none" w:sz="0" w:space="0" w:color="auto"/>
        <w:left w:val="none" w:sz="0" w:space="0" w:color="auto"/>
        <w:bottom w:val="none" w:sz="0" w:space="0" w:color="auto"/>
        <w:right w:val="none" w:sz="0" w:space="0" w:color="auto"/>
      </w:divBdr>
    </w:div>
    <w:div w:id="1128671304">
      <w:bodyDiv w:val="1"/>
      <w:marLeft w:val="0"/>
      <w:marRight w:val="0"/>
      <w:marTop w:val="0"/>
      <w:marBottom w:val="0"/>
      <w:divBdr>
        <w:top w:val="none" w:sz="0" w:space="0" w:color="auto"/>
        <w:left w:val="none" w:sz="0" w:space="0" w:color="auto"/>
        <w:bottom w:val="none" w:sz="0" w:space="0" w:color="auto"/>
        <w:right w:val="none" w:sz="0" w:space="0" w:color="auto"/>
      </w:divBdr>
    </w:div>
    <w:div w:id="1151753527">
      <w:bodyDiv w:val="1"/>
      <w:marLeft w:val="0"/>
      <w:marRight w:val="0"/>
      <w:marTop w:val="0"/>
      <w:marBottom w:val="0"/>
      <w:divBdr>
        <w:top w:val="none" w:sz="0" w:space="0" w:color="auto"/>
        <w:left w:val="none" w:sz="0" w:space="0" w:color="auto"/>
        <w:bottom w:val="none" w:sz="0" w:space="0" w:color="auto"/>
        <w:right w:val="none" w:sz="0" w:space="0" w:color="auto"/>
      </w:divBdr>
    </w:div>
    <w:div w:id="1158690097">
      <w:bodyDiv w:val="1"/>
      <w:marLeft w:val="0"/>
      <w:marRight w:val="0"/>
      <w:marTop w:val="0"/>
      <w:marBottom w:val="0"/>
      <w:divBdr>
        <w:top w:val="none" w:sz="0" w:space="0" w:color="auto"/>
        <w:left w:val="none" w:sz="0" w:space="0" w:color="auto"/>
        <w:bottom w:val="none" w:sz="0" w:space="0" w:color="auto"/>
        <w:right w:val="none" w:sz="0" w:space="0" w:color="auto"/>
      </w:divBdr>
    </w:div>
    <w:div w:id="1181704608">
      <w:bodyDiv w:val="1"/>
      <w:marLeft w:val="0"/>
      <w:marRight w:val="0"/>
      <w:marTop w:val="0"/>
      <w:marBottom w:val="0"/>
      <w:divBdr>
        <w:top w:val="none" w:sz="0" w:space="0" w:color="auto"/>
        <w:left w:val="none" w:sz="0" w:space="0" w:color="auto"/>
        <w:bottom w:val="none" w:sz="0" w:space="0" w:color="auto"/>
        <w:right w:val="none" w:sz="0" w:space="0" w:color="auto"/>
      </w:divBdr>
    </w:div>
    <w:div w:id="1190685010">
      <w:bodyDiv w:val="1"/>
      <w:marLeft w:val="0"/>
      <w:marRight w:val="0"/>
      <w:marTop w:val="0"/>
      <w:marBottom w:val="0"/>
      <w:divBdr>
        <w:top w:val="none" w:sz="0" w:space="0" w:color="auto"/>
        <w:left w:val="none" w:sz="0" w:space="0" w:color="auto"/>
        <w:bottom w:val="none" w:sz="0" w:space="0" w:color="auto"/>
        <w:right w:val="none" w:sz="0" w:space="0" w:color="auto"/>
      </w:divBdr>
    </w:div>
    <w:div w:id="1192719220">
      <w:bodyDiv w:val="1"/>
      <w:marLeft w:val="0"/>
      <w:marRight w:val="0"/>
      <w:marTop w:val="0"/>
      <w:marBottom w:val="0"/>
      <w:divBdr>
        <w:top w:val="none" w:sz="0" w:space="0" w:color="auto"/>
        <w:left w:val="none" w:sz="0" w:space="0" w:color="auto"/>
        <w:bottom w:val="none" w:sz="0" w:space="0" w:color="auto"/>
        <w:right w:val="none" w:sz="0" w:space="0" w:color="auto"/>
      </w:divBdr>
    </w:div>
    <w:div w:id="1271623255">
      <w:bodyDiv w:val="1"/>
      <w:marLeft w:val="0"/>
      <w:marRight w:val="0"/>
      <w:marTop w:val="0"/>
      <w:marBottom w:val="0"/>
      <w:divBdr>
        <w:top w:val="none" w:sz="0" w:space="0" w:color="auto"/>
        <w:left w:val="none" w:sz="0" w:space="0" w:color="auto"/>
        <w:bottom w:val="none" w:sz="0" w:space="0" w:color="auto"/>
        <w:right w:val="none" w:sz="0" w:space="0" w:color="auto"/>
      </w:divBdr>
    </w:div>
    <w:div w:id="1278833539">
      <w:bodyDiv w:val="1"/>
      <w:marLeft w:val="0"/>
      <w:marRight w:val="0"/>
      <w:marTop w:val="0"/>
      <w:marBottom w:val="0"/>
      <w:divBdr>
        <w:top w:val="none" w:sz="0" w:space="0" w:color="auto"/>
        <w:left w:val="none" w:sz="0" w:space="0" w:color="auto"/>
        <w:bottom w:val="none" w:sz="0" w:space="0" w:color="auto"/>
        <w:right w:val="none" w:sz="0" w:space="0" w:color="auto"/>
      </w:divBdr>
    </w:div>
    <w:div w:id="1306741846">
      <w:bodyDiv w:val="1"/>
      <w:marLeft w:val="0"/>
      <w:marRight w:val="0"/>
      <w:marTop w:val="0"/>
      <w:marBottom w:val="0"/>
      <w:divBdr>
        <w:top w:val="none" w:sz="0" w:space="0" w:color="auto"/>
        <w:left w:val="none" w:sz="0" w:space="0" w:color="auto"/>
        <w:bottom w:val="none" w:sz="0" w:space="0" w:color="auto"/>
        <w:right w:val="none" w:sz="0" w:space="0" w:color="auto"/>
      </w:divBdr>
    </w:div>
    <w:div w:id="1313679667">
      <w:bodyDiv w:val="1"/>
      <w:marLeft w:val="0"/>
      <w:marRight w:val="0"/>
      <w:marTop w:val="0"/>
      <w:marBottom w:val="0"/>
      <w:divBdr>
        <w:top w:val="none" w:sz="0" w:space="0" w:color="auto"/>
        <w:left w:val="none" w:sz="0" w:space="0" w:color="auto"/>
        <w:bottom w:val="none" w:sz="0" w:space="0" w:color="auto"/>
        <w:right w:val="none" w:sz="0" w:space="0" w:color="auto"/>
      </w:divBdr>
    </w:div>
    <w:div w:id="1375807926">
      <w:bodyDiv w:val="1"/>
      <w:marLeft w:val="0"/>
      <w:marRight w:val="0"/>
      <w:marTop w:val="0"/>
      <w:marBottom w:val="0"/>
      <w:divBdr>
        <w:top w:val="none" w:sz="0" w:space="0" w:color="auto"/>
        <w:left w:val="none" w:sz="0" w:space="0" w:color="auto"/>
        <w:bottom w:val="none" w:sz="0" w:space="0" w:color="auto"/>
        <w:right w:val="none" w:sz="0" w:space="0" w:color="auto"/>
      </w:divBdr>
    </w:div>
    <w:div w:id="1411923610">
      <w:bodyDiv w:val="1"/>
      <w:marLeft w:val="0"/>
      <w:marRight w:val="0"/>
      <w:marTop w:val="0"/>
      <w:marBottom w:val="0"/>
      <w:divBdr>
        <w:top w:val="none" w:sz="0" w:space="0" w:color="auto"/>
        <w:left w:val="none" w:sz="0" w:space="0" w:color="auto"/>
        <w:bottom w:val="none" w:sz="0" w:space="0" w:color="auto"/>
        <w:right w:val="none" w:sz="0" w:space="0" w:color="auto"/>
      </w:divBdr>
    </w:div>
    <w:div w:id="1415202783">
      <w:bodyDiv w:val="1"/>
      <w:marLeft w:val="0"/>
      <w:marRight w:val="0"/>
      <w:marTop w:val="0"/>
      <w:marBottom w:val="0"/>
      <w:divBdr>
        <w:top w:val="none" w:sz="0" w:space="0" w:color="auto"/>
        <w:left w:val="none" w:sz="0" w:space="0" w:color="auto"/>
        <w:bottom w:val="none" w:sz="0" w:space="0" w:color="auto"/>
        <w:right w:val="none" w:sz="0" w:space="0" w:color="auto"/>
      </w:divBdr>
    </w:div>
    <w:div w:id="1416977638">
      <w:bodyDiv w:val="1"/>
      <w:marLeft w:val="0"/>
      <w:marRight w:val="0"/>
      <w:marTop w:val="0"/>
      <w:marBottom w:val="0"/>
      <w:divBdr>
        <w:top w:val="none" w:sz="0" w:space="0" w:color="auto"/>
        <w:left w:val="none" w:sz="0" w:space="0" w:color="auto"/>
        <w:bottom w:val="none" w:sz="0" w:space="0" w:color="auto"/>
        <w:right w:val="none" w:sz="0" w:space="0" w:color="auto"/>
      </w:divBdr>
    </w:div>
    <w:div w:id="1419444854">
      <w:bodyDiv w:val="1"/>
      <w:marLeft w:val="0"/>
      <w:marRight w:val="0"/>
      <w:marTop w:val="0"/>
      <w:marBottom w:val="0"/>
      <w:divBdr>
        <w:top w:val="none" w:sz="0" w:space="0" w:color="auto"/>
        <w:left w:val="none" w:sz="0" w:space="0" w:color="auto"/>
        <w:bottom w:val="none" w:sz="0" w:space="0" w:color="auto"/>
        <w:right w:val="none" w:sz="0" w:space="0" w:color="auto"/>
      </w:divBdr>
    </w:div>
    <w:div w:id="1490704751">
      <w:bodyDiv w:val="1"/>
      <w:marLeft w:val="0"/>
      <w:marRight w:val="0"/>
      <w:marTop w:val="0"/>
      <w:marBottom w:val="0"/>
      <w:divBdr>
        <w:top w:val="none" w:sz="0" w:space="0" w:color="auto"/>
        <w:left w:val="none" w:sz="0" w:space="0" w:color="auto"/>
        <w:bottom w:val="none" w:sz="0" w:space="0" w:color="auto"/>
        <w:right w:val="none" w:sz="0" w:space="0" w:color="auto"/>
      </w:divBdr>
    </w:div>
    <w:div w:id="1524130932">
      <w:bodyDiv w:val="1"/>
      <w:marLeft w:val="0"/>
      <w:marRight w:val="0"/>
      <w:marTop w:val="0"/>
      <w:marBottom w:val="0"/>
      <w:divBdr>
        <w:top w:val="none" w:sz="0" w:space="0" w:color="auto"/>
        <w:left w:val="none" w:sz="0" w:space="0" w:color="auto"/>
        <w:bottom w:val="none" w:sz="0" w:space="0" w:color="auto"/>
        <w:right w:val="none" w:sz="0" w:space="0" w:color="auto"/>
      </w:divBdr>
    </w:div>
    <w:div w:id="1528327805">
      <w:bodyDiv w:val="1"/>
      <w:marLeft w:val="0"/>
      <w:marRight w:val="0"/>
      <w:marTop w:val="0"/>
      <w:marBottom w:val="0"/>
      <w:divBdr>
        <w:top w:val="none" w:sz="0" w:space="0" w:color="auto"/>
        <w:left w:val="none" w:sz="0" w:space="0" w:color="auto"/>
        <w:bottom w:val="none" w:sz="0" w:space="0" w:color="auto"/>
        <w:right w:val="none" w:sz="0" w:space="0" w:color="auto"/>
      </w:divBdr>
    </w:div>
    <w:div w:id="1548568003">
      <w:bodyDiv w:val="1"/>
      <w:marLeft w:val="0"/>
      <w:marRight w:val="0"/>
      <w:marTop w:val="0"/>
      <w:marBottom w:val="0"/>
      <w:divBdr>
        <w:top w:val="none" w:sz="0" w:space="0" w:color="auto"/>
        <w:left w:val="none" w:sz="0" w:space="0" w:color="auto"/>
        <w:bottom w:val="none" w:sz="0" w:space="0" w:color="auto"/>
        <w:right w:val="none" w:sz="0" w:space="0" w:color="auto"/>
      </w:divBdr>
    </w:div>
    <w:div w:id="1576475866">
      <w:bodyDiv w:val="1"/>
      <w:marLeft w:val="0"/>
      <w:marRight w:val="0"/>
      <w:marTop w:val="0"/>
      <w:marBottom w:val="0"/>
      <w:divBdr>
        <w:top w:val="none" w:sz="0" w:space="0" w:color="auto"/>
        <w:left w:val="none" w:sz="0" w:space="0" w:color="auto"/>
        <w:bottom w:val="none" w:sz="0" w:space="0" w:color="auto"/>
        <w:right w:val="none" w:sz="0" w:space="0" w:color="auto"/>
      </w:divBdr>
    </w:div>
    <w:div w:id="1637249043">
      <w:bodyDiv w:val="1"/>
      <w:marLeft w:val="0"/>
      <w:marRight w:val="0"/>
      <w:marTop w:val="0"/>
      <w:marBottom w:val="0"/>
      <w:divBdr>
        <w:top w:val="none" w:sz="0" w:space="0" w:color="auto"/>
        <w:left w:val="none" w:sz="0" w:space="0" w:color="auto"/>
        <w:bottom w:val="none" w:sz="0" w:space="0" w:color="auto"/>
        <w:right w:val="none" w:sz="0" w:space="0" w:color="auto"/>
      </w:divBdr>
    </w:div>
    <w:div w:id="1649506410">
      <w:bodyDiv w:val="1"/>
      <w:marLeft w:val="0"/>
      <w:marRight w:val="0"/>
      <w:marTop w:val="0"/>
      <w:marBottom w:val="0"/>
      <w:divBdr>
        <w:top w:val="none" w:sz="0" w:space="0" w:color="auto"/>
        <w:left w:val="none" w:sz="0" w:space="0" w:color="auto"/>
        <w:bottom w:val="none" w:sz="0" w:space="0" w:color="auto"/>
        <w:right w:val="none" w:sz="0" w:space="0" w:color="auto"/>
      </w:divBdr>
    </w:div>
    <w:div w:id="1682006045">
      <w:bodyDiv w:val="1"/>
      <w:marLeft w:val="0"/>
      <w:marRight w:val="0"/>
      <w:marTop w:val="0"/>
      <w:marBottom w:val="0"/>
      <w:divBdr>
        <w:top w:val="none" w:sz="0" w:space="0" w:color="auto"/>
        <w:left w:val="none" w:sz="0" w:space="0" w:color="auto"/>
        <w:bottom w:val="none" w:sz="0" w:space="0" w:color="auto"/>
        <w:right w:val="none" w:sz="0" w:space="0" w:color="auto"/>
      </w:divBdr>
    </w:div>
    <w:div w:id="1721780150">
      <w:bodyDiv w:val="1"/>
      <w:marLeft w:val="0"/>
      <w:marRight w:val="0"/>
      <w:marTop w:val="0"/>
      <w:marBottom w:val="0"/>
      <w:divBdr>
        <w:top w:val="none" w:sz="0" w:space="0" w:color="auto"/>
        <w:left w:val="none" w:sz="0" w:space="0" w:color="auto"/>
        <w:bottom w:val="none" w:sz="0" w:space="0" w:color="auto"/>
        <w:right w:val="none" w:sz="0" w:space="0" w:color="auto"/>
      </w:divBdr>
    </w:div>
    <w:div w:id="1746339951">
      <w:bodyDiv w:val="1"/>
      <w:marLeft w:val="0"/>
      <w:marRight w:val="0"/>
      <w:marTop w:val="0"/>
      <w:marBottom w:val="0"/>
      <w:divBdr>
        <w:top w:val="none" w:sz="0" w:space="0" w:color="auto"/>
        <w:left w:val="none" w:sz="0" w:space="0" w:color="auto"/>
        <w:bottom w:val="none" w:sz="0" w:space="0" w:color="auto"/>
        <w:right w:val="none" w:sz="0" w:space="0" w:color="auto"/>
      </w:divBdr>
    </w:div>
    <w:div w:id="1750231200">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5713307">
      <w:bodyDiv w:val="1"/>
      <w:marLeft w:val="0"/>
      <w:marRight w:val="0"/>
      <w:marTop w:val="0"/>
      <w:marBottom w:val="0"/>
      <w:divBdr>
        <w:top w:val="none" w:sz="0" w:space="0" w:color="auto"/>
        <w:left w:val="none" w:sz="0" w:space="0" w:color="auto"/>
        <w:bottom w:val="none" w:sz="0" w:space="0" w:color="auto"/>
        <w:right w:val="none" w:sz="0" w:space="0" w:color="auto"/>
      </w:divBdr>
    </w:div>
    <w:div w:id="1800294364">
      <w:bodyDiv w:val="1"/>
      <w:marLeft w:val="0"/>
      <w:marRight w:val="0"/>
      <w:marTop w:val="0"/>
      <w:marBottom w:val="0"/>
      <w:divBdr>
        <w:top w:val="none" w:sz="0" w:space="0" w:color="auto"/>
        <w:left w:val="none" w:sz="0" w:space="0" w:color="auto"/>
        <w:bottom w:val="none" w:sz="0" w:space="0" w:color="auto"/>
        <w:right w:val="none" w:sz="0" w:space="0" w:color="auto"/>
      </w:divBdr>
    </w:div>
    <w:div w:id="1811048431">
      <w:bodyDiv w:val="1"/>
      <w:marLeft w:val="0"/>
      <w:marRight w:val="0"/>
      <w:marTop w:val="0"/>
      <w:marBottom w:val="0"/>
      <w:divBdr>
        <w:top w:val="none" w:sz="0" w:space="0" w:color="auto"/>
        <w:left w:val="none" w:sz="0" w:space="0" w:color="auto"/>
        <w:bottom w:val="none" w:sz="0" w:space="0" w:color="auto"/>
        <w:right w:val="none" w:sz="0" w:space="0" w:color="auto"/>
      </w:divBdr>
    </w:div>
    <w:div w:id="1831168088">
      <w:bodyDiv w:val="1"/>
      <w:marLeft w:val="0"/>
      <w:marRight w:val="0"/>
      <w:marTop w:val="0"/>
      <w:marBottom w:val="0"/>
      <w:divBdr>
        <w:top w:val="none" w:sz="0" w:space="0" w:color="auto"/>
        <w:left w:val="none" w:sz="0" w:space="0" w:color="auto"/>
        <w:bottom w:val="none" w:sz="0" w:space="0" w:color="auto"/>
        <w:right w:val="none" w:sz="0" w:space="0" w:color="auto"/>
      </w:divBdr>
    </w:div>
    <w:div w:id="1837769808">
      <w:bodyDiv w:val="1"/>
      <w:marLeft w:val="0"/>
      <w:marRight w:val="0"/>
      <w:marTop w:val="0"/>
      <w:marBottom w:val="0"/>
      <w:divBdr>
        <w:top w:val="none" w:sz="0" w:space="0" w:color="auto"/>
        <w:left w:val="none" w:sz="0" w:space="0" w:color="auto"/>
        <w:bottom w:val="none" w:sz="0" w:space="0" w:color="auto"/>
        <w:right w:val="none" w:sz="0" w:space="0" w:color="auto"/>
      </w:divBdr>
    </w:div>
    <w:div w:id="1865361775">
      <w:bodyDiv w:val="1"/>
      <w:marLeft w:val="0"/>
      <w:marRight w:val="0"/>
      <w:marTop w:val="0"/>
      <w:marBottom w:val="0"/>
      <w:divBdr>
        <w:top w:val="none" w:sz="0" w:space="0" w:color="auto"/>
        <w:left w:val="none" w:sz="0" w:space="0" w:color="auto"/>
        <w:bottom w:val="none" w:sz="0" w:space="0" w:color="auto"/>
        <w:right w:val="none" w:sz="0" w:space="0" w:color="auto"/>
      </w:divBdr>
    </w:div>
    <w:div w:id="1887257834">
      <w:bodyDiv w:val="1"/>
      <w:marLeft w:val="0"/>
      <w:marRight w:val="0"/>
      <w:marTop w:val="0"/>
      <w:marBottom w:val="0"/>
      <w:divBdr>
        <w:top w:val="none" w:sz="0" w:space="0" w:color="auto"/>
        <w:left w:val="none" w:sz="0" w:space="0" w:color="auto"/>
        <w:bottom w:val="none" w:sz="0" w:space="0" w:color="auto"/>
        <w:right w:val="none" w:sz="0" w:space="0" w:color="auto"/>
      </w:divBdr>
    </w:div>
    <w:div w:id="1892881718">
      <w:bodyDiv w:val="1"/>
      <w:marLeft w:val="0"/>
      <w:marRight w:val="0"/>
      <w:marTop w:val="0"/>
      <w:marBottom w:val="0"/>
      <w:divBdr>
        <w:top w:val="none" w:sz="0" w:space="0" w:color="auto"/>
        <w:left w:val="none" w:sz="0" w:space="0" w:color="auto"/>
        <w:bottom w:val="none" w:sz="0" w:space="0" w:color="auto"/>
        <w:right w:val="none" w:sz="0" w:space="0" w:color="auto"/>
      </w:divBdr>
    </w:div>
    <w:div w:id="1896964637">
      <w:bodyDiv w:val="1"/>
      <w:marLeft w:val="0"/>
      <w:marRight w:val="0"/>
      <w:marTop w:val="0"/>
      <w:marBottom w:val="0"/>
      <w:divBdr>
        <w:top w:val="none" w:sz="0" w:space="0" w:color="auto"/>
        <w:left w:val="none" w:sz="0" w:space="0" w:color="auto"/>
        <w:bottom w:val="none" w:sz="0" w:space="0" w:color="auto"/>
        <w:right w:val="none" w:sz="0" w:space="0" w:color="auto"/>
      </w:divBdr>
    </w:div>
    <w:div w:id="1927180279">
      <w:bodyDiv w:val="1"/>
      <w:marLeft w:val="0"/>
      <w:marRight w:val="0"/>
      <w:marTop w:val="0"/>
      <w:marBottom w:val="0"/>
      <w:divBdr>
        <w:top w:val="none" w:sz="0" w:space="0" w:color="auto"/>
        <w:left w:val="none" w:sz="0" w:space="0" w:color="auto"/>
        <w:bottom w:val="none" w:sz="0" w:space="0" w:color="auto"/>
        <w:right w:val="none" w:sz="0" w:space="0" w:color="auto"/>
      </w:divBdr>
    </w:div>
    <w:div w:id="1948391515">
      <w:bodyDiv w:val="1"/>
      <w:marLeft w:val="0"/>
      <w:marRight w:val="0"/>
      <w:marTop w:val="0"/>
      <w:marBottom w:val="0"/>
      <w:divBdr>
        <w:top w:val="none" w:sz="0" w:space="0" w:color="auto"/>
        <w:left w:val="none" w:sz="0" w:space="0" w:color="auto"/>
        <w:bottom w:val="none" w:sz="0" w:space="0" w:color="auto"/>
        <w:right w:val="none" w:sz="0" w:space="0" w:color="auto"/>
      </w:divBdr>
    </w:div>
    <w:div w:id="1950046023">
      <w:bodyDiv w:val="1"/>
      <w:marLeft w:val="0"/>
      <w:marRight w:val="0"/>
      <w:marTop w:val="0"/>
      <w:marBottom w:val="0"/>
      <w:divBdr>
        <w:top w:val="none" w:sz="0" w:space="0" w:color="auto"/>
        <w:left w:val="none" w:sz="0" w:space="0" w:color="auto"/>
        <w:bottom w:val="none" w:sz="0" w:space="0" w:color="auto"/>
        <w:right w:val="none" w:sz="0" w:space="0" w:color="auto"/>
      </w:divBdr>
    </w:div>
    <w:div w:id="1953899965">
      <w:bodyDiv w:val="1"/>
      <w:marLeft w:val="0"/>
      <w:marRight w:val="0"/>
      <w:marTop w:val="0"/>
      <w:marBottom w:val="0"/>
      <w:divBdr>
        <w:top w:val="none" w:sz="0" w:space="0" w:color="auto"/>
        <w:left w:val="none" w:sz="0" w:space="0" w:color="auto"/>
        <w:bottom w:val="none" w:sz="0" w:space="0" w:color="auto"/>
        <w:right w:val="none" w:sz="0" w:space="0" w:color="auto"/>
      </w:divBdr>
    </w:div>
    <w:div w:id="1990087321">
      <w:bodyDiv w:val="1"/>
      <w:marLeft w:val="0"/>
      <w:marRight w:val="0"/>
      <w:marTop w:val="0"/>
      <w:marBottom w:val="0"/>
      <w:divBdr>
        <w:top w:val="none" w:sz="0" w:space="0" w:color="auto"/>
        <w:left w:val="none" w:sz="0" w:space="0" w:color="auto"/>
        <w:bottom w:val="none" w:sz="0" w:space="0" w:color="auto"/>
        <w:right w:val="none" w:sz="0" w:space="0" w:color="auto"/>
      </w:divBdr>
    </w:div>
    <w:div w:id="1996839573">
      <w:bodyDiv w:val="1"/>
      <w:marLeft w:val="0"/>
      <w:marRight w:val="0"/>
      <w:marTop w:val="0"/>
      <w:marBottom w:val="0"/>
      <w:divBdr>
        <w:top w:val="none" w:sz="0" w:space="0" w:color="auto"/>
        <w:left w:val="none" w:sz="0" w:space="0" w:color="auto"/>
        <w:bottom w:val="none" w:sz="0" w:space="0" w:color="auto"/>
        <w:right w:val="none" w:sz="0" w:space="0" w:color="auto"/>
      </w:divBdr>
    </w:div>
    <w:div w:id="2021008832">
      <w:bodyDiv w:val="1"/>
      <w:marLeft w:val="0"/>
      <w:marRight w:val="0"/>
      <w:marTop w:val="0"/>
      <w:marBottom w:val="0"/>
      <w:divBdr>
        <w:top w:val="none" w:sz="0" w:space="0" w:color="auto"/>
        <w:left w:val="none" w:sz="0" w:space="0" w:color="auto"/>
        <w:bottom w:val="none" w:sz="0" w:space="0" w:color="auto"/>
        <w:right w:val="none" w:sz="0" w:space="0" w:color="auto"/>
      </w:divBdr>
    </w:div>
    <w:div w:id="2054185494">
      <w:bodyDiv w:val="1"/>
      <w:marLeft w:val="0"/>
      <w:marRight w:val="0"/>
      <w:marTop w:val="0"/>
      <w:marBottom w:val="0"/>
      <w:divBdr>
        <w:top w:val="none" w:sz="0" w:space="0" w:color="auto"/>
        <w:left w:val="none" w:sz="0" w:space="0" w:color="auto"/>
        <w:bottom w:val="none" w:sz="0" w:space="0" w:color="auto"/>
        <w:right w:val="none" w:sz="0" w:space="0" w:color="auto"/>
      </w:divBdr>
    </w:div>
    <w:div w:id="2059275086">
      <w:bodyDiv w:val="1"/>
      <w:marLeft w:val="0"/>
      <w:marRight w:val="0"/>
      <w:marTop w:val="0"/>
      <w:marBottom w:val="0"/>
      <w:divBdr>
        <w:top w:val="none" w:sz="0" w:space="0" w:color="auto"/>
        <w:left w:val="none" w:sz="0" w:space="0" w:color="auto"/>
        <w:bottom w:val="none" w:sz="0" w:space="0" w:color="auto"/>
        <w:right w:val="none" w:sz="0" w:space="0" w:color="auto"/>
      </w:divBdr>
    </w:div>
    <w:div w:id="2060588494">
      <w:bodyDiv w:val="1"/>
      <w:marLeft w:val="0"/>
      <w:marRight w:val="0"/>
      <w:marTop w:val="0"/>
      <w:marBottom w:val="0"/>
      <w:divBdr>
        <w:top w:val="none" w:sz="0" w:space="0" w:color="auto"/>
        <w:left w:val="none" w:sz="0" w:space="0" w:color="auto"/>
        <w:bottom w:val="none" w:sz="0" w:space="0" w:color="auto"/>
        <w:right w:val="none" w:sz="0" w:space="0" w:color="auto"/>
      </w:divBdr>
    </w:div>
    <w:div w:id="2085031707">
      <w:bodyDiv w:val="1"/>
      <w:marLeft w:val="0"/>
      <w:marRight w:val="0"/>
      <w:marTop w:val="0"/>
      <w:marBottom w:val="0"/>
      <w:divBdr>
        <w:top w:val="none" w:sz="0" w:space="0" w:color="auto"/>
        <w:left w:val="none" w:sz="0" w:space="0" w:color="auto"/>
        <w:bottom w:val="none" w:sz="0" w:space="0" w:color="auto"/>
        <w:right w:val="none" w:sz="0" w:space="0" w:color="auto"/>
      </w:divBdr>
    </w:div>
    <w:div w:id="21037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cholarship.org/uc/item/2qs2w3rb"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progressonline.org.uk/2014/02/03/inside-the-tory-mind-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aw-rhodes.co.uk/" TargetMode="External"/><Relationship Id="rId4" Type="http://schemas.openxmlformats.org/officeDocument/2006/relationships/webSettings" Target="webSettings.xml"/><Relationship Id="rId9" Type="http://schemas.openxmlformats.org/officeDocument/2006/relationships/hyperlink" Target="http://www.parliament.uk/business/publications/business-papers/commons/deposited-papers/?max=10&amp;y=1999&amp;search_term=Prime+Minister&amp;itemId=12054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m-treasury.gov.uk/psf_statistics.htm" TargetMode="External"/><Relationship Id="rId2" Type="http://schemas.openxmlformats.org/officeDocument/2006/relationships/hyperlink" Target="http://budgetresponsibility.org.uk/category/publications/" TargetMode="External"/><Relationship Id="rId1" Type="http://schemas.openxmlformats.org/officeDocument/2006/relationships/hyperlink" Target="http://www.if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23B623EFCA4D7FA969C5D6755E0954"/>
        <w:category>
          <w:name w:val="General"/>
          <w:gallery w:val="placeholder"/>
        </w:category>
        <w:types>
          <w:type w:val="bbPlcHdr"/>
        </w:types>
        <w:behaviors>
          <w:behavior w:val="content"/>
        </w:behaviors>
        <w:guid w:val="{4147D383-4D1B-4CDB-83CA-2D7CA7F3B989}"/>
      </w:docPartPr>
      <w:docPartBody>
        <w:p w:rsidR="00CE409E" w:rsidRDefault="00CE409E" w:rsidP="00CE409E">
          <w:pPr>
            <w:pStyle w:val="F523B623EFCA4D7FA969C5D6755E0954"/>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MinionExp-Regular">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9E"/>
    <w:rsid w:val="004B5E88"/>
    <w:rsid w:val="006005C6"/>
    <w:rsid w:val="008C347E"/>
    <w:rsid w:val="00967E6C"/>
    <w:rsid w:val="00AF0727"/>
    <w:rsid w:val="00CE40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23B623EFCA4D7FA969C5D6755E0954">
    <w:name w:val="F523B623EFCA4D7FA969C5D6755E0954"/>
    <w:rsid w:val="00CE4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8034</Words>
  <Characters>45800</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Understanding governance: 20 years on</vt:lpstr>
    </vt:vector>
  </TitlesOfParts>
  <Company>University of Southampton</Company>
  <LinksUpToDate>false</LinksUpToDate>
  <CharactersWithSpaces>53727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governance: 20 years on</dc:title>
  <dc:creator>Rhodes R.A.</dc:creator>
  <cp:lastModifiedBy>de Montfalcon S.P.</cp:lastModifiedBy>
  <cp:revision>2</cp:revision>
  <dcterms:created xsi:type="dcterms:W3CDTF">2017-12-22T14:30:00Z</dcterms:created>
  <dcterms:modified xsi:type="dcterms:W3CDTF">2017-12-22T14:30:00Z</dcterms:modified>
</cp:coreProperties>
</file>