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86B9C" w14:textId="243D9A77" w:rsidR="00974BA4" w:rsidRPr="00034439" w:rsidRDefault="00454A4C" w:rsidP="0080453E">
      <w:pPr>
        <w:tabs>
          <w:tab w:val="left" w:pos="6237"/>
        </w:tabs>
        <w:spacing w:after="0" w:line="360" w:lineRule="auto"/>
        <w:rPr>
          <w:b/>
          <w:bCs/>
        </w:rPr>
      </w:pPr>
      <w:bookmarkStart w:id="0" w:name="_GoBack"/>
      <w:bookmarkEnd w:id="0"/>
      <w:r>
        <w:rPr>
          <w:b/>
          <w:bCs/>
        </w:rPr>
        <w:t>The urgent need for a</w:t>
      </w:r>
      <w:r w:rsidR="00B662FE" w:rsidRPr="00034439">
        <w:rPr>
          <w:b/>
          <w:bCs/>
        </w:rPr>
        <w:t xml:space="preserve"> </w:t>
      </w:r>
      <w:r w:rsidRPr="00034439">
        <w:rPr>
          <w:b/>
          <w:bCs/>
        </w:rPr>
        <w:t>harmoni</w:t>
      </w:r>
      <w:r>
        <w:rPr>
          <w:b/>
          <w:bCs/>
        </w:rPr>
        <w:t>z</w:t>
      </w:r>
      <w:r w:rsidRPr="00034439">
        <w:rPr>
          <w:b/>
          <w:bCs/>
        </w:rPr>
        <w:t xml:space="preserve">ed </w:t>
      </w:r>
      <w:r w:rsidR="00BA01F7" w:rsidRPr="00034439">
        <w:rPr>
          <w:b/>
          <w:bCs/>
        </w:rPr>
        <w:t xml:space="preserve">severity </w:t>
      </w:r>
      <w:r w:rsidR="00974BA4" w:rsidRPr="00034439">
        <w:rPr>
          <w:b/>
          <w:bCs/>
        </w:rPr>
        <w:t xml:space="preserve">scoring system for </w:t>
      </w:r>
      <w:r w:rsidR="001F7185" w:rsidRPr="00034439">
        <w:rPr>
          <w:b/>
          <w:bCs/>
        </w:rPr>
        <w:t xml:space="preserve">acute </w:t>
      </w:r>
      <w:r w:rsidR="00974BA4" w:rsidRPr="00034439">
        <w:rPr>
          <w:b/>
          <w:bCs/>
        </w:rPr>
        <w:t>allergic reactions</w:t>
      </w:r>
    </w:p>
    <w:p w14:paraId="17E519AA" w14:textId="77777777" w:rsidR="00A90720" w:rsidRPr="00034439" w:rsidRDefault="00A90720" w:rsidP="0080453E">
      <w:pPr>
        <w:spacing w:after="0" w:line="360" w:lineRule="auto"/>
      </w:pPr>
    </w:p>
    <w:p w14:paraId="4B164801" w14:textId="74BBC6CF" w:rsidR="00317BCE" w:rsidRPr="00034439" w:rsidRDefault="00974BA4" w:rsidP="0080453E">
      <w:pPr>
        <w:spacing w:after="0" w:line="360" w:lineRule="auto"/>
        <w:jc w:val="both"/>
        <w:rPr>
          <w:lang w:eastAsia="en-US"/>
        </w:rPr>
      </w:pPr>
      <w:r w:rsidRPr="00034439">
        <w:rPr>
          <w:b/>
          <w:bCs/>
        </w:rPr>
        <w:t>Authors</w:t>
      </w:r>
      <w:r w:rsidR="0098784E" w:rsidRPr="00034439">
        <w:rPr>
          <w:b/>
          <w:bCs/>
        </w:rPr>
        <w:t xml:space="preserve">: </w:t>
      </w:r>
      <w:r w:rsidR="00317BCE" w:rsidRPr="00034439">
        <w:t>Antonella Muraro</w:t>
      </w:r>
      <w:r w:rsidR="00FE7AFB" w:rsidRPr="00034439">
        <w:rPr>
          <w:vertAlign w:val="superscript"/>
        </w:rPr>
        <w:t>1</w:t>
      </w:r>
      <w:r w:rsidR="00317BCE" w:rsidRPr="00034439">
        <w:t>*, Montserrat Fernandez-Rivas</w:t>
      </w:r>
      <w:r w:rsidR="00FE7AFB" w:rsidRPr="00034439">
        <w:rPr>
          <w:vertAlign w:val="superscript"/>
        </w:rPr>
        <w:t>2</w:t>
      </w:r>
      <w:r w:rsidR="00317BCE" w:rsidRPr="00034439">
        <w:t xml:space="preserve">*, </w:t>
      </w:r>
      <w:r w:rsidR="00317BCE" w:rsidRPr="00AE7A5C">
        <w:t>Kirsten Beyer</w:t>
      </w:r>
      <w:r w:rsidR="00FE7AFB" w:rsidRPr="00AE7A5C">
        <w:rPr>
          <w:vertAlign w:val="superscript"/>
        </w:rPr>
        <w:t>3</w:t>
      </w:r>
      <w:r w:rsidR="00317BCE" w:rsidRPr="00AE7A5C">
        <w:t xml:space="preserve">, </w:t>
      </w:r>
      <w:r w:rsidR="00317BCE" w:rsidRPr="00034439">
        <w:t>Victòria Cardona</w:t>
      </w:r>
      <w:r w:rsidR="00FE7AFB" w:rsidRPr="00034439">
        <w:rPr>
          <w:vertAlign w:val="superscript"/>
        </w:rPr>
        <w:t>4</w:t>
      </w:r>
      <w:r w:rsidR="00317BCE" w:rsidRPr="005F5E14">
        <w:t xml:space="preserve">, </w:t>
      </w:r>
      <w:r w:rsidR="001E4895" w:rsidRPr="00034439">
        <w:t>Andrew Clark</w:t>
      </w:r>
      <w:r w:rsidR="00FE7AFB" w:rsidRPr="00034439">
        <w:rPr>
          <w:vertAlign w:val="superscript"/>
        </w:rPr>
        <w:t>5</w:t>
      </w:r>
      <w:r w:rsidR="001E4895" w:rsidRPr="00034439">
        <w:t xml:space="preserve">, </w:t>
      </w:r>
      <w:r w:rsidR="00317BCE" w:rsidRPr="00AE7A5C">
        <w:t>Esben Eller</w:t>
      </w:r>
      <w:r w:rsidR="00FE7AFB" w:rsidRPr="00AE7A5C">
        <w:rPr>
          <w:vertAlign w:val="superscript"/>
        </w:rPr>
        <w:t>6</w:t>
      </w:r>
      <w:r w:rsidR="00317BCE" w:rsidRPr="00AE7A5C">
        <w:t xml:space="preserve">, </w:t>
      </w:r>
      <w:r w:rsidR="00317BCE" w:rsidRPr="00034439">
        <w:t>Jonathan O’B Hourihane</w:t>
      </w:r>
      <w:r w:rsidR="00FE7AFB" w:rsidRPr="00034439">
        <w:rPr>
          <w:vertAlign w:val="superscript"/>
        </w:rPr>
        <w:t>7</w:t>
      </w:r>
      <w:r w:rsidR="00317BCE" w:rsidRPr="005F5E14">
        <w:t>, Marek Jutel</w:t>
      </w:r>
      <w:r w:rsidR="00FE7AFB" w:rsidRPr="00034439">
        <w:rPr>
          <w:vertAlign w:val="superscript"/>
        </w:rPr>
        <w:t>8</w:t>
      </w:r>
      <w:r w:rsidR="00317BCE" w:rsidRPr="00034439">
        <w:t>, Aziz Sheikh</w:t>
      </w:r>
      <w:r w:rsidR="00FE7AFB" w:rsidRPr="00034439">
        <w:rPr>
          <w:vertAlign w:val="superscript"/>
        </w:rPr>
        <w:t>9</w:t>
      </w:r>
      <w:r w:rsidR="00317BCE" w:rsidRPr="00034439">
        <w:t>, Ioana Agache</w:t>
      </w:r>
      <w:r w:rsidR="00FE7AFB" w:rsidRPr="00034439">
        <w:rPr>
          <w:vertAlign w:val="superscript"/>
        </w:rPr>
        <w:t>10</w:t>
      </w:r>
      <w:r w:rsidR="00317BCE" w:rsidRPr="00034439">
        <w:t>, Katrina J Allen</w:t>
      </w:r>
      <w:r w:rsidR="00FE7AFB" w:rsidRPr="00AE7A5C">
        <w:rPr>
          <w:vertAlign w:val="superscript"/>
        </w:rPr>
        <w:t>11</w:t>
      </w:r>
      <w:r w:rsidR="00317BCE" w:rsidRPr="00AE7A5C">
        <w:t>, Liz Angier</w:t>
      </w:r>
      <w:r w:rsidR="00FE7AFB" w:rsidRPr="00AE7A5C">
        <w:rPr>
          <w:vertAlign w:val="superscript"/>
        </w:rPr>
        <w:t>12</w:t>
      </w:r>
      <w:r w:rsidR="00317BCE" w:rsidRPr="00AE7A5C">
        <w:t>, Barbara Ballmer-Weber</w:t>
      </w:r>
      <w:r w:rsidR="00FE7AFB" w:rsidRPr="00AE7A5C">
        <w:rPr>
          <w:vertAlign w:val="superscript"/>
        </w:rPr>
        <w:t>13</w:t>
      </w:r>
      <w:r w:rsidR="00317BCE" w:rsidRPr="00AE7A5C">
        <w:t xml:space="preserve">, </w:t>
      </w:r>
      <w:r w:rsidR="00317BCE" w:rsidRPr="00034439">
        <w:t>Maria Beatrice Bilò</w:t>
      </w:r>
      <w:r w:rsidR="00FE7AFB" w:rsidRPr="00034439">
        <w:rPr>
          <w:vertAlign w:val="superscript"/>
        </w:rPr>
        <w:t>14</w:t>
      </w:r>
      <w:r w:rsidR="00317BCE" w:rsidRPr="005F5E14">
        <w:t>, Carsten Bindslev-Jensen</w:t>
      </w:r>
      <w:r w:rsidR="00FE7AFB" w:rsidRPr="00034439">
        <w:rPr>
          <w:vertAlign w:val="superscript"/>
        </w:rPr>
        <w:t>6</w:t>
      </w:r>
      <w:r w:rsidR="00317BCE" w:rsidRPr="00034439">
        <w:t xml:space="preserve">, </w:t>
      </w:r>
      <w:r w:rsidR="00444840" w:rsidRPr="00444840">
        <w:t xml:space="preserve">Carlos A. Camargo, Jr </w:t>
      </w:r>
      <w:r w:rsidR="00FE7AFB" w:rsidRPr="00034439">
        <w:rPr>
          <w:vertAlign w:val="superscript"/>
        </w:rPr>
        <w:t>15</w:t>
      </w:r>
      <w:r w:rsidR="00967B55" w:rsidRPr="00034439">
        <w:t xml:space="preserve">, </w:t>
      </w:r>
      <w:r w:rsidR="00317BCE" w:rsidRPr="00034439">
        <w:t>Antonella Cianferoni</w:t>
      </w:r>
      <w:r w:rsidR="00FE7AFB" w:rsidRPr="00034439">
        <w:rPr>
          <w:vertAlign w:val="superscript"/>
        </w:rPr>
        <w:t>16</w:t>
      </w:r>
      <w:r w:rsidR="00317BCE" w:rsidRPr="00034439">
        <w:t>, Audrey DunnGalvin</w:t>
      </w:r>
      <w:r w:rsidR="00FE7AFB" w:rsidRPr="00034439">
        <w:rPr>
          <w:vertAlign w:val="superscript"/>
        </w:rPr>
        <w:t>7</w:t>
      </w:r>
      <w:r w:rsidR="00317BCE" w:rsidRPr="00034439">
        <w:t>, Philippe A Eigenmann</w:t>
      </w:r>
      <w:r w:rsidR="00FE7AFB" w:rsidRPr="00034439">
        <w:rPr>
          <w:vertAlign w:val="superscript"/>
        </w:rPr>
        <w:t>17</w:t>
      </w:r>
      <w:r w:rsidR="00317BCE" w:rsidRPr="00034439">
        <w:t xml:space="preserve">, </w:t>
      </w:r>
      <w:r w:rsidR="00A22D2F" w:rsidRPr="00034439">
        <w:t>Susanne Halken</w:t>
      </w:r>
      <w:r w:rsidR="00A22D2F" w:rsidRPr="00034439">
        <w:rPr>
          <w:vertAlign w:val="superscript"/>
        </w:rPr>
        <w:t>18</w:t>
      </w:r>
      <w:r w:rsidR="00317BCE" w:rsidRPr="00034439">
        <w:t>,</w:t>
      </w:r>
      <w:r w:rsidR="00A22D2F" w:rsidRPr="00034439">
        <w:t xml:space="preserve"> </w:t>
      </w:r>
      <w:r w:rsidR="00317BCE" w:rsidRPr="00034439">
        <w:t>Karin Hoffmann-Sommergruber</w:t>
      </w:r>
      <w:r w:rsidR="00FE7AFB" w:rsidRPr="00034439">
        <w:rPr>
          <w:vertAlign w:val="superscript"/>
        </w:rPr>
        <w:t>1</w:t>
      </w:r>
      <w:r w:rsidR="00A22D2F" w:rsidRPr="00034439">
        <w:rPr>
          <w:vertAlign w:val="superscript"/>
        </w:rPr>
        <w:t>9</w:t>
      </w:r>
      <w:r w:rsidR="00317BCE" w:rsidRPr="00034439">
        <w:t>, Susanne Lau</w:t>
      </w:r>
      <w:r w:rsidR="00A22D2F" w:rsidRPr="00034439">
        <w:rPr>
          <w:vertAlign w:val="superscript"/>
        </w:rPr>
        <w:t>20</w:t>
      </w:r>
      <w:r w:rsidR="00317BCE" w:rsidRPr="00034439">
        <w:t>, Caroline Nilsson</w:t>
      </w:r>
      <w:r w:rsidR="00FE7AFB" w:rsidRPr="00034439">
        <w:rPr>
          <w:vertAlign w:val="superscript"/>
        </w:rPr>
        <w:t>2</w:t>
      </w:r>
      <w:r w:rsidR="00A22D2F" w:rsidRPr="00034439">
        <w:rPr>
          <w:vertAlign w:val="superscript"/>
        </w:rPr>
        <w:t>1</w:t>
      </w:r>
      <w:r w:rsidR="00317BCE" w:rsidRPr="00034439">
        <w:t>, Lars K. Poulsen</w:t>
      </w:r>
      <w:r w:rsidR="00FE7AFB" w:rsidRPr="00034439">
        <w:rPr>
          <w:vertAlign w:val="superscript"/>
        </w:rPr>
        <w:t>2</w:t>
      </w:r>
      <w:r w:rsidR="00A22D2F" w:rsidRPr="00034439">
        <w:rPr>
          <w:vertAlign w:val="superscript"/>
        </w:rPr>
        <w:t>2</w:t>
      </w:r>
      <w:r w:rsidR="00317BCE" w:rsidRPr="00034439">
        <w:t>, Franziska Rueff</w:t>
      </w:r>
      <w:r w:rsidR="00FE7AFB" w:rsidRPr="00AE7A5C">
        <w:rPr>
          <w:vertAlign w:val="superscript"/>
        </w:rPr>
        <w:t>2</w:t>
      </w:r>
      <w:r w:rsidR="00A22D2F" w:rsidRPr="00AE7A5C">
        <w:rPr>
          <w:vertAlign w:val="superscript"/>
        </w:rPr>
        <w:t>3</w:t>
      </w:r>
      <w:r w:rsidR="00317BCE" w:rsidRPr="00AE7A5C">
        <w:t xml:space="preserve">, </w:t>
      </w:r>
      <w:r w:rsidR="00317BCE" w:rsidRPr="00034439">
        <w:t>Jonathan Spergel</w:t>
      </w:r>
      <w:r w:rsidR="00FE7AFB" w:rsidRPr="00034439">
        <w:rPr>
          <w:vertAlign w:val="superscript"/>
        </w:rPr>
        <w:t>2</w:t>
      </w:r>
      <w:r w:rsidR="00A22D2F" w:rsidRPr="005F5E14">
        <w:rPr>
          <w:vertAlign w:val="superscript"/>
        </w:rPr>
        <w:t>4</w:t>
      </w:r>
      <w:r w:rsidR="00317BCE" w:rsidRPr="00034439">
        <w:t>, Gunter Sturm</w:t>
      </w:r>
      <w:r w:rsidR="00FE7AFB" w:rsidRPr="00034439">
        <w:rPr>
          <w:vertAlign w:val="superscript"/>
        </w:rPr>
        <w:t>2</w:t>
      </w:r>
      <w:r w:rsidR="00A22D2F" w:rsidRPr="00034439">
        <w:rPr>
          <w:vertAlign w:val="superscript"/>
        </w:rPr>
        <w:t>5</w:t>
      </w:r>
      <w:r w:rsidR="00317BCE" w:rsidRPr="00034439">
        <w:t>, Frans Timmermans</w:t>
      </w:r>
      <w:r w:rsidR="00FE7AFB" w:rsidRPr="00034439">
        <w:rPr>
          <w:vertAlign w:val="superscript"/>
        </w:rPr>
        <w:t>2</w:t>
      </w:r>
      <w:r w:rsidR="00A22D2F" w:rsidRPr="00034439">
        <w:rPr>
          <w:vertAlign w:val="superscript"/>
        </w:rPr>
        <w:t>6</w:t>
      </w:r>
      <w:r w:rsidR="00317BCE" w:rsidRPr="00034439">
        <w:t>, Maria J Torres</w:t>
      </w:r>
      <w:r w:rsidR="00FE7AFB" w:rsidRPr="00034439">
        <w:rPr>
          <w:vertAlign w:val="superscript"/>
        </w:rPr>
        <w:t>2</w:t>
      </w:r>
      <w:r w:rsidR="00A22D2F" w:rsidRPr="00034439">
        <w:rPr>
          <w:vertAlign w:val="superscript"/>
        </w:rPr>
        <w:t>7</w:t>
      </w:r>
      <w:r w:rsidR="00317BCE" w:rsidRPr="00034439">
        <w:t>, Paul Turner</w:t>
      </w:r>
      <w:r w:rsidR="00FE7AFB" w:rsidRPr="00034439">
        <w:rPr>
          <w:vertAlign w:val="superscript"/>
        </w:rPr>
        <w:t>2</w:t>
      </w:r>
      <w:r w:rsidR="00A22D2F" w:rsidRPr="00034439">
        <w:rPr>
          <w:vertAlign w:val="superscript"/>
        </w:rPr>
        <w:t>8</w:t>
      </w:r>
      <w:r w:rsidR="00317BCE" w:rsidRPr="00034439">
        <w:t xml:space="preserve">, </w:t>
      </w:r>
      <w:r w:rsidR="00967B55" w:rsidRPr="00034439">
        <w:t>Ronald van Ree</w:t>
      </w:r>
      <w:r w:rsidR="00FE7AFB" w:rsidRPr="00034439">
        <w:rPr>
          <w:vertAlign w:val="superscript"/>
        </w:rPr>
        <w:t>2</w:t>
      </w:r>
      <w:r w:rsidR="00A22D2F" w:rsidRPr="00034439">
        <w:rPr>
          <w:vertAlign w:val="superscript"/>
        </w:rPr>
        <w:t>9</w:t>
      </w:r>
      <w:r w:rsidR="00967B55" w:rsidRPr="00034439">
        <w:t xml:space="preserve">, </w:t>
      </w:r>
      <w:r w:rsidR="00EE2F69" w:rsidRPr="00034439">
        <w:rPr>
          <w:iCs/>
        </w:rPr>
        <w:t>Magnus Wickman</w:t>
      </w:r>
      <w:r w:rsidR="00EE2F69" w:rsidRPr="00034439">
        <w:rPr>
          <w:iCs/>
          <w:vertAlign w:val="superscript"/>
        </w:rPr>
        <w:t>30</w:t>
      </w:r>
      <w:r w:rsidR="00EE2F69" w:rsidRPr="00034439">
        <w:rPr>
          <w:i/>
          <w:iCs/>
        </w:rPr>
        <w:t xml:space="preserve">,  </w:t>
      </w:r>
      <w:r w:rsidR="00317BCE" w:rsidRPr="00034439">
        <w:t>Margit</w:t>
      </w:r>
      <w:r w:rsidR="001E3E64">
        <w:t>t</w:t>
      </w:r>
      <w:r w:rsidR="00317BCE" w:rsidRPr="00034439">
        <w:t>a Worm</w:t>
      </w:r>
      <w:r w:rsidR="00A22D2F" w:rsidRPr="00034439">
        <w:rPr>
          <w:vertAlign w:val="superscript"/>
        </w:rPr>
        <w:t>3</w:t>
      </w:r>
      <w:r w:rsidR="00EE2F69" w:rsidRPr="00034439">
        <w:rPr>
          <w:vertAlign w:val="superscript"/>
        </w:rPr>
        <w:t>1</w:t>
      </w:r>
      <w:r w:rsidR="00317BCE" w:rsidRPr="00034439">
        <w:t>, E. N. Clare Mills</w:t>
      </w:r>
      <w:r w:rsidR="00FE7AFB" w:rsidRPr="00034439">
        <w:rPr>
          <w:vertAlign w:val="superscript"/>
        </w:rPr>
        <w:t>3</w:t>
      </w:r>
      <w:r w:rsidR="00EE2F69" w:rsidRPr="00034439">
        <w:rPr>
          <w:vertAlign w:val="superscript"/>
        </w:rPr>
        <w:t>2</w:t>
      </w:r>
      <w:r w:rsidR="00317BCE" w:rsidRPr="00034439">
        <w:t>*, Graham Roberts</w:t>
      </w:r>
      <w:r w:rsidR="00FE7AFB" w:rsidRPr="00034439">
        <w:rPr>
          <w:vertAlign w:val="superscript"/>
        </w:rPr>
        <w:t>3</w:t>
      </w:r>
      <w:r w:rsidR="00EE2F69" w:rsidRPr="00034439">
        <w:rPr>
          <w:vertAlign w:val="superscript"/>
        </w:rPr>
        <w:t>3</w:t>
      </w:r>
      <w:r w:rsidR="00FE7AFB" w:rsidRPr="00034439">
        <w:rPr>
          <w:vertAlign w:val="superscript"/>
        </w:rPr>
        <w:t>-3</w:t>
      </w:r>
      <w:r w:rsidR="00EE2F69" w:rsidRPr="00034439">
        <w:rPr>
          <w:vertAlign w:val="superscript"/>
        </w:rPr>
        <w:t>5</w:t>
      </w:r>
      <w:r w:rsidR="00A22D2F" w:rsidRPr="00034439">
        <w:t>*</w:t>
      </w:r>
      <w:r w:rsidR="00317BCE" w:rsidRPr="00034439">
        <w:t xml:space="preserve"> </w:t>
      </w:r>
    </w:p>
    <w:p w14:paraId="30D51F83" w14:textId="77777777" w:rsidR="00176194" w:rsidRPr="00034439" w:rsidRDefault="0098784E" w:rsidP="0080453E">
      <w:pPr>
        <w:spacing w:after="0" w:line="360" w:lineRule="auto"/>
      </w:pPr>
      <w:r w:rsidRPr="00034439">
        <w:t xml:space="preserve"> </w:t>
      </w:r>
      <w:r w:rsidR="00176194" w:rsidRPr="00034439">
        <w:t>*Equal contribution</w:t>
      </w:r>
    </w:p>
    <w:p w14:paraId="7B26B390" w14:textId="77777777" w:rsidR="00AA6B10" w:rsidRPr="00034439" w:rsidRDefault="00AA6B10" w:rsidP="0080453E">
      <w:pPr>
        <w:spacing w:after="0" w:line="360" w:lineRule="auto"/>
      </w:pPr>
    </w:p>
    <w:p w14:paraId="16C38663" w14:textId="77777777" w:rsidR="0098784E" w:rsidRPr="00034439" w:rsidRDefault="0098784E" w:rsidP="0080453E">
      <w:pPr>
        <w:spacing w:after="0" w:line="360" w:lineRule="auto"/>
        <w:rPr>
          <w:b/>
        </w:rPr>
      </w:pPr>
      <w:r w:rsidRPr="00034439">
        <w:rPr>
          <w:b/>
        </w:rPr>
        <w:t xml:space="preserve">Affiliations: </w:t>
      </w:r>
    </w:p>
    <w:p w14:paraId="66074D2B" w14:textId="77777777" w:rsidR="00EE2F69" w:rsidRPr="00034439" w:rsidRDefault="00EE2F69" w:rsidP="0080453E">
      <w:pPr>
        <w:spacing w:after="0" w:line="360" w:lineRule="auto"/>
        <w:jc w:val="both"/>
        <w:rPr>
          <w:rFonts w:asciiTheme="minorHAnsi" w:hAnsiTheme="minorHAnsi" w:cstheme="minorHAnsi"/>
        </w:rPr>
      </w:pPr>
      <w:r w:rsidRPr="00034439">
        <w:rPr>
          <w:rFonts w:asciiTheme="minorHAnsi" w:hAnsiTheme="minorHAnsi" w:cstheme="minorHAnsi"/>
        </w:rPr>
        <w:t>1. Food Allergy Referral Centre Veneto Region Department of Women and Child Health Padua General University Hospital, Italy</w:t>
      </w:r>
    </w:p>
    <w:p w14:paraId="41285638" w14:textId="77777777" w:rsidR="00EE2F69" w:rsidRPr="00034439" w:rsidRDefault="00EE2F69" w:rsidP="0080453E">
      <w:pPr>
        <w:spacing w:after="0" w:line="360" w:lineRule="auto"/>
        <w:jc w:val="both"/>
        <w:rPr>
          <w:rFonts w:asciiTheme="minorHAnsi" w:hAnsiTheme="minorHAnsi" w:cstheme="minorHAnsi"/>
        </w:rPr>
      </w:pPr>
      <w:r w:rsidRPr="00034439">
        <w:rPr>
          <w:rFonts w:asciiTheme="minorHAnsi" w:hAnsiTheme="minorHAnsi" w:cstheme="minorHAnsi"/>
        </w:rPr>
        <w:t xml:space="preserve">2. Allergy Department, Hospital Clinico San Carlos, Madrid, Spain </w:t>
      </w:r>
    </w:p>
    <w:p w14:paraId="438075E4" w14:textId="77777777" w:rsidR="00FE7AFB" w:rsidRPr="00AE7A5C" w:rsidRDefault="00FE7AFB" w:rsidP="0080453E">
      <w:pPr>
        <w:spacing w:after="0" w:line="360" w:lineRule="auto"/>
        <w:jc w:val="both"/>
        <w:rPr>
          <w:rFonts w:asciiTheme="minorHAnsi" w:hAnsiTheme="minorHAnsi" w:cstheme="minorHAnsi"/>
        </w:rPr>
      </w:pPr>
      <w:r w:rsidRPr="00AE7A5C">
        <w:rPr>
          <w:rFonts w:asciiTheme="minorHAnsi" w:hAnsiTheme="minorHAnsi" w:cstheme="minorHAnsi"/>
        </w:rPr>
        <w:t>3. Department of Pediatric Pneumology &amp; Immunology, Charité Universitätsmedizin Berlin, Germany</w:t>
      </w:r>
    </w:p>
    <w:p w14:paraId="3237739C" w14:textId="77777777" w:rsidR="00FE7AFB" w:rsidRPr="005F5E14" w:rsidRDefault="00FE7AFB" w:rsidP="0080453E">
      <w:pPr>
        <w:spacing w:after="0" w:line="360" w:lineRule="auto"/>
        <w:jc w:val="both"/>
        <w:rPr>
          <w:rFonts w:asciiTheme="minorHAnsi" w:hAnsiTheme="minorHAnsi" w:cstheme="minorHAnsi"/>
        </w:rPr>
      </w:pPr>
      <w:r w:rsidRPr="00034439">
        <w:rPr>
          <w:rFonts w:asciiTheme="minorHAnsi" w:hAnsiTheme="minorHAnsi" w:cstheme="minorHAnsi"/>
        </w:rPr>
        <w:t>4. Allergy Section, Department of Internal Medicine, Hospital Universitari Vall d'Hebron, Barcelona, Spain</w:t>
      </w:r>
    </w:p>
    <w:p w14:paraId="145B01F7" w14:textId="77777777" w:rsidR="00FE7AFB" w:rsidRPr="00034439" w:rsidRDefault="00FE7AFB" w:rsidP="0080453E">
      <w:pPr>
        <w:spacing w:after="0" w:line="360" w:lineRule="auto"/>
        <w:jc w:val="both"/>
        <w:rPr>
          <w:rFonts w:asciiTheme="minorHAnsi" w:hAnsiTheme="minorHAnsi" w:cstheme="minorHAnsi"/>
        </w:rPr>
      </w:pPr>
      <w:r w:rsidRPr="00034439">
        <w:rPr>
          <w:rFonts w:asciiTheme="minorHAnsi" w:hAnsiTheme="minorHAnsi" w:cstheme="minorHAnsi"/>
        </w:rPr>
        <w:t>5. Allergy Section, Department of Medicine, University of Cambridge, Cambridge, UK</w:t>
      </w:r>
    </w:p>
    <w:p w14:paraId="02670F7D" w14:textId="79B640F8" w:rsidR="00FE7AFB" w:rsidRPr="00034439" w:rsidRDefault="00FE7AFB" w:rsidP="0080453E">
      <w:pPr>
        <w:spacing w:after="0" w:line="360" w:lineRule="auto"/>
        <w:jc w:val="both"/>
        <w:rPr>
          <w:rFonts w:asciiTheme="minorHAnsi" w:hAnsiTheme="minorHAnsi" w:cstheme="minorHAnsi"/>
        </w:rPr>
      </w:pPr>
      <w:r w:rsidRPr="00034439">
        <w:rPr>
          <w:rFonts w:asciiTheme="minorHAnsi" w:hAnsiTheme="minorHAnsi" w:cstheme="minorHAnsi"/>
        </w:rPr>
        <w:t>6. Odense Research Center for Anaphylaxis, Dept. Dermatology &amp; Allergy</w:t>
      </w:r>
      <w:r w:rsidR="00EE2F69" w:rsidRPr="00034439">
        <w:rPr>
          <w:rFonts w:asciiTheme="minorHAnsi" w:hAnsiTheme="minorHAnsi" w:cstheme="minorHAnsi"/>
        </w:rPr>
        <w:t xml:space="preserve"> C</w:t>
      </w:r>
      <w:r w:rsidRPr="00034439">
        <w:rPr>
          <w:rFonts w:asciiTheme="minorHAnsi" w:hAnsiTheme="minorHAnsi" w:cstheme="minorHAnsi"/>
        </w:rPr>
        <w:t>enter, Odense University Hospital, Odense, Denmark</w:t>
      </w:r>
    </w:p>
    <w:p w14:paraId="46C9EF13" w14:textId="77777777" w:rsidR="00FE7AFB" w:rsidRPr="00034439" w:rsidRDefault="00FE7AFB" w:rsidP="0080453E">
      <w:pPr>
        <w:spacing w:after="0" w:line="360" w:lineRule="auto"/>
        <w:jc w:val="both"/>
        <w:rPr>
          <w:rFonts w:asciiTheme="minorHAnsi" w:hAnsiTheme="minorHAnsi" w:cstheme="minorHAnsi"/>
        </w:rPr>
      </w:pPr>
      <w:r w:rsidRPr="00034439">
        <w:rPr>
          <w:rFonts w:asciiTheme="minorHAnsi" w:hAnsiTheme="minorHAnsi" w:cstheme="minorHAnsi"/>
        </w:rPr>
        <w:t>7. Paediatrics and Child Health, University College Cork, Ireland</w:t>
      </w:r>
    </w:p>
    <w:p w14:paraId="4BE57C61" w14:textId="77777777" w:rsidR="00EE2F69" w:rsidRPr="00034439" w:rsidRDefault="00EE2F69" w:rsidP="0080453E">
      <w:pPr>
        <w:spacing w:after="0" w:line="360" w:lineRule="auto"/>
        <w:jc w:val="both"/>
        <w:rPr>
          <w:rFonts w:asciiTheme="minorHAnsi" w:hAnsiTheme="minorHAnsi" w:cstheme="minorHAnsi"/>
        </w:rPr>
      </w:pPr>
      <w:r w:rsidRPr="00034439">
        <w:rPr>
          <w:rFonts w:asciiTheme="minorHAnsi" w:hAnsiTheme="minorHAnsi" w:cstheme="minorHAnsi"/>
        </w:rPr>
        <w:t>8. Wroclaw Medical University, Poland</w:t>
      </w:r>
    </w:p>
    <w:p w14:paraId="3DE162DD" w14:textId="06C1F92B" w:rsidR="00EE2F69" w:rsidRPr="00034439" w:rsidRDefault="00EE2F69" w:rsidP="0080453E">
      <w:pPr>
        <w:spacing w:after="0" w:line="360" w:lineRule="auto"/>
        <w:jc w:val="both"/>
        <w:rPr>
          <w:rFonts w:asciiTheme="minorHAnsi" w:hAnsiTheme="minorHAnsi" w:cstheme="minorHAnsi"/>
        </w:rPr>
      </w:pPr>
      <w:r w:rsidRPr="00034439">
        <w:rPr>
          <w:rFonts w:asciiTheme="minorHAnsi" w:hAnsiTheme="minorHAnsi" w:cstheme="minorHAnsi"/>
        </w:rPr>
        <w:t>9. A</w:t>
      </w:r>
      <w:r w:rsidR="00454A4C">
        <w:rPr>
          <w:rFonts w:asciiTheme="minorHAnsi" w:hAnsiTheme="minorHAnsi" w:cstheme="minorHAnsi"/>
        </w:rPr>
        <w:t>sthma UK Centre for Applied Research</w:t>
      </w:r>
      <w:r w:rsidRPr="00034439">
        <w:rPr>
          <w:rFonts w:asciiTheme="minorHAnsi" w:hAnsiTheme="minorHAnsi" w:cstheme="minorHAnsi"/>
        </w:rPr>
        <w:t xml:space="preserve">, </w:t>
      </w:r>
      <w:r w:rsidR="00454A4C">
        <w:rPr>
          <w:rFonts w:asciiTheme="minorHAnsi" w:hAnsiTheme="minorHAnsi" w:cstheme="minorHAnsi"/>
        </w:rPr>
        <w:t xml:space="preserve">Usher Institute of Population Health Sciences and Informatics, </w:t>
      </w:r>
      <w:r w:rsidRPr="00034439">
        <w:rPr>
          <w:rFonts w:asciiTheme="minorHAnsi" w:hAnsiTheme="minorHAnsi" w:cstheme="minorHAnsi"/>
        </w:rPr>
        <w:t>The University of Edinburgh, Edinburgh.</w:t>
      </w:r>
    </w:p>
    <w:p w14:paraId="0A9A9905" w14:textId="77777777" w:rsidR="00974BA4" w:rsidRPr="00034439" w:rsidRDefault="00FE7AFB" w:rsidP="0080453E">
      <w:pPr>
        <w:spacing w:after="0" w:line="360" w:lineRule="auto"/>
        <w:jc w:val="both"/>
        <w:rPr>
          <w:rFonts w:asciiTheme="minorHAnsi" w:hAnsiTheme="minorHAnsi" w:cstheme="minorHAnsi"/>
        </w:rPr>
      </w:pPr>
      <w:r w:rsidRPr="00034439">
        <w:rPr>
          <w:rFonts w:asciiTheme="minorHAnsi" w:hAnsiTheme="minorHAnsi" w:cstheme="minorHAnsi"/>
        </w:rPr>
        <w:t xml:space="preserve">10. </w:t>
      </w:r>
      <w:r w:rsidR="00855C7D" w:rsidRPr="00034439">
        <w:rPr>
          <w:rFonts w:asciiTheme="minorHAnsi" w:hAnsiTheme="minorHAnsi" w:cstheme="minorHAnsi"/>
        </w:rPr>
        <w:t>Transylvania University Brasov, Faculty of Medicine, Department of Allergy and Clinical Immunology, Brasov, Romania</w:t>
      </w:r>
    </w:p>
    <w:p w14:paraId="67ED1B66" w14:textId="5FE75145" w:rsidR="00974BA4" w:rsidRPr="00AE7A5C" w:rsidRDefault="00FE7AFB" w:rsidP="0080453E">
      <w:pPr>
        <w:spacing w:after="0" w:line="360" w:lineRule="auto"/>
        <w:jc w:val="both"/>
        <w:rPr>
          <w:rFonts w:asciiTheme="minorHAnsi" w:hAnsiTheme="minorHAnsi" w:cstheme="minorHAnsi"/>
        </w:rPr>
      </w:pPr>
      <w:r w:rsidRPr="00AE7A5C">
        <w:rPr>
          <w:rFonts w:asciiTheme="minorHAnsi" w:hAnsiTheme="minorHAnsi" w:cstheme="minorHAnsi"/>
        </w:rPr>
        <w:t xml:space="preserve">11. </w:t>
      </w:r>
      <w:r w:rsidR="001F3C00" w:rsidRPr="003F7602">
        <w:rPr>
          <w:rFonts w:asciiTheme="minorHAnsi" w:hAnsiTheme="minorHAnsi" w:cstheme="minorHAnsi"/>
        </w:rPr>
        <w:t>Murdoch Childr</w:t>
      </w:r>
      <w:r w:rsidR="00E37F61" w:rsidRPr="003F7602">
        <w:rPr>
          <w:rFonts w:asciiTheme="minorHAnsi" w:hAnsiTheme="minorHAnsi" w:cstheme="minorHAnsi"/>
        </w:rPr>
        <w:t>e</w:t>
      </w:r>
      <w:r w:rsidR="001F3C00" w:rsidRPr="003F7602">
        <w:rPr>
          <w:rFonts w:asciiTheme="minorHAnsi" w:hAnsiTheme="minorHAnsi" w:cstheme="minorHAnsi"/>
        </w:rPr>
        <w:t>n</w:t>
      </w:r>
      <w:r w:rsidR="00E37F61" w:rsidRPr="003F7602">
        <w:rPr>
          <w:rFonts w:asciiTheme="minorHAnsi" w:hAnsiTheme="minorHAnsi" w:cstheme="minorHAnsi"/>
        </w:rPr>
        <w:t>’</w:t>
      </w:r>
      <w:r w:rsidR="001F3C00" w:rsidRPr="003F7602">
        <w:rPr>
          <w:rFonts w:asciiTheme="minorHAnsi" w:hAnsiTheme="minorHAnsi" w:cstheme="minorHAnsi"/>
        </w:rPr>
        <w:t>s Research</w:t>
      </w:r>
      <w:r w:rsidR="001F3C00" w:rsidRPr="00AE7A5C">
        <w:rPr>
          <w:rFonts w:asciiTheme="minorHAnsi" w:hAnsiTheme="minorHAnsi" w:cstheme="minorHAnsi"/>
        </w:rPr>
        <w:t xml:space="preserve"> institute, Department of Allergy </w:t>
      </w:r>
      <w:r w:rsidR="00411D8B" w:rsidRPr="00AE7A5C">
        <w:rPr>
          <w:rFonts w:asciiTheme="minorHAnsi" w:hAnsiTheme="minorHAnsi" w:cstheme="minorHAnsi"/>
        </w:rPr>
        <w:t>Royal Children’s</w:t>
      </w:r>
      <w:r w:rsidR="001F3C00" w:rsidRPr="00AE7A5C">
        <w:rPr>
          <w:rFonts w:asciiTheme="minorHAnsi" w:hAnsiTheme="minorHAnsi" w:cstheme="minorHAnsi"/>
        </w:rPr>
        <w:t xml:space="preserve"> Hospital, University of Melbourne Department of Paediatrics, Australia and the University of Manchester, UK</w:t>
      </w:r>
    </w:p>
    <w:p w14:paraId="0E40F5F1" w14:textId="77777777" w:rsidR="00974BA4" w:rsidRPr="00AE7A5C" w:rsidRDefault="00FE7AFB" w:rsidP="0080453E">
      <w:pPr>
        <w:spacing w:after="0" w:line="360" w:lineRule="auto"/>
        <w:jc w:val="both"/>
        <w:rPr>
          <w:rFonts w:asciiTheme="minorHAnsi" w:hAnsiTheme="minorHAnsi" w:cstheme="minorHAnsi"/>
        </w:rPr>
      </w:pPr>
      <w:r w:rsidRPr="00AE7A5C">
        <w:rPr>
          <w:rFonts w:asciiTheme="minorHAnsi" w:hAnsiTheme="minorHAnsi" w:cstheme="minorHAnsi"/>
        </w:rPr>
        <w:t xml:space="preserve">12. </w:t>
      </w:r>
      <w:r w:rsidR="00176194" w:rsidRPr="00AE7A5C">
        <w:rPr>
          <w:rFonts w:asciiTheme="minorHAnsi" w:hAnsiTheme="minorHAnsi" w:cstheme="minorHAnsi"/>
        </w:rPr>
        <w:t>Department of Immunology and Allergy, Northern General Hospital, Sheffield, UK</w:t>
      </w:r>
    </w:p>
    <w:p w14:paraId="6D27E8E1" w14:textId="77777777" w:rsidR="00EE2F69" w:rsidRPr="00AE7A5C" w:rsidRDefault="00EE2F69" w:rsidP="0080453E">
      <w:pPr>
        <w:spacing w:after="0" w:line="360" w:lineRule="auto"/>
        <w:jc w:val="both"/>
        <w:rPr>
          <w:rFonts w:asciiTheme="minorHAnsi" w:hAnsiTheme="minorHAnsi" w:cstheme="minorHAnsi"/>
        </w:rPr>
      </w:pPr>
      <w:r w:rsidRPr="00AE7A5C">
        <w:rPr>
          <w:rFonts w:asciiTheme="minorHAnsi" w:hAnsiTheme="minorHAnsi" w:cstheme="minorHAnsi"/>
        </w:rPr>
        <w:t xml:space="preserve">13. </w:t>
      </w:r>
      <w:r w:rsidR="00176194" w:rsidRPr="00AE7A5C">
        <w:rPr>
          <w:rFonts w:asciiTheme="minorHAnsi" w:hAnsiTheme="minorHAnsi" w:cstheme="minorHAnsi"/>
        </w:rPr>
        <w:t>Allergy Unit, Department of Dermatology, University Hospital Zürich, Zürich, Switzerland</w:t>
      </w:r>
    </w:p>
    <w:p w14:paraId="2F1DE0C6" w14:textId="77777777" w:rsidR="00215086" w:rsidRPr="005F5E14" w:rsidRDefault="00FE7AFB" w:rsidP="0080453E">
      <w:pPr>
        <w:spacing w:after="0" w:line="360" w:lineRule="auto"/>
        <w:jc w:val="both"/>
        <w:rPr>
          <w:rFonts w:asciiTheme="minorHAnsi" w:hAnsiTheme="minorHAnsi" w:cstheme="minorHAnsi"/>
        </w:rPr>
      </w:pPr>
      <w:r w:rsidRPr="00034439">
        <w:rPr>
          <w:rFonts w:asciiTheme="minorHAnsi" w:hAnsiTheme="minorHAnsi" w:cstheme="minorHAnsi"/>
        </w:rPr>
        <w:t xml:space="preserve">14. </w:t>
      </w:r>
      <w:r w:rsidR="00215086" w:rsidRPr="00034439">
        <w:rPr>
          <w:rFonts w:asciiTheme="minorHAnsi" w:hAnsiTheme="minorHAnsi" w:cstheme="minorHAnsi"/>
        </w:rPr>
        <w:t xml:space="preserve">Allergy Unit, Department of Internal Medicine, University Hospital of </w:t>
      </w:r>
    </w:p>
    <w:p w14:paraId="2844C819" w14:textId="77777777" w:rsidR="00215086" w:rsidRPr="00034439" w:rsidRDefault="00215086" w:rsidP="0080453E">
      <w:pPr>
        <w:spacing w:after="0" w:line="360" w:lineRule="auto"/>
        <w:jc w:val="both"/>
        <w:rPr>
          <w:rFonts w:asciiTheme="minorHAnsi" w:hAnsiTheme="minorHAnsi" w:cstheme="minorHAnsi"/>
        </w:rPr>
      </w:pPr>
      <w:r w:rsidRPr="00034439">
        <w:rPr>
          <w:rFonts w:asciiTheme="minorHAnsi" w:hAnsiTheme="minorHAnsi" w:cstheme="minorHAnsi"/>
        </w:rPr>
        <w:t>Ancona, Italy</w:t>
      </w:r>
    </w:p>
    <w:p w14:paraId="71BD3B73" w14:textId="77777777" w:rsidR="00EE2F69" w:rsidRPr="00034439" w:rsidRDefault="00EE2F69" w:rsidP="0080453E">
      <w:pPr>
        <w:spacing w:after="0" w:line="360" w:lineRule="auto"/>
        <w:jc w:val="both"/>
        <w:rPr>
          <w:rFonts w:asciiTheme="minorHAnsi" w:hAnsiTheme="minorHAnsi" w:cstheme="minorHAnsi"/>
        </w:rPr>
      </w:pPr>
      <w:r w:rsidRPr="00034439">
        <w:rPr>
          <w:rFonts w:asciiTheme="minorHAnsi" w:hAnsiTheme="minorHAnsi" w:cstheme="minorHAnsi"/>
        </w:rPr>
        <w:lastRenderedPageBreak/>
        <w:t xml:space="preserve">15. </w:t>
      </w:r>
      <w:r w:rsidR="0080453E" w:rsidRPr="00034439">
        <w:rPr>
          <w:rFonts w:asciiTheme="minorHAnsi" w:hAnsiTheme="minorHAnsi" w:cstheme="minorHAnsi"/>
        </w:rPr>
        <w:t>Department of Emergency Medicine, Massachusetts General Hospital, Boston, USA</w:t>
      </w:r>
    </w:p>
    <w:p w14:paraId="039E98DA" w14:textId="77777777" w:rsidR="00987895" w:rsidRPr="00034439" w:rsidRDefault="00FE7AFB" w:rsidP="0080453E">
      <w:pPr>
        <w:spacing w:after="0" w:line="360" w:lineRule="auto"/>
        <w:jc w:val="both"/>
        <w:rPr>
          <w:rFonts w:asciiTheme="minorHAnsi" w:hAnsiTheme="minorHAnsi" w:cstheme="minorHAnsi"/>
        </w:rPr>
      </w:pPr>
      <w:r w:rsidRPr="00034439">
        <w:rPr>
          <w:rFonts w:asciiTheme="minorHAnsi" w:hAnsiTheme="minorHAnsi" w:cstheme="minorHAnsi"/>
        </w:rPr>
        <w:t xml:space="preserve">16. </w:t>
      </w:r>
      <w:r w:rsidR="00486A44" w:rsidRPr="00034439">
        <w:rPr>
          <w:rFonts w:asciiTheme="minorHAnsi" w:hAnsiTheme="minorHAnsi" w:cstheme="minorHAnsi"/>
        </w:rPr>
        <w:t xml:space="preserve">Allergy And immunology Division, Department of Pediatrics, Perelman School of Medicine,  The University of Pennsylvania, The Children’s Hospital of Philadelphia </w:t>
      </w:r>
    </w:p>
    <w:p w14:paraId="765A9039" w14:textId="77777777" w:rsidR="008B7A6B" w:rsidRPr="00034439" w:rsidRDefault="00FE7AFB" w:rsidP="0080453E">
      <w:pPr>
        <w:spacing w:after="0" w:line="360" w:lineRule="auto"/>
        <w:jc w:val="both"/>
        <w:rPr>
          <w:rFonts w:asciiTheme="minorHAnsi" w:hAnsiTheme="minorHAnsi" w:cstheme="minorHAnsi"/>
        </w:rPr>
      </w:pPr>
      <w:r w:rsidRPr="00034439">
        <w:rPr>
          <w:rFonts w:asciiTheme="minorHAnsi" w:hAnsiTheme="minorHAnsi" w:cstheme="minorHAnsi"/>
        </w:rPr>
        <w:t xml:space="preserve">17. </w:t>
      </w:r>
      <w:r w:rsidR="00A84F75" w:rsidRPr="00034439">
        <w:rPr>
          <w:rFonts w:asciiTheme="minorHAnsi" w:hAnsiTheme="minorHAnsi" w:cstheme="minorHAnsi"/>
        </w:rPr>
        <w:t>Pediatric Allergy Unit, Department of Pediatrics, University Hospitals of Geneva, Geneva Switzerland</w:t>
      </w:r>
    </w:p>
    <w:p w14:paraId="0B5BE148" w14:textId="77777777" w:rsidR="00974BA4" w:rsidRPr="00034439" w:rsidRDefault="007F69D2" w:rsidP="0080453E">
      <w:pPr>
        <w:spacing w:after="0" w:line="360" w:lineRule="auto"/>
        <w:jc w:val="both"/>
        <w:rPr>
          <w:rFonts w:asciiTheme="minorHAnsi" w:hAnsiTheme="minorHAnsi" w:cstheme="minorHAnsi"/>
        </w:rPr>
      </w:pPr>
      <w:r w:rsidRPr="00AE7A5C">
        <w:rPr>
          <w:rFonts w:asciiTheme="minorHAnsi" w:hAnsiTheme="minorHAnsi" w:cstheme="minorHAnsi"/>
        </w:rPr>
        <w:t xml:space="preserve">18. </w:t>
      </w:r>
      <w:r w:rsidR="00855C7D" w:rsidRPr="00034439">
        <w:rPr>
          <w:rFonts w:asciiTheme="minorHAnsi" w:hAnsiTheme="minorHAnsi" w:cstheme="minorHAnsi"/>
        </w:rPr>
        <w:t>Hans Christian Andersen Children’s Hospital, Odense University Hospital, Odense, Denmark</w:t>
      </w:r>
    </w:p>
    <w:p w14:paraId="5EDE4352" w14:textId="77777777" w:rsidR="00176194" w:rsidRPr="00034439" w:rsidRDefault="007F69D2" w:rsidP="0080453E">
      <w:pPr>
        <w:spacing w:after="0" w:line="360" w:lineRule="auto"/>
        <w:jc w:val="both"/>
        <w:rPr>
          <w:rFonts w:asciiTheme="minorHAnsi" w:hAnsiTheme="minorHAnsi" w:cstheme="minorHAnsi"/>
        </w:rPr>
      </w:pPr>
      <w:r w:rsidRPr="00034439">
        <w:rPr>
          <w:rFonts w:asciiTheme="minorHAnsi" w:hAnsiTheme="minorHAnsi" w:cstheme="minorHAnsi"/>
        </w:rPr>
        <w:t xml:space="preserve">19. </w:t>
      </w:r>
      <w:r w:rsidR="005574FC" w:rsidRPr="00034439">
        <w:rPr>
          <w:rFonts w:asciiTheme="minorHAnsi" w:hAnsiTheme="minorHAnsi" w:cstheme="minorHAnsi"/>
        </w:rPr>
        <w:t xml:space="preserve">Dept. of Pathophysiology and Allergy Research, Medical  University of Vienna, Austria  </w:t>
      </w:r>
    </w:p>
    <w:p w14:paraId="0FC99B86" w14:textId="5A808EEE" w:rsidR="00974BA4" w:rsidRPr="00034439" w:rsidRDefault="00EE2F69" w:rsidP="0080453E">
      <w:pPr>
        <w:spacing w:after="0" w:line="360" w:lineRule="auto"/>
        <w:jc w:val="both"/>
        <w:rPr>
          <w:rFonts w:asciiTheme="minorHAnsi" w:hAnsiTheme="minorHAnsi" w:cstheme="minorHAnsi"/>
        </w:rPr>
      </w:pPr>
      <w:r w:rsidRPr="00034439">
        <w:rPr>
          <w:rFonts w:asciiTheme="minorHAnsi" w:hAnsiTheme="minorHAnsi" w:cstheme="minorHAnsi"/>
        </w:rPr>
        <w:t xml:space="preserve">20. </w:t>
      </w:r>
      <w:r w:rsidR="00215086" w:rsidRPr="00034439">
        <w:rPr>
          <w:rFonts w:asciiTheme="minorHAnsi" w:hAnsiTheme="minorHAnsi" w:cstheme="minorHAnsi"/>
        </w:rPr>
        <w:t xml:space="preserve">Department of Pediatric Pneumology and Immunology, Charité </w:t>
      </w:r>
      <w:r w:rsidR="003F0312">
        <w:rPr>
          <w:rFonts w:asciiTheme="minorHAnsi" w:hAnsiTheme="minorHAnsi" w:cstheme="minorHAnsi"/>
        </w:rPr>
        <w:t>Universitätsmedizin</w:t>
      </w:r>
      <w:r w:rsidR="00215086" w:rsidRPr="00034439">
        <w:rPr>
          <w:rFonts w:asciiTheme="minorHAnsi" w:hAnsiTheme="minorHAnsi" w:cstheme="minorHAnsi"/>
        </w:rPr>
        <w:t xml:space="preserve"> Berlin, Germany</w:t>
      </w:r>
    </w:p>
    <w:p w14:paraId="44602B63" w14:textId="77777777" w:rsidR="00EE2F69" w:rsidRPr="00034439" w:rsidRDefault="00EE2F69" w:rsidP="0080453E">
      <w:pPr>
        <w:spacing w:after="0" w:line="360" w:lineRule="auto"/>
        <w:jc w:val="both"/>
        <w:rPr>
          <w:rFonts w:asciiTheme="minorHAnsi" w:hAnsiTheme="minorHAnsi" w:cstheme="minorHAnsi"/>
        </w:rPr>
      </w:pPr>
      <w:r w:rsidRPr="00034439">
        <w:rPr>
          <w:rFonts w:asciiTheme="minorHAnsi" w:hAnsiTheme="minorHAnsi" w:cstheme="minorHAnsi"/>
        </w:rPr>
        <w:t>21. Department of Clinical Science and Education, Karolinska Institutet and Sachs´ Children´s Hospital, Stockholm, Sweden</w:t>
      </w:r>
    </w:p>
    <w:p w14:paraId="386D4849" w14:textId="77777777" w:rsidR="00EE2F69" w:rsidRPr="00AE7A5C" w:rsidRDefault="00EE2F69" w:rsidP="0080453E">
      <w:pPr>
        <w:spacing w:after="0" w:line="360" w:lineRule="auto"/>
        <w:jc w:val="both"/>
        <w:rPr>
          <w:rFonts w:asciiTheme="minorHAnsi" w:hAnsiTheme="minorHAnsi" w:cstheme="minorHAnsi"/>
          <w:lang w:val="de-DE"/>
        </w:rPr>
      </w:pPr>
      <w:r w:rsidRPr="00AE7A5C">
        <w:rPr>
          <w:rFonts w:asciiTheme="minorHAnsi" w:hAnsiTheme="minorHAnsi" w:cstheme="minorHAnsi"/>
          <w:lang w:val="de-DE"/>
        </w:rPr>
        <w:t>22. Allergy Clinic, Copenhagen University Hospital, Copenhagen, Denmark</w:t>
      </w:r>
    </w:p>
    <w:p w14:paraId="537AF1C2" w14:textId="77777777" w:rsidR="00EE2F69" w:rsidRPr="00AE7A5C" w:rsidRDefault="00EE2F69" w:rsidP="0080453E">
      <w:pPr>
        <w:spacing w:after="0" w:line="360" w:lineRule="auto"/>
        <w:jc w:val="both"/>
        <w:rPr>
          <w:rFonts w:asciiTheme="minorHAnsi" w:hAnsiTheme="minorHAnsi" w:cstheme="minorHAnsi"/>
          <w:lang w:val="nl-NL"/>
        </w:rPr>
      </w:pPr>
      <w:r w:rsidRPr="00AE7A5C">
        <w:rPr>
          <w:rFonts w:asciiTheme="minorHAnsi" w:hAnsiTheme="minorHAnsi" w:cstheme="minorHAnsi"/>
          <w:lang w:val="nl-NL"/>
        </w:rPr>
        <w:t>23. Klinik und Poliklinik für Dermatologie und Allergologie, Ludwig-Maximilians-Universität, Munich, Germany</w:t>
      </w:r>
    </w:p>
    <w:p w14:paraId="2E998621" w14:textId="77777777" w:rsidR="00EE2F69" w:rsidRPr="005F5E14" w:rsidRDefault="00EE2F69" w:rsidP="0080453E">
      <w:pPr>
        <w:spacing w:after="0" w:line="360" w:lineRule="auto"/>
        <w:jc w:val="both"/>
        <w:rPr>
          <w:rFonts w:asciiTheme="minorHAnsi" w:hAnsiTheme="minorHAnsi" w:cstheme="minorHAnsi"/>
        </w:rPr>
      </w:pPr>
      <w:r w:rsidRPr="00034439">
        <w:rPr>
          <w:rFonts w:asciiTheme="minorHAnsi" w:hAnsiTheme="minorHAnsi" w:cstheme="minorHAnsi"/>
        </w:rPr>
        <w:t>24. The Children's Hospital of Philadelphia, Perelman School of Medicine at University of Pennsylvania, Philadelphia, USA</w:t>
      </w:r>
    </w:p>
    <w:p w14:paraId="52BB73FB" w14:textId="77777777" w:rsidR="00EE2F69" w:rsidRPr="00034439" w:rsidRDefault="00EE2F69" w:rsidP="0080453E">
      <w:pPr>
        <w:spacing w:after="0" w:line="360" w:lineRule="auto"/>
        <w:jc w:val="both"/>
        <w:rPr>
          <w:rFonts w:asciiTheme="minorHAnsi" w:hAnsiTheme="minorHAnsi" w:cstheme="minorHAnsi"/>
        </w:rPr>
      </w:pPr>
      <w:r w:rsidRPr="00034439">
        <w:rPr>
          <w:rFonts w:asciiTheme="minorHAnsi" w:hAnsiTheme="minorHAnsi" w:cstheme="minorHAnsi"/>
        </w:rPr>
        <w:t>25. Department of Dermatology and Venerology, Medical University of Graz &amp; Outpatient Allergy Clinic Reumannplatz, Vienna, Austria</w:t>
      </w:r>
    </w:p>
    <w:p w14:paraId="7C5D55C6" w14:textId="77777777" w:rsidR="00EE2F69" w:rsidRPr="00034439" w:rsidRDefault="00EE2F69" w:rsidP="0080453E">
      <w:pPr>
        <w:spacing w:after="0" w:line="360" w:lineRule="auto"/>
        <w:jc w:val="both"/>
        <w:rPr>
          <w:rFonts w:asciiTheme="minorHAnsi" w:hAnsiTheme="minorHAnsi" w:cstheme="minorHAnsi"/>
        </w:rPr>
      </w:pPr>
      <w:r w:rsidRPr="00034439">
        <w:rPr>
          <w:rFonts w:asciiTheme="minorHAnsi" w:hAnsiTheme="minorHAnsi" w:cstheme="minorHAnsi"/>
        </w:rPr>
        <w:t xml:space="preserve">26. Netherlands Anafylaxis Network, The Netherlands </w:t>
      </w:r>
    </w:p>
    <w:p w14:paraId="23B074DB" w14:textId="77777777" w:rsidR="00EE2F69" w:rsidRPr="00034439" w:rsidRDefault="00EE2F69" w:rsidP="0080453E">
      <w:pPr>
        <w:spacing w:after="0" w:line="360" w:lineRule="auto"/>
        <w:jc w:val="both"/>
        <w:rPr>
          <w:rFonts w:asciiTheme="minorHAnsi" w:hAnsiTheme="minorHAnsi" w:cstheme="minorHAnsi"/>
        </w:rPr>
      </w:pPr>
      <w:r w:rsidRPr="00034439">
        <w:rPr>
          <w:rFonts w:asciiTheme="minorHAnsi" w:hAnsiTheme="minorHAnsi" w:cstheme="minorHAnsi"/>
        </w:rPr>
        <w:t>27. Allergy Unit, IBIMA, Regional University Hospital of Malaga, UMA, Málaga, Spain</w:t>
      </w:r>
    </w:p>
    <w:p w14:paraId="437FCD00" w14:textId="77777777" w:rsidR="00EE2F69" w:rsidRPr="00034439" w:rsidRDefault="00EE2F69" w:rsidP="0080453E">
      <w:pPr>
        <w:spacing w:after="0" w:line="360" w:lineRule="auto"/>
        <w:jc w:val="both"/>
        <w:rPr>
          <w:rFonts w:asciiTheme="minorHAnsi" w:hAnsiTheme="minorHAnsi" w:cstheme="minorHAnsi"/>
        </w:rPr>
      </w:pPr>
      <w:r w:rsidRPr="00034439">
        <w:rPr>
          <w:rFonts w:asciiTheme="minorHAnsi" w:hAnsiTheme="minorHAnsi" w:cstheme="minorHAnsi"/>
        </w:rPr>
        <w:t>28. Section of Paediatrics (Allergy and Infectious Diseases) &amp; MRC and Asthma UK Centre in Allergic Mechanisms of Asthma, Imperial College London, UK</w:t>
      </w:r>
    </w:p>
    <w:p w14:paraId="18E851DE" w14:textId="77777777" w:rsidR="00EE2F69" w:rsidRPr="00034439" w:rsidRDefault="00EE2F69" w:rsidP="0080453E">
      <w:pPr>
        <w:spacing w:after="0" w:line="360" w:lineRule="auto"/>
        <w:jc w:val="both"/>
        <w:rPr>
          <w:rFonts w:asciiTheme="minorHAnsi" w:hAnsiTheme="minorHAnsi" w:cstheme="minorHAnsi"/>
        </w:rPr>
      </w:pPr>
      <w:r w:rsidRPr="00034439">
        <w:rPr>
          <w:rFonts w:asciiTheme="minorHAnsi" w:hAnsiTheme="minorHAnsi" w:cstheme="minorHAnsi"/>
        </w:rPr>
        <w:t>29. Departments of Experimental Immunology and of Otorhinolaryngology, Academic Medical Center, University of Amsterdam, Amsterdam, The Netherlands</w:t>
      </w:r>
    </w:p>
    <w:p w14:paraId="23997576" w14:textId="77777777" w:rsidR="00EE2F69" w:rsidRPr="00034439" w:rsidRDefault="00EE2F69" w:rsidP="0080453E">
      <w:pPr>
        <w:spacing w:after="0" w:line="360" w:lineRule="auto"/>
        <w:jc w:val="both"/>
        <w:rPr>
          <w:rFonts w:asciiTheme="minorHAnsi" w:hAnsiTheme="minorHAnsi" w:cstheme="minorHAnsi"/>
        </w:rPr>
      </w:pPr>
      <w:r w:rsidRPr="00034439">
        <w:rPr>
          <w:rFonts w:asciiTheme="minorHAnsi" w:hAnsiTheme="minorHAnsi" w:cstheme="minorHAnsi"/>
        </w:rPr>
        <w:t xml:space="preserve">30. </w:t>
      </w:r>
      <w:r w:rsidR="0080453E" w:rsidRPr="00034439">
        <w:rPr>
          <w:rFonts w:asciiTheme="minorHAnsi" w:hAnsiTheme="minorHAnsi" w:cstheme="minorHAnsi"/>
        </w:rPr>
        <w:t>Centre for Allergy Research, Karolinska Institutet, Stockholm, Sweden, Sachs’ Children and Youth Hospital, Södersjukhuset, Stockholm, Sweden</w:t>
      </w:r>
    </w:p>
    <w:p w14:paraId="513BF21A" w14:textId="1D3D5DCC" w:rsidR="00EE2F69" w:rsidRPr="00AE7A5C" w:rsidRDefault="00EE2F69" w:rsidP="0080453E">
      <w:pPr>
        <w:spacing w:after="0" w:line="360" w:lineRule="auto"/>
        <w:jc w:val="both"/>
        <w:rPr>
          <w:rFonts w:asciiTheme="minorHAnsi" w:hAnsiTheme="minorHAnsi" w:cstheme="minorHAnsi"/>
          <w:lang w:val="en-US"/>
        </w:rPr>
      </w:pPr>
      <w:r w:rsidRPr="00AE7A5C">
        <w:rPr>
          <w:rFonts w:asciiTheme="minorHAnsi" w:hAnsiTheme="minorHAnsi" w:cstheme="minorHAnsi"/>
          <w:lang w:val="en-US"/>
        </w:rPr>
        <w:t xml:space="preserve">31. </w:t>
      </w:r>
      <w:r w:rsidR="001E3E64" w:rsidRPr="00AE7A5C">
        <w:rPr>
          <w:rFonts w:asciiTheme="minorHAnsi" w:hAnsiTheme="minorHAnsi" w:cstheme="minorHAnsi"/>
          <w:lang w:val="en-US"/>
        </w:rPr>
        <w:t xml:space="preserve">Department of Dermatology and Allergy, </w:t>
      </w:r>
      <w:r w:rsidRPr="00AE7A5C">
        <w:rPr>
          <w:rFonts w:asciiTheme="minorHAnsi" w:hAnsiTheme="minorHAnsi" w:cstheme="minorHAnsi"/>
          <w:lang w:val="en-US"/>
        </w:rPr>
        <w:t>Char</w:t>
      </w:r>
      <w:r w:rsidR="001E3E64" w:rsidRPr="00AE7A5C">
        <w:rPr>
          <w:rFonts w:asciiTheme="minorHAnsi" w:hAnsiTheme="minorHAnsi" w:cstheme="minorHAnsi"/>
          <w:lang w:val="en-US"/>
        </w:rPr>
        <w:t>ité</w:t>
      </w:r>
      <w:r w:rsidRPr="00AE7A5C">
        <w:rPr>
          <w:rFonts w:asciiTheme="minorHAnsi" w:hAnsiTheme="minorHAnsi" w:cstheme="minorHAnsi"/>
          <w:lang w:val="en-US"/>
        </w:rPr>
        <w:t>-</w:t>
      </w:r>
      <w:r w:rsidR="001E3E64" w:rsidRPr="00AE7A5C">
        <w:rPr>
          <w:rFonts w:asciiTheme="minorHAnsi" w:hAnsiTheme="minorHAnsi" w:cstheme="minorHAnsi"/>
          <w:lang w:val="en-US"/>
        </w:rPr>
        <w:t>Universitätsmedizin</w:t>
      </w:r>
      <w:r w:rsidRPr="00AE7A5C">
        <w:rPr>
          <w:rFonts w:asciiTheme="minorHAnsi" w:hAnsiTheme="minorHAnsi" w:cstheme="minorHAnsi"/>
          <w:lang w:val="en-US"/>
        </w:rPr>
        <w:t>, Berlin, Germany</w:t>
      </w:r>
    </w:p>
    <w:p w14:paraId="03C3BF2B" w14:textId="77777777" w:rsidR="00EE2F69" w:rsidRPr="00034439" w:rsidRDefault="00EE2F69" w:rsidP="0080453E">
      <w:pPr>
        <w:spacing w:after="0" w:line="360" w:lineRule="auto"/>
        <w:jc w:val="both"/>
        <w:rPr>
          <w:rFonts w:asciiTheme="minorHAnsi" w:hAnsiTheme="minorHAnsi" w:cstheme="minorHAnsi"/>
        </w:rPr>
      </w:pPr>
      <w:r w:rsidRPr="00034439">
        <w:rPr>
          <w:rFonts w:asciiTheme="minorHAnsi" w:hAnsiTheme="minorHAnsi" w:cstheme="minorHAnsi"/>
        </w:rPr>
        <w:t>32. Centre for Respiratory Medicine and Allergy, Institute of Inflammation and Repair, Manchester Academic Health Science Centre, and Manchester Institute of Biotechnology, The University of Manchester, Manchester, UK.</w:t>
      </w:r>
    </w:p>
    <w:p w14:paraId="0789816F" w14:textId="77777777" w:rsidR="00EE2F69" w:rsidRPr="00034439" w:rsidRDefault="00EE2F69" w:rsidP="0080453E">
      <w:pPr>
        <w:spacing w:after="0" w:line="360" w:lineRule="auto"/>
        <w:jc w:val="both"/>
        <w:rPr>
          <w:rFonts w:asciiTheme="minorHAnsi" w:hAnsiTheme="minorHAnsi" w:cstheme="minorHAnsi"/>
        </w:rPr>
      </w:pPr>
      <w:r w:rsidRPr="00034439">
        <w:rPr>
          <w:rFonts w:asciiTheme="minorHAnsi" w:hAnsiTheme="minorHAnsi" w:cstheme="minorHAnsi"/>
        </w:rPr>
        <w:t>33. NIHR Southampton Respiratory Biomedical Research Unit, University Hospital Southampton NHS Foundation Trust, Southampton, UK</w:t>
      </w:r>
    </w:p>
    <w:p w14:paraId="41372444" w14:textId="77777777" w:rsidR="00EE2F69" w:rsidRPr="00034439" w:rsidRDefault="00EE2F69" w:rsidP="0080453E">
      <w:pPr>
        <w:spacing w:after="0" w:line="360" w:lineRule="auto"/>
        <w:jc w:val="both"/>
        <w:rPr>
          <w:rFonts w:asciiTheme="minorHAnsi" w:hAnsiTheme="minorHAnsi" w:cstheme="minorHAnsi"/>
        </w:rPr>
      </w:pPr>
      <w:r w:rsidRPr="00034439">
        <w:rPr>
          <w:rFonts w:asciiTheme="minorHAnsi" w:hAnsiTheme="minorHAnsi" w:cstheme="minorHAnsi"/>
        </w:rPr>
        <w:t>34. Clinical and Experimental Sciences and Human Development in Health Academic Unit, University of Southampton Faculty of Medicine, Southampton, UK</w:t>
      </w:r>
    </w:p>
    <w:p w14:paraId="7B770D3B" w14:textId="77777777" w:rsidR="00EE2F69" w:rsidRPr="00034439" w:rsidRDefault="00EE2F69" w:rsidP="0080453E">
      <w:pPr>
        <w:spacing w:after="0" w:line="360" w:lineRule="auto"/>
        <w:jc w:val="both"/>
        <w:rPr>
          <w:rFonts w:asciiTheme="minorHAnsi" w:hAnsiTheme="minorHAnsi" w:cstheme="minorHAnsi"/>
        </w:rPr>
      </w:pPr>
      <w:r w:rsidRPr="00034439">
        <w:rPr>
          <w:rFonts w:asciiTheme="minorHAnsi" w:hAnsiTheme="minorHAnsi" w:cstheme="minorHAnsi"/>
        </w:rPr>
        <w:lastRenderedPageBreak/>
        <w:t>35. The David Hide Asthma and Allergy Research Centre, St Mary’s Hospital, Isle of Wight, UK.</w:t>
      </w:r>
    </w:p>
    <w:p w14:paraId="21438A0B" w14:textId="77777777" w:rsidR="00176194" w:rsidRPr="00034439" w:rsidRDefault="00176194" w:rsidP="0080453E">
      <w:pPr>
        <w:spacing w:after="0" w:line="360" w:lineRule="auto"/>
        <w:jc w:val="both"/>
        <w:rPr>
          <w:rFonts w:asciiTheme="minorHAnsi" w:hAnsiTheme="minorHAnsi" w:cstheme="minorHAnsi"/>
          <w:b/>
          <w:bCs/>
        </w:rPr>
      </w:pPr>
    </w:p>
    <w:p w14:paraId="37139A58" w14:textId="77777777" w:rsidR="00C7472E" w:rsidRPr="00034439" w:rsidRDefault="00C7472E" w:rsidP="0080453E">
      <w:pPr>
        <w:spacing w:after="0" w:line="360" w:lineRule="auto"/>
      </w:pPr>
    </w:p>
    <w:p w14:paraId="0614ED5A" w14:textId="77777777" w:rsidR="00974BA4" w:rsidRPr="00034439" w:rsidRDefault="00974BA4" w:rsidP="0080453E">
      <w:pPr>
        <w:spacing w:after="0" w:line="360" w:lineRule="auto"/>
        <w:rPr>
          <w:b/>
          <w:bCs/>
        </w:rPr>
      </w:pPr>
      <w:r w:rsidRPr="00034439">
        <w:rPr>
          <w:b/>
          <w:bCs/>
        </w:rPr>
        <w:t xml:space="preserve">Address for correspondence: </w:t>
      </w:r>
    </w:p>
    <w:p w14:paraId="6BE23ED4" w14:textId="77777777" w:rsidR="00F54AB4" w:rsidRPr="00034439" w:rsidRDefault="00F54AB4" w:rsidP="0080453E">
      <w:pPr>
        <w:spacing w:after="0" w:line="360" w:lineRule="auto"/>
      </w:pPr>
      <w:r w:rsidRPr="00034439">
        <w:t>Antonella Muraro, MD, PhD, Head of the Referral Centre for Food Allergy Diagnosis and Treatment, Veneto Region, Department of Mother and Child Health, University of Padua, Via Giustiniani 3, 35128 Padua, Italy.</w:t>
      </w:r>
    </w:p>
    <w:p w14:paraId="61914080" w14:textId="77777777" w:rsidR="00F54AB4" w:rsidRPr="00034439" w:rsidRDefault="00F54AB4" w:rsidP="0080453E">
      <w:pPr>
        <w:spacing w:after="0" w:line="360" w:lineRule="auto"/>
      </w:pPr>
      <w:r w:rsidRPr="00034439">
        <w:t>Tel.: +39-049-821-2538</w:t>
      </w:r>
    </w:p>
    <w:p w14:paraId="1C646783" w14:textId="77777777" w:rsidR="00F54AB4" w:rsidRPr="00034439" w:rsidRDefault="00F54AB4" w:rsidP="0080453E">
      <w:pPr>
        <w:spacing w:after="0" w:line="360" w:lineRule="auto"/>
      </w:pPr>
      <w:r w:rsidRPr="00034439">
        <w:t>Fax: +39-049-821-8091</w:t>
      </w:r>
    </w:p>
    <w:p w14:paraId="52E3CD7A" w14:textId="77777777" w:rsidR="00974BA4" w:rsidRPr="00034439" w:rsidRDefault="00F54AB4" w:rsidP="0080453E">
      <w:pPr>
        <w:spacing w:after="0" w:line="360" w:lineRule="auto"/>
      </w:pPr>
      <w:r w:rsidRPr="00034439">
        <w:t>E-mail: muraro@centroallergiealimentari.eu</w:t>
      </w:r>
    </w:p>
    <w:p w14:paraId="084EA6B4" w14:textId="77777777" w:rsidR="00F54AB4" w:rsidRPr="00034439" w:rsidRDefault="00F54AB4" w:rsidP="0080453E">
      <w:pPr>
        <w:spacing w:after="0" w:line="360" w:lineRule="auto"/>
        <w:rPr>
          <w:b/>
          <w:bCs/>
        </w:rPr>
      </w:pPr>
    </w:p>
    <w:p w14:paraId="4C5DF1A6" w14:textId="465DD929" w:rsidR="00974BA4" w:rsidRPr="00034439" w:rsidRDefault="00974BA4" w:rsidP="0080453E">
      <w:pPr>
        <w:spacing w:after="0" w:line="360" w:lineRule="auto"/>
      </w:pPr>
      <w:r w:rsidRPr="00034439">
        <w:rPr>
          <w:b/>
          <w:bCs/>
        </w:rPr>
        <w:t xml:space="preserve">Word count: </w:t>
      </w:r>
      <w:r w:rsidR="00DB30F0" w:rsidRPr="003F7602">
        <w:t>3</w:t>
      </w:r>
      <w:r w:rsidR="008266D1" w:rsidRPr="003F7602">
        <w:t>8</w:t>
      </w:r>
      <w:r w:rsidR="003979F9" w:rsidRPr="003F7602">
        <w:t>00</w:t>
      </w:r>
    </w:p>
    <w:p w14:paraId="4B0C583A" w14:textId="0D54D222" w:rsidR="00974BA4" w:rsidRPr="00034439" w:rsidRDefault="00974BA4" w:rsidP="0080453E">
      <w:pPr>
        <w:spacing w:after="0" w:line="360" w:lineRule="auto"/>
      </w:pPr>
      <w:r w:rsidRPr="00034439">
        <w:rPr>
          <w:b/>
          <w:bCs/>
        </w:rPr>
        <w:t>Key words:</w:t>
      </w:r>
      <w:r w:rsidRPr="00034439">
        <w:t xml:space="preserve"> allergic reactions, anaphylaxis, </w:t>
      </w:r>
      <w:r w:rsidR="00B607FA">
        <w:t xml:space="preserve">angioedema, asthma, </w:t>
      </w:r>
      <w:r w:rsidR="00B607FA" w:rsidRPr="00034439">
        <w:t xml:space="preserve">development, drug allergy, </w:t>
      </w:r>
      <w:r w:rsidRPr="00034439">
        <w:t xml:space="preserve">food allergy, severity </w:t>
      </w:r>
      <w:r w:rsidR="00F54AB4" w:rsidRPr="00034439">
        <w:t xml:space="preserve">score, </w:t>
      </w:r>
      <w:r w:rsidR="00B607FA">
        <w:t xml:space="preserve">urticarial, </w:t>
      </w:r>
      <w:r w:rsidRPr="00034439">
        <w:t>validation</w:t>
      </w:r>
      <w:r w:rsidR="00B607FA">
        <w:t>,</w:t>
      </w:r>
      <w:r w:rsidR="00B607FA" w:rsidRPr="00B607FA">
        <w:t xml:space="preserve"> </w:t>
      </w:r>
      <w:r w:rsidR="00B607FA" w:rsidRPr="00034439">
        <w:t>venom allergy,</w:t>
      </w:r>
    </w:p>
    <w:p w14:paraId="33A18AA1" w14:textId="77777777" w:rsidR="00F54AB4" w:rsidRPr="00034439" w:rsidRDefault="00F54AB4" w:rsidP="0080453E">
      <w:pPr>
        <w:spacing w:after="0" w:line="360" w:lineRule="auto"/>
      </w:pPr>
    </w:p>
    <w:p w14:paraId="575008FF" w14:textId="77777777" w:rsidR="00DB661D" w:rsidRPr="00034439" w:rsidRDefault="00DB661D" w:rsidP="0080453E">
      <w:pPr>
        <w:spacing w:after="0" w:line="360" w:lineRule="auto"/>
        <w:rPr>
          <w:b/>
          <w:bCs/>
          <w:highlight w:val="yellow"/>
        </w:rPr>
      </w:pPr>
    </w:p>
    <w:p w14:paraId="3475F58E" w14:textId="77777777" w:rsidR="00DB661D" w:rsidRPr="00034439" w:rsidRDefault="00DB661D" w:rsidP="0080453E">
      <w:pPr>
        <w:spacing w:after="0" w:line="360" w:lineRule="auto"/>
        <w:rPr>
          <w:b/>
          <w:bCs/>
          <w:highlight w:val="yellow"/>
        </w:rPr>
      </w:pPr>
    </w:p>
    <w:p w14:paraId="2C5A170A" w14:textId="77777777" w:rsidR="00AA6B10" w:rsidRPr="00034439" w:rsidRDefault="00AA6B10" w:rsidP="0080453E">
      <w:pPr>
        <w:spacing w:after="0" w:line="360" w:lineRule="auto"/>
        <w:rPr>
          <w:b/>
          <w:bCs/>
        </w:rPr>
      </w:pPr>
      <w:r w:rsidRPr="00034439">
        <w:rPr>
          <w:b/>
          <w:bCs/>
        </w:rPr>
        <w:br w:type="page"/>
      </w:r>
    </w:p>
    <w:p w14:paraId="173294EE" w14:textId="77777777" w:rsidR="00D62AB5" w:rsidRPr="00034439" w:rsidRDefault="000F0409" w:rsidP="0080453E">
      <w:pPr>
        <w:spacing w:after="0" w:line="360" w:lineRule="auto"/>
        <w:rPr>
          <w:b/>
          <w:bCs/>
        </w:rPr>
      </w:pPr>
      <w:r w:rsidRPr="00034439">
        <w:rPr>
          <w:b/>
          <w:bCs/>
        </w:rPr>
        <w:lastRenderedPageBreak/>
        <w:t>Abstract</w:t>
      </w:r>
    </w:p>
    <w:p w14:paraId="0A882E14" w14:textId="0C99B910" w:rsidR="00974BA4" w:rsidRPr="00034439" w:rsidRDefault="00D62AB5" w:rsidP="0080453E">
      <w:pPr>
        <w:spacing w:after="0" w:line="360" w:lineRule="auto"/>
        <w:jc w:val="both"/>
        <w:rPr>
          <w:b/>
          <w:bCs/>
        </w:rPr>
      </w:pPr>
      <w:r w:rsidRPr="00034439">
        <w:rPr>
          <w:rFonts w:asciiTheme="minorHAnsi" w:hAnsiTheme="minorHAnsi" w:cstheme="minorHAnsi"/>
        </w:rPr>
        <w:t xml:space="preserve">The accurate assessment and communication of </w:t>
      </w:r>
      <w:r w:rsidR="00334F5C" w:rsidRPr="00034439">
        <w:rPr>
          <w:rFonts w:asciiTheme="minorHAnsi" w:hAnsiTheme="minorHAnsi" w:cstheme="minorHAnsi"/>
        </w:rPr>
        <w:t xml:space="preserve">the </w:t>
      </w:r>
      <w:r w:rsidRPr="00034439">
        <w:rPr>
          <w:rFonts w:asciiTheme="minorHAnsi" w:hAnsiTheme="minorHAnsi" w:cstheme="minorHAnsi"/>
        </w:rPr>
        <w:t>severity of</w:t>
      </w:r>
      <w:r w:rsidR="001F7185" w:rsidRPr="00034439">
        <w:rPr>
          <w:rFonts w:asciiTheme="minorHAnsi" w:hAnsiTheme="minorHAnsi" w:cstheme="minorHAnsi"/>
        </w:rPr>
        <w:t xml:space="preserve"> acute</w:t>
      </w:r>
      <w:r w:rsidRPr="00034439">
        <w:rPr>
          <w:rFonts w:asciiTheme="minorHAnsi" w:hAnsiTheme="minorHAnsi" w:cstheme="minorHAnsi"/>
        </w:rPr>
        <w:t xml:space="preserve"> allergic reactions is important to</w:t>
      </w:r>
      <w:r w:rsidR="00AA6B10" w:rsidRPr="00034439">
        <w:rPr>
          <w:rFonts w:asciiTheme="minorHAnsi" w:hAnsiTheme="minorHAnsi" w:cstheme="minorHAnsi"/>
        </w:rPr>
        <w:t xml:space="preserve"> </w:t>
      </w:r>
      <w:r w:rsidRPr="00034439">
        <w:rPr>
          <w:rFonts w:asciiTheme="minorHAnsi" w:hAnsiTheme="minorHAnsi" w:cstheme="minorHAnsi"/>
        </w:rPr>
        <w:t xml:space="preserve">patients, clinicians, researchers, </w:t>
      </w:r>
      <w:r w:rsidR="004437E4">
        <w:rPr>
          <w:rFonts w:asciiTheme="minorHAnsi" w:hAnsiTheme="minorHAnsi" w:cstheme="minorHAnsi"/>
        </w:rPr>
        <w:t xml:space="preserve">the </w:t>
      </w:r>
      <w:r w:rsidRPr="00034439">
        <w:rPr>
          <w:rFonts w:asciiTheme="minorHAnsi" w:hAnsiTheme="minorHAnsi" w:cstheme="minorHAnsi"/>
        </w:rPr>
        <w:t>food industry</w:t>
      </w:r>
      <w:r w:rsidR="001E3E64">
        <w:rPr>
          <w:rFonts w:asciiTheme="minorHAnsi" w:hAnsiTheme="minorHAnsi" w:cstheme="minorHAnsi"/>
        </w:rPr>
        <w:t>,</w:t>
      </w:r>
      <w:r w:rsidR="00B607FA">
        <w:rPr>
          <w:rFonts w:asciiTheme="minorHAnsi" w:hAnsiTheme="minorHAnsi" w:cstheme="minorHAnsi"/>
        </w:rPr>
        <w:t xml:space="preserve"> </w:t>
      </w:r>
      <w:r w:rsidRPr="00034439">
        <w:rPr>
          <w:rFonts w:asciiTheme="minorHAnsi" w:hAnsiTheme="minorHAnsi" w:cstheme="minorHAnsi"/>
        </w:rPr>
        <w:t>public health</w:t>
      </w:r>
      <w:r w:rsidR="00334F5C" w:rsidRPr="00034439">
        <w:rPr>
          <w:rFonts w:asciiTheme="minorHAnsi" w:hAnsiTheme="minorHAnsi" w:cstheme="minorHAnsi"/>
        </w:rPr>
        <w:t xml:space="preserve"> and regulatory</w:t>
      </w:r>
      <w:r w:rsidRPr="00034439">
        <w:rPr>
          <w:rFonts w:asciiTheme="minorHAnsi" w:hAnsiTheme="minorHAnsi" w:cstheme="minorHAnsi"/>
        </w:rPr>
        <w:t xml:space="preserve"> authorities. </w:t>
      </w:r>
      <w:r w:rsidR="00DB661D" w:rsidRPr="00034439">
        <w:rPr>
          <w:rFonts w:asciiTheme="minorHAnsi" w:hAnsiTheme="minorHAnsi" w:cstheme="minorHAnsi"/>
        </w:rPr>
        <w:t>Severity has different meaning</w:t>
      </w:r>
      <w:r w:rsidR="00334F5C" w:rsidRPr="00034439">
        <w:rPr>
          <w:rFonts w:asciiTheme="minorHAnsi" w:hAnsiTheme="minorHAnsi" w:cstheme="minorHAnsi"/>
        </w:rPr>
        <w:t>s</w:t>
      </w:r>
      <w:r w:rsidR="00DB661D" w:rsidRPr="00034439">
        <w:rPr>
          <w:rFonts w:asciiTheme="minorHAnsi" w:hAnsiTheme="minorHAnsi" w:cstheme="minorHAnsi"/>
        </w:rPr>
        <w:t xml:space="preserve"> to different stakeholders</w:t>
      </w:r>
      <w:r w:rsidR="00B607FA">
        <w:t xml:space="preserve"> with </w:t>
      </w:r>
      <w:r w:rsidR="00B607FA" w:rsidRPr="00B607FA">
        <w:rPr>
          <w:rFonts w:asciiTheme="minorHAnsi" w:hAnsiTheme="minorHAnsi" w:cstheme="minorHAnsi"/>
        </w:rPr>
        <w:t>patients and clinicians rat</w:t>
      </w:r>
      <w:r w:rsidR="00B607FA">
        <w:rPr>
          <w:rFonts w:asciiTheme="minorHAnsi" w:hAnsiTheme="minorHAnsi" w:cstheme="minorHAnsi"/>
        </w:rPr>
        <w:t>ing</w:t>
      </w:r>
      <w:r w:rsidR="00B607FA" w:rsidRPr="00B607FA">
        <w:rPr>
          <w:rFonts w:asciiTheme="minorHAnsi" w:hAnsiTheme="minorHAnsi" w:cstheme="minorHAnsi"/>
        </w:rPr>
        <w:t xml:space="preserve"> the significance of particular symptoms </w:t>
      </w:r>
      <w:r w:rsidR="00B607FA">
        <w:rPr>
          <w:rFonts w:asciiTheme="minorHAnsi" w:hAnsiTheme="minorHAnsi" w:cstheme="minorHAnsi"/>
        </w:rPr>
        <w:t xml:space="preserve">very </w:t>
      </w:r>
      <w:r w:rsidR="00B607FA" w:rsidRPr="00B607FA">
        <w:rPr>
          <w:rFonts w:asciiTheme="minorHAnsi" w:hAnsiTheme="minorHAnsi" w:cstheme="minorHAnsi"/>
        </w:rPr>
        <w:t>differently</w:t>
      </w:r>
      <w:r w:rsidR="00DB661D" w:rsidRPr="00034439">
        <w:rPr>
          <w:rFonts w:asciiTheme="minorHAnsi" w:hAnsiTheme="minorHAnsi" w:cstheme="minorHAnsi"/>
        </w:rPr>
        <w:t xml:space="preserve">. </w:t>
      </w:r>
      <w:r w:rsidR="001F7185" w:rsidRPr="00034439">
        <w:rPr>
          <w:rFonts w:asciiTheme="minorHAnsi" w:hAnsiTheme="minorHAnsi" w:cstheme="minorHAnsi"/>
        </w:rPr>
        <w:t xml:space="preserve">Many </w:t>
      </w:r>
      <w:r w:rsidR="00DB661D" w:rsidRPr="009D795F">
        <w:rPr>
          <w:rFonts w:asciiTheme="minorHAnsi" w:hAnsiTheme="minorHAnsi" w:cstheme="minorHAnsi"/>
        </w:rPr>
        <w:t xml:space="preserve">severity scoring systems have been </w:t>
      </w:r>
      <w:r w:rsidR="00802DC0" w:rsidRPr="009D795F">
        <w:rPr>
          <w:rFonts w:asciiTheme="minorHAnsi" w:hAnsiTheme="minorHAnsi" w:cstheme="minorHAnsi"/>
        </w:rPr>
        <w:t>generated</w:t>
      </w:r>
      <w:r w:rsidR="00DB661D" w:rsidRPr="009D795F">
        <w:rPr>
          <w:rFonts w:asciiTheme="minorHAnsi" w:hAnsiTheme="minorHAnsi" w:cstheme="minorHAnsi"/>
        </w:rPr>
        <w:t xml:space="preserve">, most focusing on </w:t>
      </w:r>
      <w:r w:rsidR="004437E4">
        <w:rPr>
          <w:rFonts w:asciiTheme="minorHAnsi" w:hAnsiTheme="minorHAnsi" w:cstheme="minorHAnsi"/>
        </w:rPr>
        <w:t xml:space="preserve">the severity of reactions following exposure to </w:t>
      </w:r>
      <w:r w:rsidR="00DB661D" w:rsidRPr="009D795F">
        <w:rPr>
          <w:rFonts w:asciiTheme="minorHAnsi" w:hAnsiTheme="minorHAnsi" w:cstheme="minorHAnsi"/>
        </w:rPr>
        <w:t xml:space="preserve">a </w:t>
      </w:r>
      <w:r w:rsidR="00AA6B10" w:rsidRPr="009D795F">
        <w:rPr>
          <w:rFonts w:asciiTheme="minorHAnsi" w:hAnsiTheme="minorHAnsi" w:cstheme="minorHAnsi"/>
        </w:rPr>
        <w:t>l</w:t>
      </w:r>
      <w:r w:rsidR="006A5F65" w:rsidRPr="009D795F">
        <w:rPr>
          <w:rFonts w:asciiTheme="minorHAnsi" w:hAnsiTheme="minorHAnsi" w:cstheme="minorHAnsi"/>
        </w:rPr>
        <w:t xml:space="preserve">imited </w:t>
      </w:r>
      <w:r w:rsidR="00DB661D" w:rsidRPr="009D795F">
        <w:rPr>
          <w:rFonts w:asciiTheme="minorHAnsi" w:hAnsiTheme="minorHAnsi" w:cstheme="minorHAnsi"/>
        </w:rPr>
        <w:t>group of allergen</w:t>
      </w:r>
      <w:r w:rsidR="004437E4">
        <w:rPr>
          <w:rFonts w:asciiTheme="minorHAnsi" w:hAnsiTheme="minorHAnsi" w:cstheme="minorHAnsi"/>
        </w:rPr>
        <w:t>s</w:t>
      </w:r>
      <w:r w:rsidR="00DB661D" w:rsidRPr="009D795F">
        <w:rPr>
          <w:rFonts w:asciiTheme="minorHAnsi" w:hAnsiTheme="minorHAnsi" w:cstheme="minorHAnsi"/>
        </w:rPr>
        <w:t xml:space="preserve">. They are heterogeneous in format, none </w:t>
      </w:r>
      <w:r w:rsidR="0080453E" w:rsidRPr="009D795F">
        <w:rPr>
          <w:rFonts w:asciiTheme="minorHAnsi" w:hAnsiTheme="minorHAnsi" w:cstheme="minorHAnsi"/>
        </w:rPr>
        <w:t>ha</w:t>
      </w:r>
      <w:r w:rsidR="007B5C97" w:rsidRPr="009D795F">
        <w:rPr>
          <w:rFonts w:asciiTheme="minorHAnsi" w:hAnsiTheme="minorHAnsi" w:cstheme="minorHAnsi"/>
        </w:rPr>
        <w:t>s</w:t>
      </w:r>
      <w:r w:rsidR="00DB661D" w:rsidRPr="009D795F">
        <w:rPr>
          <w:rFonts w:asciiTheme="minorHAnsi" w:hAnsiTheme="minorHAnsi" w:cstheme="minorHAnsi"/>
        </w:rPr>
        <w:t xml:space="preserve"> </w:t>
      </w:r>
      <w:r w:rsidR="006A5F65" w:rsidRPr="009D795F">
        <w:rPr>
          <w:rFonts w:asciiTheme="minorHAnsi" w:hAnsiTheme="minorHAnsi" w:cstheme="minorHAnsi"/>
        </w:rPr>
        <w:t>used</w:t>
      </w:r>
      <w:r w:rsidR="00DB661D" w:rsidRPr="009D795F">
        <w:rPr>
          <w:rFonts w:asciiTheme="minorHAnsi" w:hAnsiTheme="minorHAnsi" w:cstheme="minorHAnsi"/>
        </w:rPr>
        <w:t xml:space="preserve"> an accepted deve</w:t>
      </w:r>
      <w:r w:rsidR="0080453E" w:rsidRPr="009D795F">
        <w:rPr>
          <w:rFonts w:asciiTheme="minorHAnsi" w:hAnsiTheme="minorHAnsi" w:cstheme="minorHAnsi"/>
        </w:rPr>
        <w:t>lopmental approach and none ha</w:t>
      </w:r>
      <w:r w:rsidR="007B5C97" w:rsidRPr="009D795F">
        <w:rPr>
          <w:rFonts w:asciiTheme="minorHAnsi" w:hAnsiTheme="minorHAnsi" w:cstheme="minorHAnsi"/>
        </w:rPr>
        <w:t>s</w:t>
      </w:r>
      <w:r w:rsidR="00DB661D" w:rsidRPr="009D795F">
        <w:rPr>
          <w:rFonts w:asciiTheme="minorHAnsi" w:hAnsiTheme="minorHAnsi" w:cstheme="minorHAnsi"/>
        </w:rPr>
        <w:t xml:space="preserve"> been validated. </w:t>
      </w:r>
      <w:r w:rsidR="00B239EE" w:rsidRPr="009D795F">
        <w:rPr>
          <w:rFonts w:asciiTheme="minorHAnsi" w:hAnsiTheme="minorHAnsi" w:cstheme="minorHAnsi"/>
        </w:rPr>
        <w:t>The</w:t>
      </w:r>
      <w:r w:rsidR="00AA6B10" w:rsidRPr="009D795F">
        <w:rPr>
          <w:rFonts w:asciiTheme="minorHAnsi" w:hAnsiTheme="minorHAnsi" w:cstheme="minorHAnsi"/>
        </w:rPr>
        <w:t xml:space="preserve">ir </w:t>
      </w:r>
      <w:r w:rsidR="00B239EE" w:rsidRPr="009D795F">
        <w:rPr>
          <w:rFonts w:asciiTheme="minorHAnsi" w:hAnsiTheme="minorHAnsi" w:cstheme="minorHAnsi"/>
        </w:rPr>
        <w:t>wide range of outcome</w:t>
      </w:r>
      <w:r w:rsidR="00AA6B10" w:rsidRPr="009D795F">
        <w:rPr>
          <w:rFonts w:asciiTheme="minorHAnsi" w:hAnsiTheme="minorHAnsi" w:cstheme="minorHAnsi"/>
        </w:rPr>
        <w:t xml:space="preserve"> formats ha</w:t>
      </w:r>
      <w:r w:rsidR="00B239EE" w:rsidRPr="009D795F">
        <w:rPr>
          <w:rFonts w:asciiTheme="minorHAnsi" w:hAnsiTheme="minorHAnsi" w:cstheme="minorHAnsi"/>
        </w:rPr>
        <w:t>s led to difficulties with interpretation and application.</w:t>
      </w:r>
      <w:r w:rsidR="00C53420">
        <w:rPr>
          <w:rFonts w:asciiTheme="minorHAnsi" w:hAnsiTheme="minorHAnsi" w:cstheme="minorHAnsi"/>
        </w:rPr>
        <w:t xml:space="preserve"> </w:t>
      </w:r>
      <w:r w:rsidR="00334F5C" w:rsidRPr="009D795F">
        <w:rPr>
          <w:rFonts w:asciiTheme="minorHAnsi" w:hAnsiTheme="minorHAnsi" w:cstheme="minorHAnsi"/>
        </w:rPr>
        <w:t>T</w:t>
      </w:r>
      <w:r w:rsidR="00DB661D" w:rsidRPr="009D795F">
        <w:rPr>
          <w:rFonts w:asciiTheme="minorHAnsi" w:hAnsiTheme="minorHAnsi" w:cstheme="minorHAnsi"/>
        </w:rPr>
        <w:t>here</w:t>
      </w:r>
      <w:r w:rsidR="007B5C97" w:rsidRPr="009D795F">
        <w:rPr>
          <w:rFonts w:asciiTheme="minorHAnsi" w:hAnsiTheme="minorHAnsi" w:cstheme="minorHAnsi"/>
        </w:rPr>
        <w:t xml:space="preserve">fore there </w:t>
      </w:r>
      <w:r w:rsidR="00DB661D" w:rsidRPr="009D795F">
        <w:rPr>
          <w:rFonts w:asciiTheme="minorHAnsi" w:hAnsiTheme="minorHAnsi" w:cstheme="minorHAnsi"/>
        </w:rPr>
        <w:t>is</w:t>
      </w:r>
      <w:r w:rsidR="00334F5C" w:rsidRPr="009D795F">
        <w:rPr>
          <w:rFonts w:asciiTheme="minorHAnsi" w:hAnsiTheme="minorHAnsi" w:cstheme="minorHAnsi"/>
        </w:rPr>
        <w:t xml:space="preserve"> </w:t>
      </w:r>
      <w:r w:rsidR="00DB661D" w:rsidRPr="009D795F">
        <w:rPr>
          <w:rFonts w:asciiTheme="minorHAnsi" w:hAnsiTheme="minorHAnsi" w:cstheme="minorHAnsi"/>
        </w:rPr>
        <w:t xml:space="preserve">a </w:t>
      </w:r>
      <w:r w:rsidR="007B5C97" w:rsidRPr="009D795F">
        <w:rPr>
          <w:rFonts w:asciiTheme="minorHAnsi" w:hAnsiTheme="minorHAnsi" w:cstheme="minorHAnsi"/>
        </w:rPr>
        <w:t xml:space="preserve">persisting </w:t>
      </w:r>
      <w:r w:rsidR="00DB661D" w:rsidRPr="009D795F">
        <w:rPr>
          <w:rFonts w:asciiTheme="minorHAnsi" w:hAnsiTheme="minorHAnsi" w:cstheme="minorHAnsi"/>
        </w:rPr>
        <w:t>need for a</w:t>
      </w:r>
      <w:r w:rsidR="003D65EC" w:rsidRPr="009D795F">
        <w:rPr>
          <w:rFonts w:asciiTheme="minorHAnsi" w:hAnsiTheme="minorHAnsi" w:cstheme="minorHAnsi"/>
        </w:rPr>
        <w:t>n</w:t>
      </w:r>
      <w:r w:rsidR="00DB661D" w:rsidRPr="009D795F">
        <w:rPr>
          <w:rFonts w:asciiTheme="minorHAnsi" w:hAnsiTheme="minorHAnsi" w:cstheme="minorHAnsi"/>
        </w:rPr>
        <w:t xml:space="preserve"> </w:t>
      </w:r>
      <w:r w:rsidR="007B5C97" w:rsidRPr="009D795F">
        <w:rPr>
          <w:rFonts w:asciiTheme="minorHAnsi" w:hAnsiTheme="minorHAnsi" w:cstheme="minorHAnsi"/>
        </w:rPr>
        <w:t xml:space="preserve">appropriately developed and validated </w:t>
      </w:r>
      <w:r w:rsidR="00DB661D" w:rsidRPr="009D795F">
        <w:rPr>
          <w:rFonts w:asciiTheme="minorHAnsi" w:hAnsiTheme="minorHAnsi" w:cstheme="minorHAnsi"/>
        </w:rPr>
        <w:t xml:space="preserve">severity scoring system for allergic reactions that works across the range of allergenic triggers and addresses the needs of </w:t>
      </w:r>
      <w:r w:rsidR="00334F5C" w:rsidRPr="00034439">
        <w:rPr>
          <w:rFonts w:asciiTheme="minorHAnsi" w:hAnsiTheme="minorHAnsi" w:cstheme="minorHAnsi"/>
        </w:rPr>
        <w:t>different</w:t>
      </w:r>
      <w:r w:rsidR="00DB661D" w:rsidRPr="00034439">
        <w:rPr>
          <w:rFonts w:asciiTheme="minorHAnsi" w:hAnsiTheme="minorHAnsi" w:cstheme="minorHAnsi"/>
        </w:rPr>
        <w:t xml:space="preserve"> stakeholder</w:t>
      </w:r>
      <w:r w:rsidR="00334F5C" w:rsidRPr="00034439">
        <w:rPr>
          <w:rFonts w:asciiTheme="minorHAnsi" w:hAnsiTheme="minorHAnsi" w:cstheme="minorHAnsi"/>
        </w:rPr>
        <w:t xml:space="preserve"> group</w:t>
      </w:r>
      <w:r w:rsidR="00DB661D" w:rsidRPr="00034439">
        <w:rPr>
          <w:rFonts w:asciiTheme="minorHAnsi" w:hAnsiTheme="minorHAnsi" w:cstheme="minorHAnsi"/>
        </w:rPr>
        <w:t>s.</w:t>
      </w:r>
      <w:r w:rsidR="00407131" w:rsidRPr="00034439">
        <w:rPr>
          <w:rFonts w:asciiTheme="minorHAnsi" w:hAnsiTheme="minorHAnsi" w:cstheme="minorHAnsi"/>
        </w:rPr>
        <w:t xml:space="preserve"> </w:t>
      </w:r>
      <w:r w:rsidRPr="00034439">
        <w:rPr>
          <w:rFonts w:asciiTheme="minorHAnsi" w:hAnsiTheme="minorHAnsi" w:cstheme="minorHAnsi"/>
        </w:rPr>
        <w:t>We propose a</w:t>
      </w:r>
      <w:r w:rsidR="006A5F65" w:rsidRPr="00034439">
        <w:rPr>
          <w:rFonts w:asciiTheme="minorHAnsi" w:hAnsiTheme="minorHAnsi" w:cstheme="minorHAnsi"/>
        </w:rPr>
        <w:t xml:space="preserve"> novel </w:t>
      </w:r>
      <w:r w:rsidR="00DB661D" w:rsidRPr="00034439">
        <w:rPr>
          <w:rFonts w:asciiTheme="minorHAnsi" w:hAnsiTheme="minorHAnsi" w:cstheme="minorHAnsi"/>
        </w:rPr>
        <w:t xml:space="preserve">approach to </w:t>
      </w:r>
      <w:r w:rsidR="006A5F65" w:rsidRPr="00034439">
        <w:rPr>
          <w:rFonts w:asciiTheme="minorHAnsi" w:hAnsiTheme="minorHAnsi" w:cstheme="minorHAnsi"/>
        </w:rPr>
        <w:t xml:space="preserve">develop </w:t>
      </w:r>
      <w:r w:rsidR="007B5C97" w:rsidRPr="00034439">
        <w:rPr>
          <w:rFonts w:asciiTheme="minorHAnsi" w:hAnsiTheme="minorHAnsi" w:cstheme="minorHAnsi"/>
        </w:rPr>
        <w:t xml:space="preserve">and then validate </w:t>
      </w:r>
      <w:r w:rsidR="00DB661D" w:rsidRPr="00034439">
        <w:rPr>
          <w:rFonts w:asciiTheme="minorHAnsi" w:hAnsiTheme="minorHAnsi" w:cstheme="minorHAnsi"/>
        </w:rPr>
        <w:t>a</w:t>
      </w:r>
      <w:r w:rsidRPr="00034439">
        <w:rPr>
          <w:rFonts w:asciiTheme="minorHAnsi" w:hAnsiTheme="minorHAnsi" w:cstheme="minorHAnsi"/>
        </w:rPr>
        <w:t xml:space="preserve"> </w:t>
      </w:r>
      <w:r w:rsidR="004437E4" w:rsidRPr="00034439">
        <w:rPr>
          <w:rFonts w:asciiTheme="minorHAnsi" w:hAnsiTheme="minorHAnsi" w:cstheme="minorHAnsi"/>
        </w:rPr>
        <w:t>harmoni</w:t>
      </w:r>
      <w:r w:rsidR="004437E4">
        <w:rPr>
          <w:rFonts w:asciiTheme="minorHAnsi" w:hAnsiTheme="minorHAnsi" w:cstheme="minorHAnsi"/>
        </w:rPr>
        <w:t>z</w:t>
      </w:r>
      <w:r w:rsidR="004437E4" w:rsidRPr="00034439">
        <w:rPr>
          <w:rFonts w:asciiTheme="minorHAnsi" w:hAnsiTheme="minorHAnsi" w:cstheme="minorHAnsi"/>
        </w:rPr>
        <w:t xml:space="preserve">ed </w:t>
      </w:r>
      <w:r w:rsidRPr="00034439">
        <w:rPr>
          <w:rFonts w:asciiTheme="minorHAnsi" w:hAnsiTheme="minorHAnsi" w:cstheme="minorHAnsi"/>
        </w:rPr>
        <w:t xml:space="preserve">scoring system for </w:t>
      </w:r>
      <w:r w:rsidR="004437E4">
        <w:rPr>
          <w:rFonts w:asciiTheme="minorHAnsi" w:hAnsiTheme="minorHAnsi" w:cstheme="minorHAnsi"/>
        </w:rPr>
        <w:t xml:space="preserve">acute </w:t>
      </w:r>
      <w:r w:rsidRPr="00034439">
        <w:rPr>
          <w:rFonts w:asciiTheme="minorHAnsi" w:hAnsiTheme="minorHAnsi" w:cstheme="minorHAnsi"/>
        </w:rPr>
        <w:t>allergic reactions</w:t>
      </w:r>
      <w:r w:rsidR="00B239EE" w:rsidRPr="00034439">
        <w:rPr>
          <w:rFonts w:asciiTheme="minorHAnsi" w:hAnsiTheme="minorHAnsi" w:cstheme="minorHAnsi"/>
        </w:rPr>
        <w:t>,</w:t>
      </w:r>
      <w:r w:rsidR="00AA6B10" w:rsidRPr="00034439">
        <w:rPr>
          <w:rFonts w:asciiTheme="minorHAnsi" w:hAnsiTheme="minorHAnsi" w:cstheme="minorHAnsi"/>
        </w:rPr>
        <w:t xml:space="preserve"> </w:t>
      </w:r>
      <w:r w:rsidRPr="00034439">
        <w:rPr>
          <w:rFonts w:asciiTheme="minorHAnsi" w:hAnsiTheme="minorHAnsi" w:cstheme="minorHAnsi"/>
        </w:rPr>
        <w:t>based on a data</w:t>
      </w:r>
      <w:r w:rsidR="007B5C97" w:rsidRPr="00034439">
        <w:rPr>
          <w:rFonts w:asciiTheme="minorHAnsi" w:hAnsiTheme="minorHAnsi" w:cstheme="minorHAnsi"/>
        </w:rPr>
        <w:t>-</w:t>
      </w:r>
      <w:r w:rsidRPr="00034439">
        <w:rPr>
          <w:rFonts w:asciiTheme="minorHAnsi" w:hAnsiTheme="minorHAnsi" w:cstheme="minorHAnsi"/>
        </w:rPr>
        <w:t xml:space="preserve">driven </w:t>
      </w:r>
      <w:r w:rsidR="00DB661D" w:rsidRPr="00034439">
        <w:rPr>
          <w:rFonts w:asciiTheme="minorHAnsi" w:hAnsiTheme="minorHAnsi" w:cstheme="minorHAnsi"/>
        </w:rPr>
        <w:t>method</w:t>
      </w:r>
      <w:r w:rsidRPr="00034439">
        <w:rPr>
          <w:rFonts w:asciiTheme="minorHAnsi" w:hAnsiTheme="minorHAnsi" w:cstheme="minorHAnsi"/>
        </w:rPr>
        <w:t xml:space="preserve"> that is informed by clinical</w:t>
      </w:r>
      <w:r w:rsidR="00407131" w:rsidRPr="00034439">
        <w:rPr>
          <w:rFonts w:asciiTheme="minorHAnsi" w:hAnsiTheme="minorHAnsi" w:cstheme="minorHAnsi"/>
        </w:rPr>
        <w:t xml:space="preserve"> and patient</w:t>
      </w:r>
      <w:r w:rsidRPr="00034439">
        <w:rPr>
          <w:rFonts w:asciiTheme="minorHAnsi" w:hAnsiTheme="minorHAnsi" w:cstheme="minorHAnsi"/>
        </w:rPr>
        <w:t xml:space="preserve"> experience</w:t>
      </w:r>
      <w:r w:rsidR="00407131" w:rsidRPr="00034439">
        <w:rPr>
          <w:rFonts w:asciiTheme="minorHAnsi" w:hAnsiTheme="minorHAnsi" w:cstheme="minorHAnsi"/>
        </w:rPr>
        <w:t xml:space="preserve"> and </w:t>
      </w:r>
      <w:r w:rsidR="00640148" w:rsidRPr="00034439">
        <w:rPr>
          <w:rFonts w:asciiTheme="minorHAnsi" w:hAnsiTheme="minorHAnsi" w:cstheme="minorHAnsi"/>
        </w:rPr>
        <w:t>other stakeholders’</w:t>
      </w:r>
      <w:r w:rsidR="00407131" w:rsidRPr="00034439">
        <w:rPr>
          <w:rFonts w:asciiTheme="minorHAnsi" w:hAnsiTheme="minorHAnsi" w:cstheme="minorHAnsi"/>
        </w:rPr>
        <w:t xml:space="preserve"> perspectives</w:t>
      </w:r>
      <w:r w:rsidRPr="00034439">
        <w:rPr>
          <w:rFonts w:asciiTheme="minorHAnsi" w:hAnsiTheme="minorHAnsi" w:cstheme="minorHAnsi"/>
        </w:rPr>
        <w:t xml:space="preserve">. </w:t>
      </w:r>
      <w:r w:rsidR="00334F5C" w:rsidRPr="00034439">
        <w:rPr>
          <w:rFonts w:asciiTheme="minorHAnsi" w:hAnsiTheme="minorHAnsi" w:cstheme="minorHAnsi"/>
        </w:rPr>
        <w:t>We envisage</w:t>
      </w:r>
      <w:r w:rsidRPr="00034439">
        <w:rPr>
          <w:rFonts w:asciiTheme="minorHAnsi" w:hAnsiTheme="minorHAnsi" w:cstheme="minorHAnsi"/>
        </w:rPr>
        <w:t xml:space="preserve"> two </w:t>
      </w:r>
      <w:r w:rsidR="00DB661D" w:rsidRPr="00034439">
        <w:rPr>
          <w:rFonts w:asciiTheme="minorHAnsi" w:hAnsiTheme="minorHAnsi" w:cstheme="minorHAnsi"/>
        </w:rPr>
        <w:t>formats:</w:t>
      </w:r>
      <w:r w:rsidRPr="00034439">
        <w:rPr>
          <w:rFonts w:asciiTheme="minorHAnsi" w:hAnsiTheme="minorHAnsi" w:cstheme="minorHAnsi"/>
        </w:rPr>
        <w:t xml:space="preserve"> </w:t>
      </w:r>
      <w:r w:rsidR="00DB661D" w:rsidRPr="00034439">
        <w:rPr>
          <w:rFonts w:asciiTheme="minorHAnsi" w:hAnsiTheme="minorHAnsi" w:cstheme="minorHAnsi"/>
        </w:rPr>
        <w:t xml:space="preserve">(i) </w:t>
      </w:r>
      <w:r w:rsidRPr="00034439">
        <w:rPr>
          <w:rFonts w:asciiTheme="minorHAnsi" w:hAnsiTheme="minorHAnsi" w:cstheme="minorHAnsi"/>
        </w:rPr>
        <w:t>a numerical</w:t>
      </w:r>
      <w:r w:rsidR="00334F5C" w:rsidRPr="00034439">
        <w:rPr>
          <w:rFonts w:asciiTheme="minorHAnsi" w:hAnsiTheme="minorHAnsi" w:cstheme="minorHAnsi"/>
        </w:rPr>
        <w:t xml:space="preserve"> score</w:t>
      </w:r>
      <w:r w:rsidRPr="00034439">
        <w:rPr>
          <w:rFonts w:asciiTheme="minorHAnsi" w:hAnsiTheme="minorHAnsi" w:cstheme="minorHAnsi"/>
        </w:rPr>
        <w:t xml:space="preserve"> giving a continuum from mild to severe reactions that is clinically meaningful</w:t>
      </w:r>
      <w:r w:rsidR="001F7185" w:rsidRPr="00034439">
        <w:rPr>
          <w:rFonts w:asciiTheme="minorHAnsi" w:hAnsiTheme="minorHAnsi" w:cstheme="minorHAnsi"/>
        </w:rPr>
        <w:t xml:space="preserve"> and is</w:t>
      </w:r>
      <w:r w:rsidR="00DB661D" w:rsidRPr="00034439">
        <w:rPr>
          <w:rFonts w:asciiTheme="minorHAnsi" w:hAnsiTheme="minorHAnsi" w:cstheme="minorHAnsi"/>
        </w:rPr>
        <w:t xml:space="preserve"> useful for allergy healthcare professionals and researchers</w:t>
      </w:r>
      <w:r w:rsidR="004437E4">
        <w:rPr>
          <w:rFonts w:asciiTheme="minorHAnsi" w:hAnsiTheme="minorHAnsi" w:cstheme="minorHAnsi"/>
        </w:rPr>
        <w:t>;</w:t>
      </w:r>
      <w:r w:rsidRPr="00034439">
        <w:rPr>
          <w:rFonts w:asciiTheme="minorHAnsi" w:hAnsiTheme="minorHAnsi" w:cstheme="minorHAnsi"/>
        </w:rPr>
        <w:t xml:space="preserve"> and </w:t>
      </w:r>
      <w:r w:rsidR="00DB661D" w:rsidRPr="00034439">
        <w:rPr>
          <w:rFonts w:asciiTheme="minorHAnsi" w:hAnsiTheme="minorHAnsi" w:cstheme="minorHAnsi"/>
        </w:rPr>
        <w:t xml:space="preserve">(ii) </w:t>
      </w:r>
      <w:r w:rsidRPr="00034439">
        <w:rPr>
          <w:rFonts w:asciiTheme="minorHAnsi" w:hAnsiTheme="minorHAnsi" w:cstheme="minorHAnsi"/>
        </w:rPr>
        <w:t xml:space="preserve">a three grade based </w:t>
      </w:r>
      <w:r w:rsidR="00334F5C" w:rsidRPr="00034439">
        <w:rPr>
          <w:rFonts w:asciiTheme="minorHAnsi" w:hAnsiTheme="minorHAnsi" w:cstheme="minorHAnsi"/>
        </w:rPr>
        <w:t xml:space="preserve">ordinal </w:t>
      </w:r>
      <w:r w:rsidRPr="00034439">
        <w:rPr>
          <w:rFonts w:asciiTheme="minorHAnsi" w:hAnsiTheme="minorHAnsi" w:cstheme="minorHAnsi"/>
        </w:rPr>
        <w:t>format</w:t>
      </w:r>
      <w:r w:rsidR="00DB661D" w:rsidRPr="00034439">
        <w:rPr>
          <w:rFonts w:asciiTheme="minorHAnsi" w:hAnsiTheme="minorHAnsi" w:cstheme="minorHAnsi"/>
        </w:rPr>
        <w:t xml:space="preserve"> that is simple enough to be used </w:t>
      </w:r>
      <w:r w:rsidR="00407131" w:rsidRPr="00034439">
        <w:rPr>
          <w:rFonts w:asciiTheme="minorHAnsi" w:hAnsiTheme="minorHAnsi" w:cstheme="minorHAnsi"/>
        </w:rPr>
        <w:t xml:space="preserve">and understood </w:t>
      </w:r>
      <w:r w:rsidR="00DB661D" w:rsidRPr="00034439">
        <w:rPr>
          <w:rFonts w:asciiTheme="minorHAnsi" w:hAnsiTheme="minorHAnsi" w:cstheme="minorHAnsi"/>
        </w:rPr>
        <w:t xml:space="preserve">by </w:t>
      </w:r>
      <w:r w:rsidR="00ED7320">
        <w:rPr>
          <w:rFonts w:asciiTheme="minorHAnsi" w:hAnsiTheme="minorHAnsi" w:cstheme="minorHAnsi"/>
        </w:rPr>
        <w:t>other professionals and patients</w:t>
      </w:r>
      <w:r w:rsidR="00407131" w:rsidRPr="00034439">
        <w:rPr>
          <w:rFonts w:asciiTheme="minorHAnsi" w:hAnsiTheme="minorHAnsi" w:cstheme="minorHAnsi"/>
        </w:rPr>
        <w:t xml:space="preserve">. </w:t>
      </w:r>
      <w:r w:rsidR="00261877" w:rsidRPr="00034439">
        <w:rPr>
          <w:rFonts w:asciiTheme="minorHAnsi" w:hAnsiTheme="minorHAnsi" w:cstheme="minorHAnsi"/>
        </w:rPr>
        <w:t>Testing of reliability and validity</w:t>
      </w:r>
      <w:r w:rsidR="00B239EE" w:rsidRPr="00034439">
        <w:rPr>
          <w:rFonts w:asciiTheme="minorHAnsi" w:hAnsiTheme="minorHAnsi" w:cstheme="minorHAnsi"/>
        </w:rPr>
        <w:t xml:space="preserve"> of the new approach</w:t>
      </w:r>
      <w:r w:rsidR="00261877" w:rsidRPr="00034439">
        <w:rPr>
          <w:rFonts w:asciiTheme="minorHAnsi" w:hAnsiTheme="minorHAnsi" w:cstheme="minorHAnsi"/>
        </w:rPr>
        <w:t xml:space="preserve"> in a range of settings and populations will allow eventual implementation of a </w:t>
      </w:r>
      <w:r w:rsidR="004437E4" w:rsidRPr="00034439">
        <w:rPr>
          <w:rFonts w:asciiTheme="minorHAnsi" w:hAnsiTheme="minorHAnsi" w:cstheme="minorHAnsi"/>
        </w:rPr>
        <w:t>standardi</w:t>
      </w:r>
      <w:r w:rsidR="004437E4">
        <w:rPr>
          <w:rFonts w:asciiTheme="minorHAnsi" w:hAnsiTheme="minorHAnsi" w:cstheme="minorHAnsi"/>
        </w:rPr>
        <w:t>z</w:t>
      </w:r>
      <w:r w:rsidR="004437E4" w:rsidRPr="00034439">
        <w:rPr>
          <w:rFonts w:asciiTheme="minorHAnsi" w:hAnsiTheme="minorHAnsi" w:cstheme="minorHAnsi"/>
        </w:rPr>
        <w:t xml:space="preserve">ed </w:t>
      </w:r>
      <w:r w:rsidR="00261877" w:rsidRPr="00034439">
        <w:rPr>
          <w:rFonts w:asciiTheme="minorHAnsi" w:hAnsiTheme="minorHAnsi" w:cstheme="minorHAnsi"/>
        </w:rPr>
        <w:t>scoring system in clinical studies and routine practice.</w:t>
      </w:r>
    </w:p>
    <w:p w14:paraId="255C70E9" w14:textId="77777777" w:rsidR="000F0409" w:rsidRPr="00034439" w:rsidRDefault="000F0409" w:rsidP="0080453E">
      <w:pPr>
        <w:spacing w:after="0" w:line="360" w:lineRule="auto"/>
      </w:pPr>
    </w:p>
    <w:p w14:paraId="66646499" w14:textId="77777777" w:rsidR="002E6402" w:rsidRPr="00034439" w:rsidRDefault="002E6402" w:rsidP="002E6402">
      <w:pPr>
        <w:spacing w:after="0" w:line="360" w:lineRule="auto"/>
        <w:jc w:val="both"/>
        <w:rPr>
          <w:b/>
        </w:rPr>
      </w:pPr>
      <w:r w:rsidRPr="00034439">
        <w:rPr>
          <w:b/>
        </w:rPr>
        <w:br w:type="page"/>
      </w:r>
    </w:p>
    <w:p w14:paraId="34742623" w14:textId="77777777" w:rsidR="00DB661D" w:rsidRPr="00034439" w:rsidRDefault="00DB661D" w:rsidP="0080453E">
      <w:pPr>
        <w:spacing w:after="0" w:line="360" w:lineRule="auto"/>
        <w:jc w:val="both"/>
        <w:rPr>
          <w:b/>
        </w:rPr>
      </w:pPr>
      <w:r w:rsidRPr="00034439">
        <w:rPr>
          <w:b/>
        </w:rPr>
        <w:lastRenderedPageBreak/>
        <w:t>Introduction</w:t>
      </w:r>
    </w:p>
    <w:p w14:paraId="66E7DD69" w14:textId="31EB274B" w:rsidR="002933A1" w:rsidRPr="00034439" w:rsidRDefault="002933A1" w:rsidP="0080453E">
      <w:pPr>
        <w:spacing w:after="0" w:line="360" w:lineRule="auto"/>
        <w:jc w:val="both"/>
      </w:pPr>
      <w:r w:rsidRPr="00034439">
        <w:t xml:space="preserve">IgE-mediated allergy affects </w:t>
      </w:r>
      <w:r w:rsidR="00334F5C" w:rsidRPr="00034439">
        <w:t>people</w:t>
      </w:r>
      <w:r w:rsidRPr="00034439">
        <w:t xml:space="preserve"> of all age groups across the world (</w:t>
      </w:r>
      <w:r w:rsidR="00384860" w:rsidRPr="00034439">
        <w:t>1</w:t>
      </w:r>
      <w:r w:rsidRPr="00034439">
        <w:t>). Allergic reactions are triggered by a wide range of allergen</w:t>
      </w:r>
      <w:r w:rsidR="00640148" w:rsidRPr="00034439">
        <w:t xml:space="preserve"> </w:t>
      </w:r>
      <w:r w:rsidRPr="00034439">
        <w:t>s</w:t>
      </w:r>
      <w:r w:rsidR="00640148" w:rsidRPr="00034439">
        <w:t>ources</w:t>
      </w:r>
      <w:r w:rsidRPr="00034439">
        <w:t xml:space="preserve"> including foods, stinging insects</w:t>
      </w:r>
      <w:r w:rsidR="00640148" w:rsidRPr="00034439">
        <w:t>,</w:t>
      </w:r>
      <w:r w:rsidRPr="00034439">
        <w:t xml:space="preserve"> </w:t>
      </w:r>
      <w:r w:rsidR="00640148" w:rsidRPr="00034439">
        <w:t xml:space="preserve">house dust mite, </w:t>
      </w:r>
      <w:r w:rsidR="00ED7320">
        <w:t xml:space="preserve">pollens, moulds, </w:t>
      </w:r>
      <w:r w:rsidRPr="00034439">
        <w:t>drugs</w:t>
      </w:r>
      <w:r w:rsidR="001C1C24" w:rsidRPr="00034439">
        <w:t xml:space="preserve"> and animal dander</w:t>
      </w:r>
      <w:r w:rsidRPr="00034439">
        <w:t xml:space="preserve">, causing manifestations affecting many different organ systems. </w:t>
      </w:r>
      <w:r w:rsidR="004A63A5">
        <w:t xml:space="preserve">Although most are IgE mediated allergic reactions, there are overlapping presentations with other pathophysiologies (eg anaphylactoid reactions). </w:t>
      </w:r>
      <w:r w:rsidRPr="00034439">
        <w:t>Severity of reactions vary, both between episodes within the same individual and between different individuals (</w:t>
      </w:r>
      <w:r w:rsidR="00384860" w:rsidRPr="00034439">
        <w:t>2</w:t>
      </w:r>
      <w:r w:rsidR="00C80C15" w:rsidRPr="00034439">
        <w:t>)</w:t>
      </w:r>
      <w:r w:rsidRPr="00034439">
        <w:t>. Symptoms range from mild, self-limiting local reactions to life-threatening anaphylaxis. Perception is critical, with differen</w:t>
      </w:r>
      <w:r w:rsidR="007A4AED" w:rsidRPr="00034439">
        <w:t>t</w:t>
      </w:r>
      <w:r w:rsidRPr="00034439">
        <w:t xml:space="preserve"> stakeholders often having very different views about the apparent severity of the same reaction. Th</w:t>
      </w:r>
      <w:r w:rsidR="001F7185" w:rsidRPr="00034439">
        <w:t>ese differences are</w:t>
      </w:r>
      <w:r w:rsidRPr="00034439">
        <w:t xml:space="preserve"> important</w:t>
      </w:r>
      <w:r w:rsidR="001F7185" w:rsidRPr="00034439">
        <w:t xml:space="preserve"> because </w:t>
      </w:r>
      <w:r w:rsidRPr="00034439">
        <w:t>the severity of a reaction guides both the immediate and long-term management of the patient (</w:t>
      </w:r>
      <w:r w:rsidR="00384860" w:rsidRPr="00034439">
        <w:t>3</w:t>
      </w:r>
      <w:r w:rsidRPr="00034439">
        <w:t xml:space="preserve">). It is therefore vital to be able to </w:t>
      </w:r>
      <w:r w:rsidR="00E36AF9" w:rsidRPr="00034439">
        <w:t xml:space="preserve">describe </w:t>
      </w:r>
      <w:r w:rsidRPr="005F5E14">
        <w:t xml:space="preserve">accurately the severity of previous reactions to </w:t>
      </w:r>
      <w:r w:rsidR="004437E4" w:rsidRPr="005F5E14">
        <w:rPr>
          <w:rFonts w:asciiTheme="minorHAnsi" w:hAnsiTheme="minorHAnsi" w:cstheme="minorHAnsi"/>
        </w:rPr>
        <w:t>optimi</w:t>
      </w:r>
      <w:r w:rsidR="004437E4">
        <w:rPr>
          <w:rFonts w:asciiTheme="minorHAnsi" w:hAnsiTheme="minorHAnsi" w:cstheme="minorHAnsi"/>
        </w:rPr>
        <w:t>z</w:t>
      </w:r>
      <w:r w:rsidR="004437E4" w:rsidRPr="005F5E14">
        <w:rPr>
          <w:rFonts w:asciiTheme="minorHAnsi" w:hAnsiTheme="minorHAnsi" w:cstheme="minorHAnsi"/>
        </w:rPr>
        <w:t xml:space="preserve">e </w:t>
      </w:r>
      <w:r w:rsidR="00C62AE2" w:rsidRPr="005F5E14">
        <w:rPr>
          <w:rFonts w:asciiTheme="minorHAnsi" w:hAnsiTheme="minorHAnsi" w:cstheme="minorHAnsi"/>
        </w:rPr>
        <w:t xml:space="preserve">both </w:t>
      </w:r>
      <w:r w:rsidR="007B5C97" w:rsidRPr="00CD6B47">
        <w:rPr>
          <w:rFonts w:asciiTheme="minorHAnsi" w:hAnsiTheme="minorHAnsi" w:cstheme="minorHAnsi"/>
        </w:rPr>
        <w:t>immediate care</w:t>
      </w:r>
      <w:r w:rsidR="004437E4">
        <w:rPr>
          <w:rFonts w:asciiTheme="minorHAnsi" w:hAnsiTheme="minorHAnsi" w:cstheme="minorHAnsi"/>
        </w:rPr>
        <w:t xml:space="preserve"> decisions</w:t>
      </w:r>
      <w:r w:rsidR="007B5C97" w:rsidRPr="00034439">
        <w:rPr>
          <w:rFonts w:asciiTheme="minorHAnsi" w:hAnsiTheme="minorHAnsi" w:cstheme="minorHAnsi"/>
        </w:rPr>
        <w:t xml:space="preserve"> and </w:t>
      </w:r>
      <w:r w:rsidR="00E36AF9" w:rsidRPr="00034439">
        <w:rPr>
          <w:rFonts w:asciiTheme="minorHAnsi" w:hAnsiTheme="minorHAnsi" w:cstheme="minorHAnsi"/>
        </w:rPr>
        <w:t xml:space="preserve">ongoing </w:t>
      </w:r>
      <w:r w:rsidRPr="005F5E14">
        <w:rPr>
          <w:rFonts w:asciiTheme="minorHAnsi" w:hAnsiTheme="minorHAnsi" w:cstheme="minorHAnsi"/>
        </w:rPr>
        <w:t xml:space="preserve">patient management. </w:t>
      </w:r>
      <w:r w:rsidR="001F7185" w:rsidRPr="005F5E14">
        <w:rPr>
          <w:rFonts w:asciiTheme="minorHAnsi" w:hAnsiTheme="minorHAnsi" w:cstheme="minorHAnsi"/>
        </w:rPr>
        <w:t>Moreover, t</w:t>
      </w:r>
      <w:r w:rsidRPr="005F5E14">
        <w:rPr>
          <w:rFonts w:asciiTheme="minorHAnsi" w:hAnsiTheme="minorHAnsi" w:cstheme="minorHAnsi"/>
        </w:rPr>
        <w:t>here is a need t</w:t>
      </w:r>
      <w:r w:rsidRPr="00CD6B47">
        <w:rPr>
          <w:rFonts w:asciiTheme="minorHAnsi" w:hAnsiTheme="minorHAnsi" w:cstheme="minorHAnsi"/>
        </w:rPr>
        <w:t xml:space="preserve">o </w:t>
      </w:r>
      <w:r w:rsidR="004437E4">
        <w:rPr>
          <w:rFonts w:asciiTheme="minorHAnsi" w:hAnsiTheme="minorHAnsi" w:cstheme="minorHAnsi"/>
        </w:rPr>
        <w:t>grade</w:t>
      </w:r>
      <w:r w:rsidR="004437E4" w:rsidRPr="00CD6B47">
        <w:rPr>
          <w:rFonts w:asciiTheme="minorHAnsi" w:hAnsiTheme="minorHAnsi" w:cstheme="minorHAnsi"/>
        </w:rPr>
        <w:t xml:space="preserve"> </w:t>
      </w:r>
      <w:r w:rsidRPr="00CD6B47">
        <w:rPr>
          <w:rFonts w:asciiTheme="minorHAnsi" w:hAnsiTheme="minorHAnsi" w:cstheme="minorHAnsi"/>
        </w:rPr>
        <w:t xml:space="preserve">severity, </w:t>
      </w:r>
      <w:r w:rsidR="00261877" w:rsidRPr="00CD6B47">
        <w:rPr>
          <w:rFonts w:asciiTheme="minorHAnsi" w:hAnsiTheme="minorHAnsi" w:cstheme="minorHAnsi"/>
        </w:rPr>
        <w:t xml:space="preserve">to standardize patient monitoring, to define </w:t>
      </w:r>
      <w:r w:rsidR="00B607FA">
        <w:rPr>
          <w:rFonts w:asciiTheme="minorHAnsi" w:hAnsiTheme="minorHAnsi" w:cstheme="minorHAnsi"/>
        </w:rPr>
        <w:t>severity in participants</w:t>
      </w:r>
      <w:r w:rsidR="00261877" w:rsidRPr="00CD6B47">
        <w:rPr>
          <w:rFonts w:asciiTheme="minorHAnsi" w:hAnsiTheme="minorHAnsi" w:cstheme="minorHAnsi"/>
        </w:rPr>
        <w:t xml:space="preserve"> in clinical studies, such as immunomodulation therapy,</w:t>
      </w:r>
      <w:r w:rsidR="00261877" w:rsidRPr="00034439">
        <w:t xml:space="preserve"> </w:t>
      </w:r>
      <w:r w:rsidRPr="00034439">
        <w:t>as well as facilitate risk assessment and management by</w:t>
      </w:r>
      <w:r w:rsidR="00640148" w:rsidRPr="00034439">
        <w:t xml:space="preserve">, for example, </w:t>
      </w:r>
      <w:r w:rsidR="00814C65" w:rsidRPr="00034439">
        <w:t xml:space="preserve">the food industry and </w:t>
      </w:r>
      <w:r w:rsidRPr="00034439">
        <w:t xml:space="preserve">public health authorities.  </w:t>
      </w:r>
    </w:p>
    <w:p w14:paraId="6825F709" w14:textId="77777777" w:rsidR="00DB661D" w:rsidRPr="00034439" w:rsidRDefault="00DB661D" w:rsidP="0080453E">
      <w:pPr>
        <w:spacing w:after="0" w:line="360" w:lineRule="auto"/>
        <w:jc w:val="both"/>
      </w:pPr>
    </w:p>
    <w:p w14:paraId="1382F1B5" w14:textId="1173615E" w:rsidR="001743F6" w:rsidRPr="00034439" w:rsidRDefault="001F7185" w:rsidP="0080453E">
      <w:pPr>
        <w:spacing w:after="0" w:line="360" w:lineRule="auto"/>
        <w:jc w:val="both"/>
      </w:pPr>
      <w:r w:rsidRPr="00034439">
        <w:t>Many scoring</w:t>
      </w:r>
      <w:r w:rsidR="006A5F65" w:rsidRPr="00034439">
        <w:t xml:space="preserve"> systems </w:t>
      </w:r>
      <w:r w:rsidR="002933A1" w:rsidRPr="00034439">
        <w:t xml:space="preserve">have been developed to describe </w:t>
      </w:r>
      <w:r w:rsidRPr="00034439">
        <w:t xml:space="preserve">the severity of allergic </w:t>
      </w:r>
      <w:r w:rsidR="002933A1" w:rsidRPr="00034439">
        <w:t>reaction</w:t>
      </w:r>
      <w:r w:rsidRPr="00034439">
        <w:t>s</w:t>
      </w:r>
      <w:r w:rsidR="002933A1" w:rsidRPr="00034439">
        <w:t xml:space="preserve"> for venom (</w:t>
      </w:r>
      <w:r w:rsidR="00384860" w:rsidRPr="00034439">
        <w:t>4,5</w:t>
      </w:r>
      <w:r w:rsidR="002933A1" w:rsidRPr="00034439">
        <w:t>), food (</w:t>
      </w:r>
      <w:r w:rsidR="00384860" w:rsidRPr="00034439">
        <w:t>6-11</w:t>
      </w:r>
      <w:r w:rsidR="002933A1" w:rsidRPr="00034439">
        <w:t>), drugs (</w:t>
      </w:r>
      <w:r w:rsidR="00384860" w:rsidRPr="00034439">
        <w:t>12,13</w:t>
      </w:r>
      <w:r w:rsidR="002933A1" w:rsidRPr="00034439">
        <w:t>) and adverse reactions to allergen immunotherapy (</w:t>
      </w:r>
      <w:r w:rsidR="00384860" w:rsidRPr="00034439">
        <w:t>14,15</w:t>
      </w:r>
      <w:r w:rsidR="002933A1" w:rsidRPr="00034439">
        <w:t xml:space="preserve">). </w:t>
      </w:r>
      <w:r w:rsidR="009A563C">
        <w:t>Some specifically mention anaphylactoid reactions (12,13)</w:t>
      </w:r>
      <w:r w:rsidR="0047144E">
        <w:t>;</w:t>
      </w:r>
      <w:r w:rsidR="004A63A5">
        <w:t xml:space="preserve"> at </w:t>
      </w:r>
      <w:r w:rsidR="009A563C">
        <w:t xml:space="preserve">least some of these are likely to represent anaphylaxis </w:t>
      </w:r>
      <w:r w:rsidR="004A63A5">
        <w:t>(</w:t>
      </w:r>
      <w:r w:rsidR="0047144E">
        <w:t xml:space="preserve">absence </w:t>
      </w:r>
      <w:r w:rsidR="004A63A5">
        <w:t xml:space="preserve">of specific IgE is not reported) and </w:t>
      </w:r>
      <w:r w:rsidR="009A563C">
        <w:t xml:space="preserve">as so are included. </w:t>
      </w:r>
      <w:r w:rsidR="00E36AF9" w:rsidRPr="00034439">
        <w:t>Although t</w:t>
      </w:r>
      <w:r w:rsidR="001C1C24" w:rsidRPr="00034439">
        <w:t xml:space="preserve">hese have </w:t>
      </w:r>
      <w:r w:rsidR="00E36AF9" w:rsidRPr="00034439">
        <w:t xml:space="preserve">all </w:t>
      </w:r>
      <w:r w:rsidR="001C1C24" w:rsidRPr="00034439">
        <w:t>been developed to assist patients and healthcare professionals correctly manage reactions</w:t>
      </w:r>
      <w:r w:rsidR="00E36AF9" w:rsidRPr="00034439">
        <w:t>, t</w:t>
      </w:r>
      <w:r w:rsidR="002933A1" w:rsidRPr="00034439">
        <w:t xml:space="preserve">here is </w:t>
      </w:r>
      <w:r w:rsidR="004437E4">
        <w:t>considerable</w:t>
      </w:r>
      <w:r w:rsidR="002933A1" w:rsidRPr="00034439">
        <w:t xml:space="preserve"> heterogeneity in the approaches </w:t>
      </w:r>
      <w:r w:rsidR="004437E4">
        <w:t>employed in</w:t>
      </w:r>
      <w:r w:rsidR="004437E4" w:rsidRPr="00034439">
        <w:t xml:space="preserve"> </w:t>
      </w:r>
      <w:r w:rsidR="002933A1" w:rsidRPr="00034439">
        <w:t xml:space="preserve">these systems. Consequently, we lack </w:t>
      </w:r>
      <w:r w:rsidR="00827BCB" w:rsidRPr="00034439">
        <w:t xml:space="preserve">a single, </w:t>
      </w:r>
      <w:r w:rsidR="004437E4" w:rsidRPr="00034439">
        <w:t>standardi</w:t>
      </w:r>
      <w:r w:rsidR="004437E4">
        <w:t>z</w:t>
      </w:r>
      <w:r w:rsidR="004437E4" w:rsidRPr="00034439">
        <w:t xml:space="preserve">ed </w:t>
      </w:r>
      <w:r w:rsidR="002933A1" w:rsidRPr="00034439">
        <w:t>approach to quantifying the severity of allergic reactions</w:t>
      </w:r>
      <w:r w:rsidR="009E2BDC" w:rsidRPr="00034439">
        <w:t xml:space="preserve"> to all triggers</w:t>
      </w:r>
      <w:r w:rsidR="00B607FA">
        <w:t xml:space="preserve"> that can be used by all stakeholder</w:t>
      </w:r>
      <w:r w:rsidR="002933A1" w:rsidRPr="00034439">
        <w:t xml:space="preserve">. </w:t>
      </w:r>
      <w:r w:rsidR="007A4AED" w:rsidRPr="00034439">
        <w:t>The E</w:t>
      </w:r>
      <w:r w:rsidR="00E36AF9" w:rsidRPr="00034439">
        <w:t>uropean Union</w:t>
      </w:r>
      <w:r w:rsidR="007A4AED" w:rsidRPr="00034439">
        <w:t>-funded iFAAM project</w:t>
      </w:r>
      <w:r w:rsidR="00E36AF9" w:rsidRPr="00034439">
        <w:t>,</w:t>
      </w:r>
      <w:r w:rsidR="007A4AED" w:rsidRPr="00034439">
        <w:t xml:space="preserve"> in collaboration with a task force of </w:t>
      </w:r>
      <w:r w:rsidR="002933A1" w:rsidRPr="00034439">
        <w:t>the EAACI Food Allergy and Anaphylaxis Initiative</w:t>
      </w:r>
      <w:r w:rsidR="00E36AF9" w:rsidRPr="00034439">
        <w:t>,</w:t>
      </w:r>
      <w:r w:rsidR="007A4AED" w:rsidRPr="00034439">
        <w:t xml:space="preserve"> </w:t>
      </w:r>
      <w:r w:rsidR="001C1C24" w:rsidRPr="00034439">
        <w:t xml:space="preserve">critically </w:t>
      </w:r>
      <w:r w:rsidR="002933A1" w:rsidRPr="00034439">
        <w:t>reviewed the currently available systems</w:t>
      </w:r>
      <w:r w:rsidR="001C1C24" w:rsidRPr="00034439">
        <w:t>, considered the challenges to generating scoring systems</w:t>
      </w:r>
      <w:r w:rsidR="002933A1" w:rsidRPr="00034439">
        <w:t xml:space="preserve"> and proposed an approach to developing a </w:t>
      </w:r>
      <w:r w:rsidR="004437E4" w:rsidRPr="00034439">
        <w:t>harmoni</w:t>
      </w:r>
      <w:r w:rsidR="004437E4">
        <w:t>z</w:t>
      </w:r>
      <w:r w:rsidR="004437E4" w:rsidRPr="00034439">
        <w:t xml:space="preserve">ed </w:t>
      </w:r>
      <w:r w:rsidR="002933A1" w:rsidRPr="00034439">
        <w:t xml:space="preserve">system to quantify the severity of allergic reactions. </w:t>
      </w:r>
      <w:r w:rsidR="007A4AED" w:rsidRPr="00034439">
        <w:t>In</w:t>
      </w:r>
      <w:r w:rsidR="00E36AF9" w:rsidRPr="00034439">
        <w:t xml:space="preserve"> </w:t>
      </w:r>
      <w:r w:rsidR="007A4AED" w:rsidRPr="00034439">
        <w:t>addition</w:t>
      </w:r>
      <w:r w:rsidR="00E36AF9" w:rsidRPr="00034439">
        <w:t>,</w:t>
      </w:r>
      <w:r w:rsidR="007A4AED" w:rsidRPr="00034439">
        <w:t xml:space="preserve"> </w:t>
      </w:r>
      <w:r w:rsidR="002933A1" w:rsidRPr="00034439">
        <w:t xml:space="preserve">recommendations </w:t>
      </w:r>
      <w:r w:rsidR="007A4AED" w:rsidRPr="00034439">
        <w:t xml:space="preserve">were made </w:t>
      </w:r>
      <w:r w:rsidR="002933A1" w:rsidRPr="00034439">
        <w:t xml:space="preserve">as to how such a </w:t>
      </w:r>
      <w:r w:rsidR="00E36AF9" w:rsidRPr="00034439">
        <w:t xml:space="preserve">new scoring </w:t>
      </w:r>
      <w:r w:rsidR="002933A1" w:rsidRPr="00034439">
        <w:t xml:space="preserve">system could be validated. </w:t>
      </w:r>
      <w:r w:rsidR="00E36AF9" w:rsidRPr="00034439">
        <w:t xml:space="preserve">Our ultimate </w:t>
      </w:r>
      <w:r w:rsidR="002933A1" w:rsidRPr="00034439">
        <w:t xml:space="preserve">aim is </w:t>
      </w:r>
      <w:r w:rsidR="00E36AF9" w:rsidRPr="00034439">
        <w:t xml:space="preserve">in </w:t>
      </w:r>
      <w:r w:rsidR="00FA5A11">
        <w:t>due course</w:t>
      </w:r>
      <w:r w:rsidR="00E36AF9" w:rsidRPr="00034439">
        <w:t xml:space="preserve"> </w:t>
      </w:r>
      <w:r w:rsidR="002933A1" w:rsidRPr="00034439">
        <w:t>to develop</w:t>
      </w:r>
      <w:r w:rsidR="00E03D84" w:rsidRPr="00034439">
        <w:t xml:space="preserve"> </w:t>
      </w:r>
      <w:r w:rsidR="002933A1" w:rsidRPr="00034439">
        <w:t>a new severity scoring system for allergic reaction</w:t>
      </w:r>
      <w:r w:rsidR="00E36AF9" w:rsidRPr="00034439">
        <w:t>s</w:t>
      </w:r>
      <w:r w:rsidR="002933A1" w:rsidRPr="00034439">
        <w:t xml:space="preserve"> </w:t>
      </w:r>
      <w:r w:rsidR="00827BCB" w:rsidRPr="00034439">
        <w:t>that can</w:t>
      </w:r>
      <w:r w:rsidR="002933A1" w:rsidRPr="00034439">
        <w:t xml:space="preserve"> be </w:t>
      </w:r>
      <w:r w:rsidR="00FA5A11" w:rsidRPr="00034439">
        <w:t>utili</w:t>
      </w:r>
      <w:r w:rsidR="00FA5A11">
        <w:t>z</w:t>
      </w:r>
      <w:r w:rsidR="00FA5A11" w:rsidRPr="00034439">
        <w:t xml:space="preserve">ed </w:t>
      </w:r>
      <w:r w:rsidR="002933A1" w:rsidRPr="00034439">
        <w:t>in different scenarios, in order to improve patient care</w:t>
      </w:r>
      <w:r w:rsidR="00AF4599" w:rsidRPr="00034439">
        <w:t xml:space="preserve"> and facilitate the needs of other stakeholders</w:t>
      </w:r>
      <w:r w:rsidR="002933A1" w:rsidRPr="00034439">
        <w:t xml:space="preserve">. </w:t>
      </w:r>
    </w:p>
    <w:p w14:paraId="217F73A3" w14:textId="77777777" w:rsidR="000F0409" w:rsidRPr="00034439" w:rsidRDefault="000F0409" w:rsidP="0080453E">
      <w:pPr>
        <w:spacing w:after="0" w:line="360" w:lineRule="auto"/>
        <w:rPr>
          <w:b/>
          <w:bCs/>
        </w:rPr>
      </w:pPr>
    </w:p>
    <w:p w14:paraId="3184079C" w14:textId="77777777" w:rsidR="0068758E" w:rsidRPr="00034439" w:rsidRDefault="0068758E" w:rsidP="0080453E">
      <w:pPr>
        <w:spacing w:after="0" w:line="360" w:lineRule="auto"/>
        <w:rPr>
          <w:b/>
          <w:bCs/>
        </w:rPr>
      </w:pPr>
    </w:p>
    <w:p w14:paraId="3124CBE2" w14:textId="77777777" w:rsidR="0068758E" w:rsidRPr="00034439" w:rsidRDefault="0068758E" w:rsidP="0080453E">
      <w:pPr>
        <w:spacing w:after="0" w:line="360" w:lineRule="auto"/>
        <w:rPr>
          <w:b/>
          <w:bCs/>
        </w:rPr>
      </w:pPr>
      <w:r w:rsidRPr="00034439">
        <w:rPr>
          <w:b/>
          <w:bCs/>
        </w:rPr>
        <w:t xml:space="preserve">Why do we need a severity scoring system for </w:t>
      </w:r>
      <w:r w:rsidR="00814C65" w:rsidRPr="00034439">
        <w:rPr>
          <w:b/>
          <w:bCs/>
        </w:rPr>
        <w:t xml:space="preserve">acute </w:t>
      </w:r>
      <w:r w:rsidRPr="00034439">
        <w:rPr>
          <w:b/>
          <w:bCs/>
        </w:rPr>
        <w:t xml:space="preserve">allergic reactions? </w:t>
      </w:r>
    </w:p>
    <w:p w14:paraId="6BAE5944" w14:textId="2582E270" w:rsidR="0068758E" w:rsidRPr="00034439" w:rsidRDefault="005F3DB0" w:rsidP="0080453E">
      <w:pPr>
        <w:spacing w:after="0" w:line="360" w:lineRule="auto"/>
        <w:jc w:val="both"/>
        <w:rPr>
          <w:rFonts w:asciiTheme="minorHAnsi" w:hAnsiTheme="minorHAnsi" w:cstheme="minorHAnsi"/>
        </w:rPr>
      </w:pPr>
      <w:r w:rsidRPr="00034439">
        <w:lastRenderedPageBreak/>
        <w:t xml:space="preserve">A </w:t>
      </w:r>
      <w:r w:rsidR="00827BCB" w:rsidRPr="00034439">
        <w:t xml:space="preserve">severity </w:t>
      </w:r>
      <w:r w:rsidRPr="00034439">
        <w:t xml:space="preserve">scoring system for allergic reactions may assist clinicians in </w:t>
      </w:r>
      <w:r w:rsidR="00FA5A11">
        <w:t xml:space="preserve">at least </w:t>
      </w:r>
      <w:r w:rsidR="00AC0F19" w:rsidRPr="00034439">
        <w:t xml:space="preserve">two ways: providing a summary of a reaction reported by a patient or </w:t>
      </w:r>
      <w:r w:rsidR="00A71FFE" w:rsidRPr="00034439">
        <w:t xml:space="preserve">carers </w:t>
      </w:r>
      <w:r w:rsidR="00AC0F19" w:rsidRPr="00034439">
        <w:t>and providing a summary of an allerg</w:t>
      </w:r>
      <w:r w:rsidR="00B607FA">
        <w:t xml:space="preserve">ic reactions within the context of a </w:t>
      </w:r>
      <w:r w:rsidR="00AC0F19" w:rsidRPr="00034439">
        <w:t xml:space="preserve">challenge </w:t>
      </w:r>
      <w:r w:rsidR="00B607FA">
        <w:t xml:space="preserve">or immunotherapy </w:t>
      </w:r>
      <w:r w:rsidR="00AC0F19" w:rsidRPr="00CD6B47">
        <w:t xml:space="preserve">undertaken in a clinical environment. The score should contribute to </w:t>
      </w:r>
      <w:r w:rsidRPr="00CD6B47">
        <w:t xml:space="preserve">determining </w:t>
      </w:r>
      <w:r w:rsidR="00AC0F19" w:rsidRPr="00CD6B47">
        <w:t xml:space="preserve">appropriate </w:t>
      </w:r>
      <w:r w:rsidR="00CD6B47">
        <w:t xml:space="preserve">emergency </w:t>
      </w:r>
      <w:r w:rsidRPr="00CD6B47">
        <w:t>treatment plans</w:t>
      </w:r>
      <w:r w:rsidR="0068758E" w:rsidRPr="00CD6B47">
        <w:t xml:space="preserve">. Other important stakeholders </w:t>
      </w:r>
      <w:r w:rsidR="00827BCB" w:rsidRPr="00CD6B47">
        <w:t xml:space="preserve">are likely to </w:t>
      </w:r>
      <w:r w:rsidR="0068758E" w:rsidRPr="00CD6B47">
        <w:t xml:space="preserve">have </w:t>
      </w:r>
      <w:r w:rsidR="00FA5A11" w:rsidRPr="00CD6B47">
        <w:t>s</w:t>
      </w:r>
      <w:r w:rsidR="00FA5A11">
        <w:t>omewhat</w:t>
      </w:r>
      <w:r w:rsidR="00FA5A11" w:rsidRPr="00CD6B47">
        <w:t xml:space="preserve"> </w:t>
      </w:r>
      <w:r w:rsidR="0068758E" w:rsidRPr="00CD6B47">
        <w:t xml:space="preserve">different views as to why a </w:t>
      </w:r>
      <w:r w:rsidR="00FA5A11" w:rsidRPr="00CD6B47">
        <w:t>harmoni</w:t>
      </w:r>
      <w:r w:rsidR="00FA5A11">
        <w:t>z</w:t>
      </w:r>
      <w:r w:rsidR="00FA5A11" w:rsidRPr="00CD6B47">
        <w:t xml:space="preserve">ed </w:t>
      </w:r>
      <w:r w:rsidR="0068758E" w:rsidRPr="00CD6B47">
        <w:t xml:space="preserve">severity scoring system is required for allergic reactions (Table </w:t>
      </w:r>
      <w:r w:rsidR="00AC0F19" w:rsidRPr="00CD6B47">
        <w:t>1</w:t>
      </w:r>
      <w:r w:rsidR="0068758E" w:rsidRPr="00CD6B47">
        <w:t xml:space="preserve">). For example, a patient might better </w:t>
      </w:r>
      <w:r w:rsidR="00FA5A11" w:rsidRPr="00CD6B47">
        <w:t>uti</w:t>
      </w:r>
      <w:r w:rsidR="00FA5A11" w:rsidRPr="00034439">
        <w:t>li</w:t>
      </w:r>
      <w:r w:rsidR="00FA5A11">
        <w:t>z</w:t>
      </w:r>
      <w:r w:rsidR="00FA5A11" w:rsidRPr="00034439">
        <w:t xml:space="preserve">e </w:t>
      </w:r>
      <w:r w:rsidR="0068758E" w:rsidRPr="00034439">
        <w:t xml:space="preserve">a simpler system that can be readily recalled in an emergency and directly links </w:t>
      </w:r>
      <w:r w:rsidRPr="00034439">
        <w:t>to</w:t>
      </w:r>
      <w:r w:rsidR="0068758E" w:rsidRPr="00034439">
        <w:t xml:space="preserve"> emergency therapy (Figure </w:t>
      </w:r>
      <w:r w:rsidR="00AC0F19" w:rsidRPr="00034439">
        <w:t>1</w:t>
      </w:r>
      <w:r w:rsidR="0068758E" w:rsidRPr="00034439">
        <w:t xml:space="preserve">). Although the level of detail required by each stakeholder may vary, there is an intrinsic benefit in having </w:t>
      </w:r>
      <w:r w:rsidRPr="005F5E14">
        <w:t xml:space="preserve">a </w:t>
      </w:r>
      <w:r w:rsidR="00FA5A11" w:rsidRPr="005F5E14">
        <w:t>harmoni</w:t>
      </w:r>
      <w:r w:rsidR="00FA5A11">
        <w:t>z</w:t>
      </w:r>
      <w:r w:rsidR="00FA5A11" w:rsidRPr="005F5E14">
        <w:t xml:space="preserve">ed </w:t>
      </w:r>
      <w:r w:rsidR="0068758E" w:rsidRPr="005F5E14">
        <w:t xml:space="preserve">system that all stakeholders can </w:t>
      </w:r>
      <w:r w:rsidR="00FA5A11" w:rsidRPr="005F5E14">
        <w:t>utili</w:t>
      </w:r>
      <w:r w:rsidR="00FA5A11">
        <w:t>z</w:t>
      </w:r>
      <w:r w:rsidR="00FA5A11" w:rsidRPr="005F5E14">
        <w:t>e</w:t>
      </w:r>
      <w:r w:rsidR="0068758E" w:rsidRPr="005F5E14">
        <w:t>.</w:t>
      </w:r>
      <w:r w:rsidR="0068758E" w:rsidRPr="00CD6B47">
        <w:t xml:space="preserve"> This would facilitate communication in terms of the nature of specific reactions and how they should be managed. </w:t>
      </w:r>
      <w:r w:rsidRPr="00CD6B47">
        <w:t>A</w:t>
      </w:r>
      <w:r w:rsidR="0068758E" w:rsidRPr="00CD6B47">
        <w:t>t its simplest leve</w:t>
      </w:r>
      <w:r w:rsidRPr="00CD6B47">
        <w:t xml:space="preserve">l, a </w:t>
      </w:r>
      <w:r w:rsidR="00FA5A11" w:rsidRPr="00CD6B47">
        <w:t>harmoni</w:t>
      </w:r>
      <w:r w:rsidR="00FA5A11">
        <w:t>z</w:t>
      </w:r>
      <w:r w:rsidR="00FA5A11" w:rsidRPr="00CD6B47">
        <w:t xml:space="preserve">ed </w:t>
      </w:r>
      <w:r w:rsidRPr="00CD6B47">
        <w:t>scoring system c</w:t>
      </w:r>
      <w:r w:rsidR="0068758E" w:rsidRPr="0063473F">
        <w:t>ould</w:t>
      </w:r>
      <w:r w:rsidRPr="00034439">
        <w:t xml:space="preserve"> </w:t>
      </w:r>
      <w:r w:rsidR="0068758E" w:rsidRPr="00034439">
        <w:t xml:space="preserve">divide allergic reactions into a small number of </w:t>
      </w:r>
      <w:r w:rsidR="00343FAE" w:rsidRPr="00034439">
        <w:t xml:space="preserve">grades </w:t>
      </w:r>
      <w:r w:rsidR="0068758E" w:rsidRPr="00034439">
        <w:t>with very different severities on the basis of eas</w:t>
      </w:r>
      <w:r w:rsidRPr="00034439">
        <w:t>il</w:t>
      </w:r>
      <w:r w:rsidR="0068758E" w:rsidRPr="00034439">
        <w:t xml:space="preserve">y </w:t>
      </w:r>
      <w:r w:rsidR="00FA5A11" w:rsidRPr="00034439">
        <w:t>recogni</w:t>
      </w:r>
      <w:r w:rsidR="00FA5A11">
        <w:t>z</w:t>
      </w:r>
      <w:r w:rsidR="00FA5A11" w:rsidRPr="00034439">
        <w:t xml:space="preserve">ed </w:t>
      </w:r>
      <w:r w:rsidR="0068758E" w:rsidRPr="00034439">
        <w:t xml:space="preserve">symptoms and signs. </w:t>
      </w:r>
      <w:r w:rsidRPr="00034439">
        <w:t>E</w:t>
      </w:r>
      <w:r w:rsidR="0068758E" w:rsidRPr="00034439">
        <w:t xml:space="preserve">ach </w:t>
      </w:r>
      <w:r w:rsidR="0068758E" w:rsidRPr="00034439">
        <w:rPr>
          <w:rFonts w:asciiTheme="minorHAnsi" w:hAnsiTheme="minorHAnsi" w:cstheme="minorHAnsi"/>
        </w:rPr>
        <w:t xml:space="preserve">major </w:t>
      </w:r>
      <w:r w:rsidR="00343FAE" w:rsidRPr="00034439">
        <w:rPr>
          <w:rFonts w:asciiTheme="minorHAnsi" w:hAnsiTheme="minorHAnsi" w:cstheme="minorHAnsi"/>
        </w:rPr>
        <w:t xml:space="preserve">grade </w:t>
      </w:r>
      <w:r w:rsidR="0068758E" w:rsidRPr="00034439">
        <w:rPr>
          <w:rFonts w:asciiTheme="minorHAnsi" w:hAnsiTheme="minorHAnsi" w:cstheme="minorHAnsi"/>
        </w:rPr>
        <w:t>might have a number of sub</w:t>
      </w:r>
      <w:r w:rsidR="00343FAE" w:rsidRPr="00034439">
        <w:rPr>
          <w:rFonts w:asciiTheme="minorHAnsi" w:hAnsiTheme="minorHAnsi" w:cstheme="minorHAnsi"/>
        </w:rPr>
        <w:t>grades</w:t>
      </w:r>
      <w:r w:rsidR="0068758E" w:rsidRPr="00034439">
        <w:rPr>
          <w:rFonts w:asciiTheme="minorHAnsi" w:hAnsiTheme="minorHAnsi" w:cstheme="minorHAnsi"/>
        </w:rPr>
        <w:t xml:space="preserve"> to provide additional detail that might be useful to an allergy healthcare professional or researcher.</w:t>
      </w:r>
      <w:r w:rsidR="00792557" w:rsidRPr="00034439">
        <w:rPr>
          <w:rFonts w:asciiTheme="minorHAnsi" w:hAnsiTheme="minorHAnsi" w:cstheme="minorHAnsi"/>
        </w:rPr>
        <w:t xml:space="preserve"> A validated disease severity scoring system could be used both to standardize patient monitoring and to define patient cohorts in clinical studies.</w:t>
      </w:r>
    </w:p>
    <w:p w14:paraId="1AA38070" w14:textId="77777777" w:rsidR="002177AC" w:rsidRPr="00034439" w:rsidRDefault="002177AC" w:rsidP="0080453E">
      <w:pPr>
        <w:spacing w:after="0" w:line="360" w:lineRule="auto"/>
        <w:rPr>
          <w:b/>
          <w:bCs/>
        </w:rPr>
      </w:pPr>
    </w:p>
    <w:p w14:paraId="0D83108C" w14:textId="77777777" w:rsidR="0068758E" w:rsidRPr="00034439" w:rsidRDefault="0068758E" w:rsidP="0080453E">
      <w:pPr>
        <w:spacing w:after="0" w:line="360" w:lineRule="auto"/>
        <w:rPr>
          <w:b/>
          <w:bCs/>
        </w:rPr>
      </w:pPr>
    </w:p>
    <w:p w14:paraId="781E85C0" w14:textId="0CE6D734" w:rsidR="008266D1" w:rsidRPr="00034439" w:rsidRDefault="008266D1" w:rsidP="0080453E">
      <w:pPr>
        <w:spacing w:after="0" w:line="360" w:lineRule="auto"/>
        <w:rPr>
          <w:b/>
          <w:bCs/>
        </w:rPr>
      </w:pPr>
      <w:r w:rsidRPr="00034439">
        <w:rPr>
          <w:b/>
          <w:bCs/>
        </w:rPr>
        <w:t xml:space="preserve">Figure 1. </w:t>
      </w:r>
      <w:r w:rsidR="005D4A4B" w:rsidRPr="00034439">
        <w:rPr>
          <w:b/>
          <w:bCs/>
        </w:rPr>
        <w:t>Illustration of h</w:t>
      </w:r>
      <w:r w:rsidRPr="00034439">
        <w:rPr>
          <w:b/>
          <w:bCs/>
        </w:rPr>
        <w:t xml:space="preserve">ow a severity scoring system could be used to </w:t>
      </w:r>
      <w:r w:rsidR="00A71FFE" w:rsidRPr="00034439">
        <w:rPr>
          <w:b/>
          <w:bCs/>
        </w:rPr>
        <w:t>guide the management of</w:t>
      </w:r>
      <w:r w:rsidRPr="00034439">
        <w:rPr>
          <w:b/>
          <w:bCs/>
        </w:rPr>
        <w:t xml:space="preserve"> </w:t>
      </w:r>
      <w:r w:rsidR="00814C65" w:rsidRPr="00034439">
        <w:rPr>
          <w:b/>
          <w:bCs/>
        </w:rPr>
        <w:t xml:space="preserve">acute </w:t>
      </w:r>
      <w:r w:rsidRPr="00034439">
        <w:rPr>
          <w:b/>
          <w:bCs/>
        </w:rPr>
        <w:t xml:space="preserve">allergic reactions </w:t>
      </w:r>
    </w:p>
    <w:p w14:paraId="45FE0E1C" w14:textId="77777777" w:rsidR="008266D1" w:rsidRPr="00034439" w:rsidRDefault="007460BB" w:rsidP="0080453E">
      <w:pPr>
        <w:spacing w:after="0" w:line="360" w:lineRule="auto"/>
        <w:rPr>
          <w:b/>
          <w:bCs/>
        </w:rPr>
      </w:pPr>
      <w:r w:rsidRPr="00454A4C">
        <w:rPr>
          <w:b/>
          <w:bCs/>
          <w:noProof/>
          <w:lang w:eastAsia="en-GB"/>
        </w:rPr>
        <w:drawing>
          <wp:inline distT="0" distB="0" distL="0" distR="0" wp14:anchorId="188EF9D4" wp14:editId="40130013">
            <wp:extent cx="5665955" cy="3542556"/>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1 V2.jpg"/>
                    <pic:cNvPicPr/>
                  </pic:nvPicPr>
                  <pic:blipFill rotWithShape="1">
                    <a:blip r:embed="rId8">
                      <a:extLst>
                        <a:ext uri="{28A0092B-C50C-407E-A947-70E740481C1C}">
                          <a14:useLocalDpi xmlns:a14="http://schemas.microsoft.com/office/drawing/2010/main" val="0"/>
                        </a:ext>
                      </a:extLst>
                    </a:blip>
                    <a:srcRect r="7584" b="16540"/>
                    <a:stretch/>
                  </pic:blipFill>
                  <pic:spPr bwMode="auto">
                    <a:xfrm>
                      <a:off x="0" y="0"/>
                      <a:ext cx="5669065" cy="3544500"/>
                    </a:xfrm>
                    <a:prstGeom prst="rect">
                      <a:avLst/>
                    </a:prstGeom>
                    <a:ln>
                      <a:noFill/>
                    </a:ln>
                    <a:extLst>
                      <a:ext uri="{53640926-AAD7-44D8-BBD7-CCE9431645EC}">
                        <a14:shadowObscured xmlns:a14="http://schemas.microsoft.com/office/drawing/2010/main"/>
                      </a:ext>
                    </a:extLst>
                  </pic:spPr>
                </pic:pic>
              </a:graphicData>
            </a:graphic>
          </wp:inline>
        </w:drawing>
      </w:r>
    </w:p>
    <w:p w14:paraId="3E702FA6" w14:textId="69B4571A" w:rsidR="008266D1" w:rsidRPr="00034439" w:rsidRDefault="008266D1" w:rsidP="0080453E">
      <w:pPr>
        <w:spacing w:after="0" w:line="360" w:lineRule="auto"/>
        <w:jc w:val="both"/>
      </w:pPr>
      <w:r w:rsidRPr="00034439">
        <w:lastRenderedPageBreak/>
        <w:t>As severity increases with increasingly severe symptoms, adrenaline is more likely to be indicated.</w:t>
      </w:r>
      <w:r w:rsidR="00BF6BED">
        <w:t xml:space="preserve"> The exact symptoms when adrenaline is indicated needs to be individualised for different patients </w:t>
      </w:r>
      <w:r w:rsidR="00ED7320">
        <w:t xml:space="preserve">and for different situations </w:t>
      </w:r>
      <w:r w:rsidR="00BF6BED">
        <w:t xml:space="preserve">by their </w:t>
      </w:r>
      <w:r w:rsidR="00ED7320">
        <w:t xml:space="preserve">healthcare professional </w:t>
      </w:r>
      <w:r w:rsidR="00BF6BED">
        <w:t xml:space="preserve">as each will have a different risk profile. The figure is only an illustration with different severity sequences seen for different allergens and </w:t>
      </w:r>
      <w:r w:rsidR="00BF6BED" w:rsidRPr="00444840">
        <w:t>different patients</w:t>
      </w:r>
      <w:r w:rsidR="00BF6BED">
        <w:t xml:space="preserve">. </w:t>
      </w:r>
      <w:r w:rsidR="00A774FB">
        <w:t xml:space="preserve">Additionally therapies such as oxygen and corticosteroids may also be indicated. </w:t>
      </w:r>
      <w:r w:rsidRPr="00034439">
        <w:t>Figure reproduced with permission from Muraro et al (</w:t>
      </w:r>
      <w:r w:rsidR="00384860" w:rsidRPr="00034439">
        <w:t>3</w:t>
      </w:r>
      <w:r w:rsidRPr="00034439">
        <w:t xml:space="preserve">). </w:t>
      </w:r>
    </w:p>
    <w:p w14:paraId="547CD8FE" w14:textId="77777777" w:rsidR="00BF6BED" w:rsidRDefault="00BF6BED" w:rsidP="002E6402">
      <w:pPr>
        <w:spacing w:after="0" w:line="360" w:lineRule="auto"/>
        <w:rPr>
          <w:b/>
          <w:bCs/>
        </w:rPr>
      </w:pPr>
    </w:p>
    <w:p w14:paraId="56717220" w14:textId="77777777" w:rsidR="00BF6BED" w:rsidRDefault="00BF6BED" w:rsidP="0080453E">
      <w:pPr>
        <w:spacing w:after="0" w:line="360" w:lineRule="auto"/>
        <w:rPr>
          <w:b/>
          <w:bCs/>
        </w:rPr>
      </w:pPr>
    </w:p>
    <w:p w14:paraId="7A47C054" w14:textId="77777777" w:rsidR="003A6CBC" w:rsidRPr="00034439" w:rsidRDefault="003A6CBC" w:rsidP="0080453E">
      <w:pPr>
        <w:spacing w:after="0" w:line="360" w:lineRule="auto"/>
        <w:rPr>
          <w:b/>
          <w:bCs/>
        </w:rPr>
      </w:pPr>
      <w:r w:rsidRPr="00034439">
        <w:rPr>
          <w:b/>
          <w:bCs/>
        </w:rPr>
        <w:t xml:space="preserve">The meaning or perception of severity in relation to </w:t>
      </w:r>
      <w:r w:rsidR="00814C65" w:rsidRPr="00034439">
        <w:rPr>
          <w:b/>
          <w:bCs/>
        </w:rPr>
        <w:t xml:space="preserve">acute </w:t>
      </w:r>
      <w:r w:rsidRPr="00034439">
        <w:rPr>
          <w:b/>
          <w:bCs/>
        </w:rPr>
        <w:t xml:space="preserve">allergic reactions </w:t>
      </w:r>
    </w:p>
    <w:p w14:paraId="2DAA42A3" w14:textId="6FB6D0E6" w:rsidR="003A6CBC" w:rsidRPr="00034439" w:rsidRDefault="003A6CBC" w:rsidP="0080453E">
      <w:pPr>
        <w:spacing w:after="0" w:line="360" w:lineRule="auto"/>
        <w:jc w:val="both"/>
      </w:pPr>
      <w:r w:rsidRPr="00034439">
        <w:t xml:space="preserve">The term severity </w:t>
      </w:r>
      <w:r w:rsidR="00CC024C" w:rsidRPr="00034439">
        <w:t xml:space="preserve">has different </w:t>
      </w:r>
      <w:r w:rsidRPr="00034439">
        <w:t>mean</w:t>
      </w:r>
      <w:r w:rsidR="00CC024C" w:rsidRPr="00034439">
        <w:t>ing</w:t>
      </w:r>
      <w:r w:rsidRPr="00034439">
        <w:t>s to different</w:t>
      </w:r>
      <w:r w:rsidR="004D7262">
        <w:t xml:space="preserve"> subgroups of</w:t>
      </w:r>
      <w:r w:rsidR="008F38C1" w:rsidRPr="00034439">
        <w:t xml:space="preserve"> </w:t>
      </w:r>
      <w:r w:rsidR="002751CE" w:rsidRPr="00034439">
        <w:t xml:space="preserve">patients, </w:t>
      </w:r>
      <w:r w:rsidR="004D7262">
        <w:t xml:space="preserve">to </w:t>
      </w:r>
      <w:r w:rsidR="008F38C1" w:rsidRPr="00034439">
        <w:t xml:space="preserve">health care professionals, </w:t>
      </w:r>
      <w:r w:rsidR="00CC024C" w:rsidRPr="00034439">
        <w:t xml:space="preserve">researchers, </w:t>
      </w:r>
      <w:r w:rsidR="002933A1" w:rsidRPr="00034439">
        <w:t xml:space="preserve">the </w:t>
      </w:r>
      <w:r w:rsidR="00CC024C" w:rsidRPr="00034439">
        <w:t>food industr</w:t>
      </w:r>
      <w:r w:rsidR="002751CE" w:rsidRPr="00034439">
        <w:t>y</w:t>
      </w:r>
      <w:r w:rsidR="00814C65" w:rsidRPr="00034439">
        <w:t xml:space="preserve">, </w:t>
      </w:r>
      <w:r w:rsidR="002751CE" w:rsidRPr="00034439">
        <w:t>public health authorities</w:t>
      </w:r>
      <w:r w:rsidR="00814C65" w:rsidRPr="00034439">
        <w:t xml:space="preserve"> or other stakeholders</w:t>
      </w:r>
      <w:r w:rsidRPr="00034439">
        <w:t xml:space="preserve">. </w:t>
      </w:r>
      <w:r w:rsidR="004D7262">
        <w:t xml:space="preserve">All these </w:t>
      </w:r>
      <w:r w:rsidR="00374892" w:rsidRPr="00034439">
        <w:t>perspectives need to be</w:t>
      </w:r>
      <w:r w:rsidR="00AC0F19" w:rsidRPr="00034439">
        <w:t xml:space="preserve"> </w:t>
      </w:r>
      <w:r w:rsidR="00374892" w:rsidRPr="00034439">
        <w:t xml:space="preserve">explored to understand the </w:t>
      </w:r>
      <w:r w:rsidR="003E3E47" w:rsidRPr="00034439">
        <w:t xml:space="preserve">differing </w:t>
      </w:r>
      <w:r w:rsidR="00374892" w:rsidRPr="00034439">
        <w:t xml:space="preserve">needs </w:t>
      </w:r>
      <w:r w:rsidR="004D7262">
        <w:t xml:space="preserve">and concerns </w:t>
      </w:r>
      <w:r w:rsidR="00374892" w:rsidRPr="00034439">
        <w:t xml:space="preserve">of each of these groups. </w:t>
      </w:r>
      <w:r w:rsidRPr="00034439">
        <w:t>A dictionary definition describe</w:t>
      </w:r>
      <w:r w:rsidR="00AE60B8" w:rsidRPr="00034439">
        <w:t>s</w:t>
      </w:r>
      <w:r w:rsidRPr="00034439">
        <w:t xml:space="preserve"> </w:t>
      </w:r>
      <w:r w:rsidR="00374892" w:rsidRPr="00034439">
        <w:t>severity “</w:t>
      </w:r>
      <w:r w:rsidRPr="00034439">
        <w:t>as the degree of affliction suffered due to a condition or stressor</w:t>
      </w:r>
      <w:r w:rsidR="00AE60B8" w:rsidRPr="00034439">
        <w:t>”</w:t>
      </w:r>
      <w:r w:rsidRPr="00034439">
        <w:t xml:space="preserve"> or </w:t>
      </w:r>
      <w:r w:rsidR="00AE60B8" w:rsidRPr="00034439">
        <w:t>“</w:t>
      </w:r>
      <w:r w:rsidRPr="00034439">
        <w:t xml:space="preserve">the </w:t>
      </w:r>
      <w:r w:rsidR="007C1749" w:rsidRPr="00034439">
        <w:t>degree of pain or harm from a medical condition</w:t>
      </w:r>
      <w:r w:rsidR="00AE60B8" w:rsidRPr="00034439">
        <w:t>”</w:t>
      </w:r>
      <w:r w:rsidR="00AC0F19" w:rsidRPr="00034439">
        <w:t>.</w:t>
      </w:r>
      <w:r w:rsidRPr="00034439">
        <w:t xml:space="preserve"> </w:t>
      </w:r>
      <w:r w:rsidRPr="00034439">
        <w:rPr>
          <w:b/>
        </w:rPr>
        <w:t xml:space="preserve"> </w:t>
      </w:r>
      <w:r w:rsidRPr="00034439">
        <w:t>A</w:t>
      </w:r>
      <w:r w:rsidRPr="00034439">
        <w:rPr>
          <w:b/>
        </w:rPr>
        <w:t xml:space="preserve"> </w:t>
      </w:r>
      <w:r w:rsidRPr="00034439">
        <w:t xml:space="preserve">severe reaction </w:t>
      </w:r>
      <w:r w:rsidR="00AE60B8" w:rsidRPr="00034439">
        <w:t xml:space="preserve">should </w:t>
      </w:r>
      <w:r w:rsidRPr="00034439">
        <w:t xml:space="preserve">be considered </w:t>
      </w:r>
      <w:r w:rsidR="00AE60B8" w:rsidRPr="00034439">
        <w:t>either as one causing</w:t>
      </w:r>
      <w:r w:rsidRPr="00034439">
        <w:t xml:space="preserve"> disruption to the activities of daily life or an event that leads to an otherwise unanticipated healthcare </w:t>
      </w:r>
      <w:r w:rsidR="00FA5A11" w:rsidRPr="00034439">
        <w:t>utili</w:t>
      </w:r>
      <w:r w:rsidR="00FA5A11">
        <w:t>z</w:t>
      </w:r>
      <w:r w:rsidR="00FA5A11" w:rsidRPr="00034439">
        <w:t>ation</w:t>
      </w:r>
      <w:r w:rsidRPr="00034439">
        <w:t xml:space="preserve">. </w:t>
      </w:r>
    </w:p>
    <w:p w14:paraId="77CB453F" w14:textId="77777777" w:rsidR="0018744C" w:rsidRPr="00034439" w:rsidRDefault="0018744C" w:rsidP="0080453E">
      <w:pPr>
        <w:spacing w:after="0" w:line="360" w:lineRule="auto"/>
        <w:jc w:val="both"/>
      </w:pPr>
    </w:p>
    <w:p w14:paraId="4C2C8084" w14:textId="28033B1F" w:rsidR="003A6CBC" w:rsidRPr="00034439" w:rsidRDefault="003A6CBC" w:rsidP="0080453E">
      <w:pPr>
        <w:spacing w:after="0" w:line="360" w:lineRule="auto"/>
        <w:jc w:val="both"/>
      </w:pPr>
      <w:r w:rsidRPr="00034439">
        <w:t xml:space="preserve">It is important to </w:t>
      </w:r>
      <w:r w:rsidR="00FA5A11" w:rsidRPr="00034439">
        <w:t>recogni</w:t>
      </w:r>
      <w:r w:rsidR="00FA5A11">
        <w:t>z</w:t>
      </w:r>
      <w:r w:rsidR="00FA5A11" w:rsidRPr="00034439">
        <w:t xml:space="preserve">e </w:t>
      </w:r>
      <w:r w:rsidRPr="00034439">
        <w:t>that “severity” is a continuum, which may be dynamic: a person having a mild reaction (</w:t>
      </w:r>
      <w:r w:rsidR="00A71FFE" w:rsidRPr="00034439">
        <w:t>e.g.</w:t>
      </w:r>
      <w:r w:rsidR="003E3E47" w:rsidRPr="00034439">
        <w:t xml:space="preserve"> mild angioedema</w:t>
      </w:r>
      <w:r w:rsidRPr="00034439">
        <w:t>) may progress to severe symptoms (</w:t>
      </w:r>
      <w:r w:rsidR="00A71FFE" w:rsidRPr="00034439">
        <w:t>e.g.</w:t>
      </w:r>
      <w:r w:rsidRPr="00034439">
        <w:t xml:space="preserve"> bronchospasm) within a few minutes. There may be temporal differences in severity from one allergen exposure event to another, possibly due to a genuine change in </w:t>
      </w:r>
      <w:r w:rsidR="00132571" w:rsidRPr="00034439">
        <w:t>a patient’s</w:t>
      </w:r>
      <w:r w:rsidRPr="00034439">
        <w:t xml:space="preserve"> clinical status, a change of dose of allergen or the addition of augmentation or co-factors</w:t>
      </w:r>
      <w:r w:rsidR="00827BCB" w:rsidRPr="00034439">
        <w:t xml:space="preserve"> that </w:t>
      </w:r>
      <w:r w:rsidRPr="00034439">
        <w:t>can exacerbate allergic reactions</w:t>
      </w:r>
      <w:r w:rsidR="00132571" w:rsidRPr="00034439">
        <w:t xml:space="preserve"> (</w:t>
      </w:r>
      <w:r w:rsidR="00384860" w:rsidRPr="00034439">
        <w:t>16-18</w:t>
      </w:r>
      <w:r w:rsidR="00132571" w:rsidRPr="00034439">
        <w:t>). P</w:t>
      </w:r>
      <w:r w:rsidR="00EE0C5B" w:rsidRPr="00034439">
        <w:t xml:space="preserve">erceived severity </w:t>
      </w:r>
      <w:r w:rsidR="004D7262" w:rsidRPr="004D7262">
        <w:t xml:space="preserve">depends on subjective interpretation of symptoms and </w:t>
      </w:r>
      <w:r w:rsidR="00EE0C5B" w:rsidRPr="00034439">
        <w:t>can also vary depending on what else may be going</w:t>
      </w:r>
      <w:r w:rsidR="00132571" w:rsidRPr="00034439">
        <w:t xml:space="preserve"> on in </w:t>
      </w:r>
      <w:r w:rsidR="004D7262">
        <w:t xml:space="preserve">an </w:t>
      </w:r>
      <w:r w:rsidR="00BF6BED">
        <w:t>individual’s</w:t>
      </w:r>
      <w:r w:rsidR="004D7262">
        <w:t xml:space="preserve"> </w:t>
      </w:r>
      <w:r w:rsidR="00132571" w:rsidRPr="00034439">
        <w:t>li</w:t>
      </w:r>
      <w:r w:rsidR="004D7262">
        <w:t>fe</w:t>
      </w:r>
      <w:r w:rsidR="00132571" w:rsidRPr="00034439">
        <w:t xml:space="preserve"> (e.g. stre</w:t>
      </w:r>
      <w:r w:rsidR="00EE0C5B" w:rsidRPr="00034439">
        <w:t>ss at work</w:t>
      </w:r>
      <w:r w:rsidR="002933A1" w:rsidRPr="00034439">
        <w:t xml:space="preserve"> or home</w:t>
      </w:r>
      <w:r w:rsidR="00EE0C5B" w:rsidRPr="00034439">
        <w:t>, other chronic disorders</w:t>
      </w:r>
      <w:r w:rsidR="00FA5A11">
        <w:t xml:space="preserve">, </w:t>
      </w:r>
      <w:r w:rsidR="004D7262">
        <w:t xml:space="preserve">level of risk </w:t>
      </w:r>
      <w:r w:rsidR="00BF6BED">
        <w:t>aversion</w:t>
      </w:r>
      <w:r w:rsidR="004D7262">
        <w:t xml:space="preserve"> </w:t>
      </w:r>
      <w:r w:rsidR="00FA5A11">
        <w:t>and co-factors</w:t>
      </w:r>
      <w:r w:rsidR="00132571" w:rsidRPr="00034439">
        <w:t>)</w:t>
      </w:r>
      <w:r w:rsidR="004D7262">
        <w:t>, and on whether they are a patient or a carer</w:t>
      </w:r>
      <w:r w:rsidRPr="00034439">
        <w:t>.</w:t>
      </w:r>
    </w:p>
    <w:p w14:paraId="624B20E4" w14:textId="77777777" w:rsidR="00E03D84" w:rsidRPr="00034439" w:rsidRDefault="00E03D84" w:rsidP="0080453E">
      <w:pPr>
        <w:spacing w:after="0" w:line="360" w:lineRule="auto"/>
        <w:jc w:val="both"/>
      </w:pPr>
    </w:p>
    <w:p w14:paraId="7739BBF8" w14:textId="77777777" w:rsidR="003E3E47" w:rsidRPr="00034439" w:rsidRDefault="003E3E47" w:rsidP="0080453E">
      <w:pPr>
        <w:spacing w:after="0" w:line="360" w:lineRule="auto"/>
        <w:jc w:val="both"/>
      </w:pPr>
      <w:r w:rsidRPr="00034439">
        <w:t xml:space="preserve">We </w:t>
      </w:r>
      <w:r w:rsidR="00827BCB" w:rsidRPr="00034439">
        <w:t>believe it is helpful to consider</w:t>
      </w:r>
      <w:r w:rsidR="00A71FFE" w:rsidRPr="00034439">
        <w:t xml:space="preserve"> </w:t>
      </w:r>
      <w:r w:rsidRPr="00034439">
        <w:t xml:space="preserve">severity of allergic reactions from the perspective of each of the key stakeholders. </w:t>
      </w:r>
    </w:p>
    <w:p w14:paraId="7CECFD92" w14:textId="77777777" w:rsidR="00AC0F19" w:rsidRPr="00034439" w:rsidRDefault="00AC0F19" w:rsidP="0080453E">
      <w:pPr>
        <w:spacing w:after="0" w:line="360" w:lineRule="auto"/>
        <w:jc w:val="both"/>
      </w:pPr>
    </w:p>
    <w:p w14:paraId="2AC8BA35" w14:textId="0BB14781" w:rsidR="003A6CBC" w:rsidRPr="00034439" w:rsidRDefault="003A6CBC" w:rsidP="0080453E">
      <w:pPr>
        <w:spacing w:after="0" w:line="360" w:lineRule="auto"/>
        <w:jc w:val="both"/>
      </w:pPr>
      <w:r w:rsidRPr="00034439">
        <w:rPr>
          <w:bCs/>
          <w:i/>
          <w:iCs/>
        </w:rPr>
        <w:t xml:space="preserve">Allergic </w:t>
      </w:r>
      <w:r w:rsidR="002933A1" w:rsidRPr="00034439">
        <w:rPr>
          <w:bCs/>
          <w:i/>
          <w:iCs/>
        </w:rPr>
        <w:t>individuals and their carers</w:t>
      </w:r>
      <w:r w:rsidR="00E03D84" w:rsidRPr="00034439">
        <w:rPr>
          <w:bCs/>
          <w:i/>
          <w:iCs/>
        </w:rPr>
        <w:t xml:space="preserve">: </w:t>
      </w:r>
      <w:r w:rsidR="009D32D2" w:rsidRPr="00034439">
        <w:rPr>
          <w:bCs/>
          <w:iCs/>
        </w:rPr>
        <w:t xml:space="preserve">patients and their carers </w:t>
      </w:r>
      <w:r w:rsidR="00BF6BED">
        <w:rPr>
          <w:bCs/>
          <w:iCs/>
        </w:rPr>
        <w:t>tend to</w:t>
      </w:r>
      <w:r w:rsidR="00BF6BED" w:rsidRPr="00034439">
        <w:rPr>
          <w:bCs/>
          <w:iCs/>
        </w:rPr>
        <w:t xml:space="preserve"> </w:t>
      </w:r>
      <w:r w:rsidR="009D32D2" w:rsidRPr="00034439">
        <w:rPr>
          <w:bCs/>
          <w:iCs/>
        </w:rPr>
        <w:t>under</w:t>
      </w:r>
      <w:r w:rsidR="00A71FFE" w:rsidRPr="00034439">
        <w:rPr>
          <w:bCs/>
          <w:iCs/>
        </w:rPr>
        <w:t>-</w:t>
      </w:r>
      <w:r w:rsidR="009D32D2" w:rsidRPr="00034439">
        <w:rPr>
          <w:bCs/>
          <w:iCs/>
        </w:rPr>
        <w:t xml:space="preserve"> </w:t>
      </w:r>
      <w:r w:rsidR="008C2CEB" w:rsidRPr="00034439">
        <w:rPr>
          <w:bCs/>
          <w:iCs/>
        </w:rPr>
        <w:t>or over</w:t>
      </w:r>
      <w:r w:rsidR="00A71FFE" w:rsidRPr="00034439">
        <w:rPr>
          <w:bCs/>
          <w:iCs/>
        </w:rPr>
        <w:t>-estimate</w:t>
      </w:r>
      <w:r w:rsidR="008C2CEB" w:rsidRPr="00034439">
        <w:rPr>
          <w:bCs/>
          <w:iCs/>
        </w:rPr>
        <w:t xml:space="preserve"> </w:t>
      </w:r>
      <w:r w:rsidR="009D32D2" w:rsidRPr="00034439">
        <w:rPr>
          <w:bCs/>
          <w:iCs/>
        </w:rPr>
        <w:t xml:space="preserve">the potential severity of severe allergic reactions </w:t>
      </w:r>
      <w:r w:rsidR="008C2CEB" w:rsidRPr="00034439">
        <w:rPr>
          <w:bCs/>
          <w:iCs/>
        </w:rPr>
        <w:t xml:space="preserve">and </w:t>
      </w:r>
      <w:r w:rsidR="00827BCB" w:rsidRPr="00034439">
        <w:rPr>
          <w:bCs/>
          <w:iCs/>
        </w:rPr>
        <w:t>they</w:t>
      </w:r>
      <w:r w:rsidR="00814C65" w:rsidRPr="00034439">
        <w:rPr>
          <w:bCs/>
          <w:iCs/>
        </w:rPr>
        <w:t xml:space="preserve"> </w:t>
      </w:r>
      <w:r w:rsidR="00BF6BED">
        <w:rPr>
          <w:bCs/>
          <w:iCs/>
        </w:rPr>
        <w:t>may</w:t>
      </w:r>
      <w:r w:rsidR="008C2CEB" w:rsidRPr="00034439">
        <w:rPr>
          <w:bCs/>
          <w:iCs/>
        </w:rPr>
        <w:t xml:space="preserve"> not seek medical help (</w:t>
      </w:r>
      <w:r w:rsidR="00384860" w:rsidRPr="00034439">
        <w:rPr>
          <w:bCs/>
          <w:iCs/>
        </w:rPr>
        <w:t>19</w:t>
      </w:r>
      <w:r w:rsidR="008C2CEB" w:rsidRPr="00034439">
        <w:rPr>
          <w:bCs/>
          <w:iCs/>
        </w:rPr>
        <w:t>).</w:t>
      </w:r>
      <w:r w:rsidR="008C2CEB" w:rsidRPr="00034439">
        <w:rPr>
          <w:bCs/>
          <w:i/>
          <w:iCs/>
        </w:rPr>
        <w:t xml:space="preserve"> </w:t>
      </w:r>
      <w:r w:rsidR="00A71FFE" w:rsidRPr="00034439">
        <w:rPr>
          <w:bCs/>
          <w:i/>
          <w:iCs/>
        </w:rPr>
        <w:t xml:space="preserve"> </w:t>
      </w:r>
      <w:r w:rsidR="00DB613D" w:rsidRPr="00034439">
        <w:t>For example, c</w:t>
      </w:r>
      <w:r w:rsidRPr="00034439">
        <w:t xml:space="preserve">linical experience shows that families often consider </w:t>
      </w:r>
      <w:r w:rsidR="00DB613D" w:rsidRPr="00034439">
        <w:t>angioedema in the context of an</w:t>
      </w:r>
      <w:r w:rsidRPr="00034439">
        <w:t xml:space="preserve"> allergic reaction to be much more significant than mild wheeze; their allergy-experienced physicians </w:t>
      </w:r>
      <w:r w:rsidR="00A71FFE" w:rsidRPr="00034439">
        <w:t xml:space="preserve">are likely to </w:t>
      </w:r>
      <w:r w:rsidRPr="00034439">
        <w:t xml:space="preserve">disagree considering wheeze </w:t>
      </w:r>
      <w:r w:rsidR="007C1749" w:rsidRPr="00034439">
        <w:t xml:space="preserve">to be </w:t>
      </w:r>
      <w:r w:rsidRPr="00034439">
        <w:t xml:space="preserve">more severe </w:t>
      </w:r>
      <w:r w:rsidR="007C1749" w:rsidRPr="00034439">
        <w:t>(and potentially life-threatening)</w:t>
      </w:r>
      <w:r w:rsidRPr="00034439">
        <w:t xml:space="preserve">. Patients and their </w:t>
      </w:r>
      <w:r w:rsidRPr="00034439">
        <w:lastRenderedPageBreak/>
        <w:t>carers may be used to wheezing with viral infections and therefore treat allergen-induced wheezing with their usual asthma treatments not appreciating that</w:t>
      </w:r>
      <w:r w:rsidR="00A71FFE" w:rsidRPr="00034439">
        <w:t>,</w:t>
      </w:r>
      <w:r w:rsidRPr="00034439">
        <w:t xml:space="preserve"> in this context, the bronchospasm and resulting symptoms may worsen</w:t>
      </w:r>
      <w:r w:rsidR="007C1749" w:rsidRPr="00034439">
        <w:t xml:space="preserve"> rapidly</w:t>
      </w:r>
      <w:r w:rsidRPr="00034439">
        <w:t xml:space="preserve">. </w:t>
      </w:r>
      <w:r w:rsidR="00E42675" w:rsidRPr="00034439">
        <w:t>A</w:t>
      </w:r>
      <w:r w:rsidRPr="00034439">
        <w:t xml:space="preserve">ny disruption to daily life can be reasonably considered by the family to be a significant or severe event: </w:t>
      </w:r>
      <w:r w:rsidR="00A71FFE" w:rsidRPr="00034439">
        <w:t xml:space="preserve">for example, </w:t>
      </w:r>
      <w:r w:rsidRPr="00034439">
        <w:t xml:space="preserve">missing a day of school due to </w:t>
      </w:r>
      <w:r w:rsidR="00DB613D" w:rsidRPr="00034439">
        <w:t xml:space="preserve">urticaria or </w:t>
      </w:r>
      <w:r w:rsidR="00827BCB" w:rsidRPr="00034439">
        <w:t xml:space="preserve">visiting the </w:t>
      </w:r>
      <w:r w:rsidR="00465FEE" w:rsidRPr="00034439">
        <w:t>e</w:t>
      </w:r>
      <w:r w:rsidRPr="00034439">
        <w:t xml:space="preserve">mergency </w:t>
      </w:r>
      <w:r w:rsidR="00465FEE" w:rsidRPr="00034439">
        <w:t>d</w:t>
      </w:r>
      <w:r w:rsidRPr="00034439">
        <w:t>epartment</w:t>
      </w:r>
      <w:r w:rsidR="00DB613D" w:rsidRPr="00034439">
        <w:t xml:space="preserve"> </w:t>
      </w:r>
      <w:r w:rsidRPr="00034439">
        <w:t xml:space="preserve">due to anaphylaxis. </w:t>
      </w:r>
    </w:p>
    <w:p w14:paraId="719C59F1" w14:textId="77777777" w:rsidR="00814C65" w:rsidRPr="00034439" w:rsidRDefault="00814C65" w:rsidP="0080453E">
      <w:pPr>
        <w:spacing w:after="0" w:line="360" w:lineRule="auto"/>
        <w:jc w:val="both"/>
      </w:pPr>
    </w:p>
    <w:p w14:paraId="163378D3" w14:textId="0CD8D7D3" w:rsidR="003A6CBC" w:rsidRPr="00034439" w:rsidRDefault="003A6CBC" w:rsidP="0080453E">
      <w:pPr>
        <w:spacing w:after="0" w:line="360" w:lineRule="auto"/>
        <w:jc w:val="both"/>
      </w:pPr>
      <w:r w:rsidRPr="00034439">
        <w:rPr>
          <w:bCs/>
          <w:i/>
          <w:iCs/>
        </w:rPr>
        <w:t>Family doctors</w:t>
      </w:r>
      <w:r w:rsidRPr="00034439">
        <w:t xml:space="preserve"> rarely encounter allergic reactions and may not </w:t>
      </w:r>
      <w:r w:rsidR="005C640A" w:rsidRPr="00034439">
        <w:t>have</w:t>
      </w:r>
      <w:r w:rsidR="005D0AE3">
        <w:t xml:space="preserve"> had training,</w:t>
      </w:r>
      <w:r w:rsidR="006C2FCE">
        <w:t xml:space="preserve"> </w:t>
      </w:r>
      <w:r w:rsidR="005C640A" w:rsidRPr="00034439">
        <w:t xml:space="preserve">the </w:t>
      </w:r>
      <w:r w:rsidR="00827BCB" w:rsidRPr="00034439">
        <w:t xml:space="preserve">clinical </w:t>
      </w:r>
      <w:r w:rsidR="005C640A" w:rsidRPr="00034439">
        <w:t>experience</w:t>
      </w:r>
      <w:r w:rsidR="005D0AE3">
        <w:t xml:space="preserve"> </w:t>
      </w:r>
      <w:r w:rsidR="00BF6BED">
        <w:t>or sufficient time</w:t>
      </w:r>
      <w:r w:rsidR="005D0AE3">
        <w:t xml:space="preserve"> within the </w:t>
      </w:r>
      <w:r w:rsidR="00BF6BED">
        <w:t xml:space="preserve">consultation </w:t>
      </w:r>
      <w:r w:rsidR="00BF6BED" w:rsidRPr="00034439">
        <w:t>to</w:t>
      </w:r>
      <w:r w:rsidR="005C640A" w:rsidRPr="00034439">
        <w:t xml:space="preserve"> </w:t>
      </w:r>
      <w:r w:rsidR="00465FEE" w:rsidRPr="00034439">
        <w:t>assess their severity</w:t>
      </w:r>
      <w:r w:rsidRPr="00034439">
        <w:t xml:space="preserve">. </w:t>
      </w:r>
      <w:r w:rsidR="00465FEE" w:rsidRPr="00034439">
        <w:t>A</w:t>
      </w:r>
      <w:r w:rsidRPr="00034439">
        <w:t xml:space="preserve">drenaline </w:t>
      </w:r>
      <w:r w:rsidR="00E42675" w:rsidRPr="00034439">
        <w:t xml:space="preserve">(epinephrine) </w:t>
      </w:r>
      <w:r w:rsidR="00465FEE" w:rsidRPr="00034439">
        <w:t xml:space="preserve">may </w:t>
      </w:r>
      <w:r w:rsidRPr="00034439">
        <w:t xml:space="preserve">be prescribed when it </w:t>
      </w:r>
      <w:r w:rsidR="00465FEE" w:rsidRPr="00034439">
        <w:t xml:space="preserve">is </w:t>
      </w:r>
      <w:r w:rsidRPr="00034439">
        <w:t>not indicated</w:t>
      </w:r>
      <w:r w:rsidR="00465FEE" w:rsidRPr="00034439">
        <w:t xml:space="preserve"> </w:t>
      </w:r>
      <w:r w:rsidRPr="00034439">
        <w:t>or</w:t>
      </w:r>
      <w:r w:rsidR="00465FEE" w:rsidRPr="00034439">
        <w:t xml:space="preserve"> a</w:t>
      </w:r>
      <w:r w:rsidRPr="00034439">
        <w:t xml:space="preserve"> patient</w:t>
      </w:r>
      <w:r w:rsidR="00465FEE" w:rsidRPr="00034439">
        <w:t xml:space="preserve"> may</w:t>
      </w:r>
      <w:r w:rsidRPr="00034439">
        <w:t xml:space="preserve"> be referred to </w:t>
      </w:r>
      <w:r w:rsidR="00465FEE" w:rsidRPr="00034439">
        <w:t>the emergency department</w:t>
      </w:r>
      <w:r w:rsidRPr="00034439">
        <w:t xml:space="preserve"> when </w:t>
      </w:r>
      <w:r w:rsidR="00465FEE" w:rsidRPr="00034439">
        <w:t xml:space="preserve">an allergic </w:t>
      </w:r>
      <w:r w:rsidRPr="00034439">
        <w:t>reaction</w:t>
      </w:r>
      <w:r w:rsidR="00465FEE" w:rsidRPr="00034439">
        <w:t xml:space="preserve"> is </w:t>
      </w:r>
      <w:r w:rsidRPr="00034439">
        <w:t xml:space="preserve">not </w:t>
      </w:r>
      <w:r w:rsidR="00E42675" w:rsidRPr="00034439">
        <w:t>potentially life-threatening</w:t>
      </w:r>
      <w:r w:rsidRPr="00034439">
        <w:t xml:space="preserve">. Conversely, </w:t>
      </w:r>
      <w:r w:rsidR="00465FEE" w:rsidRPr="00034439">
        <w:t>the severity may be</w:t>
      </w:r>
      <w:r w:rsidRPr="00034439">
        <w:t xml:space="preserve"> under-appreciate</w:t>
      </w:r>
      <w:r w:rsidR="00465FEE" w:rsidRPr="00034439">
        <w:t>d</w:t>
      </w:r>
      <w:r w:rsidRPr="00034439">
        <w:t xml:space="preserve"> and </w:t>
      </w:r>
      <w:r w:rsidR="00465FEE" w:rsidRPr="00034439">
        <w:t xml:space="preserve">the reaction only </w:t>
      </w:r>
      <w:r w:rsidRPr="00034439">
        <w:t>treat</w:t>
      </w:r>
      <w:r w:rsidR="00465FEE" w:rsidRPr="00034439">
        <w:t>ed</w:t>
      </w:r>
      <w:r w:rsidRPr="00034439">
        <w:t xml:space="preserve"> with antihistamines and corticosteroids instead of adrenaline (</w:t>
      </w:r>
      <w:r w:rsidR="00384860" w:rsidRPr="00034439">
        <w:t>20</w:t>
      </w:r>
      <w:r w:rsidRPr="00034439">
        <w:t xml:space="preserve">). </w:t>
      </w:r>
    </w:p>
    <w:p w14:paraId="4FAEFD4F" w14:textId="77777777" w:rsidR="00814C65" w:rsidRPr="00034439" w:rsidRDefault="00814C65" w:rsidP="0080453E">
      <w:pPr>
        <w:spacing w:after="0" w:line="360" w:lineRule="auto"/>
        <w:jc w:val="both"/>
        <w:rPr>
          <w:bCs/>
          <w:i/>
          <w:iCs/>
        </w:rPr>
      </w:pPr>
    </w:p>
    <w:p w14:paraId="0738A48E" w14:textId="75DC8002" w:rsidR="003A6CBC" w:rsidRPr="00C83AC0" w:rsidRDefault="003A6CBC" w:rsidP="0080453E">
      <w:pPr>
        <w:spacing w:after="0" w:line="360" w:lineRule="auto"/>
        <w:jc w:val="both"/>
      </w:pPr>
      <w:r w:rsidRPr="00034439">
        <w:rPr>
          <w:bCs/>
          <w:i/>
          <w:iCs/>
        </w:rPr>
        <w:t>Emergency department physicians</w:t>
      </w:r>
      <w:r w:rsidRPr="00034439">
        <w:t xml:space="preserve"> and </w:t>
      </w:r>
      <w:r w:rsidR="00465FEE" w:rsidRPr="00034439">
        <w:t xml:space="preserve">first </w:t>
      </w:r>
      <w:r w:rsidRPr="00034439">
        <w:t>responders in the community may not appreciate the allergic origin of clinical scenario</w:t>
      </w:r>
      <w:r w:rsidR="00465FEE" w:rsidRPr="00034439">
        <w:t>s that they encounter</w:t>
      </w:r>
      <w:r w:rsidR="004C06CD" w:rsidRPr="00034439">
        <w:t>. T</w:t>
      </w:r>
      <w:r w:rsidRPr="00034439">
        <w:t>he differential diagnosis for anaphylaxis is very broad (</w:t>
      </w:r>
      <w:r w:rsidR="00384860" w:rsidRPr="00034439">
        <w:t>21</w:t>
      </w:r>
      <w:r w:rsidRPr="00034439">
        <w:t>)</w:t>
      </w:r>
      <w:r w:rsidR="004C06CD" w:rsidRPr="00034439">
        <w:t xml:space="preserve">. So, </w:t>
      </w:r>
      <w:r w:rsidRPr="00034439">
        <w:t xml:space="preserve">in the absence of any objective point of care </w:t>
      </w:r>
      <w:r w:rsidR="00205BBA" w:rsidRPr="00034439">
        <w:t xml:space="preserve">diagnostic </w:t>
      </w:r>
      <w:r w:rsidRPr="00034439">
        <w:t>test</w:t>
      </w:r>
      <w:r w:rsidR="004C06CD" w:rsidRPr="00034439">
        <w:t>,</w:t>
      </w:r>
      <w:r w:rsidRPr="00034439">
        <w:t xml:space="preserve"> the constellation of symptoms </w:t>
      </w:r>
      <w:r w:rsidR="000D7B5B" w:rsidRPr="00034439">
        <w:t xml:space="preserve">and signs </w:t>
      </w:r>
      <w:r w:rsidRPr="00034439">
        <w:t xml:space="preserve">caused by </w:t>
      </w:r>
      <w:r w:rsidR="00465FEE" w:rsidRPr="00034439">
        <w:t xml:space="preserve">severe </w:t>
      </w:r>
      <w:r w:rsidR="00827BCB" w:rsidRPr="00034439">
        <w:t xml:space="preserve">multi-system </w:t>
      </w:r>
      <w:r w:rsidR="00465FEE" w:rsidRPr="00034439">
        <w:t>allergic reactions (</w:t>
      </w:r>
      <w:r w:rsidRPr="00034439">
        <w:t>anaphylaxis</w:t>
      </w:r>
      <w:r w:rsidR="00465FEE" w:rsidRPr="00034439">
        <w:t>)</w:t>
      </w:r>
      <w:r w:rsidRPr="00034439">
        <w:t xml:space="preserve"> must</w:t>
      </w:r>
      <w:r w:rsidR="00A71FFE" w:rsidRPr="00034439">
        <w:t xml:space="preserve"> </w:t>
      </w:r>
      <w:r w:rsidRPr="00034439">
        <w:t xml:space="preserve">be </w:t>
      </w:r>
      <w:r w:rsidR="00FA5A11" w:rsidRPr="00034439">
        <w:t>recogni</w:t>
      </w:r>
      <w:r w:rsidR="00FA5A11">
        <w:t>z</w:t>
      </w:r>
      <w:r w:rsidR="00FA5A11" w:rsidRPr="00034439">
        <w:t xml:space="preserve">ed </w:t>
      </w:r>
      <w:r w:rsidR="00205BBA" w:rsidRPr="00034439">
        <w:t xml:space="preserve">if </w:t>
      </w:r>
      <w:r w:rsidRPr="00034439">
        <w:t xml:space="preserve">correct </w:t>
      </w:r>
      <w:r w:rsidR="00C83AC0">
        <w:t xml:space="preserve">emergency </w:t>
      </w:r>
      <w:r w:rsidRPr="00C83AC0">
        <w:t xml:space="preserve">treatment </w:t>
      </w:r>
      <w:r w:rsidR="00205BBA" w:rsidRPr="00C83AC0">
        <w:t xml:space="preserve">is </w:t>
      </w:r>
      <w:r w:rsidRPr="00C83AC0">
        <w:t xml:space="preserve">to be initiated. </w:t>
      </w:r>
    </w:p>
    <w:p w14:paraId="230DA1CC" w14:textId="77777777" w:rsidR="00814C65" w:rsidRPr="00075E54" w:rsidRDefault="00814C65" w:rsidP="0080453E">
      <w:pPr>
        <w:spacing w:after="0" w:line="360" w:lineRule="auto"/>
        <w:jc w:val="both"/>
      </w:pPr>
    </w:p>
    <w:p w14:paraId="5D04CA27" w14:textId="2727BC12" w:rsidR="007C1749" w:rsidRDefault="003A6CBC" w:rsidP="0080453E">
      <w:pPr>
        <w:spacing w:after="0" w:line="360" w:lineRule="auto"/>
        <w:jc w:val="both"/>
      </w:pPr>
      <w:r w:rsidRPr="00034439">
        <w:rPr>
          <w:bCs/>
          <w:i/>
          <w:iCs/>
        </w:rPr>
        <w:t>Allerg</w:t>
      </w:r>
      <w:r w:rsidR="00A162A8" w:rsidRPr="00034439">
        <w:rPr>
          <w:bCs/>
          <w:i/>
          <w:iCs/>
        </w:rPr>
        <w:t>y</w:t>
      </w:r>
      <w:r w:rsidRPr="00034439">
        <w:rPr>
          <w:bCs/>
          <w:i/>
          <w:iCs/>
        </w:rPr>
        <w:t xml:space="preserve"> specialists</w:t>
      </w:r>
      <w:r w:rsidRPr="00034439">
        <w:rPr>
          <w:b/>
        </w:rPr>
        <w:t xml:space="preserve"> </w:t>
      </w:r>
      <w:r w:rsidRPr="00034439">
        <w:t>are</w:t>
      </w:r>
      <w:r w:rsidR="00FD01AF" w:rsidRPr="00034439">
        <w:t xml:space="preserve"> </w:t>
      </w:r>
      <w:r w:rsidRPr="00034439">
        <w:t xml:space="preserve">trained to </w:t>
      </w:r>
      <w:r w:rsidR="00FA5A11" w:rsidRPr="00034439">
        <w:t>recogni</w:t>
      </w:r>
      <w:r w:rsidR="00FA5A11">
        <w:t>z</w:t>
      </w:r>
      <w:r w:rsidR="00FA5A11" w:rsidRPr="00034439">
        <w:t xml:space="preserve">e </w:t>
      </w:r>
      <w:r w:rsidRPr="00034439">
        <w:t>the clinical spectrum of allergic diseases and to pragmatically evaluate their patients</w:t>
      </w:r>
      <w:r w:rsidR="002933A1" w:rsidRPr="00034439">
        <w:t>’</w:t>
      </w:r>
      <w:r w:rsidRPr="00034439">
        <w:t xml:space="preserve"> </w:t>
      </w:r>
      <w:r w:rsidR="005C640A" w:rsidRPr="00034439">
        <w:t xml:space="preserve">previous </w:t>
      </w:r>
      <w:r w:rsidRPr="00034439">
        <w:t xml:space="preserve">reactions. </w:t>
      </w:r>
      <w:r w:rsidR="007B498F" w:rsidRPr="00034439">
        <w:t xml:space="preserve">An </w:t>
      </w:r>
      <w:r w:rsidRPr="00034439">
        <w:t xml:space="preserve">accurate evaluation of severity </w:t>
      </w:r>
      <w:r w:rsidR="007B498F" w:rsidRPr="00034439">
        <w:t>is required to determine</w:t>
      </w:r>
      <w:r w:rsidRPr="00034439">
        <w:t xml:space="preserve"> emergency treatment and personalise care plans</w:t>
      </w:r>
      <w:r w:rsidR="007C1749" w:rsidRPr="00034439">
        <w:t>.</w:t>
      </w:r>
      <w:r w:rsidRPr="00034439">
        <w:t xml:space="preserve"> </w:t>
      </w:r>
      <w:r w:rsidR="007C1749" w:rsidRPr="00034439">
        <w:t>Most allergists do not see their patients during acute allergic reactions</w:t>
      </w:r>
      <w:r w:rsidR="007B498F" w:rsidRPr="00034439">
        <w:t xml:space="preserve"> so there is a</w:t>
      </w:r>
      <w:r w:rsidR="007C1749" w:rsidRPr="00034439">
        <w:t xml:space="preserve"> need to accurately</w:t>
      </w:r>
      <w:r w:rsidR="007B498F" w:rsidRPr="00034439">
        <w:t>,</w:t>
      </w:r>
      <w:r w:rsidR="007C1749" w:rsidRPr="00034439">
        <w:t xml:space="preserve"> but retrospectively</w:t>
      </w:r>
      <w:r w:rsidR="007B498F" w:rsidRPr="00034439">
        <w:t>,</w:t>
      </w:r>
      <w:r w:rsidR="007C1749" w:rsidRPr="00034439">
        <w:t xml:space="preserve"> assess </w:t>
      </w:r>
      <w:r w:rsidR="008816AF">
        <w:t xml:space="preserve">the potential </w:t>
      </w:r>
      <w:r w:rsidR="007C1749" w:rsidRPr="00034439">
        <w:t xml:space="preserve">severity.  </w:t>
      </w:r>
    </w:p>
    <w:p w14:paraId="57F05886" w14:textId="77777777" w:rsidR="00FA5A11" w:rsidRPr="00034439" w:rsidRDefault="00FA5A11" w:rsidP="0080453E">
      <w:pPr>
        <w:spacing w:after="0" w:line="360" w:lineRule="auto"/>
        <w:jc w:val="both"/>
      </w:pPr>
    </w:p>
    <w:p w14:paraId="1BCC191B" w14:textId="77777777" w:rsidR="00B51976" w:rsidRPr="00034439" w:rsidRDefault="00B51976" w:rsidP="0080453E">
      <w:pPr>
        <w:spacing w:after="0" w:line="360" w:lineRule="auto"/>
        <w:jc w:val="both"/>
        <w:rPr>
          <w:bCs/>
        </w:rPr>
      </w:pPr>
      <w:r w:rsidRPr="00034439">
        <w:rPr>
          <w:bCs/>
          <w:i/>
          <w:iCs/>
        </w:rPr>
        <w:t xml:space="preserve">Health psychologists </w:t>
      </w:r>
      <w:r w:rsidRPr="00034439">
        <w:rPr>
          <w:bCs/>
        </w:rPr>
        <w:t xml:space="preserve">need to be able to separate the physiological symptoms of allergic disease from the psychological impact and determine the impact that is due to </w:t>
      </w:r>
      <w:r w:rsidR="00A22F1F" w:rsidRPr="00034439">
        <w:rPr>
          <w:bCs/>
        </w:rPr>
        <w:t xml:space="preserve">any </w:t>
      </w:r>
      <w:r w:rsidRPr="00034439">
        <w:rPr>
          <w:bCs/>
        </w:rPr>
        <w:t>psychological co-</w:t>
      </w:r>
      <w:r w:rsidR="00AC0F19" w:rsidRPr="00034439">
        <w:rPr>
          <w:bCs/>
        </w:rPr>
        <w:t>morbidities</w:t>
      </w:r>
      <w:r w:rsidRPr="00034439">
        <w:rPr>
          <w:bCs/>
        </w:rPr>
        <w:t xml:space="preserve">. Such </w:t>
      </w:r>
      <w:r w:rsidR="00A22F1F" w:rsidRPr="00034439">
        <w:rPr>
          <w:bCs/>
        </w:rPr>
        <w:t xml:space="preserve">an </w:t>
      </w:r>
      <w:r w:rsidRPr="00034439">
        <w:rPr>
          <w:bCs/>
        </w:rPr>
        <w:t>analysis has profound implications for correct treatment and management</w:t>
      </w:r>
      <w:r w:rsidR="00353B95" w:rsidRPr="00034439">
        <w:rPr>
          <w:bCs/>
        </w:rPr>
        <w:t xml:space="preserve"> and for alleviating patient/parent anxiety and concerns.</w:t>
      </w:r>
    </w:p>
    <w:p w14:paraId="7FEBD99A" w14:textId="77777777" w:rsidR="00814C65" w:rsidRPr="00034439" w:rsidRDefault="00814C65" w:rsidP="0080453E">
      <w:pPr>
        <w:spacing w:after="0" w:line="360" w:lineRule="auto"/>
        <w:jc w:val="both"/>
        <w:rPr>
          <w:bCs/>
        </w:rPr>
      </w:pPr>
    </w:p>
    <w:p w14:paraId="1607DD03" w14:textId="77777777" w:rsidR="003A6CBC" w:rsidRPr="00034439" w:rsidRDefault="00814C65" w:rsidP="0080453E">
      <w:pPr>
        <w:spacing w:after="0" w:line="360" w:lineRule="auto"/>
        <w:jc w:val="both"/>
      </w:pPr>
      <w:r w:rsidRPr="00034439">
        <w:rPr>
          <w:bCs/>
          <w:i/>
          <w:iCs/>
        </w:rPr>
        <w:t xml:space="preserve">Food industry and </w:t>
      </w:r>
      <w:r w:rsidR="00AA05F1" w:rsidRPr="00034439">
        <w:rPr>
          <w:bCs/>
          <w:i/>
          <w:iCs/>
        </w:rPr>
        <w:t xml:space="preserve">public health bodies </w:t>
      </w:r>
      <w:r w:rsidR="003A6CBC" w:rsidRPr="00034439">
        <w:t xml:space="preserve">may consider a severe outcome to be any change in a person’s quality-of-life, unscheduled access to medical care, loss of time at work, school or studies. </w:t>
      </w:r>
    </w:p>
    <w:p w14:paraId="46B67D81" w14:textId="77777777" w:rsidR="00814C65" w:rsidRPr="00034439" w:rsidRDefault="00814C65" w:rsidP="0080453E">
      <w:pPr>
        <w:spacing w:after="0" w:line="360" w:lineRule="auto"/>
        <w:jc w:val="both"/>
      </w:pPr>
    </w:p>
    <w:p w14:paraId="61F9874B" w14:textId="2E99DE82" w:rsidR="005C640A" w:rsidRPr="00034439" w:rsidRDefault="00827BCB" w:rsidP="0080453E">
      <w:pPr>
        <w:spacing w:after="0" w:line="360" w:lineRule="auto"/>
        <w:jc w:val="both"/>
      </w:pPr>
      <w:r w:rsidRPr="00034439">
        <w:lastRenderedPageBreak/>
        <w:t xml:space="preserve">While there are clear differences </w:t>
      </w:r>
      <w:r w:rsidR="00616711" w:rsidRPr="00034439">
        <w:t>between the perspectives and needs of these different stakeholders</w:t>
      </w:r>
      <w:r w:rsidRPr="00034439">
        <w:t xml:space="preserve">, there is </w:t>
      </w:r>
      <w:r w:rsidR="00FA5A11" w:rsidRPr="00034439">
        <w:t xml:space="preserve">also </w:t>
      </w:r>
      <w:r w:rsidR="00FA5A11">
        <w:t xml:space="preserve">considerable </w:t>
      </w:r>
      <w:r w:rsidRPr="00034439">
        <w:t xml:space="preserve">overlap and this </w:t>
      </w:r>
      <w:r w:rsidR="00616711" w:rsidRPr="00034439">
        <w:t xml:space="preserve">could feed into a </w:t>
      </w:r>
      <w:r w:rsidR="00FA5A11" w:rsidRPr="00034439">
        <w:t>harmoni</w:t>
      </w:r>
      <w:r w:rsidR="00FA5A11">
        <w:t>z</w:t>
      </w:r>
      <w:r w:rsidR="00FA5A11" w:rsidRPr="00034439">
        <w:t xml:space="preserve">ed </w:t>
      </w:r>
      <w:r w:rsidR="00616711" w:rsidRPr="00034439">
        <w:t xml:space="preserve">approach. </w:t>
      </w:r>
      <w:r w:rsidR="005C640A" w:rsidRPr="00034439">
        <w:t xml:space="preserve">A </w:t>
      </w:r>
      <w:r w:rsidR="00FA5A11" w:rsidRPr="00034439">
        <w:t>harmoni</w:t>
      </w:r>
      <w:r w:rsidR="00FA5A11">
        <w:t>z</w:t>
      </w:r>
      <w:r w:rsidR="00FA5A11" w:rsidRPr="00034439">
        <w:t xml:space="preserve">ed </w:t>
      </w:r>
      <w:r w:rsidR="005C640A" w:rsidRPr="00034439">
        <w:t xml:space="preserve">severity scoring system for allergic reactions </w:t>
      </w:r>
      <w:r w:rsidR="002933A1" w:rsidRPr="00034439">
        <w:t xml:space="preserve">ideally </w:t>
      </w:r>
      <w:r w:rsidR="00D00774" w:rsidRPr="00034439">
        <w:t xml:space="preserve">needs </w:t>
      </w:r>
      <w:r w:rsidR="005C640A" w:rsidRPr="00034439">
        <w:t xml:space="preserve">to take into account the perceptions </w:t>
      </w:r>
      <w:r w:rsidR="005827C0" w:rsidRPr="00034439">
        <w:t xml:space="preserve">and </w:t>
      </w:r>
      <w:r w:rsidR="00814C65" w:rsidRPr="00034439">
        <w:t xml:space="preserve">needs </w:t>
      </w:r>
      <w:r w:rsidR="005C640A" w:rsidRPr="00034439">
        <w:t xml:space="preserve">of different stakeholders. </w:t>
      </w:r>
      <w:r w:rsidR="00343FAE" w:rsidRPr="00034439">
        <w:t xml:space="preserve">Grades </w:t>
      </w:r>
      <w:r w:rsidR="00A22F1F" w:rsidRPr="00034439">
        <w:t xml:space="preserve">of severity </w:t>
      </w:r>
      <w:r w:rsidR="005C640A" w:rsidRPr="00034439">
        <w:t xml:space="preserve">should be </w:t>
      </w:r>
      <w:r w:rsidR="007B21D1" w:rsidRPr="00034439">
        <w:t xml:space="preserve">distinct to </w:t>
      </w:r>
      <w:r w:rsidR="005C640A" w:rsidRPr="00034439">
        <w:t xml:space="preserve">facilitate </w:t>
      </w:r>
      <w:r w:rsidR="00E37F61">
        <w:t xml:space="preserve">their </w:t>
      </w:r>
      <w:r w:rsidR="005C640A" w:rsidRPr="00034439">
        <w:t xml:space="preserve">utilisation by </w:t>
      </w:r>
      <w:r w:rsidR="007B21D1" w:rsidRPr="00034439">
        <w:t>patients, parents</w:t>
      </w:r>
      <w:r w:rsidR="00814C65" w:rsidRPr="00034439">
        <w:t>,</w:t>
      </w:r>
      <w:r w:rsidR="007B21D1" w:rsidRPr="00034439">
        <w:t xml:space="preserve"> healthcare professionals</w:t>
      </w:r>
      <w:r w:rsidR="00814C65" w:rsidRPr="00034439">
        <w:t xml:space="preserve"> and other </w:t>
      </w:r>
      <w:r w:rsidR="00E37F61">
        <w:t>relevant groups</w:t>
      </w:r>
      <w:r w:rsidR="007B21D1" w:rsidRPr="00034439">
        <w:t xml:space="preserve">. </w:t>
      </w:r>
      <w:r w:rsidR="00860FBE" w:rsidRPr="00034439">
        <w:t>Ensuring that t</w:t>
      </w:r>
      <w:r w:rsidR="007B21D1" w:rsidRPr="00034439">
        <w:t xml:space="preserve">hese </w:t>
      </w:r>
      <w:r w:rsidR="00343FAE" w:rsidRPr="00034439">
        <w:t>grades</w:t>
      </w:r>
      <w:r w:rsidR="00860FBE" w:rsidRPr="00034439">
        <w:t xml:space="preserve"> </w:t>
      </w:r>
      <w:r w:rsidR="007B21D1" w:rsidRPr="00034439">
        <w:t xml:space="preserve">make sense to other </w:t>
      </w:r>
      <w:r w:rsidR="00E37F61">
        <w:t>groups</w:t>
      </w:r>
      <w:r w:rsidR="00E37F61" w:rsidRPr="00034439">
        <w:t xml:space="preserve"> </w:t>
      </w:r>
      <w:r w:rsidR="007B21D1" w:rsidRPr="00034439">
        <w:t xml:space="preserve">who </w:t>
      </w:r>
      <w:r w:rsidRPr="00034439">
        <w:t xml:space="preserve">may </w:t>
      </w:r>
      <w:r w:rsidR="007B21D1" w:rsidRPr="00034439">
        <w:t>use the system</w:t>
      </w:r>
      <w:r w:rsidR="00860FBE" w:rsidRPr="00034439">
        <w:t xml:space="preserve"> </w:t>
      </w:r>
      <w:r w:rsidRPr="00034439">
        <w:t xml:space="preserve">will </w:t>
      </w:r>
      <w:r w:rsidR="00860FBE" w:rsidRPr="00034439">
        <w:t>be a challenge</w:t>
      </w:r>
      <w:r w:rsidR="00FA5A11">
        <w:t>,</w:t>
      </w:r>
      <w:r w:rsidR="00860FBE" w:rsidRPr="00034439">
        <w:t xml:space="preserve"> but </w:t>
      </w:r>
      <w:r w:rsidRPr="00034439">
        <w:t xml:space="preserve">it </w:t>
      </w:r>
      <w:r w:rsidR="00860FBE" w:rsidRPr="00034439">
        <w:t xml:space="preserve">is essential </w:t>
      </w:r>
      <w:r w:rsidRPr="00034439">
        <w:t>for</w:t>
      </w:r>
      <w:r w:rsidR="00860FBE" w:rsidRPr="00034439">
        <w:t xml:space="preserve"> </w:t>
      </w:r>
      <w:r w:rsidR="007B21D1" w:rsidRPr="00034439">
        <w:t xml:space="preserve">any proposed </w:t>
      </w:r>
      <w:r w:rsidR="00FA5A11" w:rsidRPr="00034439">
        <w:t>harmoni</w:t>
      </w:r>
      <w:r w:rsidR="00FA5A11">
        <w:t>z</w:t>
      </w:r>
      <w:r w:rsidR="00FA5A11" w:rsidRPr="00034439">
        <w:t xml:space="preserve">ed </w:t>
      </w:r>
      <w:r w:rsidR="007B21D1" w:rsidRPr="00034439">
        <w:t xml:space="preserve">system </w:t>
      </w:r>
      <w:r w:rsidR="00E37F61">
        <w:t xml:space="preserve">that it </w:t>
      </w:r>
      <w:r w:rsidR="00860FBE" w:rsidRPr="00034439">
        <w:t xml:space="preserve">is </w:t>
      </w:r>
      <w:r w:rsidR="007B21D1" w:rsidRPr="00034439">
        <w:t xml:space="preserve">accepted by all stakeholders.  </w:t>
      </w:r>
    </w:p>
    <w:p w14:paraId="3CC82263" w14:textId="77777777" w:rsidR="003A6CBC" w:rsidRPr="00034439" w:rsidRDefault="003A6CBC" w:rsidP="0080453E">
      <w:pPr>
        <w:spacing w:after="0" w:line="360" w:lineRule="auto"/>
        <w:jc w:val="both"/>
      </w:pPr>
    </w:p>
    <w:p w14:paraId="64DBF725" w14:textId="77777777" w:rsidR="002177AC" w:rsidRPr="00034439" w:rsidRDefault="002177AC" w:rsidP="0080453E">
      <w:pPr>
        <w:spacing w:after="0" w:line="360" w:lineRule="auto"/>
        <w:jc w:val="both"/>
      </w:pPr>
    </w:p>
    <w:p w14:paraId="65A535B5" w14:textId="77777777" w:rsidR="002177AC" w:rsidRPr="00034439" w:rsidRDefault="002177AC" w:rsidP="0080453E">
      <w:pPr>
        <w:spacing w:after="0" w:line="360" w:lineRule="auto"/>
        <w:jc w:val="both"/>
      </w:pPr>
    </w:p>
    <w:p w14:paraId="3DB25A23" w14:textId="586D0E8C" w:rsidR="00E40F63" w:rsidRPr="00034439" w:rsidRDefault="00E40F63" w:rsidP="0080453E">
      <w:pPr>
        <w:spacing w:after="0" w:line="360" w:lineRule="auto"/>
        <w:rPr>
          <w:b/>
          <w:bCs/>
        </w:rPr>
      </w:pPr>
    </w:p>
    <w:p w14:paraId="7E38B6FE" w14:textId="6AD3F3B0" w:rsidR="004C086F" w:rsidRPr="00034439" w:rsidRDefault="00A874DE" w:rsidP="0080453E">
      <w:pPr>
        <w:spacing w:after="0" w:line="360" w:lineRule="auto"/>
        <w:rPr>
          <w:b/>
          <w:bCs/>
        </w:rPr>
      </w:pPr>
      <w:r w:rsidRPr="00034439">
        <w:rPr>
          <w:b/>
          <w:bCs/>
        </w:rPr>
        <w:t xml:space="preserve">Table </w:t>
      </w:r>
      <w:r w:rsidR="00AC0F19" w:rsidRPr="00034439">
        <w:rPr>
          <w:b/>
          <w:bCs/>
        </w:rPr>
        <w:t>1</w:t>
      </w:r>
      <w:r w:rsidRPr="00034439">
        <w:rPr>
          <w:b/>
          <w:bCs/>
        </w:rPr>
        <w:t>.</w:t>
      </w:r>
      <w:r w:rsidR="004C086F" w:rsidRPr="00034439">
        <w:rPr>
          <w:b/>
          <w:bCs/>
        </w:rPr>
        <w:t xml:space="preserve"> Need for a </w:t>
      </w:r>
      <w:r w:rsidR="00FA5A11" w:rsidRPr="00034439">
        <w:rPr>
          <w:b/>
          <w:bCs/>
        </w:rPr>
        <w:t>harmoni</w:t>
      </w:r>
      <w:r w:rsidR="00FA5A11">
        <w:rPr>
          <w:b/>
          <w:bCs/>
        </w:rPr>
        <w:t>z</w:t>
      </w:r>
      <w:r w:rsidR="00FA5A11" w:rsidRPr="00034439">
        <w:rPr>
          <w:b/>
          <w:bCs/>
        </w:rPr>
        <w:t xml:space="preserve">ed </w:t>
      </w:r>
      <w:r w:rsidR="004C086F" w:rsidRPr="00034439">
        <w:rPr>
          <w:b/>
          <w:bCs/>
        </w:rPr>
        <w:t>severity scoring of</w:t>
      </w:r>
      <w:r w:rsidR="00814C65" w:rsidRPr="00034439">
        <w:rPr>
          <w:b/>
          <w:bCs/>
        </w:rPr>
        <w:t xml:space="preserve"> acute</w:t>
      </w:r>
      <w:r w:rsidR="004C086F" w:rsidRPr="00034439">
        <w:rPr>
          <w:b/>
          <w:bCs/>
        </w:rPr>
        <w:t xml:space="preserve"> allergic reactions according to different stakeholders</w:t>
      </w:r>
      <w:r w:rsidR="00353B95" w:rsidRPr="00034439">
        <w:rPr>
          <w:b/>
          <w:bCs/>
        </w:rPr>
        <w:t xml:space="preserve"> </w:t>
      </w:r>
    </w:p>
    <w:tbl>
      <w:tblPr>
        <w:tblW w:w="9214" w:type="dxa"/>
        <w:tblLayout w:type="fixed"/>
        <w:tblLook w:val="04A0" w:firstRow="1" w:lastRow="0" w:firstColumn="1" w:lastColumn="0" w:noHBand="0" w:noVBand="1"/>
      </w:tblPr>
      <w:tblGrid>
        <w:gridCol w:w="1701"/>
        <w:gridCol w:w="3686"/>
        <w:gridCol w:w="3827"/>
      </w:tblGrid>
      <w:tr w:rsidR="006002AB" w:rsidRPr="00034439" w14:paraId="1B3BA536" w14:textId="77777777" w:rsidTr="0080453E">
        <w:tc>
          <w:tcPr>
            <w:tcW w:w="1701" w:type="dxa"/>
            <w:tcBorders>
              <w:top w:val="single" w:sz="4" w:space="0" w:color="auto"/>
              <w:bottom w:val="single" w:sz="4" w:space="0" w:color="auto"/>
            </w:tcBorders>
            <w:shd w:val="clear" w:color="auto" w:fill="BFBFBF"/>
          </w:tcPr>
          <w:p w14:paraId="60D13D03" w14:textId="7226E9CC" w:rsidR="006002AB" w:rsidRPr="00034439" w:rsidRDefault="003F7602" w:rsidP="00E37F61">
            <w:pPr>
              <w:spacing w:after="0" w:line="360" w:lineRule="auto"/>
              <w:rPr>
                <w:rFonts w:eastAsia="Calibri"/>
                <w:b/>
                <w:bCs/>
                <w:lang w:eastAsia="en-US"/>
              </w:rPr>
            </w:pPr>
            <w:r>
              <w:rPr>
                <w:rFonts w:eastAsia="Calibri"/>
                <w:b/>
                <w:bCs/>
                <w:lang w:eastAsia="en-US"/>
              </w:rPr>
              <w:t>S</w:t>
            </w:r>
            <w:r w:rsidR="006002AB" w:rsidRPr="00034439">
              <w:rPr>
                <w:rFonts w:eastAsia="Calibri"/>
                <w:b/>
                <w:bCs/>
                <w:lang w:eastAsia="en-US"/>
              </w:rPr>
              <w:t>takeholder</w:t>
            </w:r>
          </w:p>
        </w:tc>
        <w:tc>
          <w:tcPr>
            <w:tcW w:w="3686" w:type="dxa"/>
            <w:tcBorders>
              <w:top w:val="single" w:sz="4" w:space="0" w:color="auto"/>
              <w:bottom w:val="single" w:sz="4" w:space="0" w:color="auto"/>
            </w:tcBorders>
            <w:shd w:val="clear" w:color="auto" w:fill="BFBFBF"/>
          </w:tcPr>
          <w:p w14:paraId="561E76FA" w14:textId="77777777" w:rsidR="006002AB" w:rsidRPr="00034439" w:rsidRDefault="006002AB" w:rsidP="0080453E">
            <w:pPr>
              <w:spacing w:after="0" w:line="360" w:lineRule="auto"/>
              <w:rPr>
                <w:rFonts w:eastAsia="Calibri"/>
                <w:b/>
                <w:bCs/>
                <w:lang w:eastAsia="en-US"/>
              </w:rPr>
            </w:pPr>
            <w:r w:rsidRPr="00034439">
              <w:rPr>
                <w:rFonts w:eastAsia="Calibri"/>
                <w:b/>
                <w:bCs/>
                <w:lang w:eastAsia="en-US"/>
              </w:rPr>
              <w:t>Purpose</w:t>
            </w:r>
          </w:p>
        </w:tc>
        <w:tc>
          <w:tcPr>
            <w:tcW w:w="3827" w:type="dxa"/>
            <w:tcBorders>
              <w:top w:val="single" w:sz="4" w:space="0" w:color="auto"/>
              <w:bottom w:val="single" w:sz="4" w:space="0" w:color="auto"/>
            </w:tcBorders>
            <w:shd w:val="clear" w:color="auto" w:fill="BFBFBF"/>
          </w:tcPr>
          <w:p w14:paraId="69C73B52" w14:textId="77777777" w:rsidR="006002AB" w:rsidRPr="00034439" w:rsidRDefault="006002AB" w:rsidP="0080453E">
            <w:pPr>
              <w:spacing w:after="0" w:line="360" w:lineRule="auto"/>
              <w:rPr>
                <w:rFonts w:eastAsia="Calibri"/>
                <w:b/>
                <w:bCs/>
                <w:lang w:eastAsia="en-US"/>
              </w:rPr>
            </w:pPr>
            <w:r w:rsidRPr="00034439">
              <w:rPr>
                <w:rFonts w:eastAsia="Calibri"/>
                <w:b/>
                <w:bCs/>
                <w:lang w:eastAsia="en-US"/>
              </w:rPr>
              <w:t>Essentials of the system</w:t>
            </w:r>
          </w:p>
        </w:tc>
      </w:tr>
      <w:tr w:rsidR="006002AB" w:rsidRPr="00034439" w14:paraId="7C666EA6" w14:textId="77777777" w:rsidTr="0080453E">
        <w:tc>
          <w:tcPr>
            <w:tcW w:w="1701" w:type="dxa"/>
            <w:tcBorders>
              <w:top w:val="single" w:sz="4" w:space="0" w:color="auto"/>
            </w:tcBorders>
          </w:tcPr>
          <w:p w14:paraId="5A3DDC16" w14:textId="77777777" w:rsidR="006002AB" w:rsidRPr="00034439" w:rsidRDefault="006002AB" w:rsidP="0080453E">
            <w:pPr>
              <w:spacing w:after="0" w:line="360" w:lineRule="auto"/>
              <w:rPr>
                <w:rFonts w:eastAsia="Calibri"/>
                <w:lang w:eastAsia="en-US"/>
              </w:rPr>
            </w:pPr>
            <w:r w:rsidRPr="00034439">
              <w:rPr>
                <w:rFonts w:eastAsia="Calibri"/>
                <w:lang w:eastAsia="en-US"/>
              </w:rPr>
              <w:t>Patients</w:t>
            </w:r>
            <w:r w:rsidR="00AE60B8" w:rsidRPr="00034439">
              <w:rPr>
                <w:rFonts w:eastAsia="Calibri"/>
                <w:lang w:eastAsia="en-US"/>
              </w:rPr>
              <w:t xml:space="preserve"> and their carers</w:t>
            </w:r>
          </w:p>
        </w:tc>
        <w:tc>
          <w:tcPr>
            <w:tcW w:w="3686" w:type="dxa"/>
            <w:tcBorders>
              <w:top w:val="single" w:sz="4" w:space="0" w:color="auto"/>
            </w:tcBorders>
          </w:tcPr>
          <w:p w14:paraId="12311F2C" w14:textId="77777777" w:rsidR="006002AB" w:rsidRPr="00034439" w:rsidRDefault="006002AB" w:rsidP="0080453E">
            <w:pPr>
              <w:spacing w:after="0" w:line="360" w:lineRule="auto"/>
              <w:rPr>
                <w:rFonts w:eastAsia="Calibri"/>
                <w:lang w:eastAsia="en-US"/>
              </w:rPr>
            </w:pPr>
            <w:r w:rsidRPr="00034439">
              <w:rPr>
                <w:rFonts w:eastAsia="Calibri"/>
                <w:lang w:eastAsia="en-US"/>
              </w:rPr>
              <w:t xml:space="preserve">Risk awareness, recognition of symptoms of allergic reaction, recognition of seriousness and decision of type of self-treatment, reassurance. </w:t>
            </w:r>
          </w:p>
        </w:tc>
        <w:tc>
          <w:tcPr>
            <w:tcW w:w="3827" w:type="dxa"/>
            <w:tcBorders>
              <w:top w:val="single" w:sz="4" w:space="0" w:color="auto"/>
            </w:tcBorders>
          </w:tcPr>
          <w:p w14:paraId="01859309" w14:textId="77777777" w:rsidR="006002AB" w:rsidRPr="00034439" w:rsidRDefault="006002AB" w:rsidP="0080453E">
            <w:pPr>
              <w:spacing w:after="0" w:line="360" w:lineRule="auto"/>
              <w:rPr>
                <w:rFonts w:eastAsia="Calibri"/>
                <w:lang w:eastAsia="en-US"/>
              </w:rPr>
            </w:pPr>
            <w:r w:rsidRPr="00034439">
              <w:rPr>
                <w:rFonts w:eastAsia="Calibri"/>
                <w:lang w:eastAsia="en-US"/>
              </w:rPr>
              <w:t>Requires a simple, easy to remember system to facilitate direct linkage of presentation to management.</w:t>
            </w:r>
          </w:p>
        </w:tc>
      </w:tr>
      <w:tr w:rsidR="00E167B4" w:rsidRPr="00034439" w14:paraId="3B8D303E" w14:textId="77777777" w:rsidTr="0080453E">
        <w:tc>
          <w:tcPr>
            <w:tcW w:w="1701" w:type="dxa"/>
            <w:shd w:val="clear" w:color="auto" w:fill="F2F2F2" w:themeFill="background1" w:themeFillShade="F2"/>
          </w:tcPr>
          <w:p w14:paraId="00AFC0DC" w14:textId="77777777" w:rsidR="00E167B4" w:rsidRPr="00034439" w:rsidRDefault="00E167B4" w:rsidP="0080453E">
            <w:pPr>
              <w:spacing w:after="0" w:line="360" w:lineRule="auto"/>
              <w:rPr>
                <w:rFonts w:eastAsia="Calibri"/>
                <w:lang w:eastAsia="en-US"/>
              </w:rPr>
            </w:pPr>
            <w:r w:rsidRPr="00034439">
              <w:rPr>
                <w:rFonts w:eastAsia="Calibri"/>
                <w:lang w:eastAsia="en-US"/>
              </w:rPr>
              <w:t>Emergency department, family doctors and other healthcare professionals</w:t>
            </w:r>
          </w:p>
        </w:tc>
        <w:tc>
          <w:tcPr>
            <w:tcW w:w="3686" w:type="dxa"/>
            <w:shd w:val="clear" w:color="auto" w:fill="F2F2F2" w:themeFill="background1" w:themeFillShade="F2"/>
          </w:tcPr>
          <w:p w14:paraId="71865BCF" w14:textId="77777777" w:rsidR="00E167B4" w:rsidRPr="00034439" w:rsidRDefault="00E167B4" w:rsidP="0080453E">
            <w:pPr>
              <w:spacing w:after="0" w:line="360" w:lineRule="auto"/>
              <w:rPr>
                <w:rFonts w:eastAsia="Calibri"/>
                <w:lang w:eastAsia="en-US"/>
              </w:rPr>
            </w:pPr>
            <w:r w:rsidRPr="00034439">
              <w:rPr>
                <w:rFonts w:eastAsia="Calibri"/>
                <w:lang w:eastAsia="en-US"/>
              </w:rPr>
              <w:t>Assessment for acute and long term management according to their competences, decisions about need to refer to specialist, educational purposes</w:t>
            </w:r>
          </w:p>
        </w:tc>
        <w:tc>
          <w:tcPr>
            <w:tcW w:w="3827" w:type="dxa"/>
            <w:shd w:val="clear" w:color="auto" w:fill="F2F2F2" w:themeFill="background1" w:themeFillShade="F2"/>
          </w:tcPr>
          <w:p w14:paraId="4A7D14A1" w14:textId="77777777" w:rsidR="00E167B4" w:rsidRPr="00034439" w:rsidDel="000B11E2" w:rsidRDefault="00E167B4" w:rsidP="0080453E">
            <w:pPr>
              <w:spacing w:after="0" w:line="360" w:lineRule="auto"/>
              <w:rPr>
                <w:rFonts w:eastAsia="Calibri"/>
                <w:lang w:eastAsia="en-US"/>
              </w:rPr>
            </w:pPr>
            <w:r w:rsidRPr="00034439">
              <w:rPr>
                <w:rFonts w:eastAsia="Calibri"/>
                <w:lang w:eastAsia="en-US"/>
              </w:rPr>
              <w:t>Requires a simple, easy to remember system to facilitate emergency management.</w:t>
            </w:r>
          </w:p>
        </w:tc>
      </w:tr>
      <w:tr w:rsidR="006002AB" w:rsidRPr="00034439" w14:paraId="0919D3E9" w14:textId="77777777" w:rsidTr="0080453E">
        <w:tc>
          <w:tcPr>
            <w:tcW w:w="1701" w:type="dxa"/>
            <w:shd w:val="clear" w:color="auto" w:fill="FFFFFF" w:themeFill="background1"/>
          </w:tcPr>
          <w:p w14:paraId="32808680" w14:textId="77777777" w:rsidR="006002AB" w:rsidRPr="00034439" w:rsidRDefault="006002AB" w:rsidP="0080453E">
            <w:pPr>
              <w:spacing w:after="0" w:line="360" w:lineRule="auto"/>
              <w:rPr>
                <w:rFonts w:eastAsia="Calibri"/>
                <w:lang w:eastAsia="en-US"/>
              </w:rPr>
            </w:pPr>
            <w:r w:rsidRPr="00034439">
              <w:rPr>
                <w:rFonts w:eastAsia="Calibri"/>
                <w:lang w:eastAsia="en-US"/>
              </w:rPr>
              <w:t>Allergy healthcare specialists</w:t>
            </w:r>
          </w:p>
        </w:tc>
        <w:tc>
          <w:tcPr>
            <w:tcW w:w="3686" w:type="dxa"/>
            <w:shd w:val="clear" w:color="auto" w:fill="FFFFFF" w:themeFill="background1"/>
          </w:tcPr>
          <w:p w14:paraId="07B4BD63" w14:textId="77777777" w:rsidR="006002AB" w:rsidRPr="00034439" w:rsidRDefault="006002AB" w:rsidP="0080453E">
            <w:pPr>
              <w:spacing w:after="0" w:line="360" w:lineRule="auto"/>
              <w:rPr>
                <w:rFonts w:eastAsia="Calibri"/>
                <w:lang w:eastAsia="en-US"/>
              </w:rPr>
            </w:pPr>
            <w:r w:rsidRPr="00034439">
              <w:rPr>
                <w:rFonts w:eastAsia="Calibri"/>
                <w:lang w:eastAsia="en-US"/>
              </w:rPr>
              <w:t>Assessment for acute and long</w:t>
            </w:r>
            <w:r w:rsidR="00FD01AF" w:rsidRPr="00034439">
              <w:rPr>
                <w:rFonts w:eastAsia="Calibri"/>
                <w:lang w:eastAsia="en-US"/>
              </w:rPr>
              <w:t>-</w:t>
            </w:r>
            <w:r w:rsidRPr="00034439">
              <w:rPr>
                <w:rFonts w:eastAsia="Calibri"/>
                <w:lang w:eastAsia="en-US"/>
              </w:rPr>
              <w:t>term management, risk assessment and education of patients</w:t>
            </w:r>
            <w:r w:rsidR="00E167B4" w:rsidRPr="00034439">
              <w:rPr>
                <w:rFonts w:eastAsia="Calibri"/>
                <w:lang w:eastAsia="en-US"/>
              </w:rPr>
              <w:t>.</w:t>
            </w:r>
            <w:r w:rsidRPr="00034439">
              <w:rPr>
                <w:rFonts w:eastAsia="Calibri"/>
                <w:lang w:eastAsia="en-US"/>
              </w:rPr>
              <w:t xml:space="preserve"> </w:t>
            </w:r>
          </w:p>
        </w:tc>
        <w:tc>
          <w:tcPr>
            <w:tcW w:w="3827" w:type="dxa"/>
            <w:shd w:val="clear" w:color="auto" w:fill="FFFFFF" w:themeFill="background1"/>
          </w:tcPr>
          <w:p w14:paraId="3BD22D1F" w14:textId="77777777" w:rsidR="006002AB" w:rsidRPr="00034439" w:rsidRDefault="00E75C98" w:rsidP="0080453E">
            <w:pPr>
              <w:spacing w:after="0" w:line="360" w:lineRule="auto"/>
              <w:rPr>
                <w:rFonts w:eastAsia="Calibri"/>
                <w:lang w:eastAsia="en-US"/>
              </w:rPr>
            </w:pPr>
            <w:r w:rsidRPr="00034439">
              <w:rPr>
                <w:rFonts w:eastAsia="Calibri"/>
                <w:lang w:eastAsia="en-US"/>
              </w:rPr>
              <w:t>T</w:t>
            </w:r>
            <w:r w:rsidR="006002AB" w:rsidRPr="00034439">
              <w:rPr>
                <w:rFonts w:eastAsia="Calibri"/>
                <w:lang w:eastAsia="en-US"/>
              </w:rPr>
              <w:t xml:space="preserve">o document the reaction in detail to allow documentation and communication.  </w:t>
            </w:r>
          </w:p>
        </w:tc>
      </w:tr>
      <w:tr w:rsidR="00E167B4" w:rsidRPr="00034439" w14:paraId="01711544" w14:textId="77777777" w:rsidTr="0080453E">
        <w:tc>
          <w:tcPr>
            <w:tcW w:w="1701" w:type="dxa"/>
            <w:shd w:val="clear" w:color="auto" w:fill="F2F2F2" w:themeFill="background1" w:themeFillShade="F2"/>
          </w:tcPr>
          <w:p w14:paraId="3EE3365C" w14:textId="77777777" w:rsidR="00E167B4" w:rsidRPr="00034439" w:rsidRDefault="00E167B4" w:rsidP="0080453E">
            <w:pPr>
              <w:spacing w:after="0" w:line="360" w:lineRule="auto"/>
              <w:rPr>
                <w:rFonts w:eastAsia="Calibri"/>
                <w:lang w:eastAsia="en-US"/>
              </w:rPr>
            </w:pPr>
            <w:r w:rsidRPr="00034439">
              <w:rPr>
                <w:rFonts w:eastAsia="Calibri"/>
                <w:lang w:eastAsia="en-US"/>
              </w:rPr>
              <w:t>Food industry</w:t>
            </w:r>
          </w:p>
        </w:tc>
        <w:tc>
          <w:tcPr>
            <w:tcW w:w="3686" w:type="dxa"/>
            <w:shd w:val="clear" w:color="auto" w:fill="F2F2F2" w:themeFill="background1" w:themeFillShade="F2"/>
          </w:tcPr>
          <w:p w14:paraId="2DA9416A" w14:textId="77777777" w:rsidR="00E167B4" w:rsidRPr="00034439" w:rsidRDefault="00E167B4" w:rsidP="0080453E">
            <w:pPr>
              <w:spacing w:after="0" w:line="360" w:lineRule="auto"/>
              <w:rPr>
                <w:rFonts w:eastAsia="Calibri"/>
                <w:lang w:eastAsia="en-US"/>
              </w:rPr>
            </w:pPr>
            <w:r w:rsidRPr="00034439">
              <w:rPr>
                <w:rFonts w:eastAsia="Calibri"/>
                <w:lang w:eastAsia="en-US"/>
              </w:rPr>
              <w:t>Increase awareness on anaphylaxis, risk assessment of products, risk management</w:t>
            </w:r>
          </w:p>
        </w:tc>
        <w:tc>
          <w:tcPr>
            <w:tcW w:w="3827" w:type="dxa"/>
            <w:shd w:val="clear" w:color="auto" w:fill="F2F2F2" w:themeFill="background1" w:themeFillShade="F2"/>
          </w:tcPr>
          <w:p w14:paraId="513F38C1" w14:textId="77777777" w:rsidR="00E167B4" w:rsidRPr="00034439" w:rsidRDefault="00E167B4" w:rsidP="0080453E">
            <w:pPr>
              <w:spacing w:after="0" w:line="360" w:lineRule="auto"/>
              <w:rPr>
                <w:rFonts w:eastAsia="Calibri"/>
                <w:lang w:eastAsia="en-US"/>
              </w:rPr>
            </w:pPr>
            <w:r w:rsidRPr="00034439">
              <w:rPr>
                <w:rFonts w:eastAsia="Calibri"/>
                <w:lang w:eastAsia="en-US"/>
              </w:rPr>
              <w:t xml:space="preserve">Client-facing sectors (e.g. restaurants) need a simple framework to manage allergic reactions. Risk assessors and managers need numerical scores that can be incorporated in probabilistic models of allergen risk. </w:t>
            </w:r>
          </w:p>
        </w:tc>
      </w:tr>
      <w:tr w:rsidR="006002AB" w:rsidRPr="00034439" w14:paraId="6A11244F" w14:textId="77777777" w:rsidTr="0080453E">
        <w:tc>
          <w:tcPr>
            <w:tcW w:w="1701" w:type="dxa"/>
            <w:shd w:val="clear" w:color="auto" w:fill="FFFFFF" w:themeFill="background1"/>
          </w:tcPr>
          <w:p w14:paraId="6A497A50" w14:textId="77777777" w:rsidR="006002AB" w:rsidRPr="00034439" w:rsidRDefault="00E167B4" w:rsidP="0080453E">
            <w:pPr>
              <w:spacing w:after="0" w:line="360" w:lineRule="auto"/>
              <w:rPr>
                <w:rFonts w:eastAsia="Calibri"/>
                <w:lang w:eastAsia="en-US"/>
              </w:rPr>
            </w:pPr>
            <w:r w:rsidRPr="00034439">
              <w:rPr>
                <w:rFonts w:eastAsia="Calibri"/>
                <w:lang w:eastAsia="en-US"/>
              </w:rPr>
              <w:lastRenderedPageBreak/>
              <w:t>Public health authorities</w:t>
            </w:r>
          </w:p>
        </w:tc>
        <w:tc>
          <w:tcPr>
            <w:tcW w:w="3686" w:type="dxa"/>
            <w:shd w:val="clear" w:color="auto" w:fill="FFFFFF" w:themeFill="background1"/>
          </w:tcPr>
          <w:p w14:paraId="1FE63A23" w14:textId="77777777" w:rsidR="006002AB" w:rsidRPr="00034439" w:rsidRDefault="006002AB" w:rsidP="0080453E">
            <w:pPr>
              <w:spacing w:after="0" w:line="360" w:lineRule="auto"/>
              <w:rPr>
                <w:rFonts w:eastAsia="Calibri"/>
                <w:lang w:eastAsia="en-US"/>
              </w:rPr>
            </w:pPr>
            <w:r w:rsidRPr="00034439">
              <w:rPr>
                <w:rFonts w:eastAsia="Calibri"/>
                <w:lang w:eastAsia="en-US"/>
              </w:rPr>
              <w:t>Increase awareness on anaphylaxis, to asses</w:t>
            </w:r>
            <w:r w:rsidR="003D65EC" w:rsidRPr="00034439">
              <w:rPr>
                <w:rFonts w:eastAsia="Calibri"/>
                <w:lang w:eastAsia="en-US"/>
              </w:rPr>
              <w:t>s</w:t>
            </w:r>
            <w:r w:rsidRPr="00034439">
              <w:rPr>
                <w:rFonts w:eastAsia="Calibri"/>
                <w:lang w:eastAsia="en-US"/>
              </w:rPr>
              <w:t xml:space="preserve"> outcomes of health policies, funding allocation, health policy prioritization, cost-effectiveness assessment, improve allergic reaction codification, facilitate adrenaline availability, education on anaphylaxis management for lay people (</w:t>
            </w:r>
            <w:r w:rsidR="00FD01AF" w:rsidRPr="00034439">
              <w:rPr>
                <w:rFonts w:eastAsia="Calibri"/>
                <w:lang w:eastAsia="en-US"/>
              </w:rPr>
              <w:t>e.g.</w:t>
            </w:r>
            <w:r w:rsidR="00AC0F19" w:rsidRPr="00034439">
              <w:rPr>
                <w:rFonts w:eastAsia="Calibri"/>
                <w:lang w:eastAsia="en-US"/>
              </w:rPr>
              <w:t xml:space="preserve"> </w:t>
            </w:r>
            <w:r w:rsidRPr="00034439">
              <w:rPr>
                <w:rFonts w:eastAsia="Calibri"/>
                <w:lang w:eastAsia="en-US"/>
              </w:rPr>
              <w:t xml:space="preserve">teachers, children day carers, </w:t>
            </w:r>
            <w:r w:rsidR="007C1749" w:rsidRPr="00034439">
              <w:rPr>
                <w:rFonts w:eastAsia="Calibri"/>
                <w:lang w:eastAsia="en-US"/>
              </w:rPr>
              <w:t>airline cabin crew</w:t>
            </w:r>
            <w:r w:rsidRPr="00034439">
              <w:rPr>
                <w:rFonts w:eastAsia="Calibri"/>
                <w:lang w:eastAsia="en-US"/>
              </w:rPr>
              <w:t>)</w:t>
            </w:r>
          </w:p>
        </w:tc>
        <w:tc>
          <w:tcPr>
            <w:tcW w:w="3827" w:type="dxa"/>
            <w:shd w:val="clear" w:color="auto" w:fill="FFFFFF" w:themeFill="background1"/>
          </w:tcPr>
          <w:p w14:paraId="5E51254F" w14:textId="6038972E" w:rsidR="006002AB" w:rsidRPr="00034439" w:rsidRDefault="00E167B4" w:rsidP="0080453E">
            <w:pPr>
              <w:spacing w:after="0" w:line="360" w:lineRule="auto"/>
              <w:rPr>
                <w:rFonts w:eastAsia="Calibri"/>
                <w:lang w:eastAsia="en-US"/>
              </w:rPr>
            </w:pPr>
            <w:r w:rsidRPr="00034439">
              <w:rPr>
                <w:rFonts w:eastAsia="Calibri"/>
                <w:lang w:eastAsia="en-US"/>
              </w:rPr>
              <w:t>R</w:t>
            </w:r>
            <w:r w:rsidR="00AE60B8" w:rsidRPr="00034439">
              <w:rPr>
                <w:rFonts w:eastAsia="Calibri"/>
                <w:lang w:eastAsia="en-US"/>
              </w:rPr>
              <w:t xml:space="preserve">equire a simple, easy to understand system that can be used by non-healthcare professionals. </w:t>
            </w:r>
            <w:r w:rsidR="00770BBC" w:rsidRPr="00034439">
              <w:rPr>
                <w:rFonts w:eastAsia="Calibri"/>
                <w:lang w:eastAsia="en-US"/>
              </w:rPr>
              <w:t>For regulators</w:t>
            </w:r>
            <w:r w:rsidR="00DE2BA4" w:rsidRPr="00034439">
              <w:rPr>
                <w:rFonts w:eastAsia="Calibri"/>
                <w:lang w:eastAsia="en-US"/>
              </w:rPr>
              <w:t xml:space="preserve"> a</w:t>
            </w:r>
            <w:r w:rsidR="00AE60B8" w:rsidRPr="00034439">
              <w:rPr>
                <w:rFonts w:eastAsia="Calibri"/>
                <w:lang w:eastAsia="en-US"/>
              </w:rPr>
              <w:t xml:space="preserve"> more sophisticated numerical score incorporat</w:t>
            </w:r>
            <w:r w:rsidR="00DE2BA4" w:rsidRPr="00034439">
              <w:rPr>
                <w:rFonts w:eastAsia="Calibri"/>
                <w:lang w:eastAsia="en-US"/>
              </w:rPr>
              <w:t>ing</w:t>
            </w:r>
            <w:r w:rsidR="00AE60B8" w:rsidRPr="00034439">
              <w:rPr>
                <w:rFonts w:eastAsia="Calibri"/>
                <w:lang w:eastAsia="en-US"/>
              </w:rPr>
              <w:t xml:space="preserve"> probabilistic mod</w:t>
            </w:r>
            <w:r w:rsidR="00DE2BA4" w:rsidRPr="00034439">
              <w:rPr>
                <w:rFonts w:eastAsia="Calibri"/>
                <w:lang w:eastAsia="en-US"/>
              </w:rPr>
              <w:t>els of allergen risk would be required</w:t>
            </w:r>
            <w:r w:rsidR="00AE60B8" w:rsidRPr="00034439">
              <w:rPr>
                <w:rFonts w:eastAsia="Calibri"/>
                <w:lang w:eastAsia="en-US"/>
              </w:rPr>
              <w:t xml:space="preserve">.   </w:t>
            </w:r>
          </w:p>
        </w:tc>
      </w:tr>
      <w:tr w:rsidR="006002AB" w:rsidRPr="00034439" w14:paraId="784E5716" w14:textId="77777777" w:rsidTr="0080453E">
        <w:tc>
          <w:tcPr>
            <w:tcW w:w="1701" w:type="dxa"/>
            <w:shd w:val="clear" w:color="auto" w:fill="F2F2F2" w:themeFill="background1" w:themeFillShade="F2"/>
          </w:tcPr>
          <w:p w14:paraId="2EAAD805" w14:textId="77777777" w:rsidR="006002AB" w:rsidRPr="00034439" w:rsidRDefault="006002AB" w:rsidP="0080453E">
            <w:pPr>
              <w:spacing w:after="0" w:line="360" w:lineRule="auto"/>
              <w:rPr>
                <w:rFonts w:eastAsia="Calibri"/>
                <w:lang w:eastAsia="en-US"/>
              </w:rPr>
            </w:pPr>
            <w:r w:rsidRPr="00034439">
              <w:rPr>
                <w:rFonts w:eastAsia="Calibri"/>
                <w:lang w:eastAsia="en-US"/>
              </w:rPr>
              <w:t>Food</w:t>
            </w:r>
            <w:r w:rsidR="003C3520" w:rsidRPr="00034439">
              <w:rPr>
                <w:rFonts w:eastAsia="Calibri"/>
                <w:lang w:eastAsia="en-US"/>
              </w:rPr>
              <w:t>, hospitality and catering</w:t>
            </w:r>
            <w:r w:rsidRPr="00034439">
              <w:rPr>
                <w:rFonts w:eastAsia="Calibri"/>
                <w:lang w:eastAsia="en-US"/>
              </w:rPr>
              <w:t xml:space="preserve"> industr</w:t>
            </w:r>
            <w:r w:rsidR="00E75C98" w:rsidRPr="00034439">
              <w:rPr>
                <w:rFonts w:eastAsia="Calibri"/>
                <w:lang w:eastAsia="en-US"/>
              </w:rPr>
              <w:t>ies</w:t>
            </w:r>
          </w:p>
        </w:tc>
        <w:tc>
          <w:tcPr>
            <w:tcW w:w="3686" w:type="dxa"/>
            <w:shd w:val="clear" w:color="auto" w:fill="F2F2F2" w:themeFill="background1" w:themeFillShade="F2"/>
          </w:tcPr>
          <w:p w14:paraId="6B2E122D" w14:textId="77777777" w:rsidR="006002AB" w:rsidRPr="00034439" w:rsidRDefault="006002AB" w:rsidP="0080453E">
            <w:pPr>
              <w:spacing w:after="0" w:line="360" w:lineRule="auto"/>
              <w:rPr>
                <w:rFonts w:eastAsia="Calibri"/>
                <w:lang w:eastAsia="en-US"/>
              </w:rPr>
            </w:pPr>
            <w:r w:rsidRPr="00034439">
              <w:rPr>
                <w:rFonts w:eastAsia="Calibri"/>
                <w:lang w:eastAsia="en-US"/>
              </w:rPr>
              <w:t>Increase awareness on anaphylaxis, risk assessment of products, risk management</w:t>
            </w:r>
          </w:p>
        </w:tc>
        <w:tc>
          <w:tcPr>
            <w:tcW w:w="3827" w:type="dxa"/>
            <w:shd w:val="clear" w:color="auto" w:fill="F2F2F2" w:themeFill="background1" w:themeFillShade="F2"/>
          </w:tcPr>
          <w:p w14:paraId="617C4ACC" w14:textId="0A96B80C" w:rsidR="006002AB" w:rsidRPr="00034439" w:rsidRDefault="00BF6BED" w:rsidP="0080453E">
            <w:pPr>
              <w:spacing w:after="0" w:line="360" w:lineRule="auto"/>
              <w:rPr>
                <w:rFonts w:eastAsia="Calibri"/>
                <w:lang w:eastAsia="en-US"/>
              </w:rPr>
            </w:pPr>
            <w:r>
              <w:rPr>
                <w:rFonts w:eastAsia="Calibri"/>
                <w:lang w:eastAsia="en-US"/>
              </w:rPr>
              <w:t>The food industry</w:t>
            </w:r>
            <w:r w:rsidR="00DE2BA4" w:rsidRPr="00034439">
              <w:rPr>
                <w:rFonts w:eastAsia="Calibri"/>
                <w:lang w:eastAsia="en-US"/>
              </w:rPr>
              <w:t xml:space="preserve"> </w:t>
            </w:r>
            <w:r w:rsidR="00DE2BA4" w:rsidRPr="00075E54">
              <w:rPr>
                <w:rFonts w:eastAsia="Calibri"/>
                <w:lang w:eastAsia="en-US"/>
              </w:rPr>
              <w:t>(e.g. restaurants</w:t>
            </w:r>
            <w:r w:rsidR="00741664" w:rsidRPr="00075E54">
              <w:rPr>
                <w:rFonts w:eastAsia="Calibri"/>
                <w:lang w:eastAsia="en-US"/>
              </w:rPr>
              <w:t>)</w:t>
            </w:r>
            <w:r w:rsidR="00AE60B8" w:rsidRPr="00075E54">
              <w:rPr>
                <w:rFonts w:eastAsia="Calibri"/>
                <w:lang w:eastAsia="en-US"/>
              </w:rPr>
              <w:t xml:space="preserve"> need a simple framework</w:t>
            </w:r>
            <w:r w:rsidR="00741664" w:rsidRPr="00034439">
              <w:rPr>
                <w:rFonts w:eastAsia="Calibri"/>
                <w:lang w:eastAsia="en-US"/>
              </w:rPr>
              <w:t xml:space="preserve"> to manage allergic reactions. Ri</w:t>
            </w:r>
            <w:r w:rsidR="00AE60B8" w:rsidRPr="00034439">
              <w:rPr>
                <w:rFonts w:eastAsia="Calibri"/>
                <w:lang w:eastAsia="en-US"/>
              </w:rPr>
              <w:t>sk assessors and managers need numerical scores that can be incorporated in probabilistic models of allergen risk</w:t>
            </w:r>
            <w:r w:rsidR="00741664" w:rsidRPr="00034439">
              <w:rPr>
                <w:rFonts w:eastAsia="Calibri"/>
                <w:lang w:eastAsia="en-US"/>
              </w:rPr>
              <w:t xml:space="preserve">. </w:t>
            </w:r>
          </w:p>
        </w:tc>
      </w:tr>
      <w:tr w:rsidR="00E167B4" w:rsidRPr="00034439" w14:paraId="5C44DF72" w14:textId="77777777" w:rsidTr="0080453E">
        <w:tc>
          <w:tcPr>
            <w:tcW w:w="1701" w:type="dxa"/>
            <w:tcBorders>
              <w:bottom w:val="single" w:sz="4" w:space="0" w:color="auto"/>
            </w:tcBorders>
            <w:shd w:val="clear" w:color="auto" w:fill="FFFFFF" w:themeFill="background1"/>
          </w:tcPr>
          <w:p w14:paraId="706FE52B" w14:textId="77777777" w:rsidR="00E167B4" w:rsidRPr="00034439" w:rsidRDefault="00E167B4" w:rsidP="0080453E">
            <w:pPr>
              <w:spacing w:after="0" w:line="360" w:lineRule="auto"/>
              <w:rPr>
                <w:rFonts w:eastAsia="Calibri"/>
                <w:lang w:eastAsia="en-US"/>
              </w:rPr>
            </w:pPr>
            <w:r w:rsidRPr="00034439">
              <w:t>Researchers</w:t>
            </w:r>
          </w:p>
        </w:tc>
        <w:tc>
          <w:tcPr>
            <w:tcW w:w="3686" w:type="dxa"/>
            <w:shd w:val="clear" w:color="auto" w:fill="FFFFFF" w:themeFill="background1"/>
          </w:tcPr>
          <w:p w14:paraId="0FB79E55" w14:textId="77777777" w:rsidR="00E167B4" w:rsidRPr="00034439" w:rsidRDefault="00E167B4" w:rsidP="0080453E">
            <w:pPr>
              <w:spacing w:after="0" w:line="360" w:lineRule="auto"/>
              <w:rPr>
                <w:rFonts w:eastAsia="Calibri"/>
                <w:lang w:eastAsia="en-US"/>
              </w:rPr>
            </w:pPr>
            <w:r w:rsidRPr="00034439">
              <w:rPr>
                <w:rFonts w:eastAsia="Calibri"/>
                <w:lang w:eastAsia="en-US"/>
              </w:rPr>
              <w:t>Harmonise terminology in observational and interventional studies, aid comparison of data and interpretation of mechanistic studies</w:t>
            </w:r>
          </w:p>
          <w:p w14:paraId="1241D229" w14:textId="77777777" w:rsidR="00E167B4" w:rsidRPr="00034439" w:rsidRDefault="00E167B4" w:rsidP="0080453E">
            <w:pPr>
              <w:spacing w:after="0" w:line="360" w:lineRule="auto"/>
              <w:rPr>
                <w:rFonts w:eastAsia="Calibri"/>
                <w:lang w:eastAsia="en-US"/>
              </w:rPr>
            </w:pPr>
          </w:p>
        </w:tc>
        <w:tc>
          <w:tcPr>
            <w:tcW w:w="3827" w:type="dxa"/>
            <w:shd w:val="clear" w:color="auto" w:fill="FFFFFF" w:themeFill="background1"/>
          </w:tcPr>
          <w:p w14:paraId="022839FA" w14:textId="77BDF8C7" w:rsidR="00E167B4" w:rsidRPr="00C83AC0" w:rsidRDefault="00E167B4" w:rsidP="00C83AC0">
            <w:pPr>
              <w:spacing w:after="0" w:line="360" w:lineRule="auto"/>
              <w:rPr>
                <w:rFonts w:eastAsia="Calibri"/>
                <w:lang w:eastAsia="en-US"/>
              </w:rPr>
            </w:pPr>
            <w:r w:rsidRPr="00034439">
              <w:rPr>
                <w:rFonts w:eastAsia="Calibri"/>
                <w:lang w:eastAsia="en-US"/>
              </w:rPr>
              <w:t xml:space="preserve">System needs to document the reaction </w:t>
            </w:r>
            <w:r w:rsidR="00C83AC0">
              <w:rPr>
                <w:rFonts w:eastAsia="Calibri"/>
                <w:lang w:eastAsia="en-US"/>
              </w:rPr>
              <w:t>with</w:t>
            </w:r>
            <w:r w:rsidRPr="00C83AC0">
              <w:rPr>
                <w:rFonts w:eastAsia="Calibri"/>
                <w:lang w:eastAsia="en-US"/>
              </w:rPr>
              <w:t xml:space="preserve"> </w:t>
            </w:r>
            <w:r w:rsidR="00C83AC0">
              <w:rPr>
                <w:rFonts w:eastAsia="Calibri"/>
                <w:lang w:eastAsia="en-US"/>
              </w:rPr>
              <w:t>increased granularity</w:t>
            </w:r>
            <w:r w:rsidR="00C83AC0" w:rsidRPr="00C83AC0">
              <w:rPr>
                <w:rFonts w:eastAsia="Calibri"/>
                <w:lang w:eastAsia="en-US"/>
              </w:rPr>
              <w:t xml:space="preserve"> </w:t>
            </w:r>
            <w:r w:rsidRPr="00C83AC0">
              <w:rPr>
                <w:rFonts w:eastAsia="Calibri"/>
                <w:lang w:eastAsia="en-US"/>
              </w:rPr>
              <w:t xml:space="preserve">to allow definition, segmentation and analysis  </w:t>
            </w:r>
          </w:p>
        </w:tc>
      </w:tr>
    </w:tbl>
    <w:p w14:paraId="593CF806" w14:textId="77777777" w:rsidR="004C086F" w:rsidRPr="00034439" w:rsidRDefault="004C086F" w:rsidP="0080453E">
      <w:pPr>
        <w:spacing w:after="0" w:line="360" w:lineRule="auto"/>
        <w:ind w:left="360"/>
      </w:pPr>
    </w:p>
    <w:p w14:paraId="1303E655" w14:textId="77777777" w:rsidR="004C086F" w:rsidRPr="00034439" w:rsidRDefault="004C086F" w:rsidP="0080453E">
      <w:pPr>
        <w:spacing w:after="0" w:line="360" w:lineRule="auto"/>
        <w:ind w:left="360"/>
      </w:pPr>
    </w:p>
    <w:p w14:paraId="17A810CA" w14:textId="77777777" w:rsidR="004C086F" w:rsidRPr="00034439" w:rsidRDefault="006002AB" w:rsidP="0080453E">
      <w:pPr>
        <w:spacing w:after="0" w:line="360" w:lineRule="auto"/>
        <w:rPr>
          <w:b/>
          <w:bCs/>
        </w:rPr>
      </w:pPr>
      <w:r w:rsidRPr="00034439">
        <w:rPr>
          <w:b/>
          <w:bCs/>
        </w:rPr>
        <w:br w:type="page"/>
      </w:r>
      <w:r w:rsidR="00EC7619" w:rsidRPr="00034439">
        <w:rPr>
          <w:b/>
          <w:bCs/>
        </w:rPr>
        <w:lastRenderedPageBreak/>
        <w:t>What severity scoring system</w:t>
      </w:r>
      <w:r w:rsidR="00D23EE0" w:rsidRPr="00034439">
        <w:rPr>
          <w:b/>
          <w:bCs/>
        </w:rPr>
        <w:t>s</w:t>
      </w:r>
      <w:r w:rsidR="00EC7619" w:rsidRPr="00034439">
        <w:rPr>
          <w:b/>
          <w:bCs/>
        </w:rPr>
        <w:t xml:space="preserve"> are currently available?</w:t>
      </w:r>
    </w:p>
    <w:p w14:paraId="2598DAEB" w14:textId="701EB683" w:rsidR="000D1830" w:rsidRPr="00AE7A5C" w:rsidRDefault="00FF49EB" w:rsidP="0080453E">
      <w:pPr>
        <w:spacing w:after="0" w:line="360" w:lineRule="auto"/>
        <w:jc w:val="both"/>
        <w:rPr>
          <w:color w:val="000000"/>
        </w:rPr>
      </w:pPr>
      <w:r w:rsidRPr="00AE7A5C">
        <w:rPr>
          <w:color w:val="000000"/>
        </w:rPr>
        <w:t>D</w:t>
      </w:r>
      <w:r w:rsidR="00650473" w:rsidRPr="00AE7A5C">
        <w:rPr>
          <w:color w:val="000000"/>
        </w:rPr>
        <w:t xml:space="preserve">ifferent </w:t>
      </w:r>
      <w:r w:rsidR="000E2521" w:rsidRPr="00AE7A5C">
        <w:rPr>
          <w:color w:val="000000"/>
        </w:rPr>
        <w:t xml:space="preserve">scoring </w:t>
      </w:r>
      <w:r w:rsidR="000D1830" w:rsidRPr="00AE7A5C">
        <w:rPr>
          <w:color w:val="000000"/>
        </w:rPr>
        <w:t xml:space="preserve">systems </w:t>
      </w:r>
      <w:r w:rsidRPr="00AE7A5C">
        <w:rPr>
          <w:color w:val="000000"/>
        </w:rPr>
        <w:t xml:space="preserve">have been proposed </w:t>
      </w:r>
      <w:r w:rsidR="00650473" w:rsidRPr="00AE7A5C">
        <w:rPr>
          <w:color w:val="000000"/>
        </w:rPr>
        <w:t xml:space="preserve">to assess the </w:t>
      </w:r>
      <w:r w:rsidR="000D1830" w:rsidRPr="00AE7A5C">
        <w:rPr>
          <w:color w:val="000000"/>
        </w:rPr>
        <w:t xml:space="preserve">severity of </w:t>
      </w:r>
      <w:r w:rsidR="00264095" w:rsidRPr="00AE7A5C">
        <w:rPr>
          <w:color w:val="000000"/>
        </w:rPr>
        <w:t xml:space="preserve">acute </w:t>
      </w:r>
      <w:r w:rsidR="000D1830" w:rsidRPr="00AE7A5C">
        <w:rPr>
          <w:color w:val="000000"/>
        </w:rPr>
        <w:t>allergic reactions</w:t>
      </w:r>
      <w:r w:rsidR="00650473" w:rsidRPr="00AE7A5C">
        <w:rPr>
          <w:color w:val="000000"/>
        </w:rPr>
        <w:t>.</w:t>
      </w:r>
      <w:r w:rsidR="000D1830" w:rsidRPr="00AE7A5C">
        <w:rPr>
          <w:color w:val="000000"/>
        </w:rPr>
        <w:t xml:space="preserve"> </w:t>
      </w:r>
      <w:r w:rsidR="00650473" w:rsidRPr="00AE7A5C">
        <w:rPr>
          <w:color w:val="000000"/>
        </w:rPr>
        <w:t xml:space="preserve">These address </w:t>
      </w:r>
      <w:r w:rsidR="000D1830" w:rsidRPr="00AE7A5C">
        <w:rPr>
          <w:color w:val="000000"/>
        </w:rPr>
        <w:t>allergic reactions induced by food (</w:t>
      </w:r>
      <w:r w:rsidR="00384860" w:rsidRPr="00AE7A5C">
        <w:rPr>
          <w:color w:val="000000"/>
        </w:rPr>
        <w:t>6-11</w:t>
      </w:r>
      <w:r w:rsidR="000D1830" w:rsidRPr="00AE7A5C">
        <w:rPr>
          <w:color w:val="000000"/>
        </w:rPr>
        <w:t xml:space="preserve">), </w:t>
      </w:r>
      <w:r w:rsidR="00B44DC9" w:rsidRPr="00AE7A5C">
        <w:rPr>
          <w:color w:val="000000"/>
        </w:rPr>
        <w:t xml:space="preserve">drugs </w:t>
      </w:r>
      <w:r w:rsidR="000D1830" w:rsidRPr="00AE7A5C">
        <w:rPr>
          <w:color w:val="000000"/>
        </w:rPr>
        <w:t>(</w:t>
      </w:r>
      <w:r w:rsidR="00384860" w:rsidRPr="00AE7A5C">
        <w:rPr>
          <w:color w:val="000000"/>
        </w:rPr>
        <w:t>12,13</w:t>
      </w:r>
      <w:r w:rsidR="000D1830" w:rsidRPr="00AE7A5C">
        <w:rPr>
          <w:color w:val="000000"/>
        </w:rPr>
        <w:t>) hymenoptera stings (</w:t>
      </w:r>
      <w:r w:rsidR="00384860" w:rsidRPr="00AE7A5C">
        <w:rPr>
          <w:color w:val="000000"/>
        </w:rPr>
        <w:t>4,5</w:t>
      </w:r>
      <w:r w:rsidR="000D1830" w:rsidRPr="00AE7A5C">
        <w:rPr>
          <w:color w:val="000000"/>
        </w:rPr>
        <w:t xml:space="preserve">) and </w:t>
      </w:r>
      <w:r w:rsidR="00D00774" w:rsidRPr="00AE7A5C">
        <w:rPr>
          <w:color w:val="000000"/>
        </w:rPr>
        <w:t xml:space="preserve">adverse reactions to </w:t>
      </w:r>
      <w:r w:rsidR="000D1830" w:rsidRPr="00AE7A5C">
        <w:rPr>
          <w:color w:val="000000"/>
        </w:rPr>
        <w:t>allergen immunotherapy (</w:t>
      </w:r>
      <w:r w:rsidR="00384860" w:rsidRPr="00AE7A5C">
        <w:rPr>
          <w:color w:val="000000"/>
        </w:rPr>
        <w:t>14,15</w:t>
      </w:r>
      <w:r w:rsidR="00D646C5" w:rsidRPr="00AE7A5C">
        <w:rPr>
          <w:color w:val="000000"/>
        </w:rPr>
        <w:t>). N</w:t>
      </w:r>
      <w:r w:rsidR="000D1830" w:rsidRPr="00AE7A5C">
        <w:rPr>
          <w:color w:val="000000"/>
        </w:rPr>
        <w:t>one of the</w:t>
      </w:r>
      <w:r w:rsidR="00D00774" w:rsidRPr="00AE7A5C">
        <w:rPr>
          <w:color w:val="000000"/>
        </w:rPr>
        <w:t>se</w:t>
      </w:r>
      <w:r w:rsidR="000D1830" w:rsidRPr="00AE7A5C">
        <w:rPr>
          <w:color w:val="000000"/>
        </w:rPr>
        <w:t xml:space="preserve"> w</w:t>
      </w:r>
      <w:r w:rsidRPr="00AE7A5C">
        <w:rPr>
          <w:color w:val="000000"/>
        </w:rPr>
        <w:t>as</w:t>
      </w:r>
      <w:r w:rsidR="000D1830" w:rsidRPr="00AE7A5C">
        <w:rPr>
          <w:color w:val="000000"/>
        </w:rPr>
        <w:t xml:space="preserve"> intended to be widely applied to a</w:t>
      </w:r>
      <w:r w:rsidR="007C1749" w:rsidRPr="00AE7A5C">
        <w:rPr>
          <w:color w:val="000000"/>
        </w:rPr>
        <w:t>ll</w:t>
      </w:r>
      <w:r w:rsidR="000D1830" w:rsidRPr="00AE7A5C">
        <w:rPr>
          <w:color w:val="000000"/>
        </w:rPr>
        <w:t xml:space="preserve"> type</w:t>
      </w:r>
      <w:r w:rsidR="007C1749" w:rsidRPr="00AE7A5C">
        <w:rPr>
          <w:color w:val="000000"/>
        </w:rPr>
        <w:t>s</w:t>
      </w:r>
      <w:r w:rsidR="000D1830" w:rsidRPr="00AE7A5C">
        <w:rPr>
          <w:color w:val="000000"/>
        </w:rPr>
        <w:t xml:space="preserve"> of </w:t>
      </w:r>
      <w:r w:rsidR="00264095" w:rsidRPr="00AE7A5C">
        <w:rPr>
          <w:color w:val="000000"/>
        </w:rPr>
        <w:t xml:space="preserve">acute </w:t>
      </w:r>
      <w:r w:rsidR="000D1830" w:rsidRPr="00AE7A5C">
        <w:rPr>
          <w:color w:val="000000"/>
        </w:rPr>
        <w:t xml:space="preserve">allergic reaction, despite some </w:t>
      </w:r>
      <w:r w:rsidR="00D00774" w:rsidRPr="00AE7A5C">
        <w:rPr>
          <w:color w:val="000000"/>
        </w:rPr>
        <w:t xml:space="preserve">having </w:t>
      </w:r>
      <w:r w:rsidR="003B64A9" w:rsidRPr="00AE7A5C">
        <w:rPr>
          <w:color w:val="000000"/>
        </w:rPr>
        <w:t>be</w:t>
      </w:r>
      <w:r w:rsidR="00D00774" w:rsidRPr="00AE7A5C">
        <w:rPr>
          <w:color w:val="000000"/>
        </w:rPr>
        <w:t>en</w:t>
      </w:r>
      <w:r w:rsidR="003B64A9" w:rsidRPr="00AE7A5C">
        <w:rPr>
          <w:color w:val="000000"/>
        </w:rPr>
        <w:t xml:space="preserve"> </w:t>
      </w:r>
      <w:r w:rsidR="000D1830" w:rsidRPr="00AE7A5C">
        <w:rPr>
          <w:color w:val="000000"/>
        </w:rPr>
        <w:t xml:space="preserve">extended </w:t>
      </w:r>
      <w:r w:rsidR="003B64A9" w:rsidRPr="00AE7A5C">
        <w:rPr>
          <w:color w:val="000000"/>
        </w:rPr>
        <w:t>in</w:t>
      </w:r>
      <w:r w:rsidR="000D1830" w:rsidRPr="00AE7A5C">
        <w:rPr>
          <w:color w:val="000000"/>
        </w:rPr>
        <w:t xml:space="preserve"> this</w:t>
      </w:r>
      <w:r w:rsidR="003B64A9" w:rsidRPr="00AE7A5C">
        <w:rPr>
          <w:color w:val="000000"/>
        </w:rPr>
        <w:t xml:space="preserve"> way</w:t>
      </w:r>
      <w:r w:rsidR="000D1830" w:rsidRPr="00AE7A5C">
        <w:rPr>
          <w:color w:val="000000"/>
        </w:rPr>
        <w:t xml:space="preserve"> (</w:t>
      </w:r>
      <w:r w:rsidR="00384860" w:rsidRPr="00AE7A5C">
        <w:rPr>
          <w:color w:val="000000"/>
        </w:rPr>
        <w:t>22-26</w:t>
      </w:r>
      <w:r w:rsidR="000D1830" w:rsidRPr="00AE7A5C">
        <w:rPr>
          <w:color w:val="000000"/>
        </w:rPr>
        <w:t>). Data obtained from both clinical trials (</w:t>
      </w:r>
      <w:r w:rsidR="00384860" w:rsidRPr="00AE7A5C">
        <w:rPr>
          <w:color w:val="000000"/>
        </w:rPr>
        <w:t>6,7,10,14</w:t>
      </w:r>
      <w:r w:rsidR="000D1830" w:rsidRPr="00AE7A5C">
        <w:rPr>
          <w:color w:val="000000"/>
        </w:rPr>
        <w:t>) and emergency room visits or intensive</w:t>
      </w:r>
      <w:r w:rsidR="00FA5A11">
        <w:rPr>
          <w:color w:val="000000"/>
        </w:rPr>
        <w:t xml:space="preserve"> </w:t>
      </w:r>
      <w:r w:rsidR="000D1830" w:rsidRPr="00AE7A5C">
        <w:rPr>
          <w:color w:val="000000"/>
        </w:rPr>
        <w:t>care</w:t>
      </w:r>
      <w:r w:rsidR="00FA5A11">
        <w:rPr>
          <w:color w:val="000000"/>
        </w:rPr>
        <w:t xml:space="preserve"> </w:t>
      </w:r>
      <w:r w:rsidR="000D1830" w:rsidRPr="00AE7A5C">
        <w:rPr>
          <w:color w:val="000000"/>
        </w:rPr>
        <w:t>unit (ICU)</w:t>
      </w:r>
      <w:r w:rsidR="00FA5A11">
        <w:rPr>
          <w:color w:val="000000"/>
        </w:rPr>
        <w:t xml:space="preserve"> admissions</w:t>
      </w:r>
      <w:r w:rsidR="000D1830" w:rsidRPr="00AE7A5C">
        <w:rPr>
          <w:color w:val="000000"/>
        </w:rPr>
        <w:t xml:space="preserve"> (</w:t>
      </w:r>
      <w:r w:rsidR="00384860" w:rsidRPr="00AE7A5C">
        <w:rPr>
          <w:color w:val="000000"/>
        </w:rPr>
        <w:t>4,5,12,22-25</w:t>
      </w:r>
      <w:r w:rsidR="000D1830" w:rsidRPr="00AE7A5C">
        <w:rPr>
          <w:color w:val="000000"/>
        </w:rPr>
        <w:t xml:space="preserve">) have formed the backbone </w:t>
      </w:r>
      <w:r w:rsidR="003B64A9" w:rsidRPr="00AE7A5C">
        <w:rPr>
          <w:color w:val="000000"/>
        </w:rPr>
        <w:t>of</w:t>
      </w:r>
      <w:r w:rsidR="000D1830" w:rsidRPr="00AE7A5C">
        <w:rPr>
          <w:color w:val="000000"/>
        </w:rPr>
        <w:t xml:space="preserve"> reviews, position papers and consensus reports (</w:t>
      </w:r>
      <w:r w:rsidR="00324C20" w:rsidRPr="00AE7A5C">
        <w:rPr>
          <w:color w:val="000000"/>
        </w:rPr>
        <w:t>9,26-28</w:t>
      </w:r>
      <w:r w:rsidR="000D1830" w:rsidRPr="00AE7A5C">
        <w:rPr>
          <w:color w:val="000000"/>
        </w:rPr>
        <w:t>)</w:t>
      </w:r>
      <w:r w:rsidR="003B64A9" w:rsidRPr="00AE7A5C">
        <w:rPr>
          <w:color w:val="000000"/>
        </w:rPr>
        <w:t xml:space="preserve">. </w:t>
      </w:r>
      <w:r w:rsidR="00665BE1" w:rsidRPr="00AE7A5C">
        <w:rPr>
          <w:color w:val="000000"/>
        </w:rPr>
        <w:t>However,</w:t>
      </w:r>
      <w:r w:rsidR="000D1830" w:rsidRPr="00AE7A5C">
        <w:rPr>
          <w:color w:val="000000"/>
        </w:rPr>
        <w:t xml:space="preserve"> these </w:t>
      </w:r>
      <w:r w:rsidR="002B336C" w:rsidRPr="00AE7A5C">
        <w:rPr>
          <w:color w:val="000000"/>
        </w:rPr>
        <w:t xml:space="preserve">scoring </w:t>
      </w:r>
      <w:r w:rsidR="000D1830" w:rsidRPr="00AE7A5C">
        <w:rPr>
          <w:color w:val="000000"/>
        </w:rPr>
        <w:t>systems classify sever</w:t>
      </w:r>
      <w:r w:rsidR="003B64A9" w:rsidRPr="00AE7A5C">
        <w:rPr>
          <w:color w:val="000000"/>
        </w:rPr>
        <w:t xml:space="preserve">ity in different </w:t>
      </w:r>
      <w:r w:rsidR="00343FAE" w:rsidRPr="00AE7A5C">
        <w:rPr>
          <w:color w:val="000000"/>
        </w:rPr>
        <w:t xml:space="preserve">grades </w:t>
      </w:r>
      <w:r w:rsidR="000D1830" w:rsidRPr="00AE7A5C">
        <w:rPr>
          <w:color w:val="000000"/>
        </w:rPr>
        <w:t xml:space="preserve">using ordinal </w:t>
      </w:r>
      <w:r w:rsidR="00D86D04" w:rsidRPr="00AE7A5C">
        <w:rPr>
          <w:color w:val="000000"/>
        </w:rPr>
        <w:t>scales that</w:t>
      </w:r>
      <w:r w:rsidR="000D1830" w:rsidRPr="00AE7A5C">
        <w:rPr>
          <w:color w:val="000000"/>
        </w:rPr>
        <w:t xml:space="preserve"> are not equivalent</w:t>
      </w:r>
      <w:r w:rsidR="00650473" w:rsidRPr="00AE7A5C">
        <w:rPr>
          <w:color w:val="000000"/>
        </w:rPr>
        <w:t xml:space="preserve"> across the</w:t>
      </w:r>
      <w:r w:rsidR="000D1830" w:rsidRPr="00AE7A5C">
        <w:rPr>
          <w:color w:val="000000"/>
        </w:rPr>
        <w:t xml:space="preserve"> different </w:t>
      </w:r>
      <w:r w:rsidR="003B64A9" w:rsidRPr="00AE7A5C">
        <w:rPr>
          <w:color w:val="000000"/>
        </w:rPr>
        <w:t>scoring systems. Methods range</w:t>
      </w:r>
      <w:r w:rsidR="000D1830" w:rsidRPr="00AE7A5C">
        <w:rPr>
          <w:color w:val="000000"/>
        </w:rPr>
        <w:t xml:space="preserve"> from valuing key symptoms</w:t>
      </w:r>
      <w:r w:rsidR="00752500" w:rsidRPr="00AE7A5C">
        <w:rPr>
          <w:color w:val="000000"/>
        </w:rPr>
        <w:t xml:space="preserve"> and signs</w:t>
      </w:r>
      <w:r w:rsidR="000D1830" w:rsidRPr="00AE7A5C">
        <w:rPr>
          <w:color w:val="000000"/>
        </w:rPr>
        <w:t xml:space="preserve"> (</w:t>
      </w:r>
      <w:r w:rsidR="00324C20" w:rsidRPr="00AE7A5C">
        <w:rPr>
          <w:color w:val="000000"/>
        </w:rPr>
        <w:t>5-7,13,23</w:t>
      </w:r>
      <w:r w:rsidR="000D1830" w:rsidRPr="00AE7A5C">
        <w:rPr>
          <w:rFonts w:eastAsia="Times New Roman" w:cs="Times New Roman"/>
          <w:color w:val="000000"/>
          <w:lang w:eastAsia="da-DK"/>
        </w:rPr>
        <w:t>)</w:t>
      </w:r>
      <w:r w:rsidR="000D1830" w:rsidRPr="00AE7A5C">
        <w:rPr>
          <w:color w:val="000000"/>
        </w:rPr>
        <w:t xml:space="preserve"> to more complex algorithms </w:t>
      </w:r>
      <w:r w:rsidR="00150B17" w:rsidRPr="00AE7A5C">
        <w:rPr>
          <w:color w:val="000000"/>
        </w:rPr>
        <w:t xml:space="preserve">e.g. </w:t>
      </w:r>
      <w:r w:rsidR="000D1830" w:rsidRPr="00AE7A5C">
        <w:rPr>
          <w:color w:val="000000"/>
        </w:rPr>
        <w:t xml:space="preserve">including </w:t>
      </w:r>
      <w:r w:rsidR="00DC6064" w:rsidRPr="00AE7A5C">
        <w:rPr>
          <w:color w:val="000000"/>
        </w:rPr>
        <w:t xml:space="preserve">the </w:t>
      </w:r>
      <w:r w:rsidR="00264095" w:rsidRPr="00AE7A5C">
        <w:rPr>
          <w:color w:val="000000"/>
        </w:rPr>
        <w:t>exposure dosage</w:t>
      </w:r>
      <w:r w:rsidR="000D1830" w:rsidRPr="00AE7A5C">
        <w:rPr>
          <w:color w:val="000000"/>
        </w:rPr>
        <w:t xml:space="preserve"> (</w:t>
      </w:r>
      <w:r w:rsidR="00324C20" w:rsidRPr="00AE7A5C">
        <w:rPr>
          <w:color w:val="000000"/>
        </w:rPr>
        <w:t>10,22</w:t>
      </w:r>
      <w:r w:rsidR="000D1830" w:rsidRPr="00AE7A5C">
        <w:rPr>
          <w:rFonts w:eastAsia="Times New Roman" w:cs="Times New Roman"/>
          <w:color w:val="000000"/>
          <w:lang w:eastAsia="da-DK"/>
        </w:rPr>
        <w:t>)</w:t>
      </w:r>
      <w:r w:rsidR="000D1830" w:rsidRPr="00AE7A5C">
        <w:rPr>
          <w:color w:val="000000"/>
        </w:rPr>
        <w:t xml:space="preserve">, </w:t>
      </w:r>
      <w:r w:rsidR="00FA5A11" w:rsidRPr="00FA5A11">
        <w:rPr>
          <w:color w:val="000000"/>
        </w:rPr>
        <w:t>fulfilment</w:t>
      </w:r>
      <w:r w:rsidR="000D1830" w:rsidRPr="00AE7A5C">
        <w:rPr>
          <w:color w:val="000000"/>
        </w:rPr>
        <w:t xml:space="preserve"> of 2-or-more criteria (</w:t>
      </w:r>
      <w:r w:rsidR="00324C20" w:rsidRPr="00AE7A5C">
        <w:rPr>
          <w:color w:val="000000"/>
        </w:rPr>
        <w:t>4,29</w:t>
      </w:r>
      <w:r w:rsidR="000D1830" w:rsidRPr="00AE7A5C">
        <w:rPr>
          <w:color w:val="000000"/>
        </w:rPr>
        <w:t xml:space="preserve">), summation of symptoms to </w:t>
      </w:r>
      <w:r w:rsidR="00D00774" w:rsidRPr="00AE7A5C">
        <w:rPr>
          <w:color w:val="000000"/>
        </w:rPr>
        <w:t xml:space="preserve">assess </w:t>
      </w:r>
      <w:r w:rsidR="000D1830" w:rsidRPr="00AE7A5C">
        <w:rPr>
          <w:color w:val="000000"/>
        </w:rPr>
        <w:t>severity (</w:t>
      </w:r>
      <w:r w:rsidR="00324C20" w:rsidRPr="00AE7A5C">
        <w:rPr>
          <w:color w:val="000000"/>
        </w:rPr>
        <w:t>14,20</w:t>
      </w:r>
      <w:r w:rsidR="000D1830" w:rsidRPr="00AE7A5C">
        <w:rPr>
          <w:color w:val="000000"/>
        </w:rPr>
        <w:t>) or related to number of organs involved and treatment plan (</w:t>
      </w:r>
      <w:r w:rsidR="00324C20" w:rsidRPr="00AE7A5C">
        <w:rPr>
          <w:color w:val="000000"/>
        </w:rPr>
        <w:t>11</w:t>
      </w:r>
      <w:r w:rsidR="000D1830" w:rsidRPr="00AE7A5C">
        <w:rPr>
          <w:color w:val="000000"/>
        </w:rPr>
        <w:t>). Furthermore, some of the classification</w:t>
      </w:r>
      <w:r w:rsidR="00E75C98" w:rsidRPr="00AE7A5C">
        <w:rPr>
          <w:color w:val="000000"/>
        </w:rPr>
        <w:t xml:space="preserve"> system</w:t>
      </w:r>
      <w:r w:rsidR="000D1830" w:rsidRPr="00AE7A5C">
        <w:rPr>
          <w:color w:val="000000"/>
        </w:rPr>
        <w:t>s only cover the most severe allergic reactions</w:t>
      </w:r>
      <w:r w:rsidR="00D00774" w:rsidRPr="00AE7A5C">
        <w:rPr>
          <w:color w:val="000000"/>
        </w:rPr>
        <w:t xml:space="preserve"> (</w:t>
      </w:r>
      <w:r w:rsidR="000D1830" w:rsidRPr="00AE7A5C">
        <w:rPr>
          <w:color w:val="000000"/>
        </w:rPr>
        <w:t>i.e. anaphylaxis</w:t>
      </w:r>
      <w:r w:rsidR="00D00774" w:rsidRPr="00AE7A5C">
        <w:rPr>
          <w:color w:val="000000"/>
        </w:rPr>
        <w:t>)</w:t>
      </w:r>
      <w:r w:rsidR="000D1830" w:rsidRPr="00AE7A5C">
        <w:rPr>
          <w:color w:val="000000"/>
        </w:rPr>
        <w:t xml:space="preserve"> (</w:t>
      </w:r>
      <w:r w:rsidR="00324C20" w:rsidRPr="00AE7A5C">
        <w:rPr>
          <w:color w:val="000000"/>
        </w:rPr>
        <w:t>5,15</w:t>
      </w:r>
      <w:r w:rsidR="000D1830" w:rsidRPr="00AE7A5C">
        <w:rPr>
          <w:color w:val="000000"/>
        </w:rPr>
        <w:t xml:space="preserve">), while others </w:t>
      </w:r>
      <w:r w:rsidR="003B64A9" w:rsidRPr="00AE7A5C">
        <w:rPr>
          <w:color w:val="000000"/>
        </w:rPr>
        <w:t>are</w:t>
      </w:r>
      <w:r w:rsidR="0041159E" w:rsidRPr="00AE7A5C">
        <w:rPr>
          <w:color w:val="000000"/>
        </w:rPr>
        <w:t xml:space="preserve"> </w:t>
      </w:r>
      <w:r w:rsidR="003B64A9" w:rsidRPr="00AE7A5C">
        <w:rPr>
          <w:color w:val="000000"/>
        </w:rPr>
        <w:t>design</w:t>
      </w:r>
      <w:r w:rsidR="00D00774" w:rsidRPr="00AE7A5C">
        <w:rPr>
          <w:color w:val="000000"/>
        </w:rPr>
        <w:t>ed</w:t>
      </w:r>
      <w:r w:rsidR="003B64A9" w:rsidRPr="00AE7A5C">
        <w:rPr>
          <w:color w:val="000000"/>
        </w:rPr>
        <w:t xml:space="preserve"> for </w:t>
      </w:r>
      <w:r w:rsidR="00401541" w:rsidRPr="00AE7A5C">
        <w:rPr>
          <w:color w:val="000000"/>
        </w:rPr>
        <w:t>a wider</w:t>
      </w:r>
      <w:r w:rsidR="003B64A9" w:rsidRPr="00AE7A5C">
        <w:rPr>
          <w:color w:val="000000"/>
        </w:rPr>
        <w:t xml:space="preserve"> spectrum of reactions </w:t>
      </w:r>
      <w:r w:rsidR="000D1830" w:rsidRPr="00AE7A5C">
        <w:rPr>
          <w:color w:val="000000"/>
        </w:rPr>
        <w:t>(</w:t>
      </w:r>
      <w:r w:rsidR="00324C20" w:rsidRPr="00AE7A5C">
        <w:rPr>
          <w:color w:val="000000"/>
        </w:rPr>
        <w:t>9,31,32</w:t>
      </w:r>
      <w:r w:rsidR="000D1830" w:rsidRPr="00AE7A5C">
        <w:rPr>
          <w:color w:val="000000"/>
        </w:rPr>
        <w:t>).</w:t>
      </w:r>
    </w:p>
    <w:p w14:paraId="7413326C" w14:textId="77777777" w:rsidR="0041159E" w:rsidRPr="00AE7A5C" w:rsidRDefault="0041159E" w:rsidP="0080453E">
      <w:pPr>
        <w:spacing w:after="0" w:line="360" w:lineRule="auto"/>
        <w:jc w:val="both"/>
        <w:rPr>
          <w:color w:val="000000"/>
        </w:rPr>
      </w:pPr>
    </w:p>
    <w:p w14:paraId="1F825D43" w14:textId="47B2369B" w:rsidR="003032B1" w:rsidRPr="00AE7A5C" w:rsidRDefault="000D1830" w:rsidP="0080453E">
      <w:pPr>
        <w:spacing w:after="0" w:line="360" w:lineRule="auto"/>
        <w:jc w:val="both"/>
        <w:rPr>
          <w:color w:val="000000"/>
        </w:rPr>
      </w:pPr>
      <w:r w:rsidRPr="00AE7A5C">
        <w:rPr>
          <w:color w:val="000000"/>
        </w:rPr>
        <w:t xml:space="preserve">Almost all </w:t>
      </w:r>
      <w:r w:rsidR="000E2521" w:rsidRPr="00AE7A5C">
        <w:rPr>
          <w:color w:val="000000"/>
        </w:rPr>
        <w:t xml:space="preserve">current scoring systems </w:t>
      </w:r>
      <w:r w:rsidRPr="00AE7A5C">
        <w:rPr>
          <w:color w:val="000000"/>
        </w:rPr>
        <w:t>are organ-specific, dividing symptoms and signs according to origin</w:t>
      </w:r>
      <w:r w:rsidR="000E2521" w:rsidRPr="00AE7A5C">
        <w:rPr>
          <w:color w:val="000000"/>
        </w:rPr>
        <w:t xml:space="preserve"> (</w:t>
      </w:r>
      <w:r w:rsidRPr="00AE7A5C">
        <w:rPr>
          <w:color w:val="000000"/>
        </w:rPr>
        <w:t>i.e. the skin, respiratory, gastro-intestinal, cardio-vascular, and nervous system</w:t>
      </w:r>
      <w:r w:rsidR="000E2521" w:rsidRPr="00AE7A5C">
        <w:rPr>
          <w:color w:val="000000"/>
        </w:rPr>
        <w:t>)</w:t>
      </w:r>
      <w:r w:rsidR="003B64A9" w:rsidRPr="00AE7A5C">
        <w:rPr>
          <w:color w:val="000000"/>
        </w:rPr>
        <w:t>; there is</w:t>
      </w:r>
      <w:r w:rsidRPr="00AE7A5C">
        <w:rPr>
          <w:color w:val="000000"/>
        </w:rPr>
        <w:t xml:space="preserve"> less consistency </w:t>
      </w:r>
      <w:r w:rsidR="003B64A9" w:rsidRPr="00AE7A5C">
        <w:rPr>
          <w:color w:val="000000"/>
        </w:rPr>
        <w:t>in terms of which</w:t>
      </w:r>
      <w:r w:rsidRPr="00AE7A5C">
        <w:rPr>
          <w:color w:val="000000"/>
        </w:rPr>
        <w:t xml:space="preserve"> symptoms</w:t>
      </w:r>
      <w:r w:rsidR="00E75C98" w:rsidRPr="00AE7A5C">
        <w:rPr>
          <w:color w:val="000000"/>
        </w:rPr>
        <w:t xml:space="preserve"> and signs</w:t>
      </w:r>
      <w:r w:rsidRPr="00AE7A5C">
        <w:rPr>
          <w:color w:val="000000"/>
        </w:rPr>
        <w:t xml:space="preserve"> </w:t>
      </w:r>
      <w:r w:rsidR="003B64A9" w:rsidRPr="00AE7A5C">
        <w:rPr>
          <w:color w:val="000000"/>
        </w:rPr>
        <w:t>are included</w:t>
      </w:r>
      <w:r w:rsidRPr="00AE7A5C">
        <w:rPr>
          <w:color w:val="000000"/>
        </w:rPr>
        <w:t xml:space="preserve">. </w:t>
      </w:r>
      <w:r w:rsidR="003B64A9" w:rsidRPr="00AE7A5C">
        <w:rPr>
          <w:color w:val="000000"/>
        </w:rPr>
        <w:t>S</w:t>
      </w:r>
      <w:r w:rsidRPr="00AE7A5C">
        <w:rPr>
          <w:color w:val="000000"/>
        </w:rPr>
        <w:t xml:space="preserve">kin symptoms </w:t>
      </w:r>
      <w:r w:rsidR="003B64A9" w:rsidRPr="00AE7A5C">
        <w:rPr>
          <w:color w:val="000000"/>
        </w:rPr>
        <w:t>usually include</w:t>
      </w:r>
      <w:r w:rsidRPr="00AE7A5C">
        <w:rPr>
          <w:color w:val="000000"/>
        </w:rPr>
        <w:t xml:space="preserve"> pruritus, urticaria, angioedema</w:t>
      </w:r>
      <w:r w:rsidR="00665BE1" w:rsidRPr="00AE7A5C">
        <w:rPr>
          <w:color w:val="000000"/>
        </w:rPr>
        <w:t xml:space="preserve"> and</w:t>
      </w:r>
      <w:r w:rsidRPr="00AE7A5C">
        <w:rPr>
          <w:color w:val="000000"/>
        </w:rPr>
        <w:t xml:space="preserve"> flush</w:t>
      </w:r>
      <w:r w:rsidR="00074613" w:rsidRPr="00AE7A5C">
        <w:rPr>
          <w:color w:val="000000"/>
        </w:rPr>
        <w:t>ing</w:t>
      </w:r>
      <w:r w:rsidRPr="00AE7A5C">
        <w:rPr>
          <w:color w:val="000000"/>
        </w:rPr>
        <w:t>/rash</w:t>
      </w:r>
      <w:r w:rsidR="00401541" w:rsidRPr="00AE7A5C">
        <w:rPr>
          <w:color w:val="000000"/>
        </w:rPr>
        <w:t>.</w:t>
      </w:r>
      <w:r w:rsidRPr="00AE7A5C">
        <w:rPr>
          <w:color w:val="000000"/>
        </w:rPr>
        <w:t xml:space="preserve"> G</w:t>
      </w:r>
      <w:r w:rsidR="00401541" w:rsidRPr="00AE7A5C">
        <w:rPr>
          <w:color w:val="000000"/>
        </w:rPr>
        <w:t>astrointestinal</w:t>
      </w:r>
      <w:r w:rsidRPr="00AE7A5C">
        <w:rPr>
          <w:color w:val="000000"/>
        </w:rPr>
        <w:t xml:space="preserve"> </w:t>
      </w:r>
      <w:r w:rsidR="00E75C98" w:rsidRPr="00AE7A5C">
        <w:rPr>
          <w:color w:val="000000"/>
        </w:rPr>
        <w:t xml:space="preserve">features </w:t>
      </w:r>
      <w:r w:rsidRPr="00AE7A5C">
        <w:rPr>
          <w:color w:val="000000"/>
        </w:rPr>
        <w:t xml:space="preserve">consist mostly of subjective </w:t>
      </w:r>
      <w:r w:rsidR="000E2521" w:rsidRPr="00AE7A5C">
        <w:rPr>
          <w:color w:val="000000"/>
        </w:rPr>
        <w:t xml:space="preserve">symptoms </w:t>
      </w:r>
      <w:r w:rsidRPr="00AE7A5C">
        <w:rPr>
          <w:color w:val="000000"/>
        </w:rPr>
        <w:t>(</w:t>
      </w:r>
      <w:r w:rsidR="00E75C98" w:rsidRPr="00AE7A5C">
        <w:rPr>
          <w:color w:val="000000"/>
        </w:rPr>
        <w:t>e.g.</w:t>
      </w:r>
      <w:r w:rsidR="00E03D84" w:rsidRPr="00AE7A5C">
        <w:rPr>
          <w:color w:val="000000"/>
        </w:rPr>
        <w:t xml:space="preserve"> </w:t>
      </w:r>
      <w:r w:rsidR="000E2521" w:rsidRPr="00AE7A5C">
        <w:rPr>
          <w:color w:val="000000"/>
        </w:rPr>
        <w:t>oral allergy syndrome</w:t>
      </w:r>
      <w:r w:rsidRPr="00AE7A5C">
        <w:rPr>
          <w:color w:val="000000"/>
        </w:rPr>
        <w:t xml:space="preserve">, nausea, and abdominal pain), emesis and </w:t>
      </w:r>
      <w:r w:rsidR="00401541" w:rsidRPr="00AE7A5C">
        <w:rPr>
          <w:color w:val="000000"/>
        </w:rPr>
        <w:t>diarrh</w:t>
      </w:r>
      <w:r w:rsidR="00074613" w:rsidRPr="00AE7A5C">
        <w:rPr>
          <w:color w:val="000000"/>
        </w:rPr>
        <w:t>o</w:t>
      </w:r>
      <w:r w:rsidR="00401541" w:rsidRPr="00AE7A5C">
        <w:rPr>
          <w:color w:val="000000"/>
        </w:rPr>
        <w:t>ea. C</w:t>
      </w:r>
      <w:r w:rsidRPr="00AE7A5C">
        <w:rPr>
          <w:color w:val="000000"/>
        </w:rPr>
        <w:t xml:space="preserve">ardiovascular </w:t>
      </w:r>
      <w:r w:rsidR="00E75C98" w:rsidRPr="00AE7A5C">
        <w:rPr>
          <w:color w:val="000000"/>
        </w:rPr>
        <w:t>features include</w:t>
      </w:r>
      <w:r w:rsidRPr="00AE7A5C">
        <w:rPr>
          <w:color w:val="000000"/>
        </w:rPr>
        <w:t xml:space="preserve"> change in h</w:t>
      </w:r>
      <w:r w:rsidR="007C1749" w:rsidRPr="00AE7A5C">
        <w:rPr>
          <w:color w:val="000000"/>
        </w:rPr>
        <w:t>e</w:t>
      </w:r>
      <w:r w:rsidRPr="00AE7A5C">
        <w:rPr>
          <w:color w:val="000000"/>
        </w:rPr>
        <w:t xml:space="preserve">art rate (from </w:t>
      </w:r>
      <w:r w:rsidR="00FA5A11" w:rsidRPr="00FA5A11">
        <w:rPr>
          <w:color w:val="000000"/>
        </w:rPr>
        <w:t>tachycardia</w:t>
      </w:r>
      <w:r w:rsidRPr="00AE7A5C">
        <w:rPr>
          <w:color w:val="000000"/>
        </w:rPr>
        <w:t xml:space="preserve"> to cardiac arrest) and different grades of hypotension. Neurological </w:t>
      </w:r>
      <w:r w:rsidR="00E75C98" w:rsidRPr="00AE7A5C">
        <w:rPr>
          <w:color w:val="000000"/>
        </w:rPr>
        <w:t xml:space="preserve">features </w:t>
      </w:r>
      <w:r w:rsidRPr="00AE7A5C">
        <w:rPr>
          <w:color w:val="000000"/>
        </w:rPr>
        <w:t>are less consistent</w:t>
      </w:r>
      <w:r w:rsidR="007C1749" w:rsidRPr="00AE7A5C">
        <w:rPr>
          <w:color w:val="000000"/>
        </w:rPr>
        <w:t>,</w:t>
      </w:r>
      <w:r w:rsidRPr="00AE7A5C">
        <w:rPr>
          <w:color w:val="000000"/>
        </w:rPr>
        <w:t xml:space="preserve"> with grades of anxiety and consciousness (from reduced </w:t>
      </w:r>
      <w:r w:rsidR="003B64A9" w:rsidRPr="00AE7A5C">
        <w:rPr>
          <w:color w:val="000000"/>
        </w:rPr>
        <w:t>activity level to total loss</w:t>
      </w:r>
      <w:r w:rsidR="007C1749" w:rsidRPr="00AE7A5C">
        <w:rPr>
          <w:color w:val="000000"/>
        </w:rPr>
        <w:t xml:space="preserve"> of </w:t>
      </w:r>
      <w:r w:rsidR="00D86D04" w:rsidRPr="00AE7A5C">
        <w:rPr>
          <w:color w:val="000000"/>
        </w:rPr>
        <w:t>consciousness</w:t>
      </w:r>
      <w:r w:rsidR="003B64A9" w:rsidRPr="00AE7A5C">
        <w:rPr>
          <w:color w:val="000000"/>
        </w:rPr>
        <w:t>). The b</w:t>
      </w:r>
      <w:r w:rsidRPr="00AE7A5C">
        <w:rPr>
          <w:color w:val="000000"/>
        </w:rPr>
        <w:t>iggest discrepanc</w:t>
      </w:r>
      <w:r w:rsidR="003B64A9" w:rsidRPr="00AE7A5C">
        <w:rPr>
          <w:color w:val="000000"/>
        </w:rPr>
        <w:t>ies</w:t>
      </w:r>
      <w:r w:rsidRPr="00AE7A5C">
        <w:rPr>
          <w:color w:val="000000"/>
        </w:rPr>
        <w:t xml:space="preserve"> ar</w:t>
      </w:r>
      <w:r w:rsidR="003B64A9" w:rsidRPr="00AE7A5C">
        <w:rPr>
          <w:color w:val="000000"/>
        </w:rPr>
        <w:t>e found in respiratory symptoms where some only apply</w:t>
      </w:r>
      <w:r w:rsidRPr="00AE7A5C">
        <w:rPr>
          <w:color w:val="000000"/>
        </w:rPr>
        <w:t xml:space="preserve"> airway obstruction (</w:t>
      </w:r>
      <w:r w:rsidR="00DE369E" w:rsidRPr="00AE7A5C">
        <w:rPr>
          <w:color w:val="000000"/>
        </w:rPr>
        <w:t>14</w:t>
      </w:r>
      <w:r w:rsidRPr="00AE7A5C">
        <w:rPr>
          <w:color w:val="000000"/>
        </w:rPr>
        <w:t xml:space="preserve">), while others incorporate </w:t>
      </w:r>
      <w:r w:rsidRPr="00AE7A5C">
        <w:t>different levels of laryngeal symptoms, wheezing, dyspnea, asthma</w:t>
      </w:r>
      <w:r w:rsidR="00D23EE0" w:rsidRPr="00AE7A5C">
        <w:t>,</w:t>
      </w:r>
      <w:r w:rsidRPr="00AE7A5C">
        <w:t xml:space="preserve"> cyanosis and respiratory arrest (</w:t>
      </w:r>
      <w:r w:rsidR="00DE369E" w:rsidRPr="00AE7A5C">
        <w:t>9</w:t>
      </w:r>
      <w:r w:rsidRPr="00AE7A5C">
        <w:t>). Symptoms from upper airways</w:t>
      </w:r>
      <w:r w:rsidR="00401541" w:rsidRPr="00AE7A5C">
        <w:t xml:space="preserve"> (</w:t>
      </w:r>
      <w:r w:rsidRPr="00AE7A5C">
        <w:t>i.e. nose and eyes</w:t>
      </w:r>
      <w:r w:rsidR="00401541" w:rsidRPr="00AE7A5C">
        <w:t>)</w:t>
      </w:r>
      <w:r w:rsidRPr="00AE7A5C">
        <w:t xml:space="preserve"> are covered by some (</w:t>
      </w:r>
      <w:r w:rsidR="00DE369E" w:rsidRPr="00AE7A5C">
        <w:t>9,25,28</w:t>
      </w:r>
      <w:r w:rsidRPr="00AE7A5C">
        <w:t>) and excluded by others (</w:t>
      </w:r>
      <w:r w:rsidR="00DE369E" w:rsidRPr="00AE7A5C">
        <w:t>4,12,23</w:t>
      </w:r>
      <w:r w:rsidRPr="00AE7A5C">
        <w:t>).</w:t>
      </w:r>
      <w:r w:rsidRPr="00AE7A5C">
        <w:rPr>
          <w:color w:val="000000"/>
        </w:rPr>
        <w:t xml:space="preserve"> No approach has included a full set of symptoms</w:t>
      </w:r>
      <w:r w:rsidR="00E75C98" w:rsidRPr="00AE7A5C">
        <w:rPr>
          <w:color w:val="000000"/>
        </w:rPr>
        <w:t xml:space="preserve"> and signs</w:t>
      </w:r>
      <w:r w:rsidRPr="00AE7A5C">
        <w:rPr>
          <w:color w:val="000000"/>
        </w:rPr>
        <w:t xml:space="preserve"> and the heterogeneity </w:t>
      </w:r>
      <w:r w:rsidR="007C1749" w:rsidRPr="00AE7A5C">
        <w:rPr>
          <w:color w:val="000000"/>
        </w:rPr>
        <w:t xml:space="preserve">of </w:t>
      </w:r>
      <w:r w:rsidR="002B336C" w:rsidRPr="00AE7A5C">
        <w:rPr>
          <w:color w:val="000000"/>
        </w:rPr>
        <w:t xml:space="preserve">scoring </w:t>
      </w:r>
      <w:r w:rsidR="007C1749" w:rsidRPr="00AE7A5C">
        <w:rPr>
          <w:color w:val="000000"/>
        </w:rPr>
        <w:t xml:space="preserve">of </w:t>
      </w:r>
      <w:r w:rsidRPr="00AE7A5C">
        <w:rPr>
          <w:color w:val="000000"/>
        </w:rPr>
        <w:t>each symptom</w:t>
      </w:r>
      <w:r w:rsidR="00E75C98" w:rsidRPr="00AE7A5C">
        <w:rPr>
          <w:color w:val="000000"/>
        </w:rPr>
        <w:t>/sign</w:t>
      </w:r>
      <w:r w:rsidRPr="00AE7A5C">
        <w:rPr>
          <w:color w:val="000000"/>
        </w:rPr>
        <w:t xml:space="preserve"> is pronounced, </w:t>
      </w:r>
      <w:r w:rsidR="00D00774" w:rsidRPr="00AE7A5C">
        <w:rPr>
          <w:color w:val="000000"/>
        </w:rPr>
        <w:t>with classification ranging from</w:t>
      </w:r>
      <w:r w:rsidRPr="00AE7A5C">
        <w:rPr>
          <w:color w:val="000000"/>
        </w:rPr>
        <w:t xml:space="preserve"> “present” </w:t>
      </w:r>
      <w:r w:rsidR="00893156" w:rsidRPr="00AE7A5C">
        <w:rPr>
          <w:color w:val="000000"/>
        </w:rPr>
        <w:t>to</w:t>
      </w:r>
      <w:r w:rsidRPr="00AE7A5C">
        <w:rPr>
          <w:color w:val="000000"/>
        </w:rPr>
        <w:t xml:space="preserve"> “mild/moderate/severe” to the 6-</w:t>
      </w:r>
      <w:r w:rsidR="00343FAE" w:rsidRPr="00AE7A5C">
        <w:rPr>
          <w:color w:val="000000"/>
        </w:rPr>
        <w:t xml:space="preserve">grade </w:t>
      </w:r>
      <w:r w:rsidRPr="00AE7A5C">
        <w:rPr>
          <w:color w:val="000000"/>
        </w:rPr>
        <w:t>comprehensive Japanese ASCA-system (</w:t>
      </w:r>
      <w:r w:rsidR="00DE369E" w:rsidRPr="00AE7A5C">
        <w:rPr>
          <w:color w:val="000000"/>
        </w:rPr>
        <w:t>30</w:t>
      </w:r>
      <w:r w:rsidRPr="00AE7A5C">
        <w:rPr>
          <w:color w:val="000000"/>
        </w:rPr>
        <w:t>)</w:t>
      </w:r>
      <w:r w:rsidR="003B64A9" w:rsidRPr="00AE7A5C">
        <w:rPr>
          <w:color w:val="000000"/>
        </w:rPr>
        <w:t xml:space="preserve"> (not </w:t>
      </w:r>
      <w:r w:rsidRPr="00AE7A5C">
        <w:rPr>
          <w:color w:val="000000"/>
        </w:rPr>
        <w:t>available in English</w:t>
      </w:r>
      <w:r w:rsidR="003B64A9" w:rsidRPr="00AE7A5C">
        <w:rPr>
          <w:color w:val="000000"/>
        </w:rPr>
        <w:t>)</w:t>
      </w:r>
      <w:r w:rsidRPr="00AE7A5C">
        <w:rPr>
          <w:color w:val="000000"/>
        </w:rPr>
        <w:t xml:space="preserve">. </w:t>
      </w:r>
      <w:r w:rsidR="003032B1" w:rsidRPr="00AE7A5C">
        <w:rPr>
          <w:color w:val="000000"/>
        </w:rPr>
        <w:t xml:space="preserve">A more limited number of </w:t>
      </w:r>
      <w:r w:rsidR="00343FAE" w:rsidRPr="00AE7A5C">
        <w:rPr>
          <w:color w:val="000000"/>
        </w:rPr>
        <w:t xml:space="preserve">grades </w:t>
      </w:r>
      <w:r w:rsidRPr="00AE7A5C">
        <w:rPr>
          <w:color w:val="000000"/>
        </w:rPr>
        <w:t>(</w:t>
      </w:r>
      <w:r w:rsidR="00FA5A11" w:rsidRPr="00FA5A11">
        <w:rPr>
          <w:color w:val="000000"/>
        </w:rPr>
        <w:t>e.g.</w:t>
      </w:r>
      <w:r w:rsidR="003032B1" w:rsidRPr="00AE7A5C">
        <w:rPr>
          <w:color w:val="000000"/>
        </w:rPr>
        <w:t xml:space="preserve"> </w:t>
      </w:r>
      <w:r w:rsidRPr="00AE7A5C">
        <w:rPr>
          <w:color w:val="000000"/>
        </w:rPr>
        <w:t>mild</w:t>
      </w:r>
      <w:r w:rsidR="003032B1" w:rsidRPr="00AE7A5C">
        <w:rPr>
          <w:color w:val="000000"/>
        </w:rPr>
        <w:t xml:space="preserve">, </w:t>
      </w:r>
      <w:r w:rsidRPr="00AE7A5C">
        <w:rPr>
          <w:color w:val="000000"/>
        </w:rPr>
        <w:t>moderate</w:t>
      </w:r>
      <w:r w:rsidR="003032B1" w:rsidRPr="00AE7A5C">
        <w:rPr>
          <w:color w:val="000000"/>
        </w:rPr>
        <w:t xml:space="preserve"> </w:t>
      </w:r>
      <w:r w:rsidR="00665BE1" w:rsidRPr="00AE7A5C">
        <w:rPr>
          <w:color w:val="000000"/>
        </w:rPr>
        <w:t>and severe</w:t>
      </w:r>
      <w:r w:rsidR="004D7262" w:rsidRPr="004D7262">
        <w:t xml:space="preserve"> </w:t>
      </w:r>
      <w:r w:rsidR="004D7262" w:rsidRPr="004D7262">
        <w:rPr>
          <w:color w:val="000000"/>
        </w:rPr>
        <w:t>or give adrenaline/do not give adrenaline</w:t>
      </w:r>
      <w:r w:rsidRPr="00AE7A5C">
        <w:rPr>
          <w:color w:val="000000"/>
        </w:rPr>
        <w:t xml:space="preserve">) may be </w:t>
      </w:r>
      <w:r w:rsidR="003032B1" w:rsidRPr="00AE7A5C">
        <w:rPr>
          <w:color w:val="000000"/>
        </w:rPr>
        <w:t>more useful</w:t>
      </w:r>
      <w:r w:rsidRPr="00AE7A5C">
        <w:rPr>
          <w:color w:val="000000"/>
        </w:rPr>
        <w:t xml:space="preserve"> for patients and non-allergy specialists. </w:t>
      </w:r>
      <w:r w:rsidR="003B64A9" w:rsidRPr="00AE7A5C">
        <w:rPr>
          <w:color w:val="000000"/>
        </w:rPr>
        <w:t>However, f</w:t>
      </w:r>
      <w:r w:rsidRPr="00AE7A5C">
        <w:rPr>
          <w:color w:val="000000"/>
        </w:rPr>
        <w:t>or research purposes</w:t>
      </w:r>
      <w:r w:rsidR="004D7262" w:rsidRPr="004D7262">
        <w:rPr>
          <w:color w:val="000000"/>
        </w:rPr>
        <w:t>, and to inform and validate more simple systems,</w:t>
      </w:r>
      <w:r w:rsidRPr="00AE7A5C">
        <w:rPr>
          <w:color w:val="000000"/>
        </w:rPr>
        <w:t xml:space="preserve"> it may be </w:t>
      </w:r>
      <w:r w:rsidR="00E4769C" w:rsidRPr="00AE7A5C">
        <w:rPr>
          <w:color w:val="000000"/>
        </w:rPr>
        <w:t>preferable</w:t>
      </w:r>
      <w:r w:rsidRPr="00AE7A5C">
        <w:rPr>
          <w:color w:val="000000"/>
        </w:rPr>
        <w:t xml:space="preserve"> to have a nu</w:t>
      </w:r>
      <w:r w:rsidR="003B64A9" w:rsidRPr="00AE7A5C">
        <w:rPr>
          <w:color w:val="000000"/>
        </w:rPr>
        <w:t xml:space="preserve">merical </w:t>
      </w:r>
      <w:r w:rsidR="003032B1" w:rsidRPr="00AE7A5C">
        <w:rPr>
          <w:color w:val="000000"/>
        </w:rPr>
        <w:t xml:space="preserve">severity </w:t>
      </w:r>
      <w:r w:rsidR="003B64A9" w:rsidRPr="00AE7A5C">
        <w:rPr>
          <w:color w:val="000000"/>
        </w:rPr>
        <w:t>score with more gradations</w:t>
      </w:r>
      <w:r w:rsidRPr="00AE7A5C">
        <w:rPr>
          <w:color w:val="000000"/>
        </w:rPr>
        <w:t>.</w:t>
      </w:r>
      <w:r w:rsidR="00B51976" w:rsidRPr="00AE7A5C">
        <w:rPr>
          <w:color w:val="000000"/>
        </w:rPr>
        <w:t xml:space="preserve"> </w:t>
      </w:r>
    </w:p>
    <w:p w14:paraId="674088E9" w14:textId="77777777" w:rsidR="0041159E" w:rsidRPr="00AE7A5C" w:rsidRDefault="0041159E" w:rsidP="0080453E">
      <w:pPr>
        <w:spacing w:after="0" w:line="360" w:lineRule="auto"/>
        <w:jc w:val="both"/>
        <w:rPr>
          <w:color w:val="000000"/>
        </w:rPr>
      </w:pPr>
    </w:p>
    <w:p w14:paraId="31D14DFA" w14:textId="61A7325A" w:rsidR="00E852E2" w:rsidRPr="00034439" w:rsidRDefault="00650473" w:rsidP="0080453E">
      <w:pPr>
        <w:spacing w:after="0" w:line="360" w:lineRule="auto"/>
        <w:jc w:val="both"/>
        <w:rPr>
          <w:b/>
          <w:bCs/>
        </w:rPr>
      </w:pPr>
      <w:r w:rsidRPr="00AE7A5C">
        <w:lastRenderedPageBreak/>
        <w:t>Comparison across historical approaches is difficult</w:t>
      </w:r>
      <w:r w:rsidR="00FA5A11">
        <w:t>,</w:t>
      </w:r>
      <w:r w:rsidRPr="00AE7A5C">
        <w:t xml:space="preserve"> but not impossible. Categorical scales would need to be recalculated into comparable numerical values, which would involve difficult decisions about interpretation and categorization of diverse symptoms. This would need to be addressed with caution since comparisons across historical approache</w:t>
      </w:r>
      <w:r w:rsidR="004D7262">
        <w:t>s</w:t>
      </w:r>
      <w:r w:rsidRPr="00AE7A5C">
        <w:t xml:space="preserve"> would undoubtedly involve other important differences, such as diverse study populations (community versus hospital), ages (children versus adults), and routes of exposure (food versus hymenoptera venom). Moreover, these comparisons would need to overcome some vague terms without clear definitions and the fact that none of the severity scoring systems </w:t>
      </w:r>
      <w:r w:rsidR="00FF49EB" w:rsidRPr="00AE7A5C">
        <w:t xml:space="preserve">is  </w:t>
      </w:r>
      <w:r w:rsidRPr="00AE7A5C">
        <w:t xml:space="preserve">validated nor were </w:t>
      </w:r>
      <w:r w:rsidR="00FF49EB" w:rsidRPr="00AE7A5C">
        <w:t xml:space="preserve">any </w:t>
      </w:r>
      <w:r w:rsidRPr="00AE7A5C">
        <w:t xml:space="preserve">specifically designed for the proposed comparisons. </w:t>
      </w:r>
    </w:p>
    <w:p w14:paraId="45A948E9" w14:textId="77777777" w:rsidR="0018744C" w:rsidRPr="00034439" w:rsidRDefault="0018744C" w:rsidP="0080453E">
      <w:pPr>
        <w:spacing w:after="0" w:line="360" w:lineRule="auto"/>
        <w:rPr>
          <w:b/>
          <w:bCs/>
        </w:rPr>
      </w:pPr>
    </w:p>
    <w:p w14:paraId="0A5EEB5D" w14:textId="77777777" w:rsidR="00EC7619" w:rsidRPr="00034439" w:rsidRDefault="00A44CD9" w:rsidP="0080453E">
      <w:pPr>
        <w:spacing w:after="0" w:line="360" w:lineRule="auto"/>
        <w:rPr>
          <w:b/>
          <w:bCs/>
        </w:rPr>
      </w:pPr>
      <w:r w:rsidRPr="00075E54">
        <w:rPr>
          <w:b/>
          <w:bCs/>
        </w:rPr>
        <w:t xml:space="preserve">What are the challenges associated with developing a </w:t>
      </w:r>
      <w:r w:rsidR="00E4769C" w:rsidRPr="00E81BDC">
        <w:rPr>
          <w:b/>
          <w:bCs/>
        </w:rPr>
        <w:t xml:space="preserve">single unified </w:t>
      </w:r>
      <w:r w:rsidRPr="00034439">
        <w:rPr>
          <w:b/>
          <w:bCs/>
        </w:rPr>
        <w:t>severity scoring system</w:t>
      </w:r>
      <w:r w:rsidR="00E36F5E" w:rsidRPr="00034439">
        <w:rPr>
          <w:b/>
          <w:bCs/>
        </w:rPr>
        <w:t xml:space="preserve"> for </w:t>
      </w:r>
      <w:r w:rsidR="00814C65" w:rsidRPr="00034439">
        <w:rPr>
          <w:b/>
          <w:bCs/>
        </w:rPr>
        <w:t xml:space="preserve">acute </w:t>
      </w:r>
      <w:r w:rsidR="00E36F5E" w:rsidRPr="00034439">
        <w:rPr>
          <w:b/>
          <w:bCs/>
        </w:rPr>
        <w:t>allergic reactions</w:t>
      </w:r>
      <w:r w:rsidRPr="00034439">
        <w:rPr>
          <w:b/>
          <w:bCs/>
        </w:rPr>
        <w:t>?</w:t>
      </w:r>
      <w:r w:rsidR="001A7C03" w:rsidRPr="00034439">
        <w:rPr>
          <w:b/>
          <w:bCs/>
        </w:rPr>
        <w:t xml:space="preserve"> </w:t>
      </w:r>
    </w:p>
    <w:p w14:paraId="767804A8" w14:textId="23F1E28B" w:rsidR="00EC7619" w:rsidRPr="00034439" w:rsidRDefault="00EC7619" w:rsidP="0080453E">
      <w:pPr>
        <w:spacing w:after="0" w:line="360" w:lineRule="auto"/>
        <w:jc w:val="both"/>
      </w:pPr>
      <w:r w:rsidRPr="00034439">
        <w:t xml:space="preserve">The </w:t>
      </w:r>
      <w:r w:rsidR="00E4769C" w:rsidRPr="00034439">
        <w:t xml:space="preserve">key </w:t>
      </w:r>
      <w:r w:rsidRPr="00034439">
        <w:t>problem</w:t>
      </w:r>
      <w:r w:rsidR="00585D0A" w:rsidRPr="00034439">
        <w:t xml:space="preserve"> </w:t>
      </w:r>
      <w:r w:rsidR="00E4769C" w:rsidRPr="00034439">
        <w:t xml:space="preserve">in </w:t>
      </w:r>
      <w:r w:rsidR="00585D0A" w:rsidRPr="00034439">
        <w:t>developing an allerg</w:t>
      </w:r>
      <w:r w:rsidR="00DA1EE1" w:rsidRPr="00034439">
        <w:t>ic reaction</w:t>
      </w:r>
      <w:r w:rsidR="00585D0A" w:rsidRPr="00034439">
        <w:t xml:space="preserve"> severity score is the </w:t>
      </w:r>
      <w:r w:rsidRPr="00034439">
        <w:t xml:space="preserve">lack of </w:t>
      </w:r>
      <w:r w:rsidR="00585D0A" w:rsidRPr="00034439">
        <w:t xml:space="preserve">a </w:t>
      </w:r>
      <w:r w:rsidR="00C31794" w:rsidRPr="00034439">
        <w:t>reliable</w:t>
      </w:r>
      <w:r w:rsidR="00585D0A" w:rsidRPr="00034439">
        <w:t>,</w:t>
      </w:r>
      <w:r w:rsidRPr="00034439">
        <w:t xml:space="preserve"> evidence-based</w:t>
      </w:r>
      <w:r w:rsidR="00585D0A" w:rsidRPr="00034439">
        <w:t>,</w:t>
      </w:r>
      <w:r w:rsidRPr="00034439">
        <w:t xml:space="preserve"> gold-standard </w:t>
      </w:r>
      <w:r w:rsidR="00074613" w:rsidRPr="00034439">
        <w:t>criterion</w:t>
      </w:r>
      <w:r w:rsidR="00D86D04" w:rsidRPr="00034439">
        <w:t xml:space="preserve"> </w:t>
      </w:r>
      <w:r w:rsidR="00650473" w:rsidRPr="00034439">
        <w:t xml:space="preserve">standard </w:t>
      </w:r>
      <w:r w:rsidR="00D86D04" w:rsidRPr="00034439">
        <w:t>that</w:t>
      </w:r>
      <w:r w:rsidRPr="00034439">
        <w:t xml:space="preserve"> </w:t>
      </w:r>
      <w:r w:rsidR="00585D0A" w:rsidRPr="00034439">
        <w:t>can</w:t>
      </w:r>
      <w:r w:rsidRPr="00034439">
        <w:t xml:space="preserve"> be used as a reference for</w:t>
      </w:r>
      <w:r w:rsidR="00172CF2" w:rsidRPr="00034439">
        <w:t xml:space="preserve"> de</w:t>
      </w:r>
      <w:r w:rsidR="00E4769C" w:rsidRPr="00034439">
        <w:t>rivation</w:t>
      </w:r>
      <w:r w:rsidR="00172CF2" w:rsidRPr="00034439">
        <w:t xml:space="preserve"> and</w:t>
      </w:r>
      <w:r w:rsidRPr="00034439">
        <w:t xml:space="preserve"> validation. </w:t>
      </w:r>
      <w:r w:rsidR="00DE369E" w:rsidRPr="00034439">
        <w:t xml:space="preserve">This is one of the research needs being addressed by the iFAAM study (33) and may provide a better outcome measure to use in generating a severity score. This in itself would need validation across the breadth of clinical allergy. </w:t>
      </w:r>
      <w:r w:rsidR="006E3342" w:rsidRPr="00034439">
        <w:t>Extending th</w:t>
      </w:r>
      <w:r w:rsidR="00C31794" w:rsidRPr="00034439">
        <w:t xml:space="preserve">ese systems </w:t>
      </w:r>
      <w:r w:rsidR="006E3342" w:rsidRPr="005F5E14">
        <w:t>to all allergic reactions is challenging</w:t>
      </w:r>
      <w:r w:rsidR="007A71A0" w:rsidRPr="00C83AC0">
        <w:t xml:space="preserve">, not least because of possible bias from a non-representative sample, with implications for both reliability and validity.  </w:t>
      </w:r>
      <w:r w:rsidR="006E3342" w:rsidRPr="00075E54">
        <w:t xml:space="preserve"> </w:t>
      </w:r>
      <w:r w:rsidR="007A71A0" w:rsidRPr="00E81BDC">
        <w:t xml:space="preserve">Furthermore, the existing </w:t>
      </w:r>
      <w:r w:rsidR="006E3342" w:rsidRPr="00034439">
        <w:t>allergy nomenclature</w:t>
      </w:r>
      <w:r w:rsidR="007A71A0" w:rsidRPr="00034439">
        <w:t xml:space="preserve"> is far from being </w:t>
      </w:r>
      <w:r w:rsidR="00163567" w:rsidRPr="00034439">
        <w:t>harmoni</w:t>
      </w:r>
      <w:r w:rsidR="00163567">
        <w:t>z</w:t>
      </w:r>
      <w:r w:rsidR="00163567" w:rsidRPr="00034439">
        <w:t xml:space="preserve">ed </w:t>
      </w:r>
      <w:r w:rsidR="006E3342" w:rsidRPr="00034439">
        <w:t>(</w:t>
      </w:r>
      <w:r w:rsidR="00DE369E" w:rsidRPr="00034439">
        <w:t>34</w:t>
      </w:r>
      <w:r w:rsidR="006E3342" w:rsidRPr="00034439">
        <w:t xml:space="preserve">).  </w:t>
      </w:r>
      <w:r w:rsidR="00C31794" w:rsidRPr="00034439">
        <w:t>A</w:t>
      </w:r>
      <w:r w:rsidR="006E3342" w:rsidRPr="00034439">
        <w:t xml:space="preserve"> better </w:t>
      </w:r>
      <w:r w:rsidR="00C31794" w:rsidRPr="00034439">
        <w:t>insight into</w:t>
      </w:r>
      <w:r w:rsidR="006E3342" w:rsidRPr="00034439">
        <w:t xml:space="preserve"> </w:t>
      </w:r>
      <w:r w:rsidR="00C31794" w:rsidRPr="00034439">
        <w:t xml:space="preserve">the </w:t>
      </w:r>
      <w:r w:rsidRPr="00034439">
        <w:t>disease mechanisms</w:t>
      </w:r>
      <w:r w:rsidR="006E3342" w:rsidRPr="00034439">
        <w:t xml:space="preserve"> underlying different allergic reactions</w:t>
      </w:r>
      <w:r w:rsidR="00C31794" w:rsidRPr="00034439">
        <w:t xml:space="preserve"> and </w:t>
      </w:r>
      <w:r w:rsidRPr="00034439">
        <w:t>an endotype-driven approach (</w:t>
      </w:r>
      <w:r w:rsidR="00DE369E" w:rsidRPr="00034439">
        <w:rPr>
          <w:rFonts w:eastAsia="Times New Roman" w:cs="Times New Roman"/>
          <w:color w:val="000000"/>
        </w:rPr>
        <w:t>35</w:t>
      </w:r>
      <w:r w:rsidRPr="00034439">
        <w:t xml:space="preserve">) </w:t>
      </w:r>
      <w:r w:rsidR="00E2511C" w:rsidRPr="00034439">
        <w:t xml:space="preserve">would help to develop a common </w:t>
      </w:r>
      <w:r w:rsidR="004D7262">
        <w:t xml:space="preserve">methodology </w:t>
      </w:r>
      <w:r w:rsidR="006E3342" w:rsidRPr="00034439">
        <w:t>across th</w:t>
      </w:r>
      <w:r w:rsidR="00C31794" w:rsidRPr="00034439">
        <w:t>e</w:t>
      </w:r>
      <w:r w:rsidR="006E3342" w:rsidRPr="00034439">
        <w:t xml:space="preserve"> huge spectrum of </w:t>
      </w:r>
      <w:r w:rsidR="00E4769C" w:rsidRPr="00034439">
        <w:t xml:space="preserve">allergic </w:t>
      </w:r>
      <w:r w:rsidR="006E3342" w:rsidRPr="00034439">
        <w:t>disease. The range of allergic triggers</w:t>
      </w:r>
      <w:r w:rsidR="00E2511C" w:rsidRPr="00034439">
        <w:t xml:space="preserve">, </w:t>
      </w:r>
      <w:r w:rsidR="00C31794" w:rsidRPr="00034439">
        <w:t xml:space="preserve">clinical </w:t>
      </w:r>
      <w:r w:rsidR="006E3342" w:rsidRPr="00034439">
        <w:t xml:space="preserve">presentations </w:t>
      </w:r>
      <w:r w:rsidR="00E2511C" w:rsidRPr="00034439">
        <w:t xml:space="preserve">and ages </w:t>
      </w:r>
      <w:r w:rsidR="006E3342" w:rsidRPr="00034439">
        <w:t xml:space="preserve">plus the potential geographic diversity </w:t>
      </w:r>
      <w:r w:rsidR="00C31794" w:rsidRPr="00034439">
        <w:t xml:space="preserve">creates </w:t>
      </w:r>
      <w:r w:rsidR="006E3342" w:rsidRPr="00034439">
        <w:t>issues with adequate validati</w:t>
      </w:r>
      <w:r w:rsidR="00C31794" w:rsidRPr="00034439">
        <w:t xml:space="preserve">on of </w:t>
      </w:r>
      <w:r w:rsidR="006E3342" w:rsidRPr="00034439">
        <w:t>any scoring system in all the key target populations</w:t>
      </w:r>
    </w:p>
    <w:p w14:paraId="755791DF" w14:textId="77777777" w:rsidR="00C1435B" w:rsidRPr="00034439" w:rsidRDefault="00C1435B" w:rsidP="0080453E">
      <w:pPr>
        <w:pStyle w:val="desc"/>
        <w:shd w:val="clear" w:color="auto" w:fill="FFFFFF"/>
        <w:spacing w:before="0" w:beforeAutospacing="0" w:after="0" w:afterAutospacing="0" w:line="360" w:lineRule="auto"/>
        <w:ind w:left="720"/>
        <w:rPr>
          <w:rFonts w:ascii="Calibri" w:hAnsi="Calibri"/>
          <w:color w:val="000000"/>
          <w:sz w:val="22"/>
          <w:szCs w:val="22"/>
          <w:lang w:val="en-GB" w:eastAsia="zh-CN"/>
        </w:rPr>
      </w:pPr>
    </w:p>
    <w:p w14:paraId="3B840722" w14:textId="77777777" w:rsidR="00C1435B" w:rsidRPr="00034439" w:rsidRDefault="00C1435B" w:rsidP="0080453E">
      <w:pPr>
        <w:pStyle w:val="desc"/>
        <w:shd w:val="clear" w:color="auto" w:fill="FFFFFF"/>
        <w:spacing w:before="0" w:beforeAutospacing="0" w:after="0" w:afterAutospacing="0" w:line="360" w:lineRule="auto"/>
        <w:ind w:left="720"/>
        <w:rPr>
          <w:rFonts w:ascii="Calibri" w:hAnsi="Calibri" w:cs="Arial"/>
          <w:sz w:val="22"/>
          <w:szCs w:val="22"/>
          <w:lang w:val="en-GB"/>
        </w:rPr>
      </w:pPr>
    </w:p>
    <w:p w14:paraId="53126536" w14:textId="77777777" w:rsidR="00EC7619" w:rsidRPr="00034439" w:rsidRDefault="002E04C1" w:rsidP="0080453E">
      <w:pPr>
        <w:spacing w:after="0" w:line="360" w:lineRule="auto"/>
        <w:jc w:val="both"/>
        <w:rPr>
          <w:rFonts w:eastAsia="Times New Roman" w:cs="Times New Roman"/>
          <w:b/>
          <w:bCs/>
          <w:color w:val="000000"/>
        </w:rPr>
      </w:pPr>
      <w:r w:rsidRPr="00034439">
        <w:rPr>
          <w:b/>
        </w:rPr>
        <w:t>A proposed approach to</w:t>
      </w:r>
      <w:r w:rsidR="0099762C" w:rsidRPr="00034439">
        <w:rPr>
          <w:b/>
        </w:rPr>
        <w:t xml:space="preserve"> develop</w:t>
      </w:r>
      <w:r w:rsidRPr="00034439">
        <w:rPr>
          <w:b/>
        </w:rPr>
        <w:t>ing</w:t>
      </w:r>
      <w:r w:rsidR="0099762C" w:rsidRPr="00034439">
        <w:rPr>
          <w:b/>
        </w:rPr>
        <w:t xml:space="preserve"> a severity scor</w:t>
      </w:r>
      <w:r w:rsidRPr="00034439">
        <w:rPr>
          <w:b/>
        </w:rPr>
        <w:t>ing</w:t>
      </w:r>
      <w:r w:rsidR="0099762C" w:rsidRPr="00034439">
        <w:rPr>
          <w:b/>
        </w:rPr>
        <w:t xml:space="preserve"> system</w:t>
      </w:r>
    </w:p>
    <w:p w14:paraId="03C1BBDC" w14:textId="40130145" w:rsidR="00DD33E0" w:rsidRPr="00034439" w:rsidRDefault="00DD33E0" w:rsidP="0080453E">
      <w:pPr>
        <w:spacing w:after="0" w:line="360" w:lineRule="auto"/>
        <w:jc w:val="both"/>
      </w:pPr>
      <w:r w:rsidRPr="00034439">
        <w:t xml:space="preserve">An ideal scoring system </w:t>
      </w:r>
      <w:r w:rsidR="00AE13FE" w:rsidRPr="00034439">
        <w:t>for the</w:t>
      </w:r>
      <w:r w:rsidRPr="00034439">
        <w:t xml:space="preserve"> severity of allergic reactions </w:t>
      </w:r>
      <w:r w:rsidR="00E4769C" w:rsidRPr="00034439">
        <w:t xml:space="preserve">would </w:t>
      </w:r>
      <w:r w:rsidRPr="00034439">
        <w:t>be based on easily and routinely record</w:t>
      </w:r>
      <w:r w:rsidR="00AE13FE" w:rsidRPr="00034439">
        <w:t>ed</w:t>
      </w:r>
      <w:r w:rsidRPr="00034439">
        <w:t xml:space="preserve"> variables. It should be applicable to all patient population</w:t>
      </w:r>
      <w:r w:rsidR="00C744D0" w:rsidRPr="00034439">
        <w:t>s</w:t>
      </w:r>
      <w:r w:rsidRPr="00034439">
        <w:t xml:space="preserve"> and to any </w:t>
      </w:r>
      <w:r w:rsidR="0041159E" w:rsidRPr="00034439">
        <w:t xml:space="preserve">acute </w:t>
      </w:r>
      <w:r w:rsidRPr="00034439">
        <w:t>allergic reaction</w:t>
      </w:r>
      <w:r w:rsidR="00C37C16" w:rsidRPr="00034439">
        <w:t>,</w:t>
      </w:r>
      <w:r w:rsidRPr="00034439">
        <w:t xml:space="preserve"> regardless of the trigger.  A classification of severity of </w:t>
      </w:r>
      <w:r w:rsidR="0041159E" w:rsidRPr="00034439">
        <w:t xml:space="preserve">acute </w:t>
      </w:r>
      <w:r w:rsidRPr="00034439">
        <w:t xml:space="preserve">allergic reactions </w:t>
      </w:r>
      <w:r w:rsidR="001B1D38" w:rsidRPr="00034439">
        <w:t xml:space="preserve">also </w:t>
      </w:r>
      <w:r w:rsidRPr="00034439">
        <w:t xml:space="preserve">should </w:t>
      </w:r>
      <w:r w:rsidR="001B1D38" w:rsidRPr="00034439">
        <w:t xml:space="preserve">fulfil </w:t>
      </w:r>
      <w:r w:rsidR="00C37C16" w:rsidRPr="00034439">
        <w:t xml:space="preserve">two </w:t>
      </w:r>
      <w:r w:rsidRPr="00034439">
        <w:t>underlying premises</w:t>
      </w:r>
      <w:r w:rsidR="00C37C16" w:rsidRPr="00034439">
        <w:t>: (i)</w:t>
      </w:r>
      <w:r w:rsidRPr="00034439">
        <w:t xml:space="preserve"> </w:t>
      </w:r>
      <w:r w:rsidR="00C37C16" w:rsidRPr="00034439">
        <w:t xml:space="preserve">as the severity increases, the number of involved </w:t>
      </w:r>
      <w:r w:rsidRPr="00034439">
        <w:t xml:space="preserve">organ systems will </w:t>
      </w:r>
      <w:r w:rsidR="00C744D0" w:rsidRPr="00034439">
        <w:t xml:space="preserve">usually </w:t>
      </w:r>
      <w:r w:rsidR="00C37C16" w:rsidRPr="0063473F">
        <w:t>increase</w:t>
      </w:r>
      <w:r w:rsidRPr="0063473F">
        <w:t xml:space="preserve">, and </w:t>
      </w:r>
      <w:r w:rsidR="00C37C16" w:rsidRPr="0063473F">
        <w:t xml:space="preserve">(ii) </w:t>
      </w:r>
      <w:r w:rsidRPr="0063473F">
        <w:t>cardiovascular, neurological, bronchial and laryngeal involvement are potentially life</w:t>
      </w:r>
      <w:r w:rsidR="00E4769C" w:rsidRPr="0063473F">
        <w:t>-</w:t>
      </w:r>
      <w:r w:rsidRPr="0063473F">
        <w:t xml:space="preserve">threatening </w:t>
      </w:r>
      <w:r w:rsidR="00C37C16" w:rsidRPr="0063473F">
        <w:t>and therefore</w:t>
      </w:r>
      <w:r w:rsidR="007A71A0" w:rsidRPr="0063473F">
        <w:t xml:space="preserve"> </w:t>
      </w:r>
      <w:r w:rsidR="0041159E" w:rsidRPr="0063473F">
        <w:t>signify</w:t>
      </w:r>
      <w:r w:rsidR="00C37C16" w:rsidRPr="0063473F">
        <w:t xml:space="preserve"> more severe reactions</w:t>
      </w:r>
      <w:r w:rsidRPr="0063473F">
        <w:t xml:space="preserve">. </w:t>
      </w:r>
      <w:r w:rsidR="00C37C16" w:rsidRPr="0063473F">
        <w:t>Ideally, a severity scoring system would have two format</w:t>
      </w:r>
      <w:r w:rsidR="002E04C1" w:rsidRPr="00761A9C">
        <w:t>s</w:t>
      </w:r>
      <w:r w:rsidR="001B434C" w:rsidRPr="00761A9C">
        <w:t xml:space="preserve"> to deal with the two different </w:t>
      </w:r>
      <w:r w:rsidR="00D86D04" w:rsidRPr="00761A9C">
        <w:t>premises that</w:t>
      </w:r>
      <w:r w:rsidR="001B434C" w:rsidRPr="00761A9C">
        <w:t xml:space="preserve"> both have different </w:t>
      </w:r>
      <w:r w:rsidR="001B434C" w:rsidRPr="00761A9C">
        <w:rPr>
          <w:i/>
        </w:rPr>
        <w:t>raison</w:t>
      </w:r>
      <w:r w:rsidR="00C53D47" w:rsidRPr="00761A9C">
        <w:rPr>
          <w:i/>
        </w:rPr>
        <w:t>s</w:t>
      </w:r>
      <w:r w:rsidR="001B434C" w:rsidRPr="00761A9C">
        <w:rPr>
          <w:i/>
        </w:rPr>
        <w:t xml:space="preserve"> d’</w:t>
      </w:r>
      <w:r w:rsidR="00AF4FED" w:rsidRPr="00761A9C">
        <w:rPr>
          <w:i/>
        </w:rPr>
        <w:t>ê</w:t>
      </w:r>
      <w:r w:rsidR="001B434C" w:rsidRPr="00761A9C">
        <w:rPr>
          <w:i/>
        </w:rPr>
        <w:t>tre</w:t>
      </w:r>
      <w:r w:rsidR="001B434C" w:rsidRPr="00761A9C">
        <w:t xml:space="preserve"> (see above). A</w:t>
      </w:r>
      <w:r w:rsidR="00C37C16" w:rsidRPr="00761A9C">
        <w:t xml:space="preserve"> </w:t>
      </w:r>
      <w:r w:rsidR="00D86D04" w:rsidRPr="00761A9C">
        <w:t xml:space="preserve">continuous </w:t>
      </w:r>
      <w:r w:rsidR="00C37C16" w:rsidRPr="00034439">
        <w:t>numerical system that takes into account the totality of the available clinical data</w:t>
      </w:r>
      <w:r w:rsidR="0041159E" w:rsidRPr="00034439">
        <w:t xml:space="preserve"> and a simpler form with a small number of discrete grades</w:t>
      </w:r>
      <w:r w:rsidR="00C37C16" w:rsidRPr="00034439">
        <w:t xml:space="preserve">. </w:t>
      </w:r>
      <w:r w:rsidR="003D2AA9" w:rsidRPr="00034439">
        <w:t xml:space="preserve">Scores from the two formats should </w:t>
      </w:r>
      <w:r w:rsidR="007A71A0" w:rsidRPr="00034439">
        <w:t xml:space="preserve">each </w:t>
      </w:r>
      <w:r w:rsidR="003D2AA9" w:rsidRPr="00034439">
        <w:t xml:space="preserve">be able </w:t>
      </w:r>
      <w:r w:rsidR="003D2AA9" w:rsidRPr="00034439">
        <w:lastRenderedPageBreak/>
        <w:t xml:space="preserve">to be </w:t>
      </w:r>
      <w:r w:rsidR="00163567">
        <w:t>mapped</w:t>
      </w:r>
      <w:r w:rsidR="00163567" w:rsidRPr="00034439">
        <w:t xml:space="preserve"> </w:t>
      </w:r>
      <w:r w:rsidR="001B1D38" w:rsidRPr="00034439">
        <w:t>on</w:t>
      </w:r>
      <w:r w:rsidR="003D2AA9" w:rsidRPr="00034439">
        <w:t xml:space="preserve">to </w:t>
      </w:r>
      <w:r w:rsidR="001B1D38" w:rsidRPr="00034439">
        <w:t xml:space="preserve">each </w:t>
      </w:r>
      <w:r w:rsidR="003D2AA9" w:rsidRPr="00034439">
        <w:t xml:space="preserve">other. </w:t>
      </w:r>
      <w:r w:rsidR="00542754" w:rsidRPr="00034439">
        <w:t>Additionally</w:t>
      </w:r>
      <w:r w:rsidR="007A71A0" w:rsidRPr="00034439">
        <w:t>,</w:t>
      </w:r>
      <w:r w:rsidR="003D2AA9" w:rsidRPr="00034439">
        <w:t xml:space="preserve"> scores associated with less severe symptoms or signs </w:t>
      </w:r>
      <w:r w:rsidR="00542754" w:rsidRPr="00034439">
        <w:t>should be</w:t>
      </w:r>
      <w:r w:rsidR="003D2AA9" w:rsidRPr="00034439">
        <w:t xml:space="preserve"> lower than scores associated with more severe ones.</w:t>
      </w:r>
    </w:p>
    <w:p w14:paraId="3A50A856" w14:textId="77777777" w:rsidR="0018744C" w:rsidRPr="00034439" w:rsidRDefault="0018744C" w:rsidP="0080453E">
      <w:pPr>
        <w:spacing w:after="0" w:line="360" w:lineRule="auto"/>
        <w:jc w:val="both"/>
      </w:pPr>
    </w:p>
    <w:p w14:paraId="4356B4AC" w14:textId="0FF91DC1" w:rsidR="00DD33E0" w:rsidRPr="00034439" w:rsidRDefault="00533528" w:rsidP="0080453E">
      <w:pPr>
        <w:spacing w:after="0" w:line="360" w:lineRule="auto"/>
        <w:jc w:val="both"/>
      </w:pPr>
      <w:r w:rsidRPr="00034439">
        <w:t>In the simpler format</w:t>
      </w:r>
      <w:r w:rsidR="00542754" w:rsidRPr="00034439">
        <w:t>,</w:t>
      </w:r>
      <w:r w:rsidRPr="00034439">
        <w:t xml:space="preserve"> s</w:t>
      </w:r>
      <w:r w:rsidR="00DD33E0" w:rsidRPr="00034439">
        <w:t xml:space="preserve">everity </w:t>
      </w:r>
      <w:r w:rsidRPr="00034439">
        <w:t>would be</w:t>
      </w:r>
      <w:r w:rsidR="00DD33E0" w:rsidRPr="00034439">
        <w:t xml:space="preserve"> classified into different grades. </w:t>
      </w:r>
      <w:r w:rsidRPr="00034439">
        <w:t>Such a</w:t>
      </w:r>
      <w:r w:rsidR="00D23EE0" w:rsidRPr="00034439">
        <w:t xml:space="preserve">n </w:t>
      </w:r>
      <w:r w:rsidRPr="00034439">
        <w:t xml:space="preserve">approach would be </w:t>
      </w:r>
      <w:r w:rsidR="00DD33E0" w:rsidRPr="00034439">
        <w:t xml:space="preserve">mainly intended for the </w:t>
      </w:r>
      <w:r w:rsidR="00021488" w:rsidRPr="00034439">
        <w:t>more “</w:t>
      </w:r>
      <w:r w:rsidR="00DD33E0" w:rsidRPr="00034439">
        <w:t>routine</w:t>
      </w:r>
      <w:r w:rsidR="00021488" w:rsidRPr="00034439">
        <w:t>”</w:t>
      </w:r>
      <w:r w:rsidR="00DD33E0" w:rsidRPr="00034439">
        <w:t xml:space="preserve"> clinical management of patients, </w:t>
      </w:r>
      <w:r w:rsidR="002E04C1" w:rsidRPr="00034439">
        <w:t xml:space="preserve">for non-allergy specialists and </w:t>
      </w:r>
      <w:r w:rsidR="00A848FE">
        <w:t xml:space="preserve">perhaps </w:t>
      </w:r>
      <w:r w:rsidR="00DD33E0" w:rsidRPr="00034439">
        <w:t>patients</w:t>
      </w:r>
      <w:r w:rsidR="002E04C1" w:rsidRPr="00034439">
        <w:t>.</w:t>
      </w:r>
      <w:r w:rsidRPr="00034439">
        <w:t xml:space="preserve"> I</w:t>
      </w:r>
      <w:r w:rsidR="00DD33E0" w:rsidRPr="00034439">
        <w:t>t is therefore suggested t</w:t>
      </w:r>
      <w:r w:rsidR="002E04C1" w:rsidRPr="00034439">
        <w:t xml:space="preserve">hat </w:t>
      </w:r>
      <w:r w:rsidR="00DD33E0" w:rsidRPr="00034439">
        <w:t xml:space="preserve">only </w:t>
      </w:r>
      <w:r w:rsidR="00163567">
        <w:t>three</w:t>
      </w:r>
      <w:r w:rsidR="00163567" w:rsidRPr="00034439">
        <w:t xml:space="preserve"> </w:t>
      </w:r>
      <w:r w:rsidR="00343FAE" w:rsidRPr="00034439">
        <w:t>grades</w:t>
      </w:r>
      <w:r w:rsidR="00542754" w:rsidRPr="00034439">
        <w:t xml:space="preserve"> </w:t>
      </w:r>
      <w:r w:rsidR="002E04C1" w:rsidRPr="00034439">
        <w:t>are included</w:t>
      </w:r>
      <w:r w:rsidR="00DD33E0" w:rsidRPr="00034439">
        <w:t xml:space="preserve">: </w:t>
      </w:r>
      <w:r w:rsidR="00AC7BD5" w:rsidRPr="00034439">
        <w:t>the mildest reactions (grade 1) would include isolated local reactions of the skin or mucosa at the first contact with the allergen</w:t>
      </w:r>
      <w:r w:rsidR="00DD33E0" w:rsidRPr="00034439">
        <w:t>;</w:t>
      </w:r>
      <w:r w:rsidR="002A7501" w:rsidRPr="00034439">
        <w:t xml:space="preserve"> an intermediate </w:t>
      </w:r>
      <w:r w:rsidR="00343FAE" w:rsidRPr="00034439">
        <w:t>grade</w:t>
      </w:r>
      <w:r w:rsidR="002A7501" w:rsidRPr="00034439">
        <w:t xml:space="preserve"> (</w:t>
      </w:r>
      <w:r w:rsidR="00AC7BD5" w:rsidRPr="00034439">
        <w:t xml:space="preserve">grade </w:t>
      </w:r>
      <w:r w:rsidR="002A7501" w:rsidRPr="00034439">
        <w:t xml:space="preserve">2) would include reactions that involve </w:t>
      </w:r>
      <w:r w:rsidR="00AC7BD5" w:rsidRPr="00034439">
        <w:t xml:space="preserve">more distant </w:t>
      </w:r>
      <w:r w:rsidR="002A7501" w:rsidRPr="00034439">
        <w:t xml:space="preserve">skin, upper airway and/or gastrointestinal tract; </w:t>
      </w:r>
      <w:r w:rsidR="00AC7BD5" w:rsidRPr="00034439">
        <w:t xml:space="preserve">and </w:t>
      </w:r>
      <w:r w:rsidR="002A7501" w:rsidRPr="00034439">
        <w:t xml:space="preserve">then </w:t>
      </w:r>
      <w:r w:rsidR="00AC7BD5" w:rsidRPr="00034439">
        <w:t>the most severe, potentially life-threatening reactions (grade 3) would comprise cardiovascular, neurological, bronchial and/or laryngeal involvement</w:t>
      </w:r>
      <w:r w:rsidR="00AC7BD5" w:rsidRPr="00034439" w:rsidDel="00AC7BD5">
        <w:t xml:space="preserve"> </w:t>
      </w:r>
      <w:r w:rsidR="00DD33E0" w:rsidRPr="00034439">
        <w:rPr>
          <w:color w:val="000000" w:themeColor="text1"/>
        </w:rPr>
        <w:t>(</w:t>
      </w:r>
      <w:r w:rsidR="0080453E" w:rsidRPr="00034439">
        <w:rPr>
          <w:color w:val="000000" w:themeColor="text1"/>
        </w:rPr>
        <w:t>Figure</w:t>
      </w:r>
      <w:r w:rsidR="00DD33E0" w:rsidRPr="00034439">
        <w:rPr>
          <w:color w:val="000000" w:themeColor="text1"/>
        </w:rPr>
        <w:t xml:space="preserve"> </w:t>
      </w:r>
      <w:r w:rsidR="00241594" w:rsidRPr="00034439">
        <w:rPr>
          <w:color w:val="000000" w:themeColor="text1"/>
        </w:rPr>
        <w:t>2</w:t>
      </w:r>
      <w:r w:rsidR="00DD33E0" w:rsidRPr="00034439">
        <w:rPr>
          <w:color w:val="000000" w:themeColor="text1"/>
        </w:rPr>
        <w:t xml:space="preserve">). </w:t>
      </w:r>
      <w:r w:rsidR="00DD33E0" w:rsidRPr="00034439">
        <w:t>Th</w:t>
      </w:r>
      <w:r w:rsidR="002A7501" w:rsidRPr="00034439">
        <w:t>is</w:t>
      </w:r>
      <w:r w:rsidR="00DD33E0" w:rsidRPr="00034439">
        <w:t xml:space="preserve"> 3 </w:t>
      </w:r>
      <w:r w:rsidR="00542754" w:rsidRPr="00034439">
        <w:t xml:space="preserve">level </w:t>
      </w:r>
      <w:r w:rsidR="00DD33E0" w:rsidRPr="00034439">
        <w:t xml:space="preserve">classification </w:t>
      </w:r>
      <w:r w:rsidR="002A7501" w:rsidRPr="00034439">
        <w:t>system could</w:t>
      </w:r>
      <w:r w:rsidR="00D00774" w:rsidRPr="00034439">
        <w:t>, for example,</w:t>
      </w:r>
      <w:r w:rsidR="00DD33E0" w:rsidRPr="00034439">
        <w:t xml:space="preserve"> be graphically represented with a 3 colour code, yellow-orange-red f</w:t>
      </w:r>
      <w:r w:rsidR="002A7501" w:rsidRPr="00034439">
        <w:t>or</w:t>
      </w:r>
      <w:r w:rsidR="00DD33E0" w:rsidRPr="00034439">
        <w:t xml:space="preserve"> </w:t>
      </w:r>
      <w:r w:rsidR="00343FAE" w:rsidRPr="00034439">
        <w:t xml:space="preserve">grades </w:t>
      </w:r>
      <w:r w:rsidR="00DD33E0" w:rsidRPr="00034439">
        <w:t>1 to 3</w:t>
      </w:r>
      <w:r w:rsidR="00AC7BD5" w:rsidRPr="00034439">
        <w:t xml:space="preserve"> </w:t>
      </w:r>
      <w:r w:rsidR="00893156" w:rsidRPr="00034439">
        <w:t xml:space="preserve">(see </w:t>
      </w:r>
      <w:r w:rsidR="0080453E" w:rsidRPr="00034439">
        <w:t xml:space="preserve">Figure </w:t>
      </w:r>
      <w:r w:rsidR="00241594" w:rsidRPr="00034439">
        <w:t>2</w:t>
      </w:r>
      <w:r w:rsidR="00893156" w:rsidRPr="00034439">
        <w:t>)</w:t>
      </w:r>
      <w:r w:rsidR="00DD33E0" w:rsidRPr="00034439">
        <w:t xml:space="preserve"> that w</w:t>
      </w:r>
      <w:r w:rsidR="00AC7BD5" w:rsidRPr="00034439">
        <w:t>ould</w:t>
      </w:r>
      <w:r w:rsidR="00DD33E0" w:rsidRPr="00034439">
        <w:t xml:space="preserve"> facilitate understanding and wide dissemination</w:t>
      </w:r>
      <w:r w:rsidR="00893156" w:rsidRPr="00034439">
        <w:t xml:space="preserve"> in the lay and non-specialist health care communities. </w:t>
      </w:r>
      <w:r w:rsidR="00A848FE">
        <w:t xml:space="preserve">It would also facilitate individualised management with patients with different risk profiles advised to use adrenaline at different grades.  </w:t>
      </w:r>
    </w:p>
    <w:p w14:paraId="705E049F" w14:textId="77777777" w:rsidR="0018744C" w:rsidRPr="00034439" w:rsidRDefault="0018744C" w:rsidP="0080453E">
      <w:pPr>
        <w:spacing w:after="0" w:line="360" w:lineRule="auto"/>
        <w:jc w:val="both"/>
      </w:pPr>
    </w:p>
    <w:p w14:paraId="61E4354E" w14:textId="47A84239" w:rsidR="003276CC" w:rsidRPr="00034439" w:rsidRDefault="009310F8" w:rsidP="0080453E">
      <w:pPr>
        <w:spacing w:after="0" w:line="360" w:lineRule="auto"/>
        <w:jc w:val="both"/>
      </w:pPr>
      <w:r w:rsidRPr="00034439">
        <w:t xml:space="preserve">In </w:t>
      </w:r>
      <w:r w:rsidR="00021488" w:rsidRPr="00034439">
        <w:t>the</w:t>
      </w:r>
      <w:r w:rsidRPr="00034439">
        <w:t xml:space="preserve"> more </w:t>
      </w:r>
      <w:r w:rsidR="00C53D47" w:rsidRPr="00034439">
        <w:t xml:space="preserve">nuanced </w:t>
      </w:r>
      <w:r w:rsidRPr="00034439">
        <w:t xml:space="preserve">numerical format, </w:t>
      </w:r>
      <w:r w:rsidR="00481572" w:rsidRPr="009D795F">
        <w:t xml:space="preserve">the proposed severity scoring </w:t>
      </w:r>
      <w:r w:rsidRPr="005F5E14">
        <w:t xml:space="preserve">system would </w:t>
      </w:r>
      <w:r w:rsidR="00AC7BD5" w:rsidRPr="00034439">
        <w:t xml:space="preserve">facilitate the needs of </w:t>
      </w:r>
      <w:r w:rsidR="00DD33E0" w:rsidRPr="00034439">
        <w:t>research</w:t>
      </w:r>
      <w:r w:rsidR="00AC7BD5" w:rsidRPr="00034439">
        <w:t xml:space="preserve">ers and provide a </w:t>
      </w:r>
      <w:r w:rsidR="00481572" w:rsidRPr="00034439">
        <w:t>detailed description of</w:t>
      </w:r>
      <w:r w:rsidR="00AC7BD5" w:rsidRPr="00034439">
        <w:t xml:space="preserve">, for example, food </w:t>
      </w:r>
      <w:r w:rsidR="00481572" w:rsidRPr="00034439">
        <w:t>challenge outcomes</w:t>
      </w:r>
      <w:r w:rsidR="00DD33E0" w:rsidRPr="00034439">
        <w:t>. If th</w:t>
      </w:r>
      <w:r w:rsidR="002A7501" w:rsidRPr="00034439">
        <w:t>e</w:t>
      </w:r>
      <w:r w:rsidR="00B239EE" w:rsidRPr="00034439">
        <w:t xml:space="preserve"> resulting</w:t>
      </w:r>
      <w:r w:rsidR="00DD33E0" w:rsidRPr="00034439">
        <w:t xml:space="preserve"> score </w:t>
      </w:r>
      <w:r w:rsidR="00B239EE" w:rsidRPr="00034439">
        <w:t>could be interpreted in relation to the</w:t>
      </w:r>
      <w:r w:rsidR="00DD33E0" w:rsidRPr="00034439">
        <w:t xml:space="preserve"> </w:t>
      </w:r>
      <w:r w:rsidR="002A7501" w:rsidRPr="00034439">
        <w:t xml:space="preserve">simpler </w:t>
      </w:r>
      <w:r w:rsidR="00DD33E0" w:rsidRPr="00034439">
        <w:t xml:space="preserve">grading system, </w:t>
      </w:r>
      <w:r w:rsidR="00B239EE" w:rsidRPr="00034439">
        <w:t>flexibility would be enhanced making it useful to a wider number of stakeholders.</w:t>
      </w:r>
      <w:r w:rsidR="00DD33E0" w:rsidRPr="00034439">
        <w:t xml:space="preserve"> The score </w:t>
      </w:r>
      <w:r w:rsidR="002A7501" w:rsidRPr="00761A9C">
        <w:t>would be generated</w:t>
      </w:r>
      <w:r w:rsidR="00DD33E0" w:rsidRPr="00761A9C">
        <w:t xml:space="preserve"> </w:t>
      </w:r>
      <w:r w:rsidR="00A848FE">
        <w:t xml:space="preserve">using </w:t>
      </w:r>
      <w:r w:rsidR="00481572" w:rsidRPr="00034439">
        <w:t>a list of</w:t>
      </w:r>
      <w:r w:rsidR="00DD33E0" w:rsidRPr="00034439">
        <w:t xml:space="preserve"> variables </w:t>
      </w:r>
      <w:r w:rsidR="00481572" w:rsidRPr="00034439">
        <w:t xml:space="preserve">derived by consensus </w:t>
      </w:r>
      <w:r w:rsidR="00DD33E0" w:rsidRPr="00034439">
        <w:t xml:space="preserve">by a </w:t>
      </w:r>
      <w:r w:rsidR="00021488" w:rsidRPr="00034439">
        <w:t xml:space="preserve">multidisciplinary </w:t>
      </w:r>
      <w:r w:rsidR="00DD33E0" w:rsidRPr="00034439">
        <w:t>panel of experts</w:t>
      </w:r>
      <w:r w:rsidR="00481572" w:rsidRPr="00034439">
        <w:t>. A</w:t>
      </w:r>
      <w:r w:rsidR="00DD33E0" w:rsidRPr="00034439">
        <w:t xml:space="preserve"> numerical weighting </w:t>
      </w:r>
      <w:r w:rsidR="00481572" w:rsidRPr="00034439">
        <w:t xml:space="preserve">would be applied </w:t>
      </w:r>
      <w:r w:rsidR="00DD33E0" w:rsidRPr="00034439">
        <w:t>to each variable</w:t>
      </w:r>
      <w:r w:rsidR="00481572" w:rsidRPr="00034439">
        <w:t>; t</w:t>
      </w:r>
      <w:r w:rsidR="00DD33E0" w:rsidRPr="00034439">
        <w:t>h</w:t>
      </w:r>
      <w:r w:rsidR="00481572" w:rsidRPr="00034439">
        <w:t xml:space="preserve">is </w:t>
      </w:r>
      <w:r w:rsidR="00DD33E0" w:rsidRPr="00034439">
        <w:t xml:space="preserve">weighting </w:t>
      </w:r>
      <w:r w:rsidR="00481572" w:rsidRPr="00034439">
        <w:t xml:space="preserve">could be derived </w:t>
      </w:r>
      <w:r w:rsidR="007149C7">
        <w:t xml:space="preserve">in step 1 </w:t>
      </w:r>
      <w:r w:rsidR="00DD33E0" w:rsidRPr="00034439">
        <w:t xml:space="preserve">by </w:t>
      </w:r>
      <w:r w:rsidR="00481572" w:rsidRPr="00034439">
        <w:t xml:space="preserve">expert </w:t>
      </w:r>
      <w:r w:rsidR="00DD33E0" w:rsidRPr="00034439">
        <w:t>consensus (</w:t>
      </w:r>
      <w:r w:rsidR="00481572" w:rsidRPr="00034439">
        <w:t xml:space="preserve">a </w:t>
      </w:r>
      <w:r w:rsidR="00DD33E0" w:rsidRPr="00034439">
        <w:t xml:space="preserve">subjective score) </w:t>
      </w:r>
      <w:r w:rsidR="007149C7">
        <w:t xml:space="preserve">and then in step 2 </w:t>
      </w:r>
      <w:r w:rsidR="00481572" w:rsidRPr="00034439">
        <w:t xml:space="preserve">by utilising </w:t>
      </w:r>
      <w:r w:rsidR="000B1E75" w:rsidRPr="00034439">
        <w:t xml:space="preserve">a </w:t>
      </w:r>
      <w:r w:rsidR="00DD33E0" w:rsidRPr="00034439">
        <w:t xml:space="preserve">large database of clinical data </w:t>
      </w:r>
      <w:r w:rsidR="002A7501" w:rsidRPr="00034439">
        <w:t xml:space="preserve">from </w:t>
      </w:r>
      <w:r w:rsidR="00481572" w:rsidRPr="00034439">
        <w:t xml:space="preserve">patients experiencing </w:t>
      </w:r>
      <w:r w:rsidR="00AC7BD5" w:rsidRPr="00034439">
        <w:t xml:space="preserve">acute </w:t>
      </w:r>
      <w:r w:rsidR="00DD33E0" w:rsidRPr="00034439">
        <w:t>allergic reactions (</w:t>
      </w:r>
      <w:r w:rsidR="00481572" w:rsidRPr="00034439">
        <w:t xml:space="preserve">an </w:t>
      </w:r>
      <w:r w:rsidR="00DD33E0" w:rsidRPr="00034439">
        <w:t xml:space="preserve">objective score). </w:t>
      </w:r>
    </w:p>
    <w:p w14:paraId="0ADDE0C2" w14:textId="77777777" w:rsidR="0018744C" w:rsidRPr="00034439" w:rsidRDefault="0018744C" w:rsidP="0080453E">
      <w:pPr>
        <w:spacing w:after="0" w:line="360" w:lineRule="auto"/>
        <w:jc w:val="both"/>
      </w:pPr>
    </w:p>
    <w:p w14:paraId="7D0429C5" w14:textId="44C51CC6" w:rsidR="0001582E" w:rsidRPr="009D795F" w:rsidRDefault="003276CC" w:rsidP="0080453E">
      <w:pPr>
        <w:spacing w:after="0" w:line="360" w:lineRule="auto"/>
        <w:jc w:val="both"/>
        <w:rPr>
          <w:highlight w:val="yellow"/>
        </w:rPr>
      </w:pPr>
      <w:r w:rsidRPr="00034439">
        <w:t>A data</w:t>
      </w:r>
      <w:r w:rsidR="001754F2" w:rsidRPr="00034439">
        <w:t>-</w:t>
      </w:r>
      <w:r w:rsidRPr="00034439">
        <w:t xml:space="preserve">driven approach to generate an objective score </w:t>
      </w:r>
      <w:r w:rsidR="007149C7">
        <w:t>must be incorporated</w:t>
      </w:r>
      <w:r w:rsidRPr="00034439">
        <w:t xml:space="preserve"> as it is mo</w:t>
      </w:r>
      <w:r w:rsidR="00BF2779" w:rsidRPr="00034439">
        <w:t>re</w:t>
      </w:r>
      <w:r w:rsidRPr="00034439">
        <w:t xml:space="preserve"> likely to </w:t>
      </w:r>
      <w:r w:rsidR="000B1E75" w:rsidRPr="00034439">
        <w:t xml:space="preserve">produce </w:t>
      </w:r>
      <w:r w:rsidRPr="00034439">
        <w:t xml:space="preserve">a valid model. </w:t>
      </w:r>
      <w:r w:rsidR="003C3520" w:rsidRPr="00034439">
        <w:t xml:space="preserve">This lends itself to being </w:t>
      </w:r>
      <w:r w:rsidR="007149C7">
        <w:t xml:space="preserve">integrated </w:t>
      </w:r>
      <w:r w:rsidR="003C3520" w:rsidRPr="00034439">
        <w:t>into, for example, probabilistic models being developed for allergen risk management by the food industry</w:t>
      </w:r>
      <w:r w:rsidR="00241594" w:rsidRPr="00034439">
        <w:t xml:space="preserve"> (</w:t>
      </w:r>
      <w:r w:rsidR="003B7BB8" w:rsidRPr="00034439">
        <w:t>36</w:t>
      </w:r>
      <w:r w:rsidR="00241594" w:rsidRPr="00034439">
        <w:t>)</w:t>
      </w:r>
      <w:r w:rsidR="003C3520" w:rsidRPr="00034439">
        <w:t xml:space="preserve">. </w:t>
      </w:r>
      <w:r w:rsidRPr="00034439">
        <w:t xml:space="preserve">Such an approach would </w:t>
      </w:r>
      <w:r w:rsidR="00163567" w:rsidRPr="00034439">
        <w:t>utili</w:t>
      </w:r>
      <w:r w:rsidR="00163567">
        <w:t>z</w:t>
      </w:r>
      <w:r w:rsidR="00163567" w:rsidRPr="00034439">
        <w:t xml:space="preserve">e </w:t>
      </w:r>
      <w:r w:rsidRPr="00034439">
        <w:t>a s</w:t>
      </w:r>
      <w:r w:rsidR="0001582E" w:rsidRPr="00034439">
        <w:t xml:space="preserve">tatistical </w:t>
      </w:r>
      <w:r w:rsidR="007149C7">
        <w:t>system</w:t>
      </w:r>
      <w:r w:rsidR="007149C7" w:rsidRPr="00034439">
        <w:t xml:space="preserve"> </w:t>
      </w:r>
      <w:r w:rsidR="00DD33E0" w:rsidRPr="00034439">
        <w:t xml:space="preserve">to determine which variables to use and the weighting </w:t>
      </w:r>
      <w:r w:rsidR="007149C7">
        <w:t xml:space="preserve">to be </w:t>
      </w:r>
      <w:r w:rsidR="00DD33E0" w:rsidRPr="00034439">
        <w:t xml:space="preserve">applied to each of them. </w:t>
      </w:r>
      <w:r w:rsidRPr="00034439">
        <w:t>C</w:t>
      </w:r>
      <w:r w:rsidR="00DD33E0" w:rsidRPr="00034439">
        <w:t>onstruct</w:t>
      </w:r>
      <w:r w:rsidRPr="00034439">
        <w:t>ing</w:t>
      </w:r>
      <w:r w:rsidR="00DD33E0" w:rsidRPr="00034439">
        <w:t xml:space="preserve"> a</w:t>
      </w:r>
      <w:r w:rsidR="002A7501" w:rsidRPr="00034439">
        <w:t xml:space="preserve">n objective score would require </w:t>
      </w:r>
      <w:r w:rsidR="00DD33E0" w:rsidRPr="00034439">
        <w:t xml:space="preserve">data </w:t>
      </w:r>
      <w:r w:rsidR="002A7501" w:rsidRPr="00034439">
        <w:t>from</w:t>
      </w:r>
      <w:r w:rsidR="00DD33E0" w:rsidRPr="00034439">
        <w:t xml:space="preserve"> allergic reactions </w:t>
      </w:r>
      <w:r w:rsidR="002A7501" w:rsidRPr="00034439">
        <w:t xml:space="preserve">experienced by </w:t>
      </w:r>
      <w:r w:rsidR="00DD33E0" w:rsidRPr="00034439">
        <w:t xml:space="preserve">a large population of </w:t>
      </w:r>
      <w:r w:rsidR="002A7501" w:rsidRPr="00034439">
        <w:t xml:space="preserve">patients who </w:t>
      </w:r>
      <w:r w:rsidR="00DD33E0" w:rsidRPr="00034439">
        <w:t xml:space="preserve">have undergone a comprehensive clinical evaluation including </w:t>
      </w:r>
      <w:r w:rsidR="002A7501" w:rsidRPr="00034439">
        <w:t xml:space="preserve">all the clinical manifestations of the reactions and </w:t>
      </w:r>
      <w:r w:rsidR="00DD33E0" w:rsidRPr="00034439">
        <w:t>a confirmation of the</w:t>
      </w:r>
      <w:r w:rsidR="002A7501" w:rsidRPr="00034439">
        <w:t>ir</w:t>
      </w:r>
      <w:r w:rsidR="00DD33E0" w:rsidRPr="00034439">
        <w:t xml:space="preserve"> allergy diagnosis by the </w:t>
      </w:r>
      <w:r w:rsidR="00021488" w:rsidRPr="00034439">
        <w:t>criterion</w:t>
      </w:r>
      <w:r w:rsidR="00DD33E0" w:rsidRPr="00034439">
        <w:t xml:space="preserve"> standard diagnostic test. The </w:t>
      </w:r>
      <w:r w:rsidR="002A7501" w:rsidRPr="00034439">
        <w:t xml:space="preserve">challenge is that the severity of each allergic reaction needs to be </w:t>
      </w:r>
      <w:r w:rsidR="0001582E" w:rsidRPr="00034439">
        <w:t xml:space="preserve">quantified to provide an endpoint against which a model can be generated using the available clinical </w:t>
      </w:r>
      <w:r w:rsidR="0001582E" w:rsidRPr="00034439">
        <w:lastRenderedPageBreak/>
        <w:t xml:space="preserve">variables. Such a </w:t>
      </w:r>
      <w:r w:rsidR="00021488" w:rsidRPr="00034439">
        <w:t xml:space="preserve">criterion </w:t>
      </w:r>
      <w:r w:rsidR="0001582E" w:rsidRPr="00034439">
        <w:t>standard measure for se</w:t>
      </w:r>
      <w:r w:rsidR="002E04C1" w:rsidRPr="00034439">
        <w:t>verity does not currently exist;</w:t>
      </w:r>
      <w:r w:rsidR="0001582E" w:rsidRPr="00034439">
        <w:t xml:space="preserve"> the best approximate we have is </w:t>
      </w:r>
      <w:r w:rsidR="00A848FE">
        <w:t xml:space="preserve">likely to be </w:t>
      </w:r>
      <w:r w:rsidR="0001582E" w:rsidRPr="00034439">
        <w:t xml:space="preserve">a consensus severity assessment made by a </w:t>
      </w:r>
      <w:r w:rsidR="00021488" w:rsidRPr="00034439">
        <w:t xml:space="preserve">large multidisciplinary group </w:t>
      </w:r>
      <w:r w:rsidR="0001582E" w:rsidRPr="00034439">
        <w:t xml:space="preserve">of </w:t>
      </w:r>
      <w:r w:rsidR="0001582E" w:rsidRPr="00E81BDC">
        <w:t>experts</w:t>
      </w:r>
      <w:r w:rsidR="0001582E" w:rsidRPr="00034439">
        <w:t xml:space="preserve">. </w:t>
      </w:r>
    </w:p>
    <w:p w14:paraId="23C36CB8" w14:textId="77777777" w:rsidR="00DD33E0" w:rsidRPr="00034439" w:rsidRDefault="00DD33E0" w:rsidP="0080453E">
      <w:pPr>
        <w:spacing w:after="0" w:line="360" w:lineRule="auto"/>
        <w:jc w:val="both"/>
      </w:pPr>
    </w:p>
    <w:p w14:paraId="1B2E95F4" w14:textId="77777777" w:rsidR="003032B1" w:rsidRPr="00034439" w:rsidRDefault="003032B1" w:rsidP="0080453E">
      <w:pPr>
        <w:spacing w:after="0" w:line="360" w:lineRule="auto"/>
        <w:jc w:val="both"/>
      </w:pPr>
    </w:p>
    <w:p w14:paraId="653B7393" w14:textId="77777777" w:rsidR="00DD33E0" w:rsidRPr="00034439" w:rsidRDefault="0080453E" w:rsidP="0080453E">
      <w:pPr>
        <w:spacing w:after="0" w:line="360" w:lineRule="auto"/>
        <w:jc w:val="both"/>
        <w:rPr>
          <w:b/>
          <w:bCs/>
        </w:rPr>
      </w:pPr>
      <w:r w:rsidRPr="00034439">
        <w:rPr>
          <w:b/>
          <w:bCs/>
        </w:rPr>
        <w:t xml:space="preserve">Figure </w:t>
      </w:r>
      <w:r w:rsidR="00241594" w:rsidRPr="00034439">
        <w:rPr>
          <w:b/>
          <w:bCs/>
        </w:rPr>
        <w:t>2</w:t>
      </w:r>
      <w:r w:rsidR="00DD33E0" w:rsidRPr="00034439">
        <w:rPr>
          <w:b/>
          <w:bCs/>
        </w:rPr>
        <w:t xml:space="preserve">. Proposed </w:t>
      </w:r>
      <w:r w:rsidR="003C3520" w:rsidRPr="00034439">
        <w:rPr>
          <w:b/>
          <w:bCs/>
        </w:rPr>
        <w:t xml:space="preserve">simplified </w:t>
      </w:r>
      <w:r w:rsidR="00DD33E0" w:rsidRPr="00034439">
        <w:rPr>
          <w:b/>
          <w:bCs/>
        </w:rPr>
        <w:t xml:space="preserve">classification of </w:t>
      </w:r>
      <w:r w:rsidR="00481572" w:rsidRPr="00034439">
        <w:rPr>
          <w:b/>
          <w:bCs/>
        </w:rPr>
        <w:t xml:space="preserve">severity of </w:t>
      </w:r>
      <w:r w:rsidR="00814C65" w:rsidRPr="00034439">
        <w:rPr>
          <w:b/>
          <w:bCs/>
        </w:rPr>
        <w:t xml:space="preserve">acute </w:t>
      </w:r>
      <w:r w:rsidR="00DD33E0" w:rsidRPr="00034439">
        <w:rPr>
          <w:b/>
          <w:bCs/>
        </w:rPr>
        <w:t>allergic reactions according to the organ system involved</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977"/>
        <w:gridCol w:w="3260"/>
      </w:tblGrid>
      <w:tr w:rsidR="00DD33E0" w:rsidRPr="00034439" w14:paraId="73981C51" w14:textId="77777777" w:rsidTr="0080453E">
        <w:tc>
          <w:tcPr>
            <w:tcW w:w="2835" w:type="dxa"/>
            <w:shd w:val="clear" w:color="auto" w:fill="F2F2F2" w:themeFill="background1" w:themeFillShade="F2"/>
          </w:tcPr>
          <w:p w14:paraId="34CDC89D" w14:textId="77777777" w:rsidR="00DD33E0" w:rsidRPr="00034439" w:rsidRDefault="00DD33E0" w:rsidP="0080453E">
            <w:pPr>
              <w:spacing w:after="0" w:line="360" w:lineRule="auto"/>
              <w:jc w:val="center"/>
              <w:rPr>
                <w:b/>
                <w:sz w:val="32"/>
              </w:rPr>
            </w:pPr>
            <w:r w:rsidRPr="00034439">
              <w:rPr>
                <w:b/>
                <w:sz w:val="32"/>
              </w:rPr>
              <w:t>Local reactions</w:t>
            </w:r>
          </w:p>
        </w:tc>
        <w:tc>
          <w:tcPr>
            <w:tcW w:w="6237" w:type="dxa"/>
            <w:gridSpan w:val="2"/>
            <w:shd w:val="clear" w:color="auto" w:fill="F2F2F2" w:themeFill="background1" w:themeFillShade="F2"/>
          </w:tcPr>
          <w:p w14:paraId="5595EC53" w14:textId="77777777" w:rsidR="00DD33E0" w:rsidRPr="00034439" w:rsidRDefault="00DD33E0" w:rsidP="0080453E">
            <w:pPr>
              <w:spacing w:after="0" w:line="360" w:lineRule="auto"/>
              <w:jc w:val="center"/>
              <w:rPr>
                <w:b/>
                <w:sz w:val="32"/>
              </w:rPr>
            </w:pPr>
            <w:r w:rsidRPr="00034439">
              <w:rPr>
                <w:b/>
                <w:sz w:val="32"/>
              </w:rPr>
              <w:t>Systemic reactions</w:t>
            </w:r>
          </w:p>
        </w:tc>
      </w:tr>
      <w:tr w:rsidR="00DD33E0" w:rsidRPr="00034439" w14:paraId="6FD51906" w14:textId="77777777" w:rsidTr="001F2A8D">
        <w:tc>
          <w:tcPr>
            <w:tcW w:w="2835" w:type="dxa"/>
            <w:shd w:val="clear" w:color="auto" w:fill="FFFF00"/>
          </w:tcPr>
          <w:p w14:paraId="2D834C68" w14:textId="77777777" w:rsidR="00DD33E0" w:rsidRPr="00034439" w:rsidRDefault="00DD33E0" w:rsidP="0080453E">
            <w:pPr>
              <w:spacing w:after="0" w:line="360" w:lineRule="auto"/>
              <w:jc w:val="center"/>
            </w:pPr>
            <w:r w:rsidRPr="00034439">
              <w:t>Grade 1</w:t>
            </w:r>
          </w:p>
        </w:tc>
        <w:tc>
          <w:tcPr>
            <w:tcW w:w="2977" w:type="dxa"/>
            <w:shd w:val="clear" w:color="auto" w:fill="FF9900"/>
          </w:tcPr>
          <w:p w14:paraId="21170AB9" w14:textId="77777777" w:rsidR="00DD33E0" w:rsidRPr="00034439" w:rsidRDefault="00DD33E0" w:rsidP="0080453E">
            <w:pPr>
              <w:spacing w:after="0" w:line="360" w:lineRule="auto"/>
              <w:jc w:val="center"/>
            </w:pPr>
            <w:r w:rsidRPr="00034439">
              <w:t>Grade 2</w:t>
            </w:r>
          </w:p>
        </w:tc>
        <w:tc>
          <w:tcPr>
            <w:tcW w:w="3260" w:type="dxa"/>
            <w:shd w:val="clear" w:color="auto" w:fill="FF0000"/>
          </w:tcPr>
          <w:p w14:paraId="0C0325FD" w14:textId="77777777" w:rsidR="00DD33E0" w:rsidRPr="00034439" w:rsidRDefault="00DD33E0" w:rsidP="0080453E">
            <w:pPr>
              <w:spacing w:after="0" w:line="360" w:lineRule="auto"/>
              <w:jc w:val="center"/>
            </w:pPr>
            <w:r w:rsidRPr="00034439">
              <w:t>Grade 3</w:t>
            </w:r>
          </w:p>
        </w:tc>
      </w:tr>
      <w:tr w:rsidR="00822D47" w:rsidRPr="00034439" w14:paraId="192658EC" w14:textId="77777777" w:rsidTr="001F2A8D">
        <w:tc>
          <w:tcPr>
            <w:tcW w:w="2835" w:type="dxa"/>
            <w:shd w:val="clear" w:color="auto" w:fill="FFFF00"/>
          </w:tcPr>
          <w:p w14:paraId="5D2DEB45" w14:textId="77777777" w:rsidR="00822D47" w:rsidRPr="00034439" w:rsidRDefault="00822D47" w:rsidP="0080453E">
            <w:pPr>
              <w:spacing w:after="0" w:line="360" w:lineRule="auto"/>
            </w:pPr>
            <w:r w:rsidRPr="00034439">
              <w:t>Isolated local allergic reactions of the skin or mucosa at the first contact with the allergen.</w:t>
            </w:r>
          </w:p>
        </w:tc>
        <w:tc>
          <w:tcPr>
            <w:tcW w:w="2977" w:type="dxa"/>
            <w:shd w:val="clear" w:color="auto" w:fill="FF9900"/>
          </w:tcPr>
          <w:p w14:paraId="45A7AC14" w14:textId="77777777" w:rsidR="00822D47" w:rsidRPr="00034439" w:rsidRDefault="00822D47" w:rsidP="0080453E">
            <w:pPr>
              <w:spacing w:after="0" w:line="360" w:lineRule="auto"/>
            </w:pPr>
            <w:r w:rsidRPr="00034439">
              <w:t>Allergic reactions that involve skin away from the site of allergen contact, upper airway and/or gastrointestinal tract.</w:t>
            </w:r>
          </w:p>
        </w:tc>
        <w:tc>
          <w:tcPr>
            <w:tcW w:w="3260" w:type="dxa"/>
            <w:shd w:val="clear" w:color="auto" w:fill="FF0000"/>
          </w:tcPr>
          <w:p w14:paraId="4C815853" w14:textId="77777777" w:rsidR="00822D47" w:rsidRPr="00034439" w:rsidRDefault="00822D47" w:rsidP="0080453E">
            <w:pPr>
              <w:spacing w:after="0" w:line="360" w:lineRule="auto"/>
            </w:pPr>
            <w:r w:rsidRPr="00034439">
              <w:t>Severe, potentially life-threatening allergic reactions involving cardiovascular, neurological, bronchial and/or laryngeal symptoms and signs.</w:t>
            </w:r>
          </w:p>
        </w:tc>
      </w:tr>
    </w:tbl>
    <w:p w14:paraId="6F2E175E" w14:textId="2FA49CF1" w:rsidR="00DD33E0" w:rsidRPr="00034439" w:rsidRDefault="003F5FD8" w:rsidP="0080453E">
      <w:pPr>
        <w:spacing w:after="0" w:line="360" w:lineRule="auto"/>
        <w:jc w:val="both"/>
      </w:pPr>
      <w:r w:rsidRPr="00034439">
        <w:t>P</w:t>
      </w:r>
      <w:r w:rsidR="00423DC1" w:rsidRPr="00034439">
        <w:t>atient</w:t>
      </w:r>
      <w:r w:rsidRPr="00034439">
        <w:t xml:space="preserve">s </w:t>
      </w:r>
      <w:r w:rsidR="001754F2" w:rsidRPr="00034439">
        <w:t>would be</w:t>
      </w:r>
      <w:r w:rsidR="00423DC1" w:rsidRPr="00034439">
        <w:t xml:space="preserve"> assigned </w:t>
      </w:r>
      <w:r w:rsidRPr="00034439">
        <w:t xml:space="preserve">to a </w:t>
      </w:r>
      <w:r w:rsidR="00423DC1" w:rsidRPr="00034439">
        <w:t xml:space="preserve">grade according to their most severe symptom/sign, </w:t>
      </w:r>
      <w:r w:rsidR="00163567" w:rsidRPr="00034439">
        <w:t>e.g.</w:t>
      </w:r>
      <w:r w:rsidR="00423DC1" w:rsidRPr="00034439">
        <w:t xml:space="preserve"> g</w:t>
      </w:r>
      <w:r w:rsidR="00DD33E0" w:rsidRPr="00034439">
        <w:t>rade 2 may include symptoms of grade 1</w:t>
      </w:r>
      <w:r w:rsidR="00423DC1" w:rsidRPr="00034439">
        <w:t xml:space="preserve"> and grade 2</w:t>
      </w:r>
      <w:r w:rsidR="00DD33E0" w:rsidRPr="00034439">
        <w:t>.</w:t>
      </w:r>
      <w:r w:rsidR="00423DC1" w:rsidRPr="00034439">
        <w:t xml:space="preserve"> </w:t>
      </w:r>
      <w:r w:rsidRPr="00034439">
        <w:t xml:space="preserve">These grades </w:t>
      </w:r>
      <w:r w:rsidR="001754F2" w:rsidRPr="00034439">
        <w:t>would</w:t>
      </w:r>
      <w:r w:rsidRPr="00034439">
        <w:t xml:space="preserve"> be generated using </w:t>
      </w:r>
      <w:r w:rsidR="001754F2" w:rsidRPr="00034439">
        <w:t>the</w:t>
      </w:r>
      <w:r w:rsidRPr="00034439">
        <w:t xml:space="preserve"> approach described in the text. </w:t>
      </w:r>
      <w:r w:rsidR="00423DC1" w:rsidRPr="00034439">
        <w:t xml:space="preserve">Grades </w:t>
      </w:r>
      <w:r w:rsidR="007149C7" w:rsidRPr="007149C7">
        <w:t xml:space="preserve">would have the ability to be </w:t>
      </w:r>
      <w:r w:rsidR="001754F2" w:rsidRPr="00034439">
        <w:t>easily translated into clinical</w:t>
      </w:r>
      <w:r w:rsidR="00423DC1" w:rsidRPr="00034439">
        <w:t xml:space="preserve"> management</w:t>
      </w:r>
      <w:r w:rsidR="00241594" w:rsidRPr="00034439">
        <w:t>, although</w:t>
      </w:r>
      <w:r w:rsidRPr="00034439">
        <w:t xml:space="preserve"> individual patient characteristics and circumstances need to be taken into account</w:t>
      </w:r>
      <w:r w:rsidR="00A848FE">
        <w:t xml:space="preserve"> so that different patients might be instructed to use adrenaline at different grades according to their risk profile</w:t>
      </w:r>
      <w:r w:rsidRPr="00034439">
        <w:t xml:space="preserve">. </w:t>
      </w:r>
    </w:p>
    <w:p w14:paraId="564375D8" w14:textId="77777777" w:rsidR="000F38C4" w:rsidRPr="00034439" w:rsidRDefault="000F38C4" w:rsidP="0080453E">
      <w:pPr>
        <w:spacing w:after="0" w:line="360" w:lineRule="auto"/>
        <w:jc w:val="both"/>
        <w:rPr>
          <w:rFonts w:eastAsia="Times New Roman" w:cs="Times New Roman"/>
          <w:b/>
          <w:bCs/>
          <w:color w:val="000000"/>
        </w:rPr>
      </w:pPr>
    </w:p>
    <w:p w14:paraId="750CD3AE" w14:textId="77777777" w:rsidR="00423DC1" w:rsidRPr="00034439" w:rsidRDefault="00423DC1" w:rsidP="0080453E">
      <w:pPr>
        <w:spacing w:after="0" w:line="360" w:lineRule="auto"/>
        <w:jc w:val="both"/>
        <w:rPr>
          <w:rFonts w:eastAsia="Times New Roman" w:cs="Times New Roman"/>
          <w:b/>
          <w:bCs/>
          <w:color w:val="000000"/>
        </w:rPr>
      </w:pPr>
    </w:p>
    <w:p w14:paraId="0821AFDA" w14:textId="5925906F" w:rsidR="00EC7619" w:rsidRPr="00034439" w:rsidRDefault="003121B9" w:rsidP="0080453E">
      <w:pPr>
        <w:spacing w:after="0" w:line="360" w:lineRule="auto"/>
        <w:jc w:val="both"/>
      </w:pPr>
      <w:r w:rsidRPr="00034439">
        <w:rPr>
          <w:rFonts w:eastAsia="Times New Roman" w:cs="Times New Roman"/>
          <w:b/>
          <w:bCs/>
          <w:color w:val="000000"/>
        </w:rPr>
        <w:t xml:space="preserve">How </w:t>
      </w:r>
      <w:r w:rsidR="0099762C" w:rsidRPr="00034439">
        <w:rPr>
          <w:rFonts w:eastAsia="Times New Roman" w:cs="Times New Roman"/>
          <w:b/>
          <w:bCs/>
          <w:color w:val="000000"/>
        </w:rPr>
        <w:t xml:space="preserve">should we </w:t>
      </w:r>
      <w:r w:rsidRPr="00034439">
        <w:rPr>
          <w:rFonts w:eastAsia="Times New Roman" w:cs="Times New Roman"/>
          <w:b/>
          <w:bCs/>
          <w:color w:val="000000"/>
        </w:rPr>
        <w:t xml:space="preserve">validate </w:t>
      </w:r>
      <w:r w:rsidR="0099762C" w:rsidRPr="00034439">
        <w:rPr>
          <w:rFonts w:eastAsia="Times New Roman" w:cs="Times New Roman"/>
          <w:b/>
          <w:bCs/>
          <w:color w:val="000000"/>
        </w:rPr>
        <w:t xml:space="preserve">a new </w:t>
      </w:r>
      <w:r w:rsidR="00163567" w:rsidRPr="00034439">
        <w:rPr>
          <w:rFonts w:eastAsia="Times New Roman" w:cs="Times New Roman"/>
          <w:b/>
          <w:bCs/>
          <w:color w:val="000000"/>
        </w:rPr>
        <w:t>harmoni</w:t>
      </w:r>
      <w:r w:rsidR="00163567">
        <w:rPr>
          <w:rFonts w:eastAsia="Times New Roman" w:cs="Times New Roman"/>
          <w:b/>
          <w:bCs/>
          <w:color w:val="000000"/>
        </w:rPr>
        <w:t>z</w:t>
      </w:r>
      <w:r w:rsidR="00163567" w:rsidRPr="00034439">
        <w:rPr>
          <w:rFonts w:eastAsia="Times New Roman" w:cs="Times New Roman"/>
          <w:b/>
          <w:bCs/>
          <w:color w:val="000000"/>
        </w:rPr>
        <w:t xml:space="preserve">ed </w:t>
      </w:r>
      <w:r w:rsidRPr="00034439">
        <w:rPr>
          <w:rFonts w:eastAsia="Times New Roman" w:cs="Times New Roman"/>
          <w:b/>
          <w:bCs/>
          <w:color w:val="000000"/>
        </w:rPr>
        <w:t>severity scoring system</w:t>
      </w:r>
      <w:r w:rsidR="00AF4FED" w:rsidRPr="00034439">
        <w:rPr>
          <w:rFonts w:eastAsia="Times New Roman" w:cs="Times New Roman"/>
          <w:b/>
          <w:bCs/>
          <w:color w:val="000000"/>
        </w:rPr>
        <w:t>?</w:t>
      </w:r>
    </w:p>
    <w:p w14:paraId="0F63F891" w14:textId="77777777" w:rsidR="00165531" w:rsidRPr="00034439" w:rsidRDefault="001B5358" w:rsidP="0080453E">
      <w:pPr>
        <w:spacing w:after="0" w:line="360" w:lineRule="auto"/>
        <w:jc w:val="both"/>
      </w:pPr>
      <w:r w:rsidRPr="00034439">
        <w:t xml:space="preserve">A new severity scoring system </w:t>
      </w:r>
      <w:r w:rsidR="00924E36" w:rsidRPr="00034439">
        <w:t xml:space="preserve">would </w:t>
      </w:r>
      <w:r w:rsidRPr="00034439">
        <w:t>need to be v</w:t>
      </w:r>
      <w:r w:rsidR="003121B9" w:rsidRPr="00034439">
        <w:t>alidat</w:t>
      </w:r>
      <w:r w:rsidRPr="00034439">
        <w:t>ed to ensure that it provide</w:t>
      </w:r>
      <w:r w:rsidR="00924E36" w:rsidRPr="00034439">
        <w:t>d</w:t>
      </w:r>
      <w:r w:rsidRPr="00034439">
        <w:t xml:space="preserve"> an accurate assessment of severity in different populations at different time points. There are a number of accepted steps in this process.</w:t>
      </w:r>
    </w:p>
    <w:p w14:paraId="09439943" w14:textId="77777777" w:rsidR="0018744C" w:rsidRPr="00034439" w:rsidRDefault="0018744C" w:rsidP="0080453E">
      <w:pPr>
        <w:spacing w:after="0" w:line="360" w:lineRule="auto"/>
        <w:jc w:val="both"/>
        <w:rPr>
          <w:i/>
          <w:iCs/>
        </w:rPr>
      </w:pPr>
    </w:p>
    <w:p w14:paraId="015B56DE" w14:textId="1122C5B9" w:rsidR="003121B9" w:rsidRPr="00034439" w:rsidRDefault="005D573F" w:rsidP="0080453E">
      <w:pPr>
        <w:spacing w:after="0" w:line="360" w:lineRule="auto"/>
        <w:jc w:val="both"/>
      </w:pPr>
      <w:r w:rsidRPr="00034439">
        <w:rPr>
          <w:i/>
          <w:iCs/>
        </w:rPr>
        <w:t xml:space="preserve">Face validity </w:t>
      </w:r>
      <w:r w:rsidR="003121B9" w:rsidRPr="00034439">
        <w:t xml:space="preserve">Face validation of </w:t>
      </w:r>
      <w:r w:rsidR="00924E36" w:rsidRPr="00034439">
        <w:t xml:space="preserve">an acute </w:t>
      </w:r>
      <w:r w:rsidR="003121B9" w:rsidRPr="00034439">
        <w:t>allerg</w:t>
      </w:r>
      <w:r w:rsidR="00924E36" w:rsidRPr="00034439">
        <w:t>ic</w:t>
      </w:r>
      <w:r w:rsidR="003121B9" w:rsidRPr="00034439">
        <w:t xml:space="preserve"> reaction severity score</w:t>
      </w:r>
      <w:r w:rsidR="001B5358" w:rsidRPr="00034439">
        <w:t xml:space="preserve"> i</w:t>
      </w:r>
      <w:r w:rsidR="00924E36" w:rsidRPr="00034439">
        <w:t>s</w:t>
      </w:r>
      <w:r w:rsidR="001B5358" w:rsidRPr="00034439">
        <w:t xml:space="preserve"> a key step as it assesses whether the intended users are </w:t>
      </w:r>
      <w:r w:rsidR="00792557" w:rsidRPr="00034439">
        <w:t xml:space="preserve">satisfied with and understand </w:t>
      </w:r>
      <w:r w:rsidR="001B5358" w:rsidRPr="00034439">
        <w:t xml:space="preserve">the system. </w:t>
      </w:r>
      <w:r w:rsidRPr="00034439">
        <w:t xml:space="preserve">Some preliminary work would be required to make a case that the existing multiple systems should be replaced by one harmonised system. </w:t>
      </w:r>
      <w:r w:rsidR="00165531" w:rsidRPr="00034439">
        <w:t xml:space="preserve">It must be made very clear what the new measurement means in </w:t>
      </w:r>
      <w:r w:rsidR="009B24E2" w:rsidRPr="00034439">
        <w:t xml:space="preserve">terms of </w:t>
      </w:r>
      <w:r w:rsidR="00165531" w:rsidRPr="00034439">
        <w:t xml:space="preserve">benefits for </w:t>
      </w:r>
      <w:r w:rsidR="001754F2" w:rsidRPr="00034439">
        <w:t xml:space="preserve">the diverse </w:t>
      </w:r>
      <w:r w:rsidR="00165531" w:rsidRPr="00034439">
        <w:t xml:space="preserve">stakeholders and what type of data and results the tool can - and cannot - provide. </w:t>
      </w:r>
      <w:r w:rsidR="009B24E2" w:rsidRPr="00034439">
        <w:t>For example, a</w:t>
      </w:r>
      <w:r w:rsidR="006B5D3D" w:rsidRPr="00034439">
        <w:t xml:space="preserve">n international panel of </w:t>
      </w:r>
      <w:r w:rsidR="00163567">
        <w:t xml:space="preserve">diverse </w:t>
      </w:r>
      <w:r w:rsidR="006B5D3D" w:rsidRPr="00034439">
        <w:t>s</w:t>
      </w:r>
      <w:r w:rsidR="003121B9" w:rsidRPr="00034439">
        <w:t xml:space="preserve">takeholders </w:t>
      </w:r>
      <w:r w:rsidR="009B24E2" w:rsidRPr="00034439">
        <w:t>could</w:t>
      </w:r>
      <w:r w:rsidR="001B5358" w:rsidRPr="00034439">
        <w:t xml:space="preserve"> be asked to review the </w:t>
      </w:r>
      <w:r w:rsidR="006B5D3D" w:rsidRPr="00034439">
        <w:lastRenderedPageBreak/>
        <w:t xml:space="preserve">score </w:t>
      </w:r>
      <w:r w:rsidR="001B5358" w:rsidRPr="00034439">
        <w:t xml:space="preserve">to assess whether or not they feel that it is </w:t>
      </w:r>
      <w:r w:rsidR="003121B9" w:rsidRPr="00034439">
        <w:t>appropriate</w:t>
      </w:r>
      <w:r w:rsidR="001B5358" w:rsidRPr="00034439">
        <w:t xml:space="preserve"> for their needs. </w:t>
      </w:r>
      <w:r w:rsidR="003276CC" w:rsidRPr="00034439">
        <w:t xml:space="preserve">Some refinement will probably be required to ensure that the approach is optimised </w:t>
      </w:r>
      <w:r w:rsidR="007149C7">
        <w:t>for</w:t>
      </w:r>
      <w:r w:rsidR="003276CC" w:rsidRPr="00034439">
        <w:t xml:space="preserve"> use in </w:t>
      </w:r>
      <w:r w:rsidR="006B5D3D" w:rsidRPr="00034439">
        <w:t xml:space="preserve">different </w:t>
      </w:r>
      <w:r w:rsidR="003276CC" w:rsidRPr="00034439">
        <w:t xml:space="preserve">clinical setting. </w:t>
      </w:r>
    </w:p>
    <w:p w14:paraId="2820269E" w14:textId="77777777" w:rsidR="00924E36" w:rsidRPr="00034439" w:rsidRDefault="00924E36" w:rsidP="0080453E">
      <w:pPr>
        <w:spacing w:after="0" w:line="360" w:lineRule="auto"/>
        <w:jc w:val="both"/>
        <w:rPr>
          <w:i/>
          <w:iCs/>
        </w:rPr>
      </w:pPr>
    </w:p>
    <w:p w14:paraId="74763611" w14:textId="14904942" w:rsidR="009B24E2" w:rsidRPr="00046293" w:rsidRDefault="00163567" w:rsidP="0080453E">
      <w:pPr>
        <w:spacing w:after="0" w:line="360" w:lineRule="auto"/>
        <w:jc w:val="both"/>
      </w:pPr>
      <w:r>
        <w:rPr>
          <w:i/>
          <w:iCs/>
        </w:rPr>
        <w:t>External v</w:t>
      </w:r>
      <w:r w:rsidR="005D573F" w:rsidRPr="00034439">
        <w:rPr>
          <w:i/>
          <w:iCs/>
        </w:rPr>
        <w:t>alidation</w:t>
      </w:r>
      <w:r w:rsidR="00F77F71" w:rsidRPr="00034439">
        <w:rPr>
          <w:i/>
          <w:iCs/>
        </w:rPr>
        <w:t xml:space="preserve"> </w:t>
      </w:r>
      <w:r w:rsidR="005D573F" w:rsidRPr="00034439">
        <w:t xml:space="preserve">The refined new severity scoring system would </w:t>
      </w:r>
      <w:r w:rsidR="00A848FE">
        <w:t xml:space="preserve">ideally </w:t>
      </w:r>
      <w:r w:rsidR="005D573F" w:rsidRPr="00034439">
        <w:t xml:space="preserve">then need to be validated statistically using external data. </w:t>
      </w:r>
      <w:r w:rsidR="002A1752" w:rsidRPr="00034439">
        <w:t xml:space="preserve">Given the aim of developing one </w:t>
      </w:r>
      <w:r w:rsidRPr="00034439">
        <w:t>harmoni</w:t>
      </w:r>
      <w:r>
        <w:t>z</w:t>
      </w:r>
      <w:r w:rsidRPr="00034439">
        <w:t xml:space="preserve">ed </w:t>
      </w:r>
      <w:r w:rsidR="002A1752" w:rsidRPr="00034439">
        <w:t xml:space="preserve">score, this would </w:t>
      </w:r>
      <w:r w:rsidR="002A5758" w:rsidRPr="00034439">
        <w:t>require</w:t>
      </w:r>
      <w:r w:rsidR="002A1752" w:rsidRPr="00034439">
        <w:t xml:space="preserve"> extensive </w:t>
      </w:r>
      <w:r w:rsidR="002A5758" w:rsidRPr="00034439">
        <w:t xml:space="preserve">research </w:t>
      </w:r>
      <w:r w:rsidR="002A1752" w:rsidRPr="00034439">
        <w:t xml:space="preserve">and cover a number of different </w:t>
      </w:r>
      <w:r w:rsidR="009B24E2" w:rsidRPr="00034439">
        <w:t>areas</w:t>
      </w:r>
      <w:r w:rsidR="002A5758" w:rsidRPr="00034439">
        <w:t xml:space="preserve">, such as </w:t>
      </w:r>
      <w:r w:rsidR="00924E36" w:rsidRPr="00034439">
        <w:t xml:space="preserve">assessing it against the use of adrenaline </w:t>
      </w:r>
      <w:r w:rsidR="00924E36" w:rsidRPr="00046293">
        <w:t>and</w:t>
      </w:r>
      <w:r w:rsidR="00924E36" w:rsidRPr="00034439">
        <w:t xml:space="preserve"> high dependency care admission</w:t>
      </w:r>
      <w:r w:rsidR="002A1752" w:rsidRPr="009D795F">
        <w:t>.</w:t>
      </w:r>
      <w:r w:rsidR="00621B5B" w:rsidRPr="005F5E14">
        <w:t xml:space="preserve"> </w:t>
      </w:r>
      <w:r w:rsidR="00A848FE">
        <w:t xml:space="preserve">This likely to prove challenging as </w:t>
      </w:r>
      <w:r w:rsidR="0034647E">
        <w:t xml:space="preserve">both adrenaline use and admission vary between healthcare systems and physicians. </w:t>
      </w:r>
      <w:r w:rsidR="00621B5B" w:rsidRPr="005F5E14">
        <w:t xml:space="preserve">Criteria for validity </w:t>
      </w:r>
      <w:r w:rsidR="00993A6B" w:rsidRPr="00075E54">
        <w:t xml:space="preserve">would </w:t>
      </w:r>
      <w:r w:rsidR="00621B5B" w:rsidRPr="00E81BDC">
        <w:t xml:space="preserve">need to be set in advance. </w:t>
      </w:r>
    </w:p>
    <w:p w14:paraId="76051821" w14:textId="77777777" w:rsidR="00924E36" w:rsidRPr="00034439" w:rsidRDefault="00924E36" w:rsidP="0080453E">
      <w:pPr>
        <w:spacing w:after="0" w:line="360" w:lineRule="auto"/>
        <w:jc w:val="both"/>
        <w:rPr>
          <w:i/>
        </w:rPr>
      </w:pPr>
    </w:p>
    <w:p w14:paraId="3C7BAC70" w14:textId="6E1C691F" w:rsidR="005D573F" w:rsidRPr="00034439" w:rsidRDefault="009B24E2" w:rsidP="0080453E">
      <w:pPr>
        <w:spacing w:after="0" w:line="360" w:lineRule="auto"/>
        <w:jc w:val="both"/>
      </w:pPr>
      <w:r w:rsidRPr="00034439">
        <w:rPr>
          <w:i/>
        </w:rPr>
        <w:t>Cross-sectional</w:t>
      </w:r>
      <w:r w:rsidRPr="00034439">
        <w:t xml:space="preserve"> validity </w:t>
      </w:r>
      <w:r w:rsidR="006B5D3D" w:rsidRPr="00034439">
        <w:t xml:space="preserve">would </w:t>
      </w:r>
      <w:r w:rsidR="00074613" w:rsidRPr="00034439">
        <w:t xml:space="preserve">focus </w:t>
      </w:r>
      <w:r w:rsidR="006B5D3D" w:rsidRPr="00034439">
        <w:t xml:space="preserve">on the ability of the scoring system to differentiate between those experiencing outcomes </w:t>
      </w:r>
      <w:r w:rsidRPr="00034439">
        <w:t xml:space="preserve">of varying severities </w:t>
      </w:r>
      <w:r w:rsidR="006B5D3D" w:rsidRPr="00034439">
        <w:t xml:space="preserve">and also in comparing predicted with actual observed outcomes using standard parameters developed to assess the validity of models.  </w:t>
      </w:r>
      <w:r w:rsidR="00924E36" w:rsidRPr="00034439">
        <w:t xml:space="preserve">An ideal </w:t>
      </w:r>
      <w:r w:rsidR="002A1752" w:rsidRPr="00034439">
        <w:t xml:space="preserve">score would need to function in different </w:t>
      </w:r>
      <w:r w:rsidRPr="00034439">
        <w:t xml:space="preserve">health </w:t>
      </w:r>
      <w:r w:rsidR="002A1752" w:rsidRPr="00034439">
        <w:t>settings</w:t>
      </w:r>
      <w:r w:rsidR="006976E7" w:rsidRPr="00034439">
        <w:t xml:space="preserve"> worldwide</w:t>
      </w:r>
      <w:r w:rsidRPr="00034439">
        <w:t xml:space="preserve">, </w:t>
      </w:r>
      <w:r w:rsidR="002A1752" w:rsidRPr="00034439">
        <w:t>w</w:t>
      </w:r>
      <w:r w:rsidR="006976E7" w:rsidRPr="00034439">
        <w:t>ith different triggers</w:t>
      </w:r>
      <w:r w:rsidRPr="00034439">
        <w:t xml:space="preserve">, </w:t>
      </w:r>
      <w:r w:rsidR="007149C7" w:rsidRPr="007149C7">
        <w:t xml:space="preserve">dosages and threshold values and </w:t>
      </w:r>
      <w:r w:rsidRPr="00034439">
        <w:t>in different age groups and languages</w:t>
      </w:r>
      <w:r w:rsidR="002A1752" w:rsidRPr="00034439">
        <w:t xml:space="preserve">. </w:t>
      </w:r>
    </w:p>
    <w:p w14:paraId="6F9327AA" w14:textId="77777777" w:rsidR="0018744C" w:rsidRPr="00034439" w:rsidRDefault="0018744C" w:rsidP="0080453E">
      <w:pPr>
        <w:spacing w:after="0" w:line="360" w:lineRule="auto"/>
        <w:jc w:val="both"/>
      </w:pPr>
    </w:p>
    <w:p w14:paraId="7B65A2EF" w14:textId="2B3959DD" w:rsidR="00924E36" w:rsidRPr="00034439" w:rsidRDefault="00445EE8" w:rsidP="0080453E">
      <w:pPr>
        <w:spacing w:after="0" w:line="360" w:lineRule="auto"/>
        <w:jc w:val="both"/>
      </w:pPr>
      <w:r w:rsidRPr="00034439">
        <w:rPr>
          <w:i/>
        </w:rPr>
        <w:t xml:space="preserve">Longitudinal  validity </w:t>
      </w:r>
      <w:r w:rsidR="002A1752" w:rsidRPr="005F5E14">
        <w:t>is also i</w:t>
      </w:r>
      <w:r w:rsidR="002A1752" w:rsidRPr="00075E54">
        <w:t>mportant</w:t>
      </w:r>
      <w:r w:rsidRPr="00E81BDC">
        <w:t>.</w:t>
      </w:r>
      <w:r w:rsidR="00993A6B" w:rsidRPr="00046293">
        <w:t xml:space="preserve"> For example</w:t>
      </w:r>
      <w:r w:rsidR="002A1752" w:rsidRPr="00046293">
        <w:t>, patients who have been treated with an</w:t>
      </w:r>
      <w:r w:rsidR="00993A6B" w:rsidRPr="00046293">
        <w:t xml:space="preserve"> effective</w:t>
      </w:r>
      <w:r w:rsidR="002A1752" w:rsidRPr="00046293">
        <w:t xml:space="preserve"> immunomodulation therapy </w:t>
      </w:r>
      <w:r w:rsidR="0070350F" w:rsidRPr="00046293">
        <w:t xml:space="preserve">might </w:t>
      </w:r>
      <w:r w:rsidR="002A1752" w:rsidRPr="00046293">
        <w:t>expect to have less severe reactions after treatment</w:t>
      </w:r>
      <w:r w:rsidR="0070350F" w:rsidRPr="00046293">
        <w:t xml:space="preserve"> although this might be complicated if </w:t>
      </w:r>
      <w:r w:rsidRPr="00046293">
        <w:t xml:space="preserve">their </w:t>
      </w:r>
      <w:r w:rsidR="0070350F" w:rsidRPr="00046293">
        <w:t>threshold</w:t>
      </w:r>
      <w:r w:rsidRPr="00046293">
        <w:t xml:space="preserve">/eliciting dose </w:t>
      </w:r>
      <w:r w:rsidR="0070350F" w:rsidRPr="00046293">
        <w:t>also changes (</w:t>
      </w:r>
      <w:r w:rsidR="003B7BB8" w:rsidRPr="00046293">
        <w:t>2</w:t>
      </w:r>
      <w:r w:rsidR="0070350F" w:rsidRPr="00046293">
        <w:t>)</w:t>
      </w:r>
      <w:r w:rsidR="002A1752" w:rsidRPr="00046293">
        <w:t>.</w:t>
      </w:r>
      <w:r w:rsidR="0070350F" w:rsidRPr="00046293">
        <w:t xml:space="preserve"> In this respect, the minima</w:t>
      </w:r>
      <w:r w:rsidR="009736D5" w:rsidRPr="00046293">
        <w:t>l clinically</w:t>
      </w:r>
      <w:r w:rsidR="0070350F" w:rsidRPr="00046293">
        <w:t xml:space="preserve"> important difference</w:t>
      </w:r>
      <w:r w:rsidR="009736D5" w:rsidRPr="00034439">
        <w:t xml:space="preserve"> (MCID)</w:t>
      </w:r>
      <w:r w:rsidR="0070350F" w:rsidRPr="00034439">
        <w:t xml:space="preserve"> (</w:t>
      </w:r>
      <w:r w:rsidR="00076CBC" w:rsidRPr="00034439">
        <w:t>i.e.</w:t>
      </w:r>
      <w:r w:rsidR="0070350F" w:rsidRPr="00034439">
        <w:t xml:space="preserve"> smallest difference in </w:t>
      </w:r>
      <w:r w:rsidR="005309B1" w:rsidRPr="00034439">
        <w:t xml:space="preserve">the </w:t>
      </w:r>
      <w:r w:rsidR="0070350F" w:rsidRPr="00034439">
        <w:t xml:space="preserve">score </w:t>
      </w:r>
      <w:r w:rsidR="005309B1" w:rsidRPr="00034439">
        <w:t xml:space="preserve">associated with the severity of acute allergic reactions </w:t>
      </w:r>
      <w:r w:rsidR="0070350F" w:rsidRPr="00034439">
        <w:t xml:space="preserve">that can be differentiated by an expert allergist) needs to be calculated to assess the resolution of the </w:t>
      </w:r>
      <w:r w:rsidR="00DC6CDA" w:rsidRPr="00034439">
        <w:t xml:space="preserve">scoring </w:t>
      </w:r>
      <w:r w:rsidR="0070350F" w:rsidRPr="00034439">
        <w:t xml:space="preserve">tool. </w:t>
      </w:r>
      <w:r w:rsidR="002A1752" w:rsidRPr="00034439">
        <w:t xml:space="preserve"> </w:t>
      </w:r>
      <w:r w:rsidR="009736D5" w:rsidRPr="00034439">
        <w:t xml:space="preserve">For clinicians and researchers alike, it is critical that the MCID score is a valid and stable measure. A low MCID value may result in overestimating the positive effects of treatment, whereas a high MCID value may incorrectly classify patients as failing to respond to treatment when in fact the treatment was beneficial. </w:t>
      </w:r>
    </w:p>
    <w:p w14:paraId="0528A689" w14:textId="77777777" w:rsidR="0018744C" w:rsidRPr="00034439" w:rsidRDefault="0018744C" w:rsidP="0080453E">
      <w:pPr>
        <w:spacing w:after="0" w:line="360" w:lineRule="auto"/>
        <w:jc w:val="both"/>
      </w:pPr>
    </w:p>
    <w:p w14:paraId="0389850E" w14:textId="1A94D35C" w:rsidR="002A1752" w:rsidRPr="00034439" w:rsidRDefault="002A1752" w:rsidP="0080453E">
      <w:pPr>
        <w:spacing w:after="0" w:line="360" w:lineRule="auto"/>
        <w:jc w:val="both"/>
      </w:pPr>
      <w:r w:rsidRPr="00034439">
        <w:t>This validation work would require a large number of clinical databa</w:t>
      </w:r>
      <w:r w:rsidR="00993A6B" w:rsidRPr="00034439">
        <w:t>ses where the scoring system could</w:t>
      </w:r>
      <w:r w:rsidRPr="00034439">
        <w:t xml:space="preserve"> be assessed against the best available assessment of severity. </w:t>
      </w:r>
      <w:r w:rsidR="00DC292E" w:rsidRPr="00034439">
        <w:t>Many such</w:t>
      </w:r>
      <w:r w:rsidRPr="00034439">
        <w:t xml:space="preserve"> data sets already exist. Examples </w:t>
      </w:r>
      <w:r w:rsidR="00993A6B" w:rsidRPr="00034439">
        <w:t xml:space="preserve">are </w:t>
      </w:r>
      <w:r w:rsidRPr="00034439">
        <w:t>anaphylaxis registers includ</w:t>
      </w:r>
      <w:r w:rsidR="00993A6B" w:rsidRPr="00034439">
        <w:t>ing</w:t>
      </w:r>
      <w:r w:rsidRPr="00034439">
        <w:t xml:space="preserve"> the UK</w:t>
      </w:r>
      <w:r w:rsidR="000D4D9F" w:rsidRPr="00034439">
        <w:t xml:space="preserve"> registry </w:t>
      </w:r>
      <w:r w:rsidRPr="00034439">
        <w:t>(</w:t>
      </w:r>
      <w:r w:rsidR="003B7BB8" w:rsidRPr="00034439">
        <w:t>37</w:t>
      </w:r>
      <w:r w:rsidRPr="00034439">
        <w:t xml:space="preserve">), </w:t>
      </w:r>
      <w:r w:rsidR="004A4B3D" w:rsidRPr="00034439">
        <w:t xml:space="preserve">central European </w:t>
      </w:r>
      <w:r w:rsidR="00C24BF4" w:rsidRPr="00034439">
        <w:t>NORA</w:t>
      </w:r>
      <w:r w:rsidR="000D4D9F" w:rsidRPr="00034439">
        <w:t xml:space="preserve"> registry</w:t>
      </w:r>
      <w:r w:rsidR="00C24BF4" w:rsidRPr="00034439">
        <w:t xml:space="preserve"> (</w:t>
      </w:r>
      <w:r w:rsidR="003B7BB8" w:rsidRPr="00034439">
        <w:t>38</w:t>
      </w:r>
      <w:r w:rsidR="00C24BF4" w:rsidRPr="00034439">
        <w:t>)</w:t>
      </w:r>
      <w:r w:rsidR="004A4B3D" w:rsidRPr="00034439">
        <w:t xml:space="preserve"> and</w:t>
      </w:r>
      <w:r w:rsidR="00C24BF4" w:rsidRPr="00034439">
        <w:t xml:space="preserve"> </w:t>
      </w:r>
      <w:r w:rsidRPr="00034439">
        <w:t xml:space="preserve">the </w:t>
      </w:r>
      <w:r w:rsidR="004A4B3D" w:rsidRPr="00034439">
        <w:t xml:space="preserve">North American </w:t>
      </w:r>
      <w:r w:rsidRPr="00034439">
        <w:t>FAAN registry (</w:t>
      </w:r>
      <w:r w:rsidR="003B7BB8" w:rsidRPr="00034439">
        <w:t>39</w:t>
      </w:r>
      <w:r w:rsidR="000D4D9F" w:rsidRPr="00034439">
        <w:t>)</w:t>
      </w:r>
      <w:r w:rsidR="004A4B3D" w:rsidRPr="00034439">
        <w:t>:</w:t>
      </w:r>
      <w:r w:rsidRPr="00034439">
        <w:t xml:space="preserve"> </w:t>
      </w:r>
      <w:r w:rsidR="00993A6B" w:rsidRPr="00034439">
        <w:t xml:space="preserve"> ho</w:t>
      </w:r>
      <w:r w:rsidRPr="00034439">
        <w:t>spital admission data would be available from the UK</w:t>
      </w:r>
      <w:r w:rsidR="004A4B3D" w:rsidRPr="00034439">
        <w:t xml:space="preserve"> </w:t>
      </w:r>
      <w:r w:rsidRPr="00034439">
        <w:t>Imperial PICAnet</w:t>
      </w:r>
      <w:r w:rsidR="004A4B3D" w:rsidRPr="00034439">
        <w:t xml:space="preserve"> </w:t>
      </w:r>
      <w:r w:rsidR="0070350F" w:rsidRPr="00034439">
        <w:t>(</w:t>
      </w:r>
      <w:r w:rsidR="003B7BB8" w:rsidRPr="00034439">
        <w:t>40</w:t>
      </w:r>
      <w:r w:rsidR="0070350F" w:rsidRPr="00034439">
        <w:t>)</w:t>
      </w:r>
      <w:r w:rsidR="00FD677C" w:rsidRPr="00034439" w:rsidDel="00FD677C">
        <w:t xml:space="preserve"> </w:t>
      </w:r>
      <w:r w:rsidRPr="00034439">
        <w:t xml:space="preserve">and </w:t>
      </w:r>
      <w:r w:rsidR="00DC6CDA" w:rsidRPr="00034439">
        <w:t xml:space="preserve">the </w:t>
      </w:r>
      <w:r w:rsidRPr="00034439">
        <w:t xml:space="preserve">Malaga </w:t>
      </w:r>
      <w:r w:rsidR="00FD677C" w:rsidRPr="00034439">
        <w:t xml:space="preserve">database </w:t>
      </w:r>
      <w:r w:rsidRPr="00034439">
        <w:t>(</w:t>
      </w:r>
      <w:r w:rsidR="003B7BB8" w:rsidRPr="00034439">
        <w:t>41</w:t>
      </w:r>
      <w:r w:rsidRPr="00034439">
        <w:t xml:space="preserve">). </w:t>
      </w:r>
      <w:r w:rsidR="00DC6CDA" w:rsidRPr="00034439">
        <w:t xml:space="preserve">All of these databases </w:t>
      </w:r>
      <w:r w:rsidRPr="00034439">
        <w:t xml:space="preserve">would need to be carefully assessed </w:t>
      </w:r>
      <w:r w:rsidR="007149C7">
        <w:t xml:space="preserve">in terms of </w:t>
      </w:r>
      <w:r w:rsidRPr="00034439">
        <w:t xml:space="preserve">their strengths and limitations, </w:t>
      </w:r>
      <w:r w:rsidR="007149C7" w:rsidRPr="007149C7">
        <w:t xml:space="preserve">with a combination of datasets providing the best option.  </w:t>
      </w:r>
    </w:p>
    <w:p w14:paraId="4DC20ECD" w14:textId="77777777" w:rsidR="003121B9" w:rsidRPr="00034439" w:rsidRDefault="003121B9" w:rsidP="0080453E">
      <w:pPr>
        <w:pStyle w:val="ColorfulList-Accent11"/>
        <w:spacing w:after="0" w:line="360" w:lineRule="auto"/>
        <w:ind w:left="2160"/>
        <w:contextualSpacing w:val="0"/>
        <w:jc w:val="both"/>
      </w:pPr>
    </w:p>
    <w:p w14:paraId="28BEA877" w14:textId="77777777" w:rsidR="007E7E3D" w:rsidRPr="00034439" w:rsidRDefault="007E7E3D" w:rsidP="0080453E">
      <w:pPr>
        <w:pStyle w:val="ColorfulList-Accent11"/>
        <w:spacing w:after="0" w:line="360" w:lineRule="auto"/>
        <w:ind w:left="2160"/>
        <w:contextualSpacing w:val="0"/>
        <w:jc w:val="both"/>
      </w:pPr>
    </w:p>
    <w:p w14:paraId="3551967A" w14:textId="77777777" w:rsidR="002E6402" w:rsidRPr="00034439" w:rsidRDefault="002E6402" w:rsidP="0080453E">
      <w:pPr>
        <w:spacing w:after="0" w:line="360" w:lineRule="auto"/>
        <w:rPr>
          <w:b/>
          <w:bCs/>
        </w:rPr>
      </w:pPr>
    </w:p>
    <w:p w14:paraId="36EBF85E" w14:textId="77777777" w:rsidR="003121B9" w:rsidRPr="00034439" w:rsidRDefault="003121B9" w:rsidP="0080453E">
      <w:pPr>
        <w:spacing w:after="0" w:line="360" w:lineRule="auto"/>
        <w:jc w:val="both"/>
        <w:rPr>
          <w:b/>
          <w:bCs/>
        </w:rPr>
      </w:pPr>
      <w:r w:rsidRPr="00034439">
        <w:rPr>
          <w:b/>
          <w:bCs/>
        </w:rPr>
        <w:t>Impact assessment</w:t>
      </w:r>
      <w:r w:rsidR="00920313" w:rsidRPr="00034439">
        <w:rPr>
          <w:b/>
          <w:bCs/>
        </w:rPr>
        <w:t xml:space="preserve"> </w:t>
      </w:r>
    </w:p>
    <w:p w14:paraId="15A405D1" w14:textId="2C1CEA2C" w:rsidR="006B5D3D" w:rsidRPr="00034439" w:rsidRDefault="006B5D3D" w:rsidP="0080453E">
      <w:pPr>
        <w:spacing w:after="0" w:line="360" w:lineRule="auto"/>
        <w:jc w:val="both"/>
        <w:rPr>
          <w:bCs/>
        </w:rPr>
      </w:pPr>
      <w:r w:rsidRPr="00034439">
        <w:rPr>
          <w:bCs/>
        </w:rPr>
        <w:t xml:space="preserve">Following </w:t>
      </w:r>
      <w:r w:rsidR="00076CBC" w:rsidRPr="00034439">
        <w:rPr>
          <w:bCs/>
        </w:rPr>
        <w:t xml:space="preserve">derivation and external </w:t>
      </w:r>
      <w:r w:rsidRPr="00034439">
        <w:rPr>
          <w:bCs/>
        </w:rPr>
        <w:t xml:space="preserve">validation, it is </w:t>
      </w:r>
      <w:r w:rsidR="007E7E3D" w:rsidRPr="00034439">
        <w:rPr>
          <w:bCs/>
        </w:rPr>
        <w:t xml:space="preserve">critical </w:t>
      </w:r>
      <w:r w:rsidRPr="00034439">
        <w:rPr>
          <w:bCs/>
        </w:rPr>
        <w:t>to assess whether the new scoring system is used as intended and translates into improved clinical outcomes</w:t>
      </w:r>
      <w:r w:rsidR="00F77F71" w:rsidRPr="00034439">
        <w:rPr>
          <w:bCs/>
        </w:rPr>
        <w:t xml:space="preserve"> (e.g. improved decision making in reactions</w:t>
      </w:r>
      <w:r w:rsidR="007149C7">
        <w:rPr>
          <w:bCs/>
        </w:rPr>
        <w:t>,</w:t>
      </w:r>
      <w:r w:rsidR="007149C7" w:rsidRPr="007149C7">
        <w:t xml:space="preserve"> </w:t>
      </w:r>
      <w:r w:rsidR="007149C7" w:rsidRPr="007149C7">
        <w:rPr>
          <w:bCs/>
        </w:rPr>
        <w:t>reduced risk; better quality of life</w:t>
      </w:r>
      <w:r w:rsidR="00F77F71" w:rsidRPr="00034439">
        <w:rPr>
          <w:bCs/>
        </w:rPr>
        <w:t xml:space="preserve">). </w:t>
      </w:r>
      <w:r w:rsidR="007E7E3D" w:rsidRPr="00034439">
        <w:rPr>
          <w:bCs/>
        </w:rPr>
        <w:t>I</w:t>
      </w:r>
      <w:r w:rsidRPr="00034439">
        <w:rPr>
          <w:bCs/>
        </w:rPr>
        <w:t xml:space="preserve">t is also important to ensure that it does not result in important unintended consequences.  This is ideally assessed </w:t>
      </w:r>
      <w:r w:rsidR="007149C7">
        <w:rPr>
          <w:bCs/>
        </w:rPr>
        <w:t xml:space="preserve">by </w:t>
      </w:r>
      <w:r w:rsidRPr="00034439">
        <w:rPr>
          <w:bCs/>
        </w:rPr>
        <w:t>using a randomized controlled trial (RCT) in which the new scoring system is compared with usual care; depending on the likely risk of contamination between intervention and control arms, a cluster design may be needed</w:t>
      </w:r>
      <w:r w:rsidR="007E7E3D" w:rsidRPr="00034439">
        <w:rPr>
          <w:bCs/>
        </w:rPr>
        <w:t xml:space="preserve"> with different trial sites randomi</w:t>
      </w:r>
      <w:r w:rsidR="00D2457B" w:rsidRPr="00034439">
        <w:rPr>
          <w:bCs/>
        </w:rPr>
        <w:t>z</w:t>
      </w:r>
      <w:r w:rsidR="007E7E3D" w:rsidRPr="00034439">
        <w:rPr>
          <w:bCs/>
        </w:rPr>
        <w:t>ed to different arms (</w:t>
      </w:r>
      <w:r w:rsidR="003B7BB8" w:rsidRPr="00034439">
        <w:rPr>
          <w:bCs/>
        </w:rPr>
        <w:t>45</w:t>
      </w:r>
      <w:r w:rsidR="007E7E3D" w:rsidRPr="00034439">
        <w:rPr>
          <w:bCs/>
        </w:rPr>
        <w:t>)</w:t>
      </w:r>
      <w:r w:rsidRPr="00034439">
        <w:rPr>
          <w:bCs/>
        </w:rPr>
        <w:t>. If a formal experimental design is not possible, a quasi-experimental design could be employed (e.g. an interrupted time series or a controlled before-after design) although it should be noted that these alternative approaches are inherently at increased risk of bias when compared to a RCT.</w:t>
      </w:r>
    </w:p>
    <w:p w14:paraId="507FEA55" w14:textId="77777777" w:rsidR="007E7E3D" w:rsidRPr="00034439" w:rsidRDefault="007E7E3D" w:rsidP="0080453E">
      <w:pPr>
        <w:spacing w:after="0" w:line="360" w:lineRule="auto"/>
        <w:rPr>
          <w:i/>
          <w:iCs/>
        </w:rPr>
      </w:pPr>
    </w:p>
    <w:p w14:paraId="7AA15780" w14:textId="77777777" w:rsidR="0034647E" w:rsidRPr="00034439" w:rsidRDefault="0034647E" w:rsidP="0034647E">
      <w:pPr>
        <w:spacing w:after="0" w:line="360" w:lineRule="auto"/>
        <w:rPr>
          <w:b/>
          <w:bCs/>
        </w:rPr>
      </w:pPr>
      <w:r w:rsidRPr="00034439">
        <w:rPr>
          <w:b/>
          <w:bCs/>
        </w:rPr>
        <w:t xml:space="preserve">Implementation </w:t>
      </w:r>
    </w:p>
    <w:p w14:paraId="1AA6B9DC" w14:textId="77777777" w:rsidR="0034647E" w:rsidRPr="00034439" w:rsidRDefault="0034647E" w:rsidP="0034647E">
      <w:pPr>
        <w:spacing w:after="0" w:line="360" w:lineRule="auto"/>
        <w:jc w:val="both"/>
      </w:pPr>
      <w:r w:rsidRPr="00034439">
        <w:t xml:space="preserve">Implementation requires local, national and international champions to facilitate the adoption of a new approach so that it becomes embedded in routine care, together with case studies to demonstrate its utility and value to various different stakeholders. This can be promoted with the incorporation </w:t>
      </w:r>
      <w:r>
        <w:t xml:space="preserve">of the tool </w:t>
      </w:r>
      <w:r w:rsidRPr="00034439">
        <w:t>into guidelines or other coding systems, and related efforts to promote diffusion and adoption. (42,43). Education of healthcare professionals and other community professional groups such as teachers is essential, as well as risk assessors and managers in public health authorities and the food, hospitality and catering industries alike. Information technology can also be utili</w:t>
      </w:r>
      <w:r>
        <w:t>z</w:t>
      </w:r>
      <w:r w:rsidRPr="00034439">
        <w:t xml:space="preserve">ed to promote a new approach by developing for example a decision support engine (44) that stakeholders can use. Finally, demonstrating that a severity scoring system improved clinical outcomes (e.g. better quality of life; reduced risk; improved decision making in reactions) on a population-based level, would promote the further take up of the approach. </w:t>
      </w:r>
    </w:p>
    <w:p w14:paraId="564D9CB0" w14:textId="77777777" w:rsidR="002A1752" w:rsidRPr="00034439" w:rsidRDefault="002A1752" w:rsidP="0080453E">
      <w:pPr>
        <w:spacing w:after="0" w:line="360" w:lineRule="auto"/>
        <w:rPr>
          <w:i/>
          <w:iCs/>
        </w:rPr>
      </w:pPr>
    </w:p>
    <w:p w14:paraId="7A80F5A8" w14:textId="77777777" w:rsidR="00A90720" w:rsidRPr="00034439" w:rsidRDefault="00A90720" w:rsidP="0080453E">
      <w:pPr>
        <w:spacing w:after="0" w:line="360" w:lineRule="auto"/>
        <w:rPr>
          <w:b/>
          <w:bCs/>
        </w:rPr>
      </w:pPr>
      <w:r w:rsidRPr="00034439">
        <w:rPr>
          <w:b/>
          <w:bCs/>
        </w:rPr>
        <w:t xml:space="preserve">Summary </w:t>
      </w:r>
      <w:r w:rsidR="00993A6B" w:rsidRPr="00034439">
        <w:rPr>
          <w:b/>
          <w:bCs/>
        </w:rPr>
        <w:t>and</w:t>
      </w:r>
      <w:r w:rsidRPr="00034439">
        <w:rPr>
          <w:b/>
          <w:bCs/>
        </w:rPr>
        <w:t xml:space="preserve"> conclusions</w:t>
      </w:r>
    </w:p>
    <w:p w14:paraId="405D398C" w14:textId="13C497DF" w:rsidR="00245E3C" w:rsidRPr="00034439" w:rsidRDefault="00920313" w:rsidP="0080453E">
      <w:pPr>
        <w:tabs>
          <w:tab w:val="left" w:pos="4820"/>
        </w:tabs>
        <w:spacing w:after="0" w:line="360" w:lineRule="auto"/>
        <w:jc w:val="both"/>
      </w:pPr>
      <w:r w:rsidRPr="00034439">
        <w:t>The a</w:t>
      </w:r>
      <w:r w:rsidR="00245E3C" w:rsidRPr="00034439">
        <w:t xml:space="preserve">ccurate assessment and communication of </w:t>
      </w:r>
      <w:r w:rsidR="00FA5144">
        <w:t xml:space="preserve">potential </w:t>
      </w:r>
      <w:r w:rsidR="00245E3C" w:rsidRPr="00034439">
        <w:t xml:space="preserve">severity of </w:t>
      </w:r>
      <w:r w:rsidR="00DC292E" w:rsidRPr="00034439">
        <w:t xml:space="preserve">acute </w:t>
      </w:r>
      <w:r w:rsidR="00245E3C" w:rsidRPr="00034439">
        <w:t>allergic reactions is important to patients, clinicians, researchers, food industry and public health authorities</w:t>
      </w:r>
      <w:r w:rsidRPr="00034439">
        <w:t xml:space="preserve">. </w:t>
      </w:r>
      <w:r w:rsidR="00DC292E" w:rsidRPr="00034439">
        <w:t>Many</w:t>
      </w:r>
      <w:r w:rsidR="00245E3C" w:rsidRPr="00034439">
        <w:t xml:space="preserve"> severity scor</w:t>
      </w:r>
      <w:r w:rsidR="002F77EC" w:rsidRPr="00034439">
        <w:t xml:space="preserve">ing systems </w:t>
      </w:r>
      <w:r w:rsidR="00DC292E" w:rsidRPr="00034439">
        <w:t>are available,</w:t>
      </w:r>
      <w:r w:rsidR="002F77EC" w:rsidRPr="00034439">
        <w:t xml:space="preserve"> usually within the context of one group of allergens</w:t>
      </w:r>
      <w:r w:rsidR="00D2457B" w:rsidRPr="00034439">
        <w:t xml:space="preserve"> sources</w:t>
      </w:r>
      <w:r w:rsidR="002F77EC" w:rsidRPr="00034439">
        <w:t>.</w:t>
      </w:r>
      <w:r w:rsidR="003276CC" w:rsidRPr="00034439">
        <w:t xml:space="preserve"> </w:t>
      </w:r>
      <w:r w:rsidR="00DC292E" w:rsidRPr="00034439">
        <w:t>However, n</w:t>
      </w:r>
      <w:r w:rsidR="002F77EC" w:rsidRPr="00034439">
        <w:t>one of the scoring systems ha</w:t>
      </w:r>
      <w:r w:rsidR="00DC6CDA" w:rsidRPr="00034439">
        <w:t>s</w:t>
      </w:r>
      <w:r w:rsidR="002F77EC" w:rsidRPr="00034439">
        <w:t xml:space="preserve"> been developed using </w:t>
      </w:r>
      <w:r w:rsidR="007149C7">
        <w:t>the</w:t>
      </w:r>
      <w:r w:rsidR="007149C7" w:rsidRPr="00034439">
        <w:t xml:space="preserve"> </w:t>
      </w:r>
      <w:r w:rsidR="00EE3A7E" w:rsidRPr="00034439">
        <w:t xml:space="preserve">gold standard </w:t>
      </w:r>
      <w:r w:rsidR="007149C7">
        <w:t>method</w:t>
      </w:r>
      <w:r w:rsidR="007149C7" w:rsidRPr="00034439">
        <w:t xml:space="preserve"> </w:t>
      </w:r>
      <w:r w:rsidR="00EE3A7E" w:rsidRPr="00034439">
        <w:t>for the</w:t>
      </w:r>
      <w:r w:rsidR="00D2457B" w:rsidRPr="00034439">
        <w:t xml:space="preserve"> </w:t>
      </w:r>
      <w:r w:rsidR="002F77EC" w:rsidRPr="00034439">
        <w:t xml:space="preserve">development </w:t>
      </w:r>
      <w:r w:rsidR="00EE3A7E" w:rsidRPr="00034439">
        <w:t xml:space="preserve">of measurement and/or </w:t>
      </w:r>
      <w:r w:rsidR="00FF231A">
        <w:t>prognostic</w:t>
      </w:r>
      <w:r w:rsidR="00FF231A" w:rsidRPr="00034439">
        <w:t xml:space="preserve"> </w:t>
      </w:r>
      <w:r w:rsidR="00EE3A7E" w:rsidRPr="00034439">
        <w:t>tools</w:t>
      </w:r>
      <w:r w:rsidR="003276CC" w:rsidRPr="00034439">
        <w:t>. Furthermore, n</w:t>
      </w:r>
      <w:r w:rsidR="002F77EC" w:rsidRPr="00034439">
        <w:t>one of the</w:t>
      </w:r>
      <w:r w:rsidR="003276CC" w:rsidRPr="00034439">
        <w:t>se</w:t>
      </w:r>
      <w:r w:rsidR="002F77EC" w:rsidRPr="00034439">
        <w:t xml:space="preserve"> scoring systems </w:t>
      </w:r>
      <w:r w:rsidR="008859AE" w:rsidRPr="00034439">
        <w:t>has</w:t>
      </w:r>
      <w:r w:rsidR="002F77EC" w:rsidRPr="00034439">
        <w:t xml:space="preserve"> been validated</w:t>
      </w:r>
      <w:r w:rsidR="003276CC" w:rsidRPr="00034439">
        <w:t xml:space="preserve">. </w:t>
      </w:r>
      <w:r w:rsidR="00EE3A7E" w:rsidRPr="00034439">
        <w:rPr>
          <w:rFonts w:ascii="Arial" w:hAnsi="Arial"/>
          <w:sz w:val="20"/>
          <w:szCs w:val="20"/>
        </w:rPr>
        <w:t xml:space="preserve">A validated </w:t>
      </w:r>
      <w:r w:rsidR="007149C7">
        <w:rPr>
          <w:rFonts w:ascii="Arial" w:hAnsi="Arial"/>
          <w:sz w:val="20"/>
          <w:szCs w:val="20"/>
        </w:rPr>
        <w:t>reaction</w:t>
      </w:r>
      <w:r w:rsidR="007149C7" w:rsidRPr="00034439">
        <w:rPr>
          <w:rFonts w:ascii="Arial" w:hAnsi="Arial"/>
          <w:sz w:val="20"/>
          <w:szCs w:val="20"/>
        </w:rPr>
        <w:t xml:space="preserve"> </w:t>
      </w:r>
      <w:r w:rsidR="00EE3A7E" w:rsidRPr="00034439">
        <w:rPr>
          <w:rFonts w:ascii="Arial" w:hAnsi="Arial"/>
          <w:sz w:val="20"/>
          <w:szCs w:val="20"/>
        </w:rPr>
        <w:t xml:space="preserve">severity scoring system is needed to standardize patient </w:t>
      </w:r>
      <w:r w:rsidR="00EE3A7E" w:rsidRPr="00034439">
        <w:rPr>
          <w:rFonts w:ascii="Arial" w:hAnsi="Arial"/>
          <w:sz w:val="20"/>
          <w:szCs w:val="20"/>
        </w:rPr>
        <w:lastRenderedPageBreak/>
        <w:t xml:space="preserve">monitoring. </w:t>
      </w:r>
      <w:r w:rsidR="002F77EC" w:rsidRPr="00034439">
        <w:t>We propose a</w:t>
      </w:r>
      <w:r w:rsidR="00DB661D" w:rsidRPr="00034439">
        <w:t>n approach to developing a</w:t>
      </w:r>
      <w:r w:rsidR="002F77EC" w:rsidRPr="00034439">
        <w:t xml:space="preserve"> </w:t>
      </w:r>
      <w:r w:rsidR="00FF231A" w:rsidRPr="00034439">
        <w:t>harmoni</w:t>
      </w:r>
      <w:r w:rsidR="00FF231A">
        <w:t>z</w:t>
      </w:r>
      <w:r w:rsidR="00FF231A" w:rsidRPr="00034439">
        <w:t xml:space="preserve">ed </w:t>
      </w:r>
      <w:r w:rsidR="002F77EC" w:rsidRPr="00034439">
        <w:t xml:space="preserve">scoring system </w:t>
      </w:r>
      <w:r w:rsidR="003276CC" w:rsidRPr="00034439">
        <w:t xml:space="preserve">for </w:t>
      </w:r>
      <w:r w:rsidR="00D2457B" w:rsidRPr="00034439">
        <w:t xml:space="preserve">acute </w:t>
      </w:r>
      <w:r w:rsidR="003276CC" w:rsidRPr="00034439">
        <w:t xml:space="preserve">allergic reactions </w:t>
      </w:r>
      <w:r w:rsidR="002F77EC" w:rsidRPr="00034439">
        <w:t xml:space="preserve">that is </w:t>
      </w:r>
      <w:r w:rsidR="00EE3A7E" w:rsidRPr="00034439">
        <w:t>based on a data driven method</w:t>
      </w:r>
      <w:r w:rsidR="00DC6CDA" w:rsidRPr="00034439">
        <w:t>,</w:t>
      </w:r>
      <w:r w:rsidR="00EE3A7E" w:rsidRPr="00034439">
        <w:t xml:space="preserve"> informed by clinical and patient experience </w:t>
      </w:r>
      <w:r w:rsidR="00D2457B" w:rsidRPr="00034439">
        <w:t xml:space="preserve">as well as </w:t>
      </w:r>
      <w:r w:rsidR="007149C7">
        <w:t xml:space="preserve">by </w:t>
      </w:r>
      <w:r w:rsidR="00D2457B" w:rsidRPr="00034439">
        <w:t xml:space="preserve">the </w:t>
      </w:r>
      <w:r w:rsidR="00EE3A7E" w:rsidRPr="00034439">
        <w:t>perspectives</w:t>
      </w:r>
      <w:r w:rsidR="00D2457B" w:rsidRPr="00034439">
        <w:t xml:space="preserve"> of other stakeholders</w:t>
      </w:r>
      <w:r w:rsidR="00EE3A7E" w:rsidRPr="00034439">
        <w:t xml:space="preserve">. </w:t>
      </w:r>
      <w:r w:rsidR="008859AE" w:rsidRPr="00034439">
        <w:t>We envisage</w:t>
      </w:r>
      <w:r w:rsidR="003276CC" w:rsidRPr="00034439">
        <w:t xml:space="preserve"> two levels of details: </w:t>
      </w:r>
      <w:r w:rsidR="00D2457B" w:rsidRPr="00034439">
        <w:t xml:space="preserve">an ordinal three grade based format and </w:t>
      </w:r>
      <w:r w:rsidR="003276CC" w:rsidRPr="00034439">
        <w:rPr>
          <w:rFonts w:asciiTheme="minorHAnsi" w:hAnsiTheme="minorHAnsi" w:cstheme="minorHAnsi"/>
        </w:rPr>
        <w:t xml:space="preserve">a </w:t>
      </w:r>
      <w:r w:rsidR="008859AE" w:rsidRPr="00034439">
        <w:rPr>
          <w:rFonts w:asciiTheme="minorHAnsi" w:hAnsiTheme="minorHAnsi" w:cstheme="minorHAnsi"/>
        </w:rPr>
        <w:t>continuous scoring system</w:t>
      </w:r>
      <w:r w:rsidR="003276CC" w:rsidRPr="00034439">
        <w:rPr>
          <w:rFonts w:asciiTheme="minorHAnsi" w:hAnsiTheme="minorHAnsi" w:cstheme="minorHAnsi"/>
        </w:rPr>
        <w:t xml:space="preserve"> </w:t>
      </w:r>
      <w:r w:rsidR="000E09EC" w:rsidRPr="00034439">
        <w:rPr>
          <w:rFonts w:asciiTheme="minorHAnsi" w:hAnsiTheme="minorHAnsi" w:cstheme="minorHAnsi"/>
        </w:rPr>
        <w:t>giving a continuum from mild to severe reactions that is clinically meaningful</w:t>
      </w:r>
      <w:r w:rsidR="003276CC" w:rsidRPr="00034439">
        <w:rPr>
          <w:rFonts w:asciiTheme="minorHAnsi" w:hAnsiTheme="minorHAnsi" w:cstheme="minorHAnsi"/>
        </w:rPr>
        <w:t xml:space="preserve">. This would allow the same </w:t>
      </w:r>
      <w:r w:rsidR="007149C7">
        <w:rPr>
          <w:rFonts w:asciiTheme="minorHAnsi" w:hAnsiTheme="minorHAnsi" w:cstheme="minorHAnsi"/>
        </w:rPr>
        <w:t xml:space="preserve">system </w:t>
      </w:r>
      <w:r w:rsidR="003276CC" w:rsidRPr="00034439">
        <w:rPr>
          <w:rFonts w:asciiTheme="minorHAnsi" w:hAnsiTheme="minorHAnsi" w:cstheme="minorHAnsi"/>
        </w:rPr>
        <w:t xml:space="preserve">to be used </w:t>
      </w:r>
      <w:r w:rsidR="002F77EC" w:rsidRPr="00034439">
        <w:rPr>
          <w:rFonts w:asciiTheme="minorHAnsi" w:hAnsiTheme="minorHAnsi" w:cstheme="minorHAnsi"/>
        </w:rPr>
        <w:t>by patients, clinicians,</w:t>
      </w:r>
      <w:r w:rsidR="00D2457B" w:rsidRPr="00034439">
        <w:rPr>
          <w:rFonts w:asciiTheme="minorHAnsi" w:hAnsiTheme="minorHAnsi" w:cstheme="minorHAnsi"/>
        </w:rPr>
        <w:t xml:space="preserve"> researchers, the food industry and public health regulators</w:t>
      </w:r>
      <w:r w:rsidR="003276CC" w:rsidRPr="00034439">
        <w:rPr>
          <w:rFonts w:asciiTheme="minorHAnsi" w:hAnsiTheme="minorHAnsi" w:cstheme="minorHAnsi"/>
        </w:rPr>
        <w:t>. The new</w:t>
      </w:r>
      <w:r w:rsidR="002F77EC" w:rsidRPr="00034439">
        <w:rPr>
          <w:rFonts w:asciiTheme="minorHAnsi" w:hAnsiTheme="minorHAnsi" w:cstheme="minorHAnsi"/>
        </w:rPr>
        <w:t xml:space="preserve"> approach </w:t>
      </w:r>
      <w:r w:rsidR="003276CC" w:rsidRPr="00034439">
        <w:rPr>
          <w:rFonts w:asciiTheme="minorHAnsi" w:hAnsiTheme="minorHAnsi" w:cstheme="minorHAnsi"/>
        </w:rPr>
        <w:t xml:space="preserve">would </w:t>
      </w:r>
      <w:r w:rsidR="00CC30F7" w:rsidRPr="00034439">
        <w:rPr>
          <w:rFonts w:asciiTheme="minorHAnsi" w:hAnsiTheme="minorHAnsi" w:cstheme="minorHAnsi"/>
        </w:rPr>
        <w:t>need to be tested for reliability and validity using gold standard methods in a range of settings and populations</w:t>
      </w:r>
      <w:r w:rsidR="009B5121">
        <w:rPr>
          <w:rFonts w:asciiTheme="minorHAnsi" w:hAnsiTheme="minorHAnsi" w:cstheme="minorHAnsi"/>
        </w:rPr>
        <w:t>.</w:t>
      </w:r>
      <w:r w:rsidR="003276CC" w:rsidRPr="00034439">
        <w:rPr>
          <w:rFonts w:asciiTheme="minorHAnsi" w:hAnsiTheme="minorHAnsi" w:cstheme="minorHAnsi"/>
        </w:rPr>
        <w:t xml:space="preserve"> </w:t>
      </w:r>
      <w:r w:rsidR="002F77EC" w:rsidRPr="00034439">
        <w:rPr>
          <w:rFonts w:asciiTheme="minorHAnsi" w:hAnsiTheme="minorHAnsi" w:cstheme="minorHAnsi"/>
        </w:rPr>
        <w:t>We propose</w:t>
      </w:r>
      <w:r w:rsidR="003276CC" w:rsidRPr="00034439">
        <w:rPr>
          <w:rFonts w:asciiTheme="minorHAnsi" w:hAnsiTheme="minorHAnsi" w:cstheme="minorHAnsi"/>
        </w:rPr>
        <w:t xml:space="preserve"> that</w:t>
      </w:r>
      <w:r w:rsidR="002F77EC" w:rsidRPr="00034439">
        <w:rPr>
          <w:rFonts w:asciiTheme="minorHAnsi" w:hAnsiTheme="minorHAnsi" w:cstheme="minorHAnsi"/>
        </w:rPr>
        <w:t xml:space="preserve"> common epidemiological</w:t>
      </w:r>
      <w:r w:rsidR="002F77EC" w:rsidRPr="00034439">
        <w:t xml:space="preserve">, clinical observational and clinical interventional </w:t>
      </w:r>
      <w:r w:rsidR="00C65E38" w:rsidRPr="00034439">
        <w:t xml:space="preserve">datasets </w:t>
      </w:r>
      <w:r w:rsidR="002F77EC" w:rsidRPr="00034439">
        <w:t xml:space="preserve">should </w:t>
      </w:r>
      <w:r w:rsidR="00C65E38" w:rsidRPr="00034439">
        <w:t xml:space="preserve">be </w:t>
      </w:r>
      <w:r w:rsidR="002F77EC" w:rsidRPr="00034439">
        <w:t>collect</w:t>
      </w:r>
      <w:r w:rsidR="00893156" w:rsidRPr="00034439">
        <w:t>ed</w:t>
      </w:r>
      <w:r w:rsidR="002F77EC" w:rsidRPr="00034439">
        <w:t xml:space="preserve"> to promote future collaboration, </w:t>
      </w:r>
      <w:r w:rsidR="00C65E38" w:rsidRPr="00034439">
        <w:t>cross</w:t>
      </w:r>
      <w:r w:rsidR="008859AE" w:rsidRPr="00034439">
        <w:t>-</w:t>
      </w:r>
      <w:r w:rsidR="00C65E38" w:rsidRPr="00034439">
        <w:t xml:space="preserve">validation and </w:t>
      </w:r>
      <w:r w:rsidR="00893156" w:rsidRPr="00034439">
        <w:t xml:space="preserve">refinement </w:t>
      </w:r>
      <w:r w:rsidR="002F77EC" w:rsidRPr="00034439">
        <w:t xml:space="preserve">of </w:t>
      </w:r>
      <w:r w:rsidR="00C65E38" w:rsidRPr="00034439">
        <w:t xml:space="preserve">the </w:t>
      </w:r>
      <w:r w:rsidR="002F77EC" w:rsidRPr="00034439">
        <w:t>severity scoring system</w:t>
      </w:r>
      <w:r w:rsidR="00C65E38" w:rsidRPr="00034439">
        <w:t xml:space="preserve">. </w:t>
      </w:r>
      <w:r w:rsidR="00D2457B" w:rsidRPr="00034439">
        <w:t xml:space="preserve">For a harmonized system to be successful, an implementation strategy would be required and its impact would need to be assessed. </w:t>
      </w:r>
      <w:r w:rsidR="002F77EC" w:rsidRPr="00034439">
        <w:t xml:space="preserve">Finally, </w:t>
      </w:r>
      <w:r w:rsidR="00245E3C" w:rsidRPr="00034439">
        <w:t xml:space="preserve">severity </w:t>
      </w:r>
      <w:r w:rsidR="007149C7">
        <w:t xml:space="preserve">should be considered </w:t>
      </w:r>
      <w:r w:rsidR="002F77EC" w:rsidRPr="00034439">
        <w:t xml:space="preserve">as just one </w:t>
      </w:r>
      <w:r w:rsidR="007149C7">
        <w:t xml:space="preserve">of a range of </w:t>
      </w:r>
      <w:r w:rsidR="002F77EC" w:rsidRPr="00034439">
        <w:t>important aspect</w:t>
      </w:r>
      <w:r w:rsidR="007149C7">
        <w:t>s</w:t>
      </w:r>
      <w:r w:rsidR="00893156" w:rsidRPr="00034439">
        <w:t xml:space="preserve"> of risk assessment and risk management</w:t>
      </w:r>
      <w:r w:rsidR="00B53FB9" w:rsidRPr="00034439">
        <w:t xml:space="preserve"> of allergic diseases</w:t>
      </w:r>
      <w:r w:rsidR="002F77EC" w:rsidRPr="00034439">
        <w:t xml:space="preserve">. To determine the optimal management </w:t>
      </w:r>
      <w:r w:rsidR="00245E3C" w:rsidRPr="00034439">
        <w:t>of a reaction</w:t>
      </w:r>
      <w:r w:rsidR="00893156" w:rsidRPr="00034439">
        <w:t xml:space="preserve"> for</w:t>
      </w:r>
      <w:r w:rsidR="00C841EE" w:rsidRPr="00034439">
        <w:t xml:space="preserve"> a patient</w:t>
      </w:r>
      <w:r w:rsidR="002F77EC" w:rsidRPr="00034439">
        <w:t xml:space="preserve">, assessed severity </w:t>
      </w:r>
      <w:r w:rsidR="00245E3C" w:rsidRPr="00034439">
        <w:t>needs to be integrated with the clinical context</w:t>
      </w:r>
      <w:r w:rsidR="00C65E38" w:rsidRPr="00034439">
        <w:t xml:space="preserve">, for example the </w:t>
      </w:r>
      <w:r w:rsidR="00245E3C" w:rsidRPr="00034439">
        <w:t>dose of allergen, route of contact, rapidity of onset and</w:t>
      </w:r>
      <w:r w:rsidR="00893156" w:rsidRPr="00034439">
        <w:t xml:space="preserve"> other</w:t>
      </w:r>
      <w:r w:rsidR="00245E3C" w:rsidRPr="00034439">
        <w:t xml:space="preserve"> intrinsic </w:t>
      </w:r>
      <w:r w:rsidR="00074613" w:rsidRPr="00034439">
        <w:t>(</w:t>
      </w:r>
      <w:r w:rsidR="00245E3C" w:rsidRPr="00034439">
        <w:t>patient</w:t>
      </w:r>
      <w:r w:rsidR="00074613" w:rsidRPr="00034439">
        <w:t xml:space="preserve">-related) </w:t>
      </w:r>
      <w:r w:rsidR="00893156" w:rsidRPr="00034439">
        <w:t>and extrinsic factors</w:t>
      </w:r>
      <w:r w:rsidR="00C65E38" w:rsidRPr="00034439">
        <w:t xml:space="preserve">. </w:t>
      </w:r>
    </w:p>
    <w:p w14:paraId="53759217" w14:textId="77777777" w:rsidR="00230F9C" w:rsidRPr="00034439" w:rsidRDefault="00230F9C" w:rsidP="0080453E">
      <w:pPr>
        <w:spacing w:after="0" w:line="360" w:lineRule="auto"/>
        <w:rPr>
          <w:b/>
          <w:bCs/>
        </w:rPr>
      </w:pPr>
    </w:p>
    <w:p w14:paraId="60725B37" w14:textId="77777777" w:rsidR="000E09EC" w:rsidRPr="00034439" w:rsidRDefault="000E09EC" w:rsidP="0080453E">
      <w:pPr>
        <w:spacing w:after="0" w:line="360" w:lineRule="auto"/>
        <w:rPr>
          <w:b/>
          <w:bCs/>
        </w:rPr>
      </w:pPr>
    </w:p>
    <w:p w14:paraId="1E22252C" w14:textId="77777777" w:rsidR="002E6402" w:rsidRPr="00034439" w:rsidRDefault="002E6402" w:rsidP="002E6402">
      <w:pPr>
        <w:spacing w:after="0" w:line="360" w:lineRule="auto"/>
        <w:rPr>
          <w:b/>
          <w:bCs/>
        </w:rPr>
      </w:pPr>
      <w:r w:rsidRPr="00034439">
        <w:rPr>
          <w:b/>
          <w:bCs/>
        </w:rPr>
        <w:br w:type="page"/>
      </w:r>
    </w:p>
    <w:p w14:paraId="1EF8DACF" w14:textId="77777777" w:rsidR="001E4895" w:rsidRPr="00034439" w:rsidRDefault="001E4895" w:rsidP="0080453E">
      <w:pPr>
        <w:spacing w:after="0" w:line="360" w:lineRule="auto"/>
        <w:rPr>
          <w:b/>
          <w:bCs/>
        </w:rPr>
      </w:pPr>
      <w:r w:rsidRPr="00034439">
        <w:rPr>
          <w:b/>
          <w:bCs/>
        </w:rPr>
        <w:lastRenderedPageBreak/>
        <w:t>Contributions of authors</w:t>
      </w:r>
    </w:p>
    <w:p w14:paraId="4BEEF829" w14:textId="1DDC6CE7" w:rsidR="00E741EE" w:rsidRPr="00034439" w:rsidRDefault="001E4895" w:rsidP="0080453E">
      <w:pPr>
        <w:spacing w:after="0" w:line="360" w:lineRule="auto"/>
        <w:jc w:val="both"/>
      </w:pPr>
      <w:r w:rsidRPr="00034439">
        <w:t xml:space="preserve">The EAACI initiative on </w:t>
      </w:r>
      <w:r w:rsidR="00E741EE" w:rsidRPr="00034439">
        <w:t xml:space="preserve">the </w:t>
      </w:r>
      <w:r w:rsidRPr="00034439">
        <w:t>severity of allergic reactions was initiated by Antonella Muraro</w:t>
      </w:r>
      <w:r w:rsidR="00E741EE" w:rsidRPr="00034439">
        <w:t>. It</w:t>
      </w:r>
      <w:r w:rsidRPr="00034439">
        <w:t xml:space="preserve"> has built on work undertaken by Montserrat Fernandez- Rivas in the iFAAM project led by Clare Mills</w:t>
      </w:r>
      <w:r w:rsidR="00E741EE" w:rsidRPr="00034439">
        <w:t xml:space="preserve">, </w:t>
      </w:r>
      <w:r w:rsidRPr="00034439">
        <w:t>work by Andrew Clark in the TRACE project</w:t>
      </w:r>
      <w:r w:rsidR="00E741EE" w:rsidRPr="00034439">
        <w:t xml:space="preserve"> and work by Margit</w:t>
      </w:r>
      <w:r w:rsidR="00E71350">
        <w:t>t</w:t>
      </w:r>
      <w:r w:rsidR="00E741EE" w:rsidRPr="00034439">
        <w:t>a Worm in the NORA project</w:t>
      </w:r>
      <w:r w:rsidRPr="00034439">
        <w:t xml:space="preserve">. Additionally it has benefited from Esben Eller’s and Carsten Bindslev-Jensen’s </w:t>
      </w:r>
      <w:r w:rsidRPr="00AE7A5C">
        <w:t xml:space="preserve">review of all the existing severity scoring systems. Kirsten Beyer, </w:t>
      </w:r>
      <w:r w:rsidRPr="00034439">
        <w:t>Victòria Cardona, Jonathan O’B Hourihane, Marek Jutel</w:t>
      </w:r>
      <w:r w:rsidR="00E741EE" w:rsidRPr="009D795F">
        <w:t xml:space="preserve"> and </w:t>
      </w:r>
      <w:r w:rsidRPr="005F5E14">
        <w:t>Aziz Sheikh</w:t>
      </w:r>
      <w:r w:rsidR="00E741EE" w:rsidRPr="00034439">
        <w:t xml:space="preserve"> led the drafting of specific sections of the paper which Graham Roberts used to develop the initial draft manuscript. All the authors reviewed and contributed to the development of the final paper. </w:t>
      </w:r>
    </w:p>
    <w:p w14:paraId="29B3293E" w14:textId="77777777" w:rsidR="001E4895" w:rsidRPr="00034439" w:rsidRDefault="001E4895" w:rsidP="0080453E">
      <w:pPr>
        <w:spacing w:after="0" w:line="360" w:lineRule="auto"/>
        <w:rPr>
          <w:b/>
          <w:bCs/>
        </w:rPr>
      </w:pPr>
    </w:p>
    <w:p w14:paraId="5941FC06" w14:textId="77777777" w:rsidR="00E741EE" w:rsidRPr="00034439" w:rsidRDefault="00E741EE" w:rsidP="0080453E">
      <w:pPr>
        <w:spacing w:after="0" w:line="360" w:lineRule="auto"/>
        <w:rPr>
          <w:b/>
          <w:bCs/>
        </w:rPr>
      </w:pPr>
    </w:p>
    <w:p w14:paraId="536E5D7A" w14:textId="77777777" w:rsidR="000F0409" w:rsidRPr="00034439" w:rsidRDefault="000F0409" w:rsidP="0080453E">
      <w:pPr>
        <w:spacing w:after="0" w:line="360" w:lineRule="auto"/>
        <w:rPr>
          <w:b/>
          <w:bCs/>
        </w:rPr>
      </w:pPr>
      <w:r w:rsidRPr="00034439">
        <w:rPr>
          <w:b/>
          <w:bCs/>
        </w:rPr>
        <w:t>Acknowledgements</w:t>
      </w:r>
    </w:p>
    <w:p w14:paraId="4C04EF5B" w14:textId="77777777" w:rsidR="000F0409" w:rsidRPr="00034439" w:rsidRDefault="000F0409" w:rsidP="0080453E">
      <w:pPr>
        <w:spacing w:after="0" w:line="360" w:lineRule="auto"/>
        <w:jc w:val="both"/>
      </w:pPr>
      <w:r w:rsidRPr="00034439">
        <w:t>The task group would like to acknowledge the support from the iFAAM, TRACE, Europrevall and NORA</w:t>
      </w:r>
      <w:r w:rsidR="006A5F65" w:rsidRPr="00034439">
        <w:t xml:space="preserve"> e. V. </w:t>
      </w:r>
      <w:r w:rsidRPr="00034439">
        <w:t xml:space="preserve"> Anaphylaxis Registry study teams in developing the proposed </w:t>
      </w:r>
      <w:r w:rsidR="00E47882" w:rsidRPr="00034439">
        <w:t xml:space="preserve">approach to developing and validating a </w:t>
      </w:r>
      <w:r w:rsidR="00DC292E" w:rsidRPr="00034439">
        <w:t xml:space="preserve">severity </w:t>
      </w:r>
      <w:r w:rsidRPr="00034439">
        <w:t xml:space="preserve">scoring system. The group would also like to thank </w:t>
      </w:r>
      <w:r w:rsidR="00866215" w:rsidRPr="00034439">
        <w:t>Estelle Simons</w:t>
      </w:r>
      <w:r w:rsidR="00264BFF" w:rsidRPr="00034439">
        <w:t xml:space="preserve"> for her review of the initial draft manuscript which has</w:t>
      </w:r>
      <w:r w:rsidRPr="00034439">
        <w:t xml:space="preserve"> helped up develop this approach. This activity was initiated and supported by the European Academy of Allergy and Clinical Immunology (EAACI) as part of the Food Allergy and Anaphylaxis Guidelines Initiative. </w:t>
      </w:r>
    </w:p>
    <w:p w14:paraId="745F4E52" w14:textId="77777777" w:rsidR="000F0409" w:rsidRPr="00034439" w:rsidRDefault="000F0409" w:rsidP="0080453E">
      <w:pPr>
        <w:spacing w:after="0" w:line="360" w:lineRule="auto"/>
      </w:pPr>
    </w:p>
    <w:p w14:paraId="074C9EF2" w14:textId="77777777" w:rsidR="0099762C" w:rsidRPr="00034439" w:rsidRDefault="0099762C" w:rsidP="0080453E">
      <w:pPr>
        <w:spacing w:after="0" w:line="360" w:lineRule="auto"/>
      </w:pPr>
    </w:p>
    <w:p w14:paraId="217A66D5" w14:textId="77777777" w:rsidR="002E6402" w:rsidRPr="00034439" w:rsidRDefault="002E6402" w:rsidP="002E6402">
      <w:pPr>
        <w:spacing w:after="0" w:line="360" w:lineRule="auto"/>
        <w:rPr>
          <w:b/>
          <w:bCs/>
        </w:rPr>
      </w:pPr>
      <w:r w:rsidRPr="00034439">
        <w:rPr>
          <w:b/>
          <w:bCs/>
        </w:rPr>
        <w:br w:type="page"/>
      </w:r>
    </w:p>
    <w:p w14:paraId="6FC7C6B4" w14:textId="77777777" w:rsidR="000F0409" w:rsidRPr="00034439" w:rsidRDefault="000F0409" w:rsidP="0080453E">
      <w:pPr>
        <w:spacing w:after="0" w:line="360" w:lineRule="auto"/>
        <w:rPr>
          <w:b/>
          <w:bCs/>
        </w:rPr>
      </w:pPr>
      <w:r w:rsidRPr="00034439">
        <w:rPr>
          <w:b/>
          <w:bCs/>
        </w:rPr>
        <w:lastRenderedPageBreak/>
        <w:t xml:space="preserve">References </w:t>
      </w:r>
    </w:p>
    <w:p w14:paraId="5E1ED29D" w14:textId="69F30259" w:rsidR="001D26D7" w:rsidRPr="00AE7A5C" w:rsidRDefault="001D26D7" w:rsidP="0080453E">
      <w:pPr>
        <w:spacing w:after="0" w:line="360" w:lineRule="auto"/>
        <w:ind w:left="284" w:hanging="284"/>
        <w:jc w:val="both"/>
        <w:rPr>
          <w:rFonts w:asciiTheme="minorHAnsi" w:hAnsiTheme="minorHAnsi"/>
        </w:rPr>
      </w:pPr>
      <w:r w:rsidRPr="00AE7A5C">
        <w:rPr>
          <w:rFonts w:asciiTheme="minorHAnsi" w:hAnsiTheme="minorHAnsi"/>
        </w:rPr>
        <w:t xml:space="preserve">1. </w:t>
      </w:r>
      <w:r w:rsidR="002E6402" w:rsidRPr="00AE7A5C">
        <w:rPr>
          <w:rFonts w:asciiTheme="minorHAnsi" w:hAnsiTheme="minorHAnsi"/>
        </w:rPr>
        <w:t xml:space="preserve"> </w:t>
      </w:r>
      <w:r w:rsidRPr="00AE7A5C">
        <w:rPr>
          <w:rFonts w:asciiTheme="minorHAnsi" w:hAnsiTheme="minorHAnsi"/>
        </w:rPr>
        <w:t xml:space="preserve">Nwaru BI, Hickstein L, Panesar SS, Muraro A, Werfel T, Cardona V, Dubois AEJ, Halken S, Hoffmann-Sommergruber K, Poulsen LK, Roberts G, Van Ree R, Vlieg-Boerstra BJ, Sheikh A. on behalf of </w:t>
      </w:r>
      <w:r w:rsidR="00890204">
        <w:rPr>
          <w:rFonts w:asciiTheme="minorHAnsi" w:hAnsiTheme="minorHAnsi"/>
        </w:rPr>
        <w:t>t</w:t>
      </w:r>
      <w:r w:rsidRPr="00AE7A5C">
        <w:rPr>
          <w:rFonts w:asciiTheme="minorHAnsi" w:hAnsiTheme="minorHAnsi"/>
        </w:rPr>
        <w:t xml:space="preserve">he EAACI Food Allergy &amp; Anaphylaxis Guidelines Group. The epidemiology of food allergy in Europe: a systematic review and meta-analysis. Allergy 2014; 69: 62-75. </w:t>
      </w:r>
    </w:p>
    <w:p w14:paraId="5F82A82D" w14:textId="6F4AB124" w:rsidR="001D26D7" w:rsidRPr="00AE7A5C" w:rsidRDefault="001D26D7" w:rsidP="0080453E">
      <w:pPr>
        <w:spacing w:after="0" w:line="360" w:lineRule="auto"/>
        <w:ind w:left="284" w:hanging="284"/>
        <w:jc w:val="both"/>
        <w:rPr>
          <w:rFonts w:asciiTheme="minorHAnsi" w:hAnsiTheme="minorHAnsi"/>
        </w:rPr>
      </w:pPr>
      <w:r w:rsidRPr="00AE7A5C">
        <w:rPr>
          <w:rFonts w:asciiTheme="minorHAnsi" w:hAnsiTheme="minorHAnsi"/>
        </w:rPr>
        <w:t xml:space="preserve">2. </w:t>
      </w:r>
      <w:r w:rsidR="002E6402" w:rsidRPr="00AE7A5C">
        <w:rPr>
          <w:rFonts w:asciiTheme="minorHAnsi" w:hAnsiTheme="minorHAnsi"/>
        </w:rPr>
        <w:t xml:space="preserve"> </w:t>
      </w:r>
      <w:r w:rsidRPr="00AE7A5C">
        <w:rPr>
          <w:rFonts w:asciiTheme="minorHAnsi" w:hAnsiTheme="minorHAnsi"/>
        </w:rPr>
        <w:t>Paul J. Turner, Joseph L. Baumert, Kirsten Beyer, Robert Boyle, Chun-Han Chan, Andrew Clark, René W.R. Crevel, Audrey DunnGalvin, Montserrat Fernández Rivas, M. Hazel Gowland, Linus Grabenhenrich, Sarah Hardy, Geert F Houben, Jonathan O’B Hourihane, Antonella Muraro, Lars K. Poulsen, Katarzyna Pyrz, Benjamin C. Remington, Sabine Schnadt, Ronald van Ree, Carina Venter, Margitta Worm, E.N. Clare Mills, Graham Roberts, Barbara K. Ballmer-Weber. Can we identify patients at risk of life-threatening allergic reactions to food? Allergy</w:t>
      </w:r>
      <w:r w:rsidR="0034647E">
        <w:rPr>
          <w:rFonts w:asciiTheme="minorHAnsi" w:hAnsiTheme="minorHAnsi"/>
        </w:rPr>
        <w:t xml:space="preserve"> </w:t>
      </w:r>
      <w:r w:rsidR="00411D8B" w:rsidRPr="00411D8B">
        <w:rPr>
          <w:rFonts w:asciiTheme="minorHAnsi" w:hAnsiTheme="minorHAnsi"/>
        </w:rPr>
        <w:t>2016; 71: 1241-1255</w:t>
      </w:r>
      <w:r w:rsidR="00411D8B">
        <w:rPr>
          <w:rFonts w:asciiTheme="minorHAnsi" w:hAnsiTheme="minorHAnsi"/>
        </w:rPr>
        <w:t>.</w:t>
      </w:r>
    </w:p>
    <w:p w14:paraId="327AA9B4" w14:textId="77777777" w:rsidR="001D26D7" w:rsidRPr="00AE7A5C" w:rsidRDefault="001D26D7" w:rsidP="0080453E">
      <w:pPr>
        <w:spacing w:after="0" w:line="360" w:lineRule="auto"/>
        <w:ind w:left="284" w:hanging="284"/>
        <w:jc w:val="both"/>
        <w:rPr>
          <w:rFonts w:asciiTheme="minorHAnsi" w:hAnsiTheme="minorHAnsi"/>
        </w:rPr>
      </w:pPr>
      <w:r w:rsidRPr="00AE7A5C">
        <w:rPr>
          <w:rFonts w:asciiTheme="minorHAnsi" w:hAnsiTheme="minorHAnsi"/>
        </w:rPr>
        <w:t xml:space="preserve">3. </w:t>
      </w:r>
      <w:r w:rsidR="002E6402" w:rsidRPr="00AE7A5C">
        <w:rPr>
          <w:rFonts w:asciiTheme="minorHAnsi" w:hAnsiTheme="minorHAnsi"/>
        </w:rPr>
        <w:t xml:space="preserve"> </w:t>
      </w:r>
      <w:r w:rsidRPr="00AE7A5C">
        <w:rPr>
          <w:rFonts w:asciiTheme="minorHAnsi" w:hAnsiTheme="minorHAnsi"/>
        </w:rPr>
        <w:t>Muraro A, Roberts G, Worm M, Bilò MB, Brockow K, Fernández Rivas M, et al; EAACI Food Allergy and Anaphylaxis Guidelines Group. Anaphylaxis: guidelines from the European Academy of Allergy and Clinical Immunology.Allergy. 2014 ;69:1026-45</w:t>
      </w:r>
    </w:p>
    <w:p w14:paraId="26CD32B0" w14:textId="77777777" w:rsidR="001D26D7" w:rsidRPr="00AE7A5C" w:rsidRDefault="001D26D7" w:rsidP="0080453E">
      <w:pPr>
        <w:spacing w:after="0" w:line="360" w:lineRule="auto"/>
        <w:ind w:left="284" w:hanging="284"/>
        <w:jc w:val="both"/>
        <w:rPr>
          <w:rFonts w:asciiTheme="minorHAnsi" w:hAnsiTheme="minorHAnsi"/>
        </w:rPr>
      </w:pPr>
      <w:r w:rsidRPr="00AE7A5C">
        <w:rPr>
          <w:rFonts w:asciiTheme="minorHAnsi" w:hAnsiTheme="minorHAnsi"/>
        </w:rPr>
        <w:t xml:space="preserve">4. </w:t>
      </w:r>
      <w:r w:rsidR="002E6402" w:rsidRPr="00AE7A5C">
        <w:rPr>
          <w:rFonts w:asciiTheme="minorHAnsi" w:hAnsiTheme="minorHAnsi"/>
        </w:rPr>
        <w:t xml:space="preserve"> </w:t>
      </w:r>
      <w:r w:rsidRPr="00AE7A5C">
        <w:rPr>
          <w:rFonts w:asciiTheme="minorHAnsi" w:hAnsiTheme="minorHAnsi"/>
        </w:rPr>
        <w:t>Mueller HL. Further experiences with severe allergic reactions to insect stings. N Engl J Med. 1959 Aug 20;261:374-7. PubMed PMID: 14424947.</w:t>
      </w:r>
    </w:p>
    <w:p w14:paraId="291E4AAD" w14:textId="77777777" w:rsidR="001D26D7" w:rsidRPr="00AE7A5C" w:rsidRDefault="001D26D7" w:rsidP="0080453E">
      <w:pPr>
        <w:spacing w:after="0" w:line="360" w:lineRule="auto"/>
        <w:ind w:left="284" w:hanging="284"/>
        <w:jc w:val="both"/>
        <w:rPr>
          <w:rFonts w:asciiTheme="minorHAnsi" w:hAnsiTheme="minorHAnsi"/>
        </w:rPr>
      </w:pPr>
      <w:r w:rsidRPr="00AE7A5C">
        <w:rPr>
          <w:rFonts w:asciiTheme="minorHAnsi" w:hAnsiTheme="minorHAnsi"/>
        </w:rPr>
        <w:t xml:space="preserve">5. </w:t>
      </w:r>
      <w:r w:rsidR="002E6402" w:rsidRPr="00AE7A5C">
        <w:rPr>
          <w:rFonts w:asciiTheme="minorHAnsi" w:hAnsiTheme="minorHAnsi"/>
        </w:rPr>
        <w:t xml:space="preserve"> </w:t>
      </w:r>
      <w:r w:rsidRPr="00AE7A5C">
        <w:rPr>
          <w:rFonts w:asciiTheme="minorHAnsi" w:hAnsiTheme="minorHAnsi"/>
        </w:rPr>
        <w:t>Reisman RE. Natural history of insect sting allergy: relationship of severity of symptoms of initial sting anaphylaxis to re-sting reactions. J Allergy Clin Immunol. 1992 Sep;90(3 Pt 1):335-9. PubMed PMID: 1345753.</w:t>
      </w:r>
    </w:p>
    <w:p w14:paraId="0A23A64B" w14:textId="77777777" w:rsidR="001D26D7" w:rsidRPr="00AE7A5C" w:rsidRDefault="001D26D7" w:rsidP="0080453E">
      <w:pPr>
        <w:spacing w:after="0" w:line="360" w:lineRule="auto"/>
        <w:ind w:left="284" w:hanging="284"/>
        <w:jc w:val="both"/>
        <w:rPr>
          <w:rFonts w:asciiTheme="minorHAnsi" w:hAnsiTheme="minorHAnsi"/>
        </w:rPr>
      </w:pPr>
      <w:r w:rsidRPr="00AE7A5C">
        <w:rPr>
          <w:rFonts w:asciiTheme="minorHAnsi" w:hAnsiTheme="minorHAnsi"/>
        </w:rPr>
        <w:t xml:space="preserve">6. </w:t>
      </w:r>
      <w:r w:rsidR="002E6402" w:rsidRPr="00AE7A5C">
        <w:rPr>
          <w:rFonts w:asciiTheme="minorHAnsi" w:hAnsiTheme="minorHAnsi"/>
        </w:rPr>
        <w:t xml:space="preserve"> </w:t>
      </w:r>
      <w:r w:rsidRPr="00AE7A5C">
        <w:rPr>
          <w:rFonts w:asciiTheme="minorHAnsi" w:hAnsiTheme="minorHAnsi"/>
        </w:rPr>
        <w:t>Hourihane JO, Kilburn SA, Dean P, Warner JO. Clinical characteristics of peanut allergy. Clin Exp Allergy. 1997 Jun;27(6):634-9. PubMed PMID: 9208183.</w:t>
      </w:r>
    </w:p>
    <w:p w14:paraId="14AF3DC0" w14:textId="77777777" w:rsidR="001D26D7" w:rsidRPr="00AE7A5C" w:rsidRDefault="001D26D7" w:rsidP="0080453E">
      <w:pPr>
        <w:spacing w:after="0" w:line="360" w:lineRule="auto"/>
        <w:ind w:left="284" w:hanging="284"/>
        <w:jc w:val="both"/>
        <w:rPr>
          <w:rFonts w:asciiTheme="minorHAnsi" w:hAnsiTheme="minorHAnsi"/>
        </w:rPr>
      </w:pPr>
      <w:r w:rsidRPr="00AE7A5C">
        <w:rPr>
          <w:rFonts w:asciiTheme="minorHAnsi" w:hAnsiTheme="minorHAnsi"/>
        </w:rPr>
        <w:t xml:space="preserve">7. </w:t>
      </w:r>
      <w:r w:rsidR="002E6402" w:rsidRPr="00AE7A5C">
        <w:rPr>
          <w:rFonts w:asciiTheme="minorHAnsi" w:hAnsiTheme="minorHAnsi"/>
        </w:rPr>
        <w:t xml:space="preserve"> </w:t>
      </w:r>
      <w:r w:rsidRPr="00AE7A5C">
        <w:rPr>
          <w:rFonts w:asciiTheme="minorHAnsi" w:hAnsiTheme="minorHAnsi"/>
        </w:rPr>
        <w:t>Ewan PW, Clark AT. Long-term prospective observational study of patients with peanut and nut allergy after participation in a management plan. Lancet. 2001 Jan 13;357(9250):111-5. PubMed PMID: 11197398.</w:t>
      </w:r>
    </w:p>
    <w:p w14:paraId="21E0B290" w14:textId="77777777" w:rsidR="001D26D7" w:rsidRPr="00AE7A5C" w:rsidRDefault="001D26D7" w:rsidP="0080453E">
      <w:pPr>
        <w:spacing w:after="0" w:line="360" w:lineRule="auto"/>
        <w:ind w:left="284" w:hanging="284"/>
        <w:jc w:val="both"/>
        <w:rPr>
          <w:rFonts w:asciiTheme="minorHAnsi" w:hAnsiTheme="minorHAnsi"/>
        </w:rPr>
      </w:pPr>
      <w:r w:rsidRPr="00AE7A5C">
        <w:rPr>
          <w:rFonts w:asciiTheme="minorHAnsi" w:hAnsiTheme="minorHAnsi"/>
        </w:rPr>
        <w:t xml:space="preserve">8. </w:t>
      </w:r>
      <w:r w:rsidR="002E6402" w:rsidRPr="00AE7A5C">
        <w:rPr>
          <w:rFonts w:asciiTheme="minorHAnsi" w:hAnsiTheme="minorHAnsi"/>
        </w:rPr>
        <w:t xml:space="preserve"> </w:t>
      </w:r>
      <w:r w:rsidRPr="00AE7A5C">
        <w:rPr>
          <w:rFonts w:asciiTheme="minorHAnsi" w:hAnsiTheme="minorHAnsi"/>
        </w:rPr>
        <w:t xml:space="preserve">Cianferoni A, Garrett JP, Naimi DR, Khullar K, Spergel JM. Predictive values for food challenge-induced severe reactions: development of a simple food challenge score. Isr Med Assoc J. 2012 Jan;14(1):24-8. PubMed PMID: 22624438. </w:t>
      </w:r>
    </w:p>
    <w:p w14:paraId="442F008D" w14:textId="1F7AB102" w:rsidR="001D26D7" w:rsidRPr="00AE7A5C" w:rsidRDefault="001D26D7" w:rsidP="0080453E">
      <w:pPr>
        <w:spacing w:after="0" w:line="360" w:lineRule="auto"/>
        <w:ind w:left="284" w:hanging="284"/>
        <w:jc w:val="both"/>
        <w:rPr>
          <w:rFonts w:asciiTheme="minorHAnsi" w:hAnsiTheme="minorHAnsi"/>
        </w:rPr>
      </w:pPr>
      <w:r w:rsidRPr="00AE7A5C">
        <w:rPr>
          <w:rFonts w:asciiTheme="minorHAnsi" w:hAnsiTheme="minorHAnsi"/>
        </w:rPr>
        <w:t xml:space="preserve">9. </w:t>
      </w:r>
      <w:r w:rsidR="002E6402" w:rsidRPr="00AE7A5C">
        <w:rPr>
          <w:rFonts w:asciiTheme="minorHAnsi" w:hAnsiTheme="minorHAnsi"/>
        </w:rPr>
        <w:t xml:space="preserve"> </w:t>
      </w:r>
      <w:r w:rsidRPr="00AE7A5C">
        <w:rPr>
          <w:rFonts w:asciiTheme="minorHAnsi" w:hAnsiTheme="minorHAnsi"/>
        </w:rPr>
        <w:t>Sampson HA.  Anaphylaxis and emergency treatment. Pediatrics. 2003 Jun;111(6 Pt 3):1601-8. Review. PubMed PMID: 12777599.</w:t>
      </w:r>
    </w:p>
    <w:p w14:paraId="5A34EA94" w14:textId="77777777" w:rsidR="001D26D7" w:rsidRPr="00AE7A5C" w:rsidRDefault="001D26D7" w:rsidP="0080453E">
      <w:pPr>
        <w:spacing w:after="0" w:line="360" w:lineRule="auto"/>
        <w:ind w:left="284" w:hanging="284"/>
        <w:jc w:val="both"/>
        <w:rPr>
          <w:rFonts w:asciiTheme="minorHAnsi" w:hAnsiTheme="minorHAnsi"/>
        </w:rPr>
      </w:pPr>
      <w:r w:rsidRPr="00AE7A5C">
        <w:rPr>
          <w:rFonts w:asciiTheme="minorHAnsi" w:hAnsiTheme="minorHAnsi"/>
        </w:rPr>
        <w:t>10. Hourihane JO, Grimshaw KE, Lewis SA, Briggs RA, Trewin JB, King RM, Kilburn SA, Warner JO. Does severity of low-dose, double-blind, placebo-controlled food challenges reflect severity of allergic reactions to peanut in the community? Clin Exp Allergy. 2005 Sep;35(9):1227-33. PubMed PMID: 16164452.</w:t>
      </w:r>
    </w:p>
    <w:p w14:paraId="3B1802F0" w14:textId="77777777" w:rsidR="001D26D7" w:rsidRPr="00AE7A5C" w:rsidRDefault="001D26D7" w:rsidP="0080453E">
      <w:pPr>
        <w:spacing w:after="0" w:line="360" w:lineRule="auto"/>
        <w:ind w:left="284" w:hanging="284"/>
        <w:jc w:val="both"/>
        <w:rPr>
          <w:rFonts w:asciiTheme="minorHAnsi" w:hAnsiTheme="minorHAnsi"/>
        </w:rPr>
      </w:pPr>
      <w:r w:rsidRPr="00AE7A5C">
        <w:rPr>
          <w:rFonts w:asciiTheme="minorHAnsi" w:hAnsiTheme="minorHAnsi"/>
        </w:rPr>
        <w:lastRenderedPageBreak/>
        <w:t>11. Astier C, Morisset M, Roitel O, Codreanu F, Jacquenet S, Franck P, Ogier V, Petit N, Proust B, Moneret-Vautrin DA, Burks AW, Bihain B, Sampson HA, Kanny G. Predictive value of skin prick tests using recombinant allergens for diagnosis of peanut allergy. J Allergy Clin Immunol. 2006 Jul;118(1):250-6. PubMed PMID: 16815163.</w:t>
      </w:r>
    </w:p>
    <w:p w14:paraId="23357C7E" w14:textId="77777777" w:rsidR="001D26D7" w:rsidRPr="00AE7A5C" w:rsidRDefault="001D26D7" w:rsidP="0080453E">
      <w:pPr>
        <w:spacing w:after="0" w:line="360" w:lineRule="auto"/>
        <w:ind w:left="284" w:hanging="284"/>
        <w:jc w:val="both"/>
        <w:rPr>
          <w:rFonts w:asciiTheme="minorHAnsi" w:hAnsiTheme="minorHAnsi"/>
        </w:rPr>
      </w:pPr>
      <w:r w:rsidRPr="00AE7A5C">
        <w:rPr>
          <w:rFonts w:asciiTheme="minorHAnsi" w:hAnsiTheme="minorHAnsi"/>
        </w:rPr>
        <w:t>12. Ring J, Messmer K. Incidence and severity of anaphylactoid reactions to colloid volume substitutes. Lancet. 1977 Feb 26;1(8009):466-9. PubMed PMID: 65572.</w:t>
      </w:r>
    </w:p>
    <w:p w14:paraId="55F5B64E" w14:textId="77777777" w:rsidR="001D26D7" w:rsidRPr="00AE7A5C" w:rsidRDefault="001D26D7" w:rsidP="0080453E">
      <w:pPr>
        <w:spacing w:after="0" w:line="360" w:lineRule="auto"/>
        <w:ind w:left="284" w:hanging="284"/>
        <w:jc w:val="both"/>
        <w:rPr>
          <w:rFonts w:asciiTheme="minorHAnsi" w:hAnsiTheme="minorHAnsi"/>
        </w:rPr>
      </w:pPr>
      <w:r w:rsidRPr="00AE7A5C">
        <w:rPr>
          <w:rFonts w:asciiTheme="minorHAnsi" w:hAnsiTheme="minorHAnsi"/>
        </w:rPr>
        <w:t>13. Ring J. Anaphylactoid reactions to intravenous solutions used for volume substitution. Clin Rev Allergy. 1991 Fall-Winter;9(3-4):397-414. Review. PubMed PMID: 1723655.</w:t>
      </w:r>
    </w:p>
    <w:p w14:paraId="4E5FA195" w14:textId="77777777" w:rsidR="001D26D7" w:rsidRPr="00AE7A5C" w:rsidRDefault="001D26D7" w:rsidP="0080453E">
      <w:pPr>
        <w:spacing w:after="0" w:line="360" w:lineRule="auto"/>
        <w:ind w:left="284" w:hanging="284"/>
        <w:jc w:val="both"/>
        <w:rPr>
          <w:rFonts w:asciiTheme="minorHAnsi" w:hAnsiTheme="minorHAnsi"/>
          <w:lang w:val="de-DE"/>
        </w:rPr>
      </w:pPr>
      <w:r w:rsidRPr="00AE7A5C">
        <w:rPr>
          <w:rFonts w:asciiTheme="minorHAnsi" w:hAnsiTheme="minorHAnsi"/>
        </w:rPr>
        <w:t xml:space="preserve">14. Lockey RF, Turkeltaub PC, Olive ES, Hubbard JM, Baird-Warren IA, Bukantz SC. The Hymenoptera venom study. III: Safety of venom immunotherapy. J Allergy Clin Immunol. </w:t>
      </w:r>
      <w:r w:rsidRPr="00AE7A5C">
        <w:rPr>
          <w:rFonts w:asciiTheme="minorHAnsi" w:hAnsiTheme="minorHAnsi"/>
          <w:lang w:val="de-DE"/>
        </w:rPr>
        <w:t>1990 Nov;86(5):775-80. PubMed PMID: 2229842.</w:t>
      </w:r>
    </w:p>
    <w:p w14:paraId="45C6A366" w14:textId="77777777" w:rsidR="001D26D7" w:rsidRPr="00AE7A5C" w:rsidRDefault="001D26D7" w:rsidP="0080453E">
      <w:pPr>
        <w:spacing w:after="0" w:line="360" w:lineRule="auto"/>
        <w:ind w:left="284" w:hanging="284"/>
        <w:jc w:val="both"/>
        <w:rPr>
          <w:rFonts w:asciiTheme="minorHAnsi" w:hAnsiTheme="minorHAnsi"/>
        </w:rPr>
      </w:pPr>
      <w:r w:rsidRPr="00AE7A5C">
        <w:rPr>
          <w:rFonts w:asciiTheme="minorHAnsi" w:hAnsiTheme="minorHAnsi"/>
          <w:lang w:val="de-DE"/>
        </w:rPr>
        <w:t xml:space="preserve">15. Golden DB, Kwiterovich KA, Kagey-Sobotka A, Lichtenstein LM. </w:t>
      </w:r>
      <w:r w:rsidRPr="00AE7A5C">
        <w:rPr>
          <w:rFonts w:asciiTheme="minorHAnsi" w:hAnsiTheme="minorHAnsi"/>
        </w:rPr>
        <w:t>Discontinuing venom immunotherapy: extended observations. J Allergy Clin Immunol. 1998 Mar;101(3):298-305. PubMed PMID: 9525443.</w:t>
      </w:r>
    </w:p>
    <w:p w14:paraId="70776AD3" w14:textId="77777777" w:rsidR="001D26D7" w:rsidRPr="00AE7A5C" w:rsidRDefault="001D26D7" w:rsidP="0080453E">
      <w:pPr>
        <w:spacing w:after="0" w:line="360" w:lineRule="auto"/>
        <w:ind w:left="284" w:hanging="284"/>
        <w:jc w:val="both"/>
        <w:rPr>
          <w:rFonts w:asciiTheme="minorHAnsi" w:hAnsiTheme="minorHAnsi"/>
        </w:rPr>
      </w:pPr>
      <w:r w:rsidRPr="00AE7A5C">
        <w:rPr>
          <w:rFonts w:asciiTheme="minorHAnsi" w:hAnsiTheme="minorHAnsi"/>
        </w:rPr>
        <w:t>16. Niggemann B, Beyer K. Factors augmenting allergic reactions. Allergy 2014; 69: 1582–1587. DOI: 10.1111/all.12532</w:t>
      </w:r>
    </w:p>
    <w:p w14:paraId="304A1AA3" w14:textId="77777777" w:rsidR="001D26D7" w:rsidRPr="00AE7A5C" w:rsidRDefault="001D26D7" w:rsidP="0080453E">
      <w:pPr>
        <w:spacing w:after="0" w:line="360" w:lineRule="auto"/>
        <w:ind w:left="284" w:hanging="284"/>
        <w:jc w:val="both"/>
        <w:rPr>
          <w:rFonts w:asciiTheme="minorHAnsi" w:hAnsiTheme="minorHAnsi"/>
        </w:rPr>
      </w:pPr>
      <w:r w:rsidRPr="00AE7A5C">
        <w:rPr>
          <w:rFonts w:asciiTheme="minorHAnsi" w:hAnsiTheme="minorHAnsi"/>
        </w:rPr>
        <w:t xml:space="preserve">17. Hompes S, Dölle S, Grünhagen J, Grabenhenrich L, Worm M. Elicitors and co-factors in food-induced anaphylaxis in adults. Clinical and Translational Allergy 2013, 3:38. </w:t>
      </w:r>
    </w:p>
    <w:p w14:paraId="25ECADF7" w14:textId="77777777" w:rsidR="001D26D7" w:rsidRPr="00AE7A5C" w:rsidRDefault="001D26D7" w:rsidP="0080453E">
      <w:pPr>
        <w:spacing w:after="0" w:line="360" w:lineRule="auto"/>
        <w:ind w:left="284" w:hanging="284"/>
        <w:jc w:val="both"/>
        <w:rPr>
          <w:rFonts w:asciiTheme="minorHAnsi" w:hAnsiTheme="minorHAnsi"/>
        </w:rPr>
      </w:pPr>
      <w:r w:rsidRPr="00AE7A5C">
        <w:rPr>
          <w:rFonts w:asciiTheme="minorHAnsi" w:hAnsiTheme="minorHAnsi"/>
        </w:rPr>
        <w:t>18. Smith PK, Hourihane JO’B, Lieberman P Risk multipliers for severe food anaphylaxis World Allergy Organ J. 2015 Nov 24;8(1):30. www.ncbi.nlm.nih.gov/pubmed/26635908</w:t>
      </w:r>
    </w:p>
    <w:p w14:paraId="03DAB2E7" w14:textId="77777777" w:rsidR="001D26D7" w:rsidRPr="00AE7A5C" w:rsidRDefault="001D26D7" w:rsidP="0080453E">
      <w:pPr>
        <w:spacing w:after="0" w:line="360" w:lineRule="auto"/>
        <w:ind w:left="284" w:hanging="284"/>
        <w:jc w:val="both"/>
        <w:rPr>
          <w:rFonts w:asciiTheme="minorHAnsi" w:hAnsiTheme="minorHAnsi"/>
        </w:rPr>
      </w:pPr>
      <w:r w:rsidRPr="00AE7A5C">
        <w:rPr>
          <w:rFonts w:asciiTheme="minorHAnsi" w:hAnsiTheme="minorHAnsi"/>
        </w:rPr>
        <w:t>19. Noimark L, Wales J, Du Toit, G, Pastacaldi, C, Haddad, D, Gardner, J, Hyer W, Vance, G, Townshend, C, Alfaham, M, Arkwright PD, Rao, R, Kapoor S, Summerfield A, Warner JO, Roberts, G. The use of adrenaline autoinjectors by children and teenagers. Clin Exp Allergy 2012; 42: 284–92.</w:t>
      </w:r>
    </w:p>
    <w:p w14:paraId="780DF70B" w14:textId="77777777" w:rsidR="001D26D7" w:rsidRPr="00AE7A5C" w:rsidRDefault="001D26D7" w:rsidP="0080453E">
      <w:pPr>
        <w:spacing w:after="0" w:line="360" w:lineRule="auto"/>
        <w:ind w:left="284" w:hanging="284"/>
        <w:jc w:val="both"/>
        <w:rPr>
          <w:rFonts w:asciiTheme="minorHAnsi" w:hAnsiTheme="minorHAnsi"/>
        </w:rPr>
      </w:pPr>
      <w:r w:rsidRPr="00AE7A5C">
        <w:rPr>
          <w:rFonts w:asciiTheme="minorHAnsi" w:hAnsiTheme="minorHAnsi"/>
        </w:rPr>
        <w:t xml:space="preserve">20. Worm M, Moneret-Vautrin A, Scherer K, Lang R, Fernandez-Rivas M, Cardona V, Kowalski ML, Jutel M, Poziomkowska-Gesicka I, Papadopoulos NG, Beyer K, Mustakov T, Christoff G, Bilò MB, Muraro A, Hourihane JO, Grabenhenrich LB. First European data from the network of severe allergic reactions (NORA). Allergy 2014; 69: 1397-404. </w:t>
      </w:r>
    </w:p>
    <w:p w14:paraId="4ACB6ADD" w14:textId="77777777" w:rsidR="001D26D7" w:rsidRPr="00AE7A5C" w:rsidRDefault="00EC720E" w:rsidP="0080453E">
      <w:pPr>
        <w:spacing w:after="0" w:line="360" w:lineRule="auto"/>
        <w:ind w:left="284" w:hanging="284"/>
        <w:jc w:val="both"/>
        <w:rPr>
          <w:rFonts w:asciiTheme="minorHAnsi" w:hAnsiTheme="minorHAnsi"/>
        </w:rPr>
      </w:pPr>
      <w:r w:rsidRPr="00AE7A5C">
        <w:rPr>
          <w:rFonts w:asciiTheme="minorHAnsi" w:hAnsiTheme="minorHAnsi"/>
        </w:rPr>
        <w:t xml:space="preserve">21. </w:t>
      </w:r>
      <w:r w:rsidR="001D26D7" w:rsidRPr="00AE7A5C">
        <w:rPr>
          <w:rFonts w:asciiTheme="minorHAnsi" w:hAnsiTheme="minorHAnsi"/>
        </w:rPr>
        <w:t xml:space="preserve">Simons FE, Ardusso LR, Dimov V, Ebisawa M, El-Gamal YM, Lockey RF, Sanchez-Borges M, Senna GE, Sheikh A, Thong BY, Worm M; World Allergy Organization. World Allergy Organization Anaphylaxis Guidelines: 2013 update of the evidence base. Int Arch Allergy Immunol. 2013;162: 193-204. </w:t>
      </w:r>
    </w:p>
    <w:p w14:paraId="78CF8283" w14:textId="77777777" w:rsidR="001D26D7" w:rsidRPr="00AE7A5C" w:rsidRDefault="001D26D7" w:rsidP="0080453E">
      <w:pPr>
        <w:spacing w:after="0" w:line="360" w:lineRule="auto"/>
        <w:ind w:left="284" w:hanging="284"/>
        <w:jc w:val="both"/>
        <w:rPr>
          <w:rFonts w:asciiTheme="minorHAnsi" w:hAnsiTheme="minorHAnsi"/>
        </w:rPr>
      </w:pPr>
      <w:r w:rsidRPr="00AE7A5C">
        <w:rPr>
          <w:rFonts w:asciiTheme="minorHAnsi" w:hAnsiTheme="minorHAnsi"/>
        </w:rPr>
        <w:t>22.</w:t>
      </w:r>
      <w:r w:rsidR="00EC720E" w:rsidRPr="00AE7A5C">
        <w:rPr>
          <w:rFonts w:asciiTheme="minorHAnsi" w:hAnsiTheme="minorHAnsi"/>
        </w:rPr>
        <w:t xml:space="preserve"> </w:t>
      </w:r>
      <w:r w:rsidRPr="00AE7A5C">
        <w:rPr>
          <w:rFonts w:asciiTheme="minorHAnsi" w:hAnsiTheme="minorHAnsi"/>
        </w:rPr>
        <w:t xml:space="preserve">Brown SG, Stone SF, Fatovich DM, Burrows SA, Holdgate A, Celenza A, Coulson A, Hartnett L, Nagree Y, Cotterell C, Isbister GK. Anaphylaxis: clinical patterns, mediator release, and severity. J </w:t>
      </w:r>
      <w:r w:rsidRPr="00AE7A5C">
        <w:rPr>
          <w:rFonts w:asciiTheme="minorHAnsi" w:hAnsiTheme="minorHAnsi"/>
        </w:rPr>
        <w:lastRenderedPageBreak/>
        <w:t>Allergy Clin Immunol. 2013 Nov;132(5):1141-1149.e5. doi: 10.1016/j.jaci.2013.06.015. Epub 2013 Aug 1. PubMed PMID: 23915715.</w:t>
      </w:r>
    </w:p>
    <w:p w14:paraId="4BCEE0D0" w14:textId="77777777" w:rsidR="001D26D7" w:rsidRPr="00AE7A5C" w:rsidRDefault="001D26D7" w:rsidP="0080453E">
      <w:pPr>
        <w:spacing w:after="0" w:line="360" w:lineRule="auto"/>
        <w:ind w:left="284" w:hanging="284"/>
        <w:jc w:val="both"/>
        <w:rPr>
          <w:rFonts w:asciiTheme="minorHAnsi" w:hAnsiTheme="minorHAnsi"/>
        </w:rPr>
      </w:pPr>
      <w:r w:rsidRPr="00AE7A5C">
        <w:rPr>
          <w:rFonts w:asciiTheme="minorHAnsi" w:hAnsiTheme="minorHAnsi"/>
        </w:rPr>
        <w:t>23.</w:t>
      </w:r>
      <w:r w:rsidR="00EC720E" w:rsidRPr="00AE7A5C">
        <w:rPr>
          <w:rFonts w:asciiTheme="minorHAnsi" w:hAnsiTheme="minorHAnsi"/>
        </w:rPr>
        <w:t xml:space="preserve"> </w:t>
      </w:r>
      <w:r w:rsidRPr="00AE7A5C">
        <w:rPr>
          <w:rFonts w:asciiTheme="minorHAnsi" w:hAnsiTheme="minorHAnsi"/>
        </w:rPr>
        <w:t>Brown SG. Clinical features and severity grading of anaphylaxis. J Allergy Clin Immunol. 2004 Aug;114(2):371-6. PubMed PMID: 15316518.</w:t>
      </w:r>
    </w:p>
    <w:p w14:paraId="5A9363E7" w14:textId="77777777" w:rsidR="001D26D7" w:rsidRPr="00AE7A5C" w:rsidRDefault="001D26D7" w:rsidP="0080453E">
      <w:pPr>
        <w:spacing w:after="0" w:line="360" w:lineRule="auto"/>
        <w:ind w:left="284" w:hanging="284"/>
        <w:jc w:val="both"/>
        <w:rPr>
          <w:rFonts w:asciiTheme="minorHAnsi" w:hAnsiTheme="minorHAnsi"/>
        </w:rPr>
      </w:pPr>
      <w:r w:rsidRPr="00AE7A5C">
        <w:rPr>
          <w:rFonts w:asciiTheme="minorHAnsi" w:hAnsiTheme="minorHAnsi"/>
        </w:rPr>
        <w:t>24.</w:t>
      </w:r>
      <w:r w:rsidR="00EC720E" w:rsidRPr="00AE7A5C">
        <w:rPr>
          <w:rFonts w:asciiTheme="minorHAnsi" w:hAnsiTheme="minorHAnsi"/>
        </w:rPr>
        <w:t xml:space="preserve"> </w:t>
      </w:r>
      <w:r w:rsidRPr="00AE7A5C">
        <w:rPr>
          <w:rFonts w:asciiTheme="minorHAnsi" w:hAnsiTheme="minorHAnsi"/>
        </w:rPr>
        <w:t>Cianferoni A, Novembre E, Mugnaini L, Lombardi E, Bernardini R, Pucci N, Vierucci A. Clinical features of acute anaphylaxis in patients admitted to a university hospital: an 11-year retrospective review (1985-1996). Ann Allergy Asthma Immunol. 2001 Jul;87(1):27-32. PubMed PMID: 11476457.</w:t>
      </w:r>
    </w:p>
    <w:p w14:paraId="636C74AD" w14:textId="77777777" w:rsidR="001D26D7" w:rsidRPr="00AE7A5C" w:rsidRDefault="001D26D7" w:rsidP="0080453E">
      <w:pPr>
        <w:spacing w:after="0" w:line="360" w:lineRule="auto"/>
        <w:ind w:left="284" w:hanging="284"/>
        <w:jc w:val="both"/>
        <w:rPr>
          <w:rFonts w:asciiTheme="minorHAnsi" w:hAnsiTheme="minorHAnsi"/>
        </w:rPr>
      </w:pPr>
      <w:r w:rsidRPr="00AE7A5C">
        <w:rPr>
          <w:rFonts w:asciiTheme="minorHAnsi" w:hAnsiTheme="minorHAnsi"/>
        </w:rPr>
        <w:t>25.</w:t>
      </w:r>
      <w:r w:rsidR="00EC720E" w:rsidRPr="00AE7A5C">
        <w:rPr>
          <w:rFonts w:asciiTheme="minorHAnsi" w:hAnsiTheme="minorHAnsi"/>
        </w:rPr>
        <w:t xml:space="preserve"> </w:t>
      </w:r>
      <w:r w:rsidRPr="00AE7A5C">
        <w:rPr>
          <w:rFonts w:asciiTheme="minorHAnsi" w:hAnsiTheme="minorHAnsi"/>
        </w:rPr>
        <w:t xml:space="preserve">Pumphrey RS, Stanworth SJ. The clinical spectrum of anaphylaxis in north-west England. Clin Exp Allergy. 1996 Dec;26(12):1364-70. PubMed PMID: 9027436. </w:t>
      </w:r>
    </w:p>
    <w:p w14:paraId="52C4EFEE" w14:textId="77777777" w:rsidR="001D26D7" w:rsidRPr="00AE7A5C" w:rsidRDefault="001D26D7" w:rsidP="0080453E">
      <w:pPr>
        <w:spacing w:after="0" w:line="360" w:lineRule="auto"/>
        <w:ind w:left="284" w:hanging="284"/>
        <w:jc w:val="both"/>
        <w:rPr>
          <w:rFonts w:asciiTheme="minorHAnsi" w:hAnsiTheme="minorHAnsi"/>
        </w:rPr>
      </w:pPr>
      <w:r w:rsidRPr="00AE7A5C">
        <w:rPr>
          <w:rFonts w:asciiTheme="minorHAnsi" w:hAnsiTheme="minorHAnsi"/>
        </w:rPr>
        <w:t>26.</w:t>
      </w:r>
      <w:r w:rsidR="00EC720E" w:rsidRPr="00AE7A5C">
        <w:rPr>
          <w:rFonts w:asciiTheme="minorHAnsi" w:hAnsiTheme="minorHAnsi"/>
        </w:rPr>
        <w:t xml:space="preserve"> </w:t>
      </w:r>
      <w:r w:rsidRPr="00AE7A5C">
        <w:rPr>
          <w:rFonts w:asciiTheme="minorHAnsi" w:hAnsiTheme="minorHAnsi"/>
        </w:rPr>
        <w:t>Ring J, Behrendt H. Anaphylaxis and anaphylactoid reactions. Classification and pathophysiology. Clin Rev Allergy Immunol. 1999 Winter;17(4):387-99. Review. PubMed PMID: 10829809.</w:t>
      </w:r>
    </w:p>
    <w:p w14:paraId="68356A8E" w14:textId="77777777" w:rsidR="001D26D7" w:rsidRPr="00AE7A5C" w:rsidRDefault="001D26D7" w:rsidP="0080453E">
      <w:pPr>
        <w:spacing w:after="0" w:line="360" w:lineRule="auto"/>
        <w:ind w:left="284" w:hanging="284"/>
        <w:jc w:val="both"/>
        <w:rPr>
          <w:rFonts w:asciiTheme="minorHAnsi" w:hAnsiTheme="minorHAnsi"/>
        </w:rPr>
      </w:pPr>
      <w:r w:rsidRPr="00AE7A5C">
        <w:rPr>
          <w:rFonts w:asciiTheme="minorHAnsi" w:hAnsiTheme="minorHAnsi"/>
        </w:rPr>
        <w:t>27.</w:t>
      </w:r>
      <w:r w:rsidR="00EC720E" w:rsidRPr="00AE7A5C">
        <w:rPr>
          <w:rFonts w:asciiTheme="minorHAnsi" w:hAnsiTheme="minorHAnsi"/>
        </w:rPr>
        <w:t xml:space="preserve"> </w:t>
      </w:r>
      <w:r w:rsidRPr="00AE7A5C">
        <w:rPr>
          <w:rFonts w:asciiTheme="minorHAnsi" w:hAnsiTheme="minorHAnsi"/>
        </w:rPr>
        <w:t>Sampson HA, Gerth van Wijk R, Bindslev-Jensen C, Sicherer S, Teuber SS, Burks AW, Dubois AE, Beyer K, Eigenmann PA, Spergel JM, Werfel T, Chinchilli VM. Standardizing double-blind, placebo-controlled oral food challenges: American Academy of Allergy, Asthma &amp; Immunology-European Academy of Allergy and Clinical Immunology PRACTALL consensus report. J Allergy Clin Immunol. 2012 Dec;130 (6):1260-74. doi: 10.1016/j.jaci.2012.10.017. PubMed PMID: 23195525.</w:t>
      </w:r>
    </w:p>
    <w:p w14:paraId="6445B568" w14:textId="77777777" w:rsidR="001D26D7" w:rsidRPr="00AE7A5C" w:rsidRDefault="001D26D7" w:rsidP="0080453E">
      <w:pPr>
        <w:spacing w:after="0" w:line="360" w:lineRule="auto"/>
        <w:ind w:left="284" w:hanging="284"/>
        <w:jc w:val="both"/>
        <w:rPr>
          <w:rFonts w:asciiTheme="minorHAnsi" w:hAnsiTheme="minorHAnsi"/>
        </w:rPr>
      </w:pPr>
      <w:r w:rsidRPr="00AE7A5C">
        <w:rPr>
          <w:rFonts w:asciiTheme="minorHAnsi" w:hAnsiTheme="minorHAnsi"/>
        </w:rPr>
        <w:t>28.</w:t>
      </w:r>
      <w:r w:rsidR="00EC720E" w:rsidRPr="00AE7A5C">
        <w:rPr>
          <w:rFonts w:asciiTheme="minorHAnsi" w:hAnsiTheme="minorHAnsi"/>
        </w:rPr>
        <w:t xml:space="preserve"> </w:t>
      </w:r>
      <w:r w:rsidRPr="00AE7A5C">
        <w:rPr>
          <w:rFonts w:asciiTheme="minorHAnsi" w:hAnsiTheme="minorHAnsi"/>
        </w:rPr>
        <w:t>Muraro A, Roberts G, Clark A, Eigenmann PA, Halken S, Lack G, Moneret-Vautrin A, Niggemann B, Rancé F; EAACI Task Force on Anaphylaxis in Children. The management of anaphylaxis in childhood: position paper of the European academy of allergology and clinical immunology. Allergy. 2007 Aug;62(8):857-71. Epub 2007 Jun 21. PubMed PMID: 17590200.</w:t>
      </w:r>
    </w:p>
    <w:p w14:paraId="614D3F3B" w14:textId="77777777" w:rsidR="001D26D7" w:rsidRPr="00AE7A5C" w:rsidRDefault="001D26D7" w:rsidP="0080453E">
      <w:pPr>
        <w:spacing w:after="0" w:line="360" w:lineRule="auto"/>
        <w:ind w:left="284" w:hanging="284"/>
        <w:jc w:val="both"/>
        <w:rPr>
          <w:rFonts w:asciiTheme="minorHAnsi" w:hAnsiTheme="minorHAnsi"/>
        </w:rPr>
      </w:pPr>
      <w:r w:rsidRPr="00AE7A5C">
        <w:rPr>
          <w:rFonts w:asciiTheme="minorHAnsi" w:hAnsiTheme="minorHAnsi"/>
        </w:rPr>
        <w:t>29.</w:t>
      </w:r>
      <w:r w:rsidR="00EC720E" w:rsidRPr="00AE7A5C">
        <w:rPr>
          <w:rFonts w:asciiTheme="minorHAnsi" w:hAnsiTheme="minorHAnsi"/>
        </w:rPr>
        <w:t xml:space="preserve"> </w:t>
      </w:r>
      <w:r w:rsidRPr="00AE7A5C">
        <w:rPr>
          <w:rFonts w:asciiTheme="minorHAnsi" w:hAnsiTheme="minorHAnsi"/>
        </w:rPr>
        <w:t>Mueller HL. Diagnosis and treatment of insect sensitivity. J Asthma Res. 1966 Jun;3(4):331-3. PubMed PMID: 4380730.</w:t>
      </w:r>
    </w:p>
    <w:p w14:paraId="6B7F9C36" w14:textId="77777777" w:rsidR="001D26D7" w:rsidRPr="00AE7A5C" w:rsidRDefault="001D26D7" w:rsidP="0080453E">
      <w:pPr>
        <w:spacing w:after="0" w:line="360" w:lineRule="auto"/>
        <w:ind w:left="284" w:hanging="284"/>
        <w:jc w:val="both"/>
        <w:rPr>
          <w:rFonts w:asciiTheme="minorHAnsi" w:hAnsiTheme="minorHAnsi"/>
        </w:rPr>
      </w:pPr>
      <w:r w:rsidRPr="00AE7A5C">
        <w:rPr>
          <w:rFonts w:asciiTheme="minorHAnsi" w:hAnsiTheme="minorHAnsi"/>
        </w:rPr>
        <w:t>30.</w:t>
      </w:r>
      <w:r w:rsidR="00EC720E" w:rsidRPr="00AE7A5C">
        <w:rPr>
          <w:rFonts w:asciiTheme="minorHAnsi" w:hAnsiTheme="minorHAnsi"/>
        </w:rPr>
        <w:t xml:space="preserve"> </w:t>
      </w:r>
      <w:r w:rsidRPr="00AE7A5C">
        <w:rPr>
          <w:rFonts w:asciiTheme="minorHAnsi" w:hAnsiTheme="minorHAnsi"/>
        </w:rPr>
        <w:t xml:space="preserve">Hino A, Maeda T, Haneda Y, Kobayashi T, Yasui M, Kando N, Ito K. [Establishment of "Anaphylaxis Scoring Aichi (ASCA)," a new symptom scoring system to be used in an oral food challenge (OFC)]. Arerugi. 2013 Aug;62(8):968-79. Japanese. PubMed PMID: 24335424. </w:t>
      </w:r>
    </w:p>
    <w:p w14:paraId="1998C565" w14:textId="77777777" w:rsidR="001D26D7" w:rsidRPr="00AE7A5C" w:rsidRDefault="001D26D7" w:rsidP="0080453E">
      <w:pPr>
        <w:spacing w:after="0" w:line="360" w:lineRule="auto"/>
        <w:ind w:left="284" w:hanging="284"/>
        <w:jc w:val="both"/>
        <w:rPr>
          <w:rFonts w:asciiTheme="minorHAnsi" w:hAnsiTheme="minorHAnsi"/>
        </w:rPr>
      </w:pPr>
      <w:r w:rsidRPr="00AE7A5C">
        <w:rPr>
          <w:rFonts w:asciiTheme="minorHAnsi" w:hAnsiTheme="minorHAnsi"/>
          <w:lang w:val="nl-NL"/>
        </w:rPr>
        <w:t>31.</w:t>
      </w:r>
      <w:r w:rsidR="00EC720E" w:rsidRPr="00AE7A5C">
        <w:rPr>
          <w:rFonts w:asciiTheme="minorHAnsi" w:hAnsiTheme="minorHAnsi"/>
          <w:lang w:val="nl-NL"/>
        </w:rPr>
        <w:t xml:space="preserve"> </w:t>
      </w:r>
      <w:r w:rsidRPr="00AE7A5C">
        <w:rPr>
          <w:rFonts w:asciiTheme="minorHAnsi" w:hAnsiTheme="minorHAnsi"/>
          <w:lang w:val="nl-NL"/>
        </w:rPr>
        <w:t xml:space="preserve">Sampson HA, van Wijk RG,  Bindslev-Jensen C,  Sicherer S,  Teuber SS, Burks AW, et al. </w:t>
      </w:r>
      <w:r w:rsidRPr="00AE7A5C">
        <w:rPr>
          <w:rFonts w:asciiTheme="minorHAnsi" w:hAnsiTheme="minorHAnsi"/>
        </w:rPr>
        <w:t>Standardizing double-blind, placebo-controlled oral food challenges: American Academy of Allergy, Asthma &amp; Immunology–European Academy of Allergy and Clinical Immunology PRACTALL consensus report. J Allergy Clin Immunol, 130 (2012), pp. 1260–1274</w:t>
      </w:r>
    </w:p>
    <w:p w14:paraId="14D97E3F" w14:textId="77777777" w:rsidR="001D26D7" w:rsidRPr="00AE7A5C" w:rsidRDefault="001D26D7" w:rsidP="0080453E">
      <w:pPr>
        <w:spacing w:after="0" w:line="360" w:lineRule="auto"/>
        <w:ind w:left="284" w:hanging="284"/>
        <w:jc w:val="both"/>
        <w:rPr>
          <w:rFonts w:asciiTheme="minorHAnsi" w:hAnsiTheme="minorHAnsi"/>
        </w:rPr>
      </w:pPr>
      <w:r w:rsidRPr="00AE7A5C">
        <w:rPr>
          <w:rFonts w:asciiTheme="minorHAnsi" w:hAnsiTheme="minorHAnsi"/>
        </w:rPr>
        <w:t>32.</w:t>
      </w:r>
      <w:r w:rsidR="00EC720E" w:rsidRPr="00AE7A5C">
        <w:rPr>
          <w:rFonts w:asciiTheme="minorHAnsi" w:hAnsiTheme="minorHAnsi"/>
        </w:rPr>
        <w:t xml:space="preserve"> </w:t>
      </w:r>
      <w:r w:rsidRPr="00AE7A5C">
        <w:rPr>
          <w:rFonts w:asciiTheme="minorHAnsi" w:hAnsiTheme="minorHAnsi"/>
        </w:rPr>
        <w:t>Bock SA, Sampson HA, Atkins FM, Zeiger RS, Lehrer S, Sachs M, Bush RK, Metcalfe DD. Double-blind, placebo-controlled food challenge (DBPCFC) as an office procedure: a manual. J Allergy Clin Immunol. 1988 Dec;82(6):986-97. Review. PubMed PMID: 3060514.</w:t>
      </w:r>
    </w:p>
    <w:p w14:paraId="76CD0675" w14:textId="40E5682D" w:rsidR="001D26D7" w:rsidRPr="00AE7A5C" w:rsidRDefault="001D26D7" w:rsidP="0080453E">
      <w:pPr>
        <w:spacing w:after="0" w:line="360" w:lineRule="auto"/>
        <w:ind w:left="284" w:hanging="284"/>
        <w:jc w:val="both"/>
        <w:rPr>
          <w:rFonts w:asciiTheme="minorHAnsi" w:hAnsiTheme="minorHAnsi"/>
        </w:rPr>
      </w:pPr>
      <w:r w:rsidRPr="00AE7A5C">
        <w:rPr>
          <w:rFonts w:asciiTheme="minorHAnsi" w:hAnsiTheme="minorHAnsi"/>
        </w:rPr>
        <w:t>33.</w:t>
      </w:r>
      <w:r w:rsidR="00EC720E" w:rsidRPr="00AE7A5C">
        <w:rPr>
          <w:rFonts w:asciiTheme="minorHAnsi" w:hAnsiTheme="minorHAnsi"/>
        </w:rPr>
        <w:t xml:space="preserve"> </w:t>
      </w:r>
      <w:r w:rsidRPr="00AE7A5C">
        <w:rPr>
          <w:rFonts w:asciiTheme="minorHAnsi" w:hAnsiTheme="minorHAnsi"/>
        </w:rPr>
        <w:t>iFAAM http://www.inflammation-repair.manchester.ac.uk</w:t>
      </w:r>
      <w:r w:rsidRPr="00411D8B">
        <w:rPr>
          <w:rFonts w:asciiTheme="minorHAnsi" w:hAnsiTheme="minorHAnsi"/>
        </w:rPr>
        <w:t xml:space="preserve">/iFAAM/, </w:t>
      </w:r>
      <w:r w:rsidRPr="003F7602">
        <w:rPr>
          <w:rFonts w:asciiTheme="minorHAnsi" w:hAnsiTheme="minorHAnsi"/>
        </w:rPr>
        <w:t xml:space="preserve">accessed 12th </w:t>
      </w:r>
      <w:r w:rsidR="00411D8B" w:rsidRPr="00411D8B">
        <w:rPr>
          <w:rFonts w:asciiTheme="minorHAnsi" w:hAnsiTheme="minorHAnsi"/>
        </w:rPr>
        <w:t>September</w:t>
      </w:r>
      <w:r w:rsidR="00411D8B">
        <w:rPr>
          <w:rFonts w:asciiTheme="minorHAnsi" w:hAnsiTheme="minorHAnsi"/>
        </w:rPr>
        <w:t xml:space="preserve"> 2017</w:t>
      </w:r>
    </w:p>
    <w:p w14:paraId="327DB2F6" w14:textId="77777777" w:rsidR="001D26D7" w:rsidRPr="00AE7A5C" w:rsidRDefault="001D26D7" w:rsidP="0080453E">
      <w:pPr>
        <w:spacing w:after="0" w:line="360" w:lineRule="auto"/>
        <w:ind w:left="284" w:hanging="284"/>
        <w:jc w:val="both"/>
        <w:rPr>
          <w:rFonts w:asciiTheme="minorHAnsi" w:hAnsiTheme="minorHAnsi"/>
          <w:lang w:val="nl-NL"/>
        </w:rPr>
      </w:pPr>
      <w:r w:rsidRPr="00AE7A5C">
        <w:rPr>
          <w:rFonts w:asciiTheme="minorHAnsi" w:hAnsiTheme="minorHAnsi"/>
          <w:lang w:val="de-DE"/>
        </w:rPr>
        <w:lastRenderedPageBreak/>
        <w:t>34.</w:t>
      </w:r>
      <w:r w:rsidR="00EC720E" w:rsidRPr="00AE7A5C">
        <w:rPr>
          <w:rFonts w:asciiTheme="minorHAnsi" w:hAnsiTheme="minorHAnsi"/>
          <w:lang w:val="de-DE"/>
        </w:rPr>
        <w:t xml:space="preserve"> </w:t>
      </w:r>
      <w:r w:rsidRPr="00AE7A5C">
        <w:rPr>
          <w:rFonts w:asciiTheme="minorHAnsi" w:hAnsiTheme="minorHAnsi"/>
          <w:lang w:val="de-DE"/>
        </w:rPr>
        <w:t xml:space="preserve">Johansson SG, Bieber T, Dahl R, Friedmann PS, Lanier BQ, Lockey RF, et al. </w:t>
      </w:r>
      <w:r w:rsidRPr="00AE7A5C">
        <w:rPr>
          <w:rFonts w:asciiTheme="minorHAnsi" w:hAnsiTheme="minorHAnsi"/>
        </w:rPr>
        <w:t xml:space="preserve">Revised nomenclature for allergy for global use: Report of the Nomenclature Review Committee of the World Allergy Organization, October 2003. </w:t>
      </w:r>
      <w:r w:rsidRPr="00AE7A5C">
        <w:rPr>
          <w:rFonts w:asciiTheme="minorHAnsi" w:hAnsiTheme="minorHAnsi"/>
          <w:lang w:val="nl-NL"/>
        </w:rPr>
        <w:t>J Allergy Clin Immunol. 2004;113:832-6.</w:t>
      </w:r>
    </w:p>
    <w:p w14:paraId="1B4755F8" w14:textId="77777777" w:rsidR="001D26D7" w:rsidRPr="00AE7A5C" w:rsidRDefault="00EC720E" w:rsidP="0080453E">
      <w:pPr>
        <w:spacing w:after="0" w:line="360" w:lineRule="auto"/>
        <w:ind w:left="284" w:hanging="284"/>
        <w:jc w:val="both"/>
        <w:rPr>
          <w:rFonts w:asciiTheme="minorHAnsi" w:hAnsiTheme="minorHAnsi"/>
        </w:rPr>
      </w:pPr>
      <w:r w:rsidRPr="00AE7A5C">
        <w:rPr>
          <w:rFonts w:asciiTheme="minorHAnsi" w:hAnsiTheme="minorHAnsi"/>
          <w:lang w:val="nl-NL"/>
        </w:rPr>
        <w:t xml:space="preserve">35. </w:t>
      </w:r>
      <w:r w:rsidR="001D26D7" w:rsidRPr="00AE7A5C">
        <w:rPr>
          <w:rFonts w:asciiTheme="minorHAnsi" w:hAnsiTheme="minorHAnsi"/>
          <w:lang w:val="nl-NL"/>
        </w:rPr>
        <w:t xml:space="preserve">Hogan SP, Wang YH, Strait R, Finkelman FD. </w:t>
      </w:r>
      <w:r w:rsidR="001D26D7" w:rsidRPr="00AE7A5C">
        <w:rPr>
          <w:rFonts w:asciiTheme="minorHAnsi" w:hAnsiTheme="minorHAnsi"/>
        </w:rPr>
        <w:t>Food-induced anaphylaxis: mast cells as modulators of anaphylactic severity.Semin Immunopathol. 2012;34:643-53.</w:t>
      </w:r>
    </w:p>
    <w:p w14:paraId="1AB9D354" w14:textId="77777777" w:rsidR="001D26D7" w:rsidRPr="00AE7A5C" w:rsidRDefault="001D26D7" w:rsidP="0080453E">
      <w:pPr>
        <w:spacing w:after="0" w:line="360" w:lineRule="auto"/>
        <w:ind w:left="284" w:hanging="284"/>
        <w:jc w:val="both"/>
        <w:rPr>
          <w:rFonts w:asciiTheme="minorHAnsi" w:hAnsiTheme="minorHAnsi"/>
        </w:rPr>
      </w:pPr>
      <w:r w:rsidRPr="00AE7A5C">
        <w:rPr>
          <w:rFonts w:asciiTheme="minorHAnsi" w:hAnsiTheme="minorHAnsi"/>
        </w:rPr>
        <w:t>36.</w:t>
      </w:r>
      <w:r w:rsidR="00EC720E" w:rsidRPr="00AE7A5C">
        <w:rPr>
          <w:rFonts w:asciiTheme="minorHAnsi" w:hAnsiTheme="minorHAnsi"/>
        </w:rPr>
        <w:t xml:space="preserve"> </w:t>
      </w:r>
      <w:r w:rsidRPr="00AE7A5C">
        <w:rPr>
          <w:rFonts w:asciiTheme="minorHAnsi" w:hAnsiTheme="minorHAnsi"/>
        </w:rPr>
        <w:t xml:space="preserve">DunnGalvin A, Chan C-H, Crevel R, Grimshaw K, Poms R, Schnadt S, Taylor SL, Turner P, Allen KJ, Austin M, Baka A, Baumert JL, Baumgartner S, Beyer K, Bucchini L, Fernández-Rivas M, Grinter K, Houben GF, Hourihane J, Kenna F, Kruizinga AG, Lack G, Madsen CB, Mills ENC, Papadopoulos NG, Alldrick A, Regent L, Sherlock R, Wal J-M, Roberts G. Precautionary allergen labelling: perspectives from key stakeholder groups. Allergy 2015; 70: 1039-51. </w:t>
      </w:r>
    </w:p>
    <w:p w14:paraId="65ECF4E3" w14:textId="3BDA6701" w:rsidR="001D26D7" w:rsidRPr="00411D8B" w:rsidRDefault="001D26D7" w:rsidP="0080453E">
      <w:pPr>
        <w:spacing w:after="0" w:line="360" w:lineRule="auto"/>
        <w:ind w:left="284" w:hanging="284"/>
        <w:jc w:val="both"/>
        <w:rPr>
          <w:rFonts w:asciiTheme="minorHAnsi" w:hAnsiTheme="minorHAnsi"/>
        </w:rPr>
      </w:pPr>
      <w:r w:rsidRPr="00AE7A5C">
        <w:rPr>
          <w:rFonts w:asciiTheme="minorHAnsi" w:hAnsiTheme="minorHAnsi"/>
        </w:rPr>
        <w:t>37.</w:t>
      </w:r>
      <w:r w:rsidR="00EC720E" w:rsidRPr="00AE7A5C">
        <w:rPr>
          <w:rFonts w:asciiTheme="minorHAnsi" w:hAnsiTheme="minorHAnsi"/>
        </w:rPr>
        <w:t xml:space="preserve"> </w:t>
      </w:r>
      <w:r w:rsidRPr="00AE7A5C">
        <w:rPr>
          <w:rFonts w:asciiTheme="minorHAnsi" w:hAnsiTheme="minorHAnsi"/>
        </w:rPr>
        <w:t xml:space="preserve">UKfar – UK - </w:t>
      </w:r>
      <w:r w:rsidRPr="00411D8B">
        <w:rPr>
          <w:rFonts w:asciiTheme="minorHAnsi" w:hAnsiTheme="minorHAnsi"/>
        </w:rPr>
        <w:t xml:space="preserve">Manchester Anaphylaxis Registry - http://www.cmft.nhs.uk/royal-infirmary/our-services/allergy, </w:t>
      </w:r>
      <w:r w:rsidRPr="003F7602">
        <w:rPr>
          <w:rFonts w:asciiTheme="minorHAnsi" w:hAnsiTheme="minorHAnsi"/>
        </w:rPr>
        <w:t xml:space="preserve">accessed 12 </w:t>
      </w:r>
      <w:r w:rsidR="00411D8B" w:rsidRPr="003F7602">
        <w:rPr>
          <w:rFonts w:asciiTheme="minorHAnsi" w:hAnsiTheme="minorHAnsi"/>
        </w:rPr>
        <w:t>September 2017</w:t>
      </w:r>
      <w:r w:rsidRPr="003F7602">
        <w:rPr>
          <w:rFonts w:asciiTheme="minorHAnsi" w:hAnsiTheme="minorHAnsi"/>
        </w:rPr>
        <w:t>.</w:t>
      </w:r>
      <w:r w:rsidRPr="00411D8B">
        <w:rPr>
          <w:rFonts w:asciiTheme="minorHAnsi" w:hAnsiTheme="minorHAnsi"/>
        </w:rPr>
        <w:t xml:space="preserve"> </w:t>
      </w:r>
    </w:p>
    <w:p w14:paraId="4E7B8B38" w14:textId="77777777" w:rsidR="001D26D7" w:rsidRPr="003F7602" w:rsidRDefault="001D26D7" w:rsidP="0080453E">
      <w:pPr>
        <w:spacing w:after="0" w:line="360" w:lineRule="auto"/>
        <w:ind w:left="284" w:hanging="284"/>
        <w:jc w:val="both"/>
        <w:rPr>
          <w:rFonts w:asciiTheme="minorHAnsi" w:hAnsiTheme="minorHAnsi"/>
        </w:rPr>
      </w:pPr>
      <w:r w:rsidRPr="003F7602">
        <w:rPr>
          <w:rFonts w:asciiTheme="minorHAnsi" w:hAnsiTheme="minorHAnsi"/>
        </w:rPr>
        <w:t>38.</w:t>
      </w:r>
      <w:r w:rsidR="00EC720E" w:rsidRPr="003F7602">
        <w:rPr>
          <w:rFonts w:asciiTheme="minorHAnsi" w:hAnsiTheme="minorHAnsi"/>
        </w:rPr>
        <w:t xml:space="preserve"> </w:t>
      </w:r>
      <w:r w:rsidRPr="003F7602">
        <w:rPr>
          <w:rFonts w:asciiTheme="minorHAnsi" w:hAnsiTheme="minorHAnsi"/>
        </w:rPr>
        <w:t>Grabenhenrich LB, Dölle S, Moneret-Vautrin A, Köhli A, Lange L, Spindler T, Ruëff F, Nemat K, Maris I, Roumpedaki E, Scherer K, Ott H, Reese T, Mustakov T, Lang R, Fernandez-Rivas M, Kowalski ML, Bilò MB, Hourihane JO, Papadopoulos NG, Beyer K, Muraro A, Worm M. Anaphylaxis in children and adolescents: The European Anaphylaxis Registry. J Allergy Clin Immunol, in press,</w:t>
      </w:r>
    </w:p>
    <w:p w14:paraId="7498CC9D" w14:textId="77777777" w:rsidR="00A87C58" w:rsidRPr="003F7602" w:rsidRDefault="00A87C58" w:rsidP="0080453E">
      <w:pPr>
        <w:spacing w:after="0" w:line="360" w:lineRule="auto"/>
        <w:ind w:left="284" w:hanging="284"/>
        <w:jc w:val="both"/>
        <w:rPr>
          <w:rFonts w:asciiTheme="minorHAnsi" w:hAnsiTheme="minorHAnsi"/>
        </w:rPr>
      </w:pPr>
      <w:r w:rsidRPr="003F7602">
        <w:rPr>
          <w:rFonts w:asciiTheme="minorHAnsi" w:hAnsiTheme="minorHAnsi"/>
        </w:rPr>
        <w:t>39. Bock SA, Munoz-Furlong A, Sampson HA. Further fatalities caused by anaphylactic reactions to food, 2001-2006 1. J Allergy Clin Immunol. 2007;119(4):1016-8.</w:t>
      </w:r>
    </w:p>
    <w:p w14:paraId="24EEAB1B" w14:textId="44AE7757" w:rsidR="001D26D7" w:rsidRPr="003F7602" w:rsidRDefault="00A87C58" w:rsidP="0080453E">
      <w:pPr>
        <w:spacing w:after="0" w:line="360" w:lineRule="auto"/>
        <w:ind w:left="284" w:hanging="284"/>
        <w:jc w:val="both"/>
        <w:rPr>
          <w:rFonts w:asciiTheme="minorHAnsi" w:hAnsiTheme="minorHAnsi"/>
        </w:rPr>
      </w:pPr>
      <w:r w:rsidRPr="003F7602">
        <w:rPr>
          <w:rFonts w:asciiTheme="minorHAnsi" w:hAnsiTheme="minorHAnsi"/>
        </w:rPr>
        <w:t xml:space="preserve">40. </w:t>
      </w:r>
      <w:r w:rsidR="001D26D7" w:rsidRPr="003F7602">
        <w:rPr>
          <w:rFonts w:asciiTheme="minorHAnsi" w:hAnsiTheme="minorHAnsi"/>
        </w:rPr>
        <w:t xml:space="preserve">PICAnet - http://www.picanet.org.uk/, accessed 12th </w:t>
      </w:r>
      <w:r w:rsidR="00411D8B" w:rsidRPr="00411D8B">
        <w:rPr>
          <w:rFonts w:asciiTheme="minorHAnsi" w:hAnsiTheme="minorHAnsi"/>
        </w:rPr>
        <w:t>September 2017</w:t>
      </w:r>
    </w:p>
    <w:p w14:paraId="7326FF40" w14:textId="77777777" w:rsidR="001D26D7" w:rsidRPr="00AE7A5C" w:rsidRDefault="00A87C58" w:rsidP="0080453E">
      <w:pPr>
        <w:spacing w:after="0" w:line="360" w:lineRule="auto"/>
        <w:ind w:left="284" w:hanging="284"/>
        <w:jc w:val="both"/>
        <w:rPr>
          <w:rFonts w:asciiTheme="minorHAnsi" w:hAnsiTheme="minorHAnsi"/>
        </w:rPr>
      </w:pPr>
      <w:r w:rsidRPr="003F7602">
        <w:rPr>
          <w:rFonts w:asciiTheme="minorHAnsi" w:hAnsiTheme="minorHAnsi"/>
        </w:rPr>
        <w:t xml:space="preserve">41. </w:t>
      </w:r>
      <w:r w:rsidR="001D26D7" w:rsidRPr="003F7602">
        <w:rPr>
          <w:rFonts w:asciiTheme="minorHAnsi" w:hAnsiTheme="minorHAnsi"/>
        </w:rPr>
        <w:t>Gomez F, Aranda A, Campo P, Diaz-Perales A, Blanca-Lopez N, et al. (2014) High Prevalence of Lipid Transfer Protein Sensitization in Apple Allergic Patients with</w:t>
      </w:r>
      <w:r w:rsidR="001D26D7" w:rsidRPr="00AE7A5C">
        <w:rPr>
          <w:rFonts w:asciiTheme="minorHAnsi" w:hAnsiTheme="minorHAnsi"/>
        </w:rPr>
        <w:t xml:space="preserve"> Systemic Symptoms. PLoS ONE 9(9): e107304. doi:10.1371/journal.pone.0107304. </w:t>
      </w:r>
    </w:p>
    <w:p w14:paraId="3A1B2F4A" w14:textId="77777777" w:rsidR="001D26D7" w:rsidRPr="00AE7A5C" w:rsidRDefault="00A87C58" w:rsidP="0080453E">
      <w:pPr>
        <w:spacing w:after="0" w:line="360" w:lineRule="auto"/>
        <w:ind w:left="284" w:hanging="284"/>
        <w:jc w:val="both"/>
        <w:rPr>
          <w:rFonts w:asciiTheme="minorHAnsi" w:hAnsiTheme="minorHAnsi"/>
        </w:rPr>
      </w:pPr>
      <w:r w:rsidRPr="00AE7A5C">
        <w:rPr>
          <w:rFonts w:asciiTheme="minorHAnsi" w:hAnsiTheme="minorHAnsi"/>
        </w:rPr>
        <w:t>42</w:t>
      </w:r>
      <w:r w:rsidR="001D26D7" w:rsidRPr="00AE7A5C">
        <w:rPr>
          <w:rFonts w:asciiTheme="minorHAnsi" w:hAnsiTheme="minorHAnsi"/>
        </w:rPr>
        <w:t>.</w:t>
      </w:r>
      <w:r w:rsidRPr="00AE7A5C">
        <w:rPr>
          <w:rFonts w:asciiTheme="minorHAnsi" w:hAnsiTheme="minorHAnsi"/>
        </w:rPr>
        <w:t xml:space="preserve"> </w:t>
      </w:r>
      <w:r w:rsidR="001D26D7" w:rsidRPr="00AE7A5C">
        <w:rPr>
          <w:rFonts w:asciiTheme="minorHAnsi" w:hAnsiTheme="minorHAnsi"/>
        </w:rPr>
        <w:t>Luciana Tanno, Moises Calderon, Nikolaos Papadopoulos, Pascal Demoly, on behalf of the EAACI/WAO Task force of a Global Classification of Hypersensitivity/Allergic diseases.  Mapping hypersensitivity/allergic diseases in the International Classification of Diseases (ICD)-11: cross-linking terms and unmet needs. Clinical and Translational Allergy 2015, 5:20 (3 June 2015)</w:t>
      </w:r>
    </w:p>
    <w:p w14:paraId="3FF1F93B" w14:textId="77777777" w:rsidR="001D26D7" w:rsidRPr="00AE7A5C" w:rsidRDefault="00A87C58" w:rsidP="0080453E">
      <w:pPr>
        <w:spacing w:after="0" w:line="360" w:lineRule="auto"/>
        <w:ind w:left="284" w:hanging="284"/>
        <w:jc w:val="both"/>
        <w:rPr>
          <w:rFonts w:asciiTheme="minorHAnsi" w:hAnsiTheme="minorHAnsi"/>
        </w:rPr>
      </w:pPr>
      <w:r w:rsidRPr="00AE7A5C">
        <w:rPr>
          <w:rFonts w:asciiTheme="minorHAnsi" w:hAnsiTheme="minorHAnsi"/>
        </w:rPr>
        <w:t>43</w:t>
      </w:r>
      <w:r w:rsidR="001D26D7" w:rsidRPr="00AE7A5C">
        <w:rPr>
          <w:rFonts w:asciiTheme="minorHAnsi" w:hAnsiTheme="minorHAnsi"/>
        </w:rPr>
        <w:t>.</w:t>
      </w:r>
      <w:r w:rsidRPr="00AE7A5C">
        <w:rPr>
          <w:rFonts w:asciiTheme="minorHAnsi" w:hAnsiTheme="minorHAnsi"/>
        </w:rPr>
        <w:t xml:space="preserve"> </w:t>
      </w:r>
      <w:r w:rsidR="001D26D7" w:rsidRPr="00AE7A5C">
        <w:rPr>
          <w:rFonts w:asciiTheme="minorHAnsi" w:hAnsiTheme="minorHAnsi"/>
        </w:rPr>
        <w:t>Luciana Tanno, Moises A Calderon, Bruce J Goldberg, Cezmi A Akdis, Nikolaos G Papadopoulos, Pascal Demoly. Categorization of allergic disorders in the new World Health Organization International Classification of Diseases. Clinical and Translational Allergy 2014, 4:42 (28 November 2014)</w:t>
      </w:r>
    </w:p>
    <w:p w14:paraId="40F333FC" w14:textId="77777777" w:rsidR="001D26D7" w:rsidRPr="00AE7A5C" w:rsidRDefault="00A87C58" w:rsidP="0080453E">
      <w:pPr>
        <w:spacing w:after="0" w:line="360" w:lineRule="auto"/>
        <w:ind w:left="284" w:hanging="284"/>
        <w:jc w:val="both"/>
        <w:rPr>
          <w:rFonts w:asciiTheme="minorHAnsi" w:hAnsiTheme="minorHAnsi"/>
        </w:rPr>
      </w:pPr>
      <w:r w:rsidRPr="00AE7A5C">
        <w:rPr>
          <w:rFonts w:asciiTheme="minorHAnsi" w:hAnsiTheme="minorHAnsi"/>
        </w:rPr>
        <w:t>44</w:t>
      </w:r>
      <w:r w:rsidR="001D26D7" w:rsidRPr="00AE7A5C">
        <w:rPr>
          <w:rFonts w:asciiTheme="minorHAnsi" w:hAnsiTheme="minorHAnsi"/>
        </w:rPr>
        <w:t>.</w:t>
      </w:r>
      <w:r w:rsidRPr="00AE7A5C">
        <w:rPr>
          <w:rFonts w:asciiTheme="minorHAnsi" w:hAnsiTheme="minorHAnsi"/>
        </w:rPr>
        <w:t xml:space="preserve"> </w:t>
      </w:r>
      <w:r w:rsidR="001D26D7" w:rsidRPr="00AE7A5C">
        <w:rPr>
          <w:rFonts w:asciiTheme="minorHAnsi" w:hAnsiTheme="minorHAnsi"/>
        </w:rPr>
        <w:t>Cresswell K, Majeed A, Bates DW, Sheikh A. Computerised decision support systems for healthcare professionals: an interpretative review. Inform Prim Care. 2012;20(2):115-28.</w:t>
      </w:r>
    </w:p>
    <w:p w14:paraId="4D1E256F" w14:textId="77777777" w:rsidR="00D14FEB" w:rsidRPr="00034439" w:rsidRDefault="00A87C58" w:rsidP="0080453E">
      <w:pPr>
        <w:pStyle w:val="ColorfulList-Accent11"/>
        <w:spacing w:after="0" w:line="360" w:lineRule="auto"/>
        <w:ind w:left="284" w:hanging="284"/>
        <w:contextualSpacing w:val="0"/>
        <w:rPr>
          <w:rFonts w:asciiTheme="minorHAnsi" w:hAnsiTheme="minorHAnsi"/>
          <w:bCs/>
        </w:rPr>
      </w:pPr>
      <w:r w:rsidRPr="00AE7A5C">
        <w:rPr>
          <w:rFonts w:asciiTheme="minorHAnsi" w:hAnsiTheme="minorHAnsi"/>
        </w:rPr>
        <w:t>45</w:t>
      </w:r>
      <w:r w:rsidR="001D26D7" w:rsidRPr="00AE7A5C">
        <w:rPr>
          <w:rFonts w:asciiTheme="minorHAnsi" w:hAnsiTheme="minorHAnsi"/>
        </w:rPr>
        <w:t>.</w:t>
      </w:r>
      <w:r w:rsidRPr="00AE7A5C">
        <w:rPr>
          <w:rFonts w:asciiTheme="minorHAnsi" w:hAnsiTheme="minorHAnsi"/>
        </w:rPr>
        <w:t xml:space="preserve"> </w:t>
      </w:r>
      <w:r w:rsidR="001D26D7" w:rsidRPr="00AE7A5C">
        <w:rPr>
          <w:rFonts w:asciiTheme="minorHAnsi" w:hAnsiTheme="minorHAnsi"/>
        </w:rPr>
        <w:t>Sheikh A, Smeeth L, Ashcroft R. Randomised controlled trials in primary care: scope and application. Br J Gen Pract. 2002 Sep;52(482):746-51</w:t>
      </w:r>
    </w:p>
    <w:sectPr w:rsidR="00D14FEB" w:rsidRPr="00034439" w:rsidSect="00B0040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2B274" w14:textId="77777777" w:rsidR="00310BD2" w:rsidRDefault="00310BD2" w:rsidP="00460A01">
      <w:pPr>
        <w:spacing w:after="0" w:line="240" w:lineRule="auto"/>
      </w:pPr>
      <w:r>
        <w:separator/>
      </w:r>
    </w:p>
  </w:endnote>
  <w:endnote w:type="continuationSeparator" w:id="0">
    <w:p w14:paraId="30D88E36" w14:textId="77777777" w:rsidR="00310BD2" w:rsidRDefault="00310BD2" w:rsidP="00460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DF906" w14:textId="0802F18C" w:rsidR="00260ABE" w:rsidRDefault="00260ABE" w:rsidP="00460A01">
    <w:pPr>
      <w:pStyle w:val="Footer"/>
      <w:jc w:val="center"/>
      <w:rPr>
        <w:caps/>
        <w:noProof/>
        <w:color w:val="5B9BD5"/>
      </w:rPr>
    </w:pPr>
    <w:r w:rsidRPr="00B607FA">
      <w:rPr>
        <w:color w:val="000000" w:themeColor="text1"/>
      </w:rPr>
      <w:t xml:space="preserve">Harmonised severity scoring of allergic reactions </w:t>
    </w:r>
    <w:r>
      <w:rPr>
        <w:color w:val="000000" w:themeColor="text1"/>
      </w:rPr>
      <w:t xml:space="preserve">          Final</w:t>
    </w:r>
    <w:r w:rsidRPr="0080453E">
      <w:rPr>
        <w:color w:val="000000" w:themeColor="text1"/>
      </w:rPr>
      <w:t xml:space="preserve">         </w:t>
    </w:r>
    <w:r>
      <w:rPr>
        <w:color w:val="000000" w:themeColor="text1"/>
      </w:rPr>
      <w:t>1</w:t>
    </w:r>
    <w:r w:rsidR="00ED7320">
      <w:rPr>
        <w:color w:val="000000" w:themeColor="text1"/>
      </w:rPr>
      <w:t>6</w:t>
    </w:r>
    <w:r>
      <w:rPr>
        <w:color w:val="000000" w:themeColor="text1"/>
      </w:rPr>
      <w:t xml:space="preserve"> 0</w:t>
    </w:r>
    <w:r w:rsidR="00ED7320">
      <w:rPr>
        <w:color w:val="000000" w:themeColor="text1"/>
      </w:rPr>
      <w:t>9</w:t>
    </w:r>
    <w:r>
      <w:rPr>
        <w:color w:val="000000" w:themeColor="text1"/>
      </w:rPr>
      <w:t xml:space="preserve"> </w:t>
    </w:r>
    <w:r w:rsidRPr="0080453E">
      <w:rPr>
        <w:color w:val="000000" w:themeColor="text1"/>
      </w:rPr>
      <w:t xml:space="preserve">2017 </w:t>
    </w:r>
    <w:r w:rsidRPr="0080453E">
      <w:rPr>
        <w:caps/>
        <w:color w:val="000000" w:themeColor="text1"/>
      </w:rPr>
      <w:tab/>
    </w:r>
    <w:r w:rsidRPr="0080453E">
      <w:rPr>
        <w:caps/>
        <w:color w:val="000000" w:themeColor="text1"/>
      </w:rPr>
      <w:fldChar w:fldCharType="begin"/>
    </w:r>
    <w:r w:rsidRPr="0080453E">
      <w:rPr>
        <w:caps/>
        <w:color w:val="000000" w:themeColor="text1"/>
      </w:rPr>
      <w:instrText xml:space="preserve"> PAGE   \* MERGEFORMAT </w:instrText>
    </w:r>
    <w:r w:rsidRPr="0080453E">
      <w:rPr>
        <w:caps/>
        <w:color w:val="000000" w:themeColor="text1"/>
      </w:rPr>
      <w:fldChar w:fldCharType="separate"/>
    </w:r>
    <w:r w:rsidR="007C4166">
      <w:rPr>
        <w:caps/>
        <w:noProof/>
        <w:color w:val="000000" w:themeColor="text1"/>
      </w:rPr>
      <w:t>1</w:t>
    </w:r>
    <w:r w:rsidRPr="0080453E">
      <w:rPr>
        <w:caps/>
        <w:noProof/>
        <w:color w:val="000000" w:themeColor="text1"/>
      </w:rPr>
      <w:fldChar w:fldCharType="end"/>
    </w:r>
  </w:p>
  <w:p w14:paraId="33F732C6" w14:textId="77777777" w:rsidR="00260ABE" w:rsidRDefault="00260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9A3AD" w14:textId="77777777" w:rsidR="00310BD2" w:rsidRDefault="00310BD2" w:rsidP="00460A01">
      <w:pPr>
        <w:spacing w:after="0" w:line="240" w:lineRule="auto"/>
      </w:pPr>
      <w:r>
        <w:separator/>
      </w:r>
    </w:p>
  </w:footnote>
  <w:footnote w:type="continuationSeparator" w:id="0">
    <w:p w14:paraId="19388347" w14:textId="77777777" w:rsidR="00310BD2" w:rsidRDefault="00310BD2" w:rsidP="00460A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398FD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90D67"/>
    <w:multiLevelType w:val="hybridMultilevel"/>
    <w:tmpl w:val="C4767BD0"/>
    <w:lvl w:ilvl="0" w:tplc="747A080C">
      <w:start w:val="1"/>
      <w:numFmt w:val="decimal"/>
      <w:lvlText w:val="%1."/>
      <w:lvlJc w:val="left"/>
      <w:pPr>
        <w:tabs>
          <w:tab w:val="num" w:pos="720"/>
        </w:tabs>
        <w:ind w:left="720" w:hanging="360"/>
      </w:pPr>
    </w:lvl>
    <w:lvl w:ilvl="1" w:tplc="2E664F0C" w:tentative="1">
      <w:start w:val="1"/>
      <w:numFmt w:val="decimal"/>
      <w:lvlText w:val="%2."/>
      <w:lvlJc w:val="left"/>
      <w:pPr>
        <w:tabs>
          <w:tab w:val="num" w:pos="1440"/>
        </w:tabs>
        <w:ind w:left="1440" w:hanging="360"/>
      </w:pPr>
    </w:lvl>
    <w:lvl w:ilvl="2" w:tplc="D4267028" w:tentative="1">
      <w:start w:val="1"/>
      <w:numFmt w:val="decimal"/>
      <w:lvlText w:val="%3."/>
      <w:lvlJc w:val="left"/>
      <w:pPr>
        <w:tabs>
          <w:tab w:val="num" w:pos="2160"/>
        </w:tabs>
        <w:ind w:left="2160" w:hanging="360"/>
      </w:pPr>
    </w:lvl>
    <w:lvl w:ilvl="3" w:tplc="489ACF44" w:tentative="1">
      <w:start w:val="1"/>
      <w:numFmt w:val="decimal"/>
      <w:lvlText w:val="%4."/>
      <w:lvlJc w:val="left"/>
      <w:pPr>
        <w:tabs>
          <w:tab w:val="num" w:pos="2880"/>
        </w:tabs>
        <w:ind w:left="2880" w:hanging="360"/>
      </w:pPr>
    </w:lvl>
    <w:lvl w:ilvl="4" w:tplc="24423B48" w:tentative="1">
      <w:start w:val="1"/>
      <w:numFmt w:val="decimal"/>
      <w:lvlText w:val="%5."/>
      <w:lvlJc w:val="left"/>
      <w:pPr>
        <w:tabs>
          <w:tab w:val="num" w:pos="3600"/>
        </w:tabs>
        <w:ind w:left="3600" w:hanging="360"/>
      </w:pPr>
    </w:lvl>
    <w:lvl w:ilvl="5" w:tplc="C3C8418C" w:tentative="1">
      <w:start w:val="1"/>
      <w:numFmt w:val="decimal"/>
      <w:lvlText w:val="%6."/>
      <w:lvlJc w:val="left"/>
      <w:pPr>
        <w:tabs>
          <w:tab w:val="num" w:pos="4320"/>
        </w:tabs>
        <w:ind w:left="4320" w:hanging="360"/>
      </w:pPr>
    </w:lvl>
    <w:lvl w:ilvl="6" w:tplc="E8C46112" w:tentative="1">
      <w:start w:val="1"/>
      <w:numFmt w:val="decimal"/>
      <w:lvlText w:val="%7."/>
      <w:lvlJc w:val="left"/>
      <w:pPr>
        <w:tabs>
          <w:tab w:val="num" w:pos="5040"/>
        </w:tabs>
        <w:ind w:left="5040" w:hanging="360"/>
      </w:pPr>
    </w:lvl>
    <w:lvl w:ilvl="7" w:tplc="7C9E175C" w:tentative="1">
      <w:start w:val="1"/>
      <w:numFmt w:val="decimal"/>
      <w:lvlText w:val="%8."/>
      <w:lvlJc w:val="left"/>
      <w:pPr>
        <w:tabs>
          <w:tab w:val="num" w:pos="5760"/>
        </w:tabs>
        <w:ind w:left="5760" w:hanging="360"/>
      </w:pPr>
    </w:lvl>
    <w:lvl w:ilvl="8" w:tplc="6AA82618" w:tentative="1">
      <w:start w:val="1"/>
      <w:numFmt w:val="decimal"/>
      <w:lvlText w:val="%9."/>
      <w:lvlJc w:val="left"/>
      <w:pPr>
        <w:tabs>
          <w:tab w:val="num" w:pos="6480"/>
        </w:tabs>
        <w:ind w:left="6480" w:hanging="360"/>
      </w:pPr>
    </w:lvl>
  </w:abstractNum>
  <w:abstractNum w:abstractNumId="2" w15:restartNumberingAfterBreak="0">
    <w:nsid w:val="086F41A8"/>
    <w:multiLevelType w:val="hybridMultilevel"/>
    <w:tmpl w:val="590693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B8602B"/>
    <w:multiLevelType w:val="hybridMultilevel"/>
    <w:tmpl w:val="5E8A3938"/>
    <w:lvl w:ilvl="0" w:tplc="70F287DE">
      <w:start w:val="1"/>
      <w:numFmt w:val="bullet"/>
      <w:lvlText w:val="•"/>
      <w:lvlJc w:val="left"/>
      <w:pPr>
        <w:tabs>
          <w:tab w:val="num" w:pos="720"/>
        </w:tabs>
        <w:ind w:left="720" w:hanging="360"/>
      </w:pPr>
      <w:rPr>
        <w:rFonts w:ascii="Arial" w:hAnsi="Arial" w:hint="default"/>
      </w:rPr>
    </w:lvl>
    <w:lvl w:ilvl="1" w:tplc="B09AAE6E" w:tentative="1">
      <w:start w:val="1"/>
      <w:numFmt w:val="bullet"/>
      <w:lvlText w:val="•"/>
      <w:lvlJc w:val="left"/>
      <w:pPr>
        <w:tabs>
          <w:tab w:val="num" w:pos="1440"/>
        </w:tabs>
        <w:ind w:left="1440" w:hanging="360"/>
      </w:pPr>
      <w:rPr>
        <w:rFonts w:ascii="Arial" w:hAnsi="Arial" w:hint="default"/>
      </w:rPr>
    </w:lvl>
    <w:lvl w:ilvl="2" w:tplc="24509BF2" w:tentative="1">
      <w:start w:val="1"/>
      <w:numFmt w:val="bullet"/>
      <w:lvlText w:val="•"/>
      <w:lvlJc w:val="left"/>
      <w:pPr>
        <w:tabs>
          <w:tab w:val="num" w:pos="2160"/>
        </w:tabs>
        <w:ind w:left="2160" w:hanging="360"/>
      </w:pPr>
      <w:rPr>
        <w:rFonts w:ascii="Arial" w:hAnsi="Arial" w:hint="default"/>
      </w:rPr>
    </w:lvl>
    <w:lvl w:ilvl="3" w:tplc="389E5670" w:tentative="1">
      <w:start w:val="1"/>
      <w:numFmt w:val="bullet"/>
      <w:lvlText w:val="•"/>
      <w:lvlJc w:val="left"/>
      <w:pPr>
        <w:tabs>
          <w:tab w:val="num" w:pos="2880"/>
        </w:tabs>
        <w:ind w:left="2880" w:hanging="360"/>
      </w:pPr>
      <w:rPr>
        <w:rFonts w:ascii="Arial" w:hAnsi="Arial" w:hint="default"/>
      </w:rPr>
    </w:lvl>
    <w:lvl w:ilvl="4" w:tplc="661E0BFA" w:tentative="1">
      <w:start w:val="1"/>
      <w:numFmt w:val="bullet"/>
      <w:lvlText w:val="•"/>
      <w:lvlJc w:val="left"/>
      <w:pPr>
        <w:tabs>
          <w:tab w:val="num" w:pos="3600"/>
        </w:tabs>
        <w:ind w:left="3600" w:hanging="360"/>
      </w:pPr>
      <w:rPr>
        <w:rFonts w:ascii="Arial" w:hAnsi="Arial" w:hint="default"/>
      </w:rPr>
    </w:lvl>
    <w:lvl w:ilvl="5" w:tplc="D87CA9CC" w:tentative="1">
      <w:start w:val="1"/>
      <w:numFmt w:val="bullet"/>
      <w:lvlText w:val="•"/>
      <w:lvlJc w:val="left"/>
      <w:pPr>
        <w:tabs>
          <w:tab w:val="num" w:pos="4320"/>
        </w:tabs>
        <w:ind w:left="4320" w:hanging="360"/>
      </w:pPr>
      <w:rPr>
        <w:rFonts w:ascii="Arial" w:hAnsi="Arial" w:hint="default"/>
      </w:rPr>
    </w:lvl>
    <w:lvl w:ilvl="6" w:tplc="81B44E76" w:tentative="1">
      <w:start w:val="1"/>
      <w:numFmt w:val="bullet"/>
      <w:lvlText w:val="•"/>
      <w:lvlJc w:val="left"/>
      <w:pPr>
        <w:tabs>
          <w:tab w:val="num" w:pos="5040"/>
        </w:tabs>
        <w:ind w:left="5040" w:hanging="360"/>
      </w:pPr>
      <w:rPr>
        <w:rFonts w:ascii="Arial" w:hAnsi="Arial" w:hint="default"/>
      </w:rPr>
    </w:lvl>
    <w:lvl w:ilvl="7" w:tplc="86E0AD28" w:tentative="1">
      <w:start w:val="1"/>
      <w:numFmt w:val="bullet"/>
      <w:lvlText w:val="•"/>
      <w:lvlJc w:val="left"/>
      <w:pPr>
        <w:tabs>
          <w:tab w:val="num" w:pos="5760"/>
        </w:tabs>
        <w:ind w:left="5760" w:hanging="360"/>
      </w:pPr>
      <w:rPr>
        <w:rFonts w:ascii="Arial" w:hAnsi="Arial" w:hint="default"/>
      </w:rPr>
    </w:lvl>
    <w:lvl w:ilvl="8" w:tplc="4E0EE7E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B7474A6"/>
    <w:multiLevelType w:val="hybridMultilevel"/>
    <w:tmpl w:val="C8BEA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8224A7"/>
    <w:multiLevelType w:val="hybridMultilevel"/>
    <w:tmpl w:val="C9FC4952"/>
    <w:lvl w:ilvl="0" w:tplc="26784636">
      <w:start w:val="1"/>
      <w:numFmt w:val="bullet"/>
      <w:lvlText w:val="-"/>
      <w:lvlJc w:val="left"/>
      <w:pPr>
        <w:tabs>
          <w:tab w:val="num" w:pos="720"/>
        </w:tabs>
        <w:ind w:left="720" w:hanging="360"/>
      </w:pPr>
      <w:rPr>
        <w:rFonts w:ascii="Times New Roman" w:hAnsi="Times New Roman" w:hint="default"/>
      </w:rPr>
    </w:lvl>
    <w:lvl w:ilvl="1" w:tplc="047ED9E4" w:tentative="1">
      <w:start w:val="1"/>
      <w:numFmt w:val="bullet"/>
      <w:lvlText w:val="-"/>
      <w:lvlJc w:val="left"/>
      <w:pPr>
        <w:tabs>
          <w:tab w:val="num" w:pos="1440"/>
        </w:tabs>
        <w:ind w:left="1440" w:hanging="360"/>
      </w:pPr>
      <w:rPr>
        <w:rFonts w:ascii="Times New Roman" w:hAnsi="Times New Roman" w:hint="default"/>
      </w:rPr>
    </w:lvl>
    <w:lvl w:ilvl="2" w:tplc="92DCA034" w:tentative="1">
      <w:start w:val="1"/>
      <w:numFmt w:val="bullet"/>
      <w:lvlText w:val="-"/>
      <w:lvlJc w:val="left"/>
      <w:pPr>
        <w:tabs>
          <w:tab w:val="num" w:pos="2160"/>
        </w:tabs>
        <w:ind w:left="2160" w:hanging="360"/>
      </w:pPr>
      <w:rPr>
        <w:rFonts w:ascii="Times New Roman" w:hAnsi="Times New Roman" w:hint="default"/>
      </w:rPr>
    </w:lvl>
    <w:lvl w:ilvl="3" w:tplc="8BFE1690" w:tentative="1">
      <w:start w:val="1"/>
      <w:numFmt w:val="bullet"/>
      <w:lvlText w:val="-"/>
      <w:lvlJc w:val="left"/>
      <w:pPr>
        <w:tabs>
          <w:tab w:val="num" w:pos="2880"/>
        </w:tabs>
        <w:ind w:left="2880" w:hanging="360"/>
      </w:pPr>
      <w:rPr>
        <w:rFonts w:ascii="Times New Roman" w:hAnsi="Times New Roman" w:hint="default"/>
      </w:rPr>
    </w:lvl>
    <w:lvl w:ilvl="4" w:tplc="D6309958" w:tentative="1">
      <w:start w:val="1"/>
      <w:numFmt w:val="bullet"/>
      <w:lvlText w:val="-"/>
      <w:lvlJc w:val="left"/>
      <w:pPr>
        <w:tabs>
          <w:tab w:val="num" w:pos="3600"/>
        </w:tabs>
        <w:ind w:left="3600" w:hanging="360"/>
      </w:pPr>
      <w:rPr>
        <w:rFonts w:ascii="Times New Roman" w:hAnsi="Times New Roman" w:hint="default"/>
      </w:rPr>
    </w:lvl>
    <w:lvl w:ilvl="5" w:tplc="6A8873D0" w:tentative="1">
      <w:start w:val="1"/>
      <w:numFmt w:val="bullet"/>
      <w:lvlText w:val="-"/>
      <w:lvlJc w:val="left"/>
      <w:pPr>
        <w:tabs>
          <w:tab w:val="num" w:pos="4320"/>
        </w:tabs>
        <w:ind w:left="4320" w:hanging="360"/>
      </w:pPr>
      <w:rPr>
        <w:rFonts w:ascii="Times New Roman" w:hAnsi="Times New Roman" w:hint="default"/>
      </w:rPr>
    </w:lvl>
    <w:lvl w:ilvl="6" w:tplc="6682112A" w:tentative="1">
      <w:start w:val="1"/>
      <w:numFmt w:val="bullet"/>
      <w:lvlText w:val="-"/>
      <w:lvlJc w:val="left"/>
      <w:pPr>
        <w:tabs>
          <w:tab w:val="num" w:pos="5040"/>
        </w:tabs>
        <w:ind w:left="5040" w:hanging="360"/>
      </w:pPr>
      <w:rPr>
        <w:rFonts w:ascii="Times New Roman" w:hAnsi="Times New Roman" w:hint="default"/>
      </w:rPr>
    </w:lvl>
    <w:lvl w:ilvl="7" w:tplc="D8025AB8" w:tentative="1">
      <w:start w:val="1"/>
      <w:numFmt w:val="bullet"/>
      <w:lvlText w:val="-"/>
      <w:lvlJc w:val="left"/>
      <w:pPr>
        <w:tabs>
          <w:tab w:val="num" w:pos="5760"/>
        </w:tabs>
        <w:ind w:left="5760" w:hanging="360"/>
      </w:pPr>
      <w:rPr>
        <w:rFonts w:ascii="Times New Roman" w:hAnsi="Times New Roman" w:hint="default"/>
      </w:rPr>
    </w:lvl>
    <w:lvl w:ilvl="8" w:tplc="AEB49BC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5834AB8"/>
    <w:multiLevelType w:val="hybridMultilevel"/>
    <w:tmpl w:val="87E858BC"/>
    <w:lvl w:ilvl="0" w:tplc="8C20155C">
      <w:start w:val="1"/>
      <w:numFmt w:val="bullet"/>
      <w:lvlText w:val="•"/>
      <w:lvlJc w:val="left"/>
      <w:pPr>
        <w:tabs>
          <w:tab w:val="num" w:pos="720"/>
        </w:tabs>
        <w:ind w:left="720" w:hanging="360"/>
      </w:pPr>
      <w:rPr>
        <w:rFonts w:ascii="Arial" w:hAnsi="Arial" w:hint="default"/>
      </w:rPr>
    </w:lvl>
    <w:lvl w:ilvl="1" w:tplc="BF4A34F0" w:tentative="1">
      <w:start w:val="1"/>
      <w:numFmt w:val="bullet"/>
      <w:lvlText w:val="•"/>
      <w:lvlJc w:val="left"/>
      <w:pPr>
        <w:tabs>
          <w:tab w:val="num" w:pos="1440"/>
        </w:tabs>
        <w:ind w:left="1440" w:hanging="360"/>
      </w:pPr>
      <w:rPr>
        <w:rFonts w:ascii="Arial" w:hAnsi="Arial" w:hint="default"/>
      </w:rPr>
    </w:lvl>
    <w:lvl w:ilvl="2" w:tplc="302A08C2" w:tentative="1">
      <w:start w:val="1"/>
      <w:numFmt w:val="bullet"/>
      <w:lvlText w:val="•"/>
      <w:lvlJc w:val="left"/>
      <w:pPr>
        <w:tabs>
          <w:tab w:val="num" w:pos="2160"/>
        </w:tabs>
        <w:ind w:left="2160" w:hanging="360"/>
      </w:pPr>
      <w:rPr>
        <w:rFonts w:ascii="Arial" w:hAnsi="Arial" w:hint="default"/>
      </w:rPr>
    </w:lvl>
    <w:lvl w:ilvl="3" w:tplc="535421A8" w:tentative="1">
      <w:start w:val="1"/>
      <w:numFmt w:val="bullet"/>
      <w:lvlText w:val="•"/>
      <w:lvlJc w:val="left"/>
      <w:pPr>
        <w:tabs>
          <w:tab w:val="num" w:pos="2880"/>
        </w:tabs>
        <w:ind w:left="2880" w:hanging="360"/>
      </w:pPr>
      <w:rPr>
        <w:rFonts w:ascii="Arial" w:hAnsi="Arial" w:hint="default"/>
      </w:rPr>
    </w:lvl>
    <w:lvl w:ilvl="4" w:tplc="8E2823C8" w:tentative="1">
      <w:start w:val="1"/>
      <w:numFmt w:val="bullet"/>
      <w:lvlText w:val="•"/>
      <w:lvlJc w:val="left"/>
      <w:pPr>
        <w:tabs>
          <w:tab w:val="num" w:pos="3600"/>
        </w:tabs>
        <w:ind w:left="3600" w:hanging="360"/>
      </w:pPr>
      <w:rPr>
        <w:rFonts w:ascii="Arial" w:hAnsi="Arial" w:hint="default"/>
      </w:rPr>
    </w:lvl>
    <w:lvl w:ilvl="5" w:tplc="20C0C834" w:tentative="1">
      <w:start w:val="1"/>
      <w:numFmt w:val="bullet"/>
      <w:lvlText w:val="•"/>
      <w:lvlJc w:val="left"/>
      <w:pPr>
        <w:tabs>
          <w:tab w:val="num" w:pos="4320"/>
        </w:tabs>
        <w:ind w:left="4320" w:hanging="360"/>
      </w:pPr>
      <w:rPr>
        <w:rFonts w:ascii="Arial" w:hAnsi="Arial" w:hint="default"/>
      </w:rPr>
    </w:lvl>
    <w:lvl w:ilvl="6" w:tplc="1270938E" w:tentative="1">
      <w:start w:val="1"/>
      <w:numFmt w:val="bullet"/>
      <w:lvlText w:val="•"/>
      <w:lvlJc w:val="left"/>
      <w:pPr>
        <w:tabs>
          <w:tab w:val="num" w:pos="5040"/>
        </w:tabs>
        <w:ind w:left="5040" w:hanging="360"/>
      </w:pPr>
      <w:rPr>
        <w:rFonts w:ascii="Arial" w:hAnsi="Arial" w:hint="default"/>
      </w:rPr>
    </w:lvl>
    <w:lvl w:ilvl="7" w:tplc="39FCCD22" w:tentative="1">
      <w:start w:val="1"/>
      <w:numFmt w:val="bullet"/>
      <w:lvlText w:val="•"/>
      <w:lvlJc w:val="left"/>
      <w:pPr>
        <w:tabs>
          <w:tab w:val="num" w:pos="5760"/>
        </w:tabs>
        <w:ind w:left="5760" w:hanging="360"/>
      </w:pPr>
      <w:rPr>
        <w:rFonts w:ascii="Arial" w:hAnsi="Arial" w:hint="default"/>
      </w:rPr>
    </w:lvl>
    <w:lvl w:ilvl="8" w:tplc="4E7C507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8992CD7"/>
    <w:multiLevelType w:val="hybridMultilevel"/>
    <w:tmpl w:val="ED3A771C"/>
    <w:lvl w:ilvl="0" w:tplc="E8F81116">
      <w:start w:val="1"/>
      <w:numFmt w:val="decimal"/>
      <w:lvlText w:val="%1."/>
      <w:lvlJc w:val="left"/>
      <w:pPr>
        <w:tabs>
          <w:tab w:val="num" w:pos="720"/>
        </w:tabs>
        <w:ind w:left="720" w:hanging="360"/>
      </w:pPr>
    </w:lvl>
    <w:lvl w:ilvl="1" w:tplc="E0E2B9A6" w:tentative="1">
      <w:start w:val="1"/>
      <w:numFmt w:val="decimal"/>
      <w:lvlText w:val="%2."/>
      <w:lvlJc w:val="left"/>
      <w:pPr>
        <w:tabs>
          <w:tab w:val="num" w:pos="1440"/>
        </w:tabs>
        <w:ind w:left="1440" w:hanging="360"/>
      </w:pPr>
    </w:lvl>
    <w:lvl w:ilvl="2" w:tplc="876E0AFC" w:tentative="1">
      <w:start w:val="1"/>
      <w:numFmt w:val="decimal"/>
      <w:lvlText w:val="%3."/>
      <w:lvlJc w:val="left"/>
      <w:pPr>
        <w:tabs>
          <w:tab w:val="num" w:pos="2160"/>
        </w:tabs>
        <w:ind w:left="2160" w:hanging="360"/>
      </w:pPr>
    </w:lvl>
    <w:lvl w:ilvl="3" w:tplc="EB442EDE" w:tentative="1">
      <w:start w:val="1"/>
      <w:numFmt w:val="decimal"/>
      <w:lvlText w:val="%4."/>
      <w:lvlJc w:val="left"/>
      <w:pPr>
        <w:tabs>
          <w:tab w:val="num" w:pos="2880"/>
        </w:tabs>
        <w:ind w:left="2880" w:hanging="360"/>
      </w:pPr>
    </w:lvl>
    <w:lvl w:ilvl="4" w:tplc="4DFC4A80" w:tentative="1">
      <w:start w:val="1"/>
      <w:numFmt w:val="decimal"/>
      <w:lvlText w:val="%5."/>
      <w:lvlJc w:val="left"/>
      <w:pPr>
        <w:tabs>
          <w:tab w:val="num" w:pos="3600"/>
        </w:tabs>
        <w:ind w:left="3600" w:hanging="360"/>
      </w:pPr>
    </w:lvl>
    <w:lvl w:ilvl="5" w:tplc="6A0CDA9E" w:tentative="1">
      <w:start w:val="1"/>
      <w:numFmt w:val="decimal"/>
      <w:lvlText w:val="%6."/>
      <w:lvlJc w:val="left"/>
      <w:pPr>
        <w:tabs>
          <w:tab w:val="num" w:pos="4320"/>
        </w:tabs>
        <w:ind w:left="4320" w:hanging="360"/>
      </w:pPr>
    </w:lvl>
    <w:lvl w:ilvl="6" w:tplc="68A64548" w:tentative="1">
      <w:start w:val="1"/>
      <w:numFmt w:val="decimal"/>
      <w:lvlText w:val="%7."/>
      <w:lvlJc w:val="left"/>
      <w:pPr>
        <w:tabs>
          <w:tab w:val="num" w:pos="5040"/>
        </w:tabs>
        <w:ind w:left="5040" w:hanging="360"/>
      </w:pPr>
    </w:lvl>
    <w:lvl w:ilvl="7" w:tplc="39FA7834" w:tentative="1">
      <w:start w:val="1"/>
      <w:numFmt w:val="decimal"/>
      <w:lvlText w:val="%8."/>
      <w:lvlJc w:val="left"/>
      <w:pPr>
        <w:tabs>
          <w:tab w:val="num" w:pos="5760"/>
        </w:tabs>
        <w:ind w:left="5760" w:hanging="360"/>
      </w:pPr>
    </w:lvl>
    <w:lvl w:ilvl="8" w:tplc="007ACAD8" w:tentative="1">
      <w:start w:val="1"/>
      <w:numFmt w:val="decimal"/>
      <w:lvlText w:val="%9."/>
      <w:lvlJc w:val="left"/>
      <w:pPr>
        <w:tabs>
          <w:tab w:val="num" w:pos="6480"/>
        </w:tabs>
        <w:ind w:left="6480" w:hanging="360"/>
      </w:pPr>
    </w:lvl>
  </w:abstractNum>
  <w:abstractNum w:abstractNumId="8" w15:restartNumberingAfterBreak="0">
    <w:nsid w:val="2B162A16"/>
    <w:multiLevelType w:val="hybridMultilevel"/>
    <w:tmpl w:val="921CB85E"/>
    <w:lvl w:ilvl="0" w:tplc="A13E6AA4">
      <w:start w:val="1"/>
      <w:numFmt w:val="bullet"/>
      <w:lvlText w:val="-"/>
      <w:lvlJc w:val="left"/>
      <w:pPr>
        <w:tabs>
          <w:tab w:val="num" w:pos="720"/>
        </w:tabs>
        <w:ind w:left="720" w:hanging="360"/>
      </w:pPr>
      <w:rPr>
        <w:rFonts w:ascii="Times New Roman" w:hAnsi="Times New Roman" w:hint="default"/>
      </w:rPr>
    </w:lvl>
    <w:lvl w:ilvl="1" w:tplc="8BD843F6" w:tentative="1">
      <w:start w:val="1"/>
      <w:numFmt w:val="bullet"/>
      <w:lvlText w:val="-"/>
      <w:lvlJc w:val="left"/>
      <w:pPr>
        <w:tabs>
          <w:tab w:val="num" w:pos="1440"/>
        </w:tabs>
        <w:ind w:left="1440" w:hanging="360"/>
      </w:pPr>
      <w:rPr>
        <w:rFonts w:ascii="Times New Roman" w:hAnsi="Times New Roman" w:hint="default"/>
      </w:rPr>
    </w:lvl>
    <w:lvl w:ilvl="2" w:tplc="94A4BBA4" w:tentative="1">
      <w:start w:val="1"/>
      <w:numFmt w:val="bullet"/>
      <w:lvlText w:val="-"/>
      <w:lvlJc w:val="left"/>
      <w:pPr>
        <w:tabs>
          <w:tab w:val="num" w:pos="2160"/>
        </w:tabs>
        <w:ind w:left="2160" w:hanging="360"/>
      </w:pPr>
      <w:rPr>
        <w:rFonts w:ascii="Times New Roman" w:hAnsi="Times New Roman" w:hint="default"/>
      </w:rPr>
    </w:lvl>
    <w:lvl w:ilvl="3" w:tplc="07CA1DB6" w:tentative="1">
      <w:start w:val="1"/>
      <w:numFmt w:val="bullet"/>
      <w:lvlText w:val="-"/>
      <w:lvlJc w:val="left"/>
      <w:pPr>
        <w:tabs>
          <w:tab w:val="num" w:pos="2880"/>
        </w:tabs>
        <w:ind w:left="2880" w:hanging="360"/>
      </w:pPr>
      <w:rPr>
        <w:rFonts w:ascii="Times New Roman" w:hAnsi="Times New Roman" w:hint="default"/>
      </w:rPr>
    </w:lvl>
    <w:lvl w:ilvl="4" w:tplc="41920A26" w:tentative="1">
      <w:start w:val="1"/>
      <w:numFmt w:val="bullet"/>
      <w:lvlText w:val="-"/>
      <w:lvlJc w:val="left"/>
      <w:pPr>
        <w:tabs>
          <w:tab w:val="num" w:pos="3600"/>
        </w:tabs>
        <w:ind w:left="3600" w:hanging="360"/>
      </w:pPr>
      <w:rPr>
        <w:rFonts w:ascii="Times New Roman" w:hAnsi="Times New Roman" w:hint="default"/>
      </w:rPr>
    </w:lvl>
    <w:lvl w:ilvl="5" w:tplc="9C42FD1E" w:tentative="1">
      <w:start w:val="1"/>
      <w:numFmt w:val="bullet"/>
      <w:lvlText w:val="-"/>
      <w:lvlJc w:val="left"/>
      <w:pPr>
        <w:tabs>
          <w:tab w:val="num" w:pos="4320"/>
        </w:tabs>
        <w:ind w:left="4320" w:hanging="360"/>
      </w:pPr>
      <w:rPr>
        <w:rFonts w:ascii="Times New Roman" w:hAnsi="Times New Roman" w:hint="default"/>
      </w:rPr>
    </w:lvl>
    <w:lvl w:ilvl="6" w:tplc="1B8E91D6" w:tentative="1">
      <w:start w:val="1"/>
      <w:numFmt w:val="bullet"/>
      <w:lvlText w:val="-"/>
      <w:lvlJc w:val="left"/>
      <w:pPr>
        <w:tabs>
          <w:tab w:val="num" w:pos="5040"/>
        </w:tabs>
        <w:ind w:left="5040" w:hanging="360"/>
      </w:pPr>
      <w:rPr>
        <w:rFonts w:ascii="Times New Roman" w:hAnsi="Times New Roman" w:hint="default"/>
      </w:rPr>
    </w:lvl>
    <w:lvl w:ilvl="7" w:tplc="3E9C5016" w:tentative="1">
      <w:start w:val="1"/>
      <w:numFmt w:val="bullet"/>
      <w:lvlText w:val="-"/>
      <w:lvlJc w:val="left"/>
      <w:pPr>
        <w:tabs>
          <w:tab w:val="num" w:pos="5760"/>
        </w:tabs>
        <w:ind w:left="5760" w:hanging="360"/>
      </w:pPr>
      <w:rPr>
        <w:rFonts w:ascii="Times New Roman" w:hAnsi="Times New Roman" w:hint="default"/>
      </w:rPr>
    </w:lvl>
    <w:lvl w:ilvl="8" w:tplc="CA8859D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D705C02"/>
    <w:multiLevelType w:val="hybridMultilevel"/>
    <w:tmpl w:val="98EC1778"/>
    <w:lvl w:ilvl="0" w:tplc="D3B67BCA">
      <w:start w:val="1"/>
      <w:numFmt w:val="bullet"/>
      <w:lvlText w:val=""/>
      <w:lvlJc w:val="left"/>
      <w:pPr>
        <w:tabs>
          <w:tab w:val="num" w:pos="720"/>
        </w:tabs>
        <w:ind w:left="720" w:hanging="360"/>
      </w:pPr>
      <w:rPr>
        <w:rFonts w:ascii="Symbol" w:hAnsi="Symbol" w:hint="default"/>
      </w:rPr>
    </w:lvl>
    <w:lvl w:ilvl="1" w:tplc="99909958" w:tentative="1">
      <w:start w:val="1"/>
      <w:numFmt w:val="bullet"/>
      <w:lvlText w:val=""/>
      <w:lvlJc w:val="left"/>
      <w:pPr>
        <w:tabs>
          <w:tab w:val="num" w:pos="1440"/>
        </w:tabs>
        <w:ind w:left="1440" w:hanging="360"/>
      </w:pPr>
      <w:rPr>
        <w:rFonts w:ascii="Symbol" w:hAnsi="Symbol" w:hint="default"/>
      </w:rPr>
    </w:lvl>
    <w:lvl w:ilvl="2" w:tplc="4680054A" w:tentative="1">
      <w:start w:val="1"/>
      <w:numFmt w:val="bullet"/>
      <w:lvlText w:val=""/>
      <w:lvlJc w:val="left"/>
      <w:pPr>
        <w:tabs>
          <w:tab w:val="num" w:pos="2160"/>
        </w:tabs>
        <w:ind w:left="2160" w:hanging="360"/>
      </w:pPr>
      <w:rPr>
        <w:rFonts w:ascii="Symbol" w:hAnsi="Symbol" w:hint="default"/>
      </w:rPr>
    </w:lvl>
    <w:lvl w:ilvl="3" w:tplc="4CFE32C0" w:tentative="1">
      <w:start w:val="1"/>
      <w:numFmt w:val="bullet"/>
      <w:lvlText w:val=""/>
      <w:lvlJc w:val="left"/>
      <w:pPr>
        <w:tabs>
          <w:tab w:val="num" w:pos="2880"/>
        </w:tabs>
        <w:ind w:left="2880" w:hanging="360"/>
      </w:pPr>
      <w:rPr>
        <w:rFonts w:ascii="Symbol" w:hAnsi="Symbol" w:hint="default"/>
      </w:rPr>
    </w:lvl>
    <w:lvl w:ilvl="4" w:tplc="6848FB8A" w:tentative="1">
      <w:start w:val="1"/>
      <w:numFmt w:val="bullet"/>
      <w:lvlText w:val=""/>
      <w:lvlJc w:val="left"/>
      <w:pPr>
        <w:tabs>
          <w:tab w:val="num" w:pos="3600"/>
        </w:tabs>
        <w:ind w:left="3600" w:hanging="360"/>
      </w:pPr>
      <w:rPr>
        <w:rFonts w:ascii="Symbol" w:hAnsi="Symbol" w:hint="default"/>
      </w:rPr>
    </w:lvl>
    <w:lvl w:ilvl="5" w:tplc="65666656" w:tentative="1">
      <w:start w:val="1"/>
      <w:numFmt w:val="bullet"/>
      <w:lvlText w:val=""/>
      <w:lvlJc w:val="left"/>
      <w:pPr>
        <w:tabs>
          <w:tab w:val="num" w:pos="4320"/>
        </w:tabs>
        <w:ind w:left="4320" w:hanging="360"/>
      </w:pPr>
      <w:rPr>
        <w:rFonts w:ascii="Symbol" w:hAnsi="Symbol" w:hint="default"/>
      </w:rPr>
    </w:lvl>
    <w:lvl w:ilvl="6" w:tplc="557E3608" w:tentative="1">
      <w:start w:val="1"/>
      <w:numFmt w:val="bullet"/>
      <w:lvlText w:val=""/>
      <w:lvlJc w:val="left"/>
      <w:pPr>
        <w:tabs>
          <w:tab w:val="num" w:pos="5040"/>
        </w:tabs>
        <w:ind w:left="5040" w:hanging="360"/>
      </w:pPr>
      <w:rPr>
        <w:rFonts w:ascii="Symbol" w:hAnsi="Symbol" w:hint="default"/>
      </w:rPr>
    </w:lvl>
    <w:lvl w:ilvl="7" w:tplc="264A468A" w:tentative="1">
      <w:start w:val="1"/>
      <w:numFmt w:val="bullet"/>
      <w:lvlText w:val=""/>
      <w:lvlJc w:val="left"/>
      <w:pPr>
        <w:tabs>
          <w:tab w:val="num" w:pos="5760"/>
        </w:tabs>
        <w:ind w:left="5760" w:hanging="360"/>
      </w:pPr>
      <w:rPr>
        <w:rFonts w:ascii="Symbol" w:hAnsi="Symbol" w:hint="default"/>
      </w:rPr>
    </w:lvl>
    <w:lvl w:ilvl="8" w:tplc="A85E8DE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EDF62A9"/>
    <w:multiLevelType w:val="hybridMultilevel"/>
    <w:tmpl w:val="9440C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C32507"/>
    <w:multiLevelType w:val="hybridMultilevel"/>
    <w:tmpl w:val="590693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3B687A"/>
    <w:multiLevelType w:val="hybridMultilevel"/>
    <w:tmpl w:val="95D0E21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DE529A"/>
    <w:multiLevelType w:val="hybridMultilevel"/>
    <w:tmpl w:val="4F04B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3B69E6"/>
    <w:multiLevelType w:val="hybridMultilevel"/>
    <w:tmpl w:val="B1024760"/>
    <w:lvl w:ilvl="0" w:tplc="87BA50DE">
      <w:start w:val="1"/>
      <w:numFmt w:val="decimal"/>
      <w:lvlText w:val="%1."/>
      <w:lvlJc w:val="left"/>
      <w:pPr>
        <w:tabs>
          <w:tab w:val="num" w:pos="720"/>
        </w:tabs>
        <w:ind w:left="720" w:hanging="360"/>
      </w:pPr>
    </w:lvl>
    <w:lvl w:ilvl="1" w:tplc="D764981E" w:tentative="1">
      <w:start w:val="1"/>
      <w:numFmt w:val="decimal"/>
      <w:lvlText w:val="%2."/>
      <w:lvlJc w:val="left"/>
      <w:pPr>
        <w:tabs>
          <w:tab w:val="num" w:pos="1440"/>
        </w:tabs>
        <w:ind w:left="1440" w:hanging="360"/>
      </w:pPr>
    </w:lvl>
    <w:lvl w:ilvl="2" w:tplc="503EACA6" w:tentative="1">
      <w:start w:val="1"/>
      <w:numFmt w:val="decimal"/>
      <w:lvlText w:val="%3."/>
      <w:lvlJc w:val="left"/>
      <w:pPr>
        <w:tabs>
          <w:tab w:val="num" w:pos="2160"/>
        </w:tabs>
        <w:ind w:left="2160" w:hanging="360"/>
      </w:pPr>
    </w:lvl>
    <w:lvl w:ilvl="3" w:tplc="120EEA26" w:tentative="1">
      <w:start w:val="1"/>
      <w:numFmt w:val="decimal"/>
      <w:lvlText w:val="%4."/>
      <w:lvlJc w:val="left"/>
      <w:pPr>
        <w:tabs>
          <w:tab w:val="num" w:pos="2880"/>
        </w:tabs>
        <w:ind w:left="2880" w:hanging="360"/>
      </w:pPr>
    </w:lvl>
    <w:lvl w:ilvl="4" w:tplc="32506E48" w:tentative="1">
      <w:start w:val="1"/>
      <w:numFmt w:val="decimal"/>
      <w:lvlText w:val="%5."/>
      <w:lvlJc w:val="left"/>
      <w:pPr>
        <w:tabs>
          <w:tab w:val="num" w:pos="3600"/>
        </w:tabs>
        <w:ind w:left="3600" w:hanging="360"/>
      </w:pPr>
    </w:lvl>
    <w:lvl w:ilvl="5" w:tplc="52947166" w:tentative="1">
      <w:start w:val="1"/>
      <w:numFmt w:val="decimal"/>
      <w:lvlText w:val="%6."/>
      <w:lvlJc w:val="left"/>
      <w:pPr>
        <w:tabs>
          <w:tab w:val="num" w:pos="4320"/>
        </w:tabs>
        <w:ind w:left="4320" w:hanging="360"/>
      </w:pPr>
    </w:lvl>
    <w:lvl w:ilvl="6" w:tplc="BCA450A4" w:tentative="1">
      <w:start w:val="1"/>
      <w:numFmt w:val="decimal"/>
      <w:lvlText w:val="%7."/>
      <w:lvlJc w:val="left"/>
      <w:pPr>
        <w:tabs>
          <w:tab w:val="num" w:pos="5040"/>
        </w:tabs>
        <w:ind w:left="5040" w:hanging="360"/>
      </w:pPr>
    </w:lvl>
    <w:lvl w:ilvl="7" w:tplc="30B63E2E" w:tentative="1">
      <w:start w:val="1"/>
      <w:numFmt w:val="decimal"/>
      <w:lvlText w:val="%8."/>
      <w:lvlJc w:val="left"/>
      <w:pPr>
        <w:tabs>
          <w:tab w:val="num" w:pos="5760"/>
        </w:tabs>
        <w:ind w:left="5760" w:hanging="360"/>
      </w:pPr>
    </w:lvl>
    <w:lvl w:ilvl="8" w:tplc="B84E04D2" w:tentative="1">
      <w:start w:val="1"/>
      <w:numFmt w:val="decimal"/>
      <w:lvlText w:val="%9."/>
      <w:lvlJc w:val="left"/>
      <w:pPr>
        <w:tabs>
          <w:tab w:val="num" w:pos="6480"/>
        </w:tabs>
        <w:ind w:left="6480" w:hanging="360"/>
      </w:pPr>
    </w:lvl>
  </w:abstractNum>
  <w:abstractNum w:abstractNumId="15" w15:restartNumberingAfterBreak="0">
    <w:nsid w:val="4BC17D15"/>
    <w:multiLevelType w:val="multilevel"/>
    <w:tmpl w:val="CD18C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6E608C"/>
    <w:multiLevelType w:val="hybridMultilevel"/>
    <w:tmpl w:val="12D0F8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D20275"/>
    <w:multiLevelType w:val="hybridMultilevel"/>
    <w:tmpl w:val="C6C648B2"/>
    <w:lvl w:ilvl="0" w:tplc="39C0CF62">
      <w:start w:val="1"/>
      <w:numFmt w:val="decimal"/>
      <w:lvlText w:val="%1."/>
      <w:lvlJc w:val="left"/>
      <w:pPr>
        <w:tabs>
          <w:tab w:val="num" w:pos="720"/>
        </w:tabs>
        <w:ind w:left="720" w:hanging="360"/>
      </w:pPr>
    </w:lvl>
    <w:lvl w:ilvl="1" w:tplc="A2088C90" w:tentative="1">
      <w:start w:val="1"/>
      <w:numFmt w:val="decimal"/>
      <w:lvlText w:val="%2."/>
      <w:lvlJc w:val="left"/>
      <w:pPr>
        <w:tabs>
          <w:tab w:val="num" w:pos="1440"/>
        </w:tabs>
        <w:ind w:left="1440" w:hanging="360"/>
      </w:pPr>
    </w:lvl>
    <w:lvl w:ilvl="2" w:tplc="FF96D8C2" w:tentative="1">
      <w:start w:val="1"/>
      <w:numFmt w:val="decimal"/>
      <w:lvlText w:val="%3."/>
      <w:lvlJc w:val="left"/>
      <w:pPr>
        <w:tabs>
          <w:tab w:val="num" w:pos="2160"/>
        </w:tabs>
        <w:ind w:left="2160" w:hanging="360"/>
      </w:pPr>
    </w:lvl>
    <w:lvl w:ilvl="3" w:tplc="3BD6D3A6" w:tentative="1">
      <w:start w:val="1"/>
      <w:numFmt w:val="decimal"/>
      <w:lvlText w:val="%4."/>
      <w:lvlJc w:val="left"/>
      <w:pPr>
        <w:tabs>
          <w:tab w:val="num" w:pos="2880"/>
        </w:tabs>
        <w:ind w:left="2880" w:hanging="360"/>
      </w:pPr>
    </w:lvl>
    <w:lvl w:ilvl="4" w:tplc="054A579A" w:tentative="1">
      <w:start w:val="1"/>
      <w:numFmt w:val="decimal"/>
      <w:lvlText w:val="%5."/>
      <w:lvlJc w:val="left"/>
      <w:pPr>
        <w:tabs>
          <w:tab w:val="num" w:pos="3600"/>
        </w:tabs>
        <w:ind w:left="3600" w:hanging="360"/>
      </w:pPr>
    </w:lvl>
    <w:lvl w:ilvl="5" w:tplc="0FEAEE80" w:tentative="1">
      <w:start w:val="1"/>
      <w:numFmt w:val="decimal"/>
      <w:lvlText w:val="%6."/>
      <w:lvlJc w:val="left"/>
      <w:pPr>
        <w:tabs>
          <w:tab w:val="num" w:pos="4320"/>
        </w:tabs>
        <w:ind w:left="4320" w:hanging="360"/>
      </w:pPr>
    </w:lvl>
    <w:lvl w:ilvl="6" w:tplc="6982FC90" w:tentative="1">
      <w:start w:val="1"/>
      <w:numFmt w:val="decimal"/>
      <w:lvlText w:val="%7."/>
      <w:lvlJc w:val="left"/>
      <w:pPr>
        <w:tabs>
          <w:tab w:val="num" w:pos="5040"/>
        </w:tabs>
        <w:ind w:left="5040" w:hanging="360"/>
      </w:pPr>
    </w:lvl>
    <w:lvl w:ilvl="7" w:tplc="D0E690FE" w:tentative="1">
      <w:start w:val="1"/>
      <w:numFmt w:val="decimal"/>
      <w:lvlText w:val="%8."/>
      <w:lvlJc w:val="left"/>
      <w:pPr>
        <w:tabs>
          <w:tab w:val="num" w:pos="5760"/>
        </w:tabs>
        <w:ind w:left="5760" w:hanging="360"/>
      </w:pPr>
    </w:lvl>
    <w:lvl w:ilvl="8" w:tplc="0644DA22" w:tentative="1">
      <w:start w:val="1"/>
      <w:numFmt w:val="decimal"/>
      <w:lvlText w:val="%9."/>
      <w:lvlJc w:val="left"/>
      <w:pPr>
        <w:tabs>
          <w:tab w:val="num" w:pos="6480"/>
        </w:tabs>
        <w:ind w:left="6480" w:hanging="360"/>
      </w:pPr>
    </w:lvl>
  </w:abstractNum>
  <w:abstractNum w:abstractNumId="18" w15:restartNumberingAfterBreak="0">
    <w:nsid w:val="6FF44345"/>
    <w:multiLevelType w:val="hybridMultilevel"/>
    <w:tmpl w:val="8DAA4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2E60D4"/>
    <w:multiLevelType w:val="hybridMultilevel"/>
    <w:tmpl w:val="F4CA9248"/>
    <w:lvl w:ilvl="0" w:tplc="67B8891C">
      <w:start w:val="1"/>
      <w:numFmt w:val="bullet"/>
      <w:lvlText w:val="-"/>
      <w:lvlJc w:val="left"/>
      <w:pPr>
        <w:tabs>
          <w:tab w:val="num" w:pos="720"/>
        </w:tabs>
        <w:ind w:left="720" w:hanging="360"/>
      </w:pPr>
      <w:rPr>
        <w:rFonts w:ascii="Times New Roman" w:hAnsi="Times New Roman" w:hint="default"/>
      </w:rPr>
    </w:lvl>
    <w:lvl w:ilvl="1" w:tplc="82D0D452" w:tentative="1">
      <w:start w:val="1"/>
      <w:numFmt w:val="bullet"/>
      <w:lvlText w:val="-"/>
      <w:lvlJc w:val="left"/>
      <w:pPr>
        <w:tabs>
          <w:tab w:val="num" w:pos="1440"/>
        </w:tabs>
        <w:ind w:left="1440" w:hanging="360"/>
      </w:pPr>
      <w:rPr>
        <w:rFonts w:ascii="Times New Roman" w:hAnsi="Times New Roman" w:hint="default"/>
      </w:rPr>
    </w:lvl>
    <w:lvl w:ilvl="2" w:tplc="03AAFC34" w:tentative="1">
      <w:start w:val="1"/>
      <w:numFmt w:val="bullet"/>
      <w:lvlText w:val="-"/>
      <w:lvlJc w:val="left"/>
      <w:pPr>
        <w:tabs>
          <w:tab w:val="num" w:pos="2160"/>
        </w:tabs>
        <w:ind w:left="2160" w:hanging="360"/>
      </w:pPr>
      <w:rPr>
        <w:rFonts w:ascii="Times New Roman" w:hAnsi="Times New Roman" w:hint="default"/>
      </w:rPr>
    </w:lvl>
    <w:lvl w:ilvl="3" w:tplc="13F84F48" w:tentative="1">
      <w:start w:val="1"/>
      <w:numFmt w:val="bullet"/>
      <w:lvlText w:val="-"/>
      <w:lvlJc w:val="left"/>
      <w:pPr>
        <w:tabs>
          <w:tab w:val="num" w:pos="2880"/>
        </w:tabs>
        <w:ind w:left="2880" w:hanging="360"/>
      </w:pPr>
      <w:rPr>
        <w:rFonts w:ascii="Times New Roman" w:hAnsi="Times New Roman" w:hint="default"/>
      </w:rPr>
    </w:lvl>
    <w:lvl w:ilvl="4" w:tplc="1320395C" w:tentative="1">
      <w:start w:val="1"/>
      <w:numFmt w:val="bullet"/>
      <w:lvlText w:val="-"/>
      <w:lvlJc w:val="left"/>
      <w:pPr>
        <w:tabs>
          <w:tab w:val="num" w:pos="3600"/>
        </w:tabs>
        <w:ind w:left="3600" w:hanging="360"/>
      </w:pPr>
      <w:rPr>
        <w:rFonts w:ascii="Times New Roman" w:hAnsi="Times New Roman" w:hint="default"/>
      </w:rPr>
    </w:lvl>
    <w:lvl w:ilvl="5" w:tplc="ECF03D60" w:tentative="1">
      <w:start w:val="1"/>
      <w:numFmt w:val="bullet"/>
      <w:lvlText w:val="-"/>
      <w:lvlJc w:val="left"/>
      <w:pPr>
        <w:tabs>
          <w:tab w:val="num" w:pos="4320"/>
        </w:tabs>
        <w:ind w:left="4320" w:hanging="360"/>
      </w:pPr>
      <w:rPr>
        <w:rFonts w:ascii="Times New Roman" w:hAnsi="Times New Roman" w:hint="default"/>
      </w:rPr>
    </w:lvl>
    <w:lvl w:ilvl="6" w:tplc="F674466A" w:tentative="1">
      <w:start w:val="1"/>
      <w:numFmt w:val="bullet"/>
      <w:lvlText w:val="-"/>
      <w:lvlJc w:val="left"/>
      <w:pPr>
        <w:tabs>
          <w:tab w:val="num" w:pos="5040"/>
        </w:tabs>
        <w:ind w:left="5040" w:hanging="360"/>
      </w:pPr>
      <w:rPr>
        <w:rFonts w:ascii="Times New Roman" w:hAnsi="Times New Roman" w:hint="default"/>
      </w:rPr>
    </w:lvl>
    <w:lvl w:ilvl="7" w:tplc="9D86CB60" w:tentative="1">
      <w:start w:val="1"/>
      <w:numFmt w:val="bullet"/>
      <w:lvlText w:val="-"/>
      <w:lvlJc w:val="left"/>
      <w:pPr>
        <w:tabs>
          <w:tab w:val="num" w:pos="5760"/>
        </w:tabs>
        <w:ind w:left="5760" w:hanging="360"/>
      </w:pPr>
      <w:rPr>
        <w:rFonts w:ascii="Times New Roman" w:hAnsi="Times New Roman" w:hint="default"/>
      </w:rPr>
    </w:lvl>
    <w:lvl w:ilvl="8" w:tplc="AAB0BEE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A3A526E"/>
    <w:multiLevelType w:val="hybridMultilevel"/>
    <w:tmpl w:val="56FA07AA"/>
    <w:lvl w:ilvl="0" w:tplc="83EC8492">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1E3DC7"/>
    <w:multiLevelType w:val="hybridMultilevel"/>
    <w:tmpl w:val="CE0AF4E2"/>
    <w:lvl w:ilvl="0" w:tplc="048CEC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7812DC"/>
    <w:multiLevelType w:val="hybridMultilevel"/>
    <w:tmpl w:val="634AA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20"/>
  </w:num>
  <w:num w:numId="4">
    <w:abstractNumId w:val="21"/>
  </w:num>
  <w:num w:numId="5">
    <w:abstractNumId w:val="9"/>
  </w:num>
  <w:num w:numId="6">
    <w:abstractNumId w:val="15"/>
  </w:num>
  <w:num w:numId="7">
    <w:abstractNumId w:val="17"/>
  </w:num>
  <w:num w:numId="8">
    <w:abstractNumId w:val="13"/>
  </w:num>
  <w:num w:numId="9">
    <w:abstractNumId w:val="16"/>
  </w:num>
  <w:num w:numId="10">
    <w:abstractNumId w:val="12"/>
  </w:num>
  <w:num w:numId="11">
    <w:abstractNumId w:val="19"/>
  </w:num>
  <w:num w:numId="12">
    <w:abstractNumId w:val="7"/>
  </w:num>
  <w:num w:numId="13">
    <w:abstractNumId w:val="8"/>
  </w:num>
  <w:num w:numId="14">
    <w:abstractNumId w:val="5"/>
  </w:num>
  <w:num w:numId="15">
    <w:abstractNumId w:val="3"/>
  </w:num>
  <w:num w:numId="16">
    <w:abstractNumId w:val="1"/>
  </w:num>
  <w:num w:numId="17">
    <w:abstractNumId w:val="6"/>
  </w:num>
  <w:num w:numId="18">
    <w:abstractNumId w:val="14"/>
  </w:num>
  <w:num w:numId="19">
    <w:abstractNumId w:val="0"/>
  </w:num>
  <w:num w:numId="20">
    <w:abstractNumId w:val="18"/>
  </w:num>
  <w:num w:numId="21">
    <w:abstractNumId w:val="10"/>
  </w:num>
  <w:num w:numId="22">
    <w:abstractNumId w:val="1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GB" w:vendorID="64" w:dllVersion="6" w:nlCheck="1" w:checkStyle="0"/>
  <w:activeWritingStyle w:appName="MSWord" w:lang="de-DE" w:vendorID="64" w:dllVersion="6" w:nlCheck="1" w:checkStyle="1"/>
  <w:activeWritingStyle w:appName="MSWord" w:lang="en-US" w:vendorID="64" w:dllVersion="6" w:nlCheck="1" w:checkStyle="0"/>
  <w:activeWritingStyle w:appName="MSWord" w:lang="es-ES" w:vendorID="64" w:dllVersion="6" w:nlCheck="1" w:checkStyle="0"/>
  <w:activeWritingStyle w:appName="MSWord" w:lang="fr-FR" w:vendorID="64" w:dllVersion="6" w:nlCheck="1" w:checkStyle="1"/>
  <w:activeWritingStyle w:appName="MSWord" w:lang="en-AU" w:vendorID="64" w:dllVersion="6" w:nlCheck="1" w:checkStyle="1"/>
  <w:activeWritingStyle w:appName="MSWord" w:lang="de-CH" w:vendorID="64" w:dllVersion="6" w:nlCheck="1" w:checkStyle="0"/>
  <w:activeWritingStyle w:appName="MSWord" w:lang="fr-CH" w:vendorID="64" w:dllVersion="6" w:nlCheck="1" w:checkStyle="0"/>
  <w:activeWritingStyle w:appName="MSWord" w:lang="en-GB" w:vendorID="64" w:dllVersion="0" w:nlCheck="1" w:checkStyle="0"/>
  <w:activeWritingStyle w:appName="MSWord" w:lang="nl-NL" w:vendorID="64" w:dllVersion="0" w:nlCheck="1" w:checkStyle="0"/>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activeWritingStyle w:appName="MSWord" w:lang="es-ES" w:vendorID="64" w:dllVersion="131078" w:nlCheck="1" w:checkStyle="1"/>
  <w:defaultTabStop w:val="720"/>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720"/>
    <w:rsid w:val="00001CAA"/>
    <w:rsid w:val="0001582E"/>
    <w:rsid w:val="00021488"/>
    <w:rsid w:val="00025E1D"/>
    <w:rsid w:val="000336DF"/>
    <w:rsid w:val="00034439"/>
    <w:rsid w:val="00046293"/>
    <w:rsid w:val="00052D8C"/>
    <w:rsid w:val="00056BAD"/>
    <w:rsid w:val="000723F7"/>
    <w:rsid w:val="00074613"/>
    <w:rsid w:val="00075E54"/>
    <w:rsid w:val="00076645"/>
    <w:rsid w:val="00076CBC"/>
    <w:rsid w:val="00081403"/>
    <w:rsid w:val="000B11E2"/>
    <w:rsid w:val="000B1393"/>
    <w:rsid w:val="000B1E75"/>
    <w:rsid w:val="000C24E3"/>
    <w:rsid w:val="000D1830"/>
    <w:rsid w:val="000D4D9F"/>
    <w:rsid w:val="000D7904"/>
    <w:rsid w:val="000D7B5B"/>
    <w:rsid w:val="000E09EC"/>
    <w:rsid w:val="000E2521"/>
    <w:rsid w:val="000F0409"/>
    <w:rsid w:val="000F2300"/>
    <w:rsid w:val="000F38C4"/>
    <w:rsid w:val="000F5464"/>
    <w:rsid w:val="00113D1F"/>
    <w:rsid w:val="00124B99"/>
    <w:rsid w:val="00132571"/>
    <w:rsid w:val="00150B17"/>
    <w:rsid w:val="00153EB3"/>
    <w:rsid w:val="001550C9"/>
    <w:rsid w:val="00163567"/>
    <w:rsid w:val="00165531"/>
    <w:rsid w:val="00170059"/>
    <w:rsid w:val="00172CF2"/>
    <w:rsid w:val="001743F6"/>
    <w:rsid w:val="001754F2"/>
    <w:rsid w:val="00176194"/>
    <w:rsid w:val="0018744C"/>
    <w:rsid w:val="00190A1B"/>
    <w:rsid w:val="00196075"/>
    <w:rsid w:val="001A699D"/>
    <w:rsid w:val="001A7C03"/>
    <w:rsid w:val="001B1D38"/>
    <w:rsid w:val="001B434C"/>
    <w:rsid w:val="001B5358"/>
    <w:rsid w:val="001C1C24"/>
    <w:rsid w:val="001D26D7"/>
    <w:rsid w:val="001E03A2"/>
    <w:rsid w:val="001E1E66"/>
    <w:rsid w:val="001E27EE"/>
    <w:rsid w:val="001E3E64"/>
    <w:rsid w:val="001E4895"/>
    <w:rsid w:val="001F1829"/>
    <w:rsid w:val="001F2A8D"/>
    <w:rsid w:val="001F3C00"/>
    <w:rsid w:val="001F7185"/>
    <w:rsid w:val="00205BBA"/>
    <w:rsid w:val="00211148"/>
    <w:rsid w:val="00215086"/>
    <w:rsid w:val="002177AC"/>
    <w:rsid w:val="002239CC"/>
    <w:rsid w:val="00224C79"/>
    <w:rsid w:val="00226350"/>
    <w:rsid w:val="00230F9C"/>
    <w:rsid w:val="00241594"/>
    <w:rsid w:val="00245E3C"/>
    <w:rsid w:val="00247DA1"/>
    <w:rsid w:val="002506D6"/>
    <w:rsid w:val="00250BE5"/>
    <w:rsid w:val="00260ABE"/>
    <w:rsid w:val="002611ED"/>
    <w:rsid w:val="00261877"/>
    <w:rsid w:val="00264095"/>
    <w:rsid w:val="00264BFF"/>
    <w:rsid w:val="002666B6"/>
    <w:rsid w:val="002751CE"/>
    <w:rsid w:val="00280B08"/>
    <w:rsid w:val="002826DE"/>
    <w:rsid w:val="00284816"/>
    <w:rsid w:val="00290EC9"/>
    <w:rsid w:val="00291E0B"/>
    <w:rsid w:val="002933A1"/>
    <w:rsid w:val="0029511C"/>
    <w:rsid w:val="002A06F7"/>
    <w:rsid w:val="002A1752"/>
    <w:rsid w:val="002A4EE3"/>
    <w:rsid w:val="002A5758"/>
    <w:rsid w:val="002A7501"/>
    <w:rsid w:val="002B0602"/>
    <w:rsid w:val="002B2ACF"/>
    <w:rsid w:val="002B336C"/>
    <w:rsid w:val="002C69C0"/>
    <w:rsid w:val="002E04C1"/>
    <w:rsid w:val="002E11AD"/>
    <w:rsid w:val="002E3085"/>
    <w:rsid w:val="002E6402"/>
    <w:rsid w:val="002E6705"/>
    <w:rsid w:val="002F7045"/>
    <w:rsid w:val="002F77EC"/>
    <w:rsid w:val="00300A68"/>
    <w:rsid w:val="003032B1"/>
    <w:rsid w:val="00310BD2"/>
    <w:rsid w:val="00310C2F"/>
    <w:rsid w:val="003121B9"/>
    <w:rsid w:val="0031375C"/>
    <w:rsid w:val="00314350"/>
    <w:rsid w:val="00317BCE"/>
    <w:rsid w:val="00323BF2"/>
    <w:rsid w:val="00324C20"/>
    <w:rsid w:val="003276CC"/>
    <w:rsid w:val="003278E1"/>
    <w:rsid w:val="00334F5C"/>
    <w:rsid w:val="00343FAE"/>
    <w:rsid w:val="0034647E"/>
    <w:rsid w:val="00347C1E"/>
    <w:rsid w:val="003537BA"/>
    <w:rsid w:val="00353B95"/>
    <w:rsid w:val="00374892"/>
    <w:rsid w:val="00384860"/>
    <w:rsid w:val="00392D80"/>
    <w:rsid w:val="003979F9"/>
    <w:rsid w:val="00397B04"/>
    <w:rsid w:val="003A6CBC"/>
    <w:rsid w:val="003B0F2C"/>
    <w:rsid w:val="003B64A9"/>
    <w:rsid w:val="003B7BB8"/>
    <w:rsid w:val="003C3520"/>
    <w:rsid w:val="003C3D4B"/>
    <w:rsid w:val="003C5C31"/>
    <w:rsid w:val="003D1CDE"/>
    <w:rsid w:val="003D1CE2"/>
    <w:rsid w:val="003D2AA9"/>
    <w:rsid w:val="003D65EC"/>
    <w:rsid w:val="003E3E47"/>
    <w:rsid w:val="003F0312"/>
    <w:rsid w:val="003F5FD8"/>
    <w:rsid w:val="003F7602"/>
    <w:rsid w:val="004009A0"/>
    <w:rsid w:val="00401541"/>
    <w:rsid w:val="004030D5"/>
    <w:rsid w:val="00407131"/>
    <w:rsid w:val="0041159E"/>
    <w:rsid w:val="00411D8B"/>
    <w:rsid w:val="004121EC"/>
    <w:rsid w:val="004174CC"/>
    <w:rsid w:val="00420F54"/>
    <w:rsid w:val="00423DC1"/>
    <w:rsid w:val="004242CA"/>
    <w:rsid w:val="00424A7D"/>
    <w:rsid w:val="00430943"/>
    <w:rsid w:val="00436EA9"/>
    <w:rsid w:val="004437E4"/>
    <w:rsid w:val="00444840"/>
    <w:rsid w:val="00445EE8"/>
    <w:rsid w:val="00454A4C"/>
    <w:rsid w:val="00456EFA"/>
    <w:rsid w:val="00460A01"/>
    <w:rsid w:val="00460D6E"/>
    <w:rsid w:val="00465FEE"/>
    <w:rsid w:val="00467EFA"/>
    <w:rsid w:val="0047144E"/>
    <w:rsid w:val="00481572"/>
    <w:rsid w:val="00485625"/>
    <w:rsid w:val="0048581A"/>
    <w:rsid w:val="00486A44"/>
    <w:rsid w:val="004907B4"/>
    <w:rsid w:val="00490D88"/>
    <w:rsid w:val="00495B55"/>
    <w:rsid w:val="004973FB"/>
    <w:rsid w:val="004A4B3D"/>
    <w:rsid w:val="004A63A5"/>
    <w:rsid w:val="004B4846"/>
    <w:rsid w:val="004C06CD"/>
    <w:rsid w:val="004C086F"/>
    <w:rsid w:val="004C42D0"/>
    <w:rsid w:val="004C6F29"/>
    <w:rsid w:val="004D7262"/>
    <w:rsid w:val="004E4D05"/>
    <w:rsid w:val="0050308F"/>
    <w:rsid w:val="005155F2"/>
    <w:rsid w:val="0051606A"/>
    <w:rsid w:val="005309B1"/>
    <w:rsid w:val="00531469"/>
    <w:rsid w:val="00533528"/>
    <w:rsid w:val="00542754"/>
    <w:rsid w:val="0055078F"/>
    <w:rsid w:val="005546BF"/>
    <w:rsid w:val="00556C57"/>
    <w:rsid w:val="005574FC"/>
    <w:rsid w:val="00564908"/>
    <w:rsid w:val="00567D53"/>
    <w:rsid w:val="0057358D"/>
    <w:rsid w:val="0057578D"/>
    <w:rsid w:val="005768FE"/>
    <w:rsid w:val="005827C0"/>
    <w:rsid w:val="00585D0A"/>
    <w:rsid w:val="005912F9"/>
    <w:rsid w:val="005A43B6"/>
    <w:rsid w:val="005B008F"/>
    <w:rsid w:val="005C4E7C"/>
    <w:rsid w:val="005C640A"/>
    <w:rsid w:val="005D0AE3"/>
    <w:rsid w:val="005D3B7D"/>
    <w:rsid w:val="005D4A4B"/>
    <w:rsid w:val="005D573F"/>
    <w:rsid w:val="005E44CC"/>
    <w:rsid w:val="005F3DB0"/>
    <w:rsid w:val="005F43F6"/>
    <w:rsid w:val="005F5E14"/>
    <w:rsid w:val="006002AB"/>
    <w:rsid w:val="006024C8"/>
    <w:rsid w:val="00607756"/>
    <w:rsid w:val="006122CF"/>
    <w:rsid w:val="00616711"/>
    <w:rsid w:val="00621B5B"/>
    <w:rsid w:val="00624CF0"/>
    <w:rsid w:val="0063473F"/>
    <w:rsid w:val="0063678A"/>
    <w:rsid w:val="00640148"/>
    <w:rsid w:val="00650473"/>
    <w:rsid w:val="00651351"/>
    <w:rsid w:val="00651440"/>
    <w:rsid w:val="00651B96"/>
    <w:rsid w:val="00652922"/>
    <w:rsid w:val="00665BE1"/>
    <w:rsid w:val="006663B1"/>
    <w:rsid w:val="006761F3"/>
    <w:rsid w:val="00685B8D"/>
    <w:rsid w:val="0068758E"/>
    <w:rsid w:val="006976E7"/>
    <w:rsid w:val="006A5F65"/>
    <w:rsid w:val="006B1CBE"/>
    <w:rsid w:val="006B4721"/>
    <w:rsid w:val="006B5D3D"/>
    <w:rsid w:val="006C2FCE"/>
    <w:rsid w:val="006C4B1A"/>
    <w:rsid w:val="006D08BA"/>
    <w:rsid w:val="006D3269"/>
    <w:rsid w:val="006E3342"/>
    <w:rsid w:val="0070350F"/>
    <w:rsid w:val="007116DE"/>
    <w:rsid w:val="00711C2D"/>
    <w:rsid w:val="007149C7"/>
    <w:rsid w:val="007303B9"/>
    <w:rsid w:val="00741664"/>
    <w:rsid w:val="007460BB"/>
    <w:rsid w:val="00752500"/>
    <w:rsid w:val="00761A9C"/>
    <w:rsid w:val="00770BBC"/>
    <w:rsid w:val="0077519D"/>
    <w:rsid w:val="00775DB8"/>
    <w:rsid w:val="007761F4"/>
    <w:rsid w:val="00792557"/>
    <w:rsid w:val="00796EC2"/>
    <w:rsid w:val="007A4AED"/>
    <w:rsid w:val="007A71A0"/>
    <w:rsid w:val="007B21D1"/>
    <w:rsid w:val="007B498F"/>
    <w:rsid w:val="007B5C97"/>
    <w:rsid w:val="007C1749"/>
    <w:rsid w:val="007C4166"/>
    <w:rsid w:val="007D09AE"/>
    <w:rsid w:val="007E03E5"/>
    <w:rsid w:val="007E7E3D"/>
    <w:rsid w:val="007F69D2"/>
    <w:rsid w:val="00802DC0"/>
    <w:rsid w:val="0080453E"/>
    <w:rsid w:val="00814C65"/>
    <w:rsid w:val="00820F09"/>
    <w:rsid w:val="00822D47"/>
    <w:rsid w:val="008266D1"/>
    <w:rsid w:val="00827BCB"/>
    <w:rsid w:val="008317AC"/>
    <w:rsid w:val="008447AE"/>
    <w:rsid w:val="00855C7D"/>
    <w:rsid w:val="00860FBE"/>
    <w:rsid w:val="00866215"/>
    <w:rsid w:val="00870BCE"/>
    <w:rsid w:val="008816AF"/>
    <w:rsid w:val="008859AE"/>
    <w:rsid w:val="00890204"/>
    <w:rsid w:val="00893156"/>
    <w:rsid w:val="008A52B9"/>
    <w:rsid w:val="008B7A6B"/>
    <w:rsid w:val="008C2CEB"/>
    <w:rsid w:val="008C7092"/>
    <w:rsid w:val="008C7D0A"/>
    <w:rsid w:val="008E3005"/>
    <w:rsid w:val="008F38C1"/>
    <w:rsid w:val="008F73DB"/>
    <w:rsid w:val="00912B81"/>
    <w:rsid w:val="00920313"/>
    <w:rsid w:val="0092035A"/>
    <w:rsid w:val="00924E36"/>
    <w:rsid w:val="009310F8"/>
    <w:rsid w:val="00933AD8"/>
    <w:rsid w:val="00943BB8"/>
    <w:rsid w:val="00953707"/>
    <w:rsid w:val="00962122"/>
    <w:rsid w:val="009659AF"/>
    <w:rsid w:val="00966FBC"/>
    <w:rsid w:val="00967B55"/>
    <w:rsid w:val="009736D5"/>
    <w:rsid w:val="00974BA4"/>
    <w:rsid w:val="00981AF8"/>
    <w:rsid w:val="0098784E"/>
    <w:rsid w:val="00987895"/>
    <w:rsid w:val="00993A6B"/>
    <w:rsid w:val="0099762C"/>
    <w:rsid w:val="009A563C"/>
    <w:rsid w:val="009B24E2"/>
    <w:rsid w:val="009B33A4"/>
    <w:rsid w:val="009B5121"/>
    <w:rsid w:val="009D32D2"/>
    <w:rsid w:val="009D795F"/>
    <w:rsid w:val="009E2BDC"/>
    <w:rsid w:val="009E6250"/>
    <w:rsid w:val="00A0294A"/>
    <w:rsid w:val="00A15B8B"/>
    <w:rsid w:val="00A162A8"/>
    <w:rsid w:val="00A22D2F"/>
    <w:rsid w:val="00A22F1F"/>
    <w:rsid w:val="00A30AFE"/>
    <w:rsid w:val="00A44CD9"/>
    <w:rsid w:val="00A5308A"/>
    <w:rsid w:val="00A71FFE"/>
    <w:rsid w:val="00A76193"/>
    <w:rsid w:val="00A774FB"/>
    <w:rsid w:val="00A842B0"/>
    <w:rsid w:val="00A848FE"/>
    <w:rsid w:val="00A84F75"/>
    <w:rsid w:val="00A858E7"/>
    <w:rsid w:val="00A874DE"/>
    <w:rsid w:val="00A87C58"/>
    <w:rsid w:val="00A90720"/>
    <w:rsid w:val="00A92A8B"/>
    <w:rsid w:val="00AA05F1"/>
    <w:rsid w:val="00AA6B10"/>
    <w:rsid w:val="00AA725A"/>
    <w:rsid w:val="00AC0DF6"/>
    <w:rsid w:val="00AC0F19"/>
    <w:rsid w:val="00AC598A"/>
    <w:rsid w:val="00AC5C2E"/>
    <w:rsid w:val="00AC7BD5"/>
    <w:rsid w:val="00AD31A5"/>
    <w:rsid w:val="00AD7905"/>
    <w:rsid w:val="00AE13FE"/>
    <w:rsid w:val="00AE3164"/>
    <w:rsid w:val="00AE5B49"/>
    <w:rsid w:val="00AE60B8"/>
    <w:rsid w:val="00AE63F4"/>
    <w:rsid w:val="00AE7A5C"/>
    <w:rsid w:val="00AF4560"/>
    <w:rsid w:val="00AF4599"/>
    <w:rsid w:val="00AF4FED"/>
    <w:rsid w:val="00B00406"/>
    <w:rsid w:val="00B0127C"/>
    <w:rsid w:val="00B07BBC"/>
    <w:rsid w:val="00B1082A"/>
    <w:rsid w:val="00B16EBD"/>
    <w:rsid w:val="00B220DA"/>
    <w:rsid w:val="00B239EE"/>
    <w:rsid w:val="00B30986"/>
    <w:rsid w:val="00B315AE"/>
    <w:rsid w:val="00B44DC9"/>
    <w:rsid w:val="00B51976"/>
    <w:rsid w:val="00B53FB9"/>
    <w:rsid w:val="00B607FA"/>
    <w:rsid w:val="00B662FE"/>
    <w:rsid w:val="00B95121"/>
    <w:rsid w:val="00BA01F7"/>
    <w:rsid w:val="00BA329C"/>
    <w:rsid w:val="00BB0E4D"/>
    <w:rsid w:val="00BB293A"/>
    <w:rsid w:val="00BB6B8B"/>
    <w:rsid w:val="00BC7DBE"/>
    <w:rsid w:val="00BE6C8A"/>
    <w:rsid w:val="00BF2779"/>
    <w:rsid w:val="00BF2F10"/>
    <w:rsid w:val="00BF39A8"/>
    <w:rsid w:val="00BF5055"/>
    <w:rsid w:val="00BF6BED"/>
    <w:rsid w:val="00C1435B"/>
    <w:rsid w:val="00C15A0B"/>
    <w:rsid w:val="00C24BF4"/>
    <w:rsid w:val="00C24FEE"/>
    <w:rsid w:val="00C31794"/>
    <w:rsid w:val="00C34451"/>
    <w:rsid w:val="00C37C16"/>
    <w:rsid w:val="00C40F2E"/>
    <w:rsid w:val="00C41907"/>
    <w:rsid w:val="00C44124"/>
    <w:rsid w:val="00C52076"/>
    <w:rsid w:val="00C53420"/>
    <w:rsid w:val="00C53D47"/>
    <w:rsid w:val="00C62AE2"/>
    <w:rsid w:val="00C65E38"/>
    <w:rsid w:val="00C744D0"/>
    <w:rsid w:val="00C7472E"/>
    <w:rsid w:val="00C80C15"/>
    <w:rsid w:val="00C83AC0"/>
    <w:rsid w:val="00C841EE"/>
    <w:rsid w:val="00C9595B"/>
    <w:rsid w:val="00CB741F"/>
    <w:rsid w:val="00CC024C"/>
    <w:rsid w:val="00CC30F7"/>
    <w:rsid w:val="00CD6B47"/>
    <w:rsid w:val="00CF6E07"/>
    <w:rsid w:val="00D00774"/>
    <w:rsid w:val="00D03BDA"/>
    <w:rsid w:val="00D055E3"/>
    <w:rsid w:val="00D14FEB"/>
    <w:rsid w:val="00D2128D"/>
    <w:rsid w:val="00D23EE0"/>
    <w:rsid w:val="00D2457B"/>
    <w:rsid w:val="00D35064"/>
    <w:rsid w:val="00D56A26"/>
    <w:rsid w:val="00D62AB5"/>
    <w:rsid w:val="00D646C5"/>
    <w:rsid w:val="00D754C1"/>
    <w:rsid w:val="00D86D04"/>
    <w:rsid w:val="00DA1EE1"/>
    <w:rsid w:val="00DB30F0"/>
    <w:rsid w:val="00DB5237"/>
    <w:rsid w:val="00DB613D"/>
    <w:rsid w:val="00DB661D"/>
    <w:rsid w:val="00DC292E"/>
    <w:rsid w:val="00DC6064"/>
    <w:rsid w:val="00DC6CDA"/>
    <w:rsid w:val="00DD33E0"/>
    <w:rsid w:val="00DE2BA4"/>
    <w:rsid w:val="00DE369E"/>
    <w:rsid w:val="00E03D84"/>
    <w:rsid w:val="00E167B4"/>
    <w:rsid w:val="00E23B02"/>
    <w:rsid w:val="00E2511C"/>
    <w:rsid w:val="00E357E7"/>
    <w:rsid w:val="00E36AF9"/>
    <w:rsid w:val="00E36F5E"/>
    <w:rsid w:val="00E37F61"/>
    <w:rsid w:val="00E40F63"/>
    <w:rsid w:val="00E42675"/>
    <w:rsid w:val="00E4769C"/>
    <w:rsid w:val="00E47882"/>
    <w:rsid w:val="00E53825"/>
    <w:rsid w:val="00E71350"/>
    <w:rsid w:val="00E73DD4"/>
    <w:rsid w:val="00E741EE"/>
    <w:rsid w:val="00E75C98"/>
    <w:rsid w:val="00E81BDC"/>
    <w:rsid w:val="00E852E2"/>
    <w:rsid w:val="00EA1564"/>
    <w:rsid w:val="00EA4C0E"/>
    <w:rsid w:val="00EC1910"/>
    <w:rsid w:val="00EC720E"/>
    <w:rsid w:val="00EC7619"/>
    <w:rsid w:val="00ED3FF4"/>
    <w:rsid w:val="00ED7320"/>
    <w:rsid w:val="00EE0C5B"/>
    <w:rsid w:val="00EE2F69"/>
    <w:rsid w:val="00EE3A7E"/>
    <w:rsid w:val="00EF3491"/>
    <w:rsid w:val="00F43866"/>
    <w:rsid w:val="00F43B95"/>
    <w:rsid w:val="00F4472F"/>
    <w:rsid w:val="00F46F7C"/>
    <w:rsid w:val="00F54AB4"/>
    <w:rsid w:val="00F56418"/>
    <w:rsid w:val="00F72AE9"/>
    <w:rsid w:val="00F76F4A"/>
    <w:rsid w:val="00F77F71"/>
    <w:rsid w:val="00F809C4"/>
    <w:rsid w:val="00F9528B"/>
    <w:rsid w:val="00F95B53"/>
    <w:rsid w:val="00FA5144"/>
    <w:rsid w:val="00FA5A11"/>
    <w:rsid w:val="00FA7FE0"/>
    <w:rsid w:val="00FB250D"/>
    <w:rsid w:val="00FB76DA"/>
    <w:rsid w:val="00FC64AF"/>
    <w:rsid w:val="00FD01AF"/>
    <w:rsid w:val="00FD360D"/>
    <w:rsid w:val="00FD677C"/>
    <w:rsid w:val="00FD755F"/>
    <w:rsid w:val="00FE7AFB"/>
    <w:rsid w:val="00FF231A"/>
    <w:rsid w:val="00FF49E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C25DB5"/>
  <w15:docId w15:val="{F24ED6F2-D201-4D59-9C5E-03F31B717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406"/>
    <w:pPr>
      <w:spacing w:after="160" w:line="259" w:lineRule="auto"/>
    </w:pPr>
    <w:rPr>
      <w:sz w:val="22"/>
      <w:szCs w:val="22"/>
      <w:lang w:eastAsia="zh-CN"/>
    </w:rPr>
  </w:style>
  <w:style w:type="paragraph" w:styleId="Heading1">
    <w:name w:val="heading 1"/>
    <w:basedOn w:val="Normal"/>
    <w:next w:val="Normal"/>
    <w:link w:val="Heading1Char"/>
    <w:uiPriority w:val="9"/>
    <w:qFormat/>
    <w:rsid w:val="00F56418"/>
    <w:pPr>
      <w:keepNext/>
      <w:keepLines/>
      <w:spacing w:after="120" w:line="240" w:lineRule="auto"/>
      <w:outlineLvl w:val="0"/>
    </w:pPr>
    <w:rPr>
      <w:rFonts w:ascii="Arial" w:eastAsiaTheme="majorEastAsia" w:hAnsi="Arial" w:cstheme="majorBidi"/>
      <w:b/>
      <w:bCs/>
      <w:color w:val="5B9BD5" w:themeColor="accent1"/>
      <w:sz w:val="40"/>
      <w:szCs w:val="28"/>
      <w:lang w:val="en-AU" w:eastAsia="en-US"/>
    </w:rPr>
  </w:style>
  <w:style w:type="paragraph" w:styleId="Heading4">
    <w:name w:val="heading 4"/>
    <w:basedOn w:val="Normal"/>
    <w:next w:val="Normal"/>
    <w:link w:val="Heading4Char"/>
    <w:uiPriority w:val="9"/>
    <w:qFormat/>
    <w:rsid w:val="00F56418"/>
    <w:pPr>
      <w:keepNext/>
      <w:keepLines/>
      <w:spacing w:before="240" w:after="60" w:line="240" w:lineRule="auto"/>
      <w:outlineLvl w:val="3"/>
    </w:pPr>
    <w:rPr>
      <w:rFonts w:ascii="Arial" w:eastAsiaTheme="majorEastAsia" w:hAnsi="Arial" w:cstheme="majorBidi"/>
      <w:b/>
      <w:bCs/>
      <w:iCs/>
      <w:color w:val="44546A" w:themeColor="text2"/>
      <w:sz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A90720"/>
    <w:pPr>
      <w:ind w:left="720"/>
      <w:contextualSpacing/>
    </w:pPr>
  </w:style>
  <w:style w:type="paragraph" w:styleId="Header">
    <w:name w:val="header"/>
    <w:basedOn w:val="Normal"/>
    <w:link w:val="HeaderChar"/>
    <w:uiPriority w:val="99"/>
    <w:unhideWhenUsed/>
    <w:rsid w:val="00460A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A01"/>
  </w:style>
  <w:style w:type="paragraph" w:styleId="Footer">
    <w:name w:val="footer"/>
    <w:basedOn w:val="Normal"/>
    <w:link w:val="FooterChar"/>
    <w:uiPriority w:val="99"/>
    <w:unhideWhenUsed/>
    <w:rsid w:val="00460A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A01"/>
  </w:style>
  <w:style w:type="table" w:styleId="TableGrid">
    <w:name w:val="Table Grid"/>
    <w:basedOn w:val="TableNormal"/>
    <w:uiPriority w:val="59"/>
    <w:rsid w:val="004C086F"/>
    <w:rPr>
      <w:rFonts w:eastAsia="Calibri"/>
      <w:lang w:val="ca-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74D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874DE"/>
    <w:rPr>
      <w:rFonts w:ascii="Segoe UI" w:hAnsi="Segoe UI" w:cs="Segoe UI"/>
      <w:sz w:val="18"/>
      <w:szCs w:val="18"/>
    </w:rPr>
  </w:style>
  <w:style w:type="character" w:styleId="Hyperlink">
    <w:name w:val="Hyperlink"/>
    <w:uiPriority w:val="99"/>
    <w:unhideWhenUsed/>
    <w:rsid w:val="00EC7619"/>
    <w:rPr>
      <w:color w:val="0000FF"/>
      <w:u w:val="single"/>
    </w:rPr>
  </w:style>
  <w:style w:type="paragraph" w:customStyle="1" w:styleId="desc">
    <w:name w:val="desc"/>
    <w:basedOn w:val="Normal"/>
    <w:rsid w:val="00EC7619"/>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customStyle="1" w:styleId="jrnl">
    <w:name w:val="jrnl"/>
    <w:basedOn w:val="DefaultParagraphFont"/>
    <w:rsid w:val="00EC7619"/>
  </w:style>
  <w:style w:type="character" w:styleId="CommentReference">
    <w:name w:val="annotation reference"/>
    <w:uiPriority w:val="99"/>
    <w:semiHidden/>
    <w:unhideWhenUsed/>
    <w:rsid w:val="00DD33E0"/>
    <w:rPr>
      <w:sz w:val="16"/>
      <w:szCs w:val="16"/>
    </w:rPr>
  </w:style>
  <w:style w:type="paragraph" w:styleId="CommentText">
    <w:name w:val="annotation text"/>
    <w:basedOn w:val="Normal"/>
    <w:link w:val="CommentTextChar"/>
    <w:uiPriority w:val="99"/>
    <w:semiHidden/>
    <w:unhideWhenUsed/>
    <w:rsid w:val="00DD33E0"/>
    <w:pPr>
      <w:spacing w:after="200" w:line="276" w:lineRule="auto"/>
    </w:pPr>
    <w:rPr>
      <w:rFonts w:eastAsia="Calibri" w:cs="Times New Roman"/>
      <w:sz w:val="20"/>
      <w:szCs w:val="20"/>
      <w:lang w:val="es-ES" w:eastAsia="en-US"/>
    </w:rPr>
  </w:style>
  <w:style w:type="character" w:customStyle="1" w:styleId="CommentTextChar">
    <w:name w:val="Comment Text Char"/>
    <w:link w:val="CommentText"/>
    <w:uiPriority w:val="99"/>
    <w:semiHidden/>
    <w:rsid w:val="00DD33E0"/>
    <w:rPr>
      <w:rFonts w:ascii="Calibri" w:eastAsia="Calibri" w:hAnsi="Calibri" w:cs="Times New Roman"/>
      <w:sz w:val="20"/>
      <w:szCs w:val="20"/>
      <w:lang w:val="es-ES" w:eastAsia="en-US"/>
    </w:rPr>
  </w:style>
  <w:style w:type="paragraph" w:styleId="CommentSubject">
    <w:name w:val="annotation subject"/>
    <w:basedOn w:val="CommentText"/>
    <w:next w:val="CommentText"/>
    <w:link w:val="CommentSubjectChar"/>
    <w:uiPriority w:val="99"/>
    <w:semiHidden/>
    <w:unhideWhenUsed/>
    <w:rsid w:val="00711C2D"/>
    <w:pPr>
      <w:spacing w:after="160" w:line="240" w:lineRule="auto"/>
    </w:pPr>
    <w:rPr>
      <w:rFonts w:eastAsia="SimSun" w:cs="Arial"/>
      <w:b/>
      <w:bCs/>
      <w:lang w:val="en-GB" w:eastAsia="zh-CN"/>
    </w:rPr>
  </w:style>
  <w:style w:type="character" w:customStyle="1" w:styleId="CommentSubjectChar">
    <w:name w:val="Comment Subject Char"/>
    <w:link w:val="CommentSubject"/>
    <w:uiPriority w:val="99"/>
    <w:semiHidden/>
    <w:rsid w:val="00711C2D"/>
    <w:rPr>
      <w:rFonts w:ascii="Calibri" w:eastAsia="Calibri" w:hAnsi="Calibri" w:cs="Times New Roman"/>
      <w:b/>
      <w:bCs/>
      <w:sz w:val="20"/>
      <w:szCs w:val="20"/>
      <w:lang w:val="es-ES" w:eastAsia="en-US"/>
    </w:rPr>
  </w:style>
  <w:style w:type="paragraph" w:styleId="NormalWeb">
    <w:name w:val="Normal (Web)"/>
    <w:basedOn w:val="Normal"/>
    <w:uiPriority w:val="99"/>
    <w:semiHidden/>
    <w:unhideWhenUsed/>
    <w:rsid w:val="00711C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fulShading-Accent11">
    <w:name w:val="Colorful Shading - Accent 11"/>
    <w:hidden/>
    <w:uiPriority w:val="99"/>
    <w:semiHidden/>
    <w:rsid w:val="00775DB8"/>
    <w:rPr>
      <w:sz w:val="22"/>
      <w:szCs w:val="22"/>
      <w:lang w:eastAsia="zh-CN"/>
    </w:rPr>
  </w:style>
  <w:style w:type="paragraph" w:customStyle="1" w:styleId="article-title-block">
    <w:name w:val="article-title-block"/>
    <w:basedOn w:val="Normal"/>
    <w:rsid w:val="00BF2779"/>
    <w:pPr>
      <w:spacing w:before="100" w:beforeAutospacing="1" w:after="100" w:afterAutospacing="1" w:line="240" w:lineRule="auto"/>
    </w:pPr>
    <w:rPr>
      <w:rFonts w:ascii="Times New Roman" w:eastAsia="Times New Roman" w:hAnsi="Times New Roman" w:cs="Times New Roman"/>
      <w:sz w:val="24"/>
      <w:szCs w:val="24"/>
      <w:lang w:val="ca-ES" w:eastAsia="ca-ES"/>
    </w:rPr>
  </w:style>
  <w:style w:type="character" w:styleId="Strong">
    <w:name w:val="Strong"/>
    <w:uiPriority w:val="22"/>
    <w:qFormat/>
    <w:rsid w:val="00BF2779"/>
    <w:rPr>
      <w:b/>
      <w:bCs/>
    </w:rPr>
  </w:style>
  <w:style w:type="character" w:customStyle="1" w:styleId="article-citation">
    <w:name w:val="article-citation"/>
    <w:basedOn w:val="DefaultParagraphFont"/>
    <w:rsid w:val="00BF2779"/>
  </w:style>
  <w:style w:type="character" w:styleId="Emphasis">
    <w:name w:val="Emphasis"/>
    <w:uiPriority w:val="20"/>
    <w:qFormat/>
    <w:rsid w:val="00BF2779"/>
    <w:rPr>
      <w:i/>
      <w:iCs/>
    </w:rPr>
  </w:style>
  <w:style w:type="character" w:customStyle="1" w:styleId="apple-converted-space">
    <w:name w:val="apple-converted-space"/>
    <w:basedOn w:val="DefaultParagraphFont"/>
    <w:rsid w:val="00BF2779"/>
  </w:style>
  <w:style w:type="paragraph" w:customStyle="1" w:styleId="citation">
    <w:name w:val="citation"/>
    <w:basedOn w:val="Normal"/>
    <w:rsid w:val="00BF2779"/>
    <w:pPr>
      <w:spacing w:before="100" w:beforeAutospacing="1" w:after="100" w:afterAutospacing="1" w:line="240" w:lineRule="auto"/>
    </w:pPr>
    <w:rPr>
      <w:rFonts w:ascii="Times New Roman" w:eastAsia="Times New Roman" w:hAnsi="Times New Roman" w:cs="Times New Roman"/>
      <w:sz w:val="24"/>
      <w:szCs w:val="24"/>
      <w:lang w:val="ca-ES" w:eastAsia="ca-ES"/>
    </w:rPr>
  </w:style>
  <w:style w:type="paragraph" w:styleId="ListParagraph">
    <w:name w:val="List Paragraph"/>
    <w:basedOn w:val="Normal"/>
    <w:uiPriority w:val="34"/>
    <w:qFormat/>
    <w:rsid w:val="00310C2F"/>
    <w:pPr>
      <w:ind w:left="720"/>
      <w:contextualSpacing/>
    </w:pPr>
  </w:style>
  <w:style w:type="paragraph" w:styleId="Revision">
    <w:name w:val="Revision"/>
    <w:hidden/>
    <w:uiPriority w:val="99"/>
    <w:semiHidden/>
    <w:rsid w:val="001F3C00"/>
    <w:rPr>
      <w:sz w:val="22"/>
      <w:szCs w:val="22"/>
      <w:lang w:eastAsia="zh-CN"/>
    </w:rPr>
  </w:style>
  <w:style w:type="paragraph" w:customStyle="1" w:styleId="Title1">
    <w:name w:val="Title1"/>
    <w:basedOn w:val="Normal"/>
    <w:rsid w:val="002F7045"/>
    <w:pPr>
      <w:spacing w:before="100" w:beforeAutospacing="1" w:after="100" w:afterAutospacing="1" w:line="240" w:lineRule="auto"/>
    </w:pPr>
    <w:rPr>
      <w:rFonts w:ascii="Times New Roman" w:eastAsiaTheme="minorHAnsi" w:hAnsi="Times New Roman" w:cs="Times New Roman"/>
      <w:sz w:val="24"/>
      <w:szCs w:val="24"/>
      <w:lang w:eastAsia="en-GB"/>
    </w:rPr>
  </w:style>
  <w:style w:type="paragraph" w:customStyle="1" w:styleId="details">
    <w:name w:val="details"/>
    <w:basedOn w:val="Normal"/>
    <w:rsid w:val="002F7045"/>
    <w:pPr>
      <w:spacing w:before="100" w:beforeAutospacing="1" w:after="100" w:afterAutospacing="1" w:line="240" w:lineRule="auto"/>
    </w:pPr>
    <w:rPr>
      <w:rFonts w:ascii="Times New Roman" w:eastAsiaTheme="minorHAnsi" w:hAnsi="Times New Roman" w:cs="Times New Roman"/>
      <w:sz w:val="24"/>
      <w:szCs w:val="24"/>
      <w:lang w:eastAsia="en-GB"/>
    </w:rPr>
  </w:style>
  <w:style w:type="character" w:customStyle="1" w:styleId="Heading1Char">
    <w:name w:val="Heading 1 Char"/>
    <w:basedOn w:val="DefaultParagraphFont"/>
    <w:link w:val="Heading1"/>
    <w:uiPriority w:val="9"/>
    <w:rsid w:val="00F56418"/>
    <w:rPr>
      <w:rFonts w:ascii="Arial" w:eastAsiaTheme="majorEastAsia" w:hAnsi="Arial" w:cstheme="majorBidi"/>
      <w:b/>
      <w:bCs/>
      <w:color w:val="5B9BD5" w:themeColor="accent1"/>
      <w:sz w:val="40"/>
      <w:szCs w:val="28"/>
      <w:lang w:val="en-AU" w:eastAsia="en-US"/>
    </w:rPr>
  </w:style>
  <w:style w:type="character" w:customStyle="1" w:styleId="Heading4Char">
    <w:name w:val="Heading 4 Char"/>
    <w:basedOn w:val="DefaultParagraphFont"/>
    <w:link w:val="Heading4"/>
    <w:uiPriority w:val="9"/>
    <w:rsid w:val="00F56418"/>
    <w:rPr>
      <w:rFonts w:ascii="Arial" w:eastAsiaTheme="majorEastAsia" w:hAnsi="Arial" w:cstheme="majorBidi"/>
      <w:b/>
      <w:bCs/>
      <w:iCs/>
      <w:color w:val="44546A" w:themeColor="text2"/>
      <w:sz w:val="24"/>
      <w:szCs w:val="22"/>
      <w:lang w:val="en-AU" w:eastAsia="en-US"/>
    </w:rPr>
  </w:style>
  <w:style w:type="paragraph" w:customStyle="1" w:styleId="Title11">
    <w:name w:val="Title11"/>
    <w:basedOn w:val="Normal"/>
    <w:rsid w:val="00F5641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highlight">
    <w:name w:val="highlight"/>
    <w:basedOn w:val="DefaultParagraphFont"/>
    <w:rsid w:val="006D0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2796">
      <w:bodyDiv w:val="1"/>
      <w:marLeft w:val="0"/>
      <w:marRight w:val="0"/>
      <w:marTop w:val="0"/>
      <w:marBottom w:val="0"/>
      <w:divBdr>
        <w:top w:val="none" w:sz="0" w:space="0" w:color="auto"/>
        <w:left w:val="none" w:sz="0" w:space="0" w:color="auto"/>
        <w:bottom w:val="none" w:sz="0" w:space="0" w:color="auto"/>
        <w:right w:val="none" w:sz="0" w:space="0" w:color="auto"/>
      </w:divBdr>
    </w:div>
    <w:div w:id="80806361">
      <w:bodyDiv w:val="1"/>
      <w:marLeft w:val="0"/>
      <w:marRight w:val="0"/>
      <w:marTop w:val="0"/>
      <w:marBottom w:val="0"/>
      <w:divBdr>
        <w:top w:val="none" w:sz="0" w:space="0" w:color="auto"/>
        <w:left w:val="none" w:sz="0" w:space="0" w:color="auto"/>
        <w:bottom w:val="none" w:sz="0" w:space="0" w:color="auto"/>
        <w:right w:val="none" w:sz="0" w:space="0" w:color="auto"/>
      </w:divBdr>
    </w:div>
    <w:div w:id="300427676">
      <w:bodyDiv w:val="1"/>
      <w:marLeft w:val="0"/>
      <w:marRight w:val="0"/>
      <w:marTop w:val="0"/>
      <w:marBottom w:val="0"/>
      <w:divBdr>
        <w:top w:val="none" w:sz="0" w:space="0" w:color="auto"/>
        <w:left w:val="none" w:sz="0" w:space="0" w:color="auto"/>
        <w:bottom w:val="none" w:sz="0" w:space="0" w:color="auto"/>
        <w:right w:val="none" w:sz="0" w:space="0" w:color="auto"/>
      </w:divBdr>
      <w:divsChild>
        <w:div w:id="643435935">
          <w:marLeft w:val="720"/>
          <w:marRight w:val="0"/>
          <w:marTop w:val="0"/>
          <w:marBottom w:val="120"/>
          <w:divBdr>
            <w:top w:val="none" w:sz="0" w:space="0" w:color="auto"/>
            <w:left w:val="none" w:sz="0" w:space="0" w:color="auto"/>
            <w:bottom w:val="none" w:sz="0" w:space="0" w:color="auto"/>
            <w:right w:val="none" w:sz="0" w:space="0" w:color="auto"/>
          </w:divBdr>
        </w:div>
      </w:divsChild>
    </w:div>
    <w:div w:id="480343756">
      <w:bodyDiv w:val="1"/>
      <w:marLeft w:val="0"/>
      <w:marRight w:val="0"/>
      <w:marTop w:val="0"/>
      <w:marBottom w:val="0"/>
      <w:divBdr>
        <w:top w:val="none" w:sz="0" w:space="0" w:color="auto"/>
        <w:left w:val="none" w:sz="0" w:space="0" w:color="auto"/>
        <w:bottom w:val="none" w:sz="0" w:space="0" w:color="auto"/>
        <w:right w:val="none" w:sz="0" w:space="0" w:color="auto"/>
      </w:divBdr>
      <w:divsChild>
        <w:div w:id="42213353">
          <w:marLeft w:val="446"/>
          <w:marRight w:val="0"/>
          <w:marTop w:val="0"/>
          <w:marBottom w:val="40"/>
          <w:divBdr>
            <w:top w:val="none" w:sz="0" w:space="0" w:color="auto"/>
            <w:left w:val="none" w:sz="0" w:space="0" w:color="auto"/>
            <w:bottom w:val="none" w:sz="0" w:space="0" w:color="auto"/>
            <w:right w:val="none" w:sz="0" w:space="0" w:color="auto"/>
          </w:divBdr>
        </w:div>
        <w:div w:id="194857002">
          <w:marLeft w:val="446"/>
          <w:marRight w:val="0"/>
          <w:marTop w:val="0"/>
          <w:marBottom w:val="40"/>
          <w:divBdr>
            <w:top w:val="none" w:sz="0" w:space="0" w:color="auto"/>
            <w:left w:val="none" w:sz="0" w:space="0" w:color="auto"/>
            <w:bottom w:val="none" w:sz="0" w:space="0" w:color="auto"/>
            <w:right w:val="none" w:sz="0" w:space="0" w:color="auto"/>
          </w:divBdr>
        </w:div>
        <w:div w:id="556012820">
          <w:marLeft w:val="446"/>
          <w:marRight w:val="0"/>
          <w:marTop w:val="0"/>
          <w:marBottom w:val="40"/>
          <w:divBdr>
            <w:top w:val="none" w:sz="0" w:space="0" w:color="auto"/>
            <w:left w:val="none" w:sz="0" w:space="0" w:color="auto"/>
            <w:bottom w:val="none" w:sz="0" w:space="0" w:color="auto"/>
            <w:right w:val="none" w:sz="0" w:space="0" w:color="auto"/>
          </w:divBdr>
        </w:div>
        <w:div w:id="957681413">
          <w:marLeft w:val="547"/>
          <w:marRight w:val="0"/>
          <w:marTop w:val="0"/>
          <w:marBottom w:val="40"/>
          <w:divBdr>
            <w:top w:val="none" w:sz="0" w:space="0" w:color="auto"/>
            <w:left w:val="none" w:sz="0" w:space="0" w:color="auto"/>
            <w:bottom w:val="none" w:sz="0" w:space="0" w:color="auto"/>
            <w:right w:val="none" w:sz="0" w:space="0" w:color="auto"/>
          </w:divBdr>
        </w:div>
        <w:div w:id="1111045698">
          <w:marLeft w:val="547"/>
          <w:marRight w:val="0"/>
          <w:marTop w:val="0"/>
          <w:marBottom w:val="40"/>
          <w:divBdr>
            <w:top w:val="none" w:sz="0" w:space="0" w:color="auto"/>
            <w:left w:val="none" w:sz="0" w:space="0" w:color="auto"/>
            <w:bottom w:val="none" w:sz="0" w:space="0" w:color="auto"/>
            <w:right w:val="none" w:sz="0" w:space="0" w:color="auto"/>
          </w:divBdr>
        </w:div>
        <w:div w:id="1308196052">
          <w:marLeft w:val="547"/>
          <w:marRight w:val="0"/>
          <w:marTop w:val="0"/>
          <w:marBottom w:val="40"/>
          <w:divBdr>
            <w:top w:val="none" w:sz="0" w:space="0" w:color="auto"/>
            <w:left w:val="none" w:sz="0" w:space="0" w:color="auto"/>
            <w:bottom w:val="none" w:sz="0" w:space="0" w:color="auto"/>
            <w:right w:val="none" w:sz="0" w:space="0" w:color="auto"/>
          </w:divBdr>
        </w:div>
        <w:div w:id="1350984870">
          <w:marLeft w:val="446"/>
          <w:marRight w:val="0"/>
          <w:marTop w:val="0"/>
          <w:marBottom w:val="40"/>
          <w:divBdr>
            <w:top w:val="none" w:sz="0" w:space="0" w:color="auto"/>
            <w:left w:val="none" w:sz="0" w:space="0" w:color="auto"/>
            <w:bottom w:val="none" w:sz="0" w:space="0" w:color="auto"/>
            <w:right w:val="none" w:sz="0" w:space="0" w:color="auto"/>
          </w:divBdr>
        </w:div>
        <w:div w:id="1762792904">
          <w:marLeft w:val="446"/>
          <w:marRight w:val="0"/>
          <w:marTop w:val="0"/>
          <w:marBottom w:val="40"/>
          <w:divBdr>
            <w:top w:val="none" w:sz="0" w:space="0" w:color="auto"/>
            <w:left w:val="none" w:sz="0" w:space="0" w:color="auto"/>
            <w:bottom w:val="none" w:sz="0" w:space="0" w:color="auto"/>
            <w:right w:val="none" w:sz="0" w:space="0" w:color="auto"/>
          </w:divBdr>
        </w:div>
      </w:divsChild>
    </w:div>
    <w:div w:id="722800189">
      <w:bodyDiv w:val="1"/>
      <w:marLeft w:val="0"/>
      <w:marRight w:val="0"/>
      <w:marTop w:val="0"/>
      <w:marBottom w:val="0"/>
      <w:divBdr>
        <w:top w:val="none" w:sz="0" w:space="0" w:color="auto"/>
        <w:left w:val="none" w:sz="0" w:space="0" w:color="auto"/>
        <w:bottom w:val="none" w:sz="0" w:space="0" w:color="auto"/>
        <w:right w:val="none" w:sz="0" w:space="0" w:color="auto"/>
      </w:divBdr>
    </w:div>
    <w:div w:id="735248542">
      <w:bodyDiv w:val="1"/>
      <w:marLeft w:val="0"/>
      <w:marRight w:val="0"/>
      <w:marTop w:val="0"/>
      <w:marBottom w:val="0"/>
      <w:divBdr>
        <w:top w:val="none" w:sz="0" w:space="0" w:color="auto"/>
        <w:left w:val="none" w:sz="0" w:space="0" w:color="auto"/>
        <w:bottom w:val="none" w:sz="0" w:space="0" w:color="auto"/>
        <w:right w:val="none" w:sz="0" w:space="0" w:color="auto"/>
      </w:divBdr>
    </w:div>
    <w:div w:id="1051736524">
      <w:bodyDiv w:val="1"/>
      <w:marLeft w:val="0"/>
      <w:marRight w:val="0"/>
      <w:marTop w:val="0"/>
      <w:marBottom w:val="0"/>
      <w:divBdr>
        <w:top w:val="none" w:sz="0" w:space="0" w:color="auto"/>
        <w:left w:val="none" w:sz="0" w:space="0" w:color="auto"/>
        <w:bottom w:val="none" w:sz="0" w:space="0" w:color="auto"/>
        <w:right w:val="none" w:sz="0" w:space="0" w:color="auto"/>
      </w:divBdr>
    </w:div>
    <w:div w:id="1058631712">
      <w:bodyDiv w:val="1"/>
      <w:marLeft w:val="0"/>
      <w:marRight w:val="0"/>
      <w:marTop w:val="0"/>
      <w:marBottom w:val="0"/>
      <w:divBdr>
        <w:top w:val="none" w:sz="0" w:space="0" w:color="auto"/>
        <w:left w:val="none" w:sz="0" w:space="0" w:color="auto"/>
        <w:bottom w:val="none" w:sz="0" w:space="0" w:color="auto"/>
        <w:right w:val="none" w:sz="0" w:space="0" w:color="auto"/>
      </w:divBdr>
    </w:div>
    <w:div w:id="1089883157">
      <w:bodyDiv w:val="1"/>
      <w:marLeft w:val="0"/>
      <w:marRight w:val="0"/>
      <w:marTop w:val="0"/>
      <w:marBottom w:val="0"/>
      <w:divBdr>
        <w:top w:val="none" w:sz="0" w:space="0" w:color="auto"/>
        <w:left w:val="none" w:sz="0" w:space="0" w:color="auto"/>
        <w:bottom w:val="none" w:sz="0" w:space="0" w:color="auto"/>
        <w:right w:val="none" w:sz="0" w:space="0" w:color="auto"/>
      </w:divBdr>
      <w:divsChild>
        <w:div w:id="71776458">
          <w:marLeft w:val="446"/>
          <w:marRight w:val="0"/>
          <w:marTop w:val="0"/>
          <w:marBottom w:val="40"/>
          <w:divBdr>
            <w:top w:val="none" w:sz="0" w:space="0" w:color="auto"/>
            <w:left w:val="none" w:sz="0" w:space="0" w:color="auto"/>
            <w:bottom w:val="none" w:sz="0" w:space="0" w:color="auto"/>
            <w:right w:val="none" w:sz="0" w:space="0" w:color="auto"/>
          </w:divBdr>
        </w:div>
        <w:div w:id="130634212">
          <w:marLeft w:val="547"/>
          <w:marRight w:val="0"/>
          <w:marTop w:val="0"/>
          <w:marBottom w:val="40"/>
          <w:divBdr>
            <w:top w:val="none" w:sz="0" w:space="0" w:color="auto"/>
            <w:left w:val="none" w:sz="0" w:space="0" w:color="auto"/>
            <w:bottom w:val="none" w:sz="0" w:space="0" w:color="auto"/>
            <w:right w:val="none" w:sz="0" w:space="0" w:color="auto"/>
          </w:divBdr>
        </w:div>
        <w:div w:id="179508291">
          <w:marLeft w:val="547"/>
          <w:marRight w:val="0"/>
          <w:marTop w:val="0"/>
          <w:marBottom w:val="40"/>
          <w:divBdr>
            <w:top w:val="none" w:sz="0" w:space="0" w:color="auto"/>
            <w:left w:val="none" w:sz="0" w:space="0" w:color="auto"/>
            <w:bottom w:val="none" w:sz="0" w:space="0" w:color="auto"/>
            <w:right w:val="none" w:sz="0" w:space="0" w:color="auto"/>
          </w:divBdr>
        </w:div>
        <w:div w:id="588466147">
          <w:marLeft w:val="547"/>
          <w:marRight w:val="0"/>
          <w:marTop w:val="0"/>
          <w:marBottom w:val="40"/>
          <w:divBdr>
            <w:top w:val="none" w:sz="0" w:space="0" w:color="auto"/>
            <w:left w:val="none" w:sz="0" w:space="0" w:color="auto"/>
            <w:bottom w:val="none" w:sz="0" w:space="0" w:color="auto"/>
            <w:right w:val="none" w:sz="0" w:space="0" w:color="auto"/>
          </w:divBdr>
        </w:div>
        <w:div w:id="661854828">
          <w:marLeft w:val="547"/>
          <w:marRight w:val="0"/>
          <w:marTop w:val="0"/>
          <w:marBottom w:val="40"/>
          <w:divBdr>
            <w:top w:val="none" w:sz="0" w:space="0" w:color="auto"/>
            <w:left w:val="none" w:sz="0" w:space="0" w:color="auto"/>
            <w:bottom w:val="none" w:sz="0" w:space="0" w:color="auto"/>
            <w:right w:val="none" w:sz="0" w:space="0" w:color="auto"/>
          </w:divBdr>
        </w:div>
        <w:div w:id="701442349">
          <w:marLeft w:val="446"/>
          <w:marRight w:val="0"/>
          <w:marTop w:val="0"/>
          <w:marBottom w:val="40"/>
          <w:divBdr>
            <w:top w:val="none" w:sz="0" w:space="0" w:color="auto"/>
            <w:left w:val="none" w:sz="0" w:space="0" w:color="auto"/>
            <w:bottom w:val="none" w:sz="0" w:space="0" w:color="auto"/>
            <w:right w:val="none" w:sz="0" w:space="0" w:color="auto"/>
          </w:divBdr>
        </w:div>
        <w:div w:id="920337925">
          <w:marLeft w:val="446"/>
          <w:marRight w:val="0"/>
          <w:marTop w:val="0"/>
          <w:marBottom w:val="40"/>
          <w:divBdr>
            <w:top w:val="none" w:sz="0" w:space="0" w:color="auto"/>
            <w:left w:val="none" w:sz="0" w:space="0" w:color="auto"/>
            <w:bottom w:val="none" w:sz="0" w:space="0" w:color="auto"/>
            <w:right w:val="none" w:sz="0" w:space="0" w:color="auto"/>
          </w:divBdr>
        </w:div>
        <w:div w:id="1137338703">
          <w:marLeft w:val="547"/>
          <w:marRight w:val="0"/>
          <w:marTop w:val="0"/>
          <w:marBottom w:val="40"/>
          <w:divBdr>
            <w:top w:val="none" w:sz="0" w:space="0" w:color="auto"/>
            <w:left w:val="none" w:sz="0" w:space="0" w:color="auto"/>
            <w:bottom w:val="none" w:sz="0" w:space="0" w:color="auto"/>
            <w:right w:val="none" w:sz="0" w:space="0" w:color="auto"/>
          </w:divBdr>
        </w:div>
        <w:div w:id="1161041725">
          <w:marLeft w:val="547"/>
          <w:marRight w:val="0"/>
          <w:marTop w:val="0"/>
          <w:marBottom w:val="40"/>
          <w:divBdr>
            <w:top w:val="none" w:sz="0" w:space="0" w:color="auto"/>
            <w:left w:val="none" w:sz="0" w:space="0" w:color="auto"/>
            <w:bottom w:val="none" w:sz="0" w:space="0" w:color="auto"/>
            <w:right w:val="none" w:sz="0" w:space="0" w:color="auto"/>
          </w:divBdr>
        </w:div>
        <w:div w:id="1191256804">
          <w:marLeft w:val="547"/>
          <w:marRight w:val="0"/>
          <w:marTop w:val="0"/>
          <w:marBottom w:val="40"/>
          <w:divBdr>
            <w:top w:val="none" w:sz="0" w:space="0" w:color="auto"/>
            <w:left w:val="none" w:sz="0" w:space="0" w:color="auto"/>
            <w:bottom w:val="none" w:sz="0" w:space="0" w:color="auto"/>
            <w:right w:val="none" w:sz="0" w:space="0" w:color="auto"/>
          </w:divBdr>
        </w:div>
        <w:div w:id="1407452816">
          <w:marLeft w:val="446"/>
          <w:marRight w:val="0"/>
          <w:marTop w:val="0"/>
          <w:marBottom w:val="40"/>
          <w:divBdr>
            <w:top w:val="none" w:sz="0" w:space="0" w:color="auto"/>
            <w:left w:val="none" w:sz="0" w:space="0" w:color="auto"/>
            <w:bottom w:val="none" w:sz="0" w:space="0" w:color="auto"/>
            <w:right w:val="none" w:sz="0" w:space="0" w:color="auto"/>
          </w:divBdr>
        </w:div>
        <w:div w:id="1836144898">
          <w:marLeft w:val="547"/>
          <w:marRight w:val="0"/>
          <w:marTop w:val="0"/>
          <w:marBottom w:val="40"/>
          <w:divBdr>
            <w:top w:val="none" w:sz="0" w:space="0" w:color="auto"/>
            <w:left w:val="none" w:sz="0" w:space="0" w:color="auto"/>
            <w:bottom w:val="none" w:sz="0" w:space="0" w:color="auto"/>
            <w:right w:val="none" w:sz="0" w:space="0" w:color="auto"/>
          </w:divBdr>
        </w:div>
        <w:div w:id="2124684977">
          <w:marLeft w:val="547"/>
          <w:marRight w:val="0"/>
          <w:marTop w:val="0"/>
          <w:marBottom w:val="40"/>
          <w:divBdr>
            <w:top w:val="none" w:sz="0" w:space="0" w:color="auto"/>
            <w:left w:val="none" w:sz="0" w:space="0" w:color="auto"/>
            <w:bottom w:val="none" w:sz="0" w:space="0" w:color="auto"/>
            <w:right w:val="none" w:sz="0" w:space="0" w:color="auto"/>
          </w:divBdr>
        </w:div>
      </w:divsChild>
    </w:div>
    <w:div w:id="1221287911">
      <w:bodyDiv w:val="1"/>
      <w:marLeft w:val="0"/>
      <w:marRight w:val="0"/>
      <w:marTop w:val="0"/>
      <w:marBottom w:val="0"/>
      <w:divBdr>
        <w:top w:val="none" w:sz="0" w:space="0" w:color="auto"/>
        <w:left w:val="none" w:sz="0" w:space="0" w:color="auto"/>
        <w:bottom w:val="none" w:sz="0" w:space="0" w:color="auto"/>
        <w:right w:val="none" w:sz="0" w:space="0" w:color="auto"/>
      </w:divBdr>
    </w:div>
    <w:div w:id="1318151305">
      <w:bodyDiv w:val="1"/>
      <w:marLeft w:val="0"/>
      <w:marRight w:val="0"/>
      <w:marTop w:val="0"/>
      <w:marBottom w:val="0"/>
      <w:divBdr>
        <w:top w:val="none" w:sz="0" w:space="0" w:color="auto"/>
        <w:left w:val="none" w:sz="0" w:space="0" w:color="auto"/>
        <w:bottom w:val="none" w:sz="0" w:space="0" w:color="auto"/>
        <w:right w:val="none" w:sz="0" w:space="0" w:color="auto"/>
      </w:divBdr>
    </w:div>
    <w:div w:id="1492796978">
      <w:bodyDiv w:val="1"/>
      <w:marLeft w:val="0"/>
      <w:marRight w:val="0"/>
      <w:marTop w:val="0"/>
      <w:marBottom w:val="0"/>
      <w:divBdr>
        <w:top w:val="none" w:sz="0" w:space="0" w:color="auto"/>
        <w:left w:val="none" w:sz="0" w:space="0" w:color="auto"/>
        <w:bottom w:val="none" w:sz="0" w:space="0" w:color="auto"/>
        <w:right w:val="none" w:sz="0" w:space="0" w:color="auto"/>
      </w:divBdr>
    </w:div>
    <w:div w:id="1607033358">
      <w:bodyDiv w:val="1"/>
      <w:marLeft w:val="0"/>
      <w:marRight w:val="0"/>
      <w:marTop w:val="0"/>
      <w:marBottom w:val="0"/>
      <w:divBdr>
        <w:top w:val="none" w:sz="0" w:space="0" w:color="auto"/>
        <w:left w:val="none" w:sz="0" w:space="0" w:color="auto"/>
        <w:bottom w:val="none" w:sz="0" w:space="0" w:color="auto"/>
        <w:right w:val="none" w:sz="0" w:space="0" w:color="auto"/>
      </w:divBdr>
      <w:divsChild>
        <w:div w:id="173301106">
          <w:marLeft w:val="547"/>
          <w:marRight w:val="0"/>
          <w:marTop w:val="0"/>
          <w:marBottom w:val="0"/>
          <w:divBdr>
            <w:top w:val="none" w:sz="0" w:space="0" w:color="auto"/>
            <w:left w:val="none" w:sz="0" w:space="0" w:color="auto"/>
            <w:bottom w:val="none" w:sz="0" w:space="0" w:color="auto"/>
            <w:right w:val="none" w:sz="0" w:space="0" w:color="auto"/>
          </w:divBdr>
        </w:div>
        <w:div w:id="356582134">
          <w:marLeft w:val="720"/>
          <w:marRight w:val="0"/>
          <w:marTop w:val="0"/>
          <w:marBottom w:val="0"/>
          <w:divBdr>
            <w:top w:val="none" w:sz="0" w:space="0" w:color="auto"/>
            <w:left w:val="none" w:sz="0" w:space="0" w:color="auto"/>
            <w:bottom w:val="none" w:sz="0" w:space="0" w:color="auto"/>
            <w:right w:val="none" w:sz="0" w:space="0" w:color="auto"/>
          </w:divBdr>
        </w:div>
        <w:div w:id="1287152949">
          <w:marLeft w:val="720"/>
          <w:marRight w:val="0"/>
          <w:marTop w:val="0"/>
          <w:marBottom w:val="0"/>
          <w:divBdr>
            <w:top w:val="none" w:sz="0" w:space="0" w:color="auto"/>
            <w:left w:val="none" w:sz="0" w:space="0" w:color="auto"/>
            <w:bottom w:val="none" w:sz="0" w:space="0" w:color="auto"/>
            <w:right w:val="none" w:sz="0" w:space="0" w:color="auto"/>
          </w:divBdr>
        </w:div>
        <w:div w:id="1363477899">
          <w:marLeft w:val="720"/>
          <w:marRight w:val="0"/>
          <w:marTop w:val="0"/>
          <w:marBottom w:val="0"/>
          <w:divBdr>
            <w:top w:val="none" w:sz="0" w:space="0" w:color="auto"/>
            <w:left w:val="none" w:sz="0" w:space="0" w:color="auto"/>
            <w:bottom w:val="none" w:sz="0" w:space="0" w:color="auto"/>
            <w:right w:val="none" w:sz="0" w:space="0" w:color="auto"/>
          </w:divBdr>
        </w:div>
        <w:div w:id="1502889713">
          <w:marLeft w:val="720"/>
          <w:marRight w:val="0"/>
          <w:marTop w:val="0"/>
          <w:marBottom w:val="0"/>
          <w:divBdr>
            <w:top w:val="none" w:sz="0" w:space="0" w:color="auto"/>
            <w:left w:val="none" w:sz="0" w:space="0" w:color="auto"/>
            <w:bottom w:val="none" w:sz="0" w:space="0" w:color="auto"/>
            <w:right w:val="none" w:sz="0" w:space="0" w:color="auto"/>
          </w:divBdr>
        </w:div>
        <w:div w:id="2097049884">
          <w:marLeft w:val="547"/>
          <w:marRight w:val="0"/>
          <w:marTop w:val="0"/>
          <w:marBottom w:val="0"/>
          <w:divBdr>
            <w:top w:val="none" w:sz="0" w:space="0" w:color="auto"/>
            <w:left w:val="none" w:sz="0" w:space="0" w:color="auto"/>
            <w:bottom w:val="none" w:sz="0" w:space="0" w:color="auto"/>
            <w:right w:val="none" w:sz="0" w:space="0" w:color="auto"/>
          </w:divBdr>
        </w:div>
      </w:divsChild>
    </w:div>
    <w:div w:id="1765540363">
      <w:bodyDiv w:val="1"/>
      <w:marLeft w:val="0"/>
      <w:marRight w:val="0"/>
      <w:marTop w:val="0"/>
      <w:marBottom w:val="0"/>
      <w:divBdr>
        <w:top w:val="none" w:sz="0" w:space="0" w:color="auto"/>
        <w:left w:val="none" w:sz="0" w:space="0" w:color="auto"/>
        <w:bottom w:val="none" w:sz="0" w:space="0" w:color="auto"/>
        <w:right w:val="none" w:sz="0" w:space="0" w:color="auto"/>
      </w:divBdr>
      <w:divsChild>
        <w:div w:id="2080594289">
          <w:marLeft w:val="720"/>
          <w:marRight w:val="0"/>
          <w:marTop w:val="0"/>
          <w:marBottom w:val="120"/>
          <w:divBdr>
            <w:top w:val="none" w:sz="0" w:space="0" w:color="auto"/>
            <w:left w:val="none" w:sz="0" w:space="0" w:color="auto"/>
            <w:bottom w:val="none" w:sz="0" w:space="0" w:color="auto"/>
            <w:right w:val="none" w:sz="0" w:space="0" w:color="auto"/>
          </w:divBdr>
        </w:div>
      </w:divsChild>
    </w:div>
    <w:div w:id="200882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C29BC-B0FE-4D29-A1E3-84A3B2E55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7411</Words>
  <Characters>42247</Characters>
  <Application>Microsoft Office Word</Application>
  <DocSecurity>0</DocSecurity>
  <Lines>352</Lines>
  <Paragraphs>99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49559</CharactersWithSpaces>
  <SharedDoc>false</SharedDoc>
  <HLinks>
    <vt:vector size="24" baseType="variant">
      <vt:variant>
        <vt:i4>3604512</vt:i4>
      </vt:variant>
      <vt:variant>
        <vt:i4>0</vt:i4>
      </vt:variant>
      <vt:variant>
        <vt:i4>0</vt:i4>
      </vt:variant>
      <vt:variant>
        <vt:i4>5</vt:i4>
      </vt:variant>
      <vt:variant>
        <vt:lpwstr>http://www.ncbi.nlm.nih.gov/pubmed/21756243</vt:lpwstr>
      </vt:variant>
      <vt:variant>
        <vt:lpwstr/>
      </vt:variant>
      <vt:variant>
        <vt:i4>5439514</vt:i4>
      </vt:variant>
      <vt:variant>
        <vt:i4>6</vt:i4>
      </vt:variant>
      <vt:variant>
        <vt:i4>0</vt:i4>
      </vt:variant>
      <vt:variant>
        <vt:i4>5</vt:i4>
      </vt:variant>
      <vt:variant>
        <vt:lpwstr>http://www.ctajournal.com/content/4/1/42</vt:lpwstr>
      </vt:variant>
      <vt:variant>
        <vt:lpwstr/>
      </vt:variant>
      <vt:variant>
        <vt:i4>5308445</vt:i4>
      </vt:variant>
      <vt:variant>
        <vt:i4>3</vt:i4>
      </vt:variant>
      <vt:variant>
        <vt:i4>0</vt:i4>
      </vt:variant>
      <vt:variant>
        <vt:i4>5</vt:i4>
      </vt:variant>
      <vt:variant>
        <vt:lpwstr>http://www.ctajournal.com/content/5/1/20</vt:lpwstr>
      </vt:variant>
      <vt:variant>
        <vt:lpwstr/>
      </vt:variant>
      <vt:variant>
        <vt:i4>2949177</vt:i4>
      </vt:variant>
      <vt:variant>
        <vt:i4>0</vt:i4>
      </vt:variant>
      <vt:variant>
        <vt:i4>0</vt:i4>
      </vt:variant>
      <vt:variant>
        <vt:i4>5</vt:i4>
      </vt:variant>
      <vt:variant>
        <vt:lpwstr>http://www.merriam-webster.com/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G.C.</dc:creator>
  <cp:lastModifiedBy>Lapage K.P.</cp:lastModifiedBy>
  <cp:revision>2</cp:revision>
  <cp:lastPrinted>2015-12-17T11:31:00Z</cp:lastPrinted>
  <dcterms:created xsi:type="dcterms:W3CDTF">2018-09-18T09:32:00Z</dcterms:created>
  <dcterms:modified xsi:type="dcterms:W3CDTF">2018-09-18T09:32:00Z</dcterms:modified>
</cp:coreProperties>
</file>